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86555" w14:textId="7C9372C3" w:rsidR="00264ED8" w:rsidRPr="006B78CD" w:rsidRDefault="003A1F6A" w:rsidP="00C02410">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inline distT="0" distB="0" distL="0" distR="0" wp14:anchorId="148D0802" wp14:editId="098D2DDE">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6F6D8854" w:rsidR="00C02410" w:rsidRPr="006B78CD" w:rsidRDefault="00BB4E55" w:rsidP="00C02410">
      <w:pPr>
        <w:pStyle w:val="ProductNumber"/>
        <w:rPr>
          <w:lang w:val="en-GB"/>
        </w:rPr>
      </w:pPr>
      <w:r>
        <w:rPr>
          <w:lang w:val="en-GB"/>
        </w:rPr>
        <w:t>9B18A053</w:t>
      </w:r>
    </w:p>
    <w:p w14:paraId="4E057522" w14:textId="77777777" w:rsidR="00D75295" w:rsidRPr="006B78CD" w:rsidRDefault="00D75295" w:rsidP="00D75295">
      <w:pPr>
        <w:jc w:val="right"/>
        <w:rPr>
          <w:rFonts w:ascii="Arial" w:hAnsi="Arial"/>
          <w:b/>
          <w:sz w:val="28"/>
          <w:szCs w:val="28"/>
          <w:lang w:val="en-GB"/>
        </w:rPr>
      </w:pPr>
    </w:p>
    <w:p w14:paraId="426B7211" w14:textId="77777777" w:rsidR="00013360" w:rsidRPr="006B78CD" w:rsidRDefault="00013360" w:rsidP="00D75295">
      <w:pPr>
        <w:jc w:val="right"/>
        <w:rPr>
          <w:rFonts w:ascii="Arial" w:hAnsi="Arial"/>
          <w:b/>
          <w:sz w:val="28"/>
          <w:szCs w:val="28"/>
          <w:lang w:val="en-GB"/>
        </w:rPr>
      </w:pPr>
    </w:p>
    <w:p w14:paraId="6024A401" w14:textId="44244683" w:rsidR="00B97A57" w:rsidRPr="006B78CD" w:rsidRDefault="00264ED8" w:rsidP="00264ED8">
      <w:pPr>
        <w:pStyle w:val="CaseTitle"/>
        <w:spacing w:after="0" w:line="240" w:lineRule="auto"/>
        <w:rPr>
          <w:color w:val="000000" w:themeColor="text1"/>
          <w:sz w:val="20"/>
          <w:szCs w:val="20"/>
          <w:lang w:val="en-GB"/>
        </w:rPr>
      </w:pPr>
      <w:r w:rsidRPr="006B78CD">
        <w:rPr>
          <w:rFonts w:eastAsia="Arial"/>
          <w:color w:val="000000" w:themeColor="text1"/>
          <w:lang w:val="en-GB"/>
        </w:rPr>
        <w:t>ROna</w:t>
      </w:r>
      <w:r w:rsidR="003E51E6" w:rsidRPr="006B78CD">
        <w:rPr>
          <w:rFonts w:eastAsia="Arial"/>
          <w:color w:val="000000" w:themeColor="text1"/>
          <w:lang w:val="en-GB"/>
        </w:rPr>
        <w:t xml:space="preserve"> Inc.</w:t>
      </w:r>
      <w:r w:rsidRPr="006B78CD">
        <w:rPr>
          <w:rFonts w:eastAsia="Arial"/>
          <w:color w:val="000000" w:themeColor="text1"/>
          <w:lang w:val="en-GB"/>
        </w:rPr>
        <w:t>: Was Being bought out the best option?</w:t>
      </w:r>
      <w:r w:rsidR="00B97A57" w:rsidRPr="006B78CD">
        <w:rPr>
          <w:rStyle w:val="EndnoteReference"/>
          <w:rFonts w:eastAsia="Arial"/>
          <w:color w:val="000000" w:themeColor="text1"/>
          <w:lang w:val="en-GB"/>
        </w:rPr>
        <w:endnoteReference w:id="1"/>
      </w:r>
    </w:p>
    <w:p w14:paraId="78B4A7E8" w14:textId="77777777" w:rsidR="00B97A57" w:rsidRPr="006B78CD" w:rsidRDefault="00B97A57" w:rsidP="00264ED8">
      <w:pPr>
        <w:pStyle w:val="CaseTitle"/>
        <w:spacing w:after="0" w:line="240" w:lineRule="auto"/>
        <w:rPr>
          <w:color w:val="000000" w:themeColor="text1"/>
          <w:sz w:val="20"/>
          <w:szCs w:val="20"/>
          <w:lang w:val="en-GB"/>
        </w:rPr>
      </w:pPr>
    </w:p>
    <w:p w14:paraId="459A5E8D" w14:textId="77777777" w:rsidR="00B97A57" w:rsidRPr="006B78CD" w:rsidRDefault="00B97A57" w:rsidP="00264ED8">
      <w:pPr>
        <w:pStyle w:val="CaseTitle"/>
        <w:spacing w:after="0" w:line="240" w:lineRule="auto"/>
        <w:rPr>
          <w:color w:val="000000" w:themeColor="text1"/>
          <w:sz w:val="20"/>
          <w:szCs w:val="20"/>
          <w:lang w:val="en-GB"/>
        </w:rPr>
      </w:pPr>
    </w:p>
    <w:p w14:paraId="4E2A1705" w14:textId="77777777" w:rsidR="00B97A57" w:rsidRPr="006B78CD" w:rsidRDefault="00B97A57" w:rsidP="00264ED8">
      <w:pPr>
        <w:pStyle w:val="StyleCopyrightStatementAfter0ptBottomSinglesolidline1"/>
        <w:rPr>
          <w:color w:val="000000" w:themeColor="text1"/>
          <w:lang w:val="en-GB"/>
        </w:rPr>
      </w:pPr>
      <w:r w:rsidRPr="006B78CD">
        <w:rPr>
          <w:rFonts w:cs="Arial"/>
          <w:color w:val="000000" w:themeColor="text1"/>
          <w:szCs w:val="16"/>
          <w:lang w:val="en-GB"/>
        </w:rPr>
        <w:t xml:space="preserve">Normand Turgeon and JoAnne Labrecque </w:t>
      </w:r>
      <w:r w:rsidRPr="006B78CD">
        <w:rPr>
          <w:color w:val="000000" w:themeColor="text1"/>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FC205D0" w14:textId="77777777" w:rsidR="00B97A57" w:rsidRPr="006B78CD" w:rsidRDefault="00B97A57" w:rsidP="00264ED8">
      <w:pPr>
        <w:pStyle w:val="StyleCopyrightStatementAfter0ptBottomSinglesolidline1"/>
        <w:rPr>
          <w:color w:val="000000" w:themeColor="text1"/>
          <w:lang w:val="en-GB"/>
        </w:rPr>
      </w:pPr>
    </w:p>
    <w:p w14:paraId="291CD587" w14:textId="50881616" w:rsidR="003A1F6A" w:rsidRDefault="003A1F6A" w:rsidP="003A1F6A">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490D2A">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2387582" w14:textId="77777777" w:rsidR="003A1F6A" w:rsidRDefault="003A1F6A" w:rsidP="003A1F6A">
      <w:pPr>
        <w:pStyle w:val="StyleCopyrightStatementAfter0ptBottomSinglesolidline1"/>
        <w:pBdr>
          <w:top w:val="none" w:sz="0" w:space="0" w:color="auto"/>
        </w:pBdr>
      </w:pPr>
    </w:p>
    <w:p w14:paraId="11645007" w14:textId="3898ABF1" w:rsidR="00B97A57" w:rsidRPr="006B78CD" w:rsidRDefault="003A1F6A" w:rsidP="003A1F6A">
      <w:pPr>
        <w:pStyle w:val="StyleStyleCopyrightStatementAfter0ptBottomSinglesolid"/>
        <w:rPr>
          <w:rFonts w:cs="Arial"/>
          <w:color w:val="000000" w:themeColor="text1"/>
          <w:szCs w:val="16"/>
          <w:lang w:val="en-GB"/>
        </w:rPr>
      </w:pPr>
      <w:r>
        <w:t>Copyright © 2018, Ivey Business School Foundation</w:t>
      </w:r>
      <w:r w:rsidR="00B97A57" w:rsidRPr="006B78CD">
        <w:rPr>
          <w:rFonts w:cs="Arial"/>
          <w:iCs w:val="0"/>
          <w:color w:val="000000" w:themeColor="text1"/>
          <w:szCs w:val="16"/>
          <w:lang w:val="en-GB"/>
        </w:rPr>
        <w:tab/>
      </w:r>
      <w:r w:rsidR="00996BB7">
        <w:rPr>
          <w:rFonts w:cs="Arial"/>
          <w:iCs w:val="0"/>
          <w:color w:val="000000" w:themeColor="text1"/>
          <w:szCs w:val="16"/>
          <w:lang w:val="en-GB"/>
        </w:rPr>
        <w:t>Version: 2018-08-14</w:t>
      </w:r>
    </w:p>
    <w:p w14:paraId="505EC694" w14:textId="77777777" w:rsidR="00B97A57" w:rsidRDefault="00B97A57" w:rsidP="00264ED8">
      <w:pPr>
        <w:pStyle w:val="StyleCopyrightStatementAfter0ptBottomSinglesolidline1"/>
        <w:rPr>
          <w:rFonts w:ascii="Times New Roman" w:hAnsi="Times New Roman"/>
          <w:color w:val="000000" w:themeColor="text1"/>
          <w:sz w:val="20"/>
          <w:lang w:val="en-GB"/>
        </w:rPr>
      </w:pPr>
    </w:p>
    <w:p w14:paraId="7D5B87DB" w14:textId="77777777" w:rsidR="001023AF" w:rsidRPr="006B78CD" w:rsidRDefault="001023AF" w:rsidP="00264ED8">
      <w:pPr>
        <w:pStyle w:val="StyleCopyrightStatementAfter0ptBottomSinglesolidline1"/>
        <w:rPr>
          <w:rFonts w:ascii="Times New Roman" w:hAnsi="Times New Roman"/>
          <w:color w:val="000000" w:themeColor="text1"/>
          <w:sz w:val="20"/>
          <w:lang w:val="en-GB"/>
        </w:rPr>
      </w:pPr>
    </w:p>
    <w:p w14:paraId="5EF4F1C8" w14:textId="05E2BC44" w:rsidR="00B97A57" w:rsidRPr="006B78CD" w:rsidRDefault="00B97A57" w:rsidP="00264ED8">
      <w:pPr>
        <w:pStyle w:val="BodyTextMain"/>
        <w:rPr>
          <w:lang w:val="en-GB"/>
        </w:rPr>
      </w:pPr>
      <w:r w:rsidRPr="006B78CD">
        <w:rPr>
          <w:lang w:val="en-GB"/>
        </w:rPr>
        <w:t xml:space="preserve">In July 2012, U.S. giant Lowe’s Companies, Inc. (Lowe’s) submitted an unsolicited bid to the board of directors of </w:t>
      </w:r>
      <w:r w:rsidR="00B60C53">
        <w:rPr>
          <w:lang w:val="en-GB"/>
        </w:rPr>
        <w:t xml:space="preserve">Canadian giant </w:t>
      </w:r>
      <w:r w:rsidRPr="006B78CD">
        <w:rPr>
          <w:lang w:val="en-GB"/>
        </w:rPr>
        <w:t>RONA Inc. (RONA)</w:t>
      </w:r>
      <w:r w:rsidR="00C30CC2">
        <w:rPr>
          <w:lang w:val="en-GB"/>
        </w:rPr>
        <w:t xml:space="preserve">, </w:t>
      </w:r>
      <w:r w:rsidR="00C30CC2">
        <w:t>a home improvement and construction products retailer</w:t>
      </w:r>
      <w:r w:rsidRPr="006B78CD">
        <w:rPr>
          <w:lang w:val="en-GB"/>
        </w:rPr>
        <w:t>. Its goal was to conquer the Canadian market more quickly. The response of RONA’s independent merchants was unequivocal: No, thank you.</w:t>
      </w:r>
      <w:r w:rsidRPr="006B78CD">
        <w:rPr>
          <w:rStyle w:val="EndnoteReference"/>
          <w:color w:val="000000" w:themeColor="text1"/>
          <w:lang w:val="en-GB"/>
        </w:rPr>
        <w:endnoteReference w:id="2"/>
      </w:r>
      <w:r w:rsidRPr="006B78CD">
        <w:rPr>
          <w:lang w:val="en-GB"/>
        </w:rPr>
        <w:t xml:space="preserve"> RONA’s board rejected the unsolicited takeover,</w:t>
      </w:r>
      <w:r w:rsidRPr="006B78CD">
        <w:rPr>
          <w:rStyle w:val="EndnoteReference"/>
          <w:color w:val="000000" w:themeColor="text1"/>
          <w:lang w:val="en-GB"/>
        </w:rPr>
        <w:endnoteReference w:id="3"/>
      </w:r>
      <w:r w:rsidRPr="006B78CD">
        <w:rPr>
          <w:lang w:val="en-GB"/>
        </w:rPr>
        <w:t xml:space="preserve"> and Lowe’s withdrew its offer in September 2012.</w:t>
      </w:r>
      <w:r w:rsidRPr="006B78CD">
        <w:rPr>
          <w:rStyle w:val="EndnoteReference"/>
          <w:color w:val="000000" w:themeColor="text1"/>
          <w:lang w:val="en-GB"/>
        </w:rPr>
        <w:endnoteReference w:id="4"/>
      </w:r>
      <w:r w:rsidRPr="006B78CD">
        <w:rPr>
          <w:lang w:val="en-GB"/>
        </w:rPr>
        <w:t xml:space="preserve"> Those who opposed the transaction were relieved.</w:t>
      </w:r>
      <w:r w:rsidRPr="006B78CD">
        <w:rPr>
          <w:rStyle w:val="EndnoteReference"/>
          <w:color w:val="000000" w:themeColor="text1"/>
          <w:lang w:val="en-GB"/>
        </w:rPr>
        <w:endnoteReference w:id="5"/>
      </w:r>
      <w:r w:rsidRPr="006B78CD">
        <w:rPr>
          <w:lang w:val="en-GB"/>
        </w:rPr>
        <w:t xml:space="preserve"> When Lowe’s made a second attempt to buy the company, in February 2016, the offer was accepted.</w:t>
      </w:r>
      <w:r w:rsidRPr="006B78CD">
        <w:rPr>
          <w:rStyle w:val="EndnoteReference"/>
          <w:color w:val="000000" w:themeColor="text1"/>
          <w:vertAlign w:val="baseline"/>
          <w:lang w:val="en-GB"/>
        </w:rPr>
        <w:t xml:space="preserve"> </w:t>
      </w:r>
      <w:r w:rsidRPr="006B78CD">
        <w:rPr>
          <w:lang w:val="en-GB"/>
        </w:rPr>
        <w:t>Negotiations followed, and the deal was completed in March 2016. RONA officially became part of Lowe’s Companies Canada, ULC (Lowe’s Canada), a subsidiary of Lowe’s, in May 2016.</w:t>
      </w:r>
      <w:r w:rsidR="001023AF" w:rsidRPr="006B78CD">
        <w:rPr>
          <w:rStyle w:val="EndnoteReference"/>
          <w:color w:val="000000" w:themeColor="text1"/>
          <w:lang w:val="en-GB"/>
        </w:rPr>
        <w:endnoteReference w:id="6"/>
      </w:r>
    </w:p>
    <w:p w14:paraId="75EC7393"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0B1ABA27" w14:textId="7F2C2E04" w:rsidR="00B97A57" w:rsidRPr="006B78CD" w:rsidRDefault="00B97A57" w:rsidP="00264ED8">
      <w:pPr>
        <w:pStyle w:val="BodyTextMain"/>
        <w:rPr>
          <w:lang w:val="en-GB"/>
        </w:rPr>
      </w:pPr>
      <w:r w:rsidRPr="006B78CD">
        <w:rPr>
          <w:lang w:val="en-GB"/>
        </w:rPr>
        <w:t>However, one year later, in April 2017, the debate reignited when the results of a survey indicated that Lowe’s suppliers were dissatisfied with Lowe’s purchasing practices.</w:t>
      </w:r>
      <w:r w:rsidRPr="006B78CD">
        <w:rPr>
          <w:rStyle w:val="EndnoteReference"/>
          <w:color w:val="000000" w:themeColor="text1"/>
          <w:lang w:val="en-GB"/>
        </w:rPr>
        <w:endnoteReference w:id="7"/>
      </w:r>
      <w:r w:rsidRPr="006B78CD">
        <w:rPr>
          <w:lang w:val="en-GB"/>
        </w:rPr>
        <w:t xml:space="preserve"> </w:t>
      </w:r>
      <w:r w:rsidRPr="006B78CD">
        <w:rPr>
          <w:rStyle w:val="tlid-translation"/>
          <w:color w:val="000000" w:themeColor="text1"/>
          <w:lang w:val="en-GB"/>
        </w:rPr>
        <w:t>The survey revealed that 10 per cent of RONA’s suppliers had seen a drop in their sales of more than 20 per cent after the takeover.</w:t>
      </w:r>
      <w:r w:rsidRPr="006B78CD">
        <w:rPr>
          <w:rStyle w:val="EndnoteReference"/>
          <w:color w:val="000000" w:themeColor="text1"/>
          <w:lang w:val="en-GB"/>
        </w:rPr>
        <w:endnoteReference w:id="8"/>
      </w:r>
      <w:r w:rsidRPr="006B78CD">
        <w:rPr>
          <w:rStyle w:val="tlid-translation"/>
          <w:color w:val="000000" w:themeColor="text1"/>
          <w:lang w:val="en-GB"/>
        </w:rPr>
        <w:t xml:space="preserve"> Opponents and supporters of the RONA acquisition, by then </w:t>
      </w:r>
      <w:r w:rsidR="00847EEA">
        <w:rPr>
          <w:rStyle w:val="tlid-translation"/>
          <w:color w:val="000000" w:themeColor="text1"/>
          <w:lang w:val="en-GB"/>
        </w:rPr>
        <w:t>a done deal</w:t>
      </w:r>
      <w:r w:rsidRPr="006B78CD">
        <w:rPr>
          <w:rStyle w:val="tlid-translation"/>
          <w:color w:val="000000" w:themeColor="text1"/>
          <w:lang w:val="en-GB"/>
        </w:rPr>
        <w:t>, debated in public.</w:t>
      </w:r>
      <w:r w:rsidRPr="006B78CD">
        <w:rPr>
          <w:rStyle w:val="EndnoteReference"/>
          <w:color w:val="000000" w:themeColor="text1"/>
          <w:lang w:val="en-GB"/>
        </w:rPr>
        <w:endnoteReference w:id="9"/>
      </w:r>
      <w:r w:rsidRPr="006B78CD">
        <w:rPr>
          <w:rStyle w:val="tlid-translation"/>
          <w:color w:val="000000" w:themeColor="text1"/>
          <w:lang w:val="en-GB"/>
        </w:rPr>
        <w:t xml:space="preserve"> Further, in early April 2018, a political document written by the former Quebec economy minister, the late Jacques Daoust, indicated that “the sale of the provincial government’s stake in the RONA hardware chain to American interests haunted him to the end of his life.”</w:t>
      </w:r>
      <w:r w:rsidRPr="006B78CD">
        <w:rPr>
          <w:rStyle w:val="EndnoteReference"/>
          <w:color w:val="000000" w:themeColor="text1"/>
          <w:lang w:val="en-GB"/>
        </w:rPr>
        <w:endnoteReference w:id="10"/>
      </w:r>
      <w:r w:rsidRPr="006B78CD">
        <w:rPr>
          <w:rStyle w:val="tlid-translation"/>
          <w:color w:val="000000" w:themeColor="text1"/>
          <w:lang w:val="en-GB"/>
        </w:rPr>
        <w:t xml:space="preserve"> It looked like the scars left by Lowe’s acquisition of RONA had not healed properly. Did RONA have another viable option </w:t>
      </w:r>
      <w:r w:rsidR="00847EEA">
        <w:rPr>
          <w:rStyle w:val="tlid-translation"/>
          <w:color w:val="000000" w:themeColor="text1"/>
          <w:lang w:val="en-GB"/>
        </w:rPr>
        <w:t xml:space="preserve">at the time of acquisition </w:t>
      </w:r>
      <w:r w:rsidRPr="006B78CD">
        <w:rPr>
          <w:rStyle w:val="tlid-translation"/>
          <w:color w:val="000000" w:themeColor="text1"/>
          <w:lang w:val="en-GB"/>
        </w:rPr>
        <w:t>other than being bought out by Lowe’s? What, if anything, should Lowe’s say or do in response to Daoust’s comments, which had recently been made public?</w:t>
      </w:r>
    </w:p>
    <w:p w14:paraId="1B642570" w14:textId="77777777" w:rsidR="00B97A57" w:rsidRPr="006B78CD" w:rsidRDefault="00B97A57" w:rsidP="00264ED8">
      <w:pPr>
        <w:rPr>
          <w:color w:val="000000" w:themeColor="text1"/>
          <w:sz w:val="22"/>
          <w:szCs w:val="22"/>
          <w:lang w:val="en-GB"/>
        </w:rPr>
      </w:pPr>
    </w:p>
    <w:p w14:paraId="6BFD0729" w14:textId="77777777" w:rsidR="00B97A57" w:rsidRPr="006B78CD" w:rsidRDefault="00B97A57" w:rsidP="00264ED8">
      <w:pPr>
        <w:rPr>
          <w:color w:val="000000" w:themeColor="text1"/>
          <w:sz w:val="22"/>
          <w:szCs w:val="22"/>
          <w:lang w:val="en-GB"/>
        </w:rPr>
      </w:pPr>
    </w:p>
    <w:p w14:paraId="6508A90D" w14:textId="375530D0" w:rsidR="00B97A57" w:rsidRPr="006B78CD" w:rsidRDefault="00B97A57" w:rsidP="00264ED8">
      <w:pPr>
        <w:pStyle w:val="Casehead1"/>
        <w:rPr>
          <w:lang w:val="en-GB"/>
        </w:rPr>
      </w:pPr>
      <w:r w:rsidRPr="006B78CD">
        <w:rPr>
          <w:lang w:val="en-GB"/>
        </w:rPr>
        <w:t>FoundiNG RONA 1.0 (1939–1969): A VISION, A MISSION, A SUCCESS</w:t>
      </w:r>
    </w:p>
    <w:p w14:paraId="184A4CFD"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757843A6" w14:textId="01E5E42B" w:rsidR="00B97A57" w:rsidRPr="006B78CD" w:rsidRDefault="00B97A57" w:rsidP="00264ED8">
      <w:pPr>
        <w:pStyle w:val="BodyTextMain"/>
        <w:rPr>
          <w:lang w:val="en-GB"/>
        </w:rPr>
      </w:pPr>
      <w:r w:rsidRPr="006B78CD">
        <w:rPr>
          <w:lang w:val="en-GB"/>
        </w:rPr>
        <w:t xml:space="preserve">The founding of Les Marchands en Quincaillerie Ltée. (Les Marchands en Quincaillerie) in 1939 brought about the birth of RONA. This group of half a dozen merchants aimed to change the retail hardware and iron products trade in Quebec. One of the wholesale group’s most important goals was to provide its members with a continuous supply of products. In 1951, the group had about 100 members, and the wholesale value of sales to members of the group was </w:t>
      </w:r>
      <w:r w:rsidR="009073AF">
        <w:rPr>
          <w:lang w:val="en-GB"/>
        </w:rPr>
        <w:t>CA</w:t>
      </w:r>
      <w:r w:rsidRPr="006B78CD">
        <w:rPr>
          <w:lang w:val="en-GB"/>
        </w:rPr>
        <w:t>$1.758 million.</w:t>
      </w:r>
      <w:r w:rsidRPr="006B78CD">
        <w:rPr>
          <w:rStyle w:val="EndnoteReference"/>
          <w:color w:val="000000" w:themeColor="text1"/>
          <w:lang w:val="en-GB"/>
        </w:rPr>
        <w:endnoteReference w:id="11"/>
      </w:r>
      <w:r w:rsidRPr="006B78CD">
        <w:rPr>
          <w:lang w:val="en-GB"/>
        </w:rPr>
        <w:t xml:space="preserve"> Quincaillerie Ro-Na Inc./Ro-Na Hardware Inc. emerged in 1960 and took charge of the group’s advertising and sales promotion. In 1965, Les Marchands en Quincaillerie entered into strategic alliances with Hollinger Hardware (Ontario), Falcon Hardware (Manitoba), and Link Hardware (Alberta). Together, they created a new commercial entity called United Hardware Wholesalers Limited/Les Quincaillers Grossistes Associés Ltée. to group </w:t>
      </w:r>
      <w:r w:rsidRPr="006B78CD">
        <w:rPr>
          <w:lang w:val="en-GB"/>
        </w:rPr>
        <w:lastRenderedPageBreak/>
        <w:t>purchases of products that they sold exclusively to their members. The head office was located in Calgary, Alberta. In August 1969, Quincaillerie Ro-Na Inc./Ro-Na Hardware Inc. was dissolved and Les Marchands en Quincaillerie Ltée</w:t>
      </w:r>
      <w:r w:rsidR="006B78CD" w:rsidRPr="006B78CD">
        <w:rPr>
          <w:lang w:val="en-GB"/>
        </w:rPr>
        <w:t>.</w:t>
      </w:r>
      <w:r w:rsidRPr="006B78CD">
        <w:rPr>
          <w:lang w:val="en-GB"/>
        </w:rPr>
        <w:t xml:space="preserve"> was re</w:t>
      </w:r>
      <w:r w:rsidR="00490D2A">
        <w:rPr>
          <w:lang w:val="en-GB"/>
        </w:rPr>
        <w:t>-</w:t>
      </w:r>
      <w:r w:rsidRPr="006B78CD">
        <w:rPr>
          <w:lang w:val="en-GB"/>
        </w:rPr>
        <w:t>named Marchands Ro-Na Inc. (Marchands Ro-Na).</w:t>
      </w:r>
      <w:r w:rsidRPr="006B78CD">
        <w:rPr>
          <w:rStyle w:val="EndnoteReference"/>
          <w:color w:val="000000" w:themeColor="text1"/>
          <w:lang w:val="en-GB"/>
        </w:rPr>
        <w:endnoteReference w:id="12"/>
      </w:r>
    </w:p>
    <w:p w14:paraId="2E6CA819" w14:textId="77777777" w:rsidR="00B97A57" w:rsidRPr="006B78CD" w:rsidRDefault="00B97A57" w:rsidP="00DC72DD">
      <w:pPr>
        <w:pStyle w:val="BodyTextMain"/>
        <w:rPr>
          <w:lang w:val="en-GB"/>
        </w:rPr>
      </w:pPr>
    </w:p>
    <w:p w14:paraId="19798C78" w14:textId="77777777" w:rsidR="00B97A57" w:rsidRPr="006B78CD" w:rsidRDefault="00B97A57" w:rsidP="00DC72DD">
      <w:pPr>
        <w:pStyle w:val="BodyTextMain"/>
        <w:rPr>
          <w:lang w:val="en-GB"/>
        </w:rPr>
      </w:pPr>
    </w:p>
    <w:p w14:paraId="17235DB4" w14:textId="7FF192D7" w:rsidR="00B97A57" w:rsidRPr="006B78CD" w:rsidRDefault="00B97A57" w:rsidP="00264ED8">
      <w:pPr>
        <w:pStyle w:val="Casehead1"/>
        <w:rPr>
          <w:lang w:val="en-GB"/>
        </w:rPr>
      </w:pPr>
      <w:r w:rsidRPr="006B78CD">
        <w:rPr>
          <w:lang w:val="en-GB"/>
        </w:rPr>
        <w:t>BECOMING RONA 2.0 (1970–2012): THE SKY’S THE LIMIT, OR IS IT?</w:t>
      </w:r>
    </w:p>
    <w:p w14:paraId="42CE7E2F"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06CBA8F8" w14:textId="5BBD0802" w:rsidR="00B97A57" w:rsidRPr="006B78CD" w:rsidRDefault="00B97A57" w:rsidP="00847EEA">
      <w:pPr>
        <w:jc w:val="both"/>
        <w:rPr>
          <w:sz w:val="22"/>
          <w:szCs w:val="22"/>
          <w:lang w:val="en-GB"/>
        </w:rPr>
      </w:pPr>
      <w:r w:rsidRPr="006B78CD">
        <w:rPr>
          <w:sz w:val="22"/>
          <w:szCs w:val="22"/>
          <w:lang w:val="en-GB"/>
        </w:rPr>
        <w:t xml:space="preserve">In the early 1970s, Marchands Ro-Na established a new head office in Boucherville, a suburb of Montreal, Quebec. </w:t>
      </w:r>
      <w:r w:rsidR="00490D2A">
        <w:rPr>
          <w:sz w:val="22"/>
          <w:szCs w:val="22"/>
          <w:lang w:val="en-GB"/>
        </w:rPr>
        <w:t>T</w:t>
      </w:r>
      <w:r w:rsidRPr="006B78CD">
        <w:rPr>
          <w:sz w:val="22"/>
          <w:szCs w:val="22"/>
          <w:lang w:val="en-GB"/>
        </w:rPr>
        <w:t>o optimize supply and distribution operations, it built a new warehouse equipped with state-of-the-art technology. Revenues rose sharply, reaching $204 million in 1980. Subsequently, Marchands Ro-Na acquired 36 Botanix nurseries with a turnover of $18 million in 1982.</w:t>
      </w:r>
      <w:r w:rsidR="00C30CC2">
        <w:rPr>
          <w:sz w:val="22"/>
          <w:szCs w:val="22"/>
          <w:lang w:val="en-GB"/>
        </w:rPr>
        <w:t xml:space="preserve"> </w:t>
      </w:r>
      <w:r w:rsidRPr="006B78CD">
        <w:rPr>
          <w:sz w:val="22"/>
          <w:szCs w:val="22"/>
          <w:lang w:val="en-GB"/>
        </w:rPr>
        <w:t>It entered into a strategic alliance with Home Hardware Stores Ltd. (Home Hardware) in 1984. In 1988, it merged its activities with Groupe Dismat Inc. and took the name Groupe Ro-Na Dismat Inc. (Ro-Na Dismat). By 1989, sales had reached $560 million, and Ro-Na Dismat had 616 affiliated members.</w:t>
      </w:r>
      <w:r w:rsidRPr="006B78CD">
        <w:rPr>
          <w:rStyle w:val="EndnoteReference"/>
          <w:sz w:val="22"/>
          <w:szCs w:val="22"/>
          <w:lang w:val="en-GB"/>
        </w:rPr>
        <w:endnoteReference w:id="13"/>
      </w:r>
    </w:p>
    <w:p w14:paraId="4E1DE80B" w14:textId="77777777" w:rsidR="00B97A57" w:rsidRPr="006B78CD" w:rsidRDefault="00B97A57" w:rsidP="00264ED8">
      <w:pPr>
        <w:rPr>
          <w:sz w:val="22"/>
          <w:szCs w:val="22"/>
          <w:lang w:val="en-GB"/>
        </w:rPr>
      </w:pPr>
    </w:p>
    <w:p w14:paraId="6C5BBF71" w14:textId="65DE7CD9" w:rsidR="00B97A57" w:rsidRPr="006B78CD" w:rsidRDefault="00B97A57" w:rsidP="00264ED8">
      <w:pPr>
        <w:pStyle w:val="BodyTextMain"/>
        <w:rPr>
          <w:lang w:val="en-GB"/>
        </w:rPr>
      </w:pPr>
      <w:r w:rsidRPr="006B78CD">
        <w:rPr>
          <w:lang w:val="en-GB"/>
        </w:rPr>
        <w:t>The 1990s marked big changes for this company as well as for the whole retail sector. In May 1992, Robert Dutton, who had joined the company as a retail price analyst in 1978, became Ro-Na Dismat’s new chief executive officer</w:t>
      </w:r>
      <w:r w:rsidR="006E2C40">
        <w:rPr>
          <w:lang w:val="en-GB"/>
        </w:rPr>
        <w:t xml:space="preserve"> (CEO)</w:t>
      </w:r>
      <w:r w:rsidRPr="006B78CD">
        <w:rPr>
          <w:lang w:val="en-GB"/>
        </w:rPr>
        <w:t>. An outstanding communicator, Dutton eagerly took up the challenge of creating a common and unifying vision for the company.</w:t>
      </w:r>
      <w:r w:rsidRPr="006B78CD">
        <w:rPr>
          <w:rStyle w:val="EndnoteReference"/>
          <w:lang w:val="en-GB"/>
        </w:rPr>
        <w:endnoteReference w:id="14"/>
      </w:r>
    </w:p>
    <w:p w14:paraId="16CC3CE7" w14:textId="77777777" w:rsidR="00B97A57" w:rsidRPr="006B78CD" w:rsidRDefault="00B97A57" w:rsidP="00264ED8">
      <w:pPr>
        <w:pStyle w:val="BodyTextMain"/>
        <w:rPr>
          <w:lang w:val="en-GB"/>
        </w:rPr>
      </w:pPr>
    </w:p>
    <w:p w14:paraId="34491E4B" w14:textId="2138AAFE" w:rsidR="00B97A57" w:rsidRPr="006B78CD" w:rsidRDefault="00B97A57" w:rsidP="00264ED8">
      <w:pPr>
        <w:pStyle w:val="BodyTextMain"/>
        <w:rPr>
          <w:lang w:val="en-GB"/>
        </w:rPr>
      </w:pPr>
      <w:r w:rsidRPr="006B78CD">
        <w:rPr>
          <w:lang w:val="en-GB"/>
        </w:rPr>
        <w:t>Not long after Dutton took office, a competitor proposed a new store concept and opened the first Réno-Dépôt, a warehouse store. Dutton was quick to respond to this offensive and opened the first RONA L’entrepôt in 1994. This store concept offered both renovation and décor products and targeted a largely female clientele. To differentiate it from other Ro-Na Dismat stores, this store adopted different banners. For example, RONA Express and RONA Express Lumber replaced the banners Dismat and Le Quincailleur; however, these two new banners then disappeared. Dutton observed new shopping trends, and the company invested in an informational website.</w:t>
      </w:r>
      <w:r w:rsidR="004B49F0">
        <w:rPr>
          <w:rStyle w:val="EndnoteReference"/>
          <w:lang w:val="en-GB"/>
        </w:rPr>
        <w:endnoteReference w:id="15"/>
      </w:r>
    </w:p>
    <w:p w14:paraId="741BFBCF" w14:textId="77777777" w:rsidR="00B97A57" w:rsidRPr="006B78CD" w:rsidRDefault="00B97A57" w:rsidP="00264ED8">
      <w:pPr>
        <w:pStyle w:val="BodyTextMain"/>
        <w:rPr>
          <w:lang w:val="en-GB"/>
        </w:rPr>
      </w:pPr>
    </w:p>
    <w:p w14:paraId="709828DC" w14:textId="314C72F6" w:rsidR="00B97A57" w:rsidRPr="006B78CD" w:rsidRDefault="00B97A57" w:rsidP="00264ED8">
      <w:pPr>
        <w:pStyle w:val="BodyTextMain"/>
        <w:rPr>
          <w:lang w:val="en-GB"/>
        </w:rPr>
      </w:pPr>
      <w:r w:rsidRPr="006B78CD">
        <w:rPr>
          <w:lang w:val="en-GB"/>
        </w:rPr>
        <w:t xml:space="preserve">In 1998, the retailer finally adopted the legal name RONA Inc. (RONA), and between 2000 and 2010, RONA made several acquisitions, opened new franchise stores, and added affiliated stores to its network (see Exhibit 1). The goal was to consolidate the Canadian market. At the end of 2012, RONA had 822 stores in Canada (291 corporates, 20 franchises, and 511 affiliates), including about 500 in Quebec. RONA was present in all store types and had consolidated </w:t>
      </w:r>
      <w:r w:rsidR="002F417B">
        <w:rPr>
          <w:lang w:val="en-GB"/>
        </w:rPr>
        <w:t xml:space="preserve">sales </w:t>
      </w:r>
      <w:r w:rsidRPr="006B78CD">
        <w:rPr>
          <w:lang w:val="en-GB"/>
        </w:rPr>
        <w:t>of $</w:t>
      </w:r>
      <w:r w:rsidR="002F417B">
        <w:rPr>
          <w:lang w:val="en-GB"/>
        </w:rPr>
        <w:t>4.9</w:t>
      </w:r>
      <w:r w:rsidR="002F417B" w:rsidRPr="006B78CD" w:rsidDel="002F417B">
        <w:rPr>
          <w:lang w:val="en-GB"/>
        </w:rPr>
        <w:t xml:space="preserve"> </w:t>
      </w:r>
      <w:r w:rsidRPr="006B78CD">
        <w:rPr>
          <w:lang w:val="en-GB"/>
        </w:rPr>
        <w:t>billion.</w:t>
      </w:r>
      <w:r w:rsidRPr="006B78CD">
        <w:rPr>
          <w:rStyle w:val="EndnoteReference"/>
          <w:color w:val="000000" w:themeColor="text1"/>
          <w:lang w:val="en-GB"/>
        </w:rPr>
        <w:endnoteReference w:id="16"/>
      </w:r>
      <w:r w:rsidRPr="006B78CD">
        <w:rPr>
          <w:lang w:val="en-GB"/>
        </w:rPr>
        <w:t xml:space="preserve"> With a staff of</w:t>
      </w:r>
      <w:r w:rsidR="00C30CC2">
        <w:rPr>
          <w:lang w:val="en-GB"/>
        </w:rPr>
        <w:t xml:space="preserve"> </w:t>
      </w:r>
      <w:r w:rsidR="002F417B">
        <w:rPr>
          <w:lang w:val="en-GB"/>
        </w:rPr>
        <w:t>28</w:t>
      </w:r>
      <w:r w:rsidRPr="006B78CD">
        <w:rPr>
          <w:lang w:val="en-GB"/>
        </w:rPr>
        <w:t xml:space="preserve">,000, RONA was the Canadian leader in </w:t>
      </w:r>
      <w:r w:rsidR="001F4675">
        <w:rPr>
          <w:lang w:val="en-GB"/>
        </w:rPr>
        <w:t xml:space="preserve">the </w:t>
      </w:r>
      <w:r w:rsidRPr="006B78CD">
        <w:rPr>
          <w:lang w:val="en-GB"/>
        </w:rPr>
        <w:t>wholesale and retail distribution of home improvement, hardware, construction, plumbing, home décor, garden furniture, horticulture, and gardening products.</w:t>
      </w:r>
      <w:r w:rsidRPr="006B78CD">
        <w:rPr>
          <w:rStyle w:val="EndnoteReference"/>
          <w:color w:val="000000" w:themeColor="text1"/>
          <w:lang w:val="en-GB"/>
        </w:rPr>
        <w:endnoteReference w:id="17"/>
      </w:r>
    </w:p>
    <w:p w14:paraId="18647915" w14:textId="77777777" w:rsidR="00B97A57" w:rsidRPr="006B78CD" w:rsidRDefault="00B97A57" w:rsidP="00264ED8">
      <w:pPr>
        <w:pStyle w:val="BodyTextMain"/>
        <w:rPr>
          <w:lang w:val="en-GB"/>
        </w:rPr>
      </w:pPr>
    </w:p>
    <w:p w14:paraId="198A91F7" w14:textId="77777777" w:rsidR="00B97A57" w:rsidRPr="006B78CD" w:rsidRDefault="00B97A57" w:rsidP="00264ED8">
      <w:pPr>
        <w:pStyle w:val="BodyTextMain"/>
        <w:rPr>
          <w:lang w:val="en-GB"/>
        </w:rPr>
      </w:pPr>
    </w:p>
    <w:p w14:paraId="6185E987" w14:textId="58837707" w:rsidR="00B97A57" w:rsidRPr="006B78CD" w:rsidRDefault="00B97A57" w:rsidP="005841B9">
      <w:pPr>
        <w:pStyle w:val="Casehead2"/>
        <w:rPr>
          <w:lang w:val="en-GB"/>
        </w:rPr>
      </w:pPr>
      <w:r w:rsidRPr="006B78CD">
        <w:rPr>
          <w:lang w:val="en-GB"/>
        </w:rPr>
        <w:t>Elbowing its Way into the Big League</w:t>
      </w:r>
    </w:p>
    <w:p w14:paraId="695CC425"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26DDB30F" w14:textId="26A8AB2E" w:rsidR="00B97A57" w:rsidRDefault="00B97A57" w:rsidP="00264ED8">
      <w:pPr>
        <w:pStyle w:val="BodyTextMain"/>
        <w:rPr>
          <w:lang w:val="en-GB"/>
        </w:rPr>
      </w:pPr>
      <w:r w:rsidRPr="00A15E70">
        <w:rPr>
          <w:spacing w:val="-2"/>
          <w:kern w:val="22"/>
          <w:lang w:val="en-GB"/>
        </w:rPr>
        <w:t xml:space="preserve">RONA operated across Canada in a retail market that was highly segmented based on characteristics such as size, the variety of products and services offered, price promotion, and location. Retail store sizes ranged </w:t>
      </w:r>
      <w:r w:rsidR="00BE2AEB" w:rsidRPr="00A15E70">
        <w:rPr>
          <w:spacing w:val="-2"/>
          <w:kern w:val="22"/>
          <w:lang w:val="en-GB"/>
        </w:rPr>
        <w:t>from approximately 1,400 to 9,29</w:t>
      </w:r>
      <w:r w:rsidRPr="00A15E70">
        <w:rPr>
          <w:spacing w:val="-2"/>
          <w:kern w:val="22"/>
          <w:lang w:val="en-GB"/>
        </w:rPr>
        <w:t xml:space="preserve">0 square </w:t>
      </w:r>
      <w:r w:rsidR="00BE2AEB" w:rsidRPr="00A15E70">
        <w:rPr>
          <w:spacing w:val="-2"/>
          <w:kern w:val="22"/>
          <w:lang w:val="en-GB"/>
        </w:rPr>
        <w:t>metres (15,000–100</w:t>
      </w:r>
      <w:r w:rsidRPr="00A15E70">
        <w:rPr>
          <w:spacing w:val="-2"/>
          <w:kern w:val="22"/>
          <w:lang w:val="en-GB"/>
        </w:rPr>
        <w:t>,000 square feet). Very large</w:t>
      </w:r>
      <w:r w:rsidR="00B16232" w:rsidRPr="00A15E70">
        <w:rPr>
          <w:spacing w:val="-2"/>
          <w:kern w:val="22"/>
          <w:lang w:val="en-GB"/>
        </w:rPr>
        <w:t xml:space="preserve"> big-box</w:t>
      </w:r>
      <w:r w:rsidRPr="00A15E70">
        <w:rPr>
          <w:spacing w:val="-2"/>
          <w:kern w:val="22"/>
          <w:lang w:val="en-GB"/>
        </w:rPr>
        <w:t xml:space="preserve"> stores boasted offerings of up to 40,000 stock-keeping units (SKUs) and a multitude of services; mid-sized stores (e.g., “mom and pop” hardware stores) offered fewer products and services; and specialty stores (e.g., lumber yards) had fewer</w:t>
      </w:r>
      <w:r w:rsidR="001F4675" w:rsidRPr="00A15E70">
        <w:rPr>
          <w:spacing w:val="-2"/>
          <w:kern w:val="22"/>
          <w:lang w:val="en-GB"/>
        </w:rPr>
        <w:t xml:space="preserve"> still</w:t>
      </w:r>
      <w:r w:rsidRPr="00A15E70">
        <w:rPr>
          <w:spacing w:val="-2"/>
          <w:kern w:val="22"/>
          <w:lang w:val="en-GB"/>
        </w:rPr>
        <w:t>. The warehouse store segment emphasized price promotions, offering fewer products and services but unbeatable prices. Express stores (proximity stores) served urban areas. RONA controlled 19 per cent of the market, ahead of Home Depot of Canada Inc. (Home Depot) and Lowe’s Canada in 2012. General merchandise retailers held 22 per cent and were dominated by Canadian Tire Corporation, Ltd. (Canadian Tire)</w:t>
      </w:r>
      <w:r w:rsidR="001F4675" w:rsidRPr="00A15E70">
        <w:rPr>
          <w:spacing w:val="-2"/>
          <w:kern w:val="22"/>
          <w:lang w:val="en-GB"/>
        </w:rPr>
        <w:t>,</w:t>
      </w:r>
      <w:r w:rsidRPr="00A15E70">
        <w:rPr>
          <w:spacing w:val="-2"/>
          <w:kern w:val="22"/>
          <w:lang w:val="en-GB"/>
        </w:rPr>
        <w:t xml:space="preserve"> at 13 per cent.</w:t>
      </w:r>
      <w:r w:rsidRPr="00A15E70">
        <w:rPr>
          <w:rStyle w:val="EndnoteReference"/>
          <w:color w:val="000000" w:themeColor="text1"/>
          <w:spacing w:val="-2"/>
          <w:kern w:val="22"/>
          <w:lang w:val="en-GB"/>
        </w:rPr>
        <w:endnoteReference w:id="18"/>
      </w:r>
      <w:r w:rsidRPr="00A15E70">
        <w:rPr>
          <w:spacing w:val="-2"/>
          <w:kern w:val="22"/>
          <w:lang w:val="en-GB"/>
        </w:rPr>
        <w:t xml:space="preserve"> Other smaller hardware chains and independent hardware stores shared what was left (see Exhibit 2). Quebec remained the largest market for RONA (see Exhibit 3</w:t>
      </w:r>
      <w:r w:rsidR="00BF7F14">
        <w:rPr>
          <w:lang w:val="en-GB"/>
        </w:rPr>
        <w:t>).</w:t>
      </w:r>
    </w:p>
    <w:p w14:paraId="1701A213" w14:textId="1DB18E1F" w:rsidR="00B97A57" w:rsidRPr="006B78CD" w:rsidRDefault="00B97A57" w:rsidP="00DC72DD">
      <w:pPr>
        <w:pStyle w:val="Casehead1"/>
        <w:rPr>
          <w:lang w:val="en-GB"/>
        </w:rPr>
      </w:pPr>
      <w:r w:rsidRPr="006B78CD">
        <w:rPr>
          <w:lang w:val="en-GB"/>
        </w:rPr>
        <w:lastRenderedPageBreak/>
        <w:t>Canadian Competition</w:t>
      </w:r>
    </w:p>
    <w:p w14:paraId="6EED3906" w14:textId="77777777" w:rsidR="00B97A57" w:rsidRPr="006B78CD" w:rsidRDefault="00B97A57" w:rsidP="00264ED8">
      <w:pPr>
        <w:pStyle w:val="BodyTextMain"/>
        <w:rPr>
          <w:lang w:val="en-GB"/>
        </w:rPr>
      </w:pPr>
    </w:p>
    <w:p w14:paraId="3FA60750" w14:textId="4CB809DE" w:rsidR="00B97A57" w:rsidRPr="006B78CD" w:rsidRDefault="00B97A57" w:rsidP="00264ED8">
      <w:pPr>
        <w:pStyle w:val="BodyTextMain"/>
        <w:rPr>
          <w:lang w:val="en-GB"/>
        </w:rPr>
      </w:pPr>
      <w:r w:rsidRPr="006B78CD">
        <w:rPr>
          <w:lang w:val="en-GB"/>
        </w:rPr>
        <w:t>Below is a brief portrait of RONA’s competitors across Canada.</w:t>
      </w:r>
    </w:p>
    <w:p w14:paraId="4B5F6A15" w14:textId="77777777" w:rsidR="00B97A57" w:rsidRPr="006B78CD" w:rsidRDefault="00B97A57" w:rsidP="00DC72DD">
      <w:pPr>
        <w:pStyle w:val="Casehead3"/>
        <w:rPr>
          <w:lang w:val="en-GB"/>
        </w:rPr>
      </w:pPr>
    </w:p>
    <w:p w14:paraId="19B7D471" w14:textId="77777777" w:rsidR="00B97A57" w:rsidRPr="006B78CD" w:rsidRDefault="00B97A57" w:rsidP="00DC72DD">
      <w:pPr>
        <w:pStyle w:val="Casehead3"/>
        <w:rPr>
          <w:lang w:val="en-GB"/>
        </w:rPr>
      </w:pPr>
    </w:p>
    <w:p w14:paraId="018984DE" w14:textId="110255CA" w:rsidR="00B97A57" w:rsidRPr="006B78CD" w:rsidRDefault="00B97A57" w:rsidP="00DC72DD">
      <w:pPr>
        <w:pStyle w:val="Casehead2"/>
        <w:rPr>
          <w:lang w:val="en-GB"/>
        </w:rPr>
      </w:pPr>
      <w:r w:rsidRPr="006B78CD">
        <w:rPr>
          <w:lang w:val="en-GB"/>
        </w:rPr>
        <w:t>Home Depot</w:t>
      </w:r>
    </w:p>
    <w:p w14:paraId="02217A69" w14:textId="77777777" w:rsidR="00B97A57" w:rsidRPr="006B78CD" w:rsidRDefault="00B97A57" w:rsidP="00264ED8">
      <w:pPr>
        <w:pStyle w:val="BodyTextMain"/>
        <w:rPr>
          <w:lang w:val="en-GB"/>
        </w:rPr>
      </w:pPr>
    </w:p>
    <w:p w14:paraId="675258CB" w14:textId="79686343" w:rsidR="00B97A57" w:rsidRPr="006B78CD" w:rsidRDefault="00B97A57" w:rsidP="00264ED8">
      <w:pPr>
        <w:pStyle w:val="BodyTextMain"/>
        <w:rPr>
          <w:lang w:val="en-GB"/>
        </w:rPr>
      </w:pPr>
      <w:r w:rsidRPr="006B78CD">
        <w:rPr>
          <w:lang w:val="en-GB"/>
        </w:rPr>
        <w:t>This company made inroads in Canada in 1994 by acquiring five Aikenhead’s Home Improvement Warehouse retail outlets from Molson Inc.</w:t>
      </w:r>
      <w:r w:rsidRPr="006B78CD">
        <w:rPr>
          <w:rStyle w:val="EndnoteReference"/>
          <w:color w:val="000000" w:themeColor="text1"/>
          <w:lang w:val="en-GB"/>
        </w:rPr>
        <w:endnoteReference w:id="19"/>
      </w:r>
      <w:r w:rsidRPr="006B78CD">
        <w:rPr>
          <w:lang w:val="en-GB"/>
        </w:rPr>
        <w:t xml:space="preserve"> It opened its first Home Depot store in Quebec in 2000. By the end of 2012, Home Depot had 180 big-box stores, including 22 in Quebec. Its main strategic goals were to focus on an excellent customer experience; an integrated management system (i.e., supply and availability); competitive prices; and a wide range of products (e.g., major appliances). The company’s transactional website in Canada also benefited from </w:t>
      </w:r>
      <w:r w:rsidR="001F4675">
        <w:rPr>
          <w:lang w:val="en-GB"/>
        </w:rPr>
        <w:t xml:space="preserve">the </w:t>
      </w:r>
      <w:r w:rsidRPr="006B78CD">
        <w:rPr>
          <w:lang w:val="en-GB"/>
        </w:rPr>
        <w:t>many upgrades made to its U.S. site.</w:t>
      </w:r>
      <w:r w:rsidRPr="006B78CD">
        <w:rPr>
          <w:rStyle w:val="EndnoteReference"/>
          <w:lang w:val="en-GB"/>
        </w:rPr>
        <w:endnoteReference w:id="20"/>
      </w:r>
    </w:p>
    <w:p w14:paraId="730F676F" w14:textId="77777777" w:rsidR="00B97A57" w:rsidRPr="006B78CD" w:rsidRDefault="00B97A57" w:rsidP="00264ED8">
      <w:pPr>
        <w:pStyle w:val="BodyTextMain"/>
        <w:rPr>
          <w:lang w:val="en-GB"/>
        </w:rPr>
      </w:pPr>
    </w:p>
    <w:p w14:paraId="34B362B5" w14:textId="77777777" w:rsidR="00B97A57" w:rsidRPr="006B78CD" w:rsidRDefault="00B97A57" w:rsidP="00264ED8">
      <w:pPr>
        <w:pStyle w:val="BodyTextMain"/>
        <w:rPr>
          <w:lang w:val="en-GB"/>
        </w:rPr>
      </w:pPr>
    </w:p>
    <w:p w14:paraId="6C63ECF1" w14:textId="4C12C821" w:rsidR="00B97A57" w:rsidRPr="006B78CD" w:rsidRDefault="00B97A57" w:rsidP="00DC72DD">
      <w:pPr>
        <w:pStyle w:val="Casehead2"/>
        <w:rPr>
          <w:lang w:val="en-GB"/>
        </w:rPr>
      </w:pPr>
      <w:r w:rsidRPr="006B78CD">
        <w:rPr>
          <w:lang w:val="en-GB"/>
        </w:rPr>
        <w:t>Lowe’s Canada</w:t>
      </w:r>
    </w:p>
    <w:p w14:paraId="371154B1" w14:textId="77777777" w:rsidR="00B97A57" w:rsidRPr="006B78CD" w:rsidRDefault="00B97A57" w:rsidP="00DC72DD">
      <w:pPr>
        <w:pStyle w:val="BodyTextMain"/>
        <w:keepNext/>
        <w:keepLines/>
        <w:rPr>
          <w:lang w:val="en-GB"/>
        </w:rPr>
      </w:pPr>
    </w:p>
    <w:p w14:paraId="5D253FC2" w14:textId="6C89E801" w:rsidR="00B97A57" w:rsidRPr="006B78CD" w:rsidRDefault="00B97A57" w:rsidP="00DC72DD">
      <w:pPr>
        <w:pStyle w:val="BodyTextMain"/>
        <w:keepNext/>
        <w:keepLines/>
        <w:rPr>
          <w:lang w:val="en-GB"/>
        </w:rPr>
      </w:pPr>
      <w:r w:rsidRPr="006B78CD">
        <w:rPr>
          <w:lang w:val="en-GB"/>
        </w:rPr>
        <w:t xml:space="preserve">Lowe’s entry in the Canadian market in 2007 was ambitious. </w:t>
      </w:r>
      <w:r w:rsidR="001F4675">
        <w:rPr>
          <w:lang w:val="en-GB"/>
        </w:rPr>
        <w:t>The company</w:t>
      </w:r>
      <w:r w:rsidRPr="006B78CD">
        <w:rPr>
          <w:lang w:val="en-GB"/>
        </w:rPr>
        <w:t xml:space="preserve"> opened three big-box stores in Ontario in one day. A few weeks later, it opened three more big-box stores—again, in Ontario—and then gradually expanded into western Canada. However, Lowe’s goal of 100 retail outlets was too difficult to achieve because its two main competitors, RONA and Home Depot, had already taken</w:t>
      </w:r>
      <w:r w:rsidRPr="006B78CD" w:rsidDel="009452B1">
        <w:rPr>
          <w:lang w:val="en-GB"/>
        </w:rPr>
        <w:t xml:space="preserve"> </w:t>
      </w:r>
      <w:r w:rsidRPr="006B78CD">
        <w:rPr>
          <w:lang w:val="en-GB"/>
        </w:rPr>
        <w:t>the best commercial sites. As a result, the performance of Lowe’s Canada did not measure up to the parent company’s expectations. At the end of 2012, Lowe’s Canada was operating 34 big-box stores and had no presence in Quebec or the Maritimes</w:t>
      </w:r>
      <w:r w:rsidR="001F4675">
        <w:rPr>
          <w:lang w:val="en-GB"/>
        </w:rPr>
        <w:t xml:space="preserve"> </w:t>
      </w:r>
      <w:r w:rsidR="001F4675" w:rsidRPr="006B78CD">
        <w:rPr>
          <w:lang w:val="en-GB"/>
        </w:rPr>
        <w:t>(New Brunswick, Nova Scotia, and Prince Edward Island)</w:t>
      </w:r>
      <w:r w:rsidRPr="006B78CD">
        <w:rPr>
          <w:lang w:val="en-GB"/>
        </w:rPr>
        <w:t>. Lowe’s stores in Canada adopted the marketing approach of the U.S. parent company. They offered quality products at competitive prices and focused on superior customer service. The company stood out by selling major appliances and running an efficient transactional website. Lowe’s stores in Canada were committed to improving the brand experience by leveraging the total value offered to customers.</w:t>
      </w:r>
      <w:r w:rsidRPr="006B78CD">
        <w:rPr>
          <w:rStyle w:val="EndnoteReference"/>
          <w:lang w:val="en-GB"/>
        </w:rPr>
        <w:endnoteReference w:id="21"/>
      </w:r>
      <w:r w:rsidRPr="006B78CD">
        <w:rPr>
          <w:lang w:val="en-GB"/>
        </w:rPr>
        <w:t xml:space="preserve"> </w:t>
      </w:r>
    </w:p>
    <w:p w14:paraId="790BD169" w14:textId="77777777" w:rsidR="00B97A57" w:rsidRPr="006B78CD" w:rsidRDefault="00B97A57" w:rsidP="00264ED8">
      <w:pPr>
        <w:pStyle w:val="BodyTextMain"/>
        <w:rPr>
          <w:lang w:val="en-GB"/>
        </w:rPr>
      </w:pPr>
    </w:p>
    <w:p w14:paraId="4CCE077A" w14:textId="77777777" w:rsidR="00B97A57" w:rsidRPr="006B78CD" w:rsidRDefault="00B97A57" w:rsidP="00264ED8">
      <w:pPr>
        <w:pStyle w:val="BodyTextMain"/>
        <w:rPr>
          <w:lang w:val="en-GB"/>
        </w:rPr>
      </w:pPr>
    </w:p>
    <w:p w14:paraId="0FB88326" w14:textId="1F8B020D" w:rsidR="00B97A57" w:rsidRPr="006B78CD" w:rsidRDefault="00B97A57" w:rsidP="00DC72DD">
      <w:pPr>
        <w:pStyle w:val="Casehead2"/>
        <w:rPr>
          <w:lang w:val="en-GB"/>
        </w:rPr>
      </w:pPr>
      <w:r w:rsidRPr="006B78CD">
        <w:rPr>
          <w:lang w:val="en-GB"/>
        </w:rPr>
        <w:t>Home Hardware</w:t>
      </w:r>
    </w:p>
    <w:p w14:paraId="78F86C39" w14:textId="77777777" w:rsidR="00B97A57" w:rsidRPr="006B78CD" w:rsidRDefault="00B97A57" w:rsidP="00264ED8">
      <w:pPr>
        <w:pStyle w:val="BodyTextMain"/>
        <w:rPr>
          <w:lang w:val="en-GB"/>
        </w:rPr>
      </w:pPr>
    </w:p>
    <w:p w14:paraId="556DA47A" w14:textId="011719B5" w:rsidR="00B97A57" w:rsidRPr="006B78CD" w:rsidRDefault="00B97A57" w:rsidP="00264ED8">
      <w:pPr>
        <w:pStyle w:val="BodyTextMain"/>
        <w:rPr>
          <w:lang w:val="en-GB"/>
        </w:rPr>
      </w:pPr>
      <w:r w:rsidRPr="006B78CD">
        <w:rPr>
          <w:lang w:val="en-GB"/>
        </w:rPr>
        <w:t>This 100</w:t>
      </w:r>
      <w:r w:rsidR="001F4675">
        <w:rPr>
          <w:lang w:val="en-GB"/>
        </w:rPr>
        <w:t>-</w:t>
      </w:r>
      <w:r w:rsidRPr="006B78CD">
        <w:rPr>
          <w:lang w:val="en-GB"/>
        </w:rPr>
        <w:t>per</w:t>
      </w:r>
      <w:r w:rsidR="001F4675">
        <w:rPr>
          <w:lang w:val="en-GB"/>
        </w:rPr>
        <w:t>-</w:t>
      </w:r>
      <w:r w:rsidRPr="006B78CD">
        <w:rPr>
          <w:lang w:val="en-GB"/>
        </w:rPr>
        <w:t>cent Canadian retailer was a co</w:t>
      </w:r>
      <w:r w:rsidR="001F4675">
        <w:rPr>
          <w:lang w:val="en-GB"/>
        </w:rPr>
        <w:t>-</w:t>
      </w:r>
      <w:r w:rsidRPr="006B78CD">
        <w:rPr>
          <w:lang w:val="en-GB"/>
        </w:rPr>
        <w:t>operative of more than 1,000 independent dealer–owned stores across Canada. Home Hardware operated under four banners: Home Hardware, Home Hardware Building Centre, Home Building Centre,</w:t>
      </w:r>
      <w:r w:rsidRPr="006B78CD" w:rsidDel="00DF7299">
        <w:rPr>
          <w:lang w:val="en-GB"/>
        </w:rPr>
        <w:t xml:space="preserve"> </w:t>
      </w:r>
      <w:r w:rsidRPr="006B78CD">
        <w:rPr>
          <w:lang w:val="en-GB"/>
        </w:rPr>
        <w:t>and Home Furniture. It was present in the market with both mid-sized home hardware stores (Home Hardware, Home Hardware Building Centre), and specialist stores (Home Building Centre</w:t>
      </w:r>
      <w:r w:rsidRPr="006B78CD" w:rsidDel="00DF7299">
        <w:rPr>
          <w:lang w:val="en-GB"/>
        </w:rPr>
        <w:t xml:space="preserve"> </w:t>
      </w:r>
      <w:r w:rsidRPr="006B78CD">
        <w:rPr>
          <w:lang w:val="en-GB"/>
        </w:rPr>
        <w:t>and Home Furniture). Home Hardware was Canada’s largest independent home improvement group; its annual revenues were estimated at $5 billion at the end of 2012. Its market positioning, based on the advertising slogan “Home owners helping home owners,” demonstrated its commitment to strong, personalized customer service. Home Hardware’s strategic alliance with RONA, signed in 1984, dissolved in the mid-2000s.</w:t>
      </w:r>
      <w:r w:rsidRPr="006B78CD">
        <w:rPr>
          <w:rStyle w:val="EndnoteReference"/>
          <w:lang w:val="en-GB"/>
        </w:rPr>
        <w:endnoteReference w:id="22"/>
      </w:r>
    </w:p>
    <w:p w14:paraId="6A4BB58F" w14:textId="77777777" w:rsidR="00B97A57" w:rsidRPr="006B78CD" w:rsidRDefault="00B97A57" w:rsidP="00264ED8">
      <w:pPr>
        <w:pStyle w:val="BodyTextMain"/>
        <w:rPr>
          <w:lang w:val="en-GB"/>
        </w:rPr>
      </w:pPr>
    </w:p>
    <w:p w14:paraId="7C25AF96" w14:textId="77777777" w:rsidR="00B97A57" w:rsidRPr="006B78CD" w:rsidRDefault="00B97A57" w:rsidP="00264ED8">
      <w:pPr>
        <w:pStyle w:val="BodyTextMain"/>
        <w:rPr>
          <w:lang w:val="en-GB"/>
        </w:rPr>
      </w:pPr>
    </w:p>
    <w:p w14:paraId="26AB1275" w14:textId="0484F213" w:rsidR="00B97A57" w:rsidRPr="006B78CD" w:rsidRDefault="00B97A57" w:rsidP="00DC72DD">
      <w:pPr>
        <w:pStyle w:val="Casehead2"/>
        <w:rPr>
          <w:lang w:val="en-GB"/>
        </w:rPr>
      </w:pPr>
      <w:r w:rsidRPr="006B78CD">
        <w:rPr>
          <w:lang w:val="en-GB"/>
        </w:rPr>
        <w:t>Groupe BMR Inc. (BMR)</w:t>
      </w:r>
    </w:p>
    <w:p w14:paraId="0D4DC906" w14:textId="77777777" w:rsidR="00B97A57" w:rsidRPr="006B78CD" w:rsidRDefault="00B97A57" w:rsidP="00264ED8">
      <w:pPr>
        <w:pStyle w:val="BodyTextMain"/>
        <w:rPr>
          <w:lang w:val="en-GB"/>
        </w:rPr>
      </w:pPr>
    </w:p>
    <w:p w14:paraId="75811599" w14:textId="6E41D545" w:rsidR="00B97A57" w:rsidRDefault="00B97A57" w:rsidP="00264ED8">
      <w:pPr>
        <w:pStyle w:val="BodyTextMain"/>
        <w:rPr>
          <w:lang w:val="en-GB"/>
        </w:rPr>
      </w:pPr>
      <w:r w:rsidRPr="006B78CD">
        <w:rPr>
          <w:lang w:val="en-GB"/>
        </w:rPr>
        <w:t xml:space="preserve">BMR’s 180 independent, affiliated merchants operated in Quebec, Ontario, and the Maritimes. With annual sales estimated at $1.3 billion, BMR was an important banner. The group was mostly present outside major urban </w:t>
      </w:r>
      <w:r w:rsidR="00596334" w:rsidRPr="006B78CD">
        <w:rPr>
          <w:lang w:val="en-GB"/>
        </w:rPr>
        <w:t>centres</w:t>
      </w:r>
      <w:r w:rsidRPr="006B78CD">
        <w:rPr>
          <w:lang w:val="en-GB"/>
        </w:rPr>
        <w:t xml:space="preserve"> and operated traditional hardware stores, express stores, and specialist stores. Its business model was based on economies of scale that benefited the group members coupled with personalized service that delighted its clientele of individual customers and entrepreneurs.</w:t>
      </w:r>
      <w:r w:rsidRPr="006B78CD">
        <w:rPr>
          <w:rStyle w:val="EndnoteReference"/>
          <w:lang w:val="en-GB"/>
        </w:rPr>
        <w:endnoteReference w:id="23"/>
      </w:r>
    </w:p>
    <w:p w14:paraId="0515EE43" w14:textId="438A8EC0" w:rsidR="00B97A57" w:rsidRPr="006B78CD" w:rsidRDefault="00B97A57" w:rsidP="00DC72DD">
      <w:pPr>
        <w:pStyle w:val="Casehead2"/>
        <w:rPr>
          <w:lang w:val="en-GB"/>
        </w:rPr>
      </w:pPr>
      <w:r w:rsidRPr="006B78CD">
        <w:rPr>
          <w:lang w:val="en-GB"/>
        </w:rPr>
        <w:lastRenderedPageBreak/>
        <w:t>Ace Canada</w:t>
      </w:r>
    </w:p>
    <w:p w14:paraId="132B6D72" w14:textId="77777777" w:rsidR="00B97A57" w:rsidRPr="006B78CD" w:rsidRDefault="00B97A57" w:rsidP="00264ED8">
      <w:pPr>
        <w:pStyle w:val="BodyTextMain"/>
        <w:rPr>
          <w:lang w:val="en-GB"/>
        </w:rPr>
      </w:pPr>
    </w:p>
    <w:p w14:paraId="056050DC" w14:textId="4E1A096F" w:rsidR="00B97A57" w:rsidRPr="006B78CD" w:rsidRDefault="00B97A57" w:rsidP="00264ED8">
      <w:pPr>
        <w:pStyle w:val="BodyTextMain"/>
        <w:rPr>
          <w:lang w:val="en-GB"/>
        </w:rPr>
      </w:pPr>
      <w:r w:rsidRPr="006B78CD">
        <w:rPr>
          <w:lang w:val="en-GB"/>
        </w:rPr>
        <w:t xml:space="preserve">Over the years, Ace Hardware Corporation (Ace) had become one of the largest independent hardware retailers in the world. Users had to purchase the Ace trademark from a supplier chosen by Ace International, one of its divisions. In 2010, the Canadian hardware buying group TIM-BR Marts Ltd. acquired CanWel Hardware from </w:t>
      </w:r>
      <w:r w:rsidRPr="006B78CD">
        <w:rPr>
          <w:shd w:val="clear" w:color="auto" w:fill="FFFFFF"/>
          <w:lang w:val="en-GB"/>
        </w:rPr>
        <w:t>CanWel Building Materials Group Ltd</w:t>
      </w:r>
      <w:r w:rsidR="001F4675">
        <w:rPr>
          <w:shd w:val="clear" w:color="auto" w:fill="FFFFFF"/>
          <w:lang w:val="en-GB"/>
        </w:rPr>
        <w:t>.</w:t>
      </w:r>
      <w:r w:rsidRPr="006B78CD">
        <w:rPr>
          <w:lang w:val="en-GB"/>
        </w:rPr>
        <w:t>, a hardware buying group. As part of this acquisition, TIM-BR</w:t>
      </w:r>
      <w:r w:rsidRPr="006B78CD">
        <w:rPr>
          <w:rStyle w:val="CommentReference"/>
          <w:color w:val="000000" w:themeColor="text1"/>
          <w:sz w:val="22"/>
          <w:szCs w:val="22"/>
          <w:lang w:val="en-GB"/>
        </w:rPr>
        <w:t xml:space="preserve"> </w:t>
      </w:r>
      <w:r w:rsidRPr="006B78CD">
        <w:rPr>
          <w:lang w:val="en-GB"/>
        </w:rPr>
        <w:t xml:space="preserve">Marts Ltd. obtained the Ace brand licence in Canada. At the end of 2012, about 100 ACE Canada proximity hardware stores </w:t>
      </w:r>
      <w:r w:rsidR="001F4675">
        <w:rPr>
          <w:lang w:val="en-GB"/>
        </w:rPr>
        <w:t xml:space="preserve">were </w:t>
      </w:r>
      <w:r w:rsidRPr="006B78CD">
        <w:rPr>
          <w:lang w:val="en-GB"/>
        </w:rPr>
        <w:t>operat</w:t>
      </w:r>
      <w:r w:rsidR="001F4675">
        <w:rPr>
          <w:lang w:val="en-GB"/>
        </w:rPr>
        <w:t>ing</w:t>
      </w:r>
      <w:r w:rsidRPr="006B78CD">
        <w:rPr>
          <w:lang w:val="en-GB"/>
        </w:rPr>
        <w:t xml:space="preserve"> across the country.</w:t>
      </w:r>
      <w:r w:rsidR="00BF7F14" w:rsidRPr="006B78CD">
        <w:rPr>
          <w:rStyle w:val="EndnoteReference"/>
          <w:color w:val="000000" w:themeColor="text1"/>
          <w:lang w:val="en-GB"/>
        </w:rPr>
        <w:endnoteReference w:id="24"/>
      </w:r>
    </w:p>
    <w:p w14:paraId="5B0AAA2A" w14:textId="77777777" w:rsidR="00B97A57" w:rsidRPr="006B78CD" w:rsidRDefault="00B97A57" w:rsidP="00264ED8">
      <w:pPr>
        <w:pStyle w:val="BodyTextMain"/>
        <w:rPr>
          <w:lang w:val="en-GB"/>
        </w:rPr>
      </w:pPr>
    </w:p>
    <w:p w14:paraId="01B4BD18" w14:textId="77777777" w:rsidR="00B97A57" w:rsidRPr="006B78CD" w:rsidRDefault="00B97A57" w:rsidP="00264ED8">
      <w:pPr>
        <w:pStyle w:val="BodyTextMain"/>
        <w:rPr>
          <w:lang w:val="en-GB"/>
        </w:rPr>
      </w:pPr>
    </w:p>
    <w:p w14:paraId="759255C4" w14:textId="7D223C68" w:rsidR="00B97A57" w:rsidRPr="00C30CC2" w:rsidRDefault="00B97A57" w:rsidP="00DC72DD">
      <w:pPr>
        <w:pStyle w:val="Casehead2"/>
        <w:rPr>
          <w:lang w:val="fr-CA"/>
        </w:rPr>
      </w:pPr>
      <w:r w:rsidRPr="00C30CC2">
        <w:rPr>
          <w:lang w:val="fr-CA"/>
        </w:rPr>
        <w:t>La Coop fédérée Unimat (Unimat)</w:t>
      </w:r>
    </w:p>
    <w:p w14:paraId="076325FB" w14:textId="77777777" w:rsidR="00B97A57" w:rsidRPr="00C30CC2" w:rsidRDefault="00B97A57" w:rsidP="00264ED8">
      <w:pPr>
        <w:pStyle w:val="BodyTextMain"/>
        <w:rPr>
          <w:u w:val="single"/>
          <w:lang w:val="fr-CA"/>
        </w:rPr>
      </w:pPr>
    </w:p>
    <w:p w14:paraId="432EE779" w14:textId="2A83C866" w:rsidR="00B97A57" w:rsidRPr="006B78CD" w:rsidRDefault="00B97A57" w:rsidP="00264ED8">
      <w:pPr>
        <w:pStyle w:val="BodyTextMain"/>
        <w:rPr>
          <w:lang w:val="en-GB"/>
        </w:rPr>
      </w:pPr>
      <w:r w:rsidRPr="006B78CD">
        <w:rPr>
          <w:lang w:val="en-GB"/>
        </w:rPr>
        <w:t>Unimat, previously known as Co-op, was a division of La Coop fédérée, a food industry juggernaut with more than $5 billion in revenues. In 2003, its 178 hardware stores of various sizes changed their names to Unimat (a contraction of “united” and “material”). Almost all were independent retailers operating mid-sized hardware stores; there also were some specialist stores (i.e., in the agricultural sector). The Unimat banner was mainly present in suburbs and rural regions. It had stores in Quebec, Ontario, and New Brunswick, and at the end of 2012, its revenues were around $300 million.</w:t>
      </w:r>
      <w:r w:rsidRPr="006B78CD">
        <w:rPr>
          <w:rStyle w:val="EndnoteReference"/>
          <w:lang w:val="en-GB"/>
        </w:rPr>
        <w:endnoteReference w:id="25"/>
      </w:r>
    </w:p>
    <w:p w14:paraId="7972DB1B" w14:textId="77777777" w:rsidR="00B97A57" w:rsidRPr="006B78CD" w:rsidRDefault="00B97A57" w:rsidP="00264ED8">
      <w:pPr>
        <w:pStyle w:val="BodyTextMain"/>
        <w:rPr>
          <w:lang w:val="en-GB"/>
        </w:rPr>
      </w:pPr>
    </w:p>
    <w:p w14:paraId="464C85F5" w14:textId="77777777" w:rsidR="00B97A57" w:rsidRPr="006B78CD" w:rsidRDefault="00B97A57" w:rsidP="00264ED8">
      <w:pPr>
        <w:pStyle w:val="BodyTextMain"/>
        <w:rPr>
          <w:lang w:val="en-GB"/>
        </w:rPr>
      </w:pPr>
    </w:p>
    <w:p w14:paraId="00BBD842" w14:textId="02494AC3" w:rsidR="00B97A57" w:rsidRPr="006B78CD" w:rsidRDefault="00B97A57">
      <w:pPr>
        <w:pStyle w:val="Casehead2"/>
        <w:rPr>
          <w:lang w:val="en-GB"/>
        </w:rPr>
      </w:pPr>
      <w:r w:rsidRPr="006B78CD">
        <w:rPr>
          <w:lang w:val="en-GB"/>
        </w:rPr>
        <w:t>Regional Players in the Home Market</w:t>
      </w:r>
    </w:p>
    <w:p w14:paraId="4163FDB2" w14:textId="77777777" w:rsidR="00B97A57" w:rsidRPr="006B78CD" w:rsidRDefault="00B97A57" w:rsidP="00DC72DD">
      <w:pPr>
        <w:pStyle w:val="BodyTextMain"/>
        <w:rPr>
          <w:lang w:val="en-GB"/>
        </w:rPr>
      </w:pPr>
    </w:p>
    <w:p w14:paraId="465518E7" w14:textId="50C5B9B6" w:rsidR="00B97A57" w:rsidRPr="00C30CC2" w:rsidRDefault="00B97A57" w:rsidP="00DC72DD">
      <w:pPr>
        <w:pStyle w:val="Casehead3"/>
        <w:rPr>
          <w:lang w:val="fr-CA"/>
        </w:rPr>
      </w:pPr>
      <w:r w:rsidRPr="00C30CC2">
        <w:rPr>
          <w:lang w:val="fr-CA"/>
        </w:rPr>
        <w:t>Canac-Grenier Marquis Ltée (Canac)</w:t>
      </w:r>
    </w:p>
    <w:p w14:paraId="7943E689" w14:textId="77777777" w:rsidR="00B97A57" w:rsidRPr="00C30CC2" w:rsidRDefault="00B97A57" w:rsidP="00264ED8">
      <w:pPr>
        <w:pStyle w:val="BodyTextMain"/>
        <w:rPr>
          <w:lang w:val="fr-CA"/>
        </w:rPr>
      </w:pPr>
    </w:p>
    <w:p w14:paraId="34086577" w14:textId="62B7C0F8" w:rsidR="00B97A57" w:rsidRPr="006B78CD" w:rsidRDefault="00B97A57" w:rsidP="00264ED8">
      <w:pPr>
        <w:pStyle w:val="BodyTextMain"/>
        <w:rPr>
          <w:lang w:val="en-GB"/>
        </w:rPr>
      </w:pPr>
      <w:r w:rsidRPr="006B78CD">
        <w:rPr>
          <w:lang w:val="en-GB"/>
        </w:rPr>
        <w:t>This small chain of hardware stores operated 21 mid-sized branches in the Quebec City region. Its expansion strategy was mostly based on acquiring smaller competitors and opening new stores. Canac offered excellent personalized customer service, which was the cornerstone of its market positioning. At the end of 2012, Canac wanted to expand outside its natural geographic market and was eying the metropolitan Montreal market.</w:t>
      </w:r>
      <w:r w:rsidRPr="006B78CD">
        <w:rPr>
          <w:rStyle w:val="EndnoteReference"/>
          <w:color w:val="000000" w:themeColor="text1"/>
          <w:lang w:val="en-GB"/>
        </w:rPr>
        <w:endnoteReference w:id="26"/>
      </w:r>
    </w:p>
    <w:p w14:paraId="60377269" w14:textId="77777777" w:rsidR="00B97A57" w:rsidRDefault="00B97A57" w:rsidP="00264ED8">
      <w:pPr>
        <w:pStyle w:val="BodyTextMain"/>
        <w:rPr>
          <w:lang w:val="en-GB"/>
        </w:rPr>
      </w:pPr>
    </w:p>
    <w:p w14:paraId="40C5BBDC" w14:textId="77777777" w:rsidR="001F4675" w:rsidRPr="006B78CD" w:rsidRDefault="001F4675" w:rsidP="00264ED8">
      <w:pPr>
        <w:pStyle w:val="BodyTextMain"/>
        <w:rPr>
          <w:lang w:val="en-GB"/>
        </w:rPr>
      </w:pPr>
    </w:p>
    <w:p w14:paraId="44B780C4" w14:textId="3E72D9F6" w:rsidR="00B97A57" w:rsidRPr="006B78CD" w:rsidRDefault="00B97A57" w:rsidP="00DC72DD">
      <w:pPr>
        <w:pStyle w:val="Casehead3"/>
        <w:rPr>
          <w:lang w:val="en-GB"/>
        </w:rPr>
      </w:pPr>
      <w:r w:rsidRPr="006B78CD">
        <w:rPr>
          <w:lang w:val="en-GB"/>
        </w:rPr>
        <w:t>Groupe Patrick Morin Inc. (Patrick Morin)</w:t>
      </w:r>
    </w:p>
    <w:p w14:paraId="29D95EE8" w14:textId="77777777" w:rsidR="00B97A57" w:rsidRPr="006B78CD" w:rsidRDefault="00B97A57" w:rsidP="00264ED8">
      <w:pPr>
        <w:pStyle w:val="BodyTextMain"/>
        <w:rPr>
          <w:lang w:val="en-GB"/>
        </w:rPr>
      </w:pPr>
    </w:p>
    <w:p w14:paraId="69E1B505" w14:textId="42F2C44E" w:rsidR="00B97A57" w:rsidRPr="00847EEA" w:rsidRDefault="00B97A57" w:rsidP="00264ED8">
      <w:pPr>
        <w:pStyle w:val="BodyTextMain"/>
        <w:rPr>
          <w:spacing w:val="-2"/>
          <w:lang w:val="en-GB"/>
        </w:rPr>
      </w:pPr>
      <w:r w:rsidRPr="00847EEA">
        <w:rPr>
          <w:spacing w:val="-2"/>
          <w:lang w:val="en-GB"/>
        </w:rPr>
        <w:t>This small group was founded in 1960 in Lanaudière, one of many fast-growing bedroom communities near Montreal. Executives from the second generation of this family-owned company renamed the organization Patrick Morin Group. At the end of 2012, it had 17 mid-sized Patrick Morin hardware stores whose main objective was to offer the best products and services. Its sales by the end of 2012 were around $175 million.</w:t>
      </w:r>
      <w:r w:rsidRPr="00847EEA">
        <w:rPr>
          <w:rStyle w:val="EndnoteReference"/>
          <w:spacing w:val="-2"/>
          <w:lang w:val="en-GB"/>
        </w:rPr>
        <w:endnoteReference w:id="27"/>
      </w:r>
    </w:p>
    <w:p w14:paraId="12EA7F39"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491F7198"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56559D6C" w14:textId="7661B3C2" w:rsidR="00B97A57" w:rsidRPr="006B78CD" w:rsidRDefault="00B97A57" w:rsidP="00DC72DD">
      <w:pPr>
        <w:pStyle w:val="Casehead2"/>
        <w:keepNext/>
        <w:keepLines/>
        <w:rPr>
          <w:lang w:val="en-GB"/>
        </w:rPr>
      </w:pPr>
      <w:r w:rsidRPr="006B78CD">
        <w:rPr>
          <w:lang w:val="en-GB"/>
        </w:rPr>
        <w:t xml:space="preserve">Other Competition </w:t>
      </w:r>
    </w:p>
    <w:p w14:paraId="2D8523D5" w14:textId="77777777" w:rsidR="00B97A57" w:rsidRPr="006B78CD" w:rsidRDefault="00B97A57" w:rsidP="00DC72DD">
      <w:pPr>
        <w:pStyle w:val="BodyTextMain"/>
        <w:keepNext/>
        <w:keepLines/>
        <w:rPr>
          <w:lang w:val="en-GB"/>
        </w:rPr>
      </w:pPr>
    </w:p>
    <w:p w14:paraId="67BC75EC" w14:textId="00E20F63" w:rsidR="00B97A57" w:rsidRPr="006B78CD" w:rsidRDefault="00B97A57" w:rsidP="00DC72DD">
      <w:pPr>
        <w:pStyle w:val="BodyTextMain"/>
        <w:keepNext/>
        <w:keepLines/>
        <w:rPr>
          <w:lang w:val="en-GB"/>
        </w:rPr>
      </w:pPr>
      <w:r w:rsidRPr="006B78CD">
        <w:rPr>
          <w:lang w:val="en-GB"/>
        </w:rPr>
        <w:t xml:space="preserve">RONA also faced competition from large and small general merchandise retailers, specialist stores, and others. The presence of indirect competitors such as Costco Wholesale Canada Ltd. and Walmart Canada Corp., which sold tools and hardware products, </w:t>
      </w:r>
      <w:r w:rsidR="001F4675">
        <w:rPr>
          <w:lang w:val="en-GB"/>
        </w:rPr>
        <w:t>was</w:t>
      </w:r>
      <w:r w:rsidRPr="006B78CD">
        <w:rPr>
          <w:lang w:val="en-GB"/>
        </w:rPr>
        <w:t xml:space="preserve"> not </w:t>
      </w:r>
      <w:r w:rsidR="001F4675">
        <w:rPr>
          <w:lang w:val="en-GB"/>
        </w:rPr>
        <w:t xml:space="preserve">to </w:t>
      </w:r>
      <w:r w:rsidRPr="006B78CD">
        <w:rPr>
          <w:lang w:val="en-GB"/>
        </w:rPr>
        <w:t>be underestimated. IKEA Canada Limited Partnership was another very strong competitor in the kitchen and bathroom renovation market. Canadian Tire, with over 450 stores across Canada, offered a broad range of hardware products; small appliances; and seasonal products such as summer furniture, horticulture, and gardening supplies. At the end of 2012, Canadian Tire’s revenues were growing significantly; 40 per cent came from hardware, furniture, and horticulture products.</w:t>
      </w:r>
      <w:r w:rsidRPr="006B78CD">
        <w:rPr>
          <w:rStyle w:val="EndnoteReference"/>
          <w:color w:val="000000" w:themeColor="text1"/>
          <w:lang w:val="en-GB"/>
        </w:rPr>
        <w:endnoteReference w:id="28"/>
      </w:r>
    </w:p>
    <w:p w14:paraId="4404CCE1"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5D69956B" w14:textId="6ABCF361" w:rsidR="00B97A57" w:rsidRPr="006B78CD" w:rsidRDefault="00B97A57" w:rsidP="00264ED8">
      <w:pPr>
        <w:pStyle w:val="BodyTextMain"/>
        <w:rPr>
          <w:lang w:val="en-GB"/>
        </w:rPr>
      </w:pPr>
      <w:r w:rsidRPr="006B78CD">
        <w:rPr>
          <w:lang w:val="en-GB"/>
        </w:rPr>
        <w:lastRenderedPageBreak/>
        <w:t>Small general merchandise retailer chains (e.g., Rossy and Les Magasins Korvette Ltée.) and small independent retailers operating traditional general stores that actively sold various products were also part of the competitive landscape.</w:t>
      </w:r>
      <w:r w:rsidRPr="006B78CD">
        <w:rPr>
          <w:color w:val="000000" w:themeColor="text1"/>
          <w:lang w:val="en-GB"/>
        </w:rPr>
        <w:t xml:space="preserve"> There was also a</w:t>
      </w:r>
      <w:r w:rsidRPr="006B78CD">
        <w:rPr>
          <w:lang w:val="en-GB"/>
        </w:rPr>
        <w:t xml:space="preserve"> large variety of specialty retailers selling home improvement products and services across Canada. For example, Wolseley Canada Inc. sold plumbing products; Westburne Canada, a division of Rexel Canada Electrical Inc., sold electrical equipment and products; and Sherwin-Williams Canada Inc. sold paints and coatings.</w:t>
      </w:r>
    </w:p>
    <w:p w14:paraId="369620B5" w14:textId="77777777" w:rsidR="00B97A57" w:rsidRPr="006B78CD" w:rsidRDefault="00B97A57" w:rsidP="00264ED8">
      <w:pPr>
        <w:pStyle w:val="BodyTextMain"/>
        <w:rPr>
          <w:lang w:val="en-GB"/>
        </w:rPr>
      </w:pPr>
    </w:p>
    <w:p w14:paraId="38719CBE" w14:textId="215AE48F" w:rsidR="00B97A57" w:rsidRPr="006B78CD" w:rsidRDefault="00B97A57" w:rsidP="00264ED8">
      <w:pPr>
        <w:pStyle w:val="BodyTextMain"/>
        <w:rPr>
          <w:lang w:val="en-GB"/>
        </w:rPr>
      </w:pPr>
      <w:r w:rsidRPr="006B78CD">
        <w:rPr>
          <w:lang w:val="en-GB"/>
        </w:rPr>
        <w:t>Dollar stores such as Dollarama Inc. and Dollar Tree Stores Canada Inc. offered small hardware items, electronics, and seasonal and decorative products at very low prices. Moreover, e-commerce platforms, including Amazon.com Inc., Alibaba Group, and used-item sales websites such as eBay Inc. and its fully owned subsidiary, Kijiji, also had a notable impact. Décor stores (e.g., Benjamin Moore &amp; Co. Ltd. and HomeSense), tool rental stores (e.g., United Rentals Inc. and Simplex Equipment Rental), and tool-lending libraries in Toronto and Vancouver were also active in the marketplace.</w:t>
      </w:r>
      <w:r w:rsidRPr="006B78CD">
        <w:rPr>
          <w:rStyle w:val="EndnoteReference"/>
          <w:lang w:val="en-GB"/>
        </w:rPr>
        <w:endnoteReference w:id="29"/>
      </w:r>
    </w:p>
    <w:p w14:paraId="7996E875"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2D60BCA0"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73312428" w14:textId="36FEF61A" w:rsidR="00B97A57" w:rsidRPr="006B78CD" w:rsidRDefault="00B97A57" w:rsidP="00264ED8">
      <w:pPr>
        <w:pStyle w:val="Casehead2"/>
        <w:rPr>
          <w:lang w:val="en-GB"/>
        </w:rPr>
      </w:pPr>
      <w:r w:rsidRPr="006B78CD">
        <w:rPr>
          <w:lang w:val="en-GB"/>
        </w:rPr>
        <w:t xml:space="preserve">ENVIRONMENTAL FACTORS </w:t>
      </w:r>
    </w:p>
    <w:p w14:paraId="3F451129"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157B06F4" w14:textId="7B74FB04" w:rsidR="00B97A57" w:rsidRPr="006B78CD" w:rsidRDefault="00B97A57" w:rsidP="00847EEA">
      <w:pPr>
        <w:tabs>
          <w:tab w:val="left" w:pos="496"/>
        </w:tabs>
        <w:jc w:val="both"/>
        <w:rPr>
          <w:color w:val="000000" w:themeColor="text1"/>
          <w:sz w:val="22"/>
          <w:szCs w:val="22"/>
          <w:lang w:val="en-GB"/>
        </w:rPr>
      </w:pPr>
      <w:r w:rsidRPr="006B78CD">
        <w:rPr>
          <w:color w:val="000000" w:themeColor="text1"/>
          <w:sz w:val="22"/>
          <w:szCs w:val="22"/>
          <w:lang w:val="en-GB"/>
        </w:rPr>
        <w:t>Sales in the home improvement and construction products sector were influenced by a number of economic factors, including the macroeconomic environment, government policies, and changes in the climate and</w:t>
      </w:r>
      <w:r w:rsidR="00EC413F">
        <w:rPr>
          <w:color w:val="000000" w:themeColor="text1"/>
          <w:sz w:val="22"/>
          <w:szCs w:val="22"/>
          <w:lang w:val="en-GB"/>
        </w:rPr>
        <w:t xml:space="preserve"> in</w:t>
      </w:r>
      <w:r w:rsidRPr="006B78CD">
        <w:rPr>
          <w:color w:val="000000" w:themeColor="text1"/>
          <w:sz w:val="22"/>
          <w:szCs w:val="22"/>
          <w:lang w:val="en-GB"/>
        </w:rPr>
        <w:t xml:space="preserve"> consumer behaviour. These are outlined below.</w:t>
      </w:r>
    </w:p>
    <w:p w14:paraId="7186BA65" w14:textId="77777777" w:rsidR="00B97A57" w:rsidRPr="006B78CD" w:rsidRDefault="00B97A57" w:rsidP="00662449">
      <w:pPr>
        <w:tabs>
          <w:tab w:val="left" w:pos="496"/>
        </w:tabs>
        <w:rPr>
          <w:color w:val="000000" w:themeColor="text1"/>
          <w:sz w:val="22"/>
          <w:szCs w:val="22"/>
          <w:lang w:val="en-GB"/>
        </w:rPr>
      </w:pPr>
    </w:p>
    <w:p w14:paraId="7F7C9EBB" w14:textId="77777777" w:rsidR="00B97A57" w:rsidRPr="006B78CD" w:rsidRDefault="00B97A57" w:rsidP="00662449">
      <w:pPr>
        <w:tabs>
          <w:tab w:val="left" w:pos="496"/>
        </w:tabs>
        <w:rPr>
          <w:color w:val="000000" w:themeColor="text1"/>
          <w:sz w:val="22"/>
          <w:szCs w:val="22"/>
          <w:lang w:val="en-GB"/>
        </w:rPr>
      </w:pPr>
    </w:p>
    <w:p w14:paraId="79E4056F" w14:textId="68DC64DA" w:rsidR="00B97A57" w:rsidRPr="006B78CD" w:rsidRDefault="00B97A57" w:rsidP="00DC72DD">
      <w:pPr>
        <w:pStyle w:val="Casehead2"/>
        <w:rPr>
          <w:lang w:val="en-GB"/>
        </w:rPr>
      </w:pPr>
      <w:r w:rsidRPr="006B78CD">
        <w:rPr>
          <w:lang w:val="en-GB"/>
        </w:rPr>
        <w:t>Macroeconomic Environment</w:t>
      </w:r>
    </w:p>
    <w:p w14:paraId="21CC523D" w14:textId="77777777" w:rsidR="00B97A57" w:rsidRPr="006B78CD" w:rsidRDefault="00B97A57" w:rsidP="00264ED8">
      <w:pPr>
        <w:pStyle w:val="BodyTextMain"/>
        <w:rPr>
          <w:lang w:val="en-GB"/>
        </w:rPr>
      </w:pPr>
    </w:p>
    <w:p w14:paraId="22BE6A27" w14:textId="021B9B45" w:rsidR="00A15E70" w:rsidRPr="00996BB7" w:rsidRDefault="00B97A57" w:rsidP="00996BB7">
      <w:pPr>
        <w:pStyle w:val="BodyTextMain"/>
        <w:rPr>
          <w:lang w:val="en-GB"/>
        </w:rPr>
      </w:pPr>
      <w:r w:rsidRPr="006B78CD">
        <w:rPr>
          <w:lang w:val="en-GB"/>
        </w:rPr>
        <w:t>Retail sales in this sector were cyclical in nature, affected by economic booms and busts. In a note issued at the end of 2012, the Conference Board of Canada estimated that the Canadian economy would struggle to grow because of the weakness of its major trading partners.</w:t>
      </w:r>
      <w:r w:rsidRPr="006B78CD">
        <w:rPr>
          <w:rStyle w:val="EndnoteReference"/>
          <w:color w:val="000000" w:themeColor="text1"/>
          <w:lang w:val="en-GB"/>
        </w:rPr>
        <w:endnoteReference w:id="30"/>
      </w:r>
      <w:r w:rsidRPr="006B78CD">
        <w:rPr>
          <w:lang w:val="en-GB"/>
        </w:rPr>
        <w:t xml:space="preserve"> In addition, consumer confidence was precarious. The small increase in disposable income per household, the low savings rate of Canadians, and the strong rise in indebtedness delayed major purchases. A decrease in the number of housing starts was reflected in the 2012 census data, which showed the lowest level of </w:t>
      </w:r>
      <w:r w:rsidR="00BE2AEB">
        <w:rPr>
          <w:lang w:val="en-GB"/>
        </w:rPr>
        <w:t>housing construction</w:t>
      </w:r>
      <w:r w:rsidRPr="006B78CD">
        <w:rPr>
          <w:lang w:val="en-GB"/>
        </w:rPr>
        <w:t xml:space="preserve"> in 10 years. The economic environment ha</w:t>
      </w:r>
      <w:r w:rsidR="00BE2AEB">
        <w:rPr>
          <w:lang w:val="en-GB"/>
        </w:rPr>
        <w:t xml:space="preserve">d changed dramatically </w:t>
      </w:r>
      <w:r w:rsidRPr="006B78CD">
        <w:rPr>
          <w:lang w:val="en-GB"/>
        </w:rPr>
        <w:t xml:space="preserve">in Canada, and Quebec in particular, in 2004 and 2005, which had </w:t>
      </w:r>
      <w:r w:rsidR="00596334" w:rsidRPr="006B78CD">
        <w:rPr>
          <w:lang w:val="en-GB"/>
        </w:rPr>
        <w:t>fuelled</w:t>
      </w:r>
      <w:r w:rsidRPr="006B78CD">
        <w:rPr>
          <w:lang w:val="en-GB"/>
        </w:rPr>
        <w:t xml:space="preserve"> unprecedented growth. Overall, the economic outlook</w:t>
      </w:r>
      <w:r w:rsidR="00BF7F14">
        <w:rPr>
          <w:lang w:val="en-GB"/>
        </w:rPr>
        <w:t xml:space="preserve"> at the time</w:t>
      </w:r>
      <w:r w:rsidRPr="006B78CD">
        <w:rPr>
          <w:lang w:val="en-GB"/>
        </w:rPr>
        <w:t xml:space="preserve"> did not herald major growth changes in this retail sector.</w:t>
      </w:r>
      <w:r w:rsidRPr="006B78CD">
        <w:rPr>
          <w:rStyle w:val="EndnoteReference"/>
          <w:color w:val="000000" w:themeColor="text1"/>
          <w:lang w:val="en-GB"/>
        </w:rPr>
        <w:endnoteReference w:id="31"/>
      </w:r>
    </w:p>
    <w:p w14:paraId="7DFB1296" w14:textId="77777777" w:rsidR="00A15E70" w:rsidRDefault="00A15E70"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2404FC14" w14:textId="77777777" w:rsidR="00A15E70" w:rsidRPr="006B78CD" w:rsidRDefault="00A15E70"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0CFAC7ED" w14:textId="07C9145F" w:rsidR="00B97A57" w:rsidRPr="006B78CD" w:rsidRDefault="00B97A57" w:rsidP="00DC72DD">
      <w:pPr>
        <w:pStyle w:val="Casehead2"/>
        <w:rPr>
          <w:lang w:val="en-GB"/>
        </w:rPr>
      </w:pPr>
      <w:r w:rsidRPr="006B78CD">
        <w:rPr>
          <w:lang w:val="en-GB"/>
        </w:rPr>
        <w:t>Government Policies</w:t>
      </w:r>
    </w:p>
    <w:p w14:paraId="707A2BE7" w14:textId="77777777" w:rsidR="00B97A57" w:rsidRPr="006B78CD" w:rsidRDefault="00B97A57" w:rsidP="00264ED8">
      <w:pPr>
        <w:pStyle w:val="BodyTextMain"/>
        <w:rPr>
          <w:lang w:val="en-GB"/>
        </w:rPr>
      </w:pPr>
    </w:p>
    <w:p w14:paraId="6167B8CB" w14:textId="481F3AF5" w:rsidR="00B97A57" w:rsidRPr="006B78CD" w:rsidRDefault="00B97A57" w:rsidP="00264ED8">
      <w:pPr>
        <w:pStyle w:val="BodyTextMain"/>
        <w:rPr>
          <w:lang w:val="en-GB"/>
        </w:rPr>
      </w:pPr>
      <w:r w:rsidRPr="006B78CD">
        <w:rPr>
          <w:lang w:val="en-GB"/>
        </w:rPr>
        <w:t>Following the financial crisis of 2008–</w:t>
      </w:r>
      <w:r w:rsidR="00206A96">
        <w:rPr>
          <w:lang w:val="en-GB"/>
        </w:rPr>
        <w:t>20</w:t>
      </w:r>
      <w:r w:rsidRPr="006B78CD">
        <w:rPr>
          <w:lang w:val="en-GB"/>
        </w:rPr>
        <w:t>09, federal and provincial governments in Canada proactively used fiscal and budgetary tools to encourage Canadians to spend more on renovation and construction projects. Municipal bodies also jumped on the bandwagon. In a context of aging housing stock, many programs were developed and tax credits were offered. Nevertheless, consumers’ purchasing intentions in Quebec were weak, and a decrease in discretionary spending was expected.</w:t>
      </w:r>
      <w:r w:rsidRPr="006B78CD">
        <w:rPr>
          <w:rStyle w:val="EndnoteReference"/>
          <w:color w:val="000000" w:themeColor="text1"/>
          <w:lang w:val="en-GB"/>
        </w:rPr>
        <w:endnoteReference w:id="32"/>
      </w:r>
      <w:r w:rsidRPr="006B78CD">
        <w:rPr>
          <w:lang w:val="en-GB"/>
        </w:rPr>
        <w:t xml:space="preserve"> </w:t>
      </w:r>
    </w:p>
    <w:p w14:paraId="632933D6"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4C968D43" w14:textId="77777777" w:rsidR="00B97A57" w:rsidRPr="006B78C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18FDD034" w14:textId="7125968D" w:rsidR="00B97A57" w:rsidRPr="006B78CD" w:rsidRDefault="00B97A57" w:rsidP="00DC72DD">
      <w:pPr>
        <w:pStyle w:val="Casehead2"/>
        <w:rPr>
          <w:lang w:val="en-GB"/>
        </w:rPr>
      </w:pPr>
      <w:r w:rsidRPr="006B78CD">
        <w:rPr>
          <w:lang w:val="en-GB"/>
        </w:rPr>
        <w:t>Climate</w:t>
      </w:r>
    </w:p>
    <w:p w14:paraId="2FAE4B96" w14:textId="77777777" w:rsidR="00B97A57" w:rsidRPr="006B78CD" w:rsidRDefault="00B97A57" w:rsidP="00264ED8">
      <w:pPr>
        <w:pStyle w:val="BodyTextMain"/>
        <w:rPr>
          <w:u w:val="single"/>
          <w:lang w:val="en-GB"/>
        </w:rPr>
      </w:pPr>
    </w:p>
    <w:p w14:paraId="3EB68EC1" w14:textId="77DD979A" w:rsidR="00B97A57" w:rsidRDefault="00B97A57" w:rsidP="00264ED8">
      <w:pPr>
        <w:pStyle w:val="BodyTextMain"/>
        <w:rPr>
          <w:lang w:val="en-GB"/>
        </w:rPr>
      </w:pPr>
      <w:r w:rsidRPr="006B78CD">
        <w:rPr>
          <w:lang w:val="en-GB"/>
        </w:rPr>
        <w:t>For several years, global climate change had caused atypical temperature differences between seasons. When spring temperatures were too low, consumers shifted or even cancelled their purchases of seasonal products, particularly summer furniture and horticultural products. However, summer heat waves boosted the sales of air conditioning equipment.</w:t>
      </w:r>
      <w:r w:rsidRPr="006B78CD">
        <w:rPr>
          <w:rStyle w:val="EndnoteReference"/>
          <w:color w:val="000000" w:themeColor="text1"/>
          <w:lang w:val="en-GB"/>
        </w:rPr>
        <w:endnoteReference w:id="33"/>
      </w:r>
    </w:p>
    <w:p w14:paraId="5E26ACD3" w14:textId="0B0DDDEB" w:rsidR="00B97A57" w:rsidRPr="006B78CD" w:rsidRDefault="00B97A57" w:rsidP="00DC72DD">
      <w:pPr>
        <w:pStyle w:val="Casehead2"/>
        <w:rPr>
          <w:lang w:val="en-GB"/>
        </w:rPr>
      </w:pPr>
      <w:bookmarkStart w:id="0" w:name="_GoBack"/>
      <w:bookmarkEnd w:id="0"/>
      <w:r w:rsidRPr="006B78CD">
        <w:rPr>
          <w:lang w:val="en-GB"/>
        </w:rPr>
        <w:lastRenderedPageBreak/>
        <w:t xml:space="preserve">Changing Consumer Habits </w:t>
      </w:r>
    </w:p>
    <w:p w14:paraId="0CC0FFF5" w14:textId="77777777" w:rsidR="00B97A57" w:rsidRPr="00DC72DD" w:rsidRDefault="00B97A57" w:rsidP="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lang w:val="en-GB"/>
        </w:rPr>
      </w:pPr>
    </w:p>
    <w:p w14:paraId="632823A8" w14:textId="1922209D" w:rsidR="00B97A57" w:rsidRPr="006B78CD" w:rsidRDefault="00B97A57" w:rsidP="00264ED8">
      <w:pPr>
        <w:pStyle w:val="BodyTextMain"/>
        <w:rPr>
          <w:lang w:val="en-GB"/>
        </w:rPr>
      </w:pPr>
      <w:r w:rsidRPr="006B78CD">
        <w:rPr>
          <w:lang w:val="en-GB"/>
        </w:rPr>
        <w:t>The seasonal nature of renovation and construction affected sales. Also, while baby boomers (people born between 1946 and 1964) were getting older and wanted to make their homes more comfortable, they often had lower incomes during this period of life. Consumer values were also evolving and producing greater demand for ecologically responsible practices such as lower pollution and better management of residual materials, and this added costs for businesses and consumers.</w:t>
      </w:r>
      <w:r w:rsidRPr="006B78CD">
        <w:rPr>
          <w:rStyle w:val="EndnoteReference"/>
          <w:color w:val="000000" w:themeColor="text1"/>
          <w:lang w:val="en-GB"/>
        </w:rPr>
        <w:endnoteReference w:id="34"/>
      </w:r>
    </w:p>
    <w:p w14:paraId="15ECD314"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396A6116" w14:textId="6E7EB4E1" w:rsidR="00B97A57" w:rsidRPr="00913F42" w:rsidRDefault="00B97A57" w:rsidP="00264ED8">
      <w:pPr>
        <w:pStyle w:val="BodyTextMain"/>
        <w:rPr>
          <w:spacing w:val="-2"/>
          <w:kern w:val="22"/>
          <w:lang w:val="en-GB"/>
        </w:rPr>
      </w:pPr>
      <w:r w:rsidRPr="00913F42">
        <w:rPr>
          <w:spacing w:val="-2"/>
          <w:kern w:val="22"/>
          <w:lang w:val="en-GB"/>
        </w:rPr>
        <w:t>Another factor that had started to affect the market was the online shopping craze. In 2012, 56 per cent of Internet users in Canada purchased goods or services online.</w:t>
      </w:r>
      <w:r w:rsidRPr="00913F42">
        <w:rPr>
          <w:rStyle w:val="EndnoteReference"/>
          <w:color w:val="000000" w:themeColor="text1"/>
          <w:spacing w:val="-2"/>
          <w:kern w:val="22"/>
          <w:lang w:val="en-GB"/>
        </w:rPr>
        <w:endnoteReference w:id="35"/>
      </w:r>
      <w:r w:rsidRPr="00913F42">
        <w:rPr>
          <w:spacing w:val="-2"/>
          <w:kern w:val="22"/>
          <w:lang w:val="en-GB"/>
        </w:rPr>
        <w:t xml:space="preserve"> Social media also raised challenges. For example, many consumers visited websites to compare prices and shared their information online. This had negative consequences for the sales, operating costs, and profits of stores that lacked a strong online presence.</w:t>
      </w:r>
      <w:r w:rsidRPr="00913F42">
        <w:rPr>
          <w:rStyle w:val="EndnoteReference"/>
          <w:color w:val="000000" w:themeColor="text1"/>
          <w:spacing w:val="-2"/>
          <w:kern w:val="22"/>
          <w:lang w:val="en-GB"/>
        </w:rPr>
        <w:endnoteReference w:id="36"/>
      </w:r>
    </w:p>
    <w:p w14:paraId="411B5306"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504CD256"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2E2E202F" w14:textId="0DEE0551" w:rsidR="00B97A57" w:rsidRPr="006B78CD" w:rsidRDefault="00B97A57" w:rsidP="00264ED8">
      <w:pPr>
        <w:pStyle w:val="Casehead1"/>
        <w:rPr>
          <w:lang w:val="en-GB"/>
        </w:rPr>
      </w:pPr>
      <w:r w:rsidRPr="006B78CD">
        <w:rPr>
          <w:lang w:val="en-GB"/>
        </w:rPr>
        <w:t xml:space="preserve">THE RESULT (PART 1): RONA 2.0 CAtching LOWE’S EYE </w:t>
      </w:r>
    </w:p>
    <w:p w14:paraId="3A9576FA"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13022EBD" w14:textId="49C2BD9B" w:rsidR="00B97A57" w:rsidRPr="006B78CD" w:rsidRDefault="00B97A57" w:rsidP="00264ED8">
      <w:pPr>
        <w:pStyle w:val="BodyTextMain"/>
        <w:rPr>
          <w:lang w:val="en-GB"/>
        </w:rPr>
      </w:pPr>
      <w:r w:rsidRPr="006B78CD">
        <w:rPr>
          <w:lang w:val="en-GB"/>
        </w:rPr>
        <w:t xml:space="preserve">Although results from its operations were positive, RONA 2.0’s financial performance slumped due to </w:t>
      </w:r>
      <w:r w:rsidR="00174472">
        <w:rPr>
          <w:lang w:val="en-GB"/>
        </w:rPr>
        <w:t>fending</w:t>
      </w:r>
      <w:r w:rsidR="00957BD5">
        <w:rPr>
          <w:lang w:val="en-GB"/>
        </w:rPr>
        <w:t xml:space="preserve"> </w:t>
      </w:r>
      <w:r w:rsidRPr="006B78CD">
        <w:rPr>
          <w:lang w:val="en-GB"/>
        </w:rPr>
        <w:t>off</w:t>
      </w:r>
      <w:r w:rsidR="00174472">
        <w:rPr>
          <w:lang w:val="en-GB"/>
        </w:rPr>
        <w:t xml:space="preserve"> Lowe’s takeover proposal and stiffer competition in large urban areas</w:t>
      </w:r>
      <w:r w:rsidRPr="006B78CD">
        <w:rPr>
          <w:lang w:val="en-GB"/>
        </w:rPr>
        <w:t>.</w:t>
      </w:r>
      <w:r w:rsidR="00174472">
        <w:rPr>
          <w:rStyle w:val="EndnoteReference"/>
          <w:lang w:val="en-GB"/>
        </w:rPr>
        <w:endnoteReference w:id="37"/>
      </w:r>
      <w:r w:rsidRPr="006B78CD">
        <w:rPr>
          <w:lang w:val="en-GB"/>
        </w:rPr>
        <w:t xml:space="preserve"> The returns were below the historical average, and the value of RONA’s shares hit a low at $10.</w:t>
      </w:r>
      <w:r w:rsidRPr="006B78CD">
        <w:rPr>
          <w:rStyle w:val="EndnoteReference"/>
          <w:lang w:val="en-GB"/>
        </w:rPr>
        <w:endnoteReference w:id="38"/>
      </w:r>
      <w:r w:rsidRPr="006B78CD">
        <w:rPr>
          <w:lang w:val="en-GB"/>
        </w:rPr>
        <w:t xml:space="preserve"> Lowe’s took action and submitted an unsolicited bid of $1.76 billion, or $14.50 per share, on July 8, 2012.</w:t>
      </w:r>
      <w:r w:rsidRPr="006B78CD">
        <w:rPr>
          <w:rStyle w:val="EndnoteReference"/>
          <w:lang w:val="en-GB"/>
        </w:rPr>
        <w:endnoteReference w:id="39"/>
      </w:r>
      <w:r w:rsidRPr="006B78CD">
        <w:rPr>
          <w:lang w:val="en-GB"/>
        </w:rPr>
        <w:t xml:space="preserve"> Several political and economic observers frowned on the offer (for example, Raymond Bachand, minister of finance of the government of Quebec, declared that the offer “[did] not seem to be in the interest of Quebec or Canada”), and on July 26, RONA’s board of directors rejected the offer.</w:t>
      </w:r>
      <w:r w:rsidR="002873D5">
        <w:rPr>
          <w:lang w:val="en-GB"/>
        </w:rPr>
        <w:t xml:space="preserve"> </w:t>
      </w:r>
      <w:r w:rsidR="00494E43">
        <w:rPr>
          <w:lang w:val="en-GB"/>
        </w:rPr>
        <w:t xml:space="preserve">Dutton was dismissed as </w:t>
      </w:r>
      <w:r w:rsidR="006E2C40">
        <w:rPr>
          <w:lang w:val="en-GB"/>
        </w:rPr>
        <w:t>CEO</w:t>
      </w:r>
      <w:r w:rsidR="00494E43">
        <w:rPr>
          <w:lang w:val="en-GB"/>
        </w:rPr>
        <w:t xml:space="preserve"> </w:t>
      </w:r>
      <w:r w:rsidR="006E2C40">
        <w:rPr>
          <w:lang w:val="en-GB"/>
        </w:rPr>
        <w:t xml:space="preserve">on </w:t>
      </w:r>
      <w:r w:rsidR="00494E43">
        <w:rPr>
          <w:lang w:val="en-GB"/>
        </w:rPr>
        <w:t>November 8, 2012.</w:t>
      </w:r>
      <w:r w:rsidR="006C2F05" w:rsidRPr="006C2F05">
        <w:rPr>
          <w:rStyle w:val="EndnoteReference"/>
          <w:color w:val="000000" w:themeColor="text1"/>
          <w:lang w:val="en-GB"/>
        </w:rPr>
        <w:t xml:space="preserve"> </w:t>
      </w:r>
      <w:r w:rsidR="006C2F05" w:rsidRPr="006B78CD">
        <w:rPr>
          <w:rStyle w:val="EndnoteReference"/>
          <w:color w:val="000000" w:themeColor="text1"/>
          <w:lang w:val="en-GB"/>
        </w:rPr>
        <w:endnoteReference w:id="40"/>
      </w:r>
    </w:p>
    <w:p w14:paraId="55C7BAF0"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6A5B5E74"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4E437D1A" w14:textId="21C2E40C" w:rsidR="00B97A57" w:rsidRPr="006B78CD" w:rsidRDefault="00B97A57" w:rsidP="00264ED8">
      <w:pPr>
        <w:pStyle w:val="Casehead1"/>
        <w:rPr>
          <w:lang w:val="en-GB"/>
        </w:rPr>
      </w:pPr>
      <w:r w:rsidRPr="006B78CD">
        <w:rPr>
          <w:lang w:val="en-GB"/>
        </w:rPr>
        <w:t>TRANSFORMING INTO RONA 3.0 (2013–2016): ADDING VALUE?</w:t>
      </w:r>
    </w:p>
    <w:p w14:paraId="0E233D0B" w14:textId="77777777" w:rsidR="00B97A57" w:rsidRPr="006B78CD" w:rsidRDefault="00B97A57" w:rsidP="00264ED8">
      <w:pPr>
        <w:rPr>
          <w:color w:val="000000" w:themeColor="text1"/>
          <w:sz w:val="22"/>
          <w:szCs w:val="22"/>
          <w:lang w:val="en-GB"/>
        </w:rPr>
      </w:pPr>
    </w:p>
    <w:p w14:paraId="78E9865D" w14:textId="54B7F82F" w:rsidR="00B97A57" w:rsidRPr="006B78CD" w:rsidRDefault="00B97A57" w:rsidP="00264ED8">
      <w:pPr>
        <w:pStyle w:val="BodyTextMain"/>
        <w:rPr>
          <w:lang w:val="en-GB"/>
        </w:rPr>
      </w:pPr>
      <w:r w:rsidRPr="006B78CD">
        <w:rPr>
          <w:lang w:val="en-GB"/>
        </w:rPr>
        <w:t xml:space="preserve">The first important change the company made at this point was to replace </w:t>
      </w:r>
      <w:r w:rsidR="00494E43">
        <w:rPr>
          <w:lang w:val="en-GB"/>
        </w:rPr>
        <w:t xml:space="preserve">acting </w:t>
      </w:r>
      <w:r w:rsidRPr="006B78CD">
        <w:rPr>
          <w:lang w:val="en-GB"/>
        </w:rPr>
        <w:t xml:space="preserve">CEO </w:t>
      </w:r>
      <w:r w:rsidR="00494E43">
        <w:rPr>
          <w:lang w:val="en-GB"/>
        </w:rPr>
        <w:t xml:space="preserve">Dominique Boies </w:t>
      </w:r>
      <w:r w:rsidRPr="006B78CD">
        <w:rPr>
          <w:lang w:val="en-GB"/>
        </w:rPr>
        <w:t>with Robert Sawyer, a chief of operations from food distribution. Sawyer was appointed CEO in March 2013.</w:t>
      </w:r>
      <w:r w:rsidRPr="006B78CD">
        <w:rPr>
          <w:rStyle w:val="EndnoteReference"/>
          <w:color w:val="000000" w:themeColor="text1"/>
          <w:lang w:val="en-GB"/>
        </w:rPr>
        <w:endnoteReference w:id="41"/>
      </w:r>
      <w:r w:rsidRPr="006B78CD">
        <w:rPr>
          <w:lang w:val="en-GB"/>
        </w:rPr>
        <w:t xml:space="preserve"> The board of directors was also shuffled, and Robert Chevrier, a restructuring specialist, was named chair.</w:t>
      </w:r>
      <w:r w:rsidRPr="006B78CD">
        <w:rPr>
          <w:rStyle w:val="EndnoteReference"/>
          <w:color w:val="000000" w:themeColor="text1"/>
          <w:lang w:val="en-GB"/>
        </w:rPr>
        <w:endnoteReference w:id="42"/>
      </w:r>
      <w:r w:rsidRPr="006B78CD">
        <w:rPr>
          <w:lang w:val="en-GB"/>
        </w:rPr>
        <w:t xml:space="preserve"> Chevrier felt that an offer in the range of $25–$30 per share would be “testable” with the shareholders.</w:t>
      </w:r>
      <w:r w:rsidRPr="006B78CD">
        <w:rPr>
          <w:rStyle w:val="EndnoteReference"/>
          <w:color w:val="000000" w:themeColor="text1"/>
          <w:lang w:val="en-GB"/>
        </w:rPr>
        <w:endnoteReference w:id="43"/>
      </w:r>
      <w:r w:rsidRPr="006B78CD">
        <w:rPr>
          <w:lang w:val="en-GB"/>
        </w:rPr>
        <w:t xml:space="preserve"> The clearly stated goal of the board and the executive managers was to return to profitability in order to increase shareholder value. A series of business decisions ensued.</w:t>
      </w:r>
    </w:p>
    <w:p w14:paraId="31D4A6E8"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4613D558" w14:textId="30B90575" w:rsidR="00B97A57" w:rsidRPr="006B78CD" w:rsidRDefault="00B97A57" w:rsidP="00264ED8">
      <w:pPr>
        <w:pStyle w:val="BodyTextMain"/>
        <w:rPr>
          <w:lang w:val="en-GB"/>
        </w:rPr>
      </w:pPr>
      <w:r w:rsidRPr="00DC72DD">
        <w:rPr>
          <w:lang w:val="en-GB"/>
        </w:rPr>
        <w:t>In June 2013</w:t>
      </w:r>
      <w:r w:rsidRPr="006B78CD">
        <w:rPr>
          <w:lang w:val="en-GB"/>
        </w:rPr>
        <w:t xml:space="preserve">, RONA took the following measures: It announced the closure of 11 big-box stores (eight in Ontario and three in British Columbia). It cut its advertising, marketing, merchandising, and distribution budgets by 50 per cent, saving $60 million. It eliminated 325 jobs in administrative centres, including teams dedicated to training affiliate retailers and the </w:t>
      </w:r>
      <w:r w:rsidR="006E2C40">
        <w:rPr>
          <w:lang w:val="en-GB"/>
        </w:rPr>
        <w:t>information technology</w:t>
      </w:r>
      <w:r w:rsidRPr="006B78CD">
        <w:rPr>
          <w:lang w:val="en-GB"/>
        </w:rPr>
        <w:t xml:space="preserve"> sector. It also sold the commercial and professional market division for an estimated $215 million. This division,</w:t>
      </w:r>
      <w:r w:rsidRPr="006B78CD" w:rsidDel="00495B2D">
        <w:rPr>
          <w:lang w:val="en-GB"/>
        </w:rPr>
        <w:t xml:space="preserve"> </w:t>
      </w:r>
      <w:r w:rsidRPr="006B78CD">
        <w:rPr>
          <w:lang w:val="en-GB"/>
        </w:rPr>
        <w:t>albeit profitable, was considered too far from the heart of RONA’s operations.</w:t>
      </w:r>
      <w:r w:rsidRPr="006B78CD">
        <w:rPr>
          <w:rStyle w:val="EndnoteReference"/>
          <w:color w:val="000000" w:themeColor="text1"/>
          <w:lang w:val="en-GB"/>
        </w:rPr>
        <w:endnoteReference w:id="44"/>
      </w:r>
    </w:p>
    <w:p w14:paraId="01EC5A41"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634F1573" w14:textId="46BCAABB" w:rsidR="00B97A57" w:rsidRPr="006B78CD" w:rsidRDefault="00B97A57" w:rsidP="00264ED8">
      <w:pPr>
        <w:pStyle w:val="BodyTextMain"/>
        <w:rPr>
          <w:lang w:val="en-GB"/>
        </w:rPr>
      </w:pPr>
      <w:r w:rsidRPr="00DC72DD">
        <w:rPr>
          <w:lang w:val="en-GB"/>
        </w:rPr>
        <w:t>In November 2013</w:t>
      </w:r>
      <w:r w:rsidRPr="006B78CD">
        <w:rPr>
          <w:lang w:val="en-GB"/>
        </w:rPr>
        <w:t>, RONA completed the acquisition of Matériaux Coupal Inc.</w:t>
      </w:r>
      <w:r w:rsidRPr="006B78CD">
        <w:rPr>
          <w:rStyle w:val="EndnoteReference"/>
          <w:color w:val="000000" w:themeColor="text1"/>
          <w:lang w:val="en-GB"/>
        </w:rPr>
        <w:endnoteReference w:id="45"/>
      </w:r>
      <w:r w:rsidRPr="006B78CD">
        <w:rPr>
          <w:lang w:val="en-GB"/>
        </w:rPr>
        <w:t xml:space="preserve"> In 2014, RONA obtained the right from TIM-BR Marts to use the Ace Hardware brand in Canada. RONA thus gained access to Ace’s retail operations, websites, and Shanghai distribution centre. President and CEO Robert Sawyer argued that, thanks to this international agreement, the Ace brand would help RONA expand its presence in Canada.</w:t>
      </w:r>
      <w:r w:rsidRPr="006B78CD">
        <w:rPr>
          <w:rStyle w:val="EndnoteReference"/>
          <w:color w:val="000000" w:themeColor="text1"/>
          <w:lang w:val="en-GB"/>
        </w:rPr>
        <w:endnoteReference w:id="46"/>
      </w:r>
      <w:r w:rsidRPr="006B78CD">
        <w:rPr>
          <w:lang w:val="en-GB"/>
        </w:rPr>
        <w:t xml:space="preserve"> That same year, RONA also completed the acquisition of R. Marcil &amp; Frères Inc.</w:t>
      </w:r>
      <w:r w:rsidRPr="006B78CD">
        <w:rPr>
          <w:rStyle w:val="EndnoteReference"/>
          <w:lang w:val="en-GB"/>
        </w:rPr>
        <w:endnoteReference w:id="47"/>
      </w:r>
      <w:r w:rsidRPr="006B78CD">
        <w:rPr>
          <w:lang w:val="en-GB"/>
        </w:rPr>
        <w:t xml:space="preserve"> </w:t>
      </w:r>
    </w:p>
    <w:p w14:paraId="6BF6D291"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76F8E3D5" w14:textId="45131FF0" w:rsidR="00B97A57" w:rsidRPr="006B78CD" w:rsidRDefault="00B97A57" w:rsidP="00264ED8">
      <w:pPr>
        <w:pStyle w:val="BodyTextMain"/>
        <w:rPr>
          <w:lang w:val="en-GB"/>
        </w:rPr>
      </w:pPr>
      <w:r w:rsidRPr="00847EEA">
        <w:rPr>
          <w:spacing w:val="-2"/>
          <w:kern w:val="22"/>
          <w:lang w:val="en-GB"/>
        </w:rPr>
        <w:t xml:space="preserve">In February 2015, RONA received some surprising news: La Coop fédérée had acquired BMR. Already the owner of Unimat, La Coop fédérée had consolidated its position and become the second-largest player in </w:t>
      </w:r>
      <w:r w:rsidRPr="00847EEA">
        <w:rPr>
          <w:spacing w:val="-2"/>
          <w:kern w:val="22"/>
          <w:lang w:val="en-GB"/>
        </w:rPr>
        <w:lastRenderedPageBreak/>
        <w:t>Quebec. Coincidentally or not, RONA revised its pricing and product mix strategies to be more competitive. It reviewed the market positioning of its Réno-Dépôt division to better reach professional contractors and experienced renovators. In addition, the company continued to develop its proximity stores</w:t>
      </w:r>
      <w:r w:rsidRPr="006B78CD">
        <w:rPr>
          <w:lang w:val="en-GB"/>
        </w:rPr>
        <w:t>.</w:t>
      </w:r>
      <w:r w:rsidRPr="006B78CD">
        <w:rPr>
          <w:rStyle w:val="EndnoteReference"/>
          <w:color w:val="000000" w:themeColor="text1"/>
          <w:lang w:val="en-GB"/>
        </w:rPr>
        <w:endnoteReference w:id="48"/>
      </w:r>
    </w:p>
    <w:p w14:paraId="45495698"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298BD492" w14:textId="61E25BA9" w:rsidR="00B97A57" w:rsidRPr="006B78CD" w:rsidRDefault="00B97A57" w:rsidP="00264ED8">
      <w:pPr>
        <w:pStyle w:val="BodyTextMain"/>
        <w:rPr>
          <w:lang w:val="en-GB"/>
        </w:rPr>
      </w:pPr>
      <w:r w:rsidRPr="006B78CD">
        <w:rPr>
          <w:lang w:val="en-GB"/>
        </w:rPr>
        <w:t xml:space="preserve">In </w:t>
      </w:r>
      <w:r w:rsidRPr="00DC72DD">
        <w:rPr>
          <w:lang w:val="en-GB"/>
        </w:rPr>
        <w:t>July 2015</w:t>
      </w:r>
      <w:r w:rsidRPr="006B78CD">
        <w:rPr>
          <w:lang w:val="en-GB"/>
        </w:rPr>
        <w:t>, RONA announced the buy-back of 20 franchise stores: 18 in Quebec and two in the Ottawa region. The estimated value of the transaction was around $215 million. Following this transaction, RONA had 233 corporate and 275 affiliate stores in Canada.</w:t>
      </w:r>
      <w:r w:rsidRPr="006B78CD">
        <w:rPr>
          <w:rStyle w:val="EndnoteReference"/>
          <w:color w:val="000000" w:themeColor="text1"/>
          <w:lang w:val="en-GB"/>
        </w:rPr>
        <w:endnoteReference w:id="49"/>
      </w:r>
    </w:p>
    <w:p w14:paraId="7466A639" w14:textId="77777777" w:rsidR="00B97A57" w:rsidRPr="006B78CD" w:rsidRDefault="00B97A57" w:rsidP="00264ED8">
      <w:pPr>
        <w:pStyle w:val="BodyTextMain"/>
        <w:rPr>
          <w:lang w:val="en-GB"/>
        </w:rPr>
      </w:pPr>
    </w:p>
    <w:p w14:paraId="2103D9F6" w14:textId="139AF64A" w:rsidR="00B97A57" w:rsidRPr="006B78CD" w:rsidRDefault="00B97A57" w:rsidP="00264ED8">
      <w:pPr>
        <w:pStyle w:val="BodyTextMain"/>
        <w:rPr>
          <w:lang w:val="en-GB"/>
        </w:rPr>
      </w:pPr>
      <w:r w:rsidRPr="006B78CD">
        <w:rPr>
          <w:lang w:val="en-GB"/>
        </w:rPr>
        <w:t>The company re</w:t>
      </w:r>
      <w:r w:rsidR="006E2C40">
        <w:rPr>
          <w:lang w:val="en-GB"/>
        </w:rPr>
        <w:t>-</w:t>
      </w:r>
      <w:r w:rsidRPr="006B78CD">
        <w:rPr>
          <w:lang w:val="en-GB"/>
        </w:rPr>
        <w:t xml:space="preserve">engineered some administrative functions and set four marketing objectives: (1) put customers at the </w:t>
      </w:r>
      <w:r w:rsidR="00596334" w:rsidRPr="006B78CD">
        <w:rPr>
          <w:lang w:val="en-GB"/>
        </w:rPr>
        <w:t>centre</w:t>
      </w:r>
      <w:r w:rsidRPr="006B78CD">
        <w:rPr>
          <w:lang w:val="en-GB"/>
        </w:rPr>
        <w:t xml:space="preserve"> of decisions; (2) achieve the best performance in store; (3) have the best team in action; and (4) boost shareholder growth and return.</w:t>
      </w:r>
      <w:r w:rsidRPr="006B78CD">
        <w:rPr>
          <w:rStyle w:val="EndnoteReference"/>
          <w:color w:val="000000" w:themeColor="text1"/>
          <w:lang w:val="en-GB"/>
        </w:rPr>
        <w:endnoteReference w:id="50"/>
      </w:r>
      <w:r w:rsidRPr="006B78CD">
        <w:rPr>
          <w:lang w:val="en-GB"/>
        </w:rPr>
        <w:t xml:space="preserve"> The restructuring improved RONA’s financial performance by 15 per cent in 2015. However, it was not enough. Rumours suggested that RONA did not have sufficient cash to make the required investments in information technology, electronic commerce, and omnichannel retailing.</w:t>
      </w:r>
      <w:r w:rsidRPr="006B78CD">
        <w:rPr>
          <w:rStyle w:val="EndnoteReference"/>
          <w:color w:val="000000" w:themeColor="text1"/>
          <w:lang w:val="en-GB"/>
        </w:rPr>
        <w:endnoteReference w:id="51"/>
      </w:r>
    </w:p>
    <w:p w14:paraId="2BCD7295"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03B18B29"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4D344CE1" w14:textId="77777777" w:rsidR="00B97A57" w:rsidRPr="006B78CD" w:rsidRDefault="00B97A57" w:rsidP="00264ED8">
      <w:pPr>
        <w:pStyle w:val="Casehead2"/>
        <w:rPr>
          <w:lang w:val="en-GB"/>
        </w:rPr>
      </w:pPr>
      <w:r w:rsidRPr="006B78CD">
        <w:rPr>
          <w:lang w:val="en-GB"/>
        </w:rPr>
        <w:t>THE RESULT (PART 2): RONA 3.0, RIPE FOR THE PICKING</w:t>
      </w:r>
    </w:p>
    <w:p w14:paraId="6A763B49"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54CD60C5" w14:textId="0559E55B" w:rsidR="00B97A57" w:rsidRPr="006B78CD" w:rsidRDefault="00B97A57" w:rsidP="00264ED8">
      <w:pPr>
        <w:pStyle w:val="BodyTextMain"/>
        <w:rPr>
          <w:lang w:val="en-GB"/>
        </w:rPr>
      </w:pPr>
      <w:r w:rsidRPr="000244E6">
        <w:rPr>
          <w:spacing w:val="-2"/>
          <w:kern w:val="22"/>
          <w:lang w:val="en-GB"/>
        </w:rPr>
        <w:t>Lowe’s returned on February 3, 2016, with a second unsolicited offer of $3.2 billion, or $24 per common share and $20 per preferred share (see Exhibit 4). It also made four more commitments. It would keep the head office in Boucherville, Quebec; maintain RONA’s multiple retail store banners; retain nearly all the current employees; and continue local and ethical procurement. These strong arguments convinced the board and shareholders to accept the deal.</w:t>
      </w:r>
      <w:r w:rsidRPr="000244E6">
        <w:rPr>
          <w:rStyle w:val="EndnoteReference"/>
          <w:color w:val="000000" w:themeColor="text1"/>
          <w:spacing w:val="-2"/>
          <w:kern w:val="22"/>
          <w:lang w:val="en-GB"/>
        </w:rPr>
        <w:endnoteReference w:id="52"/>
      </w:r>
      <w:r w:rsidRPr="000244E6">
        <w:rPr>
          <w:spacing w:val="-2"/>
          <w:kern w:val="22"/>
          <w:lang w:val="en-GB"/>
        </w:rPr>
        <w:t xml:space="preserve"> A few months later, the Canadian government approved the transaction</w:t>
      </w:r>
      <w:r w:rsidRPr="006B78CD">
        <w:rPr>
          <w:lang w:val="en-GB"/>
        </w:rPr>
        <w:t>.</w:t>
      </w:r>
      <w:r w:rsidRPr="006B78CD">
        <w:rPr>
          <w:rStyle w:val="EndnoteReference"/>
          <w:color w:val="000000" w:themeColor="text1"/>
          <w:lang w:val="en-GB"/>
        </w:rPr>
        <w:endnoteReference w:id="53"/>
      </w:r>
    </w:p>
    <w:p w14:paraId="66064C11"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1AA1149A"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30A0050E" w14:textId="77777777" w:rsidR="00B97A57" w:rsidRPr="006B78CD" w:rsidRDefault="00B97A57" w:rsidP="00264ED8">
      <w:pPr>
        <w:pStyle w:val="Casehead2"/>
        <w:rPr>
          <w:lang w:val="en-GB"/>
        </w:rPr>
      </w:pPr>
      <w:r w:rsidRPr="006B78CD">
        <w:rPr>
          <w:lang w:val="en-GB"/>
        </w:rPr>
        <w:t>DOING BUSINESS AS RONA 4.0: ABSORBED INTO LOWE’S CANADA</w:t>
      </w:r>
    </w:p>
    <w:p w14:paraId="05EEAAE7" w14:textId="77777777" w:rsidR="00B97A57" w:rsidRPr="006B78CD" w:rsidRDefault="00B97A57" w:rsidP="00264ED8">
      <w:pPr>
        <w:rPr>
          <w:b/>
          <w:color w:val="000000" w:themeColor="text1"/>
          <w:sz w:val="22"/>
          <w:szCs w:val="22"/>
          <w:lang w:val="en-GB"/>
        </w:rPr>
      </w:pPr>
    </w:p>
    <w:p w14:paraId="301F17F7" w14:textId="2FFEA57E" w:rsidR="00B97A57" w:rsidRPr="006B78CD" w:rsidRDefault="00B97A57" w:rsidP="00264ED8">
      <w:pPr>
        <w:pStyle w:val="BodyTextMain"/>
        <w:rPr>
          <w:lang w:val="en-GB"/>
        </w:rPr>
      </w:pPr>
      <w:r w:rsidRPr="006B78CD">
        <w:rPr>
          <w:lang w:val="en-GB"/>
        </w:rPr>
        <w:t xml:space="preserve">On </w:t>
      </w:r>
      <w:r w:rsidRPr="00DC72DD">
        <w:rPr>
          <w:lang w:val="en-GB"/>
        </w:rPr>
        <w:t>May 24, 2016</w:t>
      </w:r>
      <w:r w:rsidRPr="006B78CD">
        <w:rPr>
          <w:lang w:val="en-GB"/>
        </w:rPr>
        <w:t>, RONA’s shares disappeared from the stock market. On the same day, the trading volume of Lowe’s U.S. stock in the United States was high; it ended the day 6.19 per cent lower</w:t>
      </w:r>
      <w:r w:rsidR="00432AB6">
        <w:rPr>
          <w:lang w:val="en-GB"/>
        </w:rPr>
        <w:t xml:space="preserve"> than the previous day</w:t>
      </w:r>
      <w:r w:rsidRPr="006B78CD">
        <w:rPr>
          <w:lang w:val="en-GB"/>
        </w:rPr>
        <w:t>. Although Lowe’s U.S. had just added a pan-Canadian giant to its Lowe’s Canada commercial operations (see Exhibit 5), shareholders appeared to be concern</w:t>
      </w:r>
      <w:r w:rsidR="006C2F05">
        <w:rPr>
          <w:lang w:val="en-GB"/>
        </w:rPr>
        <w:t xml:space="preserve">ed about integration problems. </w:t>
      </w:r>
      <w:r w:rsidRPr="006B78CD">
        <w:rPr>
          <w:lang w:val="en-GB"/>
        </w:rPr>
        <w:t>The resounding failure of Target’s acquisition of Zeller’s stores in Canada may hav</w:t>
      </w:r>
      <w:r w:rsidR="006C2F05">
        <w:rPr>
          <w:lang w:val="en-GB"/>
        </w:rPr>
        <w:t>e explained their apprehension.</w:t>
      </w:r>
      <w:r w:rsidRPr="006B78CD">
        <w:rPr>
          <w:lang w:val="en-GB"/>
        </w:rPr>
        <w:t xml:space="preserve"> Lowe’s acquisition of RONA made the news again, and again it sparked comments by political and business representatives in Quebec (see Exhibit 6).</w:t>
      </w:r>
    </w:p>
    <w:p w14:paraId="3AE73AF1" w14:textId="77777777" w:rsidR="006E2C40" w:rsidRDefault="006E2C40" w:rsidP="00264ED8">
      <w:pPr>
        <w:pStyle w:val="BodyTextMain"/>
        <w:rPr>
          <w:lang w:val="en-GB"/>
        </w:rPr>
      </w:pPr>
    </w:p>
    <w:p w14:paraId="47AE9381" w14:textId="50E879AE" w:rsidR="00B97A57" w:rsidRPr="006B78CD" w:rsidRDefault="00B97A57" w:rsidP="00264ED8">
      <w:pPr>
        <w:pStyle w:val="BodyTextMain"/>
        <w:rPr>
          <w:lang w:val="en-GB"/>
        </w:rPr>
      </w:pPr>
      <w:r w:rsidRPr="00DC72DD">
        <w:rPr>
          <w:lang w:val="en-GB"/>
        </w:rPr>
        <w:t>By April 2017</w:t>
      </w:r>
      <w:r w:rsidRPr="006B78CD">
        <w:rPr>
          <w:lang w:val="en-GB"/>
        </w:rPr>
        <w:t xml:space="preserve">, </w:t>
      </w:r>
      <w:r w:rsidR="00432AB6">
        <w:rPr>
          <w:lang w:val="en-GB"/>
        </w:rPr>
        <w:t>life was different for RONA stakeholders. O</w:t>
      </w:r>
      <w:r w:rsidRPr="006B78CD">
        <w:rPr>
          <w:lang w:val="en-GB"/>
        </w:rPr>
        <w:t>pponents to the transaction saw their concerns materialize. For example, the results of a survey showed that 10 per cent of RONA’s suppliers had been negatively affected by the transaction</w:t>
      </w:r>
      <w:r w:rsidR="00C364AD">
        <w:rPr>
          <w:lang w:val="en-GB"/>
        </w:rPr>
        <w:t>: t</w:t>
      </w:r>
      <w:r w:rsidRPr="006B78CD">
        <w:rPr>
          <w:lang w:val="en-GB"/>
        </w:rPr>
        <w:t>heir revenues from sales to Lowe’s Canada had plunged by more than 20 per cent.</w:t>
      </w:r>
      <w:r w:rsidRPr="006B78CD">
        <w:rPr>
          <w:rStyle w:val="EndnoteReference"/>
          <w:color w:val="000000" w:themeColor="text1"/>
          <w:lang w:val="en-GB"/>
        </w:rPr>
        <w:endnoteReference w:id="54"/>
      </w:r>
    </w:p>
    <w:p w14:paraId="0F5DA0F2" w14:textId="77777777" w:rsidR="00B97A57" w:rsidRPr="006B78CD" w:rsidRDefault="00B97A57" w:rsidP="00264ED8">
      <w:pPr>
        <w:pStyle w:val="HTMLPreformatted"/>
        <w:rPr>
          <w:rFonts w:ascii="Times New Roman" w:hAnsi="Times New Roman" w:cs="Times New Roman"/>
          <w:color w:val="000000" w:themeColor="text1"/>
          <w:sz w:val="22"/>
          <w:szCs w:val="22"/>
          <w:lang w:val="en-GB"/>
        </w:rPr>
      </w:pPr>
    </w:p>
    <w:p w14:paraId="15F418AB" w14:textId="60EFBCF8" w:rsidR="00264ED8" w:rsidRPr="006B78CD" w:rsidRDefault="00B97A57" w:rsidP="00264ED8">
      <w:pPr>
        <w:pStyle w:val="BodyTextMain"/>
        <w:rPr>
          <w:rStyle w:val="tlid-translation"/>
          <w:color w:val="000000" w:themeColor="text1"/>
          <w:lang w:val="en-GB"/>
        </w:rPr>
      </w:pPr>
      <w:r w:rsidRPr="006B78CD">
        <w:rPr>
          <w:lang w:val="en-GB"/>
        </w:rPr>
        <w:t>In early October 2017, the president of Lowe’s Canada responded in an interview: “I would like in five years</w:t>
      </w:r>
      <w:r w:rsidR="006E2C40">
        <w:rPr>
          <w:lang w:val="en-GB"/>
        </w:rPr>
        <w:t xml:space="preserve"> [for]</w:t>
      </w:r>
      <w:r w:rsidRPr="006B78CD">
        <w:rPr>
          <w:lang w:val="en-GB"/>
        </w:rPr>
        <w:t xml:space="preserve"> people </w:t>
      </w:r>
      <w:r w:rsidR="006E2C40">
        <w:rPr>
          <w:lang w:val="en-GB"/>
        </w:rPr>
        <w:t xml:space="preserve">[to] </w:t>
      </w:r>
      <w:r w:rsidRPr="006B78CD">
        <w:rPr>
          <w:lang w:val="en-GB"/>
        </w:rPr>
        <w:t>say that it was not a bad deal, this story. That we have created value in Quebec.”</w:t>
      </w:r>
      <w:r w:rsidRPr="006B78CD">
        <w:rPr>
          <w:rStyle w:val="EndnoteReference"/>
          <w:color w:val="000000" w:themeColor="text1"/>
          <w:lang w:val="en-GB"/>
        </w:rPr>
        <w:endnoteReference w:id="55"/>
      </w:r>
      <w:r w:rsidRPr="006B78CD">
        <w:rPr>
          <w:lang w:val="en-GB"/>
        </w:rPr>
        <w:t xml:space="preserve"> </w:t>
      </w:r>
      <w:r w:rsidR="00264ED8" w:rsidRPr="006B78CD">
        <w:rPr>
          <w:lang w:val="en-GB"/>
        </w:rPr>
        <w:t>This candid wish beg</w:t>
      </w:r>
      <w:r w:rsidR="006E2C40">
        <w:rPr>
          <w:lang w:val="en-GB"/>
        </w:rPr>
        <w:t>ged</w:t>
      </w:r>
      <w:r w:rsidR="00264ED8" w:rsidRPr="006B78CD">
        <w:rPr>
          <w:lang w:val="en-GB"/>
        </w:rPr>
        <w:t xml:space="preserve"> the question</w:t>
      </w:r>
      <w:r w:rsidR="0023496C">
        <w:rPr>
          <w:lang w:val="en-GB"/>
        </w:rPr>
        <w:t>:</w:t>
      </w:r>
      <w:r w:rsidR="007A4F3E" w:rsidRPr="006B78CD">
        <w:rPr>
          <w:rStyle w:val="tlid-translation"/>
          <w:color w:val="000000" w:themeColor="text1"/>
          <w:lang w:val="en-GB"/>
        </w:rPr>
        <w:t xml:space="preserve"> </w:t>
      </w:r>
      <w:r w:rsidR="00264ED8" w:rsidRPr="006B78CD">
        <w:rPr>
          <w:rStyle w:val="tlid-translation"/>
          <w:color w:val="000000" w:themeColor="text1"/>
          <w:lang w:val="en-GB"/>
        </w:rPr>
        <w:t>Was being bought out the best option for RONA?</w:t>
      </w:r>
    </w:p>
    <w:p w14:paraId="506306CD" w14:textId="77777777" w:rsidR="00264ED8" w:rsidRPr="006B78CD" w:rsidRDefault="00264ED8" w:rsidP="00264ED8">
      <w:pPr>
        <w:spacing w:after="200" w:line="276" w:lineRule="auto"/>
        <w:rPr>
          <w:rStyle w:val="tlid-translation"/>
          <w:color w:val="000000" w:themeColor="text1"/>
          <w:sz w:val="22"/>
          <w:szCs w:val="22"/>
          <w:lang w:val="en-GB"/>
        </w:rPr>
      </w:pPr>
      <w:r w:rsidRPr="006B78CD">
        <w:rPr>
          <w:rStyle w:val="tlid-translation"/>
          <w:color w:val="000000" w:themeColor="text1"/>
          <w:lang w:val="en-GB"/>
        </w:rPr>
        <w:br w:type="page"/>
      </w:r>
    </w:p>
    <w:p w14:paraId="0208C689" w14:textId="7395AB36" w:rsidR="00264ED8" w:rsidRPr="006B78CD" w:rsidRDefault="00264ED8" w:rsidP="00264ED8">
      <w:pPr>
        <w:pStyle w:val="ExhibitHeading"/>
        <w:rPr>
          <w:lang w:val="en-GB"/>
        </w:rPr>
      </w:pPr>
      <w:r w:rsidRPr="006B78CD">
        <w:rPr>
          <w:lang w:val="en-GB"/>
        </w:rPr>
        <w:lastRenderedPageBreak/>
        <w:t>EXHIBIT 1: RONA IN BUYING MODE (2000</w:t>
      </w:r>
      <w:r w:rsidR="00E612A6" w:rsidRPr="006B78CD">
        <w:rPr>
          <w:lang w:val="en-GB"/>
        </w:rPr>
        <w:t>–</w:t>
      </w:r>
      <w:r w:rsidRPr="006B78CD">
        <w:rPr>
          <w:lang w:val="en-GB"/>
        </w:rPr>
        <w:t>2010)</w:t>
      </w:r>
    </w:p>
    <w:p w14:paraId="25B52401" w14:textId="77777777" w:rsidR="00264ED8" w:rsidRPr="006B78CD" w:rsidRDefault="00264ED8" w:rsidP="00264ED8">
      <w:pPr>
        <w:rPr>
          <w:b/>
          <w:sz w:val="22"/>
          <w:szCs w:val="22"/>
          <w:lang w:val="en-GB"/>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980"/>
        <w:gridCol w:w="1260"/>
        <w:gridCol w:w="3486"/>
        <w:gridCol w:w="2004"/>
      </w:tblGrid>
      <w:tr w:rsidR="00264ED8" w:rsidRPr="006B78CD" w14:paraId="78F7FADD" w14:textId="77777777" w:rsidTr="00CE552D">
        <w:tc>
          <w:tcPr>
            <w:tcW w:w="715" w:type="dxa"/>
            <w:shd w:val="clear" w:color="auto" w:fill="auto"/>
          </w:tcPr>
          <w:p w14:paraId="3132F09D" w14:textId="77777777" w:rsidR="00264ED8" w:rsidRPr="006B78CD" w:rsidRDefault="00264ED8" w:rsidP="00847EEA">
            <w:pPr>
              <w:jc w:val="center"/>
              <w:rPr>
                <w:rFonts w:ascii="Arial" w:hAnsi="Arial" w:cs="Arial"/>
                <w:b/>
                <w:lang w:val="en-GB"/>
              </w:rPr>
            </w:pPr>
            <w:r w:rsidRPr="006B78CD">
              <w:rPr>
                <w:rFonts w:ascii="Arial" w:hAnsi="Arial" w:cs="Arial"/>
                <w:b/>
                <w:lang w:val="en-GB"/>
              </w:rPr>
              <w:t>Year</w:t>
            </w:r>
          </w:p>
        </w:tc>
        <w:tc>
          <w:tcPr>
            <w:tcW w:w="1980" w:type="dxa"/>
            <w:shd w:val="clear" w:color="auto" w:fill="auto"/>
          </w:tcPr>
          <w:p w14:paraId="0A459500" w14:textId="4FD6218A" w:rsidR="00264ED8" w:rsidRPr="006B78CD" w:rsidRDefault="00264ED8" w:rsidP="00847EEA">
            <w:pPr>
              <w:jc w:val="center"/>
              <w:rPr>
                <w:rFonts w:ascii="Arial" w:hAnsi="Arial" w:cs="Arial"/>
                <w:b/>
                <w:lang w:val="en-GB"/>
              </w:rPr>
            </w:pPr>
            <w:r w:rsidRPr="006B78CD">
              <w:rPr>
                <w:rFonts w:ascii="Arial" w:hAnsi="Arial" w:cs="Arial"/>
                <w:b/>
                <w:lang w:val="en-GB"/>
              </w:rPr>
              <w:t xml:space="preserve">Companies </w:t>
            </w:r>
            <w:r w:rsidR="00E612A6" w:rsidRPr="006B78CD">
              <w:rPr>
                <w:rFonts w:ascii="Arial" w:hAnsi="Arial" w:cs="Arial"/>
                <w:b/>
                <w:lang w:val="en-GB"/>
              </w:rPr>
              <w:t>Acquired</w:t>
            </w:r>
          </w:p>
        </w:tc>
        <w:tc>
          <w:tcPr>
            <w:tcW w:w="1260" w:type="dxa"/>
            <w:shd w:val="clear" w:color="auto" w:fill="auto"/>
          </w:tcPr>
          <w:p w14:paraId="2A71CBF0" w14:textId="3307F0A2" w:rsidR="00264ED8" w:rsidRPr="006B78CD" w:rsidRDefault="00264ED8" w:rsidP="00847EEA">
            <w:pPr>
              <w:jc w:val="center"/>
              <w:rPr>
                <w:rFonts w:ascii="Arial" w:hAnsi="Arial" w:cs="Arial"/>
                <w:b/>
                <w:lang w:val="en-GB"/>
              </w:rPr>
            </w:pPr>
            <w:r w:rsidRPr="006B78CD">
              <w:rPr>
                <w:rFonts w:ascii="Arial" w:hAnsi="Arial" w:cs="Arial"/>
                <w:b/>
                <w:lang w:val="en-GB"/>
              </w:rPr>
              <w:t xml:space="preserve">Number of </w:t>
            </w:r>
            <w:r w:rsidR="00E612A6" w:rsidRPr="006B78CD">
              <w:rPr>
                <w:rFonts w:ascii="Arial" w:hAnsi="Arial" w:cs="Arial"/>
                <w:b/>
                <w:lang w:val="en-GB"/>
              </w:rPr>
              <w:t>Stores</w:t>
            </w:r>
          </w:p>
        </w:tc>
        <w:tc>
          <w:tcPr>
            <w:tcW w:w="3486" w:type="dxa"/>
            <w:shd w:val="clear" w:color="auto" w:fill="auto"/>
          </w:tcPr>
          <w:p w14:paraId="6AA96CBC" w14:textId="77777777" w:rsidR="00264ED8" w:rsidRPr="006B78CD" w:rsidRDefault="00264ED8" w:rsidP="00847EEA">
            <w:pPr>
              <w:jc w:val="center"/>
              <w:rPr>
                <w:rFonts w:ascii="Arial" w:hAnsi="Arial" w:cs="Arial"/>
                <w:b/>
                <w:lang w:val="en-GB"/>
              </w:rPr>
            </w:pPr>
            <w:r w:rsidRPr="006B78CD">
              <w:rPr>
                <w:rFonts w:ascii="Arial" w:hAnsi="Arial" w:cs="Arial"/>
                <w:b/>
                <w:lang w:val="en-GB"/>
              </w:rPr>
              <w:t>Comments</w:t>
            </w:r>
          </w:p>
        </w:tc>
        <w:tc>
          <w:tcPr>
            <w:tcW w:w="2004" w:type="dxa"/>
            <w:shd w:val="clear" w:color="auto" w:fill="auto"/>
          </w:tcPr>
          <w:p w14:paraId="00BD4B22" w14:textId="561208AE" w:rsidR="00264ED8" w:rsidRPr="006B78CD" w:rsidRDefault="00264ED8" w:rsidP="00847EEA">
            <w:pPr>
              <w:pStyle w:val="HTMLPreformatted"/>
              <w:jc w:val="center"/>
              <w:rPr>
                <w:rFonts w:ascii="Arial" w:hAnsi="Arial" w:cs="Arial"/>
                <w:b/>
                <w:lang w:val="en-GB"/>
              </w:rPr>
            </w:pPr>
            <w:r w:rsidRPr="006B78CD">
              <w:rPr>
                <w:rFonts w:ascii="Arial" w:hAnsi="Arial" w:cs="Arial"/>
                <w:b/>
                <w:lang w:val="en-GB"/>
              </w:rPr>
              <w:t xml:space="preserve">Province of </w:t>
            </w:r>
            <w:r w:rsidR="00E612A6" w:rsidRPr="006B78CD">
              <w:rPr>
                <w:rFonts w:ascii="Arial" w:hAnsi="Arial" w:cs="Arial"/>
                <w:b/>
                <w:lang w:val="en-GB"/>
              </w:rPr>
              <w:t>Operation</w:t>
            </w:r>
          </w:p>
        </w:tc>
      </w:tr>
      <w:tr w:rsidR="00264ED8" w:rsidRPr="006B78CD" w14:paraId="301ADC3F" w14:textId="77777777" w:rsidTr="00CE552D">
        <w:tc>
          <w:tcPr>
            <w:tcW w:w="715" w:type="dxa"/>
            <w:shd w:val="clear" w:color="auto" w:fill="auto"/>
            <w:vAlign w:val="center"/>
          </w:tcPr>
          <w:p w14:paraId="5C5FF43C" w14:textId="77777777" w:rsidR="00264ED8" w:rsidRPr="006B78CD" w:rsidRDefault="00264ED8" w:rsidP="00913F42">
            <w:pPr>
              <w:rPr>
                <w:rFonts w:ascii="Arial" w:hAnsi="Arial" w:cs="Arial"/>
                <w:lang w:val="en-GB"/>
              </w:rPr>
            </w:pPr>
            <w:r w:rsidRPr="006B78CD">
              <w:rPr>
                <w:rFonts w:ascii="Arial" w:hAnsi="Arial" w:cs="Arial"/>
                <w:lang w:val="en-GB"/>
              </w:rPr>
              <w:t>2000</w:t>
            </w:r>
          </w:p>
        </w:tc>
        <w:tc>
          <w:tcPr>
            <w:tcW w:w="1980" w:type="dxa"/>
            <w:shd w:val="clear" w:color="auto" w:fill="auto"/>
            <w:vAlign w:val="center"/>
          </w:tcPr>
          <w:p w14:paraId="6829823A" w14:textId="77777777" w:rsidR="00264ED8" w:rsidRPr="006B78CD" w:rsidRDefault="00264ED8" w:rsidP="00913F42">
            <w:pPr>
              <w:rPr>
                <w:rFonts w:ascii="Arial" w:hAnsi="Arial" w:cs="Arial"/>
                <w:lang w:val="en-GB"/>
              </w:rPr>
            </w:pPr>
            <w:r w:rsidRPr="006B78CD">
              <w:rPr>
                <w:rFonts w:ascii="Arial" w:hAnsi="Arial" w:cs="Arial"/>
                <w:lang w:val="en-GB"/>
              </w:rPr>
              <w:t xml:space="preserve">Cashway Building Centres </w:t>
            </w:r>
          </w:p>
        </w:tc>
        <w:tc>
          <w:tcPr>
            <w:tcW w:w="1260" w:type="dxa"/>
            <w:shd w:val="clear" w:color="auto" w:fill="auto"/>
            <w:vAlign w:val="center"/>
          </w:tcPr>
          <w:p w14:paraId="1B75E282" w14:textId="77777777" w:rsidR="00264ED8" w:rsidRPr="006B78CD" w:rsidRDefault="00264ED8" w:rsidP="00913F42">
            <w:pPr>
              <w:rPr>
                <w:rFonts w:ascii="Arial" w:hAnsi="Arial" w:cs="Arial"/>
                <w:lang w:val="en-GB"/>
              </w:rPr>
            </w:pPr>
            <w:r w:rsidRPr="006B78CD">
              <w:rPr>
                <w:rFonts w:ascii="Arial" w:hAnsi="Arial" w:cs="Arial"/>
                <w:lang w:val="en-GB"/>
              </w:rPr>
              <w:t xml:space="preserve">66 </w:t>
            </w:r>
          </w:p>
        </w:tc>
        <w:tc>
          <w:tcPr>
            <w:tcW w:w="3486" w:type="dxa"/>
            <w:shd w:val="clear" w:color="auto" w:fill="auto"/>
            <w:vAlign w:val="center"/>
          </w:tcPr>
          <w:p w14:paraId="147F5D3C" w14:textId="0CE3CE03" w:rsidR="00264ED8" w:rsidRPr="006B78CD" w:rsidRDefault="00264ED8" w:rsidP="00913F42">
            <w:pPr>
              <w:pStyle w:val="HTMLPreformatted"/>
              <w:rPr>
                <w:rFonts w:ascii="Arial" w:hAnsi="Arial" w:cs="Arial"/>
                <w:lang w:val="en-GB"/>
              </w:rPr>
            </w:pPr>
            <w:r w:rsidRPr="006B78CD">
              <w:rPr>
                <w:rFonts w:ascii="Arial" w:hAnsi="Arial" w:cs="Arial"/>
                <w:lang w:val="en-GB"/>
              </w:rPr>
              <w:t>Third</w:t>
            </w:r>
            <w:r w:rsidR="00A27366" w:rsidRPr="006B78CD">
              <w:rPr>
                <w:rFonts w:ascii="Arial" w:hAnsi="Arial" w:cs="Arial"/>
                <w:lang w:val="en-GB"/>
              </w:rPr>
              <w:t>-</w:t>
            </w:r>
            <w:r w:rsidRPr="006B78CD">
              <w:rPr>
                <w:rFonts w:ascii="Arial" w:hAnsi="Arial" w:cs="Arial"/>
                <w:lang w:val="en-GB"/>
              </w:rPr>
              <w:t xml:space="preserve">largest player </w:t>
            </w:r>
          </w:p>
        </w:tc>
        <w:tc>
          <w:tcPr>
            <w:tcW w:w="2004" w:type="dxa"/>
            <w:shd w:val="clear" w:color="auto" w:fill="auto"/>
            <w:vAlign w:val="center"/>
          </w:tcPr>
          <w:p w14:paraId="75288FA0" w14:textId="77777777" w:rsidR="00264ED8" w:rsidRPr="006B78CD" w:rsidRDefault="00264ED8" w:rsidP="00913F42">
            <w:pPr>
              <w:pStyle w:val="BodyText"/>
              <w:spacing w:before="4"/>
              <w:ind w:right="137"/>
              <w:rPr>
                <w:rFonts w:ascii="Arial" w:hAnsi="Arial" w:cs="Arial"/>
                <w:lang w:val="en-GB"/>
              </w:rPr>
            </w:pPr>
            <w:r w:rsidRPr="006B78CD">
              <w:rPr>
                <w:rFonts w:ascii="Arial" w:hAnsi="Arial" w:cs="Arial"/>
                <w:lang w:val="en-GB"/>
              </w:rPr>
              <w:t xml:space="preserve">Ontario </w:t>
            </w:r>
          </w:p>
        </w:tc>
      </w:tr>
      <w:tr w:rsidR="00264ED8" w:rsidRPr="006B78CD" w14:paraId="5DCD9F2F" w14:textId="77777777" w:rsidTr="00CE552D">
        <w:tc>
          <w:tcPr>
            <w:tcW w:w="715" w:type="dxa"/>
            <w:shd w:val="clear" w:color="auto" w:fill="auto"/>
            <w:vAlign w:val="center"/>
          </w:tcPr>
          <w:p w14:paraId="11801EC0" w14:textId="77777777" w:rsidR="00264ED8" w:rsidRPr="006B78CD" w:rsidRDefault="00264ED8" w:rsidP="00913F42">
            <w:pPr>
              <w:rPr>
                <w:rFonts w:ascii="Arial" w:hAnsi="Arial" w:cs="Arial"/>
                <w:lang w:val="en-GB"/>
              </w:rPr>
            </w:pPr>
            <w:r w:rsidRPr="006B78CD">
              <w:rPr>
                <w:rFonts w:ascii="Arial" w:hAnsi="Arial" w:cs="Arial"/>
                <w:lang w:val="en-GB"/>
              </w:rPr>
              <w:t>2001</w:t>
            </w:r>
          </w:p>
        </w:tc>
        <w:tc>
          <w:tcPr>
            <w:tcW w:w="1980" w:type="dxa"/>
            <w:shd w:val="clear" w:color="auto" w:fill="auto"/>
            <w:vAlign w:val="center"/>
          </w:tcPr>
          <w:p w14:paraId="7B2878A0" w14:textId="77777777" w:rsidR="00264ED8" w:rsidRPr="006B78CD" w:rsidRDefault="00264ED8" w:rsidP="00913F42">
            <w:pPr>
              <w:rPr>
                <w:rFonts w:ascii="Arial" w:hAnsi="Arial" w:cs="Arial"/>
                <w:spacing w:val="-4"/>
                <w:lang w:val="en-GB"/>
              </w:rPr>
            </w:pPr>
            <w:r w:rsidRPr="006B78CD">
              <w:rPr>
                <w:rFonts w:ascii="Arial" w:hAnsi="Arial" w:cs="Arial"/>
                <w:spacing w:val="-4"/>
                <w:lang w:val="en-GB"/>
              </w:rPr>
              <w:t>Revy Group</w:t>
            </w:r>
          </w:p>
        </w:tc>
        <w:tc>
          <w:tcPr>
            <w:tcW w:w="1260" w:type="dxa"/>
            <w:shd w:val="clear" w:color="auto" w:fill="auto"/>
            <w:vAlign w:val="center"/>
          </w:tcPr>
          <w:p w14:paraId="5AA879E6" w14:textId="77777777" w:rsidR="00264ED8" w:rsidRPr="006B78CD" w:rsidRDefault="00264ED8" w:rsidP="00913F42">
            <w:pPr>
              <w:rPr>
                <w:rFonts w:ascii="Arial" w:hAnsi="Arial" w:cs="Arial"/>
                <w:lang w:val="en-GB"/>
              </w:rPr>
            </w:pPr>
            <w:r w:rsidRPr="006B78CD">
              <w:rPr>
                <w:rFonts w:ascii="Arial" w:hAnsi="Arial" w:cs="Arial"/>
                <w:lang w:val="en-GB"/>
              </w:rPr>
              <w:t xml:space="preserve">51 </w:t>
            </w:r>
          </w:p>
        </w:tc>
        <w:tc>
          <w:tcPr>
            <w:tcW w:w="3486" w:type="dxa"/>
            <w:shd w:val="clear" w:color="auto" w:fill="auto"/>
            <w:vAlign w:val="center"/>
          </w:tcPr>
          <w:p w14:paraId="5B3B7C57" w14:textId="60D98B5B" w:rsidR="00264ED8" w:rsidRPr="006B78CD" w:rsidRDefault="00264ED8" w:rsidP="00913F42">
            <w:pPr>
              <w:pStyle w:val="HTMLPreformatted"/>
              <w:rPr>
                <w:rFonts w:ascii="Arial" w:hAnsi="Arial" w:cs="Arial"/>
                <w:lang w:val="en-GB"/>
              </w:rPr>
            </w:pPr>
            <w:r w:rsidRPr="006B78CD">
              <w:rPr>
                <w:rFonts w:ascii="Arial" w:hAnsi="Arial" w:cs="Arial"/>
                <w:lang w:val="en-GB"/>
              </w:rPr>
              <w:t>Acquired three banners</w:t>
            </w:r>
            <w:r w:rsidR="00221EA2" w:rsidRPr="006B78CD">
              <w:rPr>
                <w:rFonts w:ascii="Arial" w:hAnsi="Arial" w:cs="Arial"/>
                <w:lang w:val="en-GB"/>
              </w:rPr>
              <w:t>:</w:t>
            </w:r>
            <w:r w:rsidRPr="006B78CD">
              <w:rPr>
                <w:rFonts w:ascii="Arial" w:hAnsi="Arial" w:cs="Arial"/>
                <w:lang w:val="en-GB"/>
              </w:rPr>
              <w:t xml:space="preserve"> Revy, Revelstoke</w:t>
            </w:r>
            <w:r w:rsidR="00221EA2" w:rsidRPr="006B78CD">
              <w:rPr>
                <w:rFonts w:ascii="Arial" w:hAnsi="Arial" w:cs="Arial"/>
                <w:lang w:val="en-GB"/>
              </w:rPr>
              <w:t>,</w:t>
            </w:r>
            <w:r w:rsidRPr="006B78CD">
              <w:rPr>
                <w:rFonts w:ascii="Arial" w:hAnsi="Arial" w:cs="Arial"/>
                <w:lang w:val="en-GB"/>
              </w:rPr>
              <w:t xml:space="preserve"> and Lansing</w:t>
            </w:r>
            <w:r w:rsidR="00221EA2" w:rsidRPr="006B78CD">
              <w:rPr>
                <w:rFonts w:ascii="Arial" w:hAnsi="Arial" w:cs="Arial"/>
                <w:spacing w:val="-4"/>
                <w:lang w:val="en-GB"/>
              </w:rPr>
              <w:t xml:space="preserve"> chain stores</w:t>
            </w:r>
          </w:p>
        </w:tc>
        <w:tc>
          <w:tcPr>
            <w:tcW w:w="2004" w:type="dxa"/>
            <w:shd w:val="clear" w:color="auto" w:fill="auto"/>
            <w:vAlign w:val="center"/>
          </w:tcPr>
          <w:p w14:paraId="141DFF08" w14:textId="68316CB4" w:rsidR="00264ED8" w:rsidRPr="006B78CD" w:rsidRDefault="00264ED8" w:rsidP="00913F42">
            <w:pPr>
              <w:pStyle w:val="BodyText"/>
              <w:spacing w:before="4"/>
              <w:ind w:right="137"/>
              <w:rPr>
                <w:rFonts w:ascii="Arial" w:hAnsi="Arial" w:cs="Arial"/>
                <w:lang w:val="en-GB"/>
              </w:rPr>
            </w:pPr>
            <w:r w:rsidRPr="006B78CD">
              <w:rPr>
                <w:rFonts w:ascii="Arial" w:hAnsi="Arial" w:cs="Arial"/>
                <w:spacing w:val="-4"/>
                <w:lang w:val="en-GB"/>
              </w:rPr>
              <w:t xml:space="preserve">Ontario, </w:t>
            </w:r>
            <w:r w:rsidR="0022289A">
              <w:rPr>
                <w:rFonts w:ascii="Arial" w:hAnsi="Arial" w:cs="Arial"/>
                <w:spacing w:val="-4"/>
                <w:lang w:val="en-GB"/>
              </w:rPr>
              <w:t xml:space="preserve">the </w:t>
            </w:r>
            <w:r w:rsidRPr="006B78CD">
              <w:rPr>
                <w:rFonts w:ascii="Arial" w:hAnsi="Arial" w:cs="Arial"/>
                <w:spacing w:val="-4"/>
                <w:lang w:val="en-GB"/>
              </w:rPr>
              <w:t>Prairie</w:t>
            </w:r>
            <w:r w:rsidR="0022289A">
              <w:rPr>
                <w:rFonts w:ascii="Arial" w:hAnsi="Arial" w:cs="Arial"/>
                <w:spacing w:val="-4"/>
                <w:lang w:val="en-GB"/>
              </w:rPr>
              <w:t xml:space="preserve"> provinces</w:t>
            </w:r>
            <w:r w:rsidR="00221EA2" w:rsidRPr="006B78CD">
              <w:rPr>
                <w:rFonts w:ascii="Arial" w:hAnsi="Arial" w:cs="Arial"/>
                <w:spacing w:val="-4"/>
                <w:lang w:val="en-GB"/>
              </w:rPr>
              <w:t>,</w:t>
            </w:r>
            <w:r w:rsidRPr="006B78CD">
              <w:rPr>
                <w:rFonts w:ascii="Arial" w:hAnsi="Arial" w:cs="Arial"/>
                <w:spacing w:val="-4"/>
                <w:lang w:val="en-GB"/>
              </w:rPr>
              <w:t xml:space="preserve"> and British Columbia</w:t>
            </w:r>
          </w:p>
        </w:tc>
      </w:tr>
      <w:tr w:rsidR="00264ED8" w:rsidRPr="006B78CD" w14:paraId="234BE9CE" w14:textId="77777777" w:rsidTr="00CE552D">
        <w:tc>
          <w:tcPr>
            <w:tcW w:w="715" w:type="dxa"/>
            <w:shd w:val="clear" w:color="auto" w:fill="auto"/>
            <w:vAlign w:val="center"/>
          </w:tcPr>
          <w:p w14:paraId="3460C0A4" w14:textId="77777777" w:rsidR="00264ED8" w:rsidRPr="006B78CD" w:rsidRDefault="00264ED8" w:rsidP="00913F42">
            <w:pPr>
              <w:rPr>
                <w:rFonts w:ascii="Arial" w:hAnsi="Arial" w:cs="Arial"/>
                <w:lang w:val="en-GB"/>
              </w:rPr>
            </w:pPr>
            <w:r w:rsidRPr="006B78CD">
              <w:rPr>
                <w:rFonts w:ascii="Arial" w:hAnsi="Arial" w:cs="Arial"/>
                <w:lang w:val="en-GB"/>
              </w:rPr>
              <w:t>2003</w:t>
            </w:r>
          </w:p>
        </w:tc>
        <w:tc>
          <w:tcPr>
            <w:tcW w:w="1980" w:type="dxa"/>
            <w:shd w:val="clear" w:color="auto" w:fill="auto"/>
            <w:vAlign w:val="center"/>
          </w:tcPr>
          <w:p w14:paraId="7ECB2300" w14:textId="23072CD6" w:rsidR="00264ED8" w:rsidRPr="006B78CD" w:rsidRDefault="00264ED8" w:rsidP="00913F42">
            <w:pPr>
              <w:rPr>
                <w:rFonts w:ascii="Arial" w:hAnsi="Arial" w:cs="Arial"/>
                <w:lang w:val="en-GB"/>
              </w:rPr>
            </w:pPr>
            <w:r w:rsidRPr="006B78CD">
              <w:rPr>
                <w:rFonts w:ascii="Arial" w:hAnsi="Arial" w:cs="Arial"/>
                <w:lang w:val="en-GB"/>
              </w:rPr>
              <w:t>Réno-Dép</w:t>
            </w:r>
            <w:r w:rsidRPr="006B78CD">
              <w:rPr>
                <w:rFonts w:ascii="Arial" w:hAnsi="Arial" w:cs="Arial"/>
                <w:color w:val="000000"/>
                <w:lang w:val="en-GB"/>
              </w:rPr>
              <w:t>ô</w:t>
            </w:r>
            <w:r w:rsidRPr="006B78CD">
              <w:rPr>
                <w:rFonts w:ascii="Arial" w:hAnsi="Arial" w:cs="Arial"/>
                <w:lang w:val="en-GB"/>
              </w:rPr>
              <w:t>t</w:t>
            </w:r>
            <w:r w:rsidR="00A27366" w:rsidRPr="006B78CD">
              <w:rPr>
                <w:rFonts w:ascii="Arial" w:hAnsi="Arial" w:cs="Arial"/>
                <w:lang w:val="en-GB"/>
              </w:rPr>
              <w:t xml:space="preserve"> (</w:t>
            </w:r>
            <w:r w:rsidRPr="006B78CD">
              <w:rPr>
                <w:rFonts w:ascii="Arial" w:hAnsi="Arial" w:cs="Arial"/>
                <w:lang w:val="en-GB"/>
              </w:rPr>
              <w:t>The Building Box</w:t>
            </w:r>
            <w:r w:rsidR="00A27366" w:rsidRPr="006B78CD">
              <w:rPr>
                <w:rFonts w:ascii="Arial" w:hAnsi="Arial" w:cs="Arial"/>
                <w:lang w:val="en-GB"/>
              </w:rPr>
              <w:t>)</w:t>
            </w:r>
          </w:p>
        </w:tc>
        <w:tc>
          <w:tcPr>
            <w:tcW w:w="1260" w:type="dxa"/>
            <w:shd w:val="clear" w:color="auto" w:fill="auto"/>
            <w:vAlign w:val="center"/>
          </w:tcPr>
          <w:p w14:paraId="520AA585" w14:textId="77777777" w:rsidR="00264ED8" w:rsidRPr="006B78CD" w:rsidRDefault="00264ED8" w:rsidP="00913F42">
            <w:pPr>
              <w:autoSpaceDE w:val="0"/>
              <w:autoSpaceDN w:val="0"/>
              <w:adjustRightInd w:val="0"/>
              <w:rPr>
                <w:rFonts w:ascii="Arial" w:hAnsi="Arial" w:cs="Arial"/>
                <w:lang w:val="en-GB"/>
              </w:rPr>
            </w:pPr>
            <w:r w:rsidRPr="006B78CD">
              <w:rPr>
                <w:rFonts w:ascii="Arial" w:hAnsi="Arial" w:cs="Arial"/>
                <w:lang w:val="en-GB"/>
              </w:rPr>
              <w:t>20</w:t>
            </w:r>
          </w:p>
        </w:tc>
        <w:tc>
          <w:tcPr>
            <w:tcW w:w="3486" w:type="dxa"/>
            <w:shd w:val="clear" w:color="auto" w:fill="auto"/>
            <w:vAlign w:val="center"/>
          </w:tcPr>
          <w:p w14:paraId="7D7CB628" w14:textId="3840E209" w:rsidR="00264ED8" w:rsidRPr="006B78CD" w:rsidRDefault="00264ED8" w:rsidP="00913F42">
            <w:pPr>
              <w:rPr>
                <w:rFonts w:ascii="Arial" w:hAnsi="Arial" w:cs="Arial"/>
                <w:lang w:val="en-GB"/>
              </w:rPr>
            </w:pPr>
            <w:r w:rsidRPr="006B78CD">
              <w:rPr>
                <w:rFonts w:ascii="Arial" w:hAnsi="Arial" w:cs="Arial"/>
                <w:lang w:val="en-GB"/>
              </w:rPr>
              <w:t>Large warehouse store</w:t>
            </w:r>
          </w:p>
        </w:tc>
        <w:tc>
          <w:tcPr>
            <w:tcW w:w="2004" w:type="dxa"/>
            <w:shd w:val="clear" w:color="auto" w:fill="auto"/>
            <w:vAlign w:val="center"/>
          </w:tcPr>
          <w:p w14:paraId="34650A61" w14:textId="77777777" w:rsidR="00264ED8" w:rsidRPr="006B78CD" w:rsidRDefault="00264ED8" w:rsidP="00913F42">
            <w:pPr>
              <w:rPr>
                <w:rFonts w:ascii="Arial" w:hAnsi="Arial" w:cs="Arial"/>
                <w:lang w:val="en-GB"/>
              </w:rPr>
            </w:pPr>
            <w:r w:rsidRPr="006B78CD">
              <w:rPr>
                <w:rFonts w:ascii="Arial" w:hAnsi="Arial" w:cs="Arial"/>
                <w:lang w:val="en-GB"/>
              </w:rPr>
              <w:t xml:space="preserve">Ontario, Quebec </w:t>
            </w:r>
          </w:p>
        </w:tc>
      </w:tr>
      <w:tr w:rsidR="00264ED8" w:rsidRPr="006B78CD" w14:paraId="74428EF9" w14:textId="77777777" w:rsidTr="00CE552D">
        <w:trPr>
          <w:trHeight w:val="386"/>
        </w:trPr>
        <w:tc>
          <w:tcPr>
            <w:tcW w:w="715" w:type="dxa"/>
            <w:shd w:val="clear" w:color="auto" w:fill="auto"/>
            <w:vAlign w:val="center"/>
          </w:tcPr>
          <w:p w14:paraId="32555103" w14:textId="77777777" w:rsidR="00264ED8" w:rsidRPr="006B78CD" w:rsidRDefault="00264ED8" w:rsidP="00913F42">
            <w:pPr>
              <w:rPr>
                <w:rFonts w:ascii="Arial" w:hAnsi="Arial" w:cs="Arial"/>
                <w:lang w:val="en-GB"/>
              </w:rPr>
            </w:pPr>
            <w:r w:rsidRPr="006B78CD">
              <w:rPr>
                <w:rFonts w:ascii="Arial" w:hAnsi="Arial" w:cs="Arial"/>
                <w:lang w:val="en-GB"/>
              </w:rPr>
              <w:t xml:space="preserve">2003 </w:t>
            </w:r>
          </w:p>
        </w:tc>
        <w:tc>
          <w:tcPr>
            <w:tcW w:w="1980" w:type="dxa"/>
            <w:shd w:val="clear" w:color="auto" w:fill="auto"/>
            <w:vAlign w:val="center"/>
          </w:tcPr>
          <w:p w14:paraId="0E11BD61" w14:textId="654FD7FF" w:rsidR="00264ED8" w:rsidRPr="006B78CD" w:rsidRDefault="00264ED8" w:rsidP="00913F42">
            <w:pPr>
              <w:rPr>
                <w:rFonts w:ascii="Arial" w:hAnsi="Arial" w:cs="Arial"/>
                <w:lang w:val="en-GB"/>
              </w:rPr>
            </w:pPr>
            <w:r w:rsidRPr="006B78CD">
              <w:rPr>
                <w:rFonts w:ascii="Arial" w:hAnsi="Arial" w:cs="Arial"/>
                <w:lang w:val="en-GB"/>
              </w:rPr>
              <w:t xml:space="preserve">R. Marcil &amp; Frères </w:t>
            </w:r>
          </w:p>
        </w:tc>
        <w:tc>
          <w:tcPr>
            <w:tcW w:w="1260" w:type="dxa"/>
            <w:shd w:val="clear" w:color="auto" w:fill="auto"/>
            <w:vAlign w:val="center"/>
          </w:tcPr>
          <w:p w14:paraId="599AEB2F" w14:textId="77777777" w:rsidR="00264ED8" w:rsidRPr="006B78CD" w:rsidRDefault="00264ED8" w:rsidP="00913F42">
            <w:pPr>
              <w:autoSpaceDE w:val="0"/>
              <w:autoSpaceDN w:val="0"/>
              <w:adjustRightInd w:val="0"/>
              <w:rPr>
                <w:rFonts w:ascii="Arial" w:hAnsi="Arial" w:cs="Arial"/>
                <w:lang w:val="en-GB"/>
              </w:rPr>
            </w:pPr>
            <w:r w:rsidRPr="006B78CD">
              <w:rPr>
                <w:rFonts w:ascii="Arial" w:hAnsi="Arial" w:cs="Arial"/>
                <w:spacing w:val="-4"/>
                <w:lang w:val="en-GB"/>
              </w:rPr>
              <w:t>17</w:t>
            </w:r>
          </w:p>
        </w:tc>
        <w:tc>
          <w:tcPr>
            <w:tcW w:w="3486" w:type="dxa"/>
            <w:shd w:val="clear" w:color="auto" w:fill="auto"/>
            <w:vAlign w:val="center"/>
          </w:tcPr>
          <w:p w14:paraId="3A1E3323" w14:textId="4EB5BAEB" w:rsidR="00A27366" w:rsidRPr="006B78CD" w:rsidRDefault="00264ED8" w:rsidP="00913F42">
            <w:pPr>
              <w:rPr>
                <w:rFonts w:ascii="Arial" w:hAnsi="Arial" w:cs="Arial"/>
                <w:lang w:val="en-GB"/>
              </w:rPr>
            </w:pPr>
            <w:r w:rsidRPr="006B78CD">
              <w:rPr>
                <w:rFonts w:ascii="Arial" w:hAnsi="Arial" w:cs="Arial"/>
                <w:lang w:val="en-GB"/>
              </w:rPr>
              <w:t>A regional chain of stores in the Laurentian region</w:t>
            </w:r>
          </w:p>
          <w:p w14:paraId="273D45B7" w14:textId="4B2423D6" w:rsidR="00264ED8" w:rsidRPr="006B78CD" w:rsidRDefault="00A27366" w:rsidP="00913F42">
            <w:pPr>
              <w:rPr>
                <w:rFonts w:ascii="Arial" w:hAnsi="Arial" w:cs="Arial"/>
                <w:lang w:val="en-GB"/>
              </w:rPr>
            </w:pPr>
            <w:r w:rsidRPr="006B78CD">
              <w:rPr>
                <w:rFonts w:ascii="Arial" w:hAnsi="Arial" w:cs="Arial"/>
                <w:lang w:val="en-GB"/>
              </w:rPr>
              <w:t>(</w:t>
            </w:r>
            <w:r w:rsidR="009E6E00" w:rsidRPr="006B78CD">
              <w:rPr>
                <w:rFonts w:ascii="Arial" w:hAnsi="Arial" w:cs="Arial"/>
                <w:lang w:val="en-GB"/>
              </w:rPr>
              <w:t>RONA</w:t>
            </w:r>
            <w:r w:rsidRPr="006B78CD">
              <w:rPr>
                <w:rFonts w:ascii="Arial" w:hAnsi="Arial" w:cs="Arial"/>
                <w:lang w:val="en-GB"/>
              </w:rPr>
              <w:t xml:space="preserve"> acquired 51 </w:t>
            </w:r>
            <w:r w:rsidR="00221EA2" w:rsidRPr="006B78CD">
              <w:rPr>
                <w:rFonts w:ascii="Arial" w:hAnsi="Arial" w:cs="Arial"/>
                <w:lang w:val="en-GB"/>
              </w:rPr>
              <w:t>per cent</w:t>
            </w:r>
            <w:r w:rsidRPr="006B78CD">
              <w:rPr>
                <w:rFonts w:ascii="Arial" w:hAnsi="Arial" w:cs="Arial"/>
                <w:lang w:val="en-GB"/>
              </w:rPr>
              <w:t>)</w:t>
            </w:r>
          </w:p>
        </w:tc>
        <w:tc>
          <w:tcPr>
            <w:tcW w:w="2004" w:type="dxa"/>
            <w:shd w:val="clear" w:color="auto" w:fill="auto"/>
            <w:vAlign w:val="center"/>
          </w:tcPr>
          <w:p w14:paraId="74A83693" w14:textId="77777777" w:rsidR="00264ED8" w:rsidRPr="006B78CD" w:rsidRDefault="00264ED8" w:rsidP="00913F42">
            <w:pPr>
              <w:rPr>
                <w:rFonts w:ascii="Arial" w:hAnsi="Arial" w:cs="Arial"/>
                <w:lang w:val="en-GB"/>
              </w:rPr>
            </w:pPr>
            <w:r w:rsidRPr="006B78CD">
              <w:rPr>
                <w:rFonts w:ascii="Arial" w:hAnsi="Arial" w:cs="Arial"/>
                <w:lang w:val="en-GB"/>
              </w:rPr>
              <w:t>Quebec</w:t>
            </w:r>
          </w:p>
        </w:tc>
      </w:tr>
      <w:tr w:rsidR="00264ED8" w:rsidRPr="006B78CD" w14:paraId="2B7218FC" w14:textId="77777777" w:rsidTr="00CE552D">
        <w:tc>
          <w:tcPr>
            <w:tcW w:w="715" w:type="dxa"/>
            <w:shd w:val="clear" w:color="auto" w:fill="auto"/>
            <w:vAlign w:val="center"/>
          </w:tcPr>
          <w:p w14:paraId="3873E41D" w14:textId="77777777" w:rsidR="00264ED8" w:rsidRPr="006B78CD" w:rsidRDefault="00264ED8" w:rsidP="00913F42">
            <w:pPr>
              <w:rPr>
                <w:rFonts w:ascii="Arial" w:hAnsi="Arial" w:cs="Arial"/>
                <w:lang w:val="en-GB"/>
              </w:rPr>
            </w:pPr>
            <w:r w:rsidRPr="006B78CD">
              <w:rPr>
                <w:rFonts w:ascii="Arial" w:hAnsi="Arial" w:cs="Arial"/>
                <w:lang w:val="en-GB"/>
              </w:rPr>
              <w:t>2004</w:t>
            </w:r>
          </w:p>
        </w:tc>
        <w:tc>
          <w:tcPr>
            <w:tcW w:w="1980" w:type="dxa"/>
            <w:shd w:val="clear" w:color="auto" w:fill="auto"/>
            <w:vAlign w:val="center"/>
          </w:tcPr>
          <w:p w14:paraId="5102F78A" w14:textId="77777777" w:rsidR="00264ED8" w:rsidRPr="006B78CD" w:rsidRDefault="00264ED8" w:rsidP="00913F42">
            <w:pPr>
              <w:rPr>
                <w:rFonts w:ascii="Arial" w:hAnsi="Arial" w:cs="Arial"/>
                <w:spacing w:val="-3"/>
                <w:lang w:val="en-GB"/>
              </w:rPr>
            </w:pPr>
            <w:r w:rsidRPr="006B78CD">
              <w:rPr>
                <w:rFonts w:ascii="Arial" w:hAnsi="Arial" w:cs="Arial"/>
                <w:spacing w:val="-4"/>
                <w:lang w:val="en-GB"/>
              </w:rPr>
              <w:t xml:space="preserve">Totem </w:t>
            </w:r>
            <w:r w:rsidRPr="006B78CD">
              <w:rPr>
                <w:rFonts w:ascii="Arial" w:hAnsi="Arial" w:cs="Arial"/>
                <w:spacing w:val="-3"/>
                <w:lang w:val="en-GB"/>
              </w:rPr>
              <w:t>Building Supplies</w:t>
            </w:r>
          </w:p>
        </w:tc>
        <w:tc>
          <w:tcPr>
            <w:tcW w:w="1260" w:type="dxa"/>
            <w:shd w:val="clear" w:color="auto" w:fill="auto"/>
            <w:vAlign w:val="center"/>
          </w:tcPr>
          <w:p w14:paraId="041387E7" w14:textId="048F2F6D" w:rsidR="00264ED8" w:rsidRPr="006B78CD" w:rsidRDefault="00264ED8" w:rsidP="00913F42">
            <w:pPr>
              <w:rPr>
                <w:rFonts w:ascii="Arial" w:hAnsi="Arial" w:cs="Arial"/>
                <w:lang w:val="en-GB"/>
              </w:rPr>
            </w:pPr>
            <w:r w:rsidRPr="006B78CD">
              <w:rPr>
                <w:rFonts w:ascii="Arial" w:hAnsi="Arial" w:cs="Arial"/>
                <w:lang w:val="en-GB"/>
              </w:rPr>
              <w:t>17 + 1 distribution</w:t>
            </w:r>
            <w:r w:rsidR="00A27366" w:rsidRPr="006B78CD">
              <w:rPr>
                <w:rFonts w:ascii="Arial" w:hAnsi="Arial" w:cs="Arial"/>
                <w:lang w:val="en-GB"/>
              </w:rPr>
              <w:t xml:space="preserve"> </w:t>
            </w:r>
            <w:r w:rsidRPr="006B78CD">
              <w:rPr>
                <w:rFonts w:ascii="Arial" w:hAnsi="Arial" w:cs="Arial"/>
                <w:lang w:val="en-GB"/>
              </w:rPr>
              <w:t>cent</w:t>
            </w:r>
            <w:r w:rsidR="00A27366" w:rsidRPr="006B78CD">
              <w:rPr>
                <w:rFonts w:ascii="Arial" w:hAnsi="Arial" w:cs="Arial"/>
                <w:lang w:val="en-GB"/>
              </w:rPr>
              <w:t>r</w:t>
            </w:r>
            <w:r w:rsidRPr="006B78CD">
              <w:rPr>
                <w:rFonts w:ascii="Arial" w:hAnsi="Arial" w:cs="Arial"/>
                <w:lang w:val="en-GB"/>
              </w:rPr>
              <w:t>e</w:t>
            </w:r>
          </w:p>
        </w:tc>
        <w:tc>
          <w:tcPr>
            <w:tcW w:w="3486" w:type="dxa"/>
            <w:shd w:val="clear" w:color="auto" w:fill="auto"/>
            <w:vAlign w:val="center"/>
          </w:tcPr>
          <w:p w14:paraId="56F96FE2" w14:textId="6B76FF55" w:rsidR="00264ED8" w:rsidRPr="006B78CD" w:rsidRDefault="00264ED8" w:rsidP="00913F42">
            <w:pPr>
              <w:pStyle w:val="HTMLPreformatted"/>
              <w:rPr>
                <w:rFonts w:ascii="Arial" w:hAnsi="Arial" w:cs="Arial"/>
                <w:lang w:val="en-GB"/>
              </w:rPr>
            </w:pPr>
            <w:r w:rsidRPr="006B78CD">
              <w:rPr>
                <w:rFonts w:ascii="Arial" w:hAnsi="Arial" w:cs="Arial"/>
                <w:lang w:val="en-GB"/>
              </w:rPr>
              <w:t>Leader in sales of renovation products</w:t>
            </w:r>
          </w:p>
        </w:tc>
        <w:tc>
          <w:tcPr>
            <w:tcW w:w="2004" w:type="dxa"/>
            <w:shd w:val="clear" w:color="auto" w:fill="auto"/>
            <w:vAlign w:val="center"/>
          </w:tcPr>
          <w:p w14:paraId="3A460672" w14:textId="77777777" w:rsidR="00264ED8" w:rsidRPr="006B78CD" w:rsidRDefault="00264ED8" w:rsidP="00913F42">
            <w:pPr>
              <w:rPr>
                <w:rFonts w:ascii="Arial" w:hAnsi="Arial" w:cs="Arial"/>
                <w:lang w:val="en-GB"/>
              </w:rPr>
            </w:pPr>
            <w:r w:rsidRPr="006B78CD">
              <w:rPr>
                <w:rFonts w:ascii="Arial" w:hAnsi="Arial" w:cs="Arial"/>
                <w:lang w:val="en-GB"/>
              </w:rPr>
              <w:t>Alberta</w:t>
            </w:r>
          </w:p>
        </w:tc>
      </w:tr>
      <w:tr w:rsidR="00264ED8" w:rsidRPr="006B78CD" w14:paraId="38E2EACA" w14:textId="77777777" w:rsidTr="00CE552D">
        <w:tc>
          <w:tcPr>
            <w:tcW w:w="715" w:type="dxa"/>
            <w:shd w:val="clear" w:color="auto" w:fill="auto"/>
            <w:vAlign w:val="center"/>
          </w:tcPr>
          <w:p w14:paraId="53353FA8" w14:textId="77777777" w:rsidR="00264ED8" w:rsidRPr="006B78CD" w:rsidRDefault="00264ED8" w:rsidP="00913F42">
            <w:pPr>
              <w:rPr>
                <w:rFonts w:ascii="Arial" w:hAnsi="Arial" w:cs="Arial"/>
                <w:vertAlign w:val="superscript"/>
                <w:lang w:val="en-GB"/>
              </w:rPr>
            </w:pPr>
            <w:r w:rsidRPr="006B78CD">
              <w:rPr>
                <w:rFonts w:ascii="Arial" w:hAnsi="Arial" w:cs="Arial"/>
                <w:lang w:val="en-GB"/>
              </w:rPr>
              <w:t>2006</w:t>
            </w:r>
          </w:p>
        </w:tc>
        <w:tc>
          <w:tcPr>
            <w:tcW w:w="1980" w:type="dxa"/>
            <w:shd w:val="clear" w:color="auto" w:fill="auto"/>
            <w:vAlign w:val="center"/>
          </w:tcPr>
          <w:p w14:paraId="3CD7EE24" w14:textId="3F96697B" w:rsidR="00264ED8" w:rsidRPr="006B78CD" w:rsidRDefault="00264ED8" w:rsidP="00913F42">
            <w:pPr>
              <w:rPr>
                <w:rFonts w:ascii="Arial" w:hAnsi="Arial" w:cs="Arial"/>
                <w:lang w:val="en-GB"/>
              </w:rPr>
            </w:pPr>
            <w:r w:rsidRPr="006B78CD">
              <w:rPr>
                <w:rFonts w:ascii="Arial" w:hAnsi="Arial" w:cs="Arial"/>
                <w:lang w:val="en-GB"/>
              </w:rPr>
              <w:t xml:space="preserve">Matériaux Coupal </w:t>
            </w:r>
          </w:p>
        </w:tc>
        <w:tc>
          <w:tcPr>
            <w:tcW w:w="1260" w:type="dxa"/>
            <w:shd w:val="clear" w:color="auto" w:fill="auto"/>
            <w:vAlign w:val="center"/>
          </w:tcPr>
          <w:p w14:paraId="42D7BA50" w14:textId="77777777" w:rsidR="00264ED8" w:rsidRPr="006B78CD" w:rsidRDefault="00264ED8" w:rsidP="00913F42">
            <w:pPr>
              <w:rPr>
                <w:rFonts w:ascii="Arial" w:hAnsi="Arial" w:cs="Arial"/>
                <w:lang w:val="en-GB"/>
              </w:rPr>
            </w:pPr>
            <w:r w:rsidRPr="006B78CD">
              <w:rPr>
                <w:rFonts w:ascii="Arial" w:hAnsi="Arial" w:cs="Arial"/>
                <w:spacing w:val="-4"/>
                <w:lang w:val="en-GB"/>
              </w:rPr>
              <w:t xml:space="preserve">9 </w:t>
            </w:r>
          </w:p>
        </w:tc>
        <w:tc>
          <w:tcPr>
            <w:tcW w:w="3486" w:type="dxa"/>
            <w:shd w:val="clear" w:color="auto" w:fill="auto"/>
            <w:vAlign w:val="center"/>
          </w:tcPr>
          <w:p w14:paraId="7A0AB66E" w14:textId="77777777" w:rsidR="00A27366" w:rsidRPr="006B78CD" w:rsidRDefault="00264ED8" w:rsidP="00913F42">
            <w:pPr>
              <w:pStyle w:val="HTMLPreformatted"/>
              <w:rPr>
                <w:rFonts w:ascii="Arial" w:hAnsi="Arial" w:cs="Arial"/>
                <w:lang w:val="en-GB"/>
              </w:rPr>
            </w:pPr>
            <w:r w:rsidRPr="006B78CD">
              <w:rPr>
                <w:rFonts w:ascii="Arial" w:hAnsi="Arial" w:cs="Arial"/>
                <w:lang w:val="en-GB"/>
              </w:rPr>
              <w:t>Specialized in the sale of lumber and materials for contractors</w:t>
            </w:r>
          </w:p>
          <w:p w14:paraId="691363BB" w14:textId="447F988A" w:rsidR="00264ED8" w:rsidRPr="006B78CD" w:rsidRDefault="00A27366" w:rsidP="00913F42">
            <w:pPr>
              <w:pStyle w:val="HTMLPreformatted"/>
              <w:rPr>
                <w:rFonts w:ascii="Arial" w:hAnsi="Arial" w:cs="Arial"/>
                <w:lang w:val="en-GB"/>
              </w:rPr>
            </w:pPr>
            <w:r w:rsidRPr="006B78CD">
              <w:rPr>
                <w:rFonts w:ascii="Arial" w:hAnsi="Arial" w:cs="Arial"/>
                <w:lang w:val="en-GB"/>
              </w:rPr>
              <w:t>(</w:t>
            </w:r>
            <w:r w:rsidR="009E6E00" w:rsidRPr="006B78CD">
              <w:rPr>
                <w:rFonts w:ascii="Arial" w:hAnsi="Arial" w:cs="Arial"/>
                <w:lang w:val="en-GB"/>
              </w:rPr>
              <w:t>RONA</w:t>
            </w:r>
            <w:r w:rsidRPr="006B78CD">
              <w:rPr>
                <w:rFonts w:ascii="Arial" w:hAnsi="Arial" w:cs="Arial"/>
                <w:lang w:val="en-GB"/>
              </w:rPr>
              <w:t xml:space="preserve"> acquired 51 </w:t>
            </w:r>
            <w:r w:rsidR="00221EA2" w:rsidRPr="006B78CD">
              <w:rPr>
                <w:rFonts w:ascii="Arial" w:hAnsi="Arial" w:cs="Arial"/>
                <w:lang w:val="en-GB"/>
              </w:rPr>
              <w:t>per cent</w:t>
            </w:r>
            <w:r w:rsidRPr="006B78CD">
              <w:rPr>
                <w:rFonts w:ascii="Arial" w:hAnsi="Arial" w:cs="Arial"/>
                <w:lang w:val="en-GB"/>
              </w:rPr>
              <w:t>)</w:t>
            </w:r>
          </w:p>
        </w:tc>
        <w:tc>
          <w:tcPr>
            <w:tcW w:w="2004" w:type="dxa"/>
            <w:shd w:val="clear" w:color="auto" w:fill="auto"/>
            <w:vAlign w:val="center"/>
          </w:tcPr>
          <w:p w14:paraId="27E5E084" w14:textId="77777777" w:rsidR="00264ED8" w:rsidRPr="006B78CD" w:rsidRDefault="00264ED8" w:rsidP="00913F42">
            <w:pPr>
              <w:rPr>
                <w:rFonts w:ascii="Arial" w:hAnsi="Arial" w:cs="Arial"/>
                <w:lang w:val="en-GB"/>
              </w:rPr>
            </w:pPr>
            <w:r w:rsidRPr="006B78CD">
              <w:rPr>
                <w:rFonts w:ascii="Arial" w:hAnsi="Arial" w:cs="Arial"/>
                <w:lang w:val="en-GB"/>
              </w:rPr>
              <w:t>Quebec</w:t>
            </w:r>
          </w:p>
        </w:tc>
      </w:tr>
      <w:tr w:rsidR="00264ED8" w:rsidRPr="006B78CD" w14:paraId="04124768" w14:textId="77777777" w:rsidTr="00CE552D">
        <w:tc>
          <w:tcPr>
            <w:tcW w:w="715" w:type="dxa"/>
            <w:shd w:val="clear" w:color="auto" w:fill="auto"/>
            <w:vAlign w:val="center"/>
          </w:tcPr>
          <w:p w14:paraId="7456221E" w14:textId="77777777" w:rsidR="00264ED8" w:rsidRPr="006B78CD" w:rsidRDefault="00264ED8" w:rsidP="00913F42">
            <w:pPr>
              <w:rPr>
                <w:rFonts w:ascii="Arial" w:hAnsi="Arial" w:cs="Arial"/>
                <w:lang w:val="en-GB"/>
              </w:rPr>
            </w:pPr>
            <w:r w:rsidRPr="006B78CD">
              <w:rPr>
                <w:rFonts w:ascii="Arial" w:hAnsi="Arial" w:cs="Arial"/>
                <w:lang w:val="en-GB"/>
              </w:rPr>
              <w:t>2006</w:t>
            </w:r>
          </w:p>
        </w:tc>
        <w:tc>
          <w:tcPr>
            <w:tcW w:w="1980" w:type="dxa"/>
            <w:shd w:val="clear" w:color="auto" w:fill="auto"/>
            <w:vAlign w:val="center"/>
          </w:tcPr>
          <w:p w14:paraId="55CFAE77" w14:textId="0859758B" w:rsidR="00264ED8" w:rsidRPr="006B78CD" w:rsidRDefault="00264ED8" w:rsidP="00913F42">
            <w:pPr>
              <w:rPr>
                <w:rFonts w:ascii="Arial" w:hAnsi="Arial" w:cs="Arial"/>
                <w:lang w:val="en-GB"/>
              </w:rPr>
            </w:pPr>
            <w:r w:rsidRPr="006B78CD">
              <w:rPr>
                <w:rFonts w:ascii="Arial" w:hAnsi="Arial" w:cs="Arial"/>
                <w:lang w:val="en-GB"/>
              </w:rPr>
              <w:t>Chester Dawe Limited</w:t>
            </w:r>
          </w:p>
        </w:tc>
        <w:tc>
          <w:tcPr>
            <w:tcW w:w="1260" w:type="dxa"/>
            <w:shd w:val="clear" w:color="auto" w:fill="auto"/>
            <w:vAlign w:val="center"/>
          </w:tcPr>
          <w:p w14:paraId="1B64EBE4" w14:textId="77777777" w:rsidR="00264ED8" w:rsidRPr="006B78CD" w:rsidRDefault="00264ED8" w:rsidP="00913F42">
            <w:pPr>
              <w:rPr>
                <w:rFonts w:ascii="Arial" w:hAnsi="Arial" w:cs="Arial"/>
                <w:spacing w:val="-4"/>
                <w:lang w:val="en-GB"/>
              </w:rPr>
            </w:pPr>
            <w:r w:rsidRPr="006B78CD">
              <w:rPr>
                <w:rFonts w:ascii="Arial" w:hAnsi="Arial" w:cs="Arial"/>
                <w:spacing w:val="-4"/>
                <w:lang w:val="en-GB"/>
              </w:rPr>
              <w:t xml:space="preserve">8 </w:t>
            </w:r>
          </w:p>
        </w:tc>
        <w:tc>
          <w:tcPr>
            <w:tcW w:w="3486" w:type="dxa"/>
            <w:shd w:val="clear" w:color="auto" w:fill="auto"/>
            <w:vAlign w:val="center"/>
          </w:tcPr>
          <w:p w14:paraId="09BA4972" w14:textId="77777777" w:rsidR="00264ED8" w:rsidRPr="006B78CD" w:rsidRDefault="00264ED8" w:rsidP="00913F42">
            <w:pPr>
              <w:pStyle w:val="HTMLPreformatted"/>
              <w:rPr>
                <w:rFonts w:ascii="Arial" w:hAnsi="Arial" w:cs="Arial"/>
                <w:lang w:val="en-GB"/>
              </w:rPr>
            </w:pPr>
            <w:r w:rsidRPr="006B78CD">
              <w:rPr>
                <w:rFonts w:ascii="Arial" w:hAnsi="Arial" w:cs="Arial"/>
                <w:lang w:val="en-GB"/>
              </w:rPr>
              <w:t>A trade network and a roof truss manufacturing plant</w:t>
            </w:r>
          </w:p>
        </w:tc>
        <w:tc>
          <w:tcPr>
            <w:tcW w:w="2004" w:type="dxa"/>
            <w:shd w:val="clear" w:color="auto" w:fill="auto"/>
            <w:vAlign w:val="center"/>
          </w:tcPr>
          <w:p w14:paraId="4AA0560F" w14:textId="6AFF1183" w:rsidR="00264ED8" w:rsidRPr="006B78CD" w:rsidRDefault="00264ED8" w:rsidP="00913F42">
            <w:pPr>
              <w:rPr>
                <w:rFonts w:ascii="Arial" w:hAnsi="Arial" w:cs="Arial"/>
                <w:lang w:val="en-GB"/>
              </w:rPr>
            </w:pPr>
            <w:r w:rsidRPr="006B78CD">
              <w:rPr>
                <w:rFonts w:ascii="Arial" w:hAnsi="Arial" w:cs="Arial"/>
                <w:spacing w:val="-5"/>
                <w:lang w:val="en-GB"/>
              </w:rPr>
              <w:t xml:space="preserve">Newfoundland </w:t>
            </w:r>
            <w:r w:rsidR="00221EA2" w:rsidRPr="006B78CD">
              <w:rPr>
                <w:rFonts w:ascii="Arial" w:hAnsi="Arial" w:cs="Arial"/>
                <w:spacing w:val="-5"/>
                <w:lang w:val="en-GB"/>
              </w:rPr>
              <w:t xml:space="preserve">and </w:t>
            </w:r>
            <w:r w:rsidRPr="006B78CD">
              <w:rPr>
                <w:rFonts w:ascii="Arial" w:hAnsi="Arial" w:cs="Arial"/>
                <w:spacing w:val="-5"/>
                <w:lang w:val="en-GB"/>
              </w:rPr>
              <w:t>Labrador</w:t>
            </w:r>
          </w:p>
        </w:tc>
      </w:tr>
      <w:tr w:rsidR="00264ED8" w:rsidRPr="006B78CD" w14:paraId="1CAC62AC" w14:textId="77777777" w:rsidTr="00CE552D">
        <w:tc>
          <w:tcPr>
            <w:tcW w:w="715" w:type="dxa"/>
            <w:shd w:val="clear" w:color="auto" w:fill="auto"/>
            <w:vAlign w:val="center"/>
          </w:tcPr>
          <w:p w14:paraId="4C4A1EF9" w14:textId="77777777" w:rsidR="00264ED8" w:rsidRPr="006B78CD" w:rsidRDefault="00264ED8" w:rsidP="00913F42">
            <w:pPr>
              <w:rPr>
                <w:rFonts w:ascii="Arial" w:hAnsi="Arial" w:cs="Arial"/>
                <w:lang w:val="en-GB"/>
              </w:rPr>
            </w:pPr>
            <w:r w:rsidRPr="006B78CD">
              <w:rPr>
                <w:rFonts w:ascii="Arial" w:hAnsi="Arial" w:cs="Arial"/>
                <w:lang w:val="en-GB"/>
              </w:rPr>
              <w:t>2006</w:t>
            </w:r>
          </w:p>
        </w:tc>
        <w:tc>
          <w:tcPr>
            <w:tcW w:w="1980" w:type="dxa"/>
            <w:shd w:val="clear" w:color="auto" w:fill="auto"/>
            <w:vAlign w:val="center"/>
          </w:tcPr>
          <w:p w14:paraId="6D86550E" w14:textId="564FBB62" w:rsidR="00264ED8" w:rsidRPr="006B78CD" w:rsidRDefault="00264ED8" w:rsidP="00913F42">
            <w:pPr>
              <w:rPr>
                <w:rFonts w:ascii="Arial" w:hAnsi="Arial" w:cs="Arial"/>
                <w:lang w:val="en-GB"/>
              </w:rPr>
            </w:pPr>
            <w:r w:rsidRPr="006B78CD">
              <w:rPr>
                <w:rFonts w:ascii="Arial" w:hAnsi="Arial" w:cs="Arial"/>
                <w:lang w:val="en-GB"/>
              </w:rPr>
              <w:t>Curtis Lumber Co. Ltd</w:t>
            </w:r>
            <w:r w:rsidR="00A27366" w:rsidRPr="006B78CD">
              <w:rPr>
                <w:rFonts w:ascii="Arial" w:hAnsi="Arial" w:cs="Arial"/>
                <w:lang w:val="en-GB"/>
              </w:rPr>
              <w:t>.</w:t>
            </w:r>
          </w:p>
        </w:tc>
        <w:tc>
          <w:tcPr>
            <w:tcW w:w="1260" w:type="dxa"/>
            <w:shd w:val="clear" w:color="auto" w:fill="auto"/>
            <w:vAlign w:val="center"/>
          </w:tcPr>
          <w:p w14:paraId="5579FDE2" w14:textId="77777777" w:rsidR="00264ED8" w:rsidRPr="006B78CD" w:rsidRDefault="00264ED8" w:rsidP="00913F42">
            <w:pPr>
              <w:rPr>
                <w:rFonts w:ascii="Arial" w:hAnsi="Arial" w:cs="Arial"/>
                <w:lang w:val="en-GB"/>
              </w:rPr>
            </w:pPr>
            <w:r w:rsidRPr="006B78CD">
              <w:rPr>
                <w:rFonts w:ascii="Arial" w:hAnsi="Arial" w:cs="Arial"/>
                <w:lang w:val="en-GB"/>
              </w:rPr>
              <w:t xml:space="preserve">6 </w:t>
            </w:r>
          </w:p>
        </w:tc>
        <w:tc>
          <w:tcPr>
            <w:tcW w:w="3486" w:type="dxa"/>
            <w:shd w:val="clear" w:color="auto" w:fill="auto"/>
            <w:vAlign w:val="center"/>
          </w:tcPr>
          <w:p w14:paraId="440DB46C" w14:textId="4DADF8FE" w:rsidR="00264ED8" w:rsidRPr="006B78CD" w:rsidRDefault="00264ED8" w:rsidP="00913F42">
            <w:pPr>
              <w:pStyle w:val="HTMLPreformatted"/>
              <w:rPr>
                <w:rFonts w:ascii="Arial" w:hAnsi="Arial" w:cs="Arial"/>
                <w:lang w:val="en-GB"/>
              </w:rPr>
            </w:pPr>
            <w:r w:rsidRPr="006B78CD">
              <w:rPr>
                <w:rFonts w:ascii="Arial" w:hAnsi="Arial" w:cs="Arial"/>
                <w:lang w:val="en-GB"/>
              </w:rPr>
              <w:t>A major supplier of building, renovation</w:t>
            </w:r>
            <w:r w:rsidR="00221EA2" w:rsidRPr="006B78CD">
              <w:rPr>
                <w:rFonts w:ascii="Arial" w:hAnsi="Arial" w:cs="Arial"/>
                <w:lang w:val="en-GB"/>
              </w:rPr>
              <w:t>,</w:t>
            </w:r>
            <w:r w:rsidRPr="006B78CD">
              <w:rPr>
                <w:rFonts w:ascii="Arial" w:hAnsi="Arial" w:cs="Arial"/>
                <w:lang w:val="en-GB"/>
              </w:rPr>
              <w:t xml:space="preserve"> and hardware supplies</w:t>
            </w:r>
          </w:p>
        </w:tc>
        <w:tc>
          <w:tcPr>
            <w:tcW w:w="2004" w:type="dxa"/>
            <w:shd w:val="clear" w:color="auto" w:fill="auto"/>
            <w:vAlign w:val="center"/>
          </w:tcPr>
          <w:p w14:paraId="5CCF6D99" w14:textId="77777777" w:rsidR="00264ED8" w:rsidRPr="006B78CD" w:rsidRDefault="00264ED8" w:rsidP="00913F42">
            <w:pPr>
              <w:rPr>
                <w:rFonts w:ascii="Arial" w:hAnsi="Arial" w:cs="Arial"/>
                <w:lang w:val="en-GB"/>
              </w:rPr>
            </w:pPr>
            <w:r w:rsidRPr="006B78CD">
              <w:rPr>
                <w:rFonts w:ascii="Arial" w:hAnsi="Arial" w:cs="Arial"/>
                <w:spacing w:val="-4"/>
                <w:lang w:val="en-GB"/>
              </w:rPr>
              <w:t>British Columbia</w:t>
            </w:r>
          </w:p>
        </w:tc>
      </w:tr>
      <w:tr w:rsidR="00264ED8" w:rsidRPr="006B78CD" w14:paraId="5F89C67B" w14:textId="77777777" w:rsidTr="00CE552D">
        <w:tc>
          <w:tcPr>
            <w:tcW w:w="715" w:type="dxa"/>
            <w:shd w:val="clear" w:color="auto" w:fill="auto"/>
            <w:vAlign w:val="center"/>
          </w:tcPr>
          <w:p w14:paraId="1C521D07" w14:textId="77777777" w:rsidR="00264ED8" w:rsidRPr="006B78CD" w:rsidRDefault="00264ED8" w:rsidP="00913F42">
            <w:pPr>
              <w:rPr>
                <w:rFonts w:ascii="Arial" w:hAnsi="Arial" w:cs="Arial"/>
                <w:lang w:val="en-GB"/>
              </w:rPr>
            </w:pPr>
            <w:r w:rsidRPr="006B78CD">
              <w:rPr>
                <w:rFonts w:ascii="Arial" w:hAnsi="Arial" w:cs="Arial"/>
                <w:lang w:val="en-GB"/>
              </w:rPr>
              <w:t>2006</w:t>
            </w:r>
          </w:p>
        </w:tc>
        <w:tc>
          <w:tcPr>
            <w:tcW w:w="1980" w:type="dxa"/>
            <w:shd w:val="clear" w:color="auto" w:fill="auto"/>
            <w:vAlign w:val="center"/>
          </w:tcPr>
          <w:p w14:paraId="0E33B7F1" w14:textId="6A2C3922" w:rsidR="00264ED8" w:rsidRPr="006B78CD" w:rsidRDefault="00264ED8" w:rsidP="00913F42">
            <w:pPr>
              <w:rPr>
                <w:rFonts w:ascii="Arial" w:hAnsi="Arial" w:cs="Arial"/>
                <w:lang w:val="en-GB"/>
              </w:rPr>
            </w:pPr>
            <w:r w:rsidRPr="006B78CD">
              <w:rPr>
                <w:rFonts w:ascii="Arial" w:hAnsi="Arial" w:cs="Arial"/>
                <w:lang w:val="en-GB"/>
              </w:rPr>
              <w:t>Mountain Building Centres Limited</w:t>
            </w:r>
            <w:r w:rsidR="00913F42">
              <w:rPr>
                <w:rFonts w:ascii="Arial" w:hAnsi="Arial" w:cs="Arial"/>
                <w:lang w:val="en-GB"/>
              </w:rPr>
              <w:t xml:space="preserve"> </w:t>
            </w:r>
            <w:r w:rsidRPr="006B78CD">
              <w:rPr>
                <w:rFonts w:ascii="Arial" w:hAnsi="Arial" w:cs="Arial"/>
                <w:lang w:val="en-GB"/>
              </w:rPr>
              <w:t>(TIM-BR Mart)</w:t>
            </w:r>
          </w:p>
        </w:tc>
        <w:tc>
          <w:tcPr>
            <w:tcW w:w="1260" w:type="dxa"/>
            <w:shd w:val="clear" w:color="auto" w:fill="auto"/>
            <w:vAlign w:val="center"/>
          </w:tcPr>
          <w:p w14:paraId="71246041" w14:textId="77777777" w:rsidR="00264ED8" w:rsidRPr="006B78CD" w:rsidRDefault="00264ED8" w:rsidP="00913F42">
            <w:pPr>
              <w:rPr>
                <w:rFonts w:ascii="Arial" w:hAnsi="Arial" w:cs="Arial"/>
                <w:lang w:val="en-GB"/>
              </w:rPr>
            </w:pPr>
            <w:r w:rsidRPr="006B78CD">
              <w:rPr>
                <w:rFonts w:ascii="Arial" w:hAnsi="Arial" w:cs="Arial"/>
                <w:lang w:val="en-GB"/>
              </w:rPr>
              <w:t xml:space="preserve">3 </w:t>
            </w:r>
          </w:p>
        </w:tc>
        <w:tc>
          <w:tcPr>
            <w:tcW w:w="3486" w:type="dxa"/>
            <w:shd w:val="clear" w:color="auto" w:fill="auto"/>
            <w:vAlign w:val="center"/>
          </w:tcPr>
          <w:p w14:paraId="1B8D974D" w14:textId="6E0BD121" w:rsidR="00264ED8" w:rsidRPr="006B78CD" w:rsidRDefault="00264ED8" w:rsidP="00913F42">
            <w:pPr>
              <w:pStyle w:val="HTMLPreformatted"/>
              <w:rPr>
                <w:rFonts w:ascii="Arial" w:hAnsi="Arial" w:cs="Arial"/>
                <w:lang w:val="en-GB"/>
              </w:rPr>
            </w:pPr>
            <w:r w:rsidRPr="006B78CD">
              <w:rPr>
                <w:rFonts w:ascii="Arial" w:hAnsi="Arial" w:cs="Arial"/>
                <w:lang w:val="en-GB"/>
              </w:rPr>
              <w:t>Lumber and construction products accounted for about 70</w:t>
            </w:r>
            <w:r w:rsidR="00221EA2" w:rsidRPr="006B78CD">
              <w:rPr>
                <w:rFonts w:ascii="Arial" w:hAnsi="Arial" w:cs="Arial"/>
                <w:lang w:val="en-GB"/>
              </w:rPr>
              <w:t xml:space="preserve"> per cent </w:t>
            </w:r>
            <w:r w:rsidRPr="006B78CD">
              <w:rPr>
                <w:rFonts w:ascii="Arial" w:hAnsi="Arial" w:cs="Arial"/>
                <w:lang w:val="en-GB"/>
              </w:rPr>
              <w:t>of this chain’s sales</w:t>
            </w:r>
          </w:p>
        </w:tc>
        <w:tc>
          <w:tcPr>
            <w:tcW w:w="2004" w:type="dxa"/>
            <w:shd w:val="clear" w:color="auto" w:fill="auto"/>
            <w:vAlign w:val="center"/>
          </w:tcPr>
          <w:p w14:paraId="21F217DA" w14:textId="77777777" w:rsidR="00264ED8" w:rsidRPr="006B78CD" w:rsidRDefault="00264ED8" w:rsidP="00913F42">
            <w:pPr>
              <w:rPr>
                <w:rFonts w:ascii="Arial" w:hAnsi="Arial" w:cs="Arial"/>
                <w:lang w:val="en-GB"/>
              </w:rPr>
            </w:pPr>
            <w:r w:rsidRPr="006B78CD">
              <w:rPr>
                <w:rFonts w:ascii="Arial" w:hAnsi="Arial" w:cs="Arial"/>
                <w:spacing w:val="-4"/>
                <w:lang w:val="en-GB"/>
              </w:rPr>
              <w:t>British Columbia</w:t>
            </w:r>
          </w:p>
        </w:tc>
      </w:tr>
      <w:tr w:rsidR="00264ED8" w:rsidRPr="006B78CD" w14:paraId="5F2B2906" w14:textId="77777777" w:rsidTr="00CE552D">
        <w:tc>
          <w:tcPr>
            <w:tcW w:w="715" w:type="dxa"/>
            <w:shd w:val="clear" w:color="auto" w:fill="auto"/>
            <w:vAlign w:val="center"/>
          </w:tcPr>
          <w:p w14:paraId="4390570B" w14:textId="77777777" w:rsidR="00264ED8" w:rsidRPr="006B78CD" w:rsidRDefault="00264ED8" w:rsidP="00913F42">
            <w:pPr>
              <w:rPr>
                <w:rFonts w:ascii="Arial" w:hAnsi="Arial" w:cs="Arial"/>
                <w:lang w:val="en-GB"/>
              </w:rPr>
            </w:pPr>
            <w:r w:rsidRPr="006B78CD">
              <w:rPr>
                <w:rFonts w:ascii="Arial" w:hAnsi="Arial" w:cs="Arial"/>
                <w:lang w:val="en-GB"/>
              </w:rPr>
              <w:t>2007</w:t>
            </w:r>
          </w:p>
        </w:tc>
        <w:tc>
          <w:tcPr>
            <w:tcW w:w="1980" w:type="dxa"/>
            <w:shd w:val="clear" w:color="auto" w:fill="auto"/>
            <w:vAlign w:val="center"/>
          </w:tcPr>
          <w:p w14:paraId="19A9CEA3" w14:textId="45D5EADC" w:rsidR="00264ED8" w:rsidRPr="006B78CD" w:rsidRDefault="00264ED8" w:rsidP="00913F42">
            <w:pPr>
              <w:rPr>
                <w:rFonts w:ascii="Arial" w:hAnsi="Arial" w:cs="Arial"/>
                <w:lang w:val="en-GB"/>
              </w:rPr>
            </w:pPr>
            <w:r w:rsidRPr="006B78CD">
              <w:rPr>
                <w:rFonts w:ascii="Arial" w:hAnsi="Arial" w:cs="Arial"/>
                <w:lang w:val="en-GB"/>
              </w:rPr>
              <w:t>Noble Trade Inc.</w:t>
            </w:r>
          </w:p>
        </w:tc>
        <w:tc>
          <w:tcPr>
            <w:tcW w:w="1260" w:type="dxa"/>
            <w:shd w:val="clear" w:color="auto" w:fill="auto"/>
            <w:vAlign w:val="center"/>
          </w:tcPr>
          <w:p w14:paraId="2F6DDA3E" w14:textId="041B0873" w:rsidR="00264ED8" w:rsidRPr="006B78CD" w:rsidRDefault="00A27366" w:rsidP="00913F42">
            <w:pPr>
              <w:rPr>
                <w:rFonts w:ascii="Arial" w:hAnsi="Arial" w:cs="Arial"/>
                <w:spacing w:val="-4"/>
                <w:lang w:val="en-GB"/>
              </w:rPr>
            </w:pPr>
            <w:r w:rsidRPr="006B78CD">
              <w:rPr>
                <w:rFonts w:ascii="Arial" w:hAnsi="Arial" w:cs="Arial"/>
                <w:spacing w:val="-4"/>
                <w:lang w:val="en-GB"/>
              </w:rPr>
              <w:t xml:space="preserve">19 </w:t>
            </w:r>
            <w:r w:rsidR="00264ED8" w:rsidRPr="006B78CD">
              <w:rPr>
                <w:rFonts w:ascii="Arial" w:hAnsi="Arial" w:cs="Arial"/>
                <w:spacing w:val="-4"/>
                <w:lang w:val="en-GB"/>
              </w:rPr>
              <w:t>+ 1 distribution</w:t>
            </w:r>
            <w:r w:rsidRPr="006B78CD">
              <w:rPr>
                <w:rFonts w:ascii="Arial" w:hAnsi="Arial" w:cs="Arial"/>
                <w:lang w:val="en-GB"/>
              </w:rPr>
              <w:t xml:space="preserve"> </w:t>
            </w:r>
            <w:r w:rsidR="00264ED8" w:rsidRPr="006B78CD">
              <w:rPr>
                <w:rFonts w:ascii="Arial" w:hAnsi="Arial" w:cs="Arial"/>
                <w:lang w:val="en-GB"/>
              </w:rPr>
              <w:t>cent</w:t>
            </w:r>
            <w:r w:rsidRPr="006B78CD">
              <w:rPr>
                <w:rFonts w:ascii="Arial" w:hAnsi="Arial" w:cs="Arial"/>
                <w:lang w:val="en-GB"/>
              </w:rPr>
              <w:t>r</w:t>
            </w:r>
            <w:r w:rsidR="00264ED8" w:rsidRPr="006B78CD">
              <w:rPr>
                <w:rFonts w:ascii="Arial" w:hAnsi="Arial" w:cs="Arial"/>
                <w:lang w:val="en-GB"/>
              </w:rPr>
              <w:t>e</w:t>
            </w:r>
          </w:p>
        </w:tc>
        <w:tc>
          <w:tcPr>
            <w:tcW w:w="3486" w:type="dxa"/>
            <w:shd w:val="clear" w:color="auto" w:fill="auto"/>
            <w:vAlign w:val="center"/>
          </w:tcPr>
          <w:p w14:paraId="245A4475" w14:textId="77777777" w:rsidR="00264ED8" w:rsidRPr="006B78CD" w:rsidRDefault="00264ED8" w:rsidP="00913F42">
            <w:pPr>
              <w:pStyle w:val="HTMLPreformatted"/>
              <w:rPr>
                <w:rFonts w:ascii="Arial" w:hAnsi="Arial" w:cs="Arial"/>
                <w:lang w:val="en-GB"/>
              </w:rPr>
            </w:pPr>
            <w:r w:rsidRPr="006B78CD">
              <w:rPr>
                <w:rFonts w:ascii="Arial" w:hAnsi="Arial" w:cs="Arial"/>
                <w:lang w:val="en-GB"/>
              </w:rPr>
              <w:t>Wholesaler of plumbing and heating products for institutional clients</w:t>
            </w:r>
          </w:p>
        </w:tc>
        <w:tc>
          <w:tcPr>
            <w:tcW w:w="2004" w:type="dxa"/>
            <w:shd w:val="clear" w:color="auto" w:fill="auto"/>
            <w:vAlign w:val="center"/>
          </w:tcPr>
          <w:p w14:paraId="3600FE5E" w14:textId="77777777" w:rsidR="00264ED8" w:rsidRPr="006B78CD" w:rsidRDefault="00264ED8" w:rsidP="00913F42">
            <w:pPr>
              <w:rPr>
                <w:rFonts w:ascii="Arial" w:hAnsi="Arial" w:cs="Arial"/>
                <w:lang w:val="en-GB"/>
              </w:rPr>
            </w:pPr>
            <w:r w:rsidRPr="006B78CD">
              <w:rPr>
                <w:rFonts w:ascii="Arial" w:hAnsi="Arial" w:cs="Arial"/>
                <w:lang w:val="en-GB"/>
              </w:rPr>
              <w:t>Ontario</w:t>
            </w:r>
          </w:p>
        </w:tc>
      </w:tr>
      <w:tr w:rsidR="00264ED8" w:rsidRPr="006B78CD" w14:paraId="0E54033C" w14:textId="77777777" w:rsidTr="00CE552D">
        <w:tc>
          <w:tcPr>
            <w:tcW w:w="715" w:type="dxa"/>
            <w:shd w:val="clear" w:color="auto" w:fill="auto"/>
            <w:vAlign w:val="center"/>
          </w:tcPr>
          <w:p w14:paraId="15D1B2F5" w14:textId="77777777" w:rsidR="00264ED8" w:rsidRPr="006B78CD" w:rsidRDefault="00264ED8" w:rsidP="00913F42">
            <w:pPr>
              <w:rPr>
                <w:rFonts w:ascii="Arial" w:hAnsi="Arial" w:cs="Arial"/>
                <w:lang w:val="en-GB"/>
              </w:rPr>
            </w:pPr>
            <w:r w:rsidRPr="006B78CD">
              <w:rPr>
                <w:rFonts w:ascii="Arial" w:hAnsi="Arial" w:cs="Arial"/>
                <w:lang w:val="en-GB"/>
              </w:rPr>
              <w:t>2007</w:t>
            </w:r>
          </w:p>
        </w:tc>
        <w:tc>
          <w:tcPr>
            <w:tcW w:w="1980" w:type="dxa"/>
            <w:shd w:val="clear" w:color="auto" w:fill="auto"/>
            <w:vAlign w:val="center"/>
          </w:tcPr>
          <w:p w14:paraId="28CB2A6F" w14:textId="604D9C74" w:rsidR="00264ED8" w:rsidRPr="006B78CD" w:rsidRDefault="00264ED8" w:rsidP="00913F42">
            <w:pPr>
              <w:rPr>
                <w:rFonts w:ascii="Arial" w:hAnsi="Arial" w:cs="Arial"/>
                <w:lang w:val="en-GB"/>
              </w:rPr>
            </w:pPr>
            <w:r w:rsidRPr="006B78CD">
              <w:rPr>
                <w:rFonts w:ascii="Arial" w:hAnsi="Arial" w:cs="Arial"/>
                <w:lang w:val="en-GB"/>
              </w:rPr>
              <w:t>Dicks Lumber and Building Supplies Ltd.</w:t>
            </w:r>
          </w:p>
        </w:tc>
        <w:tc>
          <w:tcPr>
            <w:tcW w:w="1260" w:type="dxa"/>
            <w:shd w:val="clear" w:color="auto" w:fill="auto"/>
            <w:vAlign w:val="center"/>
          </w:tcPr>
          <w:p w14:paraId="1527BE77" w14:textId="77777777" w:rsidR="00264ED8" w:rsidRPr="006B78CD" w:rsidRDefault="00264ED8" w:rsidP="00913F42">
            <w:pPr>
              <w:rPr>
                <w:rFonts w:ascii="Arial" w:hAnsi="Arial" w:cs="Arial"/>
                <w:spacing w:val="-4"/>
                <w:lang w:val="en-GB"/>
              </w:rPr>
            </w:pPr>
            <w:r w:rsidRPr="006B78CD">
              <w:rPr>
                <w:rFonts w:ascii="Arial" w:hAnsi="Arial" w:cs="Arial"/>
                <w:spacing w:val="-4"/>
                <w:lang w:val="en-GB"/>
              </w:rPr>
              <w:t xml:space="preserve">3 </w:t>
            </w:r>
          </w:p>
        </w:tc>
        <w:tc>
          <w:tcPr>
            <w:tcW w:w="3486" w:type="dxa"/>
            <w:shd w:val="clear" w:color="auto" w:fill="auto"/>
            <w:vAlign w:val="center"/>
          </w:tcPr>
          <w:p w14:paraId="30C2A26A" w14:textId="1C77F6AB" w:rsidR="00264ED8" w:rsidRPr="006B78CD" w:rsidRDefault="00221EA2" w:rsidP="00913F42">
            <w:pPr>
              <w:pStyle w:val="HTMLPreformatted"/>
              <w:rPr>
                <w:rFonts w:ascii="Arial" w:hAnsi="Arial" w:cs="Arial"/>
                <w:lang w:val="en-GB"/>
              </w:rPr>
            </w:pPr>
            <w:r w:rsidRPr="006B78CD">
              <w:rPr>
                <w:rFonts w:ascii="Arial" w:hAnsi="Arial" w:cs="Arial"/>
                <w:lang w:val="en-GB"/>
              </w:rPr>
              <w:t xml:space="preserve">Operated </w:t>
            </w:r>
            <w:r w:rsidR="00264ED8" w:rsidRPr="006B78CD">
              <w:rPr>
                <w:rFonts w:ascii="Arial" w:hAnsi="Arial" w:cs="Arial"/>
                <w:lang w:val="en-GB"/>
              </w:rPr>
              <w:t>as a separate entity from RONA</w:t>
            </w:r>
          </w:p>
        </w:tc>
        <w:tc>
          <w:tcPr>
            <w:tcW w:w="2004" w:type="dxa"/>
            <w:shd w:val="clear" w:color="auto" w:fill="auto"/>
            <w:vAlign w:val="center"/>
          </w:tcPr>
          <w:p w14:paraId="35DD856A" w14:textId="77777777" w:rsidR="00264ED8" w:rsidRPr="006B78CD" w:rsidRDefault="00264ED8" w:rsidP="00913F42">
            <w:pPr>
              <w:rPr>
                <w:rFonts w:ascii="Arial" w:hAnsi="Arial" w:cs="Arial"/>
                <w:lang w:val="en-GB"/>
              </w:rPr>
            </w:pPr>
            <w:r w:rsidRPr="006B78CD">
              <w:rPr>
                <w:rFonts w:ascii="Arial" w:hAnsi="Arial" w:cs="Arial"/>
                <w:spacing w:val="-4"/>
                <w:lang w:val="en-GB"/>
              </w:rPr>
              <w:t>British Columbia</w:t>
            </w:r>
          </w:p>
        </w:tc>
      </w:tr>
      <w:tr w:rsidR="00264ED8" w:rsidRPr="006B78CD" w14:paraId="502C5116" w14:textId="77777777" w:rsidTr="00CE552D">
        <w:tc>
          <w:tcPr>
            <w:tcW w:w="715" w:type="dxa"/>
            <w:shd w:val="clear" w:color="auto" w:fill="auto"/>
            <w:vAlign w:val="center"/>
          </w:tcPr>
          <w:p w14:paraId="480CD276" w14:textId="77777777" w:rsidR="00264ED8" w:rsidRPr="006B78CD" w:rsidRDefault="00264ED8" w:rsidP="00913F42">
            <w:pPr>
              <w:rPr>
                <w:rFonts w:ascii="Arial" w:hAnsi="Arial" w:cs="Arial"/>
                <w:lang w:val="en-GB"/>
              </w:rPr>
            </w:pPr>
            <w:r w:rsidRPr="006B78CD">
              <w:rPr>
                <w:rFonts w:ascii="Arial" w:hAnsi="Arial" w:cs="Arial"/>
                <w:lang w:val="en-GB"/>
              </w:rPr>
              <w:t>2010</w:t>
            </w:r>
          </w:p>
        </w:tc>
        <w:tc>
          <w:tcPr>
            <w:tcW w:w="1980" w:type="dxa"/>
            <w:shd w:val="clear" w:color="auto" w:fill="auto"/>
            <w:vAlign w:val="center"/>
          </w:tcPr>
          <w:p w14:paraId="2EF2E584" w14:textId="77777777" w:rsidR="00264ED8" w:rsidRPr="006B78CD" w:rsidRDefault="00264ED8" w:rsidP="00913F42">
            <w:pPr>
              <w:rPr>
                <w:rFonts w:ascii="Arial" w:hAnsi="Arial" w:cs="Arial"/>
                <w:lang w:val="en-GB"/>
              </w:rPr>
            </w:pPr>
            <w:r w:rsidRPr="006B78CD">
              <w:rPr>
                <w:rFonts w:ascii="Arial" w:hAnsi="Arial" w:cs="Arial"/>
                <w:lang w:val="en-GB"/>
              </w:rPr>
              <w:t xml:space="preserve">Piercey’s </w:t>
            </w:r>
          </w:p>
        </w:tc>
        <w:tc>
          <w:tcPr>
            <w:tcW w:w="1260" w:type="dxa"/>
            <w:shd w:val="clear" w:color="auto" w:fill="auto"/>
            <w:vAlign w:val="center"/>
          </w:tcPr>
          <w:p w14:paraId="375BBAF7" w14:textId="77777777" w:rsidR="00264ED8" w:rsidRPr="006B78CD" w:rsidRDefault="00264ED8" w:rsidP="00913F42">
            <w:pPr>
              <w:rPr>
                <w:rFonts w:ascii="Arial" w:hAnsi="Arial" w:cs="Arial"/>
                <w:spacing w:val="-4"/>
                <w:lang w:val="en-GB"/>
              </w:rPr>
            </w:pPr>
            <w:r w:rsidRPr="006B78CD">
              <w:rPr>
                <w:rFonts w:ascii="Arial" w:hAnsi="Arial" w:cs="Arial"/>
                <w:spacing w:val="-4"/>
                <w:lang w:val="en-GB"/>
              </w:rPr>
              <w:t xml:space="preserve">5 </w:t>
            </w:r>
          </w:p>
        </w:tc>
        <w:tc>
          <w:tcPr>
            <w:tcW w:w="3486" w:type="dxa"/>
            <w:shd w:val="clear" w:color="auto" w:fill="auto"/>
            <w:vAlign w:val="center"/>
          </w:tcPr>
          <w:p w14:paraId="5520708B" w14:textId="77777777" w:rsidR="00264ED8" w:rsidRPr="006B78CD" w:rsidRDefault="00264ED8" w:rsidP="00913F42">
            <w:pPr>
              <w:rPr>
                <w:rFonts w:ascii="Arial" w:hAnsi="Arial" w:cs="Arial"/>
                <w:lang w:val="en-GB"/>
              </w:rPr>
            </w:pPr>
            <w:r w:rsidRPr="006B78CD">
              <w:rPr>
                <w:rFonts w:ascii="Arial" w:hAnsi="Arial" w:cs="Arial"/>
                <w:lang w:val="en-GB"/>
              </w:rPr>
              <w:t>Large lumber yards</w:t>
            </w:r>
          </w:p>
        </w:tc>
        <w:tc>
          <w:tcPr>
            <w:tcW w:w="2004" w:type="dxa"/>
            <w:shd w:val="clear" w:color="auto" w:fill="auto"/>
            <w:vAlign w:val="center"/>
          </w:tcPr>
          <w:p w14:paraId="588A6407" w14:textId="77777777" w:rsidR="00264ED8" w:rsidRPr="006B78CD" w:rsidRDefault="00264ED8" w:rsidP="00913F42">
            <w:pPr>
              <w:rPr>
                <w:rFonts w:ascii="Arial" w:hAnsi="Arial" w:cs="Arial"/>
                <w:spacing w:val="-4"/>
                <w:lang w:val="en-GB"/>
              </w:rPr>
            </w:pPr>
            <w:r w:rsidRPr="006B78CD">
              <w:rPr>
                <w:rFonts w:ascii="Arial" w:hAnsi="Arial" w:cs="Arial"/>
                <w:lang w:val="en-GB"/>
              </w:rPr>
              <w:t>Nova Scotia</w:t>
            </w:r>
          </w:p>
        </w:tc>
      </w:tr>
      <w:tr w:rsidR="00264ED8" w:rsidRPr="006B78CD" w14:paraId="6DA44D7B" w14:textId="77777777" w:rsidTr="00CE552D">
        <w:tc>
          <w:tcPr>
            <w:tcW w:w="715" w:type="dxa"/>
            <w:shd w:val="clear" w:color="auto" w:fill="auto"/>
            <w:vAlign w:val="center"/>
          </w:tcPr>
          <w:p w14:paraId="4F2F8C16" w14:textId="77777777" w:rsidR="00264ED8" w:rsidRPr="006B78CD" w:rsidRDefault="00264ED8" w:rsidP="00913F42">
            <w:pPr>
              <w:rPr>
                <w:rFonts w:ascii="Arial" w:hAnsi="Arial" w:cs="Arial"/>
                <w:lang w:val="en-GB"/>
              </w:rPr>
            </w:pPr>
            <w:r w:rsidRPr="006B78CD">
              <w:rPr>
                <w:rFonts w:ascii="Arial" w:hAnsi="Arial" w:cs="Arial"/>
                <w:bCs/>
                <w:lang w:val="en-GB"/>
              </w:rPr>
              <w:t>2010</w:t>
            </w:r>
          </w:p>
        </w:tc>
        <w:tc>
          <w:tcPr>
            <w:tcW w:w="1980" w:type="dxa"/>
            <w:shd w:val="clear" w:color="auto" w:fill="auto"/>
            <w:vAlign w:val="center"/>
          </w:tcPr>
          <w:p w14:paraId="12BFDCF5" w14:textId="100F433F" w:rsidR="00264ED8" w:rsidRPr="006B78CD" w:rsidRDefault="00264ED8" w:rsidP="00913F42">
            <w:pPr>
              <w:rPr>
                <w:rFonts w:ascii="Arial" w:hAnsi="Arial" w:cs="Arial"/>
                <w:lang w:val="en-GB"/>
              </w:rPr>
            </w:pPr>
            <w:r w:rsidRPr="006B78CD">
              <w:rPr>
                <w:rFonts w:ascii="Arial" w:hAnsi="Arial" w:cs="Arial"/>
                <w:lang w:val="en-GB"/>
              </w:rPr>
              <w:t>TruServ Canada</w:t>
            </w:r>
          </w:p>
        </w:tc>
        <w:tc>
          <w:tcPr>
            <w:tcW w:w="1260" w:type="dxa"/>
            <w:shd w:val="clear" w:color="auto" w:fill="auto"/>
            <w:vAlign w:val="center"/>
          </w:tcPr>
          <w:p w14:paraId="52D60A41" w14:textId="09AD4D99" w:rsidR="00264ED8" w:rsidRPr="006B78CD" w:rsidRDefault="00264ED8" w:rsidP="00913F42">
            <w:pPr>
              <w:rPr>
                <w:rFonts w:ascii="Arial" w:hAnsi="Arial" w:cs="Arial"/>
                <w:lang w:val="en-GB"/>
              </w:rPr>
            </w:pPr>
            <w:r w:rsidRPr="006B78CD">
              <w:rPr>
                <w:rFonts w:ascii="Arial" w:hAnsi="Arial" w:cs="Arial"/>
                <w:lang w:val="en-GB"/>
              </w:rPr>
              <w:t>2 distribution</w:t>
            </w:r>
            <w:r w:rsidR="00913F42">
              <w:rPr>
                <w:rFonts w:ascii="Arial" w:hAnsi="Arial" w:cs="Arial"/>
                <w:lang w:val="en-GB"/>
              </w:rPr>
              <w:t xml:space="preserve"> </w:t>
            </w:r>
            <w:r w:rsidRPr="006B78CD">
              <w:rPr>
                <w:rFonts w:ascii="Arial" w:hAnsi="Arial" w:cs="Arial"/>
                <w:lang w:val="en-GB"/>
              </w:rPr>
              <w:t>cent</w:t>
            </w:r>
            <w:r w:rsidR="00A27366" w:rsidRPr="006B78CD">
              <w:rPr>
                <w:rFonts w:ascii="Arial" w:hAnsi="Arial" w:cs="Arial"/>
                <w:lang w:val="en-GB"/>
              </w:rPr>
              <w:t>r</w:t>
            </w:r>
            <w:r w:rsidRPr="006B78CD">
              <w:rPr>
                <w:rFonts w:ascii="Arial" w:hAnsi="Arial" w:cs="Arial"/>
                <w:lang w:val="en-GB"/>
              </w:rPr>
              <w:t xml:space="preserve">es </w:t>
            </w:r>
          </w:p>
        </w:tc>
        <w:tc>
          <w:tcPr>
            <w:tcW w:w="3486" w:type="dxa"/>
            <w:shd w:val="clear" w:color="auto" w:fill="auto"/>
            <w:vAlign w:val="center"/>
          </w:tcPr>
          <w:p w14:paraId="26C8D36D" w14:textId="7F161C07" w:rsidR="00A27366" w:rsidRPr="006B78CD" w:rsidRDefault="00A27366" w:rsidP="00913F42">
            <w:pPr>
              <w:pStyle w:val="HTMLPreformatted"/>
              <w:rPr>
                <w:rFonts w:ascii="Arial" w:hAnsi="Arial" w:cs="Arial"/>
                <w:lang w:val="en-GB"/>
              </w:rPr>
            </w:pPr>
            <w:r w:rsidRPr="006B78CD">
              <w:rPr>
                <w:rFonts w:ascii="Arial" w:hAnsi="Arial" w:cs="Arial"/>
                <w:lang w:val="en-GB"/>
              </w:rPr>
              <w:t>Large distributor and retailer of hardware, home renovation</w:t>
            </w:r>
            <w:r w:rsidR="00221EA2" w:rsidRPr="006B78CD">
              <w:rPr>
                <w:rFonts w:ascii="Arial" w:hAnsi="Arial" w:cs="Arial"/>
                <w:lang w:val="en-GB"/>
              </w:rPr>
              <w:t>,</w:t>
            </w:r>
            <w:r w:rsidRPr="006B78CD">
              <w:rPr>
                <w:rFonts w:ascii="Arial" w:hAnsi="Arial" w:cs="Arial"/>
                <w:lang w:val="en-GB"/>
              </w:rPr>
              <w:t xml:space="preserve"> and gardening products</w:t>
            </w:r>
          </w:p>
          <w:p w14:paraId="516F3159" w14:textId="1C9F460A" w:rsidR="00264ED8" w:rsidRPr="006B78CD" w:rsidRDefault="00264ED8" w:rsidP="00913F42">
            <w:pPr>
              <w:autoSpaceDE w:val="0"/>
              <w:autoSpaceDN w:val="0"/>
              <w:adjustRightInd w:val="0"/>
              <w:rPr>
                <w:rFonts w:ascii="Arial" w:hAnsi="Arial" w:cs="Arial"/>
                <w:lang w:val="en-GB"/>
              </w:rPr>
            </w:pPr>
            <w:r w:rsidRPr="006B78CD">
              <w:rPr>
                <w:rFonts w:ascii="Arial" w:hAnsi="Arial" w:cs="Arial"/>
                <w:lang w:val="en-GB"/>
              </w:rPr>
              <w:t>Served over 600 affiliated and non-affiliated stores</w:t>
            </w:r>
          </w:p>
        </w:tc>
        <w:tc>
          <w:tcPr>
            <w:tcW w:w="2004" w:type="dxa"/>
            <w:shd w:val="clear" w:color="auto" w:fill="auto"/>
            <w:vAlign w:val="center"/>
          </w:tcPr>
          <w:p w14:paraId="31C5002B" w14:textId="77777777" w:rsidR="00264ED8" w:rsidRPr="006B78CD" w:rsidRDefault="00264ED8" w:rsidP="00913F42">
            <w:pPr>
              <w:rPr>
                <w:rFonts w:ascii="Arial" w:hAnsi="Arial" w:cs="Arial"/>
                <w:lang w:val="en-GB"/>
              </w:rPr>
            </w:pPr>
            <w:r w:rsidRPr="006B78CD">
              <w:rPr>
                <w:rFonts w:ascii="Arial" w:hAnsi="Arial" w:cs="Arial"/>
                <w:lang w:val="en-GB"/>
              </w:rPr>
              <w:t>Manitoba, Ontario</w:t>
            </w:r>
          </w:p>
        </w:tc>
      </w:tr>
      <w:tr w:rsidR="00264ED8" w:rsidRPr="006B78CD" w14:paraId="5FC147FD" w14:textId="77777777" w:rsidTr="00CE552D">
        <w:tc>
          <w:tcPr>
            <w:tcW w:w="715" w:type="dxa"/>
            <w:shd w:val="clear" w:color="auto" w:fill="auto"/>
            <w:vAlign w:val="center"/>
          </w:tcPr>
          <w:p w14:paraId="533D5C0C" w14:textId="77777777" w:rsidR="00264ED8" w:rsidRPr="006B78CD" w:rsidRDefault="00264ED8" w:rsidP="00913F42">
            <w:pPr>
              <w:rPr>
                <w:rFonts w:ascii="Arial" w:hAnsi="Arial" w:cs="Arial"/>
                <w:bCs/>
                <w:vertAlign w:val="superscript"/>
                <w:lang w:val="en-GB"/>
              </w:rPr>
            </w:pPr>
            <w:r w:rsidRPr="006B78CD">
              <w:rPr>
                <w:rFonts w:ascii="Arial" w:hAnsi="Arial" w:cs="Arial"/>
                <w:bCs/>
                <w:lang w:val="en-GB"/>
              </w:rPr>
              <w:t>2010</w:t>
            </w:r>
          </w:p>
        </w:tc>
        <w:tc>
          <w:tcPr>
            <w:tcW w:w="1980" w:type="dxa"/>
            <w:shd w:val="clear" w:color="auto" w:fill="auto"/>
            <w:vAlign w:val="center"/>
          </w:tcPr>
          <w:p w14:paraId="740115A4" w14:textId="77777777" w:rsidR="00264ED8" w:rsidRPr="006B78CD" w:rsidRDefault="00264ED8" w:rsidP="00913F42">
            <w:pPr>
              <w:rPr>
                <w:rFonts w:ascii="Arial" w:hAnsi="Arial" w:cs="Arial"/>
                <w:lang w:val="en-GB"/>
              </w:rPr>
            </w:pPr>
            <w:r w:rsidRPr="006B78CD">
              <w:rPr>
                <w:rFonts w:ascii="Arial" w:hAnsi="Arial" w:cs="Arial"/>
                <w:lang w:val="en-GB"/>
              </w:rPr>
              <w:t>Don Park Limited</w:t>
            </w:r>
          </w:p>
        </w:tc>
        <w:tc>
          <w:tcPr>
            <w:tcW w:w="1260" w:type="dxa"/>
            <w:shd w:val="clear" w:color="auto" w:fill="auto"/>
            <w:vAlign w:val="center"/>
          </w:tcPr>
          <w:p w14:paraId="18CF84E4" w14:textId="323FE968" w:rsidR="00264ED8" w:rsidRPr="006B78CD" w:rsidRDefault="00264ED8" w:rsidP="00913F42">
            <w:pPr>
              <w:rPr>
                <w:rFonts w:ascii="Arial" w:hAnsi="Arial" w:cs="Arial"/>
                <w:lang w:val="en-GB"/>
              </w:rPr>
            </w:pPr>
            <w:r w:rsidRPr="006B78CD">
              <w:rPr>
                <w:rFonts w:ascii="Arial" w:hAnsi="Arial" w:cs="Arial"/>
                <w:lang w:val="en-GB"/>
              </w:rPr>
              <w:t>14 + 1 distribution</w:t>
            </w:r>
            <w:r w:rsidR="00A27366" w:rsidRPr="006B78CD">
              <w:rPr>
                <w:rFonts w:ascii="Arial" w:hAnsi="Arial" w:cs="Arial"/>
                <w:lang w:val="en-GB"/>
              </w:rPr>
              <w:t xml:space="preserve"> c</w:t>
            </w:r>
            <w:r w:rsidRPr="006B78CD">
              <w:rPr>
                <w:rFonts w:ascii="Arial" w:hAnsi="Arial" w:cs="Arial"/>
                <w:lang w:val="en-GB"/>
              </w:rPr>
              <w:t>ent</w:t>
            </w:r>
            <w:r w:rsidR="00A27366" w:rsidRPr="006B78CD">
              <w:rPr>
                <w:rFonts w:ascii="Arial" w:hAnsi="Arial" w:cs="Arial"/>
                <w:lang w:val="en-GB"/>
              </w:rPr>
              <w:t>r</w:t>
            </w:r>
            <w:r w:rsidRPr="006B78CD">
              <w:rPr>
                <w:rFonts w:ascii="Arial" w:hAnsi="Arial" w:cs="Arial"/>
                <w:lang w:val="en-GB"/>
              </w:rPr>
              <w:t>e</w:t>
            </w:r>
            <w:r w:rsidR="00913F42">
              <w:rPr>
                <w:rFonts w:ascii="Arial" w:hAnsi="Arial" w:cs="Arial"/>
                <w:lang w:val="en-GB"/>
              </w:rPr>
              <w:t xml:space="preserve"> </w:t>
            </w:r>
            <w:r w:rsidR="00A27366" w:rsidRPr="006B78CD">
              <w:rPr>
                <w:rFonts w:ascii="Arial" w:hAnsi="Arial" w:cs="Arial"/>
                <w:lang w:val="en-GB"/>
              </w:rPr>
              <w:t>+</w:t>
            </w:r>
            <w:r w:rsidRPr="006B78CD">
              <w:rPr>
                <w:rFonts w:ascii="Arial" w:hAnsi="Arial" w:cs="Arial"/>
                <w:lang w:val="en-GB"/>
              </w:rPr>
              <w:t xml:space="preserve"> 3 manufacturing facilities</w:t>
            </w:r>
          </w:p>
        </w:tc>
        <w:tc>
          <w:tcPr>
            <w:tcW w:w="3486" w:type="dxa"/>
            <w:shd w:val="clear" w:color="auto" w:fill="auto"/>
            <w:vAlign w:val="center"/>
          </w:tcPr>
          <w:p w14:paraId="6C29D7EC" w14:textId="01DAA2BE" w:rsidR="00264ED8" w:rsidRPr="006B78CD" w:rsidRDefault="00264ED8" w:rsidP="00913F42">
            <w:pPr>
              <w:autoSpaceDE w:val="0"/>
              <w:autoSpaceDN w:val="0"/>
              <w:adjustRightInd w:val="0"/>
              <w:rPr>
                <w:rFonts w:ascii="Arial" w:hAnsi="Arial" w:cs="Arial"/>
                <w:lang w:val="en-GB"/>
              </w:rPr>
            </w:pPr>
            <w:r w:rsidRPr="006B78CD">
              <w:rPr>
                <w:rFonts w:ascii="Arial" w:hAnsi="Arial" w:cs="Arial"/>
                <w:lang w:val="en-GB"/>
              </w:rPr>
              <w:t>Specialist in heating, ventilation</w:t>
            </w:r>
            <w:r w:rsidR="00221EA2" w:rsidRPr="006B78CD">
              <w:rPr>
                <w:rFonts w:ascii="Arial" w:hAnsi="Arial" w:cs="Arial"/>
                <w:lang w:val="en-GB"/>
              </w:rPr>
              <w:t>,</w:t>
            </w:r>
            <w:r w:rsidRPr="006B78CD">
              <w:rPr>
                <w:rFonts w:ascii="Arial" w:hAnsi="Arial" w:cs="Arial"/>
                <w:lang w:val="en-GB"/>
              </w:rPr>
              <w:t xml:space="preserve"> and air conditioning  </w:t>
            </w:r>
          </w:p>
        </w:tc>
        <w:tc>
          <w:tcPr>
            <w:tcW w:w="2004" w:type="dxa"/>
            <w:shd w:val="clear" w:color="auto" w:fill="auto"/>
            <w:vAlign w:val="center"/>
          </w:tcPr>
          <w:p w14:paraId="1C4D6250" w14:textId="77777777" w:rsidR="00264ED8" w:rsidRPr="006B78CD" w:rsidRDefault="00264ED8" w:rsidP="00913F42">
            <w:pPr>
              <w:rPr>
                <w:rFonts w:ascii="Arial" w:hAnsi="Arial" w:cs="Arial"/>
                <w:lang w:val="en-GB"/>
              </w:rPr>
            </w:pPr>
            <w:r w:rsidRPr="006B78CD">
              <w:rPr>
                <w:rFonts w:ascii="Arial" w:hAnsi="Arial" w:cs="Arial"/>
                <w:lang w:val="en-GB"/>
              </w:rPr>
              <w:t>Ontario</w:t>
            </w:r>
          </w:p>
        </w:tc>
      </w:tr>
    </w:tbl>
    <w:p w14:paraId="14F3A634" w14:textId="77777777" w:rsidR="00264ED8" w:rsidRPr="006B78CD" w:rsidRDefault="00264ED8" w:rsidP="00264ED8">
      <w:pPr>
        <w:pStyle w:val="Footnote"/>
        <w:rPr>
          <w:lang w:val="en-GB"/>
        </w:rPr>
      </w:pPr>
    </w:p>
    <w:p w14:paraId="623BE4F1" w14:textId="5F31282D" w:rsidR="00913F42" w:rsidRDefault="00264ED8" w:rsidP="00264ED8">
      <w:pPr>
        <w:pStyle w:val="Footnote"/>
        <w:rPr>
          <w:lang w:val="en-GB"/>
        </w:rPr>
      </w:pPr>
      <w:r w:rsidRPr="006B78CD">
        <w:rPr>
          <w:lang w:val="en-GB"/>
        </w:rPr>
        <w:t xml:space="preserve">Source: Created by </w:t>
      </w:r>
      <w:r w:rsidR="0022289A">
        <w:rPr>
          <w:lang w:val="en-GB"/>
        </w:rPr>
        <w:t xml:space="preserve">the </w:t>
      </w:r>
      <w:r w:rsidRPr="006B78CD">
        <w:rPr>
          <w:lang w:val="en-GB"/>
        </w:rPr>
        <w:t>authors based on “RONA, Inc.</w:t>
      </w:r>
      <w:r w:rsidR="0022289A">
        <w:rPr>
          <w:lang w:val="en-GB"/>
        </w:rPr>
        <w:t>,</w:t>
      </w:r>
      <w:r w:rsidR="00A27366" w:rsidRPr="006B78CD">
        <w:rPr>
          <w:lang w:val="en-GB"/>
        </w:rPr>
        <w:t>”</w:t>
      </w:r>
      <w:r w:rsidRPr="006B78CD">
        <w:rPr>
          <w:lang w:val="en-GB"/>
        </w:rPr>
        <w:t xml:space="preserve"> </w:t>
      </w:r>
      <w:r w:rsidR="00A27366" w:rsidRPr="006B78CD">
        <w:rPr>
          <w:lang w:val="en-GB"/>
        </w:rPr>
        <w:t>Reference for Business,</w:t>
      </w:r>
      <w:r w:rsidRPr="006B78CD">
        <w:rPr>
          <w:lang w:val="en-GB"/>
        </w:rPr>
        <w:t xml:space="preserve"> accessed April 19, 2018, www.referenceforbusiness.com/history/Qu-Ro/RONA-Inc.html</w:t>
      </w:r>
      <w:r w:rsidR="00A27366" w:rsidRPr="006B78CD">
        <w:rPr>
          <w:lang w:val="en-GB"/>
        </w:rPr>
        <w:t>.</w:t>
      </w:r>
    </w:p>
    <w:p w14:paraId="7BDF274D" w14:textId="77777777" w:rsidR="00913F42" w:rsidRDefault="00913F42">
      <w:pPr>
        <w:spacing w:after="200" w:line="276" w:lineRule="auto"/>
        <w:rPr>
          <w:rFonts w:ascii="Arial" w:hAnsi="Arial" w:cs="Arial"/>
          <w:sz w:val="17"/>
          <w:szCs w:val="17"/>
          <w:lang w:val="en-GB"/>
        </w:rPr>
      </w:pPr>
      <w:r>
        <w:rPr>
          <w:lang w:val="en-GB"/>
        </w:rPr>
        <w:br w:type="page"/>
      </w:r>
    </w:p>
    <w:p w14:paraId="41B6E957" w14:textId="268CD56B" w:rsidR="00264ED8" w:rsidRPr="006B78CD" w:rsidRDefault="00264ED8" w:rsidP="00264ED8">
      <w:pPr>
        <w:pStyle w:val="ExhibitHeading"/>
        <w:rPr>
          <w:lang w:val="en-GB"/>
        </w:rPr>
      </w:pPr>
      <w:r w:rsidRPr="006B78CD">
        <w:rPr>
          <w:lang w:val="en-GB"/>
        </w:rPr>
        <w:lastRenderedPageBreak/>
        <w:t xml:space="preserve"> EXHIBIT 2: MARKET SHARE OF RONA, CANADA (2012)</w:t>
      </w:r>
    </w:p>
    <w:p w14:paraId="2122903D" w14:textId="77777777" w:rsidR="00264ED8" w:rsidRPr="006B78CD" w:rsidRDefault="00264ED8" w:rsidP="00264ED8">
      <w:pPr>
        <w:jc w:val="center"/>
        <w:rPr>
          <w:b/>
          <w:sz w:val="22"/>
          <w:szCs w:val="22"/>
          <w:lang w:val="en-GB"/>
        </w:rPr>
      </w:pPr>
    </w:p>
    <w:tbl>
      <w:tblPr>
        <w:tblStyle w:val="TableGrid"/>
        <w:tblW w:w="0" w:type="auto"/>
        <w:jc w:val="center"/>
        <w:tblLook w:val="04A0" w:firstRow="1" w:lastRow="0" w:firstColumn="1" w:lastColumn="0" w:noHBand="0" w:noVBand="1"/>
      </w:tblPr>
      <w:tblGrid>
        <w:gridCol w:w="2245"/>
        <w:gridCol w:w="1890"/>
      </w:tblGrid>
      <w:tr w:rsidR="00264ED8" w:rsidRPr="006B78CD" w14:paraId="1B698AEB" w14:textId="77777777" w:rsidTr="009060B5">
        <w:trPr>
          <w:jc w:val="center"/>
        </w:trPr>
        <w:tc>
          <w:tcPr>
            <w:tcW w:w="2245" w:type="dxa"/>
          </w:tcPr>
          <w:p w14:paraId="460441A3" w14:textId="77777777" w:rsidR="00264ED8" w:rsidRPr="006B78CD" w:rsidRDefault="00264ED8" w:rsidP="00847EEA">
            <w:pPr>
              <w:jc w:val="center"/>
              <w:rPr>
                <w:rFonts w:ascii="Arial" w:hAnsi="Arial" w:cs="Arial"/>
                <w:b/>
                <w:lang w:val="en-GB"/>
              </w:rPr>
            </w:pPr>
            <w:r w:rsidRPr="006B78CD">
              <w:rPr>
                <w:rFonts w:ascii="Arial" w:hAnsi="Arial" w:cs="Arial"/>
                <w:b/>
                <w:lang w:val="en-GB"/>
              </w:rPr>
              <w:t>Company</w:t>
            </w:r>
          </w:p>
        </w:tc>
        <w:tc>
          <w:tcPr>
            <w:tcW w:w="1890" w:type="dxa"/>
          </w:tcPr>
          <w:p w14:paraId="2C56DD03" w14:textId="64BDC518" w:rsidR="00264ED8" w:rsidRPr="006B78CD" w:rsidRDefault="00264ED8" w:rsidP="00847EEA">
            <w:pPr>
              <w:jc w:val="center"/>
              <w:rPr>
                <w:rFonts w:ascii="Arial" w:hAnsi="Arial" w:cs="Arial"/>
                <w:b/>
                <w:lang w:val="en-GB"/>
              </w:rPr>
            </w:pPr>
            <w:r w:rsidRPr="006B78CD">
              <w:rPr>
                <w:rFonts w:ascii="Arial" w:hAnsi="Arial" w:cs="Arial"/>
                <w:b/>
                <w:lang w:val="en-GB"/>
              </w:rPr>
              <w:t xml:space="preserve">Market </w:t>
            </w:r>
            <w:r w:rsidR="00221EA2" w:rsidRPr="006B78CD">
              <w:rPr>
                <w:rFonts w:ascii="Arial" w:hAnsi="Arial" w:cs="Arial"/>
                <w:b/>
                <w:lang w:val="en-GB"/>
              </w:rPr>
              <w:t xml:space="preserve">Share </w:t>
            </w:r>
            <w:r w:rsidRPr="006B78CD">
              <w:rPr>
                <w:rFonts w:ascii="Arial" w:hAnsi="Arial" w:cs="Arial"/>
                <w:b/>
                <w:lang w:val="en-GB"/>
              </w:rPr>
              <w:t>(%)</w:t>
            </w:r>
          </w:p>
        </w:tc>
      </w:tr>
      <w:tr w:rsidR="00264ED8" w:rsidRPr="006B78CD" w14:paraId="32B70B71" w14:textId="77777777" w:rsidTr="009060B5">
        <w:trPr>
          <w:jc w:val="center"/>
        </w:trPr>
        <w:tc>
          <w:tcPr>
            <w:tcW w:w="2245" w:type="dxa"/>
          </w:tcPr>
          <w:p w14:paraId="3B031025" w14:textId="77777777" w:rsidR="00264ED8" w:rsidRPr="006B78CD" w:rsidRDefault="00264ED8" w:rsidP="009060B5">
            <w:pPr>
              <w:rPr>
                <w:rFonts w:ascii="Arial" w:hAnsi="Arial" w:cs="Arial"/>
                <w:lang w:val="en-GB"/>
              </w:rPr>
            </w:pPr>
            <w:r w:rsidRPr="006B78CD">
              <w:rPr>
                <w:rFonts w:ascii="Arial" w:hAnsi="Arial" w:cs="Arial"/>
                <w:lang w:val="en-GB"/>
              </w:rPr>
              <w:t>Independent vendors</w:t>
            </w:r>
          </w:p>
        </w:tc>
        <w:tc>
          <w:tcPr>
            <w:tcW w:w="1890" w:type="dxa"/>
          </w:tcPr>
          <w:p w14:paraId="7F8F2CCF" w14:textId="77777777" w:rsidR="00264ED8" w:rsidRPr="006B78CD" w:rsidRDefault="00264ED8" w:rsidP="00DC72DD">
            <w:pPr>
              <w:ind w:right="612"/>
              <w:jc w:val="right"/>
              <w:rPr>
                <w:rFonts w:ascii="Arial" w:hAnsi="Arial" w:cs="Arial"/>
                <w:lang w:val="en-GB"/>
              </w:rPr>
            </w:pPr>
            <w:r w:rsidRPr="006B78CD">
              <w:rPr>
                <w:rFonts w:ascii="Arial" w:hAnsi="Arial" w:cs="Arial"/>
                <w:lang w:val="en-GB"/>
              </w:rPr>
              <w:t>50</w:t>
            </w:r>
          </w:p>
        </w:tc>
      </w:tr>
      <w:tr w:rsidR="00264ED8" w:rsidRPr="006B78CD" w14:paraId="70F61FAC" w14:textId="77777777" w:rsidTr="009060B5">
        <w:trPr>
          <w:jc w:val="center"/>
        </w:trPr>
        <w:tc>
          <w:tcPr>
            <w:tcW w:w="2245" w:type="dxa"/>
          </w:tcPr>
          <w:p w14:paraId="333ECCD6" w14:textId="77777777" w:rsidR="00264ED8" w:rsidRPr="006B78CD" w:rsidRDefault="00264ED8" w:rsidP="009060B5">
            <w:pPr>
              <w:rPr>
                <w:rFonts w:ascii="Arial" w:hAnsi="Arial" w:cs="Arial"/>
                <w:lang w:val="en-GB"/>
              </w:rPr>
            </w:pPr>
            <w:r w:rsidRPr="006B78CD">
              <w:rPr>
                <w:rFonts w:ascii="Arial" w:hAnsi="Arial" w:cs="Arial"/>
                <w:lang w:val="en-GB"/>
              </w:rPr>
              <w:t>RONA</w:t>
            </w:r>
          </w:p>
        </w:tc>
        <w:tc>
          <w:tcPr>
            <w:tcW w:w="1890" w:type="dxa"/>
          </w:tcPr>
          <w:p w14:paraId="0B44FEF8" w14:textId="77777777" w:rsidR="00264ED8" w:rsidRPr="006B78CD" w:rsidRDefault="00264ED8" w:rsidP="00DC72DD">
            <w:pPr>
              <w:ind w:right="612"/>
              <w:jc w:val="right"/>
              <w:rPr>
                <w:rFonts w:ascii="Arial" w:hAnsi="Arial" w:cs="Arial"/>
                <w:lang w:val="en-GB"/>
              </w:rPr>
            </w:pPr>
            <w:r w:rsidRPr="006B78CD">
              <w:rPr>
                <w:rFonts w:ascii="Arial" w:hAnsi="Arial" w:cs="Arial"/>
                <w:lang w:val="en-GB"/>
              </w:rPr>
              <w:t>19</w:t>
            </w:r>
          </w:p>
        </w:tc>
      </w:tr>
      <w:tr w:rsidR="00264ED8" w:rsidRPr="006B78CD" w14:paraId="54A172A6" w14:textId="77777777" w:rsidTr="009060B5">
        <w:trPr>
          <w:jc w:val="center"/>
        </w:trPr>
        <w:tc>
          <w:tcPr>
            <w:tcW w:w="2245" w:type="dxa"/>
          </w:tcPr>
          <w:p w14:paraId="2D29F070" w14:textId="77777777" w:rsidR="00264ED8" w:rsidRPr="006B78CD" w:rsidRDefault="00264ED8" w:rsidP="009060B5">
            <w:pPr>
              <w:rPr>
                <w:rFonts w:ascii="Arial" w:hAnsi="Arial" w:cs="Arial"/>
                <w:lang w:val="en-GB"/>
              </w:rPr>
            </w:pPr>
            <w:r w:rsidRPr="006B78CD">
              <w:rPr>
                <w:rFonts w:ascii="Arial" w:hAnsi="Arial" w:cs="Arial"/>
                <w:lang w:val="en-GB"/>
              </w:rPr>
              <w:t>Home Depot</w:t>
            </w:r>
          </w:p>
        </w:tc>
        <w:tc>
          <w:tcPr>
            <w:tcW w:w="1890" w:type="dxa"/>
          </w:tcPr>
          <w:p w14:paraId="3CF9C258" w14:textId="77777777" w:rsidR="00264ED8" w:rsidRPr="006B78CD" w:rsidRDefault="00264ED8" w:rsidP="00DC72DD">
            <w:pPr>
              <w:ind w:right="612"/>
              <w:jc w:val="right"/>
              <w:rPr>
                <w:rFonts w:ascii="Arial" w:hAnsi="Arial" w:cs="Arial"/>
                <w:lang w:val="en-GB"/>
              </w:rPr>
            </w:pPr>
            <w:r w:rsidRPr="006B78CD">
              <w:rPr>
                <w:rFonts w:ascii="Arial" w:hAnsi="Arial" w:cs="Arial"/>
                <w:lang w:val="en-GB"/>
              </w:rPr>
              <w:t>16</w:t>
            </w:r>
          </w:p>
        </w:tc>
      </w:tr>
      <w:tr w:rsidR="00264ED8" w:rsidRPr="006B78CD" w14:paraId="10A7C836" w14:textId="77777777" w:rsidTr="009060B5">
        <w:trPr>
          <w:jc w:val="center"/>
        </w:trPr>
        <w:tc>
          <w:tcPr>
            <w:tcW w:w="2245" w:type="dxa"/>
          </w:tcPr>
          <w:p w14:paraId="50B82B7C" w14:textId="77777777" w:rsidR="00264ED8" w:rsidRPr="006B78CD" w:rsidRDefault="00264ED8" w:rsidP="009060B5">
            <w:pPr>
              <w:rPr>
                <w:rFonts w:ascii="Arial" w:hAnsi="Arial" w:cs="Arial"/>
                <w:lang w:val="en-GB"/>
              </w:rPr>
            </w:pPr>
            <w:r w:rsidRPr="006B78CD">
              <w:rPr>
                <w:rFonts w:ascii="Arial" w:hAnsi="Arial" w:cs="Arial"/>
                <w:lang w:val="en-GB"/>
              </w:rPr>
              <w:t>Canadian Tire</w:t>
            </w:r>
          </w:p>
        </w:tc>
        <w:tc>
          <w:tcPr>
            <w:tcW w:w="1890" w:type="dxa"/>
          </w:tcPr>
          <w:p w14:paraId="44692470" w14:textId="77777777" w:rsidR="00264ED8" w:rsidRPr="006B78CD" w:rsidRDefault="00264ED8" w:rsidP="00DC72DD">
            <w:pPr>
              <w:ind w:right="612"/>
              <w:jc w:val="right"/>
              <w:rPr>
                <w:rFonts w:ascii="Arial" w:hAnsi="Arial" w:cs="Arial"/>
                <w:lang w:val="en-GB"/>
              </w:rPr>
            </w:pPr>
            <w:r w:rsidRPr="006B78CD">
              <w:rPr>
                <w:rFonts w:ascii="Arial" w:hAnsi="Arial" w:cs="Arial"/>
                <w:lang w:val="en-GB"/>
              </w:rPr>
              <w:t>13</w:t>
            </w:r>
          </w:p>
        </w:tc>
      </w:tr>
      <w:tr w:rsidR="00264ED8" w:rsidRPr="006B78CD" w14:paraId="7FAC3416" w14:textId="77777777" w:rsidTr="009060B5">
        <w:trPr>
          <w:jc w:val="center"/>
        </w:trPr>
        <w:tc>
          <w:tcPr>
            <w:tcW w:w="2245" w:type="dxa"/>
          </w:tcPr>
          <w:p w14:paraId="0FB88C32" w14:textId="77777777" w:rsidR="00264ED8" w:rsidRPr="006B78CD" w:rsidRDefault="00264ED8" w:rsidP="009060B5">
            <w:pPr>
              <w:rPr>
                <w:rFonts w:ascii="Arial" w:hAnsi="Arial" w:cs="Arial"/>
                <w:lang w:val="en-GB"/>
              </w:rPr>
            </w:pPr>
            <w:r w:rsidRPr="006B78CD">
              <w:rPr>
                <w:rFonts w:ascii="Arial" w:hAnsi="Arial" w:cs="Arial"/>
                <w:lang w:val="en-GB"/>
              </w:rPr>
              <w:t>Lowe’s</w:t>
            </w:r>
          </w:p>
        </w:tc>
        <w:tc>
          <w:tcPr>
            <w:tcW w:w="1890" w:type="dxa"/>
          </w:tcPr>
          <w:p w14:paraId="35E72611" w14:textId="77777777" w:rsidR="00264ED8" w:rsidRPr="006B78CD" w:rsidRDefault="00264ED8" w:rsidP="00DC72DD">
            <w:pPr>
              <w:ind w:right="612"/>
              <w:jc w:val="right"/>
              <w:rPr>
                <w:rFonts w:ascii="Arial" w:hAnsi="Arial" w:cs="Arial"/>
                <w:lang w:val="en-GB"/>
              </w:rPr>
            </w:pPr>
            <w:r w:rsidRPr="006B78CD">
              <w:rPr>
                <w:rFonts w:ascii="Arial" w:hAnsi="Arial" w:cs="Arial"/>
                <w:lang w:val="en-GB"/>
              </w:rPr>
              <w:t>2</w:t>
            </w:r>
          </w:p>
        </w:tc>
      </w:tr>
    </w:tbl>
    <w:p w14:paraId="0C572F00" w14:textId="77777777" w:rsidR="00264ED8" w:rsidRPr="006B78CD" w:rsidRDefault="00264ED8" w:rsidP="00264ED8">
      <w:pPr>
        <w:pStyle w:val="Footnote"/>
        <w:rPr>
          <w:lang w:val="en-GB"/>
        </w:rPr>
      </w:pPr>
    </w:p>
    <w:p w14:paraId="07B2C1FC" w14:textId="4C10B621" w:rsidR="00264ED8" w:rsidRPr="00DC72DD" w:rsidRDefault="00264ED8" w:rsidP="00264ED8">
      <w:pPr>
        <w:pStyle w:val="Footnote"/>
        <w:rPr>
          <w:lang w:val="en-GB"/>
        </w:rPr>
      </w:pPr>
      <w:r w:rsidRPr="006B78CD">
        <w:rPr>
          <w:lang w:val="en-GB"/>
        </w:rPr>
        <w:t xml:space="preserve">Source: </w:t>
      </w:r>
      <w:r w:rsidRPr="00DC72DD">
        <w:rPr>
          <w:lang w:val="en-GB"/>
        </w:rPr>
        <w:t xml:space="preserve">Created by </w:t>
      </w:r>
      <w:r w:rsidR="0022289A">
        <w:rPr>
          <w:lang w:val="en-GB"/>
        </w:rPr>
        <w:t xml:space="preserve">the </w:t>
      </w:r>
      <w:r w:rsidRPr="00DC72DD">
        <w:rPr>
          <w:lang w:val="en-GB"/>
        </w:rPr>
        <w:t xml:space="preserve">authors based on </w:t>
      </w:r>
      <w:r w:rsidR="00B97A57" w:rsidRPr="00DC72DD">
        <w:rPr>
          <w:bCs/>
          <w:lang w:val="en-GB"/>
        </w:rPr>
        <w:t xml:space="preserve">Y. Ostaficzuk, “Les enjeux du commerce de détail: le cas RONA [The </w:t>
      </w:r>
      <w:r w:rsidR="0022289A">
        <w:rPr>
          <w:bCs/>
          <w:lang w:val="en-GB"/>
        </w:rPr>
        <w:t>S</w:t>
      </w:r>
      <w:r w:rsidR="00B97A57" w:rsidRPr="00DC72DD">
        <w:rPr>
          <w:bCs/>
          <w:lang w:val="en-GB"/>
        </w:rPr>
        <w:t xml:space="preserve">takes of the </w:t>
      </w:r>
      <w:r w:rsidR="0022289A">
        <w:rPr>
          <w:bCs/>
          <w:lang w:val="en-GB"/>
        </w:rPr>
        <w:t>R</w:t>
      </w:r>
      <w:r w:rsidR="00B97A57" w:rsidRPr="00DC72DD">
        <w:rPr>
          <w:bCs/>
          <w:lang w:val="en-GB"/>
        </w:rPr>
        <w:t xml:space="preserve">etail </w:t>
      </w:r>
      <w:r w:rsidR="0022289A">
        <w:rPr>
          <w:bCs/>
          <w:lang w:val="en-GB"/>
        </w:rPr>
        <w:t>T</w:t>
      </w:r>
      <w:r w:rsidR="00B97A57" w:rsidRPr="00DC72DD">
        <w:rPr>
          <w:bCs/>
          <w:lang w:val="en-GB"/>
        </w:rPr>
        <w:t xml:space="preserve">rade: </w:t>
      </w:r>
      <w:r w:rsidR="0022289A">
        <w:rPr>
          <w:bCs/>
          <w:lang w:val="en-GB"/>
        </w:rPr>
        <w:t>T</w:t>
      </w:r>
      <w:r w:rsidR="00B97A57" w:rsidRPr="00DC72DD">
        <w:rPr>
          <w:bCs/>
          <w:lang w:val="en-GB"/>
        </w:rPr>
        <w:t xml:space="preserve">he RONA </w:t>
      </w:r>
      <w:r w:rsidR="0022289A">
        <w:rPr>
          <w:bCs/>
          <w:lang w:val="en-GB"/>
        </w:rPr>
        <w:t>C</w:t>
      </w:r>
      <w:r w:rsidR="00B97A57" w:rsidRPr="00DC72DD">
        <w:rPr>
          <w:bCs/>
          <w:lang w:val="en-GB"/>
        </w:rPr>
        <w:t>ase],” (Montréal</w:t>
      </w:r>
      <w:r w:rsidR="0022289A">
        <w:rPr>
          <w:bCs/>
          <w:lang w:val="en-GB"/>
        </w:rPr>
        <w:t>, QC</w:t>
      </w:r>
      <w:r w:rsidR="00B97A57" w:rsidRPr="00DC72DD">
        <w:rPr>
          <w:bCs/>
          <w:lang w:val="en-GB"/>
        </w:rPr>
        <w:t>: HEC Montreal, August 8, 2013).</w:t>
      </w:r>
    </w:p>
    <w:p w14:paraId="6FC88FC0" w14:textId="77777777" w:rsidR="00264ED8" w:rsidRPr="006B78CD" w:rsidRDefault="00264ED8" w:rsidP="00264ED8">
      <w:pPr>
        <w:jc w:val="center"/>
        <w:rPr>
          <w:b/>
          <w:lang w:val="en-GB"/>
        </w:rPr>
      </w:pPr>
    </w:p>
    <w:p w14:paraId="7C3FA338" w14:textId="77777777" w:rsidR="00264ED8" w:rsidRPr="006B78CD" w:rsidRDefault="00264ED8" w:rsidP="00264ED8">
      <w:pPr>
        <w:jc w:val="center"/>
        <w:rPr>
          <w:b/>
          <w:lang w:val="en-GB"/>
        </w:rPr>
      </w:pPr>
    </w:p>
    <w:p w14:paraId="30659FE5" w14:textId="331FBD03" w:rsidR="00264ED8" w:rsidRPr="006B78CD" w:rsidRDefault="00C958F5" w:rsidP="00264ED8">
      <w:pPr>
        <w:pStyle w:val="ExhibitHeading"/>
        <w:rPr>
          <w:lang w:val="en-GB"/>
        </w:rPr>
      </w:pPr>
      <w:r w:rsidRPr="006B78CD">
        <w:rPr>
          <w:lang w:val="en-GB"/>
        </w:rPr>
        <w:t>EXHIBIT 3:</w:t>
      </w:r>
      <w:r w:rsidR="00264ED8" w:rsidRPr="006B78CD">
        <w:rPr>
          <w:lang w:val="en-GB"/>
        </w:rPr>
        <w:t xml:space="preserve"> SALES BREAKDOWN OF RONA BY REGION, CANADA (2012)</w:t>
      </w:r>
    </w:p>
    <w:p w14:paraId="45B3D41B" w14:textId="77777777" w:rsidR="00264ED8" w:rsidRPr="006B78CD" w:rsidRDefault="00264ED8" w:rsidP="00264ED8">
      <w:pPr>
        <w:rPr>
          <w:b/>
          <w:sz w:val="22"/>
          <w:szCs w:val="22"/>
          <w:lang w:val="en-GB"/>
        </w:rPr>
      </w:pPr>
    </w:p>
    <w:tbl>
      <w:tblPr>
        <w:tblStyle w:val="TableGrid"/>
        <w:tblW w:w="0" w:type="auto"/>
        <w:jc w:val="center"/>
        <w:tblLook w:val="04A0" w:firstRow="1" w:lastRow="0" w:firstColumn="1" w:lastColumn="0" w:noHBand="0" w:noVBand="1"/>
      </w:tblPr>
      <w:tblGrid>
        <w:gridCol w:w="2155"/>
        <w:gridCol w:w="2250"/>
      </w:tblGrid>
      <w:tr w:rsidR="00264ED8" w:rsidRPr="006B78CD" w14:paraId="601ABB99" w14:textId="77777777" w:rsidTr="009060B5">
        <w:trPr>
          <w:jc w:val="center"/>
        </w:trPr>
        <w:tc>
          <w:tcPr>
            <w:tcW w:w="2155" w:type="dxa"/>
          </w:tcPr>
          <w:p w14:paraId="1EDCE754" w14:textId="77777777" w:rsidR="00264ED8" w:rsidRPr="006B78CD" w:rsidRDefault="00264ED8" w:rsidP="00847EEA">
            <w:pPr>
              <w:jc w:val="center"/>
              <w:rPr>
                <w:rFonts w:ascii="Arial" w:hAnsi="Arial" w:cs="Arial"/>
                <w:b/>
                <w:lang w:val="en-GB"/>
              </w:rPr>
            </w:pPr>
            <w:r w:rsidRPr="006B78CD">
              <w:rPr>
                <w:rFonts w:ascii="Arial" w:hAnsi="Arial" w:cs="Arial"/>
                <w:b/>
                <w:lang w:val="en-GB"/>
              </w:rPr>
              <w:t>Region</w:t>
            </w:r>
          </w:p>
        </w:tc>
        <w:tc>
          <w:tcPr>
            <w:tcW w:w="2250" w:type="dxa"/>
          </w:tcPr>
          <w:p w14:paraId="1BA33AFD" w14:textId="59B715AE" w:rsidR="00264ED8" w:rsidRPr="006B78CD" w:rsidRDefault="00264ED8" w:rsidP="00847EEA">
            <w:pPr>
              <w:jc w:val="center"/>
              <w:rPr>
                <w:rFonts w:ascii="Arial" w:hAnsi="Arial" w:cs="Arial"/>
                <w:b/>
                <w:lang w:val="en-GB"/>
              </w:rPr>
            </w:pPr>
            <w:r w:rsidRPr="006B78CD">
              <w:rPr>
                <w:rFonts w:ascii="Arial" w:hAnsi="Arial" w:cs="Arial"/>
                <w:b/>
                <w:lang w:val="en-GB"/>
              </w:rPr>
              <w:t xml:space="preserve">Sales </w:t>
            </w:r>
            <w:r w:rsidR="00221EA2" w:rsidRPr="006B78CD">
              <w:rPr>
                <w:rFonts w:ascii="Arial" w:hAnsi="Arial" w:cs="Arial"/>
                <w:b/>
                <w:lang w:val="en-GB"/>
              </w:rPr>
              <w:t xml:space="preserve">Breakdown </w:t>
            </w:r>
            <w:r w:rsidRPr="006B78CD">
              <w:rPr>
                <w:rFonts w:ascii="Arial" w:hAnsi="Arial" w:cs="Arial"/>
                <w:b/>
                <w:lang w:val="en-GB"/>
              </w:rPr>
              <w:t>(%)</w:t>
            </w:r>
          </w:p>
        </w:tc>
      </w:tr>
      <w:tr w:rsidR="00264ED8" w:rsidRPr="006B78CD" w14:paraId="5BE81195" w14:textId="77777777" w:rsidTr="009060B5">
        <w:trPr>
          <w:jc w:val="center"/>
        </w:trPr>
        <w:tc>
          <w:tcPr>
            <w:tcW w:w="2155" w:type="dxa"/>
          </w:tcPr>
          <w:p w14:paraId="7C9BC58E" w14:textId="77777777" w:rsidR="00264ED8" w:rsidRPr="006B78CD" w:rsidRDefault="00264ED8" w:rsidP="009060B5">
            <w:pPr>
              <w:rPr>
                <w:rFonts w:ascii="Arial" w:hAnsi="Arial" w:cs="Arial"/>
                <w:lang w:val="en-GB"/>
              </w:rPr>
            </w:pPr>
            <w:r w:rsidRPr="006B78CD">
              <w:rPr>
                <w:rFonts w:ascii="Arial" w:hAnsi="Arial" w:cs="Arial"/>
                <w:lang w:val="en-GB"/>
              </w:rPr>
              <w:t>Quebec</w:t>
            </w:r>
          </w:p>
        </w:tc>
        <w:tc>
          <w:tcPr>
            <w:tcW w:w="2250" w:type="dxa"/>
          </w:tcPr>
          <w:p w14:paraId="7EF6C4C7" w14:textId="77777777" w:rsidR="00264ED8" w:rsidRPr="006B78CD" w:rsidRDefault="00264ED8" w:rsidP="00DC72DD">
            <w:pPr>
              <w:ind w:right="702"/>
              <w:jc w:val="right"/>
              <w:rPr>
                <w:rFonts w:ascii="Arial" w:hAnsi="Arial" w:cs="Arial"/>
                <w:lang w:val="en-GB"/>
              </w:rPr>
            </w:pPr>
            <w:r w:rsidRPr="006B78CD">
              <w:rPr>
                <w:rFonts w:ascii="Arial" w:hAnsi="Arial" w:cs="Arial"/>
                <w:lang w:val="en-GB"/>
              </w:rPr>
              <w:t>45</w:t>
            </w:r>
          </w:p>
        </w:tc>
      </w:tr>
      <w:tr w:rsidR="00264ED8" w:rsidRPr="006B78CD" w14:paraId="0BDA5C22" w14:textId="77777777" w:rsidTr="009060B5">
        <w:trPr>
          <w:jc w:val="center"/>
        </w:trPr>
        <w:tc>
          <w:tcPr>
            <w:tcW w:w="2155" w:type="dxa"/>
          </w:tcPr>
          <w:p w14:paraId="70F774BE" w14:textId="77777777" w:rsidR="00264ED8" w:rsidRPr="006B78CD" w:rsidRDefault="00264ED8" w:rsidP="009060B5">
            <w:pPr>
              <w:rPr>
                <w:rFonts w:ascii="Arial" w:hAnsi="Arial" w:cs="Arial"/>
                <w:lang w:val="en-GB"/>
              </w:rPr>
            </w:pPr>
            <w:r w:rsidRPr="006B78CD">
              <w:rPr>
                <w:rFonts w:ascii="Arial" w:hAnsi="Arial" w:cs="Arial"/>
                <w:lang w:val="en-GB"/>
              </w:rPr>
              <w:t>Western Canada</w:t>
            </w:r>
          </w:p>
        </w:tc>
        <w:tc>
          <w:tcPr>
            <w:tcW w:w="2250" w:type="dxa"/>
          </w:tcPr>
          <w:p w14:paraId="60468147" w14:textId="77777777" w:rsidR="00264ED8" w:rsidRPr="006B78CD" w:rsidRDefault="00264ED8" w:rsidP="00DC72DD">
            <w:pPr>
              <w:ind w:right="702"/>
              <w:jc w:val="right"/>
              <w:rPr>
                <w:rFonts w:ascii="Arial" w:hAnsi="Arial" w:cs="Arial"/>
                <w:lang w:val="en-GB"/>
              </w:rPr>
            </w:pPr>
            <w:r w:rsidRPr="006B78CD">
              <w:rPr>
                <w:rFonts w:ascii="Arial" w:hAnsi="Arial" w:cs="Arial"/>
                <w:lang w:val="en-GB"/>
              </w:rPr>
              <w:t>29</w:t>
            </w:r>
          </w:p>
        </w:tc>
      </w:tr>
      <w:tr w:rsidR="00264ED8" w:rsidRPr="006B78CD" w14:paraId="35BBD4D2" w14:textId="77777777" w:rsidTr="009060B5">
        <w:trPr>
          <w:jc w:val="center"/>
        </w:trPr>
        <w:tc>
          <w:tcPr>
            <w:tcW w:w="2155" w:type="dxa"/>
          </w:tcPr>
          <w:p w14:paraId="530D47F0" w14:textId="77777777" w:rsidR="00264ED8" w:rsidRPr="006B78CD" w:rsidRDefault="00264ED8" w:rsidP="009060B5">
            <w:pPr>
              <w:rPr>
                <w:rFonts w:ascii="Arial" w:hAnsi="Arial" w:cs="Arial"/>
                <w:lang w:val="en-GB"/>
              </w:rPr>
            </w:pPr>
            <w:r w:rsidRPr="006B78CD">
              <w:rPr>
                <w:rFonts w:ascii="Arial" w:hAnsi="Arial" w:cs="Arial"/>
                <w:lang w:val="en-GB"/>
              </w:rPr>
              <w:t>Ontario</w:t>
            </w:r>
          </w:p>
        </w:tc>
        <w:tc>
          <w:tcPr>
            <w:tcW w:w="2250" w:type="dxa"/>
          </w:tcPr>
          <w:p w14:paraId="3F8D95E2" w14:textId="77777777" w:rsidR="00264ED8" w:rsidRPr="006B78CD" w:rsidRDefault="00264ED8" w:rsidP="00DC72DD">
            <w:pPr>
              <w:ind w:right="702"/>
              <w:jc w:val="right"/>
              <w:rPr>
                <w:rFonts w:ascii="Arial" w:hAnsi="Arial" w:cs="Arial"/>
                <w:lang w:val="en-GB"/>
              </w:rPr>
            </w:pPr>
            <w:r w:rsidRPr="006B78CD">
              <w:rPr>
                <w:rFonts w:ascii="Arial" w:hAnsi="Arial" w:cs="Arial"/>
                <w:lang w:val="en-GB"/>
              </w:rPr>
              <w:t>24</w:t>
            </w:r>
          </w:p>
        </w:tc>
      </w:tr>
      <w:tr w:rsidR="00264ED8" w:rsidRPr="006B78CD" w14:paraId="09928529" w14:textId="77777777" w:rsidTr="009060B5">
        <w:trPr>
          <w:jc w:val="center"/>
        </w:trPr>
        <w:tc>
          <w:tcPr>
            <w:tcW w:w="2155" w:type="dxa"/>
          </w:tcPr>
          <w:p w14:paraId="01E04E57" w14:textId="77777777" w:rsidR="00264ED8" w:rsidRPr="006B78CD" w:rsidRDefault="00264ED8" w:rsidP="009060B5">
            <w:pPr>
              <w:rPr>
                <w:rFonts w:ascii="Arial" w:hAnsi="Arial" w:cs="Arial"/>
                <w:lang w:val="en-GB"/>
              </w:rPr>
            </w:pPr>
            <w:r w:rsidRPr="006B78CD">
              <w:rPr>
                <w:rFonts w:ascii="Arial" w:hAnsi="Arial" w:cs="Arial"/>
                <w:lang w:val="en-GB"/>
              </w:rPr>
              <w:t>Atlantic Provinces</w:t>
            </w:r>
          </w:p>
        </w:tc>
        <w:tc>
          <w:tcPr>
            <w:tcW w:w="2250" w:type="dxa"/>
          </w:tcPr>
          <w:p w14:paraId="152A0F1D" w14:textId="77777777" w:rsidR="00264ED8" w:rsidRPr="006B78CD" w:rsidRDefault="00264ED8" w:rsidP="00DC72DD">
            <w:pPr>
              <w:ind w:right="702"/>
              <w:jc w:val="right"/>
              <w:rPr>
                <w:rFonts w:ascii="Arial" w:hAnsi="Arial" w:cs="Arial"/>
                <w:lang w:val="en-GB"/>
              </w:rPr>
            </w:pPr>
            <w:r w:rsidRPr="006B78CD">
              <w:rPr>
                <w:rFonts w:ascii="Arial" w:hAnsi="Arial" w:cs="Arial"/>
                <w:lang w:val="en-GB"/>
              </w:rPr>
              <w:t>2</w:t>
            </w:r>
          </w:p>
        </w:tc>
      </w:tr>
    </w:tbl>
    <w:p w14:paraId="550B3429" w14:textId="77777777" w:rsidR="00264ED8" w:rsidRPr="006B78CD" w:rsidRDefault="00264ED8" w:rsidP="00264ED8">
      <w:pPr>
        <w:pStyle w:val="Footnote"/>
        <w:rPr>
          <w:lang w:val="en-GB"/>
        </w:rPr>
      </w:pPr>
    </w:p>
    <w:p w14:paraId="29DCE090" w14:textId="602B810D" w:rsidR="00264ED8" w:rsidRPr="006B78CD" w:rsidRDefault="00264ED8" w:rsidP="00264ED8">
      <w:pPr>
        <w:pStyle w:val="Footnote"/>
        <w:rPr>
          <w:bCs/>
          <w:lang w:val="en-GB"/>
        </w:rPr>
      </w:pPr>
      <w:r w:rsidRPr="006B78CD">
        <w:rPr>
          <w:lang w:val="en-GB"/>
        </w:rPr>
        <w:t xml:space="preserve">Source: Created by </w:t>
      </w:r>
      <w:r w:rsidR="0022289A">
        <w:rPr>
          <w:lang w:val="en-GB"/>
        </w:rPr>
        <w:t xml:space="preserve">the </w:t>
      </w:r>
      <w:r w:rsidRPr="006B78CD">
        <w:rPr>
          <w:lang w:val="en-GB"/>
        </w:rPr>
        <w:t xml:space="preserve">authors based on </w:t>
      </w:r>
      <w:r w:rsidR="00B97A57" w:rsidRPr="00B04842">
        <w:rPr>
          <w:bCs/>
          <w:lang w:val="en-GB"/>
        </w:rPr>
        <w:t xml:space="preserve">Y. Ostaficzuk, “Les enjeux du commerce de détail: le cas RONA [The </w:t>
      </w:r>
      <w:r w:rsidR="0022289A">
        <w:rPr>
          <w:bCs/>
          <w:lang w:val="en-GB"/>
        </w:rPr>
        <w:t>S</w:t>
      </w:r>
      <w:r w:rsidR="00B97A57" w:rsidRPr="00B04842">
        <w:rPr>
          <w:bCs/>
          <w:lang w:val="en-GB"/>
        </w:rPr>
        <w:t xml:space="preserve">takes of the </w:t>
      </w:r>
      <w:r w:rsidR="0022289A">
        <w:rPr>
          <w:bCs/>
          <w:lang w:val="en-GB"/>
        </w:rPr>
        <w:t>R</w:t>
      </w:r>
      <w:r w:rsidR="00B97A57" w:rsidRPr="00B04842">
        <w:rPr>
          <w:bCs/>
          <w:lang w:val="en-GB"/>
        </w:rPr>
        <w:t xml:space="preserve">etail </w:t>
      </w:r>
      <w:r w:rsidR="0022289A">
        <w:rPr>
          <w:bCs/>
          <w:lang w:val="en-GB"/>
        </w:rPr>
        <w:t>T</w:t>
      </w:r>
      <w:r w:rsidR="00B97A57" w:rsidRPr="00B04842">
        <w:rPr>
          <w:bCs/>
          <w:lang w:val="en-GB"/>
        </w:rPr>
        <w:t xml:space="preserve">rade: </w:t>
      </w:r>
      <w:r w:rsidR="0022289A">
        <w:rPr>
          <w:bCs/>
          <w:lang w:val="en-GB"/>
        </w:rPr>
        <w:t>T</w:t>
      </w:r>
      <w:r w:rsidR="00B97A57" w:rsidRPr="00B04842">
        <w:rPr>
          <w:bCs/>
          <w:lang w:val="en-GB"/>
        </w:rPr>
        <w:t xml:space="preserve">he RONA </w:t>
      </w:r>
      <w:r w:rsidR="0022289A">
        <w:rPr>
          <w:bCs/>
          <w:lang w:val="en-GB"/>
        </w:rPr>
        <w:t>C</w:t>
      </w:r>
      <w:r w:rsidR="00B97A57" w:rsidRPr="00B04842">
        <w:rPr>
          <w:bCs/>
          <w:lang w:val="en-GB"/>
        </w:rPr>
        <w:t>ase],” (Montréal</w:t>
      </w:r>
      <w:r w:rsidR="0022289A">
        <w:rPr>
          <w:bCs/>
          <w:lang w:val="en-GB"/>
        </w:rPr>
        <w:t>, QC</w:t>
      </w:r>
      <w:r w:rsidR="00B97A57" w:rsidRPr="00B04842">
        <w:rPr>
          <w:bCs/>
          <w:lang w:val="en-GB"/>
        </w:rPr>
        <w:t>: HEC Montreal, August 8, 2013).</w:t>
      </w:r>
    </w:p>
    <w:p w14:paraId="64F02820" w14:textId="77777777" w:rsidR="00264ED8" w:rsidRPr="006B78CD" w:rsidRDefault="00264ED8" w:rsidP="00264ED8">
      <w:pPr>
        <w:tabs>
          <w:tab w:val="left" w:pos="6338"/>
        </w:tabs>
        <w:rPr>
          <w:sz w:val="22"/>
          <w:szCs w:val="22"/>
          <w:lang w:val="en-GB"/>
        </w:rPr>
      </w:pPr>
    </w:p>
    <w:p w14:paraId="6C40340E" w14:textId="77777777" w:rsidR="00264ED8" w:rsidRPr="006B78CD" w:rsidRDefault="00264ED8" w:rsidP="00264ED8">
      <w:pPr>
        <w:tabs>
          <w:tab w:val="left" w:pos="6338"/>
        </w:tabs>
        <w:rPr>
          <w:sz w:val="22"/>
          <w:szCs w:val="22"/>
          <w:lang w:val="en-GB"/>
        </w:rPr>
      </w:pPr>
    </w:p>
    <w:p w14:paraId="5CC680D6" w14:textId="47A301B8" w:rsidR="00264ED8" w:rsidRPr="006B78CD" w:rsidRDefault="00264ED8" w:rsidP="00264ED8">
      <w:pPr>
        <w:pStyle w:val="ExhibitHeading"/>
        <w:rPr>
          <w:lang w:val="en-GB"/>
        </w:rPr>
      </w:pPr>
      <w:r w:rsidRPr="006B78CD">
        <w:rPr>
          <w:lang w:val="en-GB"/>
        </w:rPr>
        <w:t>EXHIBIT</w:t>
      </w:r>
      <w:r w:rsidR="00C958F5" w:rsidRPr="006B78CD">
        <w:rPr>
          <w:lang w:val="en-GB"/>
        </w:rPr>
        <w:t xml:space="preserve"> </w:t>
      </w:r>
      <w:r w:rsidR="00F915A0" w:rsidRPr="006B78CD">
        <w:rPr>
          <w:lang w:val="en-GB"/>
        </w:rPr>
        <w:t>4</w:t>
      </w:r>
      <w:r w:rsidRPr="006B78CD">
        <w:rPr>
          <w:lang w:val="en-GB"/>
        </w:rPr>
        <w:t>: CHANGE IN RONA SHARE PRICE</w:t>
      </w:r>
      <w:r w:rsidR="00221EA2" w:rsidRPr="006B78CD">
        <w:rPr>
          <w:lang w:val="en-GB"/>
        </w:rPr>
        <w:br/>
      </w:r>
      <w:r w:rsidRPr="006B78CD">
        <w:rPr>
          <w:lang w:val="en-GB"/>
        </w:rPr>
        <w:t>AFTER THE FIRST PURCHASE OFFER FROM LOWE’S</w:t>
      </w:r>
      <w:r w:rsidR="0022289A">
        <w:rPr>
          <w:lang w:val="en-GB"/>
        </w:rPr>
        <w:t xml:space="preserve"> (in CA$)</w:t>
      </w:r>
    </w:p>
    <w:p w14:paraId="46496896" w14:textId="77777777" w:rsidR="00264ED8" w:rsidRPr="00DC72DD" w:rsidRDefault="00264ED8" w:rsidP="00264ED8">
      <w:pPr>
        <w:jc w:val="center"/>
        <w:rPr>
          <w:b/>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5220"/>
        <w:gridCol w:w="1620"/>
      </w:tblGrid>
      <w:tr w:rsidR="00264ED8" w:rsidRPr="006B78CD" w14:paraId="388C6F95" w14:textId="77777777" w:rsidTr="00920967">
        <w:trPr>
          <w:trHeight w:val="305"/>
        </w:trPr>
        <w:tc>
          <w:tcPr>
            <w:tcW w:w="1885" w:type="dxa"/>
            <w:shd w:val="clear" w:color="auto" w:fill="auto"/>
          </w:tcPr>
          <w:p w14:paraId="093E09FA" w14:textId="77777777" w:rsidR="00264ED8" w:rsidRPr="006B78CD" w:rsidRDefault="00264ED8" w:rsidP="00847EEA">
            <w:pPr>
              <w:pStyle w:val="BodyText"/>
              <w:spacing w:after="0"/>
              <w:ind w:right="169"/>
              <w:jc w:val="center"/>
              <w:rPr>
                <w:rFonts w:ascii="Arial" w:hAnsi="Arial" w:cs="Arial"/>
                <w:b/>
                <w:spacing w:val="-4"/>
                <w:lang w:val="en-GB"/>
              </w:rPr>
            </w:pPr>
            <w:r w:rsidRPr="006B78CD">
              <w:rPr>
                <w:rFonts w:ascii="Arial" w:hAnsi="Arial" w:cs="Arial"/>
                <w:b/>
                <w:spacing w:val="-4"/>
                <w:lang w:val="en-GB"/>
              </w:rPr>
              <w:t>Date</w:t>
            </w:r>
          </w:p>
        </w:tc>
        <w:tc>
          <w:tcPr>
            <w:tcW w:w="5220" w:type="dxa"/>
            <w:shd w:val="clear" w:color="auto" w:fill="auto"/>
          </w:tcPr>
          <w:p w14:paraId="2C117A3D" w14:textId="77777777" w:rsidR="00264ED8" w:rsidRPr="006B78CD" w:rsidRDefault="00264ED8" w:rsidP="00847EEA">
            <w:pPr>
              <w:pStyle w:val="BodyText"/>
              <w:spacing w:after="0"/>
              <w:ind w:right="169"/>
              <w:jc w:val="center"/>
              <w:rPr>
                <w:rFonts w:ascii="Arial" w:hAnsi="Arial" w:cs="Arial"/>
                <w:b/>
                <w:spacing w:val="-4"/>
                <w:lang w:val="en-GB"/>
              </w:rPr>
            </w:pPr>
            <w:r w:rsidRPr="006B78CD">
              <w:rPr>
                <w:rFonts w:ascii="Arial" w:hAnsi="Arial" w:cs="Arial"/>
                <w:b/>
                <w:spacing w:val="-4"/>
                <w:lang w:val="en-GB"/>
              </w:rPr>
              <w:t>Event</w:t>
            </w:r>
          </w:p>
        </w:tc>
        <w:tc>
          <w:tcPr>
            <w:tcW w:w="1620" w:type="dxa"/>
            <w:shd w:val="clear" w:color="auto" w:fill="auto"/>
          </w:tcPr>
          <w:p w14:paraId="358B3567" w14:textId="093704A9" w:rsidR="00264ED8" w:rsidRPr="006B78CD" w:rsidRDefault="00264ED8" w:rsidP="00847EEA">
            <w:pPr>
              <w:pStyle w:val="BodyText"/>
              <w:spacing w:after="0"/>
              <w:ind w:right="173"/>
              <w:jc w:val="center"/>
              <w:rPr>
                <w:rFonts w:ascii="Arial" w:hAnsi="Arial" w:cs="Arial"/>
                <w:b/>
                <w:spacing w:val="-4"/>
                <w:lang w:val="en-GB"/>
              </w:rPr>
            </w:pPr>
            <w:r w:rsidRPr="006B78CD">
              <w:rPr>
                <w:rFonts w:ascii="Arial" w:hAnsi="Arial" w:cs="Arial"/>
                <w:b/>
                <w:spacing w:val="-4"/>
                <w:lang w:val="en-GB"/>
              </w:rPr>
              <w:t xml:space="preserve">Share </w:t>
            </w:r>
            <w:r w:rsidR="00221EA2" w:rsidRPr="006B78CD">
              <w:rPr>
                <w:rFonts w:ascii="Arial" w:hAnsi="Arial" w:cs="Arial"/>
                <w:b/>
                <w:spacing w:val="-4"/>
                <w:lang w:val="en-GB"/>
              </w:rPr>
              <w:t>P</w:t>
            </w:r>
            <w:r w:rsidRPr="006B78CD">
              <w:rPr>
                <w:rFonts w:ascii="Arial" w:hAnsi="Arial" w:cs="Arial"/>
                <w:b/>
                <w:spacing w:val="-4"/>
                <w:lang w:val="en-GB"/>
              </w:rPr>
              <w:t xml:space="preserve">rice (at </w:t>
            </w:r>
            <w:r w:rsidR="00221EA2" w:rsidRPr="006B78CD">
              <w:rPr>
                <w:rFonts w:ascii="Arial" w:hAnsi="Arial" w:cs="Arial"/>
                <w:b/>
                <w:spacing w:val="-4"/>
                <w:lang w:val="en-GB"/>
              </w:rPr>
              <w:t>Closing</w:t>
            </w:r>
            <w:r w:rsidRPr="006B78CD">
              <w:rPr>
                <w:rFonts w:ascii="Arial" w:hAnsi="Arial" w:cs="Arial"/>
                <w:b/>
                <w:spacing w:val="-4"/>
                <w:lang w:val="en-GB"/>
              </w:rPr>
              <w:t>)</w:t>
            </w:r>
          </w:p>
        </w:tc>
      </w:tr>
      <w:tr w:rsidR="00264ED8" w:rsidRPr="006B78CD" w14:paraId="38491D17" w14:textId="77777777" w:rsidTr="008A333A">
        <w:tc>
          <w:tcPr>
            <w:tcW w:w="1885" w:type="dxa"/>
            <w:shd w:val="clear" w:color="auto" w:fill="auto"/>
            <w:vAlign w:val="center"/>
          </w:tcPr>
          <w:p w14:paraId="7EA185AF" w14:textId="77777777" w:rsidR="00264ED8" w:rsidRPr="006B78CD" w:rsidRDefault="00264ED8" w:rsidP="008A333A">
            <w:pPr>
              <w:pStyle w:val="BodyText"/>
              <w:spacing w:after="0"/>
              <w:ind w:right="169"/>
              <w:rPr>
                <w:rFonts w:ascii="Arial" w:hAnsi="Arial" w:cs="Arial"/>
                <w:spacing w:val="-4"/>
                <w:lang w:val="en-GB"/>
              </w:rPr>
            </w:pPr>
            <w:r w:rsidRPr="006B78CD">
              <w:rPr>
                <w:rFonts w:ascii="Arial" w:hAnsi="Arial" w:cs="Arial"/>
                <w:spacing w:val="-4"/>
                <w:lang w:val="en-GB"/>
              </w:rPr>
              <w:t>March 9, 2013</w:t>
            </w:r>
          </w:p>
        </w:tc>
        <w:tc>
          <w:tcPr>
            <w:tcW w:w="5220" w:type="dxa"/>
            <w:shd w:val="clear" w:color="auto" w:fill="auto"/>
            <w:vAlign w:val="center"/>
          </w:tcPr>
          <w:p w14:paraId="1592939F" w14:textId="0002BCBF" w:rsidR="00264ED8" w:rsidRPr="006B78CD" w:rsidRDefault="00264ED8" w:rsidP="008A3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2"/>
                <w:lang w:val="en-GB"/>
              </w:rPr>
            </w:pPr>
            <w:r w:rsidRPr="006B78CD">
              <w:rPr>
                <w:rFonts w:ascii="Arial" w:hAnsi="Arial" w:cs="Arial"/>
                <w:szCs w:val="22"/>
                <w:lang w:val="en-GB"/>
              </w:rPr>
              <w:t xml:space="preserve">New </w:t>
            </w:r>
            <w:r w:rsidR="0022289A">
              <w:rPr>
                <w:rFonts w:ascii="Arial" w:hAnsi="Arial" w:cs="Arial"/>
                <w:szCs w:val="22"/>
                <w:lang w:val="en-GB"/>
              </w:rPr>
              <w:t>chief executive officer</w:t>
            </w:r>
            <w:r w:rsidRPr="006B78CD">
              <w:rPr>
                <w:rFonts w:ascii="Arial" w:hAnsi="Arial" w:cs="Arial"/>
                <w:szCs w:val="22"/>
                <w:lang w:val="en-GB"/>
              </w:rPr>
              <w:t xml:space="preserve"> announced (Robert Sawyer)</w:t>
            </w:r>
          </w:p>
        </w:tc>
        <w:tc>
          <w:tcPr>
            <w:tcW w:w="1620" w:type="dxa"/>
            <w:shd w:val="clear" w:color="auto" w:fill="auto"/>
            <w:vAlign w:val="center"/>
          </w:tcPr>
          <w:p w14:paraId="3335F6C8" w14:textId="77777777" w:rsidR="00264ED8" w:rsidRPr="006B78CD" w:rsidRDefault="00264ED8" w:rsidP="008A333A">
            <w:pPr>
              <w:pStyle w:val="BodyText"/>
              <w:tabs>
                <w:tab w:val="left" w:pos="2191"/>
              </w:tabs>
              <w:spacing w:after="0"/>
              <w:ind w:right="792"/>
              <w:rPr>
                <w:rFonts w:ascii="Arial" w:hAnsi="Arial" w:cs="Arial"/>
                <w:spacing w:val="-4"/>
                <w:lang w:val="en-GB"/>
              </w:rPr>
            </w:pPr>
            <w:r w:rsidRPr="006B78CD">
              <w:rPr>
                <w:rFonts w:ascii="Arial" w:hAnsi="Arial" w:cs="Arial"/>
                <w:spacing w:val="-4"/>
                <w:lang w:val="en-GB"/>
              </w:rPr>
              <w:t>$10.98</w:t>
            </w:r>
          </w:p>
        </w:tc>
      </w:tr>
      <w:tr w:rsidR="00264ED8" w:rsidRPr="006B78CD" w14:paraId="093E1AD1" w14:textId="77777777" w:rsidTr="008A333A">
        <w:tc>
          <w:tcPr>
            <w:tcW w:w="1885" w:type="dxa"/>
            <w:shd w:val="clear" w:color="auto" w:fill="auto"/>
            <w:vAlign w:val="center"/>
          </w:tcPr>
          <w:p w14:paraId="67EDCB4D" w14:textId="77777777" w:rsidR="00264ED8" w:rsidRPr="006B78CD" w:rsidRDefault="00264ED8" w:rsidP="008A333A">
            <w:pPr>
              <w:pStyle w:val="BodyText"/>
              <w:spacing w:after="0"/>
              <w:ind w:right="169"/>
              <w:rPr>
                <w:rFonts w:ascii="Arial" w:hAnsi="Arial" w:cs="Arial"/>
                <w:spacing w:val="-4"/>
                <w:lang w:val="en-GB"/>
              </w:rPr>
            </w:pPr>
            <w:r w:rsidRPr="006B78CD">
              <w:rPr>
                <w:rFonts w:ascii="Arial" w:hAnsi="Arial" w:cs="Arial"/>
                <w:spacing w:val="-4"/>
                <w:lang w:val="en-GB"/>
              </w:rPr>
              <w:t>April 9, 2015</w:t>
            </w:r>
          </w:p>
        </w:tc>
        <w:tc>
          <w:tcPr>
            <w:tcW w:w="5220" w:type="dxa"/>
            <w:shd w:val="clear" w:color="auto" w:fill="auto"/>
            <w:vAlign w:val="center"/>
          </w:tcPr>
          <w:p w14:paraId="289D41E9" w14:textId="77777777" w:rsidR="00264ED8" w:rsidRPr="006B78CD" w:rsidRDefault="00264ED8" w:rsidP="008A3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2"/>
                <w:lang w:val="en-GB"/>
              </w:rPr>
            </w:pPr>
            <w:r w:rsidRPr="006B78CD">
              <w:rPr>
                <w:rFonts w:ascii="Arial" w:hAnsi="Arial" w:cs="Arial"/>
                <w:szCs w:val="22"/>
                <w:lang w:val="en-GB"/>
              </w:rPr>
              <w:t>Highest share price on the market since the 2012 offer</w:t>
            </w:r>
          </w:p>
        </w:tc>
        <w:tc>
          <w:tcPr>
            <w:tcW w:w="1620" w:type="dxa"/>
            <w:shd w:val="clear" w:color="auto" w:fill="auto"/>
            <w:vAlign w:val="center"/>
          </w:tcPr>
          <w:p w14:paraId="33F64191" w14:textId="77777777" w:rsidR="00264ED8" w:rsidRPr="006B78CD" w:rsidRDefault="00264ED8" w:rsidP="008A333A">
            <w:pPr>
              <w:pStyle w:val="BodyText"/>
              <w:tabs>
                <w:tab w:val="left" w:pos="2191"/>
              </w:tabs>
              <w:spacing w:after="0"/>
              <w:ind w:right="792"/>
              <w:rPr>
                <w:rFonts w:ascii="Arial" w:hAnsi="Arial" w:cs="Arial"/>
                <w:spacing w:val="-4"/>
                <w:lang w:val="en-GB"/>
              </w:rPr>
            </w:pPr>
            <w:r w:rsidRPr="006B78CD">
              <w:rPr>
                <w:rFonts w:ascii="Arial" w:hAnsi="Arial" w:cs="Arial"/>
                <w:spacing w:val="-4"/>
                <w:lang w:val="en-GB"/>
              </w:rPr>
              <w:t>$16.85</w:t>
            </w:r>
          </w:p>
        </w:tc>
      </w:tr>
      <w:tr w:rsidR="00264ED8" w:rsidRPr="006B78CD" w14:paraId="2C27EEA9" w14:textId="77777777" w:rsidTr="008A333A">
        <w:tc>
          <w:tcPr>
            <w:tcW w:w="1885" w:type="dxa"/>
            <w:shd w:val="clear" w:color="auto" w:fill="auto"/>
            <w:vAlign w:val="center"/>
          </w:tcPr>
          <w:p w14:paraId="2E976DD0" w14:textId="77777777" w:rsidR="00264ED8" w:rsidRPr="006B78CD" w:rsidRDefault="00264ED8" w:rsidP="008A333A">
            <w:pPr>
              <w:pStyle w:val="BodyText"/>
              <w:spacing w:after="0"/>
              <w:ind w:right="169"/>
              <w:rPr>
                <w:rFonts w:ascii="Arial" w:hAnsi="Arial" w:cs="Arial"/>
                <w:spacing w:val="-4"/>
                <w:lang w:val="en-GB"/>
              </w:rPr>
            </w:pPr>
            <w:r w:rsidRPr="006B78CD">
              <w:rPr>
                <w:rFonts w:ascii="Arial" w:hAnsi="Arial" w:cs="Arial"/>
                <w:spacing w:val="-4"/>
                <w:lang w:val="en-GB"/>
              </w:rPr>
              <w:t>February 2, 2016</w:t>
            </w:r>
          </w:p>
        </w:tc>
        <w:tc>
          <w:tcPr>
            <w:tcW w:w="5220" w:type="dxa"/>
            <w:shd w:val="clear" w:color="auto" w:fill="auto"/>
            <w:vAlign w:val="center"/>
          </w:tcPr>
          <w:p w14:paraId="025C8CA6" w14:textId="1EBA7B52" w:rsidR="00264ED8" w:rsidRPr="006B78CD" w:rsidRDefault="00264ED8" w:rsidP="008A3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2"/>
                <w:lang w:val="en-GB"/>
              </w:rPr>
            </w:pPr>
            <w:r w:rsidRPr="006B78CD">
              <w:rPr>
                <w:rFonts w:ascii="Arial" w:hAnsi="Arial" w:cs="Arial"/>
                <w:szCs w:val="22"/>
                <w:lang w:val="en-GB"/>
              </w:rPr>
              <w:t xml:space="preserve">Eve of the announcement of Lowe’s </w:t>
            </w:r>
            <w:r w:rsidR="00221EA2" w:rsidRPr="006B78CD">
              <w:rPr>
                <w:rFonts w:ascii="Arial" w:hAnsi="Arial" w:cs="Arial"/>
                <w:szCs w:val="22"/>
                <w:lang w:val="en-GB"/>
              </w:rPr>
              <w:t xml:space="preserve">second </w:t>
            </w:r>
            <w:r w:rsidRPr="006B78CD">
              <w:rPr>
                <w:rFonts w:ascii="Arial" w:hAnsi="Arial" w:cs="Arial"/>
                <w:szCs w:val="22"/>
                <w:lang w:val="en-GB"/>
              </w:rPr>
              <w:t xml:space="preserve">offer </w:t>
            </w:r>
          </w:p>
        </w:tc>
        <w:tc>
          <w:tcPr>
            <w:tcW w:w="1620" w:type="dxa"/>
            <w:shd w:val="clear" w:color="auto" w:fill="auto"/>
            <w:vAlign w:val="center"/>
          </w:tcPr>
          <w:p w14:paraId="338C65BE" w14:textId="77777777" w:rsidR="00264ED8" w:rsidRPr="006B78CD" w:rsidRDefault="00264ED8" w:rsidP="008A333A">
            <w:pPr>
              <w:pStyle w:val="BodyText"/>
              <w:tabs>
                <w:tab w:val="left" w:pos="2191"/>
              </w:tabs>
              <w:spacing w:after="0"/>
              <w:ind w:right="792"/>
              <w:rPr>
                <w:rFonts w:ascii="Arial" w:hAnsi="Arial" w:cs="Arial"/>
                <w:spacing w:val="-4"/>
                <w:lang w:val="en-GB"/>
              </w:rPr>
            </w:pPr>
            <w:r w:rsidRPr="006B78CD">
              <w:rPr>
                <w:rFonts w:ascii="Arial" w:hAnsi="Arial" w:cs="Arial"/>
                <w:spacing w:val="-4"/>
                <w:lang w:val="en-GB"/>
              </w:rPr>
              <w:t>$11.77</w:t>
            </w:r>
          </w:p>
        </w:tc>
      </w:tr>
      <w:tr w:rsidR="00264ED8" w:rsidRPr="006B78CD" w14:paraId="096379F3" w14:textId="77777777" w:rsidTr="008A333A">
        <w:tc>
          <w:tcPr>
            <w:tcW w:w="1885" w:type="dxa"/>
            <w:shd w:val="clear" w:color="auto" w:fill="auto"/>
            <w:vAlign w:val="center"/>
          </w:tcPr>
          <w:p w14:paraId="12FBA290" w14:textId="77777777" w:rsidR="00264ED8" w:rsidRPr="006B78CD" w:rsidRDefault="00264ED8" w:rsidP="008A333A">
            <w:pPr>
              <w:pStyle w:val="BodyText"/>
              <w:spacing w:after="0"/>
              <w:ind w:right="169"/>
              <w:rPr>
                <w:rFonts w:ascii="Arial" w:hAnsi="Arial" w:cs="Arial"/>
                <w:spacing w:val="-4"/>
                <w:lang w:val="en-GB"/>
              </w:rPr>
            </w:pPr>
            <w:r w:rsidRPr="006B78CD">
              <w:rPr>
                <w:rFonts w:ascii="Arial" w:hAnsi="Arial" w:cs="Arial"/>
                <w:spacing w:val="-4"/>
                <w:lang w:val="en-GB"/>
              </w:rPr>
              <w:t>February 3, 2016</w:t>
            </w:r>
          </w:p>
        </w:tc>
        <w:tc>
          <w:tcPr>
            <w:tcW w:w="5220" w:type="dxa"/>
            <w:shd w:val="clear" w:color="auto" w:fill="auto"/>
            <w:vAlign w:val="center"/>
          </w:tcPr>
          <w:p w14:paraId="5A9827A2" w14:textId="77777777" w:rsidR="00264ED8" w:rsidRPr="006B78CD" w:rsidRDefault="00264ED8" w:rsidP="008A3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2"/>
                <w:lang w:val="en-GB"/>
              </w:rPr>
            </w:pPr>
            <w:r w:rsidRPr="006B78CD">
              <w:rPr>
                <w:rFonts w:ascii="Arial" w:hAnsi="Arial" w:cs="Arial"/>
                <w:szCs w:val="22"/>
                <w:lang w:val="en-GB"/>
              </w:rPr>
              <w:t>Lowe’s announcement ($24 per common share and $20 per preferred share)</w:t>
            </w:r>
          </w:p>
        </w:tc>
        <w:tc>
          <w:tcPr>
            <w:tcW w:w="1620" w:type="dxa"/>
            <w:shd w:val="clear" w:color="auto" w:fill="auto"/>
            <w:vAlign w:val="center"/>
          </w:tcPr>
          <w:p w14:paraId="1A3549F8" w14:textId="77777777" w:rsidR="00264ED8" w:rsidRPr="006B78CD" w:rsidRDefault="00264ED8" w:rsidP="008A333A">
            <w:pPr>
              <w:pStyle w:val="BodyText"/>
              <w:tabs>
                <w:tab w:val="left" w:pos="2191"/>
              </w:tabs>
              <w:spacing w:after="0"/>
              <w:ind w:right="792"/>
              <w:rPr>
                <w:rFonts w:ascii="Arial" w:hAnsi="Arial" w:cs="Arial"/>
                <w:spacing w:val="-4"/>
                <w:lang w:val="en-GB"/>
              </w:rPr>
            </w:pPr>
            <w:r w:rsidRPr="006B78CD">
              <w:rPr>
                <w:rFonts w:ascii="Arial" w:hAnsi="Arial" w:cs="Arial"/>
                <w:spacing w:val="-4"/>
                <w:lang w:val="en-GB"/>
              </w:rPr>
              <w:t>$23.99</w:t>
            </w:r>
          </w:p>
        </w:tc>
      </w:tr>
    </w:tbl>
    <w:p w14:paraId="484A245C" w14:textId="77777777" w:rsidR="00264ED8" w:rsidRPr="006B78CD" w:rsidRDefault="00264ED8" w:rsidP="00264ED8">
      <w:pPr>
        <w:pStyle w:val="Footnote"/>
        <w:rPr>
          <w:lang w:val="en-GB"/>
        </w:rPr>
      </w:pPr>
    </w:p>
    <w:p w14:paraId="5F61C964" w14:textId="05A5E085" w:rsidR="00264ED8" w:rsidRPr="006B78CD" w:rsidRDefault="00264ED8" w:rsidP="00264ED8">
      <w:pPr>
        <w:pStyle w:val="Footnote"/>
        <w:rPr>
          <w:lang w:val="en-GB"/>
        </w:rPr>
      </w:pPr>
      <w:r w:rsidRPr="006B78CD">
        <w:rPr>
          <w:lang w:val="en-GB"/>
        </w:rPr>
        <w:t xml:space="preserve">Source: Created by </w:t>
      </w:r>
      <w:r w:rsidR="0022289A">
        <w:rPr>
          <w:lang w:val="en-GB"/>
        </w:rPr>
        <w:t xml:space="preserve">the </w:t>
      </w:r>
      <w:r w:rsidRPr="006B78CD">
        <w:rPr>
          <w:lang w:val="en-GB"/>
        </w:rPr>
        <w:t xml:space="preserve">authors based on “RONA INC. (RON),” </w:t>
      </w:r>
      <w:r w:rsidR="002B641E" w:rsidRPr="006B78CD">
        <w:rPr>
          <w:lang w:val="en-GB"/>
        </w:rPr>
        <w:t xml:space="preserve">4-Traders, </w:t>
      </w:r>
      <w:r w:rsidRPr="006B78CD">
        <w:rPr>
          <w:lang w:val="en-GB"/>
        </w:rPr>
        <w:t xml:space="preserve">accessed April 18, 2018, </w:t>
      </w:r>
      <w:r w:rsidR="006C474B" w:rsidRPr="006B78CD">
        <w:rPr>
          <w:lang w:val="en-GB"/>
        </w:rPr>
        <w:t>www.4-traders.com/RONA-INC-1411507/</w:t>
      </w:r>
      <w:r w:rsidRPr="006B78CD">
        <w:rPr>
          <w:lang w:val="en-GB"/>
        </w:rPr>
        <w:t>.</w:t>
      </w:r>
    </w:p>
    <w:p w14:paraId="1EA389C2" w14:textId="77777777" w:rsidR="006C474B" w:rsidRPr="006B78CD" w:rsidRDefault="006C474B" w:rsidP="00264ED8">
      <w:pPr>
        <w:pStyle w:val="Footnote"/>
        <w:rPr>
          <w:lang w:val="en-GB"/>
        </w:rPr>
      </w:pPr>
    </w:p>
    <w:p w14:paraId="778CC509" w14:textId="77777777" w:rsidR="006C474B" w:rsidRPr="006B78CD" w:rsidRDefault="006C474B" w:rsidP="00264ED8">
      <w:pPr>
        <w:pStyle w:val="Footnote"/>
        <w:rPr>
          <w:lang w:val="en-GB"/>
        </w:rPr>
      </w:pPr>
    </w:p>
    <w:p w14:paraId="4577F7B7" w14:textId="65264734" w:rsidR="00264ED8" w:rsidRPr="006B78CD" w:rsidRDefault="00264ED8" w:rsidP="00C30CC2">
      <w:pPr>
        <w:pStyle w:val="ExhibitHeading"/>
        <w:keepNext/>
        <w:keepLines/>
        <w:rPr>
          <w:lang w:val="en-GB"/>
        </w:rPr>
      </w:pPr>
      <w:r w:rsidRPr="006B78CD">
        <w:rPr>
          <w:lang w:val="en-GB"/>
        </w:rPr>
        <w:lastRenderedPageBreak/>
        <w:t>EXHIBIT</w:t>
      </w:r>
      <w:r w:rsidR="00C958F5" w:rsidRPr="006B78CD">
        <w:rPr>
          <w:lang w:val="en-GB"/>
        </w:rPr>
        <w:t xml:space="preserve"> </w:t>
      </w:r>
      <w:r w:rsidR="00F915A0" w:rsidRPr="006B78CD">
        <w:rPr>
          <w:lang w:val="en-GB"/>
        </w:rPr>
        <w:t>5</w:t>
      </w:r>
      <w:r w:rsidRPr="006B78CD">
        <w:rPr>
          <w:lang w:val="en-GB"/>
        </w:rPr>
        <w:t>: RONA AND LOWE’S AT TIME OF DEAL</w:t>
      </w:r>
      <w:r w:rsidR="002B641E" w:rsidRPr="006B78CD">
        <w:rPr>
          <w:lang w:val="en-GB"/>
        </w:rPr>
        <w:t xml:space="preserve"> (February 2, 2016)</w:t>
      </w:r>
    </w:p>
    <w:p w14:paraId="26670106" w14:textId="77777777" w:rsidR="00264ED8" w:rsidRPr="006B78CD" w:rsidRDefault="00264ED8" w:rsidP="00C30CC2">
      <w:pPr>
        <w:keepNext/>
        <w:keepLines/>
        <w:rPr>
          <w:b/>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1620"/>
        <w:gridCol w:w="2250"/>
        <w:gridCol w:w="900"/>
      </w:tblGrid>
      <w:tr w:rsidR="00264ED8" w:rsidRPr="006B78CD" w14:paraId="25D35A5F" w14:textId="77777777" w:rsidTr="008A333A">
        <w:trPr>
          <w:jc w:val="center"/>
        </w:trPr>
        <w:tc>
          <w:tcPr>
            <w:tcW w:w="2245" w:type="dxa"/>
            <w:shd w:val="clear" w:color="auto" w:fill="auto"/>
          </w:tcPr>
          <w:p w14:paraId="589EF8FA" w14:textId="77777777" w:rsidR="00264ED8" w:rsidRPr="006B78CD" w:rsidRDefault="00264ED8" w:rsidP="00C30CC2">
            <w:pPr>
              <w:keepNext/>
              <w:keepLines/>
              <w:tabs>
                <w:tab w:val="left" w:pos="2700"/>
              </w:tabs>
              <w:jc w:val="center"/>
              <w:rPr>
                <w:rFonts w:ascii="Arial" w:hAnsi="Arial" w:cs="Arial"/>
                <w:b/>
                <w:lang w:val="en-GB"/>
              </w:rPr>
            </w:pPr>
            <w:r w:rsidRPr="006B78CD">
              <w:rPr>
                <w:rFonts w:ascii="Arial" w:hAnsi="Arial" w:cs="Arial"/>
                <w:b/>
                <w:lang w:val="en-GB"/>
              </w:rPr>
              <w:t>RONA Banners</w:t>
            </w:r>
          </w:p>
        </w:tc>
        <w:tc>
          <w:tcPr>
            <w:tcW w:w="1620" w:type="dxa"/>
            <w:shd w:val="clear" w:color="auto" w:fill="auto"/>
          </w:tcPr>
          <w:p w14:paraId="65C278B1" w14:textId="77777777" w:rsidR="00264ED8" w:rsidRPr="006B78CD" w:rsidRDefault="00264ED8" w:rsidP="00C30CC2">
            <w:pPr>
              <w:keepNext/>
              <w:keepLines/>
              <w:tabs>
                <w:tab w:val="left" w:pos="2700"/>
              </w:tabs>
              <w:jc w:val="center"/>
              <w:rPr>
                <w:rFonts w:ascii="Arial" w:hAnsi="Arial" w:cs="Arial"/>
                <w:b/>
                <w:lang w:val="en-GB"/>
              </w:rPr>
            </w:pPr>
            <w:r w:rsidRPr="006B78CD">
              <w:rPr>
                <w:rFonts w:ascii="Arial" w:hAnsi="Arial" w:cs="Arial"/>
                <w:b/>
                <w:lang w:val="en-GB"/>
              </w:rPr>
              <w:t>Corporate</w:t>
            </w:r>
          </w:p>
        </w:tc>
        <w:tc>
          <w:tcPr>
            <w:tcW w:w="2250" w:type="dxa"/>
            <w:shd w:val="clear" w:color="auto" w:fill="auto"/>
          </w:tcPr>
          <w:p w14:paraId="709D1163" w14:textId="77777777" w:rsidR="00264ED8" w:rsidRPr="006B78CD" w:rsidRDefault="00264ED8" w:rsidP="00C30CC2">
            <w:pPr>
              <w:keepNext/>
              <w:keepLines/>
              <w:tabs>
                <w:tab w:val="left" w:pos="2700"/>
              </w:tabs>
              <w:jc w:val="center"/>
              <w:rPr>
                <w:rFonts w:ascii="Arial" w:hAnsi="Arial" w:cs="Arial"/>
                <w:b/>
                <w:lang w:val="en-GB"/>
              </w:rPr>
            </w:pPr>
            <w:r w:rsidRPr="006B78CD">
              <w:rPr>
                <w:rFonts w:ascii="Arial" w:hAnsi="Arial" w:cs="Arial"/>
                <w:b/>
                <w:lang w:val="en-GB"/>
              </w:rPr>
              <w:t>Franchisee/Affiliated</w:t>
            </w:r>
          </w:p>
        </w:tc>
        <w:tc>
          <w:tcPr>
            <w:tcW w:w="900" w:type="dxa"/>
            <w:shd w:val="clear" w:color="auto" w:fill="auto"/>
          </w:tcPr>
          <w:p w14:paraId="54B1032B" w14:textId="77777777" w:rsidR="00264ED8" w:rsidRPr="006B78CD" w:rsidRDefault="00264ED8" w:rsidP="00C30CC2">
            <w:pPr>
              <w:keepNext/>
              <w:keepLines/>
              <w:tabs>
                <w:tab w:val="left" w:pos="2700"/>
              </w:tabs>
              <w:jc w:val="center"/>
              <w:rPr>
                <w:rFonts w:ascii="Arial" w:hAnsi="Arial" w:cs="Arial"/>
                <w:b/>
                <w:lang w:val="en-GB"/>
              </w:rPr>
            </w:pPr>
            <w:r w:rsidRPr="006B78CD">
              <w:rPr>
                <w:rFonts w:ascii="Arial" w:hAnsi="Arial" w:cs="Arial"/>
                <w:b/>
                <w:lang w:val="en-GB"/>
              </w:rPr>
              <w:t>Total</w:t>
            </w:r>
          </w:p>
        </w:tc>
      </w:tr>
      <w:tr w:rsidR="00264ED8" w:rsidRPr="006B78CD" w14:paraId="756C8A5A" w14:textId="77777777" w:rsidTr="008A333A">
        <w:trPr>
          <w:jc w:val="center"/>
        </w:trPr>
        <w:tc>
          <w:tcPr>
            <w:tcW w:w="2245" w:type="dxa"/>
            <w:shd w:val="clear" w:color="auto" w:fill="auto"/>
            <w:vAlign w:val="center"/>
          </w:tcPr>
          <w:p w14:paraId="383EA882" w14:textId="342A306A"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RONA Big-</w:t>
            </w:r>
            <w:r w:rsidR="002B641E" w:rsidRPr="006B78CD">
              <w:rPr>
                <w:rFonts w:ascii="Arial" w:hAnsi="Arial" w:cs="Arial"/>
                <w:lang w:val="en-GB"/>
              </w:rPr>
              <w:t>Box</w:t>
            </w:r>
          </w:p>
        </w:tc>
        <w:tc>
          <w:tcPr>
            <w:tcW w:w="1620" w:type="dxa"/>
            <w:shd w:val="clear" w:color="auto" w:fill="auto"/>
            <w:vAlign w:val="center"/>
          </w:tcPr>
          <w:p w14:paraId="56D34D54"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61</w:t>
            </w:r>
          </w:p>
        </w:tc>
        <w:tc>
          <w:tcPr>
            <w:tcW w:w="2250" w:type="dxa"/>
            <w:shd w:val="clear" w:color="auto" w:fill="auto"/>
            <w:vAlign w:val="center"/>
          </w:tcPr>
          <w:p w14:paraId="034A8203"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5C6A4F2E"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61</w:t>
            </w:r>
          </w:p>
        </w:tc>
      </w:tr>
      <w:tr w:rsidR="00264ED8" w:rsidRPr="006B78CD" w14:paraId="401568DB" w14:textId="77777777" w:rsidTr="008A333A">
        <w:trPr>
          <w:jc w:val="center"/>
        </w:trPr>
        <w:tc>
          <w:tcPr>
            <w:tcW w:w="2245" w:type="dxa"/>
            <w:shd w:val="clear" w:color="auto" w:fill="auto"/>
            <w:vAlign w:val="center"/>
          </w:tcPr>
          <w:p w14:paraId="60048C17"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Réno-Dépôt</w:t>
            </w:r>
          </w:p>
        </w:tc>
        <w:tc>
          <w:tcPr>
            <w:tcW w:w="1620" w:type="dxa"/>
            <w:shd w:val="clear" w:color="auto" w:fill="auto"/>
            <w:vAlign w:val="center"/>
          </w:tcPr>
          <w:p w14:paraId="297F2FB0"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19</w:t>
            </w:r>
          </w:p>
        </w:tc>
        <w:tc>
          <w:tcPr>
            <w:tcW w:w="2250" w:type="dxa"/>
            <w:shd w:val="clear" w:color="auto" w:fill="auto"/>
            <w:vAlign w:val="center"/>
          </w:tcPr>
          <w:p w14:paraId="0F554AE8"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56276332"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19</w:t>
            </w:r>
          </w:p>
        </w:tc>
      </w:tr>
      <w:tr w:rsidR="00264ED8" w:rsidRPr="006B78CD" w14:paraId="5C9BDF86" w14:textId="77777777" w:rsidTr="008A333A">
        <w:trPr>
          <w:jc w:val="center"/>
        </w:trPr>
        <w:tc>
          <w:tcPr>
            <w:tcW w:w="2245" w:type="dxa"/>
            <w:shd w:val="clear" w:color="auto" w:fill="auto"/>
            <w:vAlign w:val="center"/>
          </w:tcPr>
          <w:p w14:paraId="10645E6C"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Proximity</w:t>
            </w:r>
          </w:p>
        </w:tc>
        <w:tc>
          <w:tcPr>
            <w:tcW w:w="1620" w:type="dxa"/>
            <w:shd w:val="clear" w:color="auto" w:fill="auto"/>
            <w:vAlign w:val="center"/>
          </w:tcPr>
          <w:p w14:paraId="758705EF" w14:textId="2B185D01"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131</w:t>
            </w:r>
          </w:p>
        </w:tc>
        <w:tc>
          <w:tcPr>
            <w:tcW w:w="2250" w:type="dxa"/>
            <w:shd w:val="clear" w:color="auto" w:fill="auto"/>
            <w:vAlign w:val="center"/>
          </w:tcPr>
          <w:p w14:paraId="57FBA493"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260</w:t>
            </w:r>
          </w:p>
        </w:tc>
        <w:tc>
          <w:tcPr>
            <w:tcW w:w="900" w:type="dxa"/>
            <w:shd w:val="clear" w:color="auto" w:fill="auto"/>
            <w:vAlign w:val="center"/>
          </w:tcPr>
          <w:p w14:paraId="6BE573E4" w14:textId="60B4C41B"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391</w:t>
            </w:r>
          </w:p>
        </w:tc>
      </w:tr>
      <w:tr w:rsidR="00264ED8" w:rsidRPr="006B78CD" w14:paraId="4E3E5885" w14:textId="77777777" w:rsidTr="008A333A">
        <w:trPr>
          <w:jc w:val="center"/>
        </w:trPr>
        <w:tc>
          <w:tcPr>
            <w:tcW w:w="2245" w:type="dxa"/>
            <w:shd w:val="clear" w:color="auto" w:fill="auto"/>
            <w:vAlign w:val="center"/>
          </w:tcPr>
          <w:p w14:paraId="62DAEE85" w14:textId="5190277A"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 xml:space="preserve">Contractor </w:t>
            </w:r>
            <w:r w:rsidR="002B641E" w:rsidRPr="006B78CD">
              <w:rPr>
                <w:rFonts w:ascii="Arial" w:hAnsi="Arial" w:cs="Arial"/>
                <w:lang w:val="en-GB"/>
              </w:rPr>
              <w:t>Specialists</w:t>
            </w:r>
          </w:p>
        </w:tc>
        <w:tc>
          <w:tcPr>
            <w:tcW w:w="1620" w:type="dxa"/>
            <w:shd w:val="clear" w:color="auto" w:fill="auto"/>
            <w:vAlign w:val="center"/>
          </w:tcPr>
          <w:p w14:paraId="03FD522A" w14:textId="11D42A5C"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25</w:t>
            </w:r>
          </w:p>
        </w:tc>
        <w:tc>
          <w:tcPr>
            <w:tcW w:w="2250" w:type="dxa"/>
            <w:shd w:val="clear" w:color="auto" w:fill="auto"/>
            <w:vAlign w:val="center"/>
          </w:tcPr>
          <w:p w14:paraId="2845D3AD"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19D65317" w14:textId="1369CA24"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25</w:t>
            </w:r>
          </w:p>
        </w:tc>
      </w:tr>
      <w:tr w:rsidR="00264ED8" w:rsidRPr="006B78CD" w14:paraId="798C4799" w14:textId="77777777" w:rsidTr="008A333A">
        <w:trPr>
          <w:jc w:val="center"/>
        </w:trPr>
        <w:tc>
          <w:tcPr>
            <w:tcW w:w="2245" w:type="dxa"/>
            <w:shd w:val="clear" w:color="auto" w:fill="auto"/>
            <w:vAlign w:val="center"/>
          </w:tcPr>
          <w:p w14:paraId="48D6C4E0"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Total</w:t>
            </w:r>
          </w:p>
        </w:tc>
        <w:tc>
          <w:tcPr>
            <w:tcW w:w="1620" w:type="dxa"/>
            <w:shd w:val="clear" w:color="auto" w:fill="auto"/>
            <w:vAlign w:val="center"/>
          </w:tcPr>
          <w:p w14:paraId="724BA80E"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236</w:t>
            </w:r>
          </w:p>
        </w:tc>
        <w:tc>
          <w:tcPr>
            <w:tcW w:w="2250" w:type="dxa"/>
            <w:shd w:val="clear" w:color="auto" w:fill="auto"/>
            <w:vAlign w:val="center"/>
          </w:tcPr>
          <w:p w14:paraId="5B7B0364"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260</w:t>
            </w:r>
          </w:p>
        </w:tc>
        <w:tc>
          <w:tcPr>
            <w:tcW w:w="900" w:type="dxa"/>
            <w:shd w:val="clear" w:color="auto" w:fill="auto"/>
            <w:vAlign w:val="center"/>
          </w:tcPr>
          <w:p w14:paraId="193DF929"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496</w:t>
            </w:r>
          </w:p>
        </w:tc>
      </w:tr>
      <w:tr w:rsidR="00264ED8" w:rsidRPr="006B78CD" w14:paraId="5F2D8A5C" w14:textId="77777777" w:rsidTr="008A333A">
        <w:trPr>
          <w:jc w:val="center"/>
        </w:trPr>
        <w:tc>
          <w:tcPr>
            <w:tcW w:w="2245" w:type="dxa"/>
            <w:shd w:val="clear" w:color="auto" w:fill="auto"/>
            <w:vAlign w:val="center"/>
          </w:tcPr>
          <w:p w14:paraId="15A3B125" w14:textId="22474C6A" w:rsidR="00264ED8" w:rsidRPr="006B78CD" w:rsidRDefault="00264ED8" w:rsidP="008A333A">
            <w:pPr>
              <w:keepNext/>
              <w:keepLines/>
              <w:tabs>
                <w:tab w:val="left" w:pos="2700"/>
              </w:tabs>
              <w:rPr>
                <w:rFonts w:ascii="Arial" w:hAnsi="Arial" w:cs="Arial"/>
                <w:b/>
                <w:lang w:val="en-GB"/>
              </w:rPr>
            </w:pPr>
            <w:r w:rsidRPr="006B78CD">
              <w:rPr>
                <w:rFonts w:ascii="Arial" w:hAnsi="Arial" w:cs="Arial"/>
                <w:b/>
                <w:lang w:val="en-GB"/>
              </w:rPr>
              <w:t xml:space="preserve">By </w:t>
            </w:r>
            <w:r w:rsidR="002B641E" w:rsidRPr="006B78CD">
              <w:rPr>
                <w:rFonts w:ascii="Arial" w:hAnsi="Arial" w:cs="Arial"/>
                <w:b/>
                <w:lang w:val="en-GB"/>
              </w:rPr>
              <w:t>Region</w:t>
            </w:r>
          </w:p>
        </w:tc>
        <w:tc>
          <w:tcPr>
            <w:tcW w:w="1620" w:type="dxa"/>
            <w:shd w:val="clear" w:color="auto" w:fill="auto"/>
            <w:vAlign w:val="center"/>
          </w:tcPr>
          <w:p w14:paraId="43CF95F5" w14:textId="77777777" w:rsidR="00264ED8" w:rsidRPr="006B78CD" w:rsidRDefault="00264ED8" w:rsidP="008A333A">
            <w:pPr>
              <w:keepNext/>
              <w:keepLines/>
              <w:tabs>
                <w:tab w:val="left" w:pos="2700"/>
              </w:tabs>
              <w:ind w:right="342"/>
              <w:jc w:val="center"/>
              <w:rPr>
                <w:rFonts w:ascii="Arial" w:hAnsi="Arial" w:cs="Arial"/>
                <w:lang w:val="en-GB"/>
              </w:rPr>
            </w:pPr>
          </w:p>
        </w:tc>
        <w:tc>
          <w:tcPr>
            <w:tcW w:w="2250" w:type="dxa"/>
            <w:shd w:val="clear" w:color="auto" w:fill="auto"/>
            <w:vAlign w:val="center"/>
          </w:tcPr>
          <w:p w14:paraId="0DB8B6B7" w14:textId="77777777" w:rsidR="00264ED8" w:rsidRPr="006B78CD" w:rsidRDefault="00264ED8" w:rsidP="008A333A">
            <w:pPr>
              <w:keepNext/>
              <w:keepLines/>
              <w:tabs>
                <w:tab w:val="left" w:pos="2700"/>
              </w:tabs>
              <w:ind w:right="342"/>
              <w:jc w:val="center"/>
              <w:rPr>
                <w:rFonts w:ascii="Arial" w:hAnsi="Arial" w:cs="Arial"/>
                <w:lang w:val="en-GB"/>
              </w:rPr>
            </w:pPr>
          </w:p>
        </w:tc>
        <w:tc>
          <w:tcPr>
            <w:tcW w:w="900" w:type="dxa"/>
            <w:shd w:val="clear" w:color="auto" w:fill="auto"/>
            <w:vAlign w:val="center"/>
          </w:tcPr>
          <w:p w14:paraId="024654BD" w14:textId="77777777" w:rsidR="00264ED8" w:rsidRPr="006B78CD" w:rsidRDefault="00264ED8" w:rsidP="008A333A">
            <w:pPr>
              <w:keepNext/>
              <w:keepLines/>
              <w:tabs>
                <w:tab w:val="left" w:pos="2700"/>
              </w:tabs>
              <w:ind w:right="342"/>
              <w:jc w:val="center"/>
              <w:rPr>
                <w:rFonts w:ascii="Arial" w:hAnsi="Arial" w:cs="Arial"/>
                <w:lang w:val="en-GB"/>
              </w:rPr>
            </w:pPr>
          </w:p>
        </w:tc>
      </w:tr>
      <w:tr w:rsidR="00264ED8" w:rsidRPr="006B78CD" w14:paraId="6EBDEC44" w14:textId="77777777" w:rsidTr="008A333A">
        <w:trPr>
          <w:jc w:val="center"/>
        </w:trPr>
        <w:tc>
          <w:tcPr>
            <w:tcW w:w="2245" w:type="dxa"/>
            <w:shd w:val="clear" w:color="auto" w:fill="auto"/>
            <w:vAlign w:val="center"/>
          </w:tcPr>
          <w:p w14:paraId="7121D200"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West</w:t>
            </w:r>
          </w:p>
        </w:tc>
        <w:tc>
          <w:tcPr>
            <w:tcW w:w="1620" w:type="dxa"/>
            <w:shd w:val="clear" w:color="auto" w:fill="auto"/>
            <w:vAlign w:val="center"/>
          </w:tcPr>
          <w:p w14:paraId="39822E08"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72</w:t>
            </w:r>
          </w:p>
        </w:tc>
        <w:tc>
          <w:tcPr>
            <w:tcW w:w="2250" w:type="dxa"/>
            <w:shd w:val="clear" w:color="auto" w:fill="auto"/>
            <w:vAlign w:val="center"/>
          </w:tcPr>
          <w:p w14:paraId="522CAF43"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48</w:t>
            </w:r>
          </w:p>
        </w:tc>
        <w:tc>
          <w:tcPr>
            <w:tcW w:w="900" w:type="dxa"/>
            <w:shd w:val="clear" w:color="auto" w:fill="auto"/>
            <w:vAlign w:val="center"/>
          </w:tcPr>
          <w:p w14:paraId="174C8CB0"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120</w:t>
            </w:r>
          </w:p>
        </w:tc>
      </w:tr>
      <w:tr w:rsidR="00264ED8" w:rsidRPr="006B78CD" w14:paraId="22497812" w14:textId="77777777" w:rsidTr="008A333A">
        <w:trPr>
          <w:jc w:val="center"/>
        </w:trPr>
        <w:tc>
          <w:tcPr>
            <w:tcW w:w="2245" w:type="dxa"/>
            <w:shd w:val="clear" w:color="auto" w:fill="auto"/>
            <w:vAlign w:val="center"/>
          </w:tcPr>
          <w:p w14:paraId="071DCC9D"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Ontario</w:t>
            </w:r>
          </w:p>
        </w:tc>
        <w:tc>
          <w:tcPr>
            <w:tcW w:w="1620" w:type="dxa"/>
            <w:shd w:val="clear" w:color="auto" w:fill="auto"/>
            <w:vAlign w:val="center"/>
          </w:tcPr>
          <w:p w14:paraId="1D3F69B2"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63</w:t>
            </w:r>
          </w:p>
        </w:tc>
        <w:tc>
          <w:tcPr>
            <w:tcW w:w="2250" w:type="dxa"/>
            <w:shd w:val="clear" w:color="auto" w:fill="auto"/>
            <w:vAlign w:val="center"/>
          </w:tcPr>
          <w:p w14:paraId="24C69028"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48</w:t>
            </w:r>
          </w:p>
        </w:tc>
        <w:tc>
          <w:tcPr>
            <w:tcW w:w="900" w:type="dxa"/>
            <w:shd w:val="clear" w:color="auto" w:fill="auto"/>
            <w:vAlign w:val="center"/>
          </w:tcPr>
          <w:p w14:paraId="709514BD"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111</w:t>
            </w:r>
          </w:p>
        </w:tc>
      </w:tr>
      <w:tr w:rsidR="00264ED8" w:rsidRPr="006B78CD" w14:paraId="6DDF34B4" w14:textId="77777777" w:rsidTr="008A333A">
        <w:trPr>
          <w:jc w:val="center"/>
        </w:trPr>
        <w:tc>
          <w:tcPr>
            <w:tcW w:w="2245" w:type="dxa"/>
            <w:shd w:val="clear" w:color="auto" w:fill="auto"/>
            <w:vAlign w:val="center"/>
          </w:tcPr>
          <w:p w14:paraId="7790031B"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Quebec</w:t>
            </w:r>
          </w:p>
        </w:tc>
        <w:tc>
          <w:tcPr>
            <w:tcW w:w="1620" w:type="dxa"/>
            <w:shd w:val="clear" w:color="auto" w:fill="auto"/>
            <w:vAlign w:val="center"/>
          </w:tcPr>
          <w:p w14:paraId="6AD42854"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87</w:t>
            </w:r>
          </w:p>
        </w:tc>
        <w:tc>
          <w:tcPr>
            <w:tcW w:w="2250" w:type="dxa"/>
            <w:shd w:val="clear" w:color="auto" w:fill="auto"/>
            <w:vAlign w:val="center"/>
          </w:tcPr>
          <w:p w14:paraId="681C12BA"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151</w:t>
            </w:r>
          </w:p>
        </w:tc>
        <w:tc>
          <w:tcPr>
            <w:tcW w:w="900" w:type="dxa"/>
            <w:shd w:val="clear" w:color="auto" w:fill="auto"/>
            <w:vAlign w:val="center"/>
          </w:tcPr>
          <w:p w14:paraId="18075F49"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238</w:t>
            </w:r>
          </w:p>
        </w:tc>
      </w:tr>
      <w:tr w:rsidR="00264ED8" w:rsidRPr="006B78CD" w14:paraId="7A4E7728" w14:textId="77777777" w:rsidTr="008A333A">
        <w:trPr>
          <w:jc w:val="center"/>
        </w:trPr>
        <w:tc>
          <w:tcPr>
            <w:tcW w:w="2245" w:type="dxa"/>
            <w:shd w:val="clear" w:color="auto" w:fill="auto"/>
            <w:vAlign w:val="center"/>
          </w:tcPr>
          <w:p w14:paraId="26F5DEA5"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Atlantic</w:t>
            </w:r>
          </w:p>
        </w:tc>
        <w:tc>
          <w:tcPr>
            <w:tcW w:w="1620" w:type="dxa"/>
            <w:shd w:val="clear" w:color="auto" w:fill="auto"/>
            <w:vAlign w:val="center"/>
          </w:tcPr>
          <w:p w14:paraId="416B2028"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14</w:t>
            </w:r>
          </w:p>
        </w:tc>
        <w:tc>
          <w:tcPr>
            <w:tcW w:w="2250" w:type="dxa"/>
            <w:shd w:val="clear" w:color="auto" w:fill="auto"/>
            <w:vAlign w:val="center"/>
          </w:tcPr>
          <w:p w14:paraId="45BD6B8F"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13</w:t>
            </w:r>
          </w:p>
        </w:tc>
        <w:tc>
          <w:tcPr>
            <w:tcW w:w="900" w:type="dxa"/>
            <w:shd w:val="clear" w:color="auto" w:fill="auto"/>
            <w:vAlign w:val="center"/>
          </w:tcPr>
          <w:p w14:paraId="0ED41C4D"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27</w:t>
            </w:r>
          </w:p>
        </w:tc>
      </w:tr>
      <w:tr w:rsidR="00264ED8" w:rsidRPr="006B78CD" w14:paraId="50F4380D" w14:textId="77777777" w:rsidTr="008A333A">
        <w:trPr>
          <w:jc w:val="center"/>
        </w:trPr>
        <w:tc>
          <w:tcPr>
            <w:tcW w:w="2245" w:type="dxa"/>
            <w:shd w:val="clear" w:color="auto" w:fill="auto"/>
            <w:vAlign w:val="center"/>
          </w:tcPr>
          <w:p w14:paraId="2F3E3AC9"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Total</w:t>
            </w:r>
          </w:p>
        </w:tc>
        <w:tc>
          <w:tcPr>
            <w:tcW w:w="1620" w:type="dxa"/>
            <w:shd w:val="clear" w:color="auto" w:fill="auto"/>
            <w:vAlign w:val="center"/>
          </w:tcPr>
          <w:p w14:paraId="0161F13D"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236</w:t>
            </w:r>
          </w:p>
        </w:tc>
        <w:tc>
          <w:tcPr>
            <w:tcW w:w="2250" w:type="dxa"/>
            <w:shd w:val="clear" w:color="auto" w:fill="auto"/>
            <w:vAlign w:val="center"/>
          </w:tcPr>
          <w:p w14:paraId="257057D3"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260</w:t>
            </w:r>
          </w:p>
        </w:tc>
        <w:tc>
          <w:tcPr>
            <w:tcW w:w="900" w:type="dxa"/>
            <w:shd w:val="clear" w:color="auto" w:fill="auto"/>
            <w:vAlign w:val="center"/>
          </w:tcPr>
          <w:p w14:paraId="61E60900" w14:textId="77777777" w:rsidR="00264ED8" w:rsidRPr="006B78CD" w:rsidRDefault="00264ED8" w:rsidP="008A333A">
            <w:pPr>
              <w:keepNext/>
              <w:keepLines/>
              <w:tabs>
                <w:tab w:val="left" w:pos="2700"/>
              </w:tabs>
              <w:ind w:right="342"/>
              <w:jc w:val="center"/>
              <w:rPr>
                <w:rFonts w:ascii="Arial" w:hAnsi="Arial" w:cs="Arial"/>
                <w:lang w:val="en-GB"/>
              </w:rPr>
            </w:pPr>
            <w:r w:rsidRPr="006B78CD">
              <w:rPr>
                <w:rFonts w:ascii="Arial" w:hAnsi="Arial" w:cs="Arial"/>
                <w:lang w:val="en-GB"/>
              </w:rPr>
              <w:t>496</w:t>
            </w:r>
          </w:p>
        </w:tc>
      </w:tr>
      <w:tr w:rsidR="00264ED8" w:rsidRPr="006B78CD" w14:paraId="4A3EEC62" w14:textId="77777777" w:rsidTr="008A333A">
        <w:trPr>
          <w:jc w:val="center"/>
        </w:trPr>
        <w:tc>
          <w:tcPr>
            <w:tcW w:w="2245" w:type="dxa"/>
            <w:shd w:val="clear" w:color="auto" w:fill="auto"/>
            <w:vAlign w:val="center"/>
          </w:tcPr>
          <w:p w14:paraId="44173439" w14:textId="77777777" w:rsidR="00264ED8" w:rsidRPr="006B78CD" w:rsidRDefault="00264ED8" w:rsidP="008A333A">
            <w:pPr>
              <w:keepNext/>
              <w:keepLines/>
              <w:tabs>
                <w:tab w:val="left" w:pos="2700"/>
              </w:tabs>
              <w:rPr>
                <w:rFonts w:ascii="Arial" w:hAnsi="Arial" w:cs="Arial"/>
                <w:b/>
                <w:lang w:val="en-GB"/>
              </w:rPr>
            </w:pPr>
            <w:r w:rsidRPr="006B78CD">
              <w:rPr>
                <w:rFonts w:ascii="Arial" w:hAnsi="Arial" w:cs="Arial"/>
                <w:b/>
                <w:lang w:val="en-GB"/>
              </w:rPr>
              <w:t>Lowe’s</w:t>
            </w:r>
          </w:p>
        </w:tc>
        <w:tc>
          <w:tcPr>
            <w:tcW w:w="1620" w:type="dxa"/>
            <w:shd w:val="clear" w:color="auto" w:fill="auto"/>
            <w:vAlign w:val="center"/>
          </w:tcPr>
          <w:p w14:paraId="493B3EF4" w14:textId="244B30DD" w:rsidR="00264ED8" w:rsidRPr="006B78CD" w:rsidRDefault="00264ED8" w:rsidP="008A333A">
            <w:pPr>
              <w:keepNext/>
              <w:keepLines/>
              <w:tabs>
                <w:tab w:val="left" w:pos="2700"/>
              </w:tabs>
              <w:jc w:val="center"/>
              <w:rPr>
                <w:rFonts w:ascii="Arial" w:hAnsi="Arial" w:cs="Arial"/>
                <w:b/>
                <w:lang w:val="en-GB"/>
              </w:rPr>
            </w:pPr>
          </w:p>
        </w:tc>
        <w:tc>
          <w:tcPr>
            <w:tcW w:w="2250" w:type="dxa"/>
            <w:shd w:val="clear" w:color="auto" w:fill="auto"/>
            <w:vAlign w:val="center"/>
          </w:tcPr>
          <w:p w14:paraId="00EB0517" w14:textId="739E4428" w:rsidR="00264ED8" w:rsidRPr="006B78CD" w:rsidRDefault="00264ED8" w:rsidP="008A333A">
            <w:pPr>
              <w:keepNext/>
              <w:keepLines/>
              <w:tabs>
                <w:tab w:val="left" w:pos="2700"/>
              </w:tabs>
              <w:jc w:val="center"/>
              <w:rPr>
                <w:rFonts w:ascii="Arial" w:hAnsi="Arial" w:cs="Arial"/>
                <w:b/>
                <w:lang w:val="en-GB"/>
              </w:rPr>
            </w:pPr>
          </w:p>
        </w:tc>
        <w:tc>
          <w:tcPr>
            <w:tcW w:w="900" w:type="dxa"/>
            <w:shd w:val="clear" w:color="auto" w:fill="auto"/>
            <w:vAlign w:val="center"/>
          </w:tcPr>
          <w:p w14:paraId="532EECCA" w14:textId="19A9A360" w:rsidR="00264ED8" w:rsidRPr="006B78CD" w:rsidRDefault="00264ED8" w:rsidP="008A333A">
            <w:pPr>
              <w:keepNext/>
              <w:keepLines/>
              <w:tabs>
                <w:tab w:val="left" w:pos="2700"/>
              </w:tabs>
              <w:jc w:val="center"/>
              <w:rPr>
                <w:rFonts w:ascii="Arial" w:hAnsi="Arial" w:cs="Arial"/>
                <w:b/>
                <w:lang w:val="en-GB"/>
              </w:rPr>
            </w:pPr>
          </w:p>
        </w:tc>
      </w:tr>
      <w:tr w:rsidR="00264ED8" w:rsidRPr="006B78CD" w14:paraId="6429BFB2" w14:textId="77777777" w:rsidTr="008A333A">
        <w:trPr>
          <w:jc w:val="center"/>
        </w:trPr>
        <w:tc>
          <w:tcPr>
            <w:tcW w:w="2245" w:type="dxa"/>
            <w:shd w:val="clear" w:color="auto" w:fill="auto"/>
            <w:vAlign w:val="center"/>
          </w:tcPr>
          <w:p w14:paraId="6AFF393A" w14:textId="1BED62A2"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Lowe’s Big-</w:t>
            </w:r>
            <w:r w:rsidR="002B641E" w:rsidRPr="006B78CD">
              <w:rPr>
                <w:rFonts w:ascii="Arial" w:hAnsi="Arial" w:cs="Arial"/>
                <w:lang w:val="en-GB"/>
              </w:rPr>
              <w:t>Box</w:t>
            </w:r>
          </w:p>
        </w:tc>
        <w:tc>
          <w:tcPr>
            <w:tcW w:w="1620" w:type="dxa"/>
            <w:shd w:val="clear" w:color="auto" w:fill="auto"/>
            <w:vAlign w:val="center"/>
          </w:tcPr>
          <w:p w14:paraId="5C4346CD" w14:textId="45F400F8" w:rsidR="00264ED8" w:rsidRPr="006B78CD" w:rsidRDefault="008A333A" w:rsidP="008A333A">
            <w:pPr>
              <w:keepNext/>
              <w:keepLines/>
              <w:tabs>
                <w:tab w:val="left" w:pos="2700"/>
              </w:tabs>
              <w:ind w:right="252"/>
              <w:jc w:val="center"/>
              <w:rPr>
                <w:rFonts w:ascii="Arial" w:hAnsi="Arial" w:cs="Arial"/>
                <w:lang w:val="en-GB"/>
              </w:rPr>
            </w:pPr>
            <w:r>
              <w:rPr>
                <w:rFonts w:ascii="Arial" w:hAnsi="Arial" w:cs="Arial"/>
                <w:lang w:val="en-GB"/>
              </w:rPr>
              <w:t xml:space="preserve">42 (+ 1 in </w:t>
            </w:r>
            <w:r w:rsidR="00264ED8" w:rsidRPr="006B78CD">
              <w:rPr>
                <w:rFonts w:ascii="Arial" w:hAnsi="Arial" w:cs="Arial"/>
                <w:lang w:val="en-GB"/>
              </w:rPr>
              <w:t>construction)</w:t>
            </w:r>
          </w:p>
        </w:tc>
        <w:tc>
          <w:tcPr>
            <w:tcW w:w="2250" w:type="dxa"/>
            <w:shd w:val="clear" w:color="auto" w:fill="auto"/>
            <w:vAlign w:val="center"/>
          </w:tcPr>
          <w:p w14:paraId="1C00137F"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49F8ADA0"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43</w:t>
            </w:r>
          </w:p>
        </w:tc>
      </w:tr>
      <w:tr w:rsidR="00264ED8" w:rsidRPr="006B78CD" w14:paraId="2DB5D049" w14:textId="77777777" w:rsidTr="008A333A">
        <w:trPr>
          <w:jc w:val="center"/>
        </w:trPr>
        <w:tc>
          <w:tcPr>
            <w:tcW w:w="2245" w:type="dxa"/>
            <w:shd w:val="clear" w:color="auto" w:fill="auto"/>
            <w:vAlign w:val="center"/>
          </w:tcPr>
          <w:p w14:paraId="30ABF112"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West</w:t>
            </w:r>
          </w:p>
        </w:tc>
        <w:tc>
          <w:tcPr>
            <w:tcW w:w="1620" w:type="dxa"/>
            <w:shd w:val="clear" w:color="auto" w:fill="auto"/>
            <w:vAlign w:val="center"/>
          </w:tcPr>
          <w:p w14:paraId="4F4C1E79"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10</w:t>
            </w:r>
          </w:p>
        </w:tc>
        <w:tc>
          <w:tcPr>
            <w:tcW w:w="2250" w:type="dxa"/>
            <w:shd w:val="clear" w:color="auto" w:fill="auto"/>
            <w:vAlign w:val="center"/>
          </w:tcPr>
          <w:p w14:paraId="3639E71E"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66643799"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10</w:t>
            </w:r>
          </w:p>
        </w:tc>
      </w:tr>
      <w:tr w:rsidR="00264ED8" w:rsidRPr="006B78CD" w14:paraId="0CB69CAF" w14:textId="77777777" w:rsidTr="008A333A">
        <w:trPr>
          <w:jc w:val="center"/>
        </w:trPr>
        <w:tc>
          <w:tcPr>
            <w:tcW w:w="2245" w:type="dxa"/>
            <w:shd w:val="clear" w:color="auto" w:fill="auto"/>
            <w:vAlign w:val="center"/>
          </w:tcPr>
          <w:p w14:paraId="330442FB"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Ontario</w:t>
            </w:r>
          </w:p>
        </w:tc>
        <w:tc>
          <w:tcPr>
            <w:tcW w:w="1620" w:type="dxa"/>
            <w:shd w:val="clear" w:color="auto" w:fill="auto"/>
            <w:vAlign w:val="center"/>
          </w:tcPr>
          <w:p w14:paraId="458A7572"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32 (+ 1 in construction)</w:t>
            </w:r>
          </w:p>
        </w:tc>
        <w:tc>
          <w:tcPr>
            <w:tcW w:w="2250" w:type="dxa"/>
            <w:shd w:val="clear" w:color="auto" w:fill="auto"/>
            <w:vAlign w:val="center"/>
          </w:tcPr>
          <w:p w14:paraId="6BC85D38"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00AD2023"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32</w:t>
            </w:r>
          </w:p>
        </w:tc>
      </w:tr>
      <w:tr w:rsidR="00264ED8" w:rsidRPr="006B78CD" w14:paraId="0D5D2B58" w14:textId="77777777" w:rsidTr="008A333A">
        <w:trPr>
          <w:jc w:val="center"/>
        </w:trPr>
        <w:tc>
          <w:tcPr>
            <w:tcW w:w="2245" w:type="dxa"/>
            <w:shd w:val="clear" w:color="auto" w:fill="auto"/>
            <w:vAlign w:val="center"/>
          </w:tcPr>
          <w:p w14:paraId="54A5A15E"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Quebec</w:t>
            </w:r>
          </w:p>
        </w:tc>
        <w:tc>
          <w:tcPr>
            <w:tcW w:w="1620" w:type="dxa"/>
            <w:shd w:val="clear" w:color="auto" w:fill="auto"/>
            <w:vAlign w:val="center"/>
          </w:tcPr>
          <w:p w14:paraId="712C768A"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0</w:t>
            </w:r>
          </w:p>
        </w:tc>
        <w:tc>
          <w:tcPr>
            <w:tcW w:w="2250" w:type="dxa"/>
            <w:shd w:val="clear" w:color="auto" w:fill="auto"/>
            <w:vAlign w:val="center"/>
          </w:tcPr>
          <w:p w14:paraId="51CC7721"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2C031584"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0</w:t>
            </w:r>
          </w:p>
        </w:tc>
      </w:tr>
      <w:tr w:rsidR="00264ED8" w:rsidRPr="006B78CD" w14:paraId="25B21160" w14:textId="77777777" w:rsidTr="008A333A">
        <w:trPr>
          <w:jc w:val="center"/>
        </w:trPr>
        <w:tc>
          <w:tcPr>
            <w:tcW w:w="2245" w:type="dxa"/>
            <w:shd w:val="clear" w:color="auto" w:fill="auto"/>
            <w:vAlign w:val="center"/>
          </w:tcPr>
          <w:p w14:paraId="4A547FE6"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Atlantic</w:t>
            </w:r>
          </w:p>
        </w:tc>
        <w:tc>
          <w:tcPr>
            <w:tcW w:w="1620" w:type="dxa"/>
            <w:shd w:val="clear" w:color="auto" w:fill="auto"/>
            <w:vAlign w:val="center"/>
          </w:tcPr>
          <w:p w14:paraId="26BB657C" w14:textId="77777777" w:rsidR="00264ED8" w:rsidRPr="006B78CD" w:rsidRDefault="00264ED8" w:rsidP="008A333A">
            <w:pPr>
              <w:keepNext/>
              <w:keepLines/>
              <w:tabs>
                <w:tab w:val="left" w:pos="2700"/>
              </w:tabs>
              <w:ind w:right="252"/>
              <w:jc w:val="center"/>
              <w:rPr>
                <w:rFonts w:ascii="Arial" w:hAnsi="Arial" w:cs="Arial"/>
                <w:color w:val="000000"/>
                <w:lang w:val="en-GB"/>
              </w:rPr>
            </w:pPr>
            <w:r w:rsidRPr="006B78CD">
              <w:rPr>
                <w:rFonts w:ascii="Arial" w:hAnsi="Arial" w:cs="Arial"/>
                <w:color w:val="000000"/>
                <w:lang w:val="en-GB"/>
              </w:rPr>
              <w:t>0</w:t>
            </w:r>
          </w:p>
        </w:tc>
        <w:tc>
          <w:tcPr>
            <w:tcW w:w="2250" w:type="dxa"/>
            <w:shd w:val="clear" w:color="auto" w:fill="auto"/>
            <w:vAlign w:val="center"/>
          </w:tcPr>
          <w:p w14:paraId="7E311218"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3B9030EF"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0</w:t>
            </w:r>
          </w:p>
        </w:tc>
      </w:tr>
      <w:tr w:rsidR="00264ED8" w:rsidRPr="006B78CD" w14:paraId="46D713FD" w14:textId="77777777" w:rsidTr="008A333A">
        <w:trPr>
          <w:jc w:val="center"/>
        </w:trPr>
        <w:tc>
          <w:tcPr>
            <w:tcW w:w="2245" w:type="dxa"/>
            <w:shd w:val="clear" w:color="auto" w:fill="auto"/>
            <w:vAlign w:val="center"/>
          </w:tcPr>
          <w:p w14:paraId="3B514D77" w14:textId="77777777" w:rsidR="00264ED8" w:rsidRPr="006B78CD" w:rsidRDefault="00264ED8" w:rsidP="008A333A">
            <w:pPr>
              <w:keepNext/>
              <w:keepLines/>
              <w:tabs>
                <w:tab w:val="left" w:pos="2700"/>
              </w:tabs>
              <w:rPr>
                <w:rFonts w:ascii="Arial" w:hAnsi="Arial" w:cs="Arial"/>
                <w:lang w:val="en-GB"/>
              </w:rPr>
            </w:pPr>
            <w:r w:rsidRPr="006B78CD">
              <w:rPr>
                <w:rFonts w:ascii="Arial" w:hAnsi="Arial" w:cs="Arial"/>
                <w:lang w:val="en-GB"/>
              </w:rPr>
              <w:t>Total</w:t>
            </w:r>
          </w:p>
        </w:tc>
        <w:tc>
          <w:tcPr>
            <w:tcW w:w="1620" w:type="dxa"/>
            <w:shd w:val="clear" w:color="auto" w:fill="auto"/>
            <w:vAlign w:val="center"/>
          </w:tcPr>
          <w:p w14:paraId="3915B3E9"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42</w:t>
            </w:r>
          </w:p>
        </w:tc>
        <w:tc>
          <w:tcPr>
            <w:tcW w:w="2250" w:type="dxa"/>
            <w:shd w:val="clear" w:color="auto" w:fill="auto"/>
            <w:vAlign w:val="center"/>
          </w:tcPr>
          <w:p w14:paraId="10A3B7C8"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N/A</w:t>
            </w:r>
          </w:p>
        </w:tc>
        <w:tc>
          <w:tcPr>
            <w:tcW w:w="900" w:type="dxa"/>
            <w:shd w:val="clear" w:color="auto" w:fill="auto"/>
            <w:vAlign w:val="center"/>
          </w:tcPr>
          <w:p w14:paraId="73CE27BB" w14:textId="77777777" w:rsidR="00264ED8" w:rsidRPr="006B78CD" w:rsidRDefault="00264ED8" w:rsidP="008A333A">
            <w:pPr>
              <w:keepNext/>
              <w:keepLines/>
              <w:tabs>
                <w:tab w:val="left" w:pos="2700"/>
              </w:tabs>
              <w:ind w:right="252"/>
              <w:jc w:val="center"/>
              <w:rPr>
                <w:rFonts w:ascii="Arial" w:hAnsi="Arial" w:cs="Arial"/>
                <w:lang w:val="en-GB"/>
              </w:rPr>
            </w:pPr>
            <w:r w:rsidRPr="006B78CD">
              <w:rPr>
                <w:rFonts w:ascii="Arial" w:hAnsi="Arial" w:cs="Arial"/>
                <w:lang w:val="en-GB"/>
              </w:rPr>
              <w:t>42</w:t>
            </w:r>
          </w:p>
        </w:tc>
      </w:tr>
    </w:tbl>
    <w:p w14:paraId="4426AFD8" w14:textId="77777777" w:rsidR="00264ED8" w:rsidRPr="006B78CD" w:rsidRDefault="00264ED8" w:rsidP="00BE2AEB">
      <w:pPr>
        <w:pStyle w:val="Footnote"/>
        <w:keepNext/>
        <w:keepLines/>
        <w:tabs>
          <w:tab w:val="left" w:pos="2700"/>
        </w:tabs>
        <w:rPr>
          <w:color w:val="000000" w:themeColor="text1"/>
          <w:lang w:val="en-GB"/>
        </w:rPr>
      </w:pPr>
    </w:p>
    <w:p w14:paraId="068C6914" w14:textId="53A7DB7D" w:rsidR="0022289A" w:rsidRDefault="0022289A" w:rsidP="00BE2AEB">
      <w:pPr>
        <w:pStyle w:val="Footnote"/>
        <w:keepNext/>
        <w:keepLines/>
        <w:rPr>
          <w:color w:val="000000" w:themeColor="text1"/>
          <w:lang w:val="en-GB"/>
        </w:rPr>
      </w:pPr>
      <w:r>
        <w:rPr>
          <w:color w:val="000000" w:themeColor="text1"/>
          <w:lang w:val="en-GB"/>
        </w:rPr>
        <w:t>Note: N/A = not available</w:t>
      </w:r>
    </w:p>
    <w:p w14:paraId="54347E30" w14:textId="12035973" w:rsidR="00264ED8" w:rsidRPr="000244E6" w:rsidRDefault="00264ED8" w:rsidP="00BE2AEB">
      <w:pPr>
        <w:pStyle w:val="Footnote"/>
        <w:keepNext/>
        <w:keepLines/>
        <w:rPr>
          <w:lang w:val="en-GB"/>
        </w:rPr>
      </w:pPr>
      <w:r w:rsidRPr="006B78CD">
        <w:rPr>
          <w:color w:val="000000" w:themeColor="text1"/>
          <w:lang w:val="en-GB"/>
        </w:rPr>
        <w:t xml:space="preserve">Source: Adapted by </w:t>
      </w:r>
      <w:r w:rsidR="0022289A">
        <w:rPr>
          <w:color w:val="000000" w:themeColor="text1"/>
          <w:lang w:val="en-GB"/>
        </w:rPr>
        <w:t xml:space="preserve">the </w:t>
      </w:r>
      <w:r w:rsidRPr="006B78CD">
        <w:rPr>
          <w:color w:val="000000" w:themeColor="text1"/>
          <w:lang w:val="en-GB"/>
        </w:rPr>
        <w:t xml:space="preserve">authors </w:t>
      </w:r>
      <w:r w:rsidR="0022289A">
        <w:rPr>
          <w:color w:val="000000" w:themeColor="text1"/>
          <w:lang w:val="en-GB"/>
        </w:rPr>
        <w:t>from</w:t>
      </w:r>
      <w:r w:rsidRPr="006B78CD">
        <w:rPr>
          <w:color w:val="000000" w:themeColor="text1"/>
          <w:lang w:val="en-GB"/>
        </w:rPr>
        <w:t xml:space="preserve"> “RONA</w:t>
      </w:r>
      <w:r w:rsidR="0022289A">
        <w:rPr>
          <w:color w:val="000000" w:themeColor="text1"/>
          <w:lang w:val="en-GB"/>
        </w:rPr>
        <w:t>:</w:t>
      </w:r>
      <w:r w:rsidRPr="006B78CD">
        <w:rPr>
          <w:color w:val="000000" w:themeColor="text1"/>
          <w:lang w:val="en-GB"/>
        </w:rPr>
        <w:t xml:space="preserve"> </w:t>
      </w:r>
      <w:r w:rsidR="001A52E0">
        <w:rPr>
          <w:color w:val="000000" w:themeColor="text1"/>
          <w:lang w:val="en-GB"/>
        </w:rPr>
        <w:t xml:space="preserve">Fact </w:t>
      </w:r>
      <w:r w:rsidR="002B641E" w:rsidRPr="006B78CD">
        <w:rPr>
          <w:color w:val="000000" w:themeColor="text1"/>
          <w:lang w:val="en-GB"/>
        </w:rPr>
        <w:t>Sheet</w:t>
      </w:r>
      <w:r w:rsidRPr="006B78CD">
        <w:rPr>
          <w:color w:val="000000" w:themeColor="text1"/>
          <w:lang w:val="en-GB"/>
        </w:rPr>
        <w:t>,” accessed</w:t>
      </w:r>
      <w:r w:rsidR="0022289A">
        <w:rPr>
          <w:color w:val="000000" w:themeColor="text1"/>
          <w:lang w:val="en-GB"/>
        </w:rPr>
        <w:t xml:space="preserve"> </w:t>
      </w:r>
      <w:r w:rsidR="00B7085A">
        <w:rPr>
          <w:color w:val="000000" w:themeColor="text1"/>
          <w:lang w:val="en-GB"/>
        </w:rPr>
        <w:t>July 1</w:t>
      </w:r>
      <w:r w:rsidR="001A52E0">
        <w:rPr>
          <w:color w:val="000000" w:themeColor="text1"/>
          <w:lang w:val="en-GB"/>
        </w:rPr>
        <w:t>8</w:t>
      </w:r>
      <w:r w:rsidRPr="006B78CD">
        <w:rPr>
          <w:color w:val="000000" w:themeColor="text1"/>
          <w:lang w:val="en-GB"/>
        </w:rPr>
        <w:t>, 201</w:t>
      </w:r>
      <w:r w:rsidR="00B7085A">
        <w:rPr>
          <w:color w:val="000000" w:themeColor="text1"/>
          <w:lang w:val="en-GB"/>
        </w:rPr>
        <w:t>8</w:t>
      </w:r>
      <w:r w:rsidRPr="006B78CD">
        <w:rPr>
          <w:color w:val="000000" w:themeColor="text1"/>
          <w:lang w:val="en-GB"/>
        </w:rPr>
        <w:t xml:space="preserve">, </w:t>
      </w:r>
      <w:hyperlink w:history="1"/>
      <w:r w:rsidR="001A52E0" w:rsidRPr="001A52E0">
        <w:rPr>
          <w:color w:val="000000" w:themeColor="text1"/>
          <w:lang w:val="en-GB"/>
        </w:rPr>
        <w:t>http://techstats.ca/pdf/FACT-SHEET-RONA-2016.pdf</w:t>
      </w:r>
      <w:r w:rsidR="0022289A">
        <w:rPr>
          <w:color w:val="000000" w:themeColor="text1"/>
          <w:lang w:val="en-GB"/>
        </w:rPr>
        <w:t>.</w:t>
      </w:r>
    </w:p>
    <w:p w14:paraId="7CD9DF23" w14:textId="77777777" w:rsidR="00264ED8" w:rsidRPr="006B78CD" w:rsidRDefault="00264ED8" w:rsidP="00BE2AEB">
      <w:pPr>
        <w:pStyle w:val="Footnote"/>
        <w:keepNext/>
        <w:keepLines/>
        <w:rPr>
          <w:color w:val="000000" w:themeColor="text1"/>
          <w:lang w:val="en-GB"/>
        </w:rPr>
      </w:pPr>
    </w:p>
    <w:p w14:paraId="4D522A8A" w14:textId="77777777" w:rsidR="00264ED8" w:rsidRPr="006B78CD" w:rsidRDefault="00264ED8" w:rsidP="00264ED8">
      <w:pPr>
        <w:pStyle w:val="Footnote"/>
        <w:rPr>
          <w:b/>
          <w:color w:val="000000" w:themeColor="text1"/>
          <w:sz w:val="22"/>
          <w:szCs w:val="22"/>
          <w:lang w:val="en-GB"/>
        </w:rPr>
      </w:pPr>
      <w:r w:rsidRPr="006B78CD">
        <w:rPr>
          <w:b/>
          <w:color w:val="000000" w:themeColor="text1"/>
          <w:sz w:val="22"/>
          <w:szCs w:val="22"/>
          <w:lang w:val="en-GB"/>
        </w:rPr>
        <w:br w:type="page"/>
      </w:r>
    </w:p>
    <w:p w14:paraId="6436CE77" w14:textId="343EFC6F" w:rsidR="00264ED8" w:rsidRPr="006B78CD" w:rsidRDefault="00264ED8" w:rsidP="00264ED8">
      <w:pPr>
        <w:pStyle w:val="ExhibitHeading"/>
        <w:rPr>
          <w:lang w:val="en-GB" w:eastAsia="fr-CA"/>
        </w:rPr>
      </w:pPr>
      <w:r w:rsidRPr="006B78CD">
        <w:rPr>
          <w:lang w:val="en-GB"/>
        </w:rPr>
        <w:lastRenderedPageBreak/>
        <w:t>EXHIBIT</w:t>
      </w:r>
      <w:r w:rsidR="00C958F5" w:rsidRPr="006B78CD">
        <w:rPr>
          <w:lang w:val="en-GB"/>
        </w:rPr>
        <w:t xml:space="preserve"> </w:t>
      </w:r>
      <w:r w:rsidR="00F915A0" w:rsidRPr="006B78CD">
        <w:rPr>
          <w:lang w:val="en-GB"/>
        </w:rPr>
        <w:t>6</w:t>
      </w:r>
      <w:r w:rsidRPr="006B78CD">
        <w:rPr>
          <w:lang w:val="en-GB"/>
        </w:rPr>
        <w:t xml:space="preserve">: </w:t>
      </w:r>
      <w:r w:rsidRPr="006B78CD">
        <w:rPr>
          <w:lang w:val="en-GB" w:eastAsia="fr-CA"/>
        </w:rPr>
        <w:t>REACTIONS TO LOWE’S 2016 OFFER</w:t>
      </w:r>
    </w:p>
    <w:p w14:paraId="259B9F5F" w14:textId="77777777" w:rsidR="00264ED8" w:rsidRPr="006B78CD" w:rsidRDefault="00264ED8" w:rsidP="00BE2AEB">
      <w:pPr>
        <w:pStyle w:val="BodyTextMain"/>
        <w:rPr>
          <w:lang w:val="en-GB" w:eastAsia="fr-CA"/>
        </w:rPr>
      </w:pPr>
    </w:p>
    <w:tbl>
      <w:tblPr>
        <w:tblStyle w:val="TableGrid"/>
        <w:tblW w:w="0" w:type="auto"/>
        <w:tblLook w:val="04A0" w:firstRow="1" w:lastRow="0" w:firstColumn="1" w:lastColumn="0" w:noHBand="0" w:noVBand="1"/>
      </w:tblPr>
      <w:tblGrid>
        <w:gridCol w:w="9350"/>
      </w:tblGrid>
      <w:tr w:rsidR="00264ED8" w:rsidRPr="006B78CD" w14:paraId="38032570" w14:textId="77777777" w:rsidTr="009060B5">
        <w:tc>
          <w:tcPr>
            <w:tcW w:w="9396" w:type="dxa"/>
          </w:tcPr>
          <w:p w14:paraId="5E3DC7D1" w14:textId="06130EE5" w:rsidR="00264ED8" w:rsidRPr="006B78CD" w:rsidRDefault="00264ED8" w:rsidP="009060B5">
            <w:pPr>
              <w:rPr>
                <w:rFonts w:ascii="Arial" w:hAnsi="Arial" w:cs="Arial"/>
                <w:b/>
                <w:u w:val="single"/>
                <w:lang w:val="en-GB"/>
              </w:rPr>
            </w:pPr>
            <w:r w:rsidRPr="006B78CD">
              <w:rPr>
                <w:rFonts w:ascii="Arial" w:hAnsi="Arial" w:cs="Arial"/>
                <w:b/>
                <w:u w:val="single"/>
                <w:lang w:val="en-GB"/>
              </w:rPr>
              <w:t xml:space="preserve">A </w:t>
            </w:r>
            <w:r w:rsidR="002B641E" w:rsidRPr="006B78CD">
              <w:rPr>
                <w:rFonts w:ascii="Arial" w:hAnsi="Arial" w:cs="Arial"/>
                <w:b/>
                <w:u w:val="single"/>
                <w:lang w:val="en-GB"/>
              </w:rPr>
              <w:t xml:space="preserve">Sample </w:t>
            </w:r>
            <w:r w:rsidRPr="006B78CD">
              <w:rPr>
                <w:rFonts w:ascii="Arial" w:hAnsi="Arial" w:cs="Arial"/>
                <w:b/>
                <w:u w:val="single"/>
                <w:lang w:val="en-GB"/>
              </w:rPr>
              <w:t xml:space="preserve">of </w:t>
            </w:r>
            <w:r w:rsidR="002B641E" w:rsidRPr="006B78CD">
              <w:rPr>
                <w:rFonts w:ascii="Arial" w:hAnsi="Arial" w:cs="Arial"/>
                <w:b/>
                <w:u w:val="single"/>
                <w:lang w:val="en-GB"/>
              </w:rPr>
              <w:t>Proponents’ Arguments</w:t>
            </w:r>
          </w:p>
          <w:p w14:paraId="032781A2" w14:textId="3D612C54" w:rsidR="00264ED8" w:rsidRPr="006B78CD" w:rsidRDefault="00264ED8" w:rsidP="00264ED8">
            <w:pPr>
              <w:pStyle w:val="HTMLPreformatted"/>
              <w:numPr>
                <w:ilvl w:val="0"/>
                <w:numId w:val="9"/>
              </w:numPr>
              <w:shd w:val="clear" w:color="auto" w:fill="FFFFFF"/>
              <w:rPr>
                <w:rFonts w:ascii="Arial" w:hAnsi="Arial" w:cs="Arial"/>
                <w:color w:val="212121"/>
                <w:lang w:val="en-GB"/>
              </w:rPr>
            </w:pPr>
            <w:r w:rsidRPr="006B78CD">
              <w:rPr>
                <w:rFonts w:ascii="Arial" w:eastAsia="Times New Roman" w:hAnsi="Arial" w:cs="Arial"/>
                <w:color w:val="000000"/>
                <w:lang w:val="en-GB"/>
              </w:rPr>
              <w:t xml:space="preserve">Philippe Couillard, </w:t>
            </w:r>
            <w:r w:rsidR="00567FFC" w:rsidRPr="006B78CD">
              <w:rPr>
                <w:rFonts w:ascii="Arial" w:eastAsia="Times New Roman" w:hAnsi="Arial" w:cs="Arial"/>
                <w:color w:val="000000"/>
                <w:lang w:val="en-GB"/>
              </w:rPr>
              <w:t xml:space="preserve">premier </w:t>
            </w:r>
            <w:r w:rsidRPr="006B78CD">
              <w:rPr>
                <w:rFonts w:ascii="Arial" w:eastAsia="Times New Roman" w:hAnsi="Arial" w:cs="Arial"/>
                <w:color w:val="000000"/>
                <w:lang w:val="en-GB"/>
              </w:rPr>
              <w:t>of Quebec</w:t>
            </w:r>
            <w:r w:rsidRPr="006B78CD">
              <w:rPr>
                <w:rFonts w:ascii="Arial" w:hAnsi="Arial" w:cs="Arial"/>
                <w:color w:val="212121"/>
                <w:lang w:val="en-GB"/>
              </w:rPr>
              <w:t>: “Quebec must send the signal that it is an open economy and that we must continue to conquer foreign markets as well</w:t>
            </w:r>
            <w:r w:rsidR="00567FFC" w:rsidRPr="006B78CD">
              <w:rPr>
                <w:rFonts w:ascii="Arial" w:hAnsi="Arial" w:cs="Arial"/>
                <w:color w:val="212121"/>
                <w:lang w:val="en-GB"/>
              </w:rPr>
              <w:t xml:space="preserve">. . . . </w:t>
            </w:r>
            <w:r w:rsidRPr="006B78CD">
              <w:rPr>
                <w:rFonts w:ascii="Arial" w:hAnsi="Arial" w:cs="Arial"/>
                <w:color w:val="212121"/>
                <w:lang w:val="en-GB"/>
              </w:rPr>
              <w:t>For a RONA, there is a CGI, a Couche-Tard, a Saputo</w:t>
            </w:r>
            <w:r w:rsidR="00567FFC" w:rsidRPr="006B78CD">
              <w:rPr>
                <w:rFonts w:ascii="Arial" w:hAnsi="Arial" w:cs="Arial"/>
                <w:color w:val="212121"/>
                <w:lang w:val="en-GB"/>
              </w:rPr>
              <w:t>.</w:t>
            </w:r>
            <w:r w:rsidRPr="006B78CD">
              <w:rPr>
                <w:rFonts w:ascii="Arial" w:hAnsi="Arial" w:cs="Arial"/>
                <w:color w:val="212121"/>
                <w:lang w:val="en-GB"/>
              </w:rPr>
              <w:t>”</w:t>
            </w:r>
          </w:p>
          <w:p w14:paraId="1DA4DC20" w14:textId="7D553A92" w:rsidR="00264ED8" w:rsidRPr="006B78CD" w:rsidRDefault="00264ED8" w:rsidP="00264ED8">
            <w:pPr>
              <w:numPr>
                <w:ilvl w:val="0"/>
                <w:numId w:val="8"/>
              </w:numPr>
              <w:contextualSpacing/>
              <w:rPr>
                <w:rFonts w:ascii="Arial" w:hAnsi="Arial" w:cs="Arial"/>
                <w:lang w:val="en-GB"/>
              </w:rPr>
            </w:pPr>
            <w:r w:rsidRPr="006B78CD">
              <w:rPr>
                <w:rFonts w:ascii="Arial" w:hAnsi="Arial" w:cs="Arial"/>
                <w:color w:val="000000"/>
                <w:lang w:val="en-GB"/>
              </w:rPr>
              <w:t xml:space="preserve">Dominique Anglade, </w:t>
            </w:r>
            <w:r w:rsidR="00567FFC" w:rsidRPr="006B78CD">
              <w:rPr>
                <w:rFonts w:ascii="Arial" w:hAnsi="Arial" w:cs="Arial"/>
                <w:color w:val="000000"/>
                <w:lang w:val="en-GB"/>
              </w:rPr>
              <w:t xml:space="preserve">minister of economy, science and innovation, </w:t>
            </w:r>
            <w:r w:rsidRPr="006B78CD">
              <w:rPr>
                <w:rFonts w:ascii="Arial" w:hAnsi="Arial" w:cs="Arial"/>
                <w:color w:val="000000"/>
                <w:lang w:val="en-GB"/>
              </w:rPr>
              <w:t>Quebec: “</w:t>
            </w:r>
            <w:r w:rsidRPr="006B78CD">
              <w:rPr>
                <w:rFonts w:ascii="Arial" w:hAnsi="Arial" w:cs="Arial"/>
                <w:color w:val="212121"/>
                <w:lang w:val="en-GB" w:eastAsia="fr-CA"/>
              </w:rPr>
              <w:t>This is a transaction that has been wanted by the leaders of Lowe’s and RONA. What is important for us is that jobs are maintained in Quebec, that suppliers in Quebec can take advantage of this transaction to export in foreign markets and that the head office is maintained in Quebec</w:t>
            </w:r>
            <w:r w:rsidRPr="00206A96">
              <w:rPr>
                <w:rFonts w:ascii="Arial" w:hAnsi="Arial" w:cs="Arial"/>
                <w:color w:val="212121"/>
                <w:lang w:val="en-GB" w:eastAsia="fr-CA"/>
              </w:rPr>
              <w:t>.”</w:t>
            </w:r>
            <w:r w:rsidRPr="006B78CD">
              <w:rPr>
                <w:rFonts w:ascii="Arial" w:hAnsi="Arial" w:cs="Arial"/>
                <w:vertAlign w:val="superscript"/>
                <w:lang w:val="en-GB"/>
              </w:rPr>
              <w:t xml:space="preserve"> </w:t>
            </w:r>
          </w:p>
          <w:p w14:paraId="589D7AE9" w14:textId="258B490D" w:rsidR="00264ED8" w:rsidRPr="006B78CD" w:rsidRDefault="00264ED8" w:rsidP="00264ED8">
            <w:pPr>
              <w:numPr>
                <w:ilvl w:val="0"/>
                <w:numId w:val="8"/>
              </w:numPr>
              <w:spacing w:before="100" w:beforeAutospacing="1" w:after="100" w:afterAutospacing="1"/>
              <w:contextualSpacing/>
              <w:rPr>
                <w:rFonts w:ascii="Arial" w:hAnsi="Arial" w:cs="Arial"/>
                <w:color w:val="000000"/>
                <w:lang w:val="en-GB"/>
              </w:rPr>
            </w:pPr>
            <w:r w:rsidRPr="006B78CD">
              <w:rPr>
                <w:rFonts w:ascii="Arial" w:hAnsi="Arial" w:cs="Arial"/>
                <w:color w:val="000000"/>
                <w:lang w:val="en-GB"/>
              </w:rPr>
              <w:t xml:space="preserve">Robert Sawyer, </w:t>
            </w:r>
            <w:r w:rsidR="00567FFC" w:rsidRPr="006B78CD">
              <w:rPr>
                <w:rFonts w:ascii="Arial" w:hAnsi="Arial" w:cs="Arial"/>
                <w:color w:val="000000"/>
                <w:lang w:val="en-GB"/>
              </w:rPr>
              <w:t xml:space="preserve">president </w:t>
            </w:r>
            <w:r w:rsidRPr="006B78CD">
              <w:rPr>
                <w:rFonts w:ascii="Arial" w:hAnsi="Arial" w:cs="Arial"/>
                <w:color w:val="000000"/>
                <w:lang w:val="en-GB"/>
              </w:rPr>
              <w:t xml:space="preserve">and </w:t>
            </w:r>
            <w:r w:rsidR="00812233">
              <w:rPr>
                <w:rFonts w:ascii="Arial" w:hAnsi="Arial" w:cs="Arial"/>
                <w:color w:val="000000"/>
                <w:lang w:val="en-GB"/>
              </w:rPr>
              <w:t>chief executive officer</w:t>
            </w:r>
            <w:r w:rsidRPr="006B78CD">
              <w:rPr>
                <w:rFonts w:ascii="Arial" w:hAnsi="Arial" w:cs="Arial"/>
                <w:color w:val="000000"/>
                <w:lang w:val="en-GB"/>
              </w:rPr>
              <w:t>, RONA: “</w:t>
            </w:r>
            <w:r w:rsidRPr="006B78CD">
              <w:rPr>
                <w:rFonts w:ascii="Arial" w:hAnsi="Arial" w:cs="Arial"/>
                <w:color w:val="212121"/>
                <w:lang w:val="en-GB" w:eastAsia="fr-CA"/>
              </w:rPr>
              <w:t>Within five years, if we had not moved, and Lowe’s had opened 20, 30 stores in Quebec, we would have managed decline</w:t>
            </w:r>
            <w:r w:rsidR="00567FFC" w:rsidRPr="006B78CD">
              <w:rPr>
                <w:rFonts w:ascii="Arial" w:hAnsi="Arial" w:cs="Arial"/>
                <w:color w:val="212121"/>
                <w:lang w:val="en-GB" w:eastAsia="fr-CA"/>
              </w:rPr>
              <w:t>. . . .</w:t>
            </w:r>
            <w:r w:rsidRPr="006B78CD">
              <w:rPr>
                <w:rFonts w:ascii="Arial" w:hAnsi="Arial" w:cs="Arial"/>
                <w:color w:val="212121"/>
                <w:lang w:val="en-GB" w:eastAsia="fr-CA"/>
              </w:rPr>
              <w:t xml:space="preserve"> Today, I think the long-term solution for the sustainability of RONA is to put both together</w:t>
            </w:r>
            <w:r w:rsidRPr="00206A96">
              <w:rPr>
                <w:rFonts w:ascii="Arial" w:hAnsi="Arial" w:cs="Arial"/>
                <w:color w:val="212121"/>
                <w:lang w:val="en-GB" w:eastAsia="fr-CA"/>
              </w:rPr>
              <w:t>.</w:t>
            </w:r>
            <w:r w:rsidRPr="00C64A79">
              <w:rPr>
                <w:rFonts w:ascii="Arial" w:hAnsi="Arial" w:cs="Arial"/>
                <w:lang w:val="en-GB"/>
              </w:rPr>
              <w:t>”</w:t>
            </w:r>
          </w:p>
          <w:p w14:paraId="2C8131D5" w14:textId="77777777" w:rsidR="00264ED8" w:rsidRPr="006B78CD" w:rsidRDefault="00264ED8" w:rsidP="009060B5">
            <w:pPr>
              <w:spacing w:before="100" w:beforeAutospacing="1" w:after="100" w:afterAutospacing="1"/>
              <w:ind w:left="360"/>
              <w:contextualSpacing/>
              <w:rPr>
                <w:rFonts w:ascii="Arial" w:hAnsi="Arial" w:cs="Arial"/>
                <w:color w:val="000000"/>
                <w:lang w:val="en-GB"/>
              </w:rPr>
            </w:pPr>
          </w:p>
          <w:p w14:paraId="73619583" w14:textId="5D97E89F" w:rsidR="00264ED8" w:rsidRPr="006B78CD" w:rsidRDefault="00264ED8" w:rsidP="009060B5">
            <w:pPr>
              <w:rPr>
                <w:rFonts w:ascii="Arial" w:hAnsi="Arial" w:cs="Arial"/>
                <w:b/>
                <w:u w:val="single"/>
                <w:lang w:val="en-GB"/>
              </w:rPr>
            </w:pPr>
            <w:r w:rsidRPr="006B78CD">
              <w:rPr>
                <w:rFonts w:ascii="Arial" w:hAnsi="Arial" w:cs="Arial"/>
                <w:b/>
                <w:u w:val="single"/>
                <w:lang w:val="en-GB"/>
              </w:rPr>
              <w:t xml:space="preserve">A </w:t>
            </w:r>
            <w:r w:rsidR="002B641E" w:rsidRPr="006B78CD">
              <w:rPr>
                <w:rFonts w:ascii="Arial" w:hAnsi="Arial" w:cs="Arial"/>
                <w:b/>
                <w:u w:val="single"/>
                <w:lang w:val="en-GB"/>
              </w:rPr>
              <w:t xml:space="preserve">Sample </w:t>
            </w:r>
            <w:r w:rsidRPr="006B78CD">
              <w:rPr>
                <w:rFonts w:ascii="Arial" w:hAnsi="Arial" w:cs="Arial"/>
                <w:b/>
                <w:u w:val="single"/>
                <w:lang w:val="en-GB"/>
              </w:rPr>
              <w:t xml:space="preserve">of </w:t>
            </w:r>
            <w:r w:rsidR="002B641E" w:rsidRPr="006B78CD">
              <w:rPr>
                <w:rFonts w:ascii="Arial" w:hAnsi="Arial" w:cs="Arial"/>
                <w:b/>
                <w:u w:val="single"/>
                <w:lang w:val="en-GB"/>
              </w:rPr>
              <w:t>Opponents’ Arguments</w:t>
            </w:r>
          </w:p>
          <w:p w14:paraId="01B1BA54" w14:textId="56CE3B8B" w:rsidR="00264ED8" w:rsidRPr="006B78CD" w:rsidRDefault="00264ED8" w:rsidP="00264ED8">
            <w:pPr>
              <w:pStyle w:val="ListParagraph"/>
              <w:numPr>
                <w:ilvl w:val="0"/>
                <w:numId w:val="9"/>
              </w:numPr>
              <w:jc w:val="left"/>
              <w:rPr>
                <w:rFonts w:ascii="Arial" w:hAnsi="Arial" w:cs="Arial"/>
                <w:b/>
                <w:sz w:val="20"/>
                <w:szCs w:val="20"/>
                <w:u w:val="single"/>
                <w:lang w:val="en-GB"/>
              </w:rPr>
            </w:pPr>
            <w:r w:rsidRPr="006B78CD">
              <w:rPr>
                <w:rFonts w:ascii="Arial" w:hAnsi="Arial" w:cs="Arial"/>
                <w:sz w:val="20"/>
                <w:szCs w:val="20"/>
                <w:lang w:val="en-GB"/>
              </w:rPr>
              <w:t>Pierre-Karl Péladeau, leader of the official opposition, Quebec National Assembly</w:t>
            </w:r>
            <w:r w:rsidRPr="006B78CD">
              <w:rPr>
                <w:rFonts w:ascii="Arial" w:eastAsia="Times New Roman" w:hAnsi="Arial" w:cs="Arial"/>
                <w:color w:val="000000"/>
                <w:sz w:val="20"/>
                <w:szCs w:val="20"/>
                <w:lang w:val="en-GB"/>
              </w:rPr>
              <w:t xml:space="preserve">: </w:t>
            </w:r>
            <w:r w:rsidRPr="006B78CD">
              <w:rPr>
                <w:rFonts w:ascii="Arial" w:eastAsia="Times New Roman" w:hAnsi="Arial" w:cs="Arial"/>
                <w:color w:val="212121"/>
                <w:sz w:val="20"/>
                <w:szCs w:val="20"/>
                <w:lang w:val="en-GB" w:eastAsia="fr-CA"/>
              </w:rPr>
              <w:t>“We have lost too many headquarters. Everyone says it, all the commentators say it</w:t>
            </w:r>
            <w:r w:rsidR="00567FFC" w:rsidRPr="006B78CD">
              <w:rPr>
                <w:rFonts w:ascii="Arial" w:eastAsia="Times New Roman" w:hAnsi="Arial" w:cs="Arial"/>
                <w:color w:val="212121"/>
                <w:sz w:val="20"/>
                <w:szCs w:val="20"/>
                <w:lang w:val="en-GB" w:eastAsia="fr-CA"/>
              </w:rPr>
              <w:t>.</w:t>
            </w:r>
            <w:r w:rsidRPr="006B78CD">
              <w:rPr>
                <w:rFonts w:ascii="Arial" w:eastAsia="Times New Roman" w:hAnsi="Arial" w:cs="Arial"/>
                <w:color w:val="212121"/>
                <w:sz w:val="20"/>
                <w:szCs w:val="20"/>
                <w:lang w:val="en-GB" w:eastAsia="fr-CA"/>
              </w:rPr>
              <w:t>”</w:t>
            </w:r>
            <w:r w:rsidRPr="006B78CD">
              <w:rPr>
                <w:rFonts w:ascii="Arial" w:hAnsi="Arial" w:cs="Arial"/>
                <w:sz w:val="20"/>
                <w:szCs w:val="20"/>
                <w:vertAlign w:val="superscript"/>
                <w:lang w:val="en-GB"/>
              </w:rPr>
              <w:t xml:space="preserve"> </w:t>
            </w:r>
          </w:p>
          <w:p w14:paraId="1A45E62F" w14:textId="77777777" w:rsidR="00264ED8" w:rsidRPr="006B78CD" w:rsidRDefault="00264ED8" w:rsidP="00264E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sz w:val="20"/>
                <w:szCs w:val="20"/>
                <w:lang w:val="en-GB"/>
              </w:rPr>
            </w:pPr>
            <w:r w:rsidRPr="006B78CD">
              <w:rPr>
                <w:rFonts w:ascii="Arial" w:hAnsi="Arial" w:cs="Arial"/>
                <w:color w:val="000000"/>
                <w:sz w:val="20"/>
                <w:szCs w:val="20"/>
                <w:lang w:val="en-GB"/>
              </w:rPr>
              <w:t xml:space="preserve">Normand Bourgault, professor of marketing, University of Quebec in Outaouais: </w:t>
            </w:r>
            <w:r w:rsidRPr="006B78CD">
              <w:rPr>
                <w:rFonts w:ascii="Arial" w:eastAsia="Times New Roman" w:hAnsi="Arial" w:cs="Arial"/>
                <w:color w:val="212121"/>
                <w:sz w:val="20"/>
                <w:szCs w:val="20"/>
                <w:lang w:val="en-GB" w:eastAsia="fr-CA"/>
              </w:rPr>
              <w:t>“The sale of RONA to Lowe’s could have some impacts on RONA stores present in smaller markets. It’s probably going to be the start of the disappearance of some proximity stores because Lowe’s is not equipped to serve this kind of store, it’s not in its DNA. These small stores may have to find other affiliations, or come back to RONA, that is to say, to meet again and again and build a new buying group.”</w:t>
            </w:r>
            <w:r w:rsidRPr="006B78CD">
              <w:rPr>
                <w:rFonts w:ascii="Arial" w:hAnsi="Arial" w:cs="Arial"/>
                <w:sz w:val="20"/>
                <w:szCs w:val="20"/>
                <w:vertAlign w:val="superscript"/>
                <w:lang w:val="en-GB"/>
              </w:rPr>
              <w:t xml:space="preserve"> </w:t>
            </w:r>
          </w:p>
          <w:p w14:paraId="069C5F5D" w14:textId="6B7E3B02" w:rsidR="00264ED8" w:rsidRPr="006B78CD" w:rsidRDefault="00264ED8" w:rsidP="00E7647C">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lang w:val="en-GB"/>
              </w:rPr>
            </w:pPr>
            <w:r w:rsidRPr="006B78CD">
              <w:rPr>
                <w:rFonts w:ascii="Arial" w:hAnsi="Arial" w:cs="Arial"/>
                <w:color w:val="161616"/>
                <w:sz w:val="20"/>
                <w:szCs w:val="20"/>
                <w:lang w:val="en-GB"/>
              </w:rPr>
              <w:t xml:space="preserve">Robert Dutton, former RONA </w:t>
            </w:r>
            <w:r w:rsidR="00812233">
              <w:rPr>
                <w:rFonts w:ascii="Arial" w:hAnsi="Arial" w:cs="Arial"/>
                <w:color w:val="161616"/>
                <w:sz w:val="20"/>
                <w:szCs w:val="20"/>
                <w:lang w:val="en-GB"/>
              </w:rPr>
              <w:t>chief executive officer</w:t>
            </w:r>
            <w:r w:rsidRPr="006B78CD">
              <w:rPr>
                <w:rFonts w:ascii="Arial" w:hAnsi="Arial" w:cs="Arial"/>
                <w:color w:val="161616"/>
                <w:sz w:val="20"/>
                <w:szCs w:val="20"/>
                <w:lang w:val="en-GB"/>
              </w:rPr>
              <w:t>: “</w:t>
            </w:r>
            <w:r w:rsidRPr="006B78CD">
              <w:rPr>
                <w:rFonts w:ascii="Arial" w:eastAsia="Times New Roman" w:hAnsi="Arial" w:cs="Arial"/>
                <w:color w:val="212121"/>
                <w:sz w:val="20"/>
                <w:szCs w:val="20"/>
                <w:lang w:val="en-GB" w:eastAsia="fr-CA"/>
              </w:rPr>
              <w:t>The offer is excellent, but we must look at the long-term impacts. It is in favo</w:t>
            </w:r>
            <w:r w:rsidR="00812233">
              <w:rPr>
                <w:rFonts w:ascii="Arial" w:eastAsia="Times New Roman" w:hAnsi="Arial" w:cs="Arial"/>
                <w:color w:val="212121"/>
                <w:sz w:val="20"/>
                <w:szCs w:val="20"/>
                <w:lang w:val="en-GB" w:eastAsia="fr-CA"/>
              </w:rPr>
              <w:t>u</w:t>
            </w:r>
            <w:r w:rsidRPr="006B78CD">
              <w:rPr>
                <w:rFonts w:ascii="Arial" w:eastAsia="Times New Roman" w:hAnsi="Arial" w:cs="Arial"/>
                <w:color w:val="212121"/>
                <w:sz w:val="20"/>
                <w:szCs w:val="20"/>
                <w:lang w:val="en-GB" w:eastAsia="fr-CA"/>
              </w:rPr>
              <w:t>r of shareholders, no one can dispute that. But is it favo</w:t>
            </w:r>
            <w:r w:rsidR="00812233">
              <w:rPr>
                <w:rFonts w:ascii="Arial" w:eastAsia="Times New Roman" w:hAnsi="Arial" w:cs="Arial"/>
                <w:color w:val="212121"/>
                <w:sz w:val="20"/>
                <w:szCs w:val="20"/>
                <w:lang w:val="en-GB" w:eastAsia="fr-CA"/>
              </w:rPr>
              <w:t>u</w:t>
            </w:r>
            <w:r w:rsidRPr="006B78CD">
              <w:rPr>
                <w:rFonts w:ascii="Arial" w:eastAsia="Times New Roman" w:hAnsi="Arial" w:cs="Arial"/>
                <w:color w:val="212121"/>
                <w:sz w:val="20"/>
                <w:szCs w:val="20"/>
                <w:lang w:val="en-GB" w:eastAsia="fr-CA"/>
              </w:rPr>
              <w:t>rable for the stakeholders? For the merchants? For employees? For employees of Quebec manufacturers? I am not sure. Is it supportive for the community?”</w:t>
            </w:r>
            <w:r w:rsidRPr="006B78CD">
              <w:rPr>
                <w:vertAlign w:val="superscript"/>
                <w:lang w:val="en-GB"/>
              </w:rPr>
              <w:t xml:space="preserve"> </w:t>
            </w:r>
          </w:p>
        </w:tc>
      </w:tr>
    </w:tbl>
    <w:p w14:paraId="6BC00B6F" w14:textId="77777777" w:rsidR="00264ED8" w:rsidRPr="00DD0E30" w:rsidRDefault="00264ED8" w:rsidP="00264ED8">
      <w:pPr>
        <w:pStyle w:val="Footnote"/>
        <w:rPr>
          <w:sz w:val="20"/>
          <w:lang w:val="en-GB"/>
        </w:rPr>
      </w:pPr>
    </w:p>
    <w:p w14:paraId="418381AF" w14:textId="7FDF65EB" w:rsidR="00264ED8" w:rsidRPr="00B858B9" w:rsidRDefault="00264ED8" w:rsidP="00264ED8">
      <w:pPr>
        <w:pStyle w:val="Footnote"/>
        <w:rPr>
          <w:lang w:val="fr-CA"/>
        </w:rPr>
      </w:pPr>
      <w:r w:rsidRPr="00B858B9">
        <w:rPr>
          <w:lang w:val="fr-CA"/>
        </w:rPr>
        <w:t xml:space="preserve">Source: Created by </w:t>
      </w:r>
      <w:r w:rsidR="0022289A">
        <w:rPr>
          <w:lang w:val="fr-CA"/>
        </w:rPr>
        <w:t xml:space="preserve">the </w:t>
      </w:r>
      <w:r w:rsidRPr="00B858B9">
        <w:rPr>
          <w:lang w:val="fr-CA"/>
        </w:rPr>
        <w:t>authors based on “La vente de RONA, signe d’une ‘économie ouverte,’</w:t>
      </w:r>
      <w:r w:rsidR="002B641E" w:rsidRPr="00B858B9">
        <w:rPr>
          <w:lang w:val="fr-CA"/>
        </w:rPr>
        <w:t xml:space="preserve"> </w:t>
      </w:r>
      <w:r w:rsidRPr="00B858B9">
        <w:rPr>
          <w:lang w:val="fr-CA"/>
        </w:rPr>
        <w:t xml:space="preserve">selon Couillard,” Radio-Canada, February 4, 2016, accessed April 24, 2017, </w:t>
      </w:r>
      <w:hyperlink r:id="rId11" w:history="1">
        <w:r w:rsidRPr="00B858B9">
          <w:rPr>
            <w:rStyle w:val="Hyperlink"/>
            <w:color w:val="auto"/>
            <w:u w:val="none"/>
            <w:lang w:val="fr-CA"/>
          </w:rPr>
          <w:t>http://ici.radio-canada.ca/nouvelle/763370/philippe-couillard-rona-lowes-economie-ouverte-uber</w:t>
        </w:r>
      </w:hyperlink>
      <w:r w:rsidRPr="00B858B9">
        <w:rPr>
          <w:lang w:val="fr-CA"/>
        </w:rPr>
        <w:t xml:space="preserve">; Régys Caron, “Couillard defend la vente de RONA,” </w:t>
      </w:r>
      <w:r w:rsidR="002B641E" w:rsidRPr="00B858B9">
        <w:rPr>
          <w:i/>
          <w:lang w:val="fr-CA"/>
        </w:rPr>
        <w:t>Le Journal de Montréal</w:t>
      </w:r>
      <w:r w:rsidR="002B641E" w:rsidRPr="00B858B9">
        <w:rPr>
          <w:lang w:val="fr-CA"/>
        </w:rPr>
        <w:t xml:space="preserve">, </w:t>
      </w:r>
      <w:r w:rsidRPr="00B858B9">
        <w:rPr>
          <w:lang w:val="fr-CA"/>
        </w:rPr>
        <w:t xml:space="preserve">February 4, 2016, accessed April 24, 2017, </w:t>
      </w:r>
      <w:hyperlink r:id="rId12" w:history="1">
        <w:r w:rsidRPr="00B858B9">
          <w:rPr>
            <w:rStyle w:val="Hyperlink"/>
            <w:color w:val="auto"/>
            <w:u w:val="none"/>
            <w:lang w:val="fr-CA"/>
          </w:rPr>
          <w:t>www.journaldemontreal.com/2016/02/04/couillard-defend-la-vente-de-rona</w:t>
        </w:r>
      </w:hyperlink>
      <w:r w:rsidRPr="00B858B9">
        <w:rPr>
          <w:lang w:val="fr-CA"/>
        </w:rPr>
        <w:t xml:space="preserve">; Régys Caron, </w:t>
      </w:r>
      <w:r w:rsidRPr="00B858B9">
        <w:rPr>
          <w:rFonts w:eastAsiaTheme="minorHAnsi"/>
          <w:lang w:val="fr-CA"/>
        </w:rPr>
        <w:t>“</w:t>
      </w:r>
      <w:r w:rsidRPr="00B858B9">
        <w:rPr>
          <w:lang w:val="fr-CA"/>
        </w:rPr>
        <w:t xml:space="preserve">Québec n’empêchera pas </w:t>
      </w:r>
      <w:r w:rsidR="00567FFC" w:rsidRPr="00B858B9">
        <w:rPr>
          <w:lang w:val="fr-CA"/>
        </w:rPr>
        <w:t>l’achat</w:t>
      </w:r>
      <w:r w:rsidRPr="00B858B9">
        <w:rPr>
          <w:lang w:val="fr-CA"/>
        </w:rPr>
        <w:t xml:space="preserve"> de RONA,” February 3, 2016, accessed April 24, 2017</w:t>
      </w:r>
      <w:r w:rsidR="002B641E" w:rsidRPr="00B858B9">
        <w:rPr>
          <w:lang w:val="fr-CA"/>
        </w:rPr>
        <w:t xml:space="preserve">, </w:t>
      </w:r>
      <w:r w:rsidR="00567FFC" w:rsidRPr="00B858B9">
        <w:rPr>
          <w:lang w:val="fr-CA"/>
        </w:rPr>
        <w:t>www.journaldemontreal.com/2016/02/03/vente-de-rona-une-transaction-benefique-pour-le-quebec-selon-la-ministre-anglade</w:t>
      </w:r>
      <w:r w:rsidRPr="00B858B9">
        <w:rPr>
          <w:lang w:val="fr-CA"/>
        </w:rPr>
        <w:t xml:space="preserve">; “La vente de RONA </w:t>
      </w:r>
      <w:r w:rsidR="00567FFC" w:rsidRPr="00B858B9">
        <w:rPr>
          <w:lang w:val="fr-CA"/>
        </w:rPr>
        <w:t xml:space="preserve">à Lowe's </w:t>
      </w:r>
      <w:r w:rsidRPr="00B858B9">
        <w:rPr>
          <w:lang w:val="fr-CA"/>
        </w:rPr>
        <w:t xml:space="preserve">était inévitable, selon le quincailler Québécois,” Radio-Canada, February 3, 2016, accessed April 24, 2017, </w:t>
      </w:r>
      <w:hyperlink r:id="rId13" w:history="1">
        <w:r w:rsidRPr="00B858B9">
          <w:rPr>
            <w:rStyle w:val="Hyperlink"/>
            <w:color w:val="auto"/>
            <w:u w:val="none"/>
            <w:lang w:val="fr-CA"/>
          </w:rPr>
          <w:t>http://ici.radio-canada.ca/nouvelle/</w:t>
        </w:r>
      </w:hyperlink>
      <w:r w:rsidRPr="00B858B9">
        <w:rPr>
          <w:lang w:val="fr-CA"/>
        </w:rPr>
        <w:t xml:space="preserve">763117/rona-lowes-achat-quebec-etats-unis; “Vente de RONA: Québec et la Caisse disent oui, Péladeau dit non,” Radio-Canada, February 3, 2016, accessed April 24, 2017, </w:t>
      </w:r>
      <w:hyperlink r:id="rId14" w:history="1">
        <w:r w:rsidRPr="00B858B9">
          <w:rPr>
            <w:rStyle w:val="Hyperlink"/>
            <w:color w:val="auto"/>
            <w:u w:val="none"/>
            <w:lang w:val="fr-CA"/>
          </w:rPr>
          <w:t>http://ici.radio-canada.ca/nouvelle/763160/vente-rona-lowes-peladeau-reactions-politiques</w:t>
        </w:r>
      </w:hyperlink>
      <w:r w:rsidRPr="00B858B9">
        <w:rPr>
          <w:lang w:val="fr-CA"/>
        </w:rPr>
        <w:t>; “Vente de RONA: mauvaise surprise pour une propriétaire de l’Outaouais</w:t>
      </w:r>
      <w:r w:rsidR="00567FFC" w:rsidRPr="00B858B9">
        <w:rPr>
          <w:lang w:val="fr-CA"/>
        </w:rPr>
        <w:t>,”</w:t>
      </w:r>
      <w:r w:rsidRPr="00B858B9">
        <w:rPr>
          <w:lang w:val="fr-CA"/>
        </w:rPr>
        <w:t xml:space="preserve"> Radio-Canada, February 3, 2016, accessed April 27, 2017, </w:t>
      </w:r>
      <w:hyperlink r:id="rId15" w:history="1">
        <w:r w:rsidRPr="00B858B9">
          <w:rPr>
            <w:rStyle w:val="Hyperlink"/>
            <w:color w:val="auto"/>
            <w:u w:val="none"/>
            <w:lang w:val="fr-CA"/>
          </w:rPr>
          <w:t>http://ici.radio-canada.ca/nouvelle/763173/rona-vente-reactions-outaouais</w:t>
        </w:r>
      </w:hyperlink>
      <w:r w:rsidRPr="00B858B9">
        <w:rPr>
          <w:lang w:val="fr-CA"/>
        </w:rPr>
        <w:t>; “Vente de RONA: un ex-PDG s’inquiète de l’impact sur l’économie du Québec,</w:t>
      </w:r>
      <w:r w:rsidR="00812233" w:rsidRPr="00B858B9">
        <w:rPr>
          <w:lang w:val="fr-CA"/>
        </w:rPr>
        <w:t>”</w:t>
      </w:r>
      <w:r w:rsidR="00812233">
        <w:rPr>
          <w:lang w:val="fr-CA"/>
        </w:rPr>
        <w:t> </w:t>
      </w:r>
      <w:r w:rsidRPr="00B858B9">
        <w:rPr>
          <w:lang w:val="fr-CA"/>
        </w:rPr>
        <w:t>Radio-Canada, April 4, 2016, accessed April 24, 2017, http://ici.radio-canada.ca/nouvelle/774042/vente-rona-ex-pdg-robert-dutton-impact-economique.</w:t>
      </w:r>
    </w:p>
    <w:p w14:paraId="6D12E0D3" w14:textId="77777777" w:rsidR="00264ED8" w:rsidRPr="00B858B9" w:rsidRDefault="00264ED8" w:rsidP="00264ED8">
      <w:pPr>
        <w:pStyle w:val="FootnoteText"/>
        <w:rPr>
          <w:rFonts w:asciiTheme="majorHAnsi" w:hAnsiTheme="majorHAnsi"/>
          <w:sz w:val="18"/>
          <w:szCs w:val="18"/>
          <w:lang w:val="fr-CA"/>
        </w:rPr>
      </w:pPr>
    </w:p>
    <w:p w14:paraId="0847FF15" w14:textId="77777777" w:rsidR="00264ED8" w:rsidRPr="00B858B9" w:rsidRDefault="00264ED8" w:rsidP="00264ED8">
      <w:pPr>
        <w:pStyle w:val="BodyTextMain"/>
        <w:rPr>
          <w:rStyle w:val="tlid-translation"/>
          <w:color w:val="000000" w:themeColor="text1"/>
          <w:lang w:val="fr-CA"/>
        </w:rPr>
      </w:pPr>
    </w:p>
    <w:p w14:paraId="4D1188FE" w14:textId="77777777" w:rsidR="00264ED8" w:rsidRPr="00B858B9" w:rsidRDefault="00264ED8" w:rsidP="00264ED8">
      <w:pPr>
        <w:spacing w:after="200" w:line="276" w:lineRule="auto"/>
        <w:rPr>
          <w:rStyle w:val="tlid-translation"/>
          <w:color w:val="000000" w:themeColor="text1"/>
          <w:sz w:val="22"/>
          <w:szCs w:val="22"/>
          <w:lang w:val="fr-CA"/>
        </w:rPr>
      </w:pPr>
      <w:r w:rsidRPr="00B858B9">
        <w:rPr>
          <w:rStyle w:val="tlid-translation"/>
          <w:color w:val="000000" w:themeColor="text1"/>
          <w:lang w:val="fr-CA"/>
        </w:rPr>
        <w:br w:type="page"/>
      </w:r>
    </w:p>
    <w:p w14:paraId="1507635B" w14:textId="43ABEC6A" w:rsidR="004B632F" w:rsidRPr="006B78CD" w:rsidRDefault="00264ED8" w:rsidP="00372AF2">
      <w:pPr>
        <w:pStyle w:val="Casehead1"/>
        <w:rPr>
          <w:lang w:val="en-GB"/>
        </w:rPr>
      </w:pPr>
      <w:r w:rsidRPr="006B78CD">
        <w:rPr>
          <w:lang w:val="en-GB"/>
        </w:rPr>
        <w:lastRenderedPageBreak/>
        <w:t>ENDNOTES</w:t>
      </w:r>
    </w:p>
    <w:sectPr w:rsidR="004B632F" w:rsidRPr="006B78CD" w:rsidSect="00751E0B">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CEF35" w14:textId="77777777" w:rsidR="00F6249C" w:rsidRDefault="00F6249C" w:rsidP="00D75295">
      <w:r>
        <w:separator/>
      </w:r>
    </w:p>
  </w:endnote>
  <w:endnote w:type="continuationSeparator" w:id="0">
    <w:p w14:paraId="75D3AC10" w14:textId="77777777" w:rsidR="00F6249C" w:rsidRDefault="00F6249C" w:rsidP="00D75295">
      <w:r>
        <w:continuationSeparator/>
      </w:r>
    </w:p>
  </w:endnote>
  <w:endnote w:id="1">
    <w:p w14:paraId="367E2296" w14:textId="0822DCAF" w:rsidR="001F4675" w:rsidRPr="00243E69" w:rsidRDefault="001F4675" w:rsidP="00036E11">
      <w:pPr>
        <w:pStyle w:val="Footnote"/>
        <w:rPr>
          <w:lang w:val="en-CA"/>
        </w:rPr>
      </w:pPr>
      <w:r w:rsidRPr="00243E69">
        <w:rPr>
          <w:rStyle w:val="EndnoteReference"/>
          <w:lang w:val="en-CA"/>
        </w:rPr>
        <w:endnoteRef/>
      </w:r>
      <w:r w:rsidRPr="00243E69">
        <w:rPr>
          <w:lang w:val="en-CA"/>
        </w:rPr>
        <w:t xml:space="preserve"> This case has been written on the basis of published sources only. Consequently, the interpretation and perspectives presented in this case are not necessarily those of Lowe’s</w:t>
      </w:r>
      <w:r>
        <w:rPr>
          <w:lang w:val="en-CA"/>
        </w:rPr>
        <w:t xml:space="preserve"> Companies</w:t>
      </w:r>
      <w:r w:rsidR="00812233">
        <w:rPr>
          <w:lang w:val="en-CA"/>
        </w:rPr>
        <w:t>,</w:t>
      </w:r>
      <w:r>
        <w:rPr>
          <w:lang w:val="en-CA"/>
        </w:rPr>
        <w:t xml:space="preserve"> Inc.</w:t>
      </w:r>
      <w:r w:rsidRPr="00243E69">
        <w:rPr>
          <w:lang w:val="en-CA"/>
        </w:rPr>
        <w:t xml:space="preserve"> </w:t>
      </w:r>
      <w:r>
        <w:rPr>
          <w:lang w:val="en-CA"/>
        </w:rPr>
        <w:t xml:space="preserve">or RONA Inc. </w:t>
      </w:r>
      <w:r w:rsidRPr="00243E69">
        <w:rPr>
          <w:lang w:val="en-CA"/>
        </w:rPr>
        <w:t xml:space="preserve">or any of </w:t>
      </w:r>
      <w:r w:rsidR="00812233">
        <w:rPr>
          <w:lang w:val="en-CA"/>
        </w:rPr>
        <w:t>their</w:t>
      </w:r>
      <w:r w:rsidRPr="00243E69">
        <w:rPr>
          <w:lang w:val="en-CA"/>
        </w:rPr>
        <w:t xml:space="preserve"> employees.</w:t>
      </w:r>
    </w:p>
  </w:endnote>
  <w:endnote w:id="2">
    <w:p w14:paraId="60B3DF65" w14:textId="5D72F54E" w:rsidR="001F4675" w:rsidRPr="00243E69" w:rsidRDefault="001F4675" w:rsidP="006C474B">
      <w:pPr>
        <w:pStyle w:val="Footnote"/>
        <w:jc w:val="left"/>
        <w:rPr>
          <w:lang w:val="en-CA"/>
        </w:rPr>
      </w:pPr>
      <w:r w:rsidRPr="00243E69">
        <w:rPr>
          <w:rStyle w:val="EndnoteReference"/>
          <w:lang w:val="en-CA"/>
        </w:rPr>
        <w:endnoteRef/>
      </w:r>
      <w:r w:rsidRPr="00243E69">
        <w:rPr>
          <w:lang w:val="en-CA"/>
        </w:rPr>
        <w:t xml:space="preserve"> The Canadian Press, “RONA’s Independent Operators Say ‘No, Thank You’ to Lowe’s Takeover Plan,” </w:t>
      </w:r>
      <w:r w:rsidRPr="00DC72DD">
        <w:rPr>
          <w:i/>
          <w:lang w:val="en-CA"/>
        </w:rPr>
        <w:t>Montreal Gazette</w:t>
      </w:r>
      <w:r w:rsidRPr="00243E69">
        <w:rPr>
          <w:lang w:val="en-CA"/>
        </w:rPr>
        <w:t>, August 22, 2012, accessed April 17, 2018, www.montrealgazette.com/rona+independent+operators+thank+lowe+takeover+plan/7127358/story.html.</w:t>
      </w:r>
    </w:p>
  </w:endnote>
  <w:endnote w:id="3">
    <w:p w14:paraId="247E361C" w14:textId="556F4A05" w:rsidR="001F4675" w:rsidRPr="00243E69" w:rsidRDefault="001F4675" w:rsidP="00264ED8">
      <w:pPr>
        <w:pStyle w:val="Footnote"/>
        <w:rPr>
          <w:lang w:val="en-CA"/>
        </w:rPr>
      </w:pPr>
      <w:r w:rsidRPr="00243E69">
        <w:rPr>
          <w:rStyle w:val="EndnoteReference"/>
          <w:lang w:val="en-CA"/>
        </w:rPr>
        <w:endnoteRef/>
      </w:r>
      <w:r w:rsidRPr="00243E69">
        <w:rPr>
          <w:lang w:val="en-CA"/>
        </w:rPr>
        <w:t xml:space="preserve"> Euan Rocha and Dhanya Skariachan, “Lowe’s Offers to Buy Canada’s Rona for C$1.8billion,” Reuters, July 31, 2012, accessed April 18, 2018, https://www.reuters.com/article/us-rona-lowes/lowes-offers-to-buy-canadas-rona-for-c1-8-billion-idUSBRE86U0GJ20120731.</w:t>
      </w:r>
    </w:p>
  </w:endnote>
  <w:endnote w:id="4">
    <w:p w14:paraId="356E57A2" w14:textId="69148AF4" w:rsidR="001F4675" w:rsidRPr="00243E69" w:rsidRDefault="001F4675" w:rsidP="00264ED8">
      <w:pPr>
        <w:pStyle w:val="Footnote"/>
        <w:rPr>
          <w:lang w:val="en-CA"/>
        </w:rPr>
      </w:pPr>
      <w:r w:rsidRPr="00243E69">
        <w:rPr>
          <w:rStyle w:val="EndnoteReference"/>
          <w:lang w:val="en-CA"/>
        </w:rPr>
        <w:endnoteRef/>
      </w:r>
      <w:r w:rsidRPr="00243E69">
        <w:rPr>
          <w:lang w:val="en-CA"/>
        </w:rPr>
        <w:t xml:space="preserve"> Ian Austen, “Lowe’s Pulls $1.8 Billion Bid for Rona,” </w:t>
      </w:r>
      <w:r w:rsidRPr="00243E69">
        <w:rPr>
          <w:i/>
          <w:lang w:val="en-CA"/>
        </w:rPr>
        <w:t>New York Times</w:t>
      </w:r>
      <w:r w:rsidRPr="00243E69">
        <w:rPr>
          <w:lang w:val="en-CA"/>
        </w:rPr>
        <w:t>, September 12, 2012, accessed April 17, 2018, https://dealbook.nytimes.com/2012/09/17/lowes-pulls-1-8-billion-bid-for-rona/</w:t>
      </w:r>
      <w:r>
        <w:rPr>
          <w:lang w:val="en-CA"/>
        </w:rPr>
        <w:t>.</w:t>
      </w:r>
    </w:p>
  </w:endnote>
  <w:endnote w:id="5">
    <w:p w14:paraId="6524A01D" w14:textId="27D4AD14" w:rsidR="001F4675" w:rsidRPr="00243E69" w:rsidRDefault="001F4675" w:rsidP="00264ED8">
      <w:pPr>
        <w:pStyle w:val="Footnote"/>
        <w:rPr>
          <w:lang w:val="en-CA"/>
        </w:rPr>
      </w:pPr>
      <w:r w:rsidRPr="00243E69">
        <w:rPr>
          <w:rStyle w:val="EndnoteReference"/>
          <w:lang w:val="en-CA"/>
        </w:rPr>
        <w:endnoteRef/>
      </w:r>
      <w:r w:rsidRPr="00243E69">
        <w:rPr>
          <w:lang w:val="en-CA"/>
        </w:rPr>
        <w:t xml:space="preserve"> Tamsin McMahon, “The Lowe Down on Rona,” </w:t>
      </w:r>
      <w:r w:rsidRPr="00DC72DD">
        <w:rPr>
          <w:i/>
          <w:lang w:val="en-CA"/>
        </w:rPr>
        <w:t>Maclean’s</w:t>
      </w:r>
      <w:r w:rsidRPr="00243E69">
        <w:rPr>
          <w:lang w:val="en-CA"/>
        </w:rPr>
        <w:t>, August 13, 2012, accessed April 17, 2018, www.macleans.ca/economy/business/the-lowe-down-on-rona/.</w:t>
      </w:r>
    </w:p>
  </w:endnote>
  <w:endnote w:id="6">
    <w:p w14:paraId="4F0935CD" w14:textId="77777777" w:rsidR="001023AF" w:rsidRPr="00243E69" w:rsidRDefault="001023AF" w:rsidP="001023AF">
      <w:pPr>
        <w:pStyle w:val="Footnote"/>
        <w:rPr>
          <w:lang w:val="en-CA"/>
        </w:rPr>
      </w:pPr>
      <w:r w:rsidRPr="00243E69">
        <w:rPr>
          <w:rStyle w:val="EndnoteReference"/>
          <w:lang w:val="en-CA"/>
        </w:rPr>
        <w:endnoteRef/>
      </w:r>
      <w:r w:rsidRPr="00243E69">
        <w:rPr>
          <w:lang w:val="en-CA"/>
        </w:rPr>
        <w:t xml:space="preserve"> Lowe’s Companies Inc., “Lowe’s Completes Acquisition of RONA,” News release, CISION PR Newswire, May 20, 2016, accessed April 17, 2018, https://www.prnewswire.com/news-releases/lowes-completes-acquisition-of-rona-300272322.html.</w:t>
      </w:r>
    </w:p>
  </w:endnote>
  <w:endnote w:id="7">
    <w:p w14:paraId="43B6E370" w14:textId="0A09E9D1" w:rsidR="001F4675" w:rsidRPr="00243E69" w:rsidRDefault="001F4675" w:rsidP="00264ED8">
      <w:pPr>
        <w:pStyle w:val="Footnote"/>
        <w:rPr>
          <w:lang w:val="en-CA"/>
        </w:rPr>
      </w:pPr>
      <w:r w:rsidRPr="00243E69">
        <w:rPr>
          <w:rStyle w:val="EndnoteReference"/>
          <w:lang w:val="en-CA"/>
        </w:rPr>
        <w:endnoteRef/>
      </w:r>
      <w:r w:rsidRPr="00243E69">
        <w:rPr>
          <w:lang w:val="en-CA"/>
        </w:rPr>
        <w:t xml:space="preserve"> Martin Croteau, “La vente de Rona à Lowe’s revient hanter le gouvernement Couillard</w:t>
      </w:r>
      <w:r w:rsidRPr="00243E69">
        <w:rPr>
          <w:i/>
          <w:lang w:val="en-CA"/>
        </w:rPr>
        <w:t xml:space="preserve"> </w:t>
      </w:r>
      <w:r w:rsidRPr="00243E69">
        <w:rPr>
          <w:lang w:val="en-CA"/>
        </w:rPr>
        <w:t>[</w:t>
      </w:r>
      <w:r w:rsidRPr="00DC72DD">
        <w:rPr>
          <w:lang w:val="en-CA"/>
        </w:rPr>
        <w:t xml:space="preserve">Sale of Rona to Lowe’s </w:t>
      </w:r>
      <w:r w:rsidR="00812233">
        <w:rPr>
          <w:lang w:val="en-CA"/>
        </w:rPr>
        <w:t>C</w:t>
      </w:r>
      <w:r w:rsidRPr="00F57330">
        <w:rPr>
          <w:lang w:val="en-CA"/>
        </w:rPr>
        <w:t xml:space="preserve">omes </w:t>
      </w:r>
      <w:r w:rsidR="00812233">
        <w:rPr>
          <w:lang w:val="en-CA"/>
        </w:rPr>
        <w:t>B</w:t>
      </w:r>
      <w:r w:rsidRPr="00F57330">
        <w:rPr>
          <w:lang w:val="en-CA"/>
        </w:rPr>
        <w:t xml:space="preserve">ack to </w:t>
      </w:r>
      <w:r w:rsidR="00812233">
        <w:rPr>
          <w:lang w:val="en-CA"/>
        </w:rPr>
        <w:t>H</w:t>
      </w:r>
      <w:r w:rsidRPr="00F57330">
        <w:rPr>
          <w:lang w:val="en-CA"/>
        </w:rPr>
        <w:t>aunt</w:t>
      </w:r>
      <w:r w:rsidRPr="00DC72DD">
        <w:rPr>
          <w:lang w:val="en-CA"/>
        </w:rPr>
        <w:t xml:space="preserve"> the Couillard </w:t>
      </w:r>
      <w:r w:rsidR="00812233">
        <w:rPr>
          <w:lang w:val="en-CA"/>
        </w:rPr>
        <w:t>G</w:t>
      </w:r>
      <w:r w:rsidRPr="00AE7F54">
        <w:rPr>
          <w:lang w:val="en-CA"/>
        </w:rPr>
        <w:t>over</w:t>
      </w:r>
      <w:r w:rsidRPr="00DC72DD">
        <w:rPr>
          <w:lang w:val="en-CA"/>
        </w:rPr>
        <w:t>nment</w:t>
      </w:r>
      <w:r w:rsidRPr="00243E69">
        <w:rPr>
          <w:lang w:val="en-CA"/>
        </w:rPr>
        <w:t>],</w:t>
      </w:r>
      <w:r w:rsidRPr="00DC72DD">
        <w:rPr>
          <w:lang w:val="en-CA"/>
        </w:rPr>
        <w:t>”</w:t>
      </w:r>
      <w:r w:rsidRPr="00243E69">
        <w:rPr>
          <w:lang w:val="en-CA"/>
        </w:rPr>
        <w:t xml:space="preserve"> </w:t>
      </w:r>
      <w:r w:rsidRPr="00DC72DD">
        <w:rPr>
          <w:i/>
          <w:lang w:val="en-CA"/>
        </w:rPr>
        <w:t>La Presse</w:t>
      </w:r>
      <w:r w:rsidRPr="00243E69">
        <w:rPr>
          <w:lang w:val="en-CA"/>
        </w:rPr>
        <w:t>, April 14, 2017, accessed April 14, 2017, www.lapresse.ca/affaires/economie/commerce-de-detail/201704/14/01-5088525-la-vente-de-rona-a-lowes-revient-hanter-le-gouvernement-couillard.php.</w:t>
      </w:r>
    </w:p>
  </w:endnote>
  <w:endnote w:id="8">
    <w:p w14:paraId="5A402969" w14:textId="45CCFFC0" w:rsidR="001F4675" w:rsidRPr="00243E69" w:rsidRDefault="001F4675" w:rsidP="00264ED8">
      <w:pPr>
        <w:pStyle w:val="Footnote"/>
        <w:rPr>
          <w:lang w:val="en-CA"/>
        </w:rPr>
      </w:pPr>
      <w:r w:rsidRPr="00243E69">
        <w:rPr>
          <w:rStyle w:val="EndnoteReference"/>
          <w:lang w:val="en-CA"/>
        </w:rPr>
        <w:endnoteRef/>
      </w:r>
      <w:r w:rsidRPr="00243E69">
        <w:rPr>
          <w:lang w:val="en-CA"/>
        </w:rPr>
        <w:t xml:space="preserve"> Ibid. </w:t>
      </w:r>
    </w:p>
  </w:endnote>
  <w:endnote w:id="9">
    <w:p w14:paraId="6A81864C" w14:textId="7D2297CD" w:rsidR="001F4675" w:rsidRPr="00243E69" w:rsidRDefault="001F4675" w:rsidP="00264ED8">
      <w:pPr>
        <w:pStyle w:val="Footnote"/>
        <w:rPr>
          <w:lang w:val="en-CA"/>
        </w:rPr>
      </w:pPr>
      <w:r w:rsidRPr="00243E69">
        <w:rPr>
          <w:rStyle w:val="EndnoteReference"/>
          <w:lang w:val="en-CA"/>
        </w:rPr>
        <w:endnoteRef/>
      </w:r>
      <w:r w:rsidRPr="00243E69">
        <w:rPr>
          <w:lang w:val="en-CA"/>
        </w:rPr>
        <w:t xml:space="preserve"> Ibid.</w:t>
      </w:r>
    </w:p>
  </w:endnote>
  <w:endnote w:id="10">
    <w:p w14:paraId="0609F3B2" w14:textId="6AE9E2CC" w:rsidR="001F4675" w:rsidRPr="00243E69" w:rsidRDefault="001F4675" w:rsidP="00264ED8">
      <w:pPr>
        <w:pStyle w:val="Footnote"/>
        <w:rPr>
          <w:lang w:val="en-CA"/>
        </w:rPr>
      </w:pPr>
      <w:r w:rsidRPr="00243E69">
        <w:rPr>
          <w:rStyle w:val="EndnoteReference"/>
          <w:lang w:val="en-CA"/>
        </w:rPr>
        <w:endnoteRef/>
      </w:r>
      <w:r w:rsidRPr="00243E69">
        <w:rPr>
          <w:lang w:val="en-CA"/>
        </w:rPr>
        <w:t xml:space="preserve"> Canadian Press, “I Was Against RONA Sale, Former Quebec Economy Minister Wrote Before His Death,” </w:t>
      </w:r>
      <w:r w:rsidRPr="00DC72DD">
        <w:rPr>
          <w:i/>
          <w:lang w:val="en-CA"/>
        </w:rPr>
        <w:t>Montreal Gazette</w:t>
      </w:r>
      <w:r w:rsidRPr="00243E69">
        <w:rPr>
          <w:lang w:val="en-CA"/>
        </w:rPr>
        <w:t>, April 11, 2018, accessed April 17, 2018, http://montrealgazette.com/news/local-news/i-was-against-rona-sale-former-quebec-economy-minister-wrote-before-his-death.</w:t>
      </w:r>
    </w:p>
  </w:endnote>
  <w:endnote w:id="11">
    <w:p w14:paraId="46D69E39" w14:textId="05103C44" w:rsidR="001F4675" w:rsidRPr="000244E6" w:rsidRDefault="001F4675" w:rsidP="00264ED8">
      <w:pPr>
        <w:pStyle w:val="Footnote"/>
        <w:rPr>
          <w:lang w:val="en-CA"/>
        </w:rPr>
      </w:pPr>
      <w:r w:rsidRPr="00F57330">
        <w:rPr>
          <w:rStyle w:val="EndnoteReference"/>
          <w:lang w:val="en-CA"/>
        </w:rPr>
        <w:endnoteRef/>
      </w:r>
      <w:r w:rsidRPr="00F57330">
        <w:rPr>
          <w:lang w:val="en-CA"/>
        </w:rPr>
        <w:t xml:space="preserve"> </w:t>
      </w:r>
      <w:r w:rsidRPr="00AE7F54">
        <w:rPr>
          <w:lang w:val="en-CA"/>
        </w:rPr>
        <w:t xml:space="preserve">All </w:t>
      </w:r>
      <w:r w:rsidRPr="000244E6">
        <w:rPr>
          <w:lang w:val="en-CA"/>
        </w:rPr>
        <w:t>currency amounts are in Canadian dollars (CAD) unless otherwise stated.</w:t>
      </w:r>
    </w:p>
  </w:endnote>
  <w:endnote w:id="12">
    <w:p w14:paraId="3280D124" w14:textId="69F665DA" w:rsidR="001F4675" w:rsidRPr="000244E6" w:rsidRDefault="001F4675" w:rsidP="00264ED8">
      <w:pPr>
        <w:pStyle w:val="Footnote"/>
        <w:rPr>
          <w:lang w:val="fr-CA"/>
        </w:rPr>
      </w:pPr>
      <w:r w:rsidRPr="000244E6">
        <w:rPr>
          <w:rStyle w:val="EndnoteReference"/>
          <w:lang w:val="en-CA"/>
        </w:rPr>
        <w:endnoteRef/>
      </w:r>
      <w:r w:rsidRPr="000244E6">
        <w:rPr>
          <w:lang w:val="fr-CA"/>
        </w:rPr>
        <w:t xml:space="preserve"> Robert Dutton, </w:t>
      </w:r>
      <w:r w:rsidRPr="000244E6">
        <w:rPr>
          <w:i/>
          <w:lang w:val="fr-CA"/>
        </w:rPr>
        <w:t>RONA: d’hier à aujourd’hui</w:t>
      </w:r>
      <w:r w:rsidRPr="000244E6">
        <w:rPr>
          <w:lang w:val="fr-CA"/>
        </w:rPr>
        <w:t>, [</w:t>
      </w:r>
      <w:r w:rsidRPr="000244E6">
        <w:rPr>
          <w:i/>
          <w:lang w:val="fr-CA"/>
        </w:rPr>
        <w:t xml:space="preserve">RONA: </w:t>
      </w:r>
      <w:r w:rsidR="00812233">
        <w:rPr>
          <w:i/>
          <w:lang w:val="fr-CA"/>
        </w:rPr>
        <w:t>F</w:t>
      </w:r>
      <w:r w:rsidRPr="000244E6">
        <w:rPr>
          <w:i/>
          <w:lang w:val="fr-CA"/>
        </w:rPr>
        <w:t xml:space="preserve">rom 1939 to </w:t>
      </w:r>
      <w:r w:rsidR="00812233">
        <w:rPr>
          <w:i/>
          <w:lang w:val="fr-CA"/>
        </w:rPr>
        <w:t>T</w:t>
      </w:r>
      <w:r w:rsidRPr="000244E6">
        <w:rPr>
          <w:i/>
          <w:lang w:val="fr-CA"/>
        </w:rPr>
        <w:t>oday</w:t>
      </w:r>
      <w:r w:rsidRPr="000244E6">
        <w:rPr>
          <w:lang w:val="fr-CA"/>
        </w:rPr>
        <w:t>] (Boucherville, QC: RONA, 2010).</w:t>
      </w:r>
    </w:p>
  </w:endnote>
  <w:endnote w:id="13">
    <w:p w14:paraId="5525572C" w14:textId="37671313" w:rsidR="001F4675" w:rsidRPr="000244E6" w:rsidRDefault="001F4675" w:rsidP="00DC72DD">
      <w:pPr>
        <w:pStyle w:val="Footnote"/>
        <w:rPr>
          <w:lang w:val="fr-CA"/>
        </w:rPr>
      </w:pPr>
      <w:r w:rsidRPr="000244E6">
        <w:rPr>
          <w:rStyle w:val="EndnoteReference"/>
          <w:lang w:val="en-CA"/>
        </w:rPr>
        <w:endnoteRef/>
      </w:r>
      <w:r w:rsidRPr="000244E6">
        <w:rPr>
          <w:lang w:val="fr-CA"/>
        </w:rPr>
        <w:t xml:space="preserve"> Ibid. </w:t>
      </w:r>
    </w:p>
  </w:endnote>
  <w:endnote w:id="14">
    <w:p w14:paraId="148E222E" w14:textId="1900CE0A" w:rsidR="001F4675" w:rsidRPr="000244E6" w:rsidRDefault="001F4675" w:rsidP="00264ED8">
      <w:pPr>
        <w:pStyle w:val="EndnoteText"/>
        <w:rPr>
          <w:rFonts w:ascii="Arial" w:hAnsi="Arial" w:cs="Arial"/>
          <w:sz w:val="17"/>
          <w:szCs w:val="17"/>
          <w:lang w:val="fr-CA"/>
        </w:rPr>
      </w:pPr>
      <w:r w:rsidRPr="000244E6">
        <w:rPr>
          <w:rStyle w:val="EndnoteReference"/>
          <w:rFonts w:ascii="Arial" w:hAnsi="Arial" w:cs="Arial"/>
          <w:sz w:val="17"/>
          <w:szCs w:val="17"/>
          <w:lang w:val="en-CA"/>
        </w:rPr>
        <w:endnoteRef/>
      </w:r>
      <w:r w:rsidRPr="000244E6">
        <w:rPr>
          <w:rFonts w:ascii="Arial" w:hAnsi="Arial" w:cs="Arial"/>
          <w:sz w:val="17"/>
          <w:szCs w:val="17"/>
          <w:lang w:val="fr-CA"/>
        </w:rPr>
        <w:t xml:space="preserve"> Ibid. </w:t>
      </w:r>
    </w:p>
  </w:endnote>
  <w:endnote w:id="15">
    <w:p w14:paraId="16049CD4" w14:textId="01D256CE" w:rsidR="004B49F0" w:rsidRPr="004B49F0" w:rsidRDefault="004B49F0">
      <w:pPr>
        <w:pStyle w:val="EndnoteText"/>
        <w:rPr>
          <w:lang w:val="en-US"/>
        </w:rPr>
      </w:pPr>
      <w:r>
        <w:rPr>
          <w:rStyle w:val="EndnoteReference"/>
        </w:rPr>
        <w:endnoteRef/>
      </w:r>
      <w:r>
        <w:t xml:space="preserve"> </w:t>
      </w:r>
      <w:r w:rsidRPr="004B49F0">
        <w:rPr>
          <w:rFonts w:ascii="Arial" w:hAnsi="Arial" w:cs="Arial"/>
          <w:sz w:val="17"/>
          <w:szCs w:val="17"/>
          <w:lang w:val="en-US"/>
        </w:rPr>
        <w:t>Ibid</w:t>
      </w:r>
      <w:r>
        <w:rPr>
          <w:lang w:val="en-US"/>
        </w:rPr>
        <w:t xml:space="preserve">. </w:t>
      </w:r>
    </w:p>
  </w:endnote>
  <w:endnote w:id="16">
    <w:p w14:paraId="4DA54861" w14:textId="11117EE4" w:rsidR="001F4675" w:rsidRPr="000244E6" w:rsidRDefault="001F4675" w:rsidP="00C64A79">
      <w:pPr>
        <w:pStyle w:val="Footnote"/>
        <w:jc w:val="left"/>
      </w:pPr>
      <w:r w:rsidRPr="000244E6">
        <w:rPr>
          <w:rStyle w:val="EndnoteReference"/>
          <w:lang w:val="en-CA"/>
        </w:rPr>
        <w:endnoteRef/>
      </w:r>
      <w:r w:rsidRPr="000244E6">
        <w:rPr>
          <w:lang w:val="en-CA"/>
        </w:rPr>
        <w:t xml:space="preserve">  </w:t>
      </w:r>
      <w:r w:rsidRPr="000244E6">
        <w:rPr>
          <w:color w:val="000000" w:themeColor="text1"/>
          <w:lang w:val="en-CA"/>
        </w:rPr>
        <w:t xml:space="preserve">RONA Inc., “Annual Information Form,” accessed July 5, 2018, </w:t>
      </w:r>
      <w:hyperlink r:id="rId1" w:history="1">
        <w:r w:rsidR="00812233" w:rsidRPr="00847EEA">
          <w:t>https://www.rona.ca/ucmServlet/GetFileServlet?dDocName=B2CPRDSTG_032135</w:t>
        </w:r>
      </w:hyperlink>
      <w:r w:rsidRPr="000244E6">
        <w:rPr>
          <w:color w:val="000000" w:themeColor="text1"/>
        </w:rPr>
        <w:t>.</w:t>
      </w:r>
    </w:p>
  </w:endnote>
  <w:endnote w:id="17">
    <w:p w14:paraId="58D69D82" w14:textId="27FC0445" w:rsidR="001F4675" w:rsidRPr="000244E6" w:rsidRDefault="001F4675" w:rsidP="00264ED8">
      <w:pPr>
        <w:pStyle w:val="Footnote"/>
        <w:rPr>
          <w:lang w:val="en-CA"/>
        </w:rPr>
      </w:pPr>
      <w:r w:rsidRPr="000244E6">
        <w:rPr>
          <w:rStyle w:val="EndnoteReference"/>
          <w:lang w:val="en-CA"/>
        </w:rPr>
        <w:endnoteRef/>
      </w:r>
      <w:r w:rsidRPr="000244E6">
        <w:rPr>
          <w:lang w:val="en-CA"/>
        </w:rPr>
        <w:t xml:space="preserve"> Stores offering all these products were known as “home improvement centres.” Stores with limited assortments were still referred to as “hardware stores.”</w:t>
      </w:r>
    </w:p>
  </w:endnote>
  <w:endnote w:id="18">
    <w:p w14:paraId="1A8B44AF" w14:textId="69B1C6BC" w:rsidR="001F4675" w:rsidRPr="000244E6" w:rsidRDefault="001F4675" w:rsidP="00264ED8">
      <w:pPr>
        <w:pStyle w:val="Footnote"/>
        <w:rPr>
          <w:lang w:val="en-CA"/>
        </w:rPr>
      </w:pPr>
      <w:r w:rsidRPr="000244E6">
        <w:rPr>
          <w:rStyle w:val="EndnoteReference"/>
          <w:lang w:val="en-CA"/>
        </w:rPr>
        <w:endnoteRef/>
      </w:r>
      <w:r w:rsidRPr="000244E6">
        <w:rPr>
          <w:lang w:val="en-CA"/>
        </w:rPr>
        <w:t xml:space="preserve"> </w:t>
      </w:r>
      <w:r w:rsidRPr="000244E6">
        <w:rPr>
          <w:bCs/>
          <w:lang w:val="en-CA"/>
        </w:rPr>
        <w:t xml:space="preserve">Y. Ostaficzuk, “Les enjeux du commerce de détail: le cas RONA [The </w:t>
      </w:r>
      <w:r w:rsidR="00812233">
        <w:rPr>
          <w:bCs/>
          <w:lang w:val="en-CA"/>
        </w:rPr>
        <w:t>S</w:t>
      </w:r>
      <w:r w:rsidRPr="000244E6">
        <w:rPr>
          <w:bCs/>
          <w:lang w:val="en-CA"/>
        </w:rPr>
        <w:t xml:space="preserve">takes of the </w:t>
      </w:r>
      <w:r w:rsidR="00812233">
        <w:rPr>
          <w:bCs/>
          <w:lang w:val="en-CA"/>
        </w:rPr>
        <w:t>R</w:t>
      </w:r>
      <w:r w:rsidRPr="000244E6">
        <w:rPr>
          <w:bCs/>
          <w:lang w:val="en-CA"/>
        </w:rPr>
        <w:t xml:space="preserve">etail </w:t>
      </w:r>
      <w:r w:rsidR="00812233">
        <w:rPr>
          <w:bCs/>
          <w:lang w:val="en-CA"/>
        </w:rPr>
        <w:t>T</w:t>
      </w:r>
      <w:r w:rsidRPr="000244E6">
        <w:rPr>
          <w:bCs/>
          <w:lang w:val="en-CA"/>
        </w:rPr>
        <w:t xml:space="preserve">rade: </w:t>
      </w:r>
      <w:r w:rsidR="00812233">
        <w:rPr>
          <w:bCs/>
          <w:lang w:val="en-CA"/>
        </w:rPr>
        <w:t>T</w:t>
      </w:r>
      <w:r w:rsidRPr="000244E6">
        <w:rPr>
          <w:bCs/>
          <w:lang w:val="en-CA"/>
        </w:rPr>
        <w:t xml:space="preserve">he RONA </w:t>
      </w:r>
      <w:r w:rsidR="00812233">
        <w:rPr>
          <w:bCs/>
          <w:lang w:val="en-CA"/>
        </w:rPr>
        <w:t>C</w:t>
      </w:r>
      <w:r w:rsidRPr="000244E6">
        <w:rPr>
          <w:bCs/>
          <w:lang w:val="en-CA"/>
        </w:rPr>
        <w:t>ase],” (Montréal</w:t>
      </w:r>
      <w:r w:rsidR="00812233">
        <w:rPr>
          <w:bCs/>
          <w:lang w:val="en-CA"/>
        </w:rPr>
        <w:t>, QC</w:t>
      </w:r>
      <w:r w:rsidRPr="000244E6">
        <w:rPr>
          <w:bCs/>
          <w:lang w:val="en-CA"/>
        </w:rPr>
        <w:t>: HEC Montreal, August 8, 2013).</w:t>
      </w:r>
    </w:p>
  </w:endnote>
  <w:endnote w:id="19">
    <w:p w14:paraId="6BD6A4DE" w14:textId="51B00DFD"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Stephanie Strom, “COMPANY NEWS; Home Depot Buys Chain in Canada,” </w:t>
      </w:r>
      <w:r w:rsidRPr="000244E6">
        <w:rPr>
          <w:i/>
          <w:lang w:val="en-CA"/>
        </w:rPr>
        <w:t>New York Times</w:t>
      </w:r>
      <w:r w:rsidRPr="000244E6">
        <w:rPr>
          <w:lang w:val="en-CA"/>
        </w:rPr>
        <w:t>, February 9, 1994, accessed April 17, 2017, https://www.nytimes.com/1994/02/09/business/company-news-home-depot-buys-chain-in-canada.html.</w:t>
      </w:r>
    </w:p>
  </w:endnote>
  <w:endnote w:id="20">
    <w:p w14:paraId="7FFCA49A" w14:textId="5A191A62"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Joaquim P. Menezes, “Home Depot Canada’s ‘Customer-Centric’ Tech Transformation,” IT World Canada, June 13, 2007, accessed May 31, 2018, https://www.itworldcanada.com/article/home-depot-canadas-customer-centric-tech-transformation/8549.</w:t>
      </w:r>
    </w:p>
  </w:endnote>
  <w:endnote w:id="21">
    <w:p w14:paraId="188B6B0D" w14:textId="394FEDB6"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Avi Dan, “How Lowe’s Plans to Revolutionalize Its Customer Experience,” </w:t>
      </w:r>
      <w:r w:rsidRPr="000244E6">
        <w:rPr>
          <w:i/>
          <w:lang w:val="en-CA"/>
        </w:rPr>
        <w:t>Leadership</w:t>
      </w:r>
      <w:r w:rsidRPr="000244E6">
        <w:rPr>
          <w:lang w:val="en-CA"/>
        </w:rPr>
        <w:t xml:space="preserve"> (blog), </w:t>
      </w:r>
      <w:r w:rsidRPr="000244E6">
        <w:rPr>
          <w:i/>
          <w:lang w:val="en-CA"/>
        </w:rPr>
        <w:t>Forbes</w:t>
      </w:r>
      <w:r w:rsidRPr="000244E6">
        <w:rPr>
          <w:lang w:val="en-CA"/>
        </w:rPr>
        <w:t>, September 26, 2011, accessed May 31, 2018, https://www.forbes.com/sites/avidan/2011/09/26/how-lowes-plans-to-revolutionize-its-customer-experience/#76cfddff5ec8.</w:t>
      </w:r>
    </w:p>
  </w:endnote>
  <w:endnote w:id="22">
    <w:p w14:paraId="4AE79527" w14:textId="618B68B9"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Dutton, op. cit.</w:t>
      </w:r>
    </w:p>
  </w:endnote>
  <w:endnote w:id="23">
    <w:p w14:paraId="5D94A136" w14:textId="3A4ACEE7" w:rsidR="001F4675" w:rsidRPr="00243E69" w:rsidRDefault="001F4675" w:rsidP="005841B9">
      <w:pPr>
        <w:pStyle w:val="Footnote"/>
        <w:rPr>
          <w:lang w:val="en-CA"/>
        </w:rPr>
      </w:pPr>
      <w:r w:rsidRPr="000244E6">
        <w:rPr>
          <w:rStyle w:val="EndnoteReference"/>
          <w:lang w:val="en-CA"/>
        </w:rPr>
        <w:endnoteRef/>
      </w:r>
      <w:r w:rsidRPr="000244E6">
        <w:rPr>
          <w:lang w:val="en-CA"/>
        </w:rPr>
        <w:t xml:space="preserve"> BMR, “Our History</w:t>
      </w:r>
      <w:r w:rsidRPr="00243E69">
        <w:rPr>
          <w:lang w:val="en-CA"/>
        </w:rPr>
        <w:t>: 50 Years of Building Our Communities Together!,” BMR, accessed May 31, 2018, https://www.bmr.co/en/our-history.</w:t>
      </w:r>
    </w:p>
  </w:endnote>
  <w:endnote w:id="24">
    <w:p w14:paraId="5722EE08" w14:textId="77777777" w:rsidR="00BF7F14" w:rsidRPr="00243E69" w:rsidRDefault="00BF7F14" w:rsidP="00BF7F14">
      <w:pPr>
        <w:pStyle w:val="Footnote"/>
        <w:rPr>
          <w:lang w:val="en-CA"/>
        </w:rPr>
      </w:pPr>
      <w:r w:rsidRPr="00243E69">
        <w:rPr>
          <w:rStyle w:val="EndnoteReference"/>
          <w:lang w:val="en-CA"/>
        </w:rPr>
        <w:endnoteRef/>
      </w:r>
      <w:r w:rsidRPr="00243E69">
        <w:rPr>
          <w:lang w:val="en-CA"/>
        </w:rPr>
        <w:t xml:space="preserve"> Lumber and Building Materials Association of Ontario, “TIM-BR MARTS Ltd Acquires CanWel Hardware,” LMBAO eNews, accessed December 19, 2017, www.naylornetwork.com/lbm-nwl/articles/index-v4.asp?aid=132715&amp;issueID=24007.</w:t>
      </w:r>
    </w:p>
  </w:endnote>
  <w:endnote w:id="25">
    <w:p w14:paraId="4D3BC03F" w14:textId="0272FB58" w:rsidR="001F4675" w:rsidRPr="00243E69" w:rsidRDefault="001F4675" w:rsidP="005841B9">
      <w:pPr>
        <w:pStyle w:val="Footnote"/>
        <w:rPr>
          <w:lang w:val="en-CA"/>
        </w:rPr>
      </w:pPr>
      <w:r w:rsidRPr="00243E69">
        <w:rPr>
          <w:rStyle w:val="EndnoteReference"/>
          <w:lang w:val="en-CA"/>
        </w:rPr>
        <w:endnoteRef/>
      </w:r>
      <w:r w:rsidRPr="00243E69">
        <w:rPr>
          <w:lang w:val="en-CA"/>
        </w:rPr>
        <w:t xml:space="preserve"> Claude Turcotte, “Unimat – Une nouvelle enseigne, reflet d’une nouvelle realité’</w:t>
      </w:r>
      <w:r w:rsidRPr="00243E69">
        <w:rPr>
          <w:i/>
          <w:lang w:val="en-CA"/>
        </w:rPr>
        <w:t xml:space="preserve"> </w:t>
      </w:r>
      <w:r w:rsidRPr="00DC72DD">
        <w:rPr>
          <w:lang w:val="en-CA"/>
        </w:rPr>
        <w:t xml:space="preserve">[Unimat – A </w:t>
      </w:r>
      <w:r w:rsidR="00812233">
        <w:rPr>
          <w:lang w:val="en-CA"/>
        </w:rPr>
        <w:t>N</w:t>
      </w:r>
      <w:r w:rsidRPr="00F57330">
        <w:rPr>
          <w:lang w:val="en-CA"/>
        </w:rPr>
        <w:t xml:space="preserve">ew </w:t>
      </w:r>
      <w:r w:rsidR="00812233">
        <w:rPr>
          <w:lang w:val="en-CA"/>
        </w:rPr>
        <w:t>B</w:t>
      </w:r>
      <w:r w:rsidRPr="00F57330">
        <w:rPr>
          <w:lang w:val="en-CA"/>
        </w:rPr>
        <w:t>anner</w:t>
      </w:r>
      <w:r w:rsidRPr="00E612A6">
        <w:rPr>
          <w:lang w:val="en-CA"/>
        </w:rPr>
        <w:t xml:space="preserve">, a </w:t>
      </w:r>
      <w:r w:rsidR="00812233">
        <w:rPr>
          <w:lang w:val="en-CA"/>
        </w:rPr>
        <w:t>R</w:t>
      </w:r>
      <w:r w:rsidRPr="00E612A6">
        <w:rPr>
          <w:lang w:val="en-CA"/>
        </w:rPr>
        <w:t xml:space="preserve">eflection of a </w:t>
      </w:r>
      <w:r w:rsidR="00812233">
        <w:rPr>
          <w:lang w:val="en-CA"/>
        </w:rPr>
        <w:t>N</w:t>
      </w:r>
      <w:r w:rsidRPr="00E612A6">
        <w:rPr>
          <w:lang w:val="en-CA"/>
        </w:rPr>
        <w:t xml:space="preserve">ew </w:t>
      </w:r>
      <w:r w:rsidR="00812233">
        <w:rPr>
          <w:lang w:val="en-CA"/>
        </w:rPr>
        <w:t>R</w:t>
      </w:r>
      <w:r w:rsidRPr="00E612A6">
        <w:rPr>
          <w:lang w:val="en-CA"/>
        </w:rPr>
        <w:t>eality</w:t>
      </w:r>
      <w:r w:rsidRPr="00243E69">
        <w:rPr>
          <w:lang w:val="en-CA"/>
        </w:rPr>
        <w:t>],</w:t>
      </w:r>
      <w:r w:rsidRPr="00DC72DD">
        <w:rPr>
          <w:lang w:val="en-CA"/>
        </w:rPr>
        <w:t>”</w:t>
      </w:r>
      <w:r w:rsidRPr="00243E69">
        <w:rPr>
          <w:lang w:val="en-CA"/>
        </w:rPr>
        <w:t xml:space="preserve"> </w:t>
      </w:r>
      <w:r w:rsidRPr="00DC72DD">
        <w:rPr>
          <w:i/>
          <w:lang w:val="en-CA"/>
        </w:rPr>
        <w:t>Le Devoir</w:t>
      </w:r>
      <w:r w:rsidRPr="00243E69">
        <w:rPr>
          <w:lang w:val="en-CA"/>
        </w:rPr>
        <w:t>, January 16, 2012, accessed May 31, 2018, https://www.ledevoir.com/economie/340299/unimat-une-nouvelle-enseigne-reflet-d-une-nouvelle-realite.</w:t>
      </w:r>
    </w:p>
  </w:endnote>
  <w:endnote w:id="26">
    <w:p w14:paraId="57F9B194" w14:textId="102110CD" w:rsidR="001F4675" w:rsidRPr="00243E69" w:rsidRDefault="001F4675" w:rsidP="00264ED8">
      <w:pPr>
        <w:pStyle w:val="Footnote"/>
        <w:rPr>
          <w:lang w:val="en-CA"/>
        </w:rPr>
      </w:pPr>
      <w:r w:rsidRPr="00243E69">
        <w:rPr>
          <w:rStyle w:val="EndnoteReference"/>
          <w:lang w:val="en-CA"/>
        </w:rPr>
        <w:endnoteRef/>
      </w:r>
      <w:r w:rsidRPr="00243E69">
        <w:rPr>
          <w:lang w:val="en-CA"/>
        </w:rPr>
        <w:t xml:space="preserve"> Gilbert Leduc, “Canac lorgne Montréal [Canac </w:t>
      </w:r>
      <w:r w:rsidR="00812233">
        <w:rPr>
          <w:lang w:val="en-CA"/>
        </w:rPr>
        <w:t>E</w:t>
      </w:r>
      <w:r w:rsidRPr="00243E69">
        <w:rPr>
          <w:lang w:val="en-CA"/>
        </w:rPr>
        <w:t xml:space="preserve">yeing Montreal],” </w:t>
      </w:r>
      <w:r w:rsidRPr="00243E69">
        <w:rPr>
          <w:i/>
          <w:lang w:val="en-CA"/>
        </w:rPr>
        <w:t>Le Soleil</w:t>
      </w:r>
      <w:r w:rsidRPr="00243E69">
        <w:rPr>
          <w:lang w:val="en-CA"/>
        </w:rPr>
        <w:t>, May 2, 2012, accessed May 31, 2018, https://www.lesoleil.com/affaires/canac-lorgne-montreal-aa2cf3a758eb3fbbe5f54dcb4d3b422c.</w:t>
      </w:r>
    </w:p>
  </w:endnote>
  <w:endnote w:id="27">
    <w:p w14:paraId="37B03538" w14:textId="7D9EB628" w:rsidR="001F4675" w:rsidRPr="00243E69" w:rsidRDefault="001F4675" w:rsidP="005841B9">
      <w:pPr>
        <w:pStyle w:val="Footnote"/>
        <w:rPr>
          <w:lang w:val="en-CA"/>
        </w:rPr>
      </w:pPr>
      <w:r w:rsidRPr="00243E69">
        <w:rPr>
          <w:rStyle w:val="EndnoteReference"/>
          <w:lang w:val="en-CA"/>
        </w:rPr>
        <w:endnoteRef/>
      </w:r>
      <w:r w:rsidRPr="00243E69">
        <w:rPr>
          <w:lang w:val="en-CA"/>
        </w:rPr>
        <w:t xml:space="preserve"> Richard Dufour, “Quincailleries: Patrick Morin voit poindre des occasions, [</w:t>
      </w:r>
      <w:r w:rsidRPr="00DC72DD">
        <w:rPr>
          <w:lang w:val="en-CA"/>
        </w:rPr>
        <w:t xml:space="preserve">Hardware </w:t>
      </w:r>
      <w:r w:rsidR="00812233">
        <w:rPr>
          <w:lang w:val="en-CA"/>
        </w:rPr>
        <w:t>S</w:t>
      </w:r>
      <w:r w:rsidRPr="00B858B9">
        <w:rPr>
          <w:lang w:val="en-CA"/>
        </w:rPr>
        <w:t xml:space="preserve">tores: Patrick Morin </w:t>
      </w:r>
      <w:r w:rsidR="00812233">
        <w:rPr>
          <w:lang w:val="en-CA"/>
        </w:rPr>
        <w:t>S</w:t>
      </w:r>
      <w:r w:rsidRPr="00B858B9">
        <w:rPr>
          <w:lang w:val="en-CA"/>
        </w:rPr>
        <w:t xml:space="preserve">ees </w:t>
      </w:r>
      <w:r w:rsidR="00812233">
        <w:rPr>
          <w:lang w:val="en-CA"/>
        </w:rPr>
        <w:t>O</w:t>
      </w:r>
      <w:r w:rsidRPr="00B858B9">
        <w:rPr>
          <w:lang w:val="en-CA"/>
        </w:rPr>
        <w:t>pportunities</w:t>
      </w:r>
      <w:r w:rsidRPr="00243E69">
        <w:rPr>
          <w:lang w:val="en-CA"/>
        </w:rPr>
        <w:t>],</w:t>
      </w:r>
      <w:r w:rsidRPr="00DC72DD">
        <w:rPr>
          <w:lang w:val="en-CA"/>
        </w:rPr>
        <w:t>”</w:t>
      </w:r>
      <w:r w:rsidRPr="00243E69">
        <w:rPr>
          <w:lang w:val="en-CA"/>
        </w:rPr>
        <w:t xml:space="preserve"> </w:t>
      </w:r>
      <w:r w:rsidRPr="00DC72DD">
        <w:rPr>
          <w:i/>
          <w:lang w:val="en-CA"/>
        </w:rPr>
        <w:t>La Presse</w:t>
      </w:r>
      <w:r w:rsidRPr="00243E69">
        <w:rPr>
          <w:lang w:val="en-CA"/>
        </w:rPr>
        <w:t xml:space="preserve">, September 18, 2013, accessed May 31, 2018, www.lapresse.ca/affaires/pme/201309/18/01-4690472-quincailleries-patrick-morin-voit-poindre-des-occasions.php. </w:t>
      </w:r>
    </w:p>
  </w:endnote>
  <w:endnote w:id="28">
    <w:p w14:paraId="211E6311" w14:textId="2F28D86C" w:rsidR="001F4675" w:rsidRPr="00243E69" w:rsidRDefault="001F4675" w:rsidP="005841B9">
      <w:pPr>
        <w:pStyle w:val="Footnote"/>
        <w:rPr>
          <w:lang w:val="en-CA"/>
        </w:rPr>
      </w:pPr>
      <w:r w:rsidRPr="00243E69">
        <w:rPr>
          <w:rStyle w:val="EndnoteReference"/>
          <w:lang w:val="en-CA"/>
        </w:rPr>
        <w:endnoteRef/>
      </w:r>
      <w:r w:rsidRPr="00243E69">
        <w:rPr>
          <w:lang w:val="en-CA"/>
        </w:rPr>
        <w:t xml:space="preserve"> Canadian Tire, </w:t>
      </w:r>
      <w:r w:rsidRPr="00DC72DD">
        <w:rPr>
          <w:i/>
          <w:lang w:val="en-CA"/>
        </w:rPr>
        <w:t>Annual Report 2012</w:t>
      </w:r>
      <w:r w:rsidRPr="00243E69">
        <w:rPr>
          <w:lang w:val="en-CA"/>
        </w:rPr>
        <w:t xml:space="preserve">, 2013, accessed January 22, 2017, https://s22.q4cdn/405442328/files/doc_financials/en/2012/annual/CTC_AR_2012.pdf. </w:t>
      </w:r>
    </w:p>
  </w:endnote>
  <w:endnote w:id="29">
    <w:p w14:paraId="61667DB1" w14:textId="04463C18" w:rsidR="001F4675" w:rsidRPr="00243E69" w:rsidRDefault="001F4675" w:rsidP="005841B9">
      <w:pPr>
        <w:pStyle w:val="Footnote"/>
        <w:rPr>
          <w:i/>
          <w:color w:val="000000" w:themeColor="text1"/>
          <w:lang w:val="en-CA"/>
        </w:rPr>
      </w:pPr>
      <w:r w:rsidRPr="00243E69">
        <w:rPr>
          <w:rStyle w:val="EndnoteReference"/>
          <w:lang w:val="en-CA"/>
        </w:rPr>
        <w:endnoteRef/>
      </w:r>
      <w:r w:rsidRPr="00243E69">
        <w:rPr>
          <w:lang w:val="en-CA"/>
        </w:rPr>
        <w:t xml:space="preserve"> </w:t>
      </w:r>
      <w:r w:rsidRPr="00243E69">
        <w:rPr>
          <w:color w:val="000000" w:themeColor="text1"/>
          <w:lang w:val="en-CA"/>
        </w:rPr>
        <w:t xml:space="preserve">Steve Maxwell, “Tool Libraries an Up-and-Coming Movement,” </w:t>
      </w:r>
      <w:r w:rsidRPr="00DC72DD">
        <w:rPr>
          <w:i/>
          <w:color w:val="000000" w:themeColor="text1"/>
          <w:lang w:val="en-CA"/>
        </w:rPr>
        <w:t>Chronicle Herald</w:t>
      </w:r>
      <w:r w:rsidRPr="00243E69">
        <w:rPr>
          <w:color w:val="000000" w:themeColor="text1"/>
          <w:lang w:val="en-CA"/>
        </w:rPr>
        <w:t>, January 10, 2015, accessed March 22, 2018, http://thechronicleherald.ca/homesnews/1261913-tool-libraries-an-up-and-coming-social-movement.</w:t>
      </w:r>
    </w:p>
  </w:endnote>
  <w:endnote w:id="30">
    <w:p w14:paraId="2A2771C3" w14:textId="24354FDC" w:rsidR="001F4675" w:rsidRPr="000244E6" w:rsidRDefault="001F4675" w:rsidP="005841B9">
      <w:pPr>
        <w:pStyle w:val="Footnote"/>
        <w:rPr>
          <w:lang w:val="en-CA"/>
        </w:rPr>
      </w:pPr>
      <w:r w:rsidRPr="00243E69">
        <w:rPr>
          <w:rStyle w:val="EndnoteReference"/>
          <w:lang w:val="en-CA"/>
        </w:rPr>
        <w:endnoteRef/>
      </w:r>
      <w:r w:rsidRPr="00243E69">
        <w:rPr>
          <w:lang w:val="en-CA"/>
        </w:rPr>
        <w:t xml:space="preserve"> The Conference Board of Canada, “Canadian Economy Muddles Along in 2012 and 2013,” News release, The Conference </w:t>
      </w:r>
      <w:r w:rsidRPr="000244E6">
        <w:rPr>
          <w:lang w:val="en-CA"/>
        </w:rPr>
        <w:t>Board of Canada, October 22, 2012, accessed April 17, 2018, www.conferenceboard.ca/press/newsrelease/12-1022/Canadian_Economy_Muddles_Along_in_2012_and_2013.aspx#.</w:t>
      </w:r>
    </w:p>
  </w:endnote>
  <w:endnote w:id="31">
    <w:p w14:paraId="46441C75" w14:textId="19C8E715"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w:t>
      </w:r>
      <w:r w:rsidR="00812233">
        <w:rPr>
          <w:lang w:val="en-CA"/>
        </w:rPr>
        <w:t xml:space="preserve">Y. </w:t>
      </w:r>
      <w:r w:rsidRPr="000244E6">
        <w:rPr>
          <w:bCs/>
          <w:lang w:val="en-CA"/>
        </w:rPr>
        <w:t xml:space="preserve">Ostaficzuk, op. cit. </w:t>
      </w:r>
    </w:p>
  </w:endnote>
  <w:endnote w:id="32">
    <w:p w14:paraId="3E048D72" w14:textId="26E27020"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Ibid.</w:t>
      </w:r>
      <w:r w:rsidRPr="000244E6">
        <w:rPr>
          <w:bCs/>
          <w:lang w:val="en-CA"/>
        </w:rPr>
        <w:t xml:space="preserve"> </w:t>
      </w:r>
    </w:p>
  </w:endnote>
  <w:endnote w:id="33">
    <w:p w14:paraId="4FB31931" w14:textId="538DE741"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Ibid.</w:t>
      </w:r>
    </w:p>
  </w:endnote>
  <w:endnote w:id="34">
    <w:p w14:paraId="24DA5148" w14:textId="05ED93C4"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Ibid.</w:t>
      </w:r>
      <w:r w:rsidRPr="000244E6">
        <w:rPr>
          <w:bCs/>
          <w:lang w:val="en-CA"/>
        </w:rPr>
        <w:t xml:space="preserve"> </w:t>
      </w:r>
    </w:p>
  </w:endnote>
  <w:endnote w:id="35">
    <w:p w14:paraId="666D00E2" w14:textId="480E642A"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CBC News, “Canadians Spent $18.9B Online in 2012, StatsCan Says,” CBC News, October 28, 2013, accessed April 17, 2018, www.cbc.ca/news/business/canadians-spent-18-9b-online-in-2012-statscan-says-1.2254150.</w:t>
      </w:r>
    </w:p>
  </w:endnote>
  <w:endnote w:id="36">
    <w:p w14:paraId="7EC7D41C" w14:textId="064A6FF1"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w:t>
      </w:r>
      <w:r w:rsidRPr="000244E6">
        <w:rPr>
          <w:bCs/>
          <w:lang w:val="en-CA"/>
        </w:rPr>
        <w:t xml:space="preserve">Ostaficzuk, op. cit. </w:t>
      </w:r>
    </w:p>
  </w:endnote>
  <w:endnote w:id="37">
    <w:p w14:paraId="1F8EA3C3" w14:textId="2478BF8D" w:rsidR="001F4675" w:rsidRPr="000244E6" w:rsidRDefault="001F4675" w:rsidP="000244E6">
      <w:pPr>
        <w:pStyle w:val="Footnote"/>
        <w:rPr>
          <w:lang w:val="en-CA"/>
        </w:rPr>
      </w:pPr>
      <w:r w:rsidRPr="000244E6">
        <w:rPr>
          <w:rStyle w:val="EndnoteReference"/>
        </w:rPr>
        <w:endnoteRef/>
      </w:r>
      <w:r w:rsidRPr="000244E6">
        <w:t xml:space="preserve"> </w:t>
      </w:r>
      <w:r w:rsidRPr="000244E6">
        <w:rPr>
          <w:lang w:val="en-CA"/>
        </w:rPr>
        <w:t xml:space="preserve">Sophie Cousineau and Marina Strauss, "Rona’s </w:t>
      </w:r>
      <w:r w:rsidR="00812233">
        <w:rPr>
          <w:lang w:val="en-CA"/>
        </w:rPr>
        <w:t>M</w:t>
      </w:r>
      <w:r w:rsidRPr="000244E6">
        <w:rPr>
          <w:lang w:val="en-CA"/>
        </w:rPr>
        <w:t xml:space="preserve">ajor </w:t>
      </w:r>
      <w:r w:rsidR="00812233">
        <w:rPr>
          <w:lang w:val="en-CA"/>
        </w:rPr>
        <w:t>R</w:t>
      </w:r>
      <w:r w:rsidRPr="000244E6">
        <w:rPr>
          <w:lang w:val="en-CA"/>
        </w:rPr>
        <w:t xml:space="preserve">enovation </w:t>
      </w:r>
      <w:r w:rsidR="00812233">
        <w:rPr>
          <w:lang w:val="en-CA"/>
        </w:rPr>
        <w:t>T</w:t>
      </w:r>
      <w:r w:rsidRPr="000244E6">
        <w:rPr>
          <w:lang w:val="en-CA"/>
        </w:rPr>
        <w:t xml:space="preserve">oo </w:t>
      </w:r>
      <w:r w:rsidR="00812233">
        <w:rPr>
          <w:lang w:val="en-CA"/>
        </w:rPr>
        <w:t>L</w:t>
      </w:r>
      <w:r w:rsidRPr="000244E6">
        <w:rPr>
          <w:lang w:val="en-CA"/>
        </w:rPr>
        <w:t xml:space="preserve">ate for </w:t>
      </w:r>
      <w:r w:rsidR="00812233">
        <w:rPr>
          <w:lang w:val="en-CA"/>
        </w:rPr>
        <w:t>S</w:t>
      </w:r>
      <w:r w:rsidRPr="000244E6">
        <w:rPr>
          <w:lang w:val="en-CA"/>
        </w:rPr>
        <w:t xml:space="preserve">ome </w:t>
      </w:r>
      <w:r w:rsidR="00812233">
        <w:rPr>
          <w:lang w:val="en-CA"/>
        </w:rPr>
        <w:t>I</w:t>
      </w:r>
      <w:r w:rsidRPr="000244E6">
        <w:rPr>
          <w:lang w:val="en-CA"/>
        </w:rPr>
        <w:t xml:space="preserve">nvestors,” </w:t>
      </w:r>
      <w:r w:rsidRPr="000244E6">
        <w:rPr>
          <w:i/>
          <w:lang w:val="en-CA"/>
        </w:rPr>
        <w:t>The Globe and Mail</w:t>
      </w:r>
      <w:r w:rsidRPr="000244E6">
        <w:rPr>
          <w:lang w:val="en-CA"/>
        </w:rPr>
        <w:t>, Published February 21, 2013, Updated May 11, 2018, accessed July 5, 2018, https://www.theglobeandmail.com/globe-investor/ronas-major-renovation-too-late-for-some-investors/article8909360/.</w:t>
      </w:r>
    </w:p>
  </w:endnote>
  <w:endnote w:id="38">
    <w:p w14:paraId="0B7851A8" w14:textId="59EDEDDF"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The Gazette, “Taking a Look at Key Points in Rona’s History,” </w:t>
      </w:r>
      <w:r w:rsidRPr="000244E6">
        <w:rPr>
          <w:i/>
          <w:lang w:val="en-CA"/>
        </w:rPr>
        <w:t>Montreal Gazette</w:t>
      </w:r>
      <w:r w:rsidRPr="000244E6">
        <w:rPr>
          <w:lang w:val="en-CA"/>
        </w:rPr>
        <w:t>, November 9, 2012, accessed May 31, 2018, www.montrealgazette.com/news/taking+look+points+rona+history/7511912/story.html.</w:t>
      </w:r>
    </w:p>
  </w:endnote>
  <w:endnote w:id="39">
    <w:p w14:paraId="6ADDEBE5" w14:textId="450B1C14"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w:t>
      </w:r>
      <w:r w:rsidR="00812233">
        <w:rPr>
          <w:lang w:val="en-CA"/>
        </w:rPr>
        <w:t xml:space="preserve">Euan </w:t>
      </w:r>
      <w:r w:rsidRPr="000244E6">
        <w:rPr>
          <w:lang w:val="en-CA"/>
        </w:rPr>
        <w:t xml:space="preserve">Rocha and </w:t>
      </w:r>
      <w:r w:rsidR="00812233">
        <w:rPr>
          <w:lang w:val="en-CA"/>
        </w:rPr>
        <w:t xml:space="preserve">Dhanya </w:t>
      </w:r>
      <w:r w:rsidRPr="000244E6">
        <w:rPr>
          <w:lang w:val="en-CA"/>
        </w:rPr>
        <w:t>Skariachan, op. cit.</w:t>
      </w:r>
    </w:p>
  </w:endnote>
  <w:endnote w:id="40">
    <w:p w14:paraId="20431D2B" w14:textId="77777777" w:rsidR="006C2F05" w:rsidRPr="000244E6" w:rsidRDefault="006C2F05" w:rsidP="006C2F05">
      <w:pPr>
        <w:pStyle w:val="Footnote"/>
        <w:rPr>
          <w:lang w:val="en-CA"/>
        </w:rPr>
      </w:pPr>
      <w:r w:rsidRPr="000244E6">
        <w:rPr>
          <w:rStyle w:val="EndnoteReference"/>
          <w:lang w:val="en-CA"/>
        </w:rPr>
        <w:endnoteRef/>
      </w:r>
      <w:r w:rsidRPr="000244E6">
        <w:rPr>
          <w:lang w:val="en-CA"/>
        </w:rPr>
        <w:t xml:space="preserve"> Ève Couture and François Messier, “</w:t>
      </w:r>
      <w:r w:rsidRPr="000244E6">
        <w:rPr>
          <w:color w:val="000000"/>
          <w:lang w:val="en-CA"/>
        </w:rPr>
        <w:t xml:space="preserve">La vente de Rona à Lowe’s était inévitable, selon le quincailler québécois [The </w:t>
      </w:r>
      <w:r>
        <w:rPr>
          <w:color w:val="000000"/>
          <w:lang w:val="en-CA"/>
        </w:rPr>
        <w:t>S</w:t>
      </w:r>
      <w:r w:rsidRPr="000244E6">
        <w:rPr>
          <w:color w:val="000000"/>
          <w:lang w:val="en-CA"/>
        </w:rPr>
        <w:t xml:space="preserve">ale of Rona to Lowe’s </w:t>
      </w:r>
      <w:r>
        <w:rPr>
          <w:color w:val="000000"/>
          <w:lang w:val="en-CA"/>
        </w:rPr>
        <w:t>W</w:t>
      </w:r>
      <w:r w:rsidRPr="000244E6">
        <w:rPr>
          <w:color w:val="000000"/>
          <w:lang w:val="en-CA"/>
        </w:rPr>
        <w:t xml:space="preserve">as </w:t>
      </w:r>
      <w:r>
        <w:rPr>
          <w:color w:val="000000"/>
          <w:lang w:val="en-CA"/>
        </w:rPr>
        <w:t>I</w:t>
      </w:r>
      <w:r w:rsidRPr="000244E6">
        <w:rPr>
          <w:color w:val="000000"/>
          <w:lang w:val="en-CA"/>
        </w:rPr>
        <w:t xml:space="preserve">nevitable </w:t>
      </w:r>
      <w:r>
        <w:rPr>
          <w:color w:val="000000"/>
          <w:lang w:val="en-CA"/>
        </w:rPr>
        <w:t>A</w:t>
      </w:r>
      <w:r w:rsidRPr="000244E6">
        <w:rPr>
          <w:color w:val="000000"/>
          <w:lang w:val="en-CA"/>
        </w:rPr>
        <w:t xml:space="preserve">ccording to the Quebec </w:t>
      </w:r>
      <w:r>
        <w:rPr>
          <w:color w:val="000000"/>
          <w:lang w:val="en-CA"/>
        </w:rPr>
        <w:t>H</w:t>
      </w:r>
      <w:r w:rsidRPr="000244E6">
        <w:rPr>
          <w:color w:val="000000"/>
          <w:lang w:val="en-CA"/>
        </w:rPr>
        <w:t xml:space="preserve">ardware </w:t>
      </w:r>
      <w:r>
        <w:rPr>
          <w:color w:val="000000"/>
          <w:lang w:val="en-CA"/>
        </w:rPr>
        <w:t>S</w:t>
      </w:r>
      <w:r w:rsidRPr="000244E6">
        <w:rPr>
          <w:color w:val="000000"/>
          <w:lang w:val="en-CA"/>
        </w:rPr>
        <w:t>tore],</w:t>
      </w:r>
      <w:r w:rsidRPr="000244E6">
        <w:rPr>
          <w:lang w:val="en-CA"/>
        </w:rPr>
        <w:t xml:space="preserve">” Radio-Canada, February 3, 2016, </w:t>
      </w:r>
      <w:r w:rsidRPr="000244E6">
        <w:rPr>
          <w:color w:val="000000"/>
          <w:lang w:val="en-CA"/>
        </w:rPr>
        <w:t>accessed January15, 2018</w:t>
      </w:r>
      <w:r w:rsidRPr="000244E6">
        <w:rPr>
          <w:rFonts w:eastAsia="MS Mincho"/>
          <w:color w:val="212121"/>
          <w:lang w:val="en-CA"/>
        </w:rPr>
        <w:t xml:space="preserve">, </w:t>
      </w:r>
      <w:r w:rsidRPr="000244E6">
        <w:rPr>
          <w:color w:val="000000"/>
          <w:lang w:val="en-CA"/>
        </w:rPr>
        <w:t>http://ici.radio-canada.ca/nouvelle/763117/rona-lowes-achat-quebec-etats-unis.</w:t>
      </w:r>
    </w:p>
  </w:endnote>
  <w:endnote w:id="41">
    <w:p w14:paraId="3CAB6D23" w14:textId="40D1B6CD"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Nicolas Van Praet, “Rona Puts Metro Turnaround Expert at Helm,” </w:t>
      </w:r>
      <w:r w:rsidRPr="000244E6">
        <w:rPr>
          <w:i/>
          <w:lang w:val="en-CA"/>
        </w:rPr>
        <w:t>Financial Post</w:t>
      </w:r>
      <w:r w:rsidRPr="000244E6">
        <w:rPr>
          <w:lang w:val="en-CA"/>
        </w:rPr>
        <w:t>, March 19, 2013, accessed April 17, 2018, http://business.financialpost.com/news/retail-marketing/rona-ceo-robert-sawyer.</w:t>
      </w:r>
    </w:p>
  </w:endnote>
  <w:endnote w:id="42">
    <w:p w14:paraId="1786A74B" w14:textId="485EB81B"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The Canadian Press, “Robert Chevrier Named Chairman of Rona’s Board of Directors,” Global News, January 21, 2013, accessed April 17, 2018, https://globalnews.ca/news/380978/robert-chevrier-named-chairman-of-ronas-board-of-directors/.</w:t>
      </w:r>
    </w:p>
  </w:endnote>
  <w:endnote w:id="43">
    <w:p w14:paraId="23CC97FA" w14:textId="2102A84D"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Robert Pouliot, “Pouliot – Chevrier: Chevrier ne veut pas vendre à Lowe’s [Pouliot – Chevrier: Chevrier </w:t>
      </w:r>
      <w:r w:rsidR="00812233">
        <w:rPr>
          <w:lang w:val="en-CA"/>
        </w:rPr>
        <w:t>D</w:t>
      </w:r>
      <w:r w:rsidRPr="000244E6">
        <w:rPr>
          <w:lang w:val="en-CA"/>
        </w:rPr>
        <w:t xml:space="preserve">oes not </w:t>
      </w:r>
      <w:r w:rsidR="00812233">
        <w:rPr>
          <w:lang w:val="en-CA"/>
        </w:rPr>
        <w:t>W</w:t>
      </w:r>
      <w:r w:rsidRPr="000244E6">
        <w:rPr>
          <w:lang w:val="en-CA"/>
        </w:rPr>
        <w:t xml:space="preserve">ant to </w:t>
      </w:r>
      <w:r w:rsidR="00812233">
        <w:rPr>
          <w:lang w:val="en-CA"/>
        </w:rPr>
        <w:t>S</w:t>
      </w:r>
      <w:r w:rsidRPr="000244E6">
        <w:rPr>
          <w:lang w:val="en-CA"/>
        </w:rPr>
        <w:t xml:space="preserve">ell to Lowe’s],” </w:t>
      </w:r>
      <w:r w:rsidRPr="000244E6">
        <w:rPr>
          <w:i/>
          <w:lang w:val="en-CA"/>
        </w:rPr>
        <w:t>Affaires Publiques</w:t>
      </w:r>
      <w:r w:rsidRPr="000244E6">
        <w:rPr>
          <w:lang w:val="en-CA"/>
        </w:rPr>
        <w:t xml:space="preserve"> (blog), </w:t>
      </w:r>
      <w:r w:rsidRPr="000244E6">
        <w:rPr>
          <w:i/>
          <w:lang w:val="en-CA"/>
        </w:rPr>
        <w:t>Les Affaires</w:t>
      </w:r>
      <w:r w:rsidRPr="000244E6">
        <w:rPr>
          <w:lang w:val="en-CA"/>
        </w:rPr>
        <w:t>, January 22, 2013, accessed</w:t>
      </w:r>
      <w:r w:rsidRPr="000244E6">
        <w:rPr>
          <w:color w:val="000000"/>
          <w:lang w:val="en-CA"/>
        </w:rPr>
        <w:t xml:space="preserve"> January 15, 2018</w:t>
      </w:r>
      <w:r w:rsidRPr="000244E6">
        <w:rPr>
          <w:lang w:val="en-CA"/>
        </w:rPr>
        <w:t>, www.lesaffaires.com/blogues/francois-pouliot/pouliot---rona-chevrier-ne-veut-pas-vendre-a-lowe-s/553376.</w:t>
      </w:r>
    </w:p>
  </w:endnote>
  <w:endnote w:id="44">
    <w:p w14:paraId="7AEF2058" w14:textId="0268BB8C"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Ross Marowits, “Rona Closing 11 Stores in Ontario, B.C., Cutting 125 Administrative Jobs,” CTV News, June 27, 2013, accessed April 23, 2018, https://www.ctvnews.ca/business/rona-closing-11-stores-in-ontario-b-c-cutting-125-administrative-jobs-1.1343912.</w:t>
      </w:r>
    </w:p>
  </w:endnote>
  <w:endnote w:id="45">
    <w:p w14:paraId="42B8B798" w14:textId="5BE30C24"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Ross Marowits, “Rona Buys Remaining Stake in Montreal Area Coupal Banner from Family Operators,” Canadian Business, November 11, 2013, accessed April 23, 2018, www.canadianbusiness.com/business-news/rona-buys-remaining-stake-in-montreal-area-coupal-banner-from-family-operators/.</w:t>
      </w:r>
    </w:p>
  </w:endnote>
  <w:endnote w:id="46">
    <w:p w14:paraId="0D3FAF28" w14:textId="3055975C" w:rsidR="001F4675" w:rsidRPr="000244E6" w:rsidRDefault="001F4675" w:rsidP="005841B9">
      <w:pPr>
        <w:pStyle w:val="Footnote"/>
        <w:rPr>
          <w:i/>
          <w:lang w:val="en-CA"/>
        </w:rPr>
      </w:pPr>
      <w:r w:rsidRPr="000244E6">
        <w:rPr>
          <w:rStyle w:val="EndnoteReference"/>
          <w:lang w:val="en-CA"/>
        </w:rPr>
        <w:endnoteRef/>
      </w:r>
      <w:r w:rsidRPr="000244E6">
        <w:rPr>
          <w:lang w:val="en-CA"/>
        </w:rPr>
        <w:t xml:space="preserve"> RONA Inc. and Ace Hardware International Holdings, Ltd., </w:t>
      </w:r>
      <w:r w:rsidRPr="000244E6">
        <w:rPr>
          <w:rStyle w:val="HTMLCite"/>
          <w:i w:val="0"/>
          <w:lang w:val="en-CA"/>
        </w:rPr>
        <w:t xml:space="preserve">“RONA and Ace Hardware International Announce Agreement for Master License of Ace Brand in Canada,” News release, </w:t>
      </w:r>
      <w:r w:rsidRPr="000244E6">
        <w:rPr>
          <w:lang w:val="en-CA"/>
        </w:rPr>
        <w:t xml:space="preserve">Business Wire, </w:t>
      </w:r>
      <w:r w:rsidRPr="000244E6">
        <w:rPr>
          <w:rStyle w:val="HTMLCite"/>
          <w:i w:val="0"/>
          <w:lang w:val="en-CA"/>
        </w:rPr>
        <w:t>July 29, 2014, accessed January 24, 2018, www.businesswire.com/news/home/20140729005235/en/RONA-Ace</w:t>
      </w:r>
      <w:r w:rsidRPr="000244E6" w:rsidDel="007D01DE">
        <w:rPr>
          <w:rStyle w:val="HTMLCite"/>
          <w:i w:val="0"/>
          <w:iCs w:val="0"/>
          <w:lang w:val="en-CA"/>
        </w:rPr>
        <w:t xml:space="preserve"> </w:t>
      </w:r>
      <w:r w:rsidRPr="000244E6">
        <w:rPr>
          <w:rStyle w:val="HTMLCite"/>
          <w:i w:val="0"/>
          <w:lang w:val="en-CA"/>
        </w:rPr>
        <w:t>-Hardware-International-Announce-Agreement-Master.</w:t>
      </w:r>
    </w:p>
  </w:endnote>
  <w:endnote w:id="47">
    <w:p w14:paraId="634D593D" w14:textId="32AD98A5" w:rsidR="001F4675" w:rsidRPr="000244E6" w:rsidRDefault="001F4675" w:rsidP="005841B9">
      <w:pPr>
        <w:pStyle w:val="Footnote"/>
        <w:rPr>
          <w:color w:val="000000" w:themeColor="text1"/>
          <w:lang w:val="en-CA"/>
        </w:rPr>
      </w:pPr>
      <w:r w:rsidRPr="000244E6">
        <w:rPr>
          <w:rStyle w:val="EndnoteReference"/>
          <w:lang w:val="en-CA"/>
        </w:rPr>
        <w:endnoteRef/>
      </w:r>
      <w:r w:rsidRPr="000244E6">
        <w:rPr>
          <w:lang w:val="en-CA"/>
        </w:rPr>
        <w:t xml:space="preserve"> RONA Inc., </w:t>
      </w:r>
      <w:r w:rsidRPr="000244E6">
        <w:rPr>
          <w:i/>
          <w:color w:val="000000" w:themeColor="text1"/>
          <w:lang w:val="en-CA"/>
        </w:rPr>
        <w:t>Annual Information Form dated February 25, 2016</w:t>
      </w:r>
      <w:r w:rsidRPr="000244E6">
        <w:rPr>
          <w:color w:val="000000" w:themeColor="text1"/>
          <w:lang w:val="en-CA"/>
        </w:rPr>
        <w:t xml:space="preserve">, accessed May 31, 2018, </w:t>
      </w:r>
      <w:hyperlink r:id="rId2" w:history="1">
        <w:r w:rsidRPr="000244E6">
          <w:rPr>
            <w:rStyle w:val="Hyperlink"/>
            <w:color w:val="000000" w:themeColor="text1"/>
            <w:u w:val="none"/>
            <w:lang w:val="en-CA"/>
          </w:rPr>
          <w:t>https://www.rona.ca/ucmServlet/GetFileServlet?dDocName=B2CPRDSTG_043742</w:t>
        </w:r>
      </w:hyperlink>
      <w:r w:rsidRPr="000244E6">
        <w:rPr>
          <w:color w:val="000000" w:themeColor="text1"/>
          <w:lang w:val="en-CA"/>
        </w:rPr>
        <w:t>.</w:t>
      </w:r>
    </w:p>
  </w:endnote>
  <w:endnote w:id="48">
    <w:p w14:paraId="5F2F53D7" w14:textId="77C13495" w:rsidR="001F4675" w:rsidRPr="000244E6" w:rsidRDefault="001F4675" w:rsidP="005841B9">
      <w:pPr>
        <w:pStyle w:val="Footnote"/>
        <w:rPr>
          <w:color w:val="000000" w:themeColor="text1"/>
          <w:lang w:val="en-CA"/>
        </w:rPr>
      </w:pPr>
      <w:r w:rsidRPr="000244E6">
        <w:rPr>
          <w:rStyle w:val="EndnoteReference"/>
          <w:color w:val="000000" w:themeColor="text1"/>
          <w:lang w:val="en-CA"/>
        </w:rPr>
        <w:endnoteRef/>
      </w:r>
      <w:r w:rsidR="00BB4E55">
        <w:rPr>
          <w:color w:val="000000" w:themeColor="text1"/>
          <w:lang w:val="en-CA"/>
        </w:rPr>
        <w:t xml:space="preserve"> Ibid.</w:t>
      </w:r>
    </w:p>
  </w:endnote>
  <w:endnote w:id="49">
    <w:p w14:paraId="35B055CB" w14:textId="15D3BD83" w:rsidR="001F4675" w:rsidRPr="000244E6" w:rsidRDefault="001F4675" w:rsidP="005841B9">
      <w:pPr>
        <w:pStyle w:val="Footnote"/>
        <w:rPr>
          <w:lang w:val="en-CA"/>
        </w:rPr>
      </w:pPr>
      <w:r w:rsidRPr="000244E6">
        <w:rPr>
          <w:rStyle w:val="EndnoteReference"/>
          <w:color w:val="000000" w:themeColor="text1"/>
          <w:lang w:val="en-CA"/>
        </w:rPr>
        <w:endnoteRef/>
      </w:r>
      <w:r w:rsidRPr="000244E6">
        <w:rPr>
          <w:color w:val="000000" w:themeColor="text1"/>
          <w:lang w:val="en-CA"/>
        </w:rPr>
        <w:t xml:space="preserve"> The Canadian Press, “</w:t>
      </w:r>
      <w:r w:rsidRPr="000244E6">
        <w:rPr>
          <w:lang w:val="en-CA"/>
        </w:rPr>
        <w:t>Rona to Buy Back Remaining 20 Franchise-Owned Stores,” CBC News, July 16, 2015, accessed April 23, 2018, www.cbc.ca/news/business/rona-to-buy-back-remaining-20-franchisee-owned-stores-1.3154479.</w:t>
      </w:r>
    </w:p>
  </w:endnote>
  <w:endnote w:id="50">
    <w:p w14:paraId="48D81BCC" w14:textId="29C7FA49"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w:t>
      </w:r>
      <w:r w:rsidR="00BB4E55">
        <w:rPr>
          <w:bCs/>
          <w:lang w:val="en-CA"/>
        </w:rPr>
        <w:t>Ostaficzuk, op. cit.</w:t>
      </w:r>
    </w:p>
  </w:endnote>
  <w:endnote w:id="51">
    <w:p w14:paraId="25AF2CCA" w14:textId="133E6089"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Gabrielle Jacques, “Acquisition de Rona: ‘le fruit était mûr [Rona </w:t>
      </w:r>
      <w:r w:rsidR="00812233">
        <w:rPr>
          <w:lang w:val="en-CA"/>
        </w:rPr>
        <w:t>A</w:t>
      </w:r>
      <w:r w:rsidRPr="000244E6">
        <w:rPr>
          <w:lang w:val="en-CA"/>
        </w:rPr>
        <w:t>cquired by Lowe’s: ‘</w:t>
      </w:r>
      <w:r w:rsidR="00812233">
        <w:rPr>
          <w:lang w:val="en-CA"/>
        </w:rPr>
        <w:t>T</w:t>
      </w:r>
      <w:r w:rsidRPr="000244E6">
        <w:rPr>
          <w:lang w:val="en-CA"/>
        </w:rPr>
        <w:t xml:space="preserve">he </w:t>
      </w:r>
      <w:r w:rsidR="00812233">
        <w:rPr>
          <w:lang w:val="en-CA"/>
        </w:rPr>
        <w:t>F</w:t>
      </w:r>
      <w:r w:rsidRPr="000244E6">
        <w:rPr>
          <w:lang w:val="en-CA"/>
        </w:rPr>
        <w:t xml:space="preserve">ruit was </w:t>
      </w:r>
      <w:r w:rsidR="00812233">
        <w:rPr>
          <w:lang w:val="en-CA"/>
        </w:rPr>
        <w:t>R</w:t>
      </w:r>
      <w:r w:rsidRPr="000244E6">
        <w:rPr>
          <w:lang w:val="en-CA"/>
        </w:rPr>
        <w:t>ipe’],” Infopresse, February 3, 2016, accessed January 24, 2018, www. infopresse.com/article/2016/2/3/ acquisition-de-rona-par-lowe-s.</w:t>
      </w:r>
    </w:p>
  </w:endnote>
  <w:endnote w:id="52">
    <w:p w14:paraId="4C560664" w14:textId="0961DB83" w:rsidR="001F4675" w:rsidRPr="000244E6" w:rsidRDefault="001F4675" w:rsidP="005841B9">
      <w:pPr>
        <w:pStyle w:val="Footnote"/>
        <w:rPr>
          <w:lang w:val="en-CA"/>
        </w:rPr>
      </w:pPr>
      <w:r w:rsidRPr="000244E6">
        <w:rPr>
          <w:rStyle w:val="EndnoteReference"/>
          <w:lang w:val="en-CA"/>
        </w:rPr>
        <w:endnoteRef/>
      </w:r>
      <w:r w:rsidRPr="000244E6">
        <w:rPr>
          <w:lang w:val="en-CA"/>
        </w:rPr>
        <w:t xml:space="preserve"> Jaqueline Nelson, “What You Need to Know about the Lowe’s Rona Deal,” </w:t>
      </w:r>
      <w:r w:rsidR="00812233">
        <w:rPr>
          <w:i/>
          <w:lang w:val="en-CA"/>
        </w:rPr>
        <w:t xml:space="preserve">The </w:t>
      </w:r>
      <w:r w:rsidRPr="000244E6">
        <w:rPr>
          <w:i/>
          <w:lang w:val="en-CA"/>
        </w:rPr>
        <w:t>Globe and Mail</w:t>
      </w:r>
      <w:r w:rsidRPr="000244E6">
        <w:rPr>
          <w:lang w:val="en-CA"/>
        </w:rPr>
        <w:t>, June 5, 2017, accessed April 17, 2018, https://www.theglobeandmail.com/report-on-business/what-you-need-to-know-about-the-lowes-rona-deal/article28533873/.</w:t>
      </w:r>
    </w:p>
  </w:endnote>
  <w:endnote w:id="53">
    <w:p w14:paraId="1B400F56" w14:textId="38954A75" w:rsidR="001F4675" w:rsidRPr="00243E69" w:rsidRDefault="001F4675" w:rsidP="005841B9">
      <w:pPr>
        <w:pStyle w:val="Footnote"/>
        <w:rPr>
          <w:lang w:val="en-CA"/>
        </w:rPr>
      </w:pPr>
      <w:r w:rsidRPr="000244E6">
        <w:rPr>
          <w:rStyle w:val="EndnoteReference"/>
          <w:lang w:val="en-CA"/>
        </w:rPr>
        <w:endnoteRef/>
      </w:r>
      <w:r w:rsidRPr="000244E6">
        <w:rPr>
          <w:lang w:val="en-CA"/>
        </w:rPr>
        <w:t xml:space="preserve"> Combined sales were close</w:t>
      </w:r>
      <w:r w:rsidRPr="00B16232">
        <w:rPr>
          <w:lang w:val="en-CA"/>
        </w:rPr>
        <w:t xml:space="preserve"> to $6 </w:t>
      </w:r>
      <w:r w:rsidRPr="00DC72DD">
        <w:rPr>
          <w:lang w:val="en-CA"/>
        </w:rPr>
        <w:t>b</w:t>
      </w:r>
      <w:r w:rsidRPr="00B16232">
        <w:rPr>
          <w:lang w:val="en-CA"/>
        </w:rPr>
        <w:t xml:space="preserve">illion, </w:t>
      </w:r>
      <w:r w:rsidRPr="00DC72DD">
        <w:rPr>
          <w:lang w:val="en-CA"/>
        </w:rPr>
        <w:t>i</w:t>
      </w:r>
      <w:r w:rsidRPr="00B16232">
        <w:rPr>
          <w:lang w:val="en-CA"/>
        </w:rPr>
        <w:t xml:space="preserve">ncluding $4.1 </w:t>
      </w:r>
      <w:r w:rsidRPr="00DC72DD">
        <w:rPr>
          <w:lang w:val="en-CA"/>
        </w:rPr>
        <w:t>b</w:t>
      </w:r>
      <w:r w:rsidRPr="00B16232">
        <w:rPr>
          <w:lang w:val="en-CA"/>
        </w:rPr>
        <w:t>illion from RONA</w:t>
      </w:r>
      <w:r w:rsidR="00082F38">
        <w:rPr>
          <w:lang w:val="en-CA"/>
        </w:rPr>
        <w:t>,</w:t>
      </w:r>
      <w:r w:rsidRPr="00B16232">
        <w:rPr>
          <w:lang w:val="en-CA"/>
        </w:rPr>
        <w:t xml:space="preserve"> Inc.</w:t>
      </w:r>
      <w:r w:rsidR="00082F38">
        <w:rPr>
          <w:lang w:val="en-CA"/>
        </w:rPr>
        <w:t>;</w:t>
      </w:r>
      <w:r w:rsidRPr="00B16232">
        <w:rPr>
          <w:lang w:val="en-CA"/>
        </w:rPr>
        <w:t xml:space="preserve"> </w:t>
      </w:r>
      <w:r w:rsidRPr="00243E69">
        <w:rPr>
          <w:lang w:val="en-CA"/>
        </w:rPr>
        <w:t>Lowe’s</w:t>
      </w:r>
      <w:r>
        <w:rPr>
          <w:lang w:val="en-CA"/>
        </w:rPr>
        <w:t>,</w:t>
      </w:r>
      <w:r w:rsidRPr="00243E69">
        <w:rPr>
          <w:lang w:val="en-CA"/>
        </w:rPr>
        <w:t xml:space="preserve"> “Lowe’s Completes Acquisition of Rona,” News release, Lowe’s</w:t>
      </w:r>
      <w:r>
        <w:rPr>
          <w:lang w:val="en-CA"/>
        </w:rPr>
        <w:t xml:space="preserve"> Canada News Room</w:t>
      </w:r>
      <w:r w:rsidRPr="00243E69">
        <w:rPr>
          <w:lang w:val="en-CA"/>
        </w:rPr>
        <w:t>, May 20 2016, accessed January 24, 2018, www.lowes.ca/articles/lowes-completes-acquisition-of-rona_a6524.html.</w:t>
      </w:r>
    </w:p>
  </w:endnote>
  <w:endnote w:id="54">
    <w:p w14:paraId="408A96A7" w14:textId="4FD5167E" w:rsidR="001F4675" w:rsidRPr="00B858B9" w:rsidRDefault="001F4675" w:rsidP="005841B9">
      <w:pPr>
        <w:pStyle w:val="Footnote"/>
        <w:rPr>
          <w:lang w:val="fr-CA"/>
        </w:rPr>
      </w:pPr>
      <w:r w:rsidRPr="00243E69">
        <w:rPr>
          <w:rStyle w:val="EndnoteReference"/>
          <w:lang w:val="en-CA"/>
        </w:rPr>
        <w:endnoteRef/>
      </w:r>
      <w:r w:rsidRPr="00B858B9">
        <w:rPr>
          <w:lang w:val="fr-CA"/>
        </w:rPr>
        <w:t xml:space="preserve"> Stéphane Rolland, “Depuis la vente de RONA, c’est l’hémorragie pour certains fournisseurs québécois [Since the </w:t>
      </w:r>
      <w:r w:rsidR="00082F38">
        <w:rPr>
          <w:lang w:val="fr-CA"/>
        </w:rPr>
        <w:t>S</w:t>
      </w:r>
      <w:r w:rsidRPr="00B858B9">
        <w:rPr>
          <w:lang w:val="fr-CA"/>
        </w:rPr>
        <w:t xml:space="preserve">ale of RONA, </w:t>
      </w:r>
      <w:r w:rsidR="00082F38">
        <w:rPr>
          <w:lang w:val="fr-CA"/>
        </w:rPr>
        <w:t>I</w:t>
      </w:r>
      <w:r w:rsidRPr="00B858B9">
        <w:rPr>
          <w:lang w:val="fr-CA"/>
        </w:rPr>
        <w:t xml:space="preserve">t is </w:t>
      </w:r>
      <w:r w:rsidR="00082F38">
        <w:rPr>
          <w:lang w:val="fr-CA"/>
        </w:rPr>
        <w:t>H</w:t>
      </w:r>
      <w:r w:rsidRPr="00B858B9">
        <w:rPr>
          <w:lang w:val="fr-CA"/>
        </w:rPr>
        <w:t xml:space="preserve">aemorrhage for </w:t>
      </w:r>
      <w:r w:rsidR="00082F38">
        <w:rPr>
          <w:lang w:val="fr-CA"/>
        </w:rPr>
        <w:t>S</w:t>
      </w:r>
      <w:r w:rsidRPr="00B858B9">
        <w:rPr>
          <w:lang w:val="fr-CA"/>
        </w:rPr>
        <w:t xml:space="preserve">ome Quebec </w:t>
      </w:r>
      <w:r w:rsidR="00082F38">
        <w:rPr>
          <w:lang w:val="fr-CA"/>
        </w:rPr>
        <w:t>S</w:t>
      </w:r>
      <w:r w:rsidRPr="00B858B9">
        <w:rPr>
          <w:lang w:val="fr-CA"/>
        </w:rPr>
        <w:t>uppliers],” Les Affaires, April 12, 2017, accessed April 14, 2017, www.lesaffaires.com/secteurs-d-activite/commerce-de-detail/embargo-quincaillerie-hemorragie-pour-certains-fournisseurs-quebecois---/594329.</w:t>
      </w:r>
    </w:p>
  </w:endnote>
  <w:endnote w:id="55">
    <w:p w14:paraId="1FC25CC9" w14:textId="1B467FAB" w:rsidR="001F4675" w:rsidRPr="00B858B9" w:rsidRDefault="001F4675" w:rsidP="006733E8">
      <w:pPr>
        <w:pStyle w:val="Footnote"/>
        <w:rPr>
          <w:lang w:val="fr-CA"/>
        </w:rPr>
      </w:pPr>
      <w:r w:rsidRPr="00243E69">
        <w:rPr>
          <w:rStyle w:val="EndnoteReference"/>
          <w:lang w:val="en-CA"/>
        </w:rPr>
        <w:endnoteRef/>
      </w:r>
      <w:r w:rsidRPr="00B858B9">
        <w:rPr>
          <w:lang w:val="fr-CA"/>
        </w:rPr>
        <w:t xml:space="preserve"> Marie-Éve Fournier, “Celui qui veut faire mentir tout le monde [Whoever </w:t>
      </w:r>
      <w:r w:rsidR="00082F38">
        <w:rPr>
          <w:lang w:val="fr-CA"/>
        </w:rPr>
        <w:t>W</w:t>
      </w:r>
      <w:r w:rsidRPr="00B858B9">
        <w:rPr>
          <w:lang w:val="fr-CA"/>
        </w:rPr>
        <w:t xml:space="preserve">ants to </w:t>
      </w:r>
      <w:r w:rsidR="00082F38">
        <w:rPr>
          <w:lang w:val="fr-CA"/>
        </w:rPr>
        <w:t>M</w:t>
      </w:r>
      <w:r w:rsidRPr="00B858B9">
        <w:rPr>
          <w:lang w:val="fr-CA"/>
        </w:rPr>
        <w:t xml:space="preserve">ake </w:t>
      </w:r>
      <w:r w:rsidR="00082F38">
        <w:rPr>
          <w:lang w:val="fr-CA"/>
        </w:rPr>
        <w:t>E</w:t>
      </w:r>
      <w:r w:rsidRPr="00B858B9">
        <w:rPr>
          <w:lang w:val="fr-CA"/>
        </w:rPr>
        <w:t xml:space="preserve">veryone </w:t>
      </w:r>
      <w:r w:rsidR="00082F38">
        <w:rPr>
          <w:lang w:val="fr-CA"/>
        </w:rPr>
        <w:t>L</w:t>
      </w:r>
      <w:r w:rsidRPr="00B858B9">
        <w:rPr>
          <w:lang w:val="fr-CA"/>
        </w:rPr>
        <w:t xml:space="preserve">ie],” </w:t>
      </w:r>
      <w:r w:rsidRPr="00B858B9">
        <w:rPr>
          <w:i/>
          <w:lang w:val="fr-CA"/>
        </w:rPr>
        <w:t>La Presse</w:t>
      </w:r>
      <w:r w:rsidRPr="00B858B9">
        <w:rPr>
          <w:lang w:val="fr-CA"/>
        </w:rPr>
        <w:t>, October 10, 2017, accessed October 10, 2017, http://plus.lapresse.ca/screens/01d3c04a-7f08-43bf-a1dc-0a3f6aeff737%7C_0.html.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5BB48" w14:textId="77777777" w:rsidR="00F6249C" w:rsidRDefault="00F6249C" w:rsidP="00D75295">
      <w:r>
        <w:separator/>
      </w:r>
    </w:p>
  </w:footnote>
  <w:footnote w:type="continuationSeparator" w:id="0">
    <w:p w14:paraId="47914D56" w14:textId="77777777" w:rsidR="00F6249C" w:rsidRDefault="00F6249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259CE" w14:textId="5B98705E" w:rsidR="00DE11CF" w:rsidRPr="00BB4E55" w:rsidRDefault="001F4675" w:rsidP="001C7777">
    <w:pPr>
      <w:pBdr>
        <w:bottom w:val="single" w:sz="18" w:space="1" w:color="auto"/>
      </w:pBdr>
      <w:tabs>
        <w:tab w:val="left" w:pos="-1440"/>
        <w:tab w:val="left" w:pos="-720"/>
        <w:tab w:val="right" w:pos="9360"/>
      </w:tabs>
      <w:rPr>
        <w:rFonts w:ascii="Arial" w:hAnsi="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6BB7">
      <w:rPr>
        <w:rFonts w:ascii="Arial" w:hAnsi="Arial"/>
        <w:b/>
        <w:noProof/>
      </w:rPr>
      <w:t>8</w:t>
    </w:r>
    <w:r>
      <w:rPr>
        <w:rFonts w:ascii="Arial" w:hAnsi="Arial"/>
        <w:b/>
      </w:rPr>
      <w:fldChar w:fldCharType="end"/>
    </w:r>
    <w:r>
      <w:rPr>
        <w:rFonts w:ascii="Arial" w:hAnsi="Arial"/>
        <w:b/>
      </w:rPr>
      <w:tab/>
    </w:r>
    <w:r w:rsidR="00BB4E55">
      <w:rPr>
        <w:rFonts w:ascii="Arial" w:hAnsi="Arial"/>
        <w:b/>
      </w:rPr>
      <w:t>9B18A053</w:t>
    </w:r>
  </w:p>
  <w:p w14:paraId="2B53C0A0" w14:textId="77777777" w:rsidR="001F4675" w:rsidRDefault="001F4675" w:rsidP="00D13667">
    <w:pPr>
      <w:pStyle w:val="Header"/>
      <w:tabs>
        <w:tab w:val="clear" w:pos="4680"/>
      </w:tabs>
      <w:rPr>
        <w:sz w:val="18"/>
        <w:szCs w:val="18"/>
      </w:rPr>
    </w:pPr>
  </w:p>
  <w:p w14:paraId="47119730" w14:textId="77777777" w:rsidR="001F4675" w:rsidRPr="00C92CC4" w:rsidRDefault="001F4675"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1B12"/>
    <w:multiLevelType w:val="hybridMultilevel"/>
    <w:tmpl w:val="79F2CAC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0A0062D2"/>
    <w:multiLevelType w:val="hybridMultilevel"/>
    <w:tmpl w:val="E8382A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4A6927"/>
    <w:multiLevelType w:val="hybridMultilevel"/>
    <w:tmpl w:val="B004FD0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7B399E"/>
    <w:multiLevelType w:val="multilevel"/>
    <w:tmpl w:val="2238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3"/>
  </w:num>
  <w:num w:numId="4">
    <w:abstractNumId w:val="9"/>
  </w:num>
  <w:num w:numId="5">
    <w:abstractNumId w:val="4"/>
  </w:num>
  <w:num w:numId="6">
    <w:abstractNumId w:val="7"/>
  </w:num>
  <w:num w:numId="7">
    <w:abstractNumId w:val="2"/>
  </w:num>
  <w:num w:numId="8">
    <w:abstractNumId w:val="1"/>
  </w:num>
  <w:num w:numId="9">
    <w:abstractNumId w:val="5"/>
  </w:num>
  <w:num w:numId="10">
    <w:abstractNumId w:val="0"/>
  </w:num>
  <w:num w:numId="1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612"/>
    <w:rsid w:val="00013360"/>
    <w:rsid w:val="00014A25"/>
    <w:rsid w:val="00016759"/>
    <w:rsid w:val="000216CE"/>
    <w:rsid w:val="000244E6"/>
    <w:rsid w:val="00024ED4"/>
    <w:rsid w:val="00025DC7"/>
    <w:rsid w:val="000271C1"/>
    <w:rsid w:val="00032E9F"/>
    <w:rsid w:val="00035F09"/>
    <w:rsid w:val="00036E11"/>
    <w:rsid w:val="00044ECC"/>
    <w:rsid w:val="000531D3"/>
    <w:rsid w:val="0005646B"/>
    <w:rsid w:val="000658BB"/>
    <w:rsid w:val="0008102D"/>
    <w:rsid w:val="00082F38"/>
    <w:rsid w:val="00086B26"/>
    <w:rsid w:val="00094C0E"/>
    <w:rsid w:val="000971DE"/>
    <w:rsid w:val="000A146D"/>
    <w:rsid w:val="000B0137"/>
    <w:rsid w:val="000B4475"/>
    <w:rsid w:val="000D67A0"/>
    <w:rsid w:val="000D7091"/>
    <w:rsid w:val="000E637D"/>
    <w:rsid w:val="000F0C22"/>
    <w:rsid w:val="000F6B09"/>
    <w:rsid w:val="000F6FDC"/>
    <w:rsid w:val="001023AF"/>
    <w:rsid w:val="00104567"/>
    <w:rsid w:val="00104916"/>
    <w:rsid w:val="00104AA7"/>
    <w:rsid w:val="00120710"/>
    <w:rsid w:val="0012732D"/>
    <w:rsid w:val="00135618"/>
    <w:rsid w:val="001364B5"/>
    <w:rsid w:val="001409E1"/>
    <w:rsid w:val="00143F25"/>
    <w:rsid w:val="00144384"/>
    <w:rsid w:val="00152682"/>
    <w:rsid w:val="00154FC9"/>
    <w:rsid w:val="00174472"/>
    <w:rsid w:val="0019241A"/>
    <w:rsid w:val="00192A18"/>
    <w:rsid w:val="001A22D1"/>
    <w:rsid w:val="001A52E0"/>
    <w:rsid w:val="001A752D"/>
    <w:rsid w:val="001A757E"/>
    <w:rsid w:val="001B5032"/>
    <w:rsid w:val="001C7777"/>
    <w:rsid w:val="001D344B"/>
    <w:rsid w:val="001E228B"/>
    <w:rsid w:val="001E364F"/>
    <w:rsid w:val="001E5DFE"/>
    <w:rsid w:val="001F4222"/>
    <w:rsid w:val="001F4675"/>
    <w:rsid w:val="001F47EF"/>
    <w:rsid w:val="001F6B24"/>
    <w:rsid w:val="00203556"/>
    <w:rsid w:val="00203AA1"/>
    <w:rsid w:val="002048C0"/>
    <w:rsid w:val="00206A96"/>
    <w:rsid w:val="00213E98"/>
    <w:rsid w:val="00215B7E"/>
    <w:rsid w:val="00216C84"/>
    <w:rsid w:val="00221EA2"/>
    <w:rsid w:val="0022289A"/>
    <w:rsid w:val="00224A7D"/>
    <w:rsid w:val="00225CEE"/>
    <w:rsid w:val="0023081A"/>
    <w:rsid w:val="00233111"/>
    <w:rsid w:val="0023496C"/>
    <w:rsid w:val="00243E69"/>
    <w:rsid w:val="00264ED8"/>
    <w:rsid w:val="00265FA8"/>
    <w:rsid w:val="00281F1F"/>
    <w:rsid w:val="002873D5"/>
    <w:rsid w:val="00290F16"/>
    <w:rsid w:val="0029730F"/>
    <w:rsid w:val="002B55F6"/>
    <w:rsid w:val="002B641E"/>
    <w:rsid w:val="002C23BD"/>
    <w:rsid w:val="002C4E29"/>
    <w:rsid w:val="002C5213"/>
    <w:rsid w:val="002C7048"/>
    <w:rsid w:val="002F1F2E"/>
    <w:rsid w:val="002F417B"/>
    <w:rsid w:val="002F460C"/>
    <w:rsid w:val="002F48D6"/>
    <w:rsid w:val="00317391"/>
    <w:rsid w:val="00326216"/>
    <w:rsid w:val="0033528B"/>
    <w:rsid w:val="00336580"/>
    <w:rsid w:val="00354899"/>
    <w:rsid w:val="00355FD6"/>
    <w:rsid w:val="00363472"/>
    <w:rsid w:val="00364A5C"/>
    <w:rsid w:val="00372AF2"/>
    <w:rsid w:val="00373FB1"/>
    <w:rsid w:val="00396C76"/>
    <w:rsid w:val="003A1F6A"/>
    <w:rsid w:val="003A701E"/>
    <w:rsid w:val="003A7585"/>
    <w:rsid w:val="003B30D8"/>
    <w:rsid w:val="003B7EF2"/>
    <w:rsid w:val="003C29A5"/>
    <w:rsid w:val="003C3FA4"/>
    <w:rsid w:val="003D0BA1"/>
    <w:rsid w:val="003E0D9B"/>
    <w:rsid w:val="003E51E6"/>
    <w:rsid w:val="003E56F7"/>
    <w:rsid w:val="003F2B0C"/>
    <w:rsid w:val="00403D5D"/>
    <w:rsid w:val="004105B2"/>
    <w:rsid w:val="00412900"/>
    <w:rsid w:val="004221E4"/>
    <w:rsid w:val="004273F8"/>
    <w:rsid w:val="00432AB6"/>
    <w:rsid w:val="004355A3"/>
    <w:rsid w:val="00440B92"/>
    <w:rsid w:val="004456CE"/>
    <w:rsid w:val="00446546"/>
    <w:rsid w:val="00452769"/>
    <w:rsid w:val="00454FA7"/>
    <w:rsid w:val="00465348"/>
    <w:rsid w:val="00471F81"/>
    <w:rsid w:val="00483FF6"/>
    <w:rsid w:val="00490D2A"/>
    <w:rsid w:val="004932EB"/>
    <w:rsid w:val="00494E43"/>
    <w:rsid w:val="004979A5"/>
    <w:rsid w:val="004B1CCB"/>
    <w:rsid w:val="004B49F0"/>
    <w:rsid w:val="004B632F"/>
    <w:rsid w:val="004C4263"/>
    <w:rsid w:val="004D3FB1"/>
    <w:rsid w:val="004D6F21"/>
    <w:rsid w:val="004D73A5"/>
    <w:rsid w:val="004E37E3"/>
    <w:rsid w:val="004F2383"/>
    <w:rsid w:val="005160F1"/>
    <w:rsid w:val="00524F2F"/>
    <w:rsid w:val="00527E5C"/>
    <w:rsid w:val="00532CF5"/>
    <w:rsid w:val="00547A1A"/>
    <w:rsid w:val="00551B40"/>
    <w:rsid w:val="005528CB"/>
    <w:rsid w:val="0056302B"/>
    <w:rsid w:val="00566771"/>
    <w:rsid w:val="00567FFC"/>
    <w:rsid w:val="00581E2E"/>
    <w:rsid w:val="005841B9"/>
    <w:rsid w:val="00584F15"/>
    <w:rsid w:val="0059514B"/>
    <w:rsid w:val="00596334"/>
    <w:rsid w:val="00596582"/>
    <w:rsid w:val="005A1B0F"/>
    <w:rsid w:val="005A33A8"/>
    <w:rsid w:val="005C7BE1"/>
    <w:rsid w:val="005E4F78"/>
    <w:rsid w:val="005F341D"/>
    <w:rsid w:val="005F62C2"/>
    <w:rsid w:val="00610D1E"/>
    <w:rsid w:val="006163F7"/>
    <w:rsid w:val="00627C63"/>
    <w:rsid w:val="0063350B"/>
    <w:rsid w:val="00652606"/>
    <w:rsid w:val="00662449"/>
    <w:rsid w:val="006648B4"/>
    <w:rsid w:val="00667D7F"/>
    <w:rsid w:val="006733E8"/>
    <w:rsid w:val="00690E64"/>
    <w:rsid w:val="006946EE"/>
    <w:rsid w:val="006A58A9"/>
    <w:rsid w:val="006A606D"/>
    <w:rsid w:val="006A6E60"/>
    <w:rsid w:val="006B78CD"/>
    <w:rsid w:val="006C0371"/>
    <w:rsid w:val="006C08B6"/>
    <w:rsid w:val="006C0B1A"/>
    <w:rsid w:val="006C2F05"/>
    <w:rsid w:val="006C474B"/>
    <w:rsid w:val="006C6065"/>
    <w:rsid w:val="006C7F9F"/>
    <w:rsid w:val="006E2C40"/>
    <w:rsid w:val="006E2F6D"/>
    <w:rsid w:val="006E58F6"/>
    <w:rsid w:val="006E77E1"/>
    <w:rsid w:val="006F034F"/>
    <w:rsid w:val="006F131D"/>
    <w:rsid w:val="00711642"/>
    <w:rsid w:val="007174CD"/>
    <w:rsid w:val="007228E6"/>
    <w:rsid w:val="0073321B"/>
    <w:rsid w:val="0073536D"/>
    <w:rsid w:val="007415FA"/>
    <w:rsid w:val="007453E5"/>
    <w:rsid w:val="007507C6"/>
    <w:rsid w:val="00751E0B"/>
    <w:rsid w:val="00752BCD"/>
    <w:rsid w:val="00766DA1"/>
    <w:rsid w:val="00780BB5"/>
    <w:rsid w:val="00780D94"/>
    <w:rsid w:val="007866A6"/>
    <w:rsid w:val="00793817"/>
    <w:rsid w:val="007A130D"/>
    <w:rsid w:val="007A2F55"/>
    <w:rsid w:val="007A4F3E"/>
    <w:rsid w:val="007D01DE"/>
    <w:rsid w:val="007D1A2D"/>
    <w:rsid w:val="007D4102"/>
    <w:rsid w:val="007E54A7"/>
    <w:rsid w:val="007F43B7"/>
    <w:rsid w:val="007F76F3"/>
    <w:rsid w:val="00812233"/>
    <w:rsid w:val="00821FFC"/>
    <w:rsid w:val="008270AD"/>
    <w:rsid w:val="008271CA"/>
    <w:rsid w:val="0083595E"/>
    <w:rsid w:val="008467D5"/>
    <w:rsid w:val="00847EEA"/>
    <w:rsid w:val="00865C9C"/>
    <w:rsid w:val="00870C82"/>
    <w:rsid w:val="00887F12"/>
    <w:rsid w:val="00892817"/>
    <w:rsid w:val="008A333A"/>
    <w:rsid w:val="008A4DC4"/>
    <w:rsid w:val="008B2439"/>
    <w:rsid w:val="008B438C"/>
    <w:rsid w:val="008B7F6A"/>
    <w:rsid w:val="008D06CA"/>
    <w:rsid w:val="008D3A46"/>
    <w:rsid w:val="008F2385"/>
    <w:rsid w:val="008F7EF8"/>
    <w:rsid w:val="009026CD"/>
    <w:rsid w:val="009060B5"/>
    <w:rsid w:val="009067A4"/>
    <w:rsid w:val="009073AF"/>
    <w:rsid w:val="00907D4E"/>
    <w:rsid w:val="00913F42"/>
    <w:rsid w:val="00920967"/>
    <w:rsid w:val="00930885"/>
    <w:rsid w:val="00933D68"/>
    <w:rsid w:val="009340DB"/>
    <w:rsid w:val="0094542F"/>
    <w:rsid w:val="0094618C"/>
    <w:rsid w:val="00955CDB"/>
    <w:rsid w:val="0095684B"/>
    <w:rsid w:val="00957BD5"/>
    <w:rsid w:val="009654E0"/>
    <w:rsid w:val="00972498"/>
    <w:rsid w:val="0097481F"/>
    <w:rsid w:val="00974CC6"/>
    <w:rsid w:val="00976AD4"/>
    <w:rsid w:val="00995547"/>
    <w:rsid w:val="00996BB7"/>
    <w:rsid w:val="009A312F"/>
    <w:rsid w:val="009A5348"/>
    <w:rsid w:val="009B0750"/>
    <w:rsid w:val="009B0AB7"/>
    <w:rsid w:val="009C76D5"/>
    <w:rsid w:val="009D4F50"/>
    <w:rsid w:val="009E2C87"/>
    <w:rsid w:val="009E6E00"/>
    <w:rsid w:val="009F7AA4"/>
    <w:rsid w:val="00A10AD7"/>
    <w:rsid w:val="00A15E70"/>
    <w:rsid w:val="00A27366"/>
    <w:rsid w:val="00A41112"/>
    <w:rsid w:val="00A559DB"/>
    <w:rsid w:val="00A569EA"/>
    <w:rsid w:val="00A57519"/>
    <w:rsid w:val="00A6630F"/>
    <w:rsid w:val="00A676A0"/>
    <w:rsid w:val="00A840A5"/>
    <w:rsid w:val="00A92215"/>
    <w:rsid w:val="00A97C18"/>
    <w:rsid w:val="00AE7F54"/>
    <w:rsid w:val="00AF35FC"/>
    <w:rsid w:val="00AF5556"/>
    <w:rsid w:val="00AF762B"/>
    <w:rsid w:val="00B03639"/>
    <w:rsid w:val="00B04842"/>
    <w:rsid w:val="00B0652A"/>
    <w:rsid w:val="00B11867"/>
    <w:rsid w:val="00B16232"/>
    <w:rsid w:val="00B30860"/>
    <w:rsid w:val="00B3524F"/>
    <w:rsid w:val="00B40937"/>
    <w:rsid w:val="00B423EF"/>
    <w:rsid w:val="00B453DE"/>
    <w:rsid w:val="00B60C53"/>
    <w:rsid w:val="00B630B9"/>
    <w:rsid w:val="00B7085A"/>
    <w:rsid w:val="00B72597"/>
    <w:rsid w:val="00B83EC0"/>
    <w:rsid w:val="00B858B9"/>
    <w:rsid w:val="00B85BCE"/>
    <w:rsid w:val="00B901F9"/>
    <w:rsid w:val="00B97A57"/>
    <w:rsid w:val="00BB4E55"/>
    <w:rsid w:val="00BC4D98"/>
    <w:rsid w:val="00BD4FEB"/>
    <w:rsid w:val="00BD6EFB"/>
    <w:rsid w:val="00BE2AEB"/>
    <w:rsid w:val="00BE4E71"/>
    <w:rsid w:val="00BF5EAB"/>
    <w:rsid w:val="00BF7F14"/>
    <w:rsid w:val="00C02410"/>
    <w:rsid w:val="00C1584D"/>
    <w:rsid w:val="00C15BE2"/>
    <w:rsid w:val="00C20414"/>
    <w:rsid w:val="00C30444"/>
    <w:rsid w:val="00C30744"/>
    <w:rsid w:val="00C30CC2"/>
    <w:rsid w:val="00C3447F"/>
    <w:rsid w:val="00C364AD"/>
    <w:rsid w:val="00C436DF"/>
    <w:rsid w:val="00C438BD"/>
    <w:rsid w:val="00C44714"/>
    <w:rsid w:val="00C45B17"/>
    <w:rsid w:val="00C565E8"/>
    <w:rsid w:val="00C64A79"/>
    <w:rsid w:val="00C67102"/>
    <w:rsid w:val="00C81491"/>
    <w:rsid w:val="00C81676"/>
    <w:rsid w:val="00C85C5D"/>
    <w:rsid w:val="00C9219D"/>
    <w:rsid w:val="00C92CC4"/>
    <w:rsid w:val="00C958F5"/>
    <w:rsid w:val="00CA0AFB"/>
    <w:rsid w:val="00CA2CE1"/>
    <w:rsid w:val="00CA3976"/>
    <w:rsid w:val="00CA4008"/>
    <w:rsid w:val="00CA50E3"/>
    <w:rsid w:val="00CA757B"/>
    <w:rsid w:val="00CB132E"/>
    <w:rsid w:val="00CB3975"/>
    <w:rsid w:val="00CB5685"/>
    <w:rsid w:val="00CC1787"/>
    <w:rsid w:val="00CC182C"/>
    <w:rsid w:val="00CC390A"/>
    <w:rsid w:val="00CD0824"/>
    <w:rsid w:val="00CD2908"/>
    <w:rsid w:val="00CE552D"/>
    <w:rsid w:val="00D03A82"/>
    <w:rsid w:val="00D0780B"/>
    <w:rsid w:val="00D1334F"/>
    <w:rsid w:val="00D13667"/>
    <w:rsid w:val="00D14AB4"/>
    <w:rsid w:val="00D15344"/>
    <w:rsid w:val="00D23F57"/>
    <w:rsid w:val="00D31BEC"/>
    <w:rsid w:val="00D63150"/>
    <w:rsid w:val="00D636BA"/>
    <w:rsid w:val="00D64A32"/>
    <w:rsid w:val="00D64EFC"/>
    <w:rsid w:val="00D75295"/>
    <w:rsid w:val="00D76CE9"/>
    <w:rsid w:val="00D80046"/>
    <w:rsid w:val="00D821B5"/>
    <w:rsid w:val="00D828F0"/>
    <w:rsid w:val="00D97F12"/>
    <w:rsid w:val="00DA6095"/>
    <w:rsid w:val="00DB42E7"/>
    <w:rsid w:val="00DC09D8"/>
    <w:rsid w:val="00DC72DD"/>
    <w:rsid w:val="00DD087C"/>
    <w:rsid w:val="00DD0E30"/>
    <w:rsid w:val="00DE01A6"/>
    <w:rsid w:val="00DE11CF"/>
    <w:rsid w:val="00DE37A8"/>
    <w:rsid w:val="00DE7A98"/>
    <w:rsid w:val="00DF32C2"/>
    <w:rsid w:val="00E03868"/>
    <w:rsid w:val="00E155ED"/>
    <w:rsid w:val="00E471A7"/>
    <w:rsid w:val="00E612A6"/>
    <w:rsid w:val="00E635CF"/>
    <w:rsid w:val="00E64F3A"/>
    <w:rsid w:val="00E7647C"/>
    <w:rsid w:val="00E82A97"/>
    <w:rsid w:val="00E92F75"/>
    <w:rsid w:val="00EA3856"/>
    <w:rsid w:val="00EC413F"/>
    <w:rsid w:val="00EC6E0A"/>
    <w:rsid w:val="00ED2B67"/>
    <w:rsid w:val="00ED4E18"/>
    <w:rsid w:val="00ED7922"/>
    <w:rsid w:val="00EE02C4"/>
    <w:rsid w:val="00EE1F37"/>
    <w:rsid w:val="00EE3E13"/>
    <w:rsid w:val="00EF009D"/>
    <w:rsid w:val="00F0159C"/>
    <w:rsid w:val="00F105B7"/>
    <w:rsid w:val="00F13220"/>
    <w:rsid w:val="00F1322C"/>
    <w:rsid w:val="00F155A4"/>
    <w:rsid w:val="00F17A21"/>
    <w:rsid w:val="00F20D46"/>
    <w:rsid w:val="00F347F9"/>
    <w:rsid w:val="00F37B27"/>
    <w:rsid w:val="00F46556"/>
    <w:rsid w:val="00F5096B"/>
    <w:rsid w:val="00F50E91"/>
    <w:rsid w:val="00F57330"/>
    <w:rsid w:val="00F57D29"/>
    <w:rsid w:val="00F60786"/>
    <w:rsid w:val="00F6249C"/>
    <w:rsid w:val="00F915A0"/>
    <w:rsid w:val="00F91BC7"/>
    <w:rsid w:val="00F91E14"/>
    <w:rsid w:val="00F96201"/>
    <w:rsid w:val="00FA0E89"/>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81665598-8701-49AD-A75C-3EA2FAA2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tlid-translation">
    <w:name w:val="tlid-translation"/>
    <w:basedOn w:val="DefaultParagraphFont"/>
    <w:rsid w:val="00264ED8"/>
  </w:style>
  <w:style w:type="paragraph" w:styleId="HTMLPreformatted">
    <w:name w:val="HTML Preformatted"/>
    <w:basedOn w:val="Normal"/>
    <w:link w:val="HTMLPreformattedChar"/>
    <w:uiPriority w:val="99"/>
    <w:unhideWhenUsed/>
    <w:rsid w:val="0026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lang w:val="fr-CA" w:eastAsia="fr-FR"/>
    </w:rPr>
  </w:style>
  <w:style w:type="character" w:customStyle="1" w:styleId="HTMLPreformattedChar">
    <w:name w:val="HTML Preformatted Char"/>
    <w:basedOn w:val="DefaultParagraphFont"/>
    <w:link w:val="HTMLPreformatted"/>
    <w:uiPriority w:val="99"/>
    <w:rsid w:val="00264ED8"/>
    <w:rPr>
      <w:rFonts w:ascii="Courier" w:eastAsiaTheme="minorEastAsia" w:hAnsi="Courier" w:cs="Courier"/>
      <w:sz w:val="20"/>
      <w:szCs w:val="20"/>
      <w:lang w:val="fr-CA" w:eastAsia="fr-FR"/>
    </w:rPr>
  </w:style>
  <w:style w:type="character" w:styleId="HTMLCite">
    <w:name w:val="HTML Cite"/>
    <w:uiPriority w:val="99"/>
    <w:semiHidden/>
    <w:unhideWhenUsed/>
    <w:rsid w:val="00264E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26774">
      <w:bodyDiv w:val="1"/>
      <w:marLeft w:val="0"/>
      <w:marRight w:val="0"/>
      <w:marTop w:val="0"/>
      <w:marBottom w:val="0"/>
      <w:divBdr>
        <w:top w:val="none" w:sz="0" w:space="0" w:color="auto"/>
        <w:left w:val="none" w:sz="0" w:space="0" w:color="auto"/>
        <w:bottom w:val="none" w:sz="0" w:space="0" w:color="auto"/>
        <w:right w:val="none" w:sz="0" w:space="0" w:color="auto"/>
      </w:divBdr>
      <w:divsChild>
        <w:div w:id="424233543">
          <w:marLeft w:val="0"/>
          <w:marRight w:val="0"/>
          <w:marTop w:val="0"/>
          <w:marBottom w:val="0"/>
          <w:divBdr>
            <w:top w:val="none" w:sz="0" w:space="0" w:color="auto"/>
            <w:left w:val="none" w:sz="0" w:space="0" w:color="auto"/>
            <w:bottom w:val="none" w:sz="0" w:space="0" w:color="auto"/>
            <w:right w:val="none" w:sz="0" w:space="0" w:color="auto"/>
          </w:divBdr>
          <w:divsChild>
            <w:div w:id="293415906">
              <w:marLeft w:val="0"/>
              <w:marRight w:val="0"/>
              <w:marTop w:val="0"/>
              <w:marBottom w:val="0"/>
              <w:divBdr>
                <w:top w:val="none" w:sz="0" w:space="0" w:color="auto"/>
                <w:left w:val="none" w:sz="0" w:space="0" w:color="auto"/>
                <w:bottom w:val="none" w:sz="0" w:space="0" w:color="auto"/>
                <w:right w:val="none" w:sz="0" w:space="0" w:color="auto"/>
              </w:divBdr>
              <w:divsChild>
                <w:div w:id="1955675057">
                  <w:marLeft w:val="0"/>
                  <w:marRight w:val="0"/>
                  <w:marTop w:val="0"/>
                  <w:marBottom w:val="0"/>
                  <w:divBdr>
                    <w:top w:val="none" w:sz="0" w:space="0" w:color="auto"/>
                    <w:left w:val="none" w:sz="0" w:space="0" w:color="auto"/>
                    <w:bottom w:val="none" w:sz="0" w:space="0" w:color="auto"/>
                    <w:right w:val="none" w:sz="0" w:space="0" w:color="auto"/>
                  </w:divBdr>
                  <w:divsChild>
                    <w:div w:id="17249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74961421">
      <w:bodyDiv w:val="1"/>
      <w:marLeft w:val="0"/>
      <w:marRight w:val="0"/>
      <w:marTop w:val="0"/>
      <w:marBottom w:val="0"/>
      <w:divBdr>
        <w:top w:val="none" w:sz="0" w:space="0" w:color="auto"/>
        <w:left w:val="none" w:sz="0" w:space="0" w:color="auto"/>
        <w:bottom w:val="none" w:sz="0" w:space="0" w:color="auto"/>
        <w:right w:val="none" w:sz="0" w:space="0" w:color="auto"/>
      </w:divBdr>
      <w:divsChild>
        <w:div w:id="726103962">
          <w:marLeft w:val="0"/>
          <w:marRight w:val="0"/>
          <w:marTop w:val="0"/>
          <w:marBottom w:val="0"/>
          <w:divBdr>
            <w:top w:val="none" w:sz="0" w:space="0" w:color="auto"/>
            <w:left w:val="none" w:sz="0" w:space="0" w:color="auto"/>
            <w:bottom w:val="none" w:sz="0" w:space="0" w:color="auto"/>
            <w:right w:val="none" w:sz="0" w:space="0" w:color="auto"/>
          </w:divBdr>
          <w:divsChild>
            <w:div w:id="1041175031">
              <w:marLeft w:val="0"/>
              <w:marRight w:val="0"/>
              <w:marTop w:val="0"/>
              <w:marBottom w:val="0"/>
              <w:divBdr>
                <w:top w:val="none" w:sz="0" w:space="0" w:color="auto"/>
                <w:left w:val="none" w:sz="0" w:space="0" w:color="auto"/>
                <w:bottom w:val="none" w:sz="0" w:space="0" w:color="auto"/>
                <w:right w:val="none" w:sz="0" w:space="0" w:color="auto"/>
              </w:divBdr>
              <w:divsChild>
                <w:div w:id="19295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ci.radio-canada.ca/nouvel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urnaldemontreal.com/2016/02/04/couillard-defend-la-vente-de-ro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i.radio-canada.ca/nouvelle/763370/philippe-couillard-rona-lowes-economie-ouverte-uber" TargetMode="External"/><Relationship Id="rId5" Type="http://schemas.openxmlformats.org/officeDocument/2006/relationships/webSettings" Target="webSettings.xml"/><Relationship Id="rId15" Type="http://schemas.openxmlformats.org/officeDocument/2006/relationships/hyperlink" Target="http://ici.radio-canada.ca/nouvelle/763173/rona-vente-reactions-outaouais" TargetMode="Externa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ici.radio-canada.ca/nouvelle/763160/vente-rona-lowes-peladeau-reactions-politiques"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www.rona.ca/ucmServlet/GetFileServlet?dDocName=B2CPRDSTG_043742" TargetMode="External"/><Relationship Id="rId1" Type="http://schemas.openxmlformats.org/officeDocument/2006/relationships/hyperlink" Target="https://www.rona.ca/ucmServlet/GetFileServlet?dDocName=B2CPRDSTG_032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4297B89-EBC8-4AC0-81CC-A0045E40578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2FD2A-8D87-4AEC-B97F-BC5108986D2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001FC-905A-4E39-94A8-CABC5DCF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4707</Words>
  <Characters>26833</Characters>
  <Application>Microsoft Office Word</Application>
  <DocSecurity>0</DocSecurity>
  <Lines>223</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Ivey Business School</Company>
  <LinksUpToDate>false</LinksUpToDate>
  <CharactersWithSpaces>31478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Gow, Jasmin</cp:lastModifiedBy>
  <cp:revision>13</cp:revision>
  <cp:lastPrinted>2015-03-04T20:34:00Z</cp:lastPrinted>
  <dcterms:created xsi:type="dcterms:W3CDTF">2018-08-09T17:18:00Z</dcterms:created>
  <dcterms:modified xsi:type="dcterms:W3CDTF">2018-08-14T14:10:00Z</dcterms:modified>
</cp:coreProperties>
</file>