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0A8DC" w14:textId="77777777" w:rsidR="005C6629" w:rsidRPr="0034304D" w:rsidRDefault="005C6629" w:rsidP="005C6629">
      <w:pPr>
        <w:pBdr>
          <w:bottom w:val="single" w:sz="18" w:space="1" w:color="auto"/>
        </w:pBdr>
        <w:tabs>
          <w:tab w:val="left" w:pos="-1440"/>
          <w:tab w:val="left" w:pos="-720"/>
          <w:tab w:val="left" w:pos="1"/>
        </w:tabs>
        <w:jc w:val="both"/>
        <w:rPr>
          <w:rFonts w:ascii="Arial" w:hAnsi="Arial"/>
          <w:b/>
          <w:sz w:val="24"/>
          <w:lang w:val="en-GB"/>
        </w:rPr>
      </w:pPr>
      <w:r w:rsidRPr="0034304D">
        <w:rPr>
          <w:rFonts w:ascii="Arial" w:hAnsi="Arial"/>
          <w:b/>
          <w:noProof/>
          <w:sz w:val="24"/>
        </w:rPr>
        <w:drawing>
          <wp:inline distT="0" distB="0" distL="0" distR="0" wp14:anchorId="711C4A30" wp14:editId="6556FE0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78AC10A" w14:textId="1DDB81BC" w:rsidR="005C6629" w:rsidRPr="0034304D" w:rsidRDefault="006767CB" w:rsidP="005C6629">
      <w:pPr>
        <w:pStyle w:val="ProductNumber"/>
        <w:rPr>
          <w:lang w:val="en-GB"/>
        </w:rPr>
      </w:pPr>
      <w:r>
        <w:rPr>
          <w:lang w:val="en-GB"/>
        </w:rPr>
        <w:t>9B18A055</w:t>
      </w:r>
    </w:p>
    <w:p w14:paraId="4E057522" w14:textId="77777777" w:rsidR="00D75295" w:rsidRPr="0034304D" w:rsidRDefault="00D75295" w:rsidP="00D75295">
      <w:pPr>
        <w:jc w:val="right"/>
        <w:rPr>
          <w:rFonts w:ascii="Arial" w:hAnsi="Arial"/>
          <w:b/>
          <w:sz w:val="28"/>
          <w:szCs w:val="28"/>
          <w:lang w:val="en-GB"/>
        </w:rPr>
      </w:pPr>
    </w:p>
    <w:p w14:paraId="426B7211" w14:textId="77777777" w:rsidR="00013360" w:rsidRPr="0034304D" w:rsidRDefault="00013360" w:rsidP="00D75295">
      <w:pPr>
        <w:jc w:val="right"/>
        <w:rPr>
          <w:rFonts w:ascii="Arial" w:hAnsi="Arial"/>
          <w:b/>
          <w:sz w:val="28"/>
          <w:szCs w:val="28"/>
          <w:lang w:val="en-GB"/>
        </w:rPr>
      </w:pPr>
    </w:p>
    <w:p w14:paraId="2F03D26A" w14:textId="3B6CDE8E" w:rsidR="003C1C68" w:rsidRPr="0034304D" w:rsidRDefault="00320FCF" w:rsidP="00013360">
      <w:pPr>
        <w:pStyle w:val="CaseTitle"/>
        <w:spacing w:after="0" w:line="240" w:lineRule="auto"/>
        <w:rPr>
          <w:sz w:val="20"/>
          <w:szCs w:val="20"/>
          <w:lang w:val="en-GB"/>
        </w:rPr>
      </w:pPr>
      <w:r w:rsidRPr="0034304D">
        <w:rPr>
          <w:color w:val="auto"/>
          <w:lang w:val="en-GB"/>
        </w:rPr>
        <w:t>BIG BOSS CEMENT</w:t>
      </w:r>
      <w:r w:rsidR="00B51995">
        <w:rPr>
          <w:color w:val="auto"/>
          <w:lang w:val="en-GB"/>
        </w:rPr>
        <w:t xml:space="preserve"> inc.</w:t>
      </w:r>
      <w:r w:rsidR="00CC34E4" w:rsidRPr="0034304D">
        <w:rPr>
          <w:color w:val="auto"/>
          <w:lang w:val="en-GB"/>
        </w:rPr>
        <w:t>:</w:t>
      </w:r>
      <w:r w:rsidRPr="0034304D">
        <w:rPr>
          <w:color w:val="auto"/>
          <w:lang w:val="en-GB"/>
        </w:rPr>
        <w:t xml:space="preserve"> STIR</w:t>
      </w:r>
      <w:r w:rsidR="00CC34E4" w:rsidRPr="0034304D">
        <w:rPr>
          <w:color w:val="auto"/>
          <w:lang w:val="en-GB"/>
        </w:rPr>
        <w:t>ring</w:t>
      </w:r>
      <w:r w:rsidRPr="0034304D">
        <w:rPr>
          <w:color w:val="auto"/>
          <w:lang w:val="en-GB"/>
        </w:rPr>
        <w:t xml:space="preserve"> UP INDUSTRY COMPETITION IN THE PHILIPPINES</w:t>
      </w:r>
      <w:r w:rsidR="003C1C68" w:rsidRPr="0034304D">
        <w:rPr>
          <w:color w:val="auto"/>
          <w:vertAlign w:val="superscript"/>
          <w:lang w:val="en-GB"/>
        </w:rPr>
        <w:endnoteReference w:id="1"/>
      </w:r>
    </w:p>
    <w:p w14:paraId="40ABF6FD" w14:textId="77777777" w:rsidR="003C1C68" w:rsidRPr="0034304D" w:rsidRDefault="003C1C68" w:rsidP="00013360">
      <w:pPr>
        <w:pStyle w:val="CaseTitle"/>
        <w:spacing w:after="0" w:line="240" w:lineRule="auto"/>
        <w:rPr>
          <w:sz w:val="20"/>
          <w:szCs w:val="20"/>
          <w:lang w:val="en-GB"/>
        </w:rPr>
      </w:pPr>
    </w:p>
    <w:p w14:paraId="202F1085" w14:textId="77777777" w:rsidR="003C1C68" w:rsidRPr="0034304D" w:rsidRDefault="003C1C68" w:rsidP="00013360">
      <w:pPr>
        <w:pStyle w:val="CaseTitle"/>
        <w:spacing w:after="0" w:line="240" w:lineRule="auto"/>
        <w:rPr>
          <w:sz w:val="20"/>
          <w:szCs w:val="20"/>
          <w:lang w:val="en-GB"/>
        </w:rPr>
      </w:pPr>
    </w:p>
    <w:p w14:paraId="58B0C73F" w14:textId="6BB5F609" w:rsidR="003C1C68" w:rsidRPr="0034304D" w:rsidRDefault="003C1C68" w:rsidP="00086B26">
      <w:pPr>
        <w:pStyle w:val="StyleCopyrightStatementAfter0ptBottomSinglesolidline1"/>
        <w:rPr>
          <w:lang w:val="en-GB"/>
        </w:rPr>
      </w:pPr>
      <w:r w:rsidRPr="0034304D">
        <w:rPr>
          <w:rFonts w:cs="Arial"/>
          <w:color w:val="auto"/>
          <w:szCs w:val="16"/>
          <w:lang w:val="en-GB"/>
        </w:rPr>
        <w:t>Shweta Pandey, Sandeep Puri, and Babak Hayati</w:t>
      </w:r>
      <w:r w:rsidRPr="0034304D">
        <w:rPr>
          <w:rFonts w:cs="Arial"/>
          <w:szCs w:val="16"/>
          <w:lang w:val="en-GB"/>
        </w:rPr>
        <w:t xml:space="preserve"> </w:t>
      </w:r>
      <w:r w:rsidRPr="0034304D">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3C1C68" w:rsidRPr="0034304D" w:rsidRDefault="003C1C68" w:rsidP="00086B26">
      <w:pPr>
        <w:pStyle w:val="StyleCopyrightStatementAfter0ptBottomSinglesolidline1"/>
        <w:rPr>
          <w:lang w:val="en-GB"/>
        </w:rPr>
      </w:pPr>
    </w:p>
    <w:p w14:paraId="1A295641" w14:textId="77777777" w:rsidR="003C1C68" w:rsidRPr="0034304D" w:rsidRDefault="003C1C68" w:rsidP="005C6629">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34304D">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34304D">
          <w:rPr>
            <w:rFonts w:ascii="Arial" w:hAnsi="Arial"/>
            <w:i/>
            <w:iCs/>
            <w:color w:val="000000"/>
            <w:sz w:val="16"/>
            <w:lang w:val="en-GB"/>
          </w:rPr>
          <w:t>cases@ivey.ca</w:t>
        </w:r>
      </w:hyperlink>
      <w:r w:rsidRPr="0034304D">
        <w:rPr>
          <w:rFonts w:ascii="Arial" w:hAnsi="Arial"/>
          <w:i/>
          <w:iCs/>
          <w:color w:val="000000"/>
          <w:sz w:val="16"/>
          <w:lang w:val="en-GB"/>
        </w:rPr>
        <w:t xml:space="preserve">; </w:t>
      </w:r>
      <w:hyperlink r:id="rId10" w:history="1">
        <w:r w:rsidRPr="0034304D">
          <w:rPr>
            <w:rFonts w:ascii="Arial" w:hAnsi="Arial"/>
            <w:i/>
            <w:iCs/>
            <w:color w:val="000000"/>
            <w:sz w:val="16"/>
            <w:lang w:val="en-GB"/>
          </w:rPr>
          <w:t>www.iveycases.com</w:t>
        </w:r>
      </w:hyperlink>
      <w:r w:rsidRPr="0034304D">
        <w:rPr>
          <w:rFonts w:ascii="Arial" w:hAnsi="Arial"/>
          <w:i/>
          <w:iCs/>
          <w:color w:val="000000"/>
          <w:sz w:val="16"/>
          <w:lang w:val="en-GB"/>
        </w:rPr>
        <w:t>.</w:t>
      </w:r>
    </w:p>
    <w:p w14:paraId="3EDECD5C" w14:textId="77777777" w:rsidR="003C1C68" w:rsidRPr="0034304D" w:rsidRDefault="003C1C68" w:rsidP="005C6629">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3922E14F" w14:textId="1023BF34" w:rsidR="003C1C68" w:rsidRPr="0034304D" w:rsidRDefault="003C1C68" w:rsidP="005C6629">
      <w:pPr>
        <w:pStyle w:val="StyleStyleCopyrightStatementAfter0ptBottomSinglesolid"/>
        <w:rPr>
          <w:rFonts w:cs="Arial"/>
          <w:szCs w:val="16"/>
          <w:lang w:val="en-GB"/>
        </w:rPr>
      </w:pPr>
      <w:r w:rsidRPr="0034304D">
        <w:rPr>
          <w:rFonts w:cs="Arial"/>
          <w:iCs w:val="0"/>
          <w:color w:val="auto"/>
          <w:szCs w:val="16"/>
          <w:lang w:val="en-GB"/>
        </w:rPr>
        <w:t>Copyright © 2018, Ivey Business School Foundation</w:t>
      </w:r>
      <w:r w:rsidRPr="0034304D">
        <w:rPr>
          <w:rFonts w:cs="Arial"/>
          <w:iCs w:val="0"/>
          <w:color w:val="auto"/>
          <w:szCs w:val="16"/>
          <w:lang w:val="en-GB"/>
        </w:rPr>
        <w:tab/>
        <w:t>Version: 2018-</w:t>
      </w:r>
      <w:r>
        <w:rPr>
          <w:rFonts w:cs="Arial"/>
          <w:iCs w:val="0"/>
          <w:color w:val="auto"/>
          <w:szCs w:val="16"/>
          <w:lang w:val="en-GB"/>
        </w:rPr>
        <w:t>08-</w:t>
      </w:r>
      <w:r w:rsidR="005432AB">
        <w:rPr>
          <w:rFonts w:cs="Arial"/>
          <w:iCs w:val="0"/>
          <w:color w:val="auto"/>
          <w:szCs w:val="16"/>
          <w:lang w:val="en-GB"/>
        </w:rPr>
        <w:t>30</w:t>
      </w:r>
    </w:p>
    <w:p w14:paraId="0A2A54E4" w14:textId="77777777" w:rsidR="003C1C68" w:rsidRPr="0034304D" w:rsidRDefault="003C1C68" w:rsidP="00751E0B">
      <w:pPr>
        <w:pStyle w:val="StyleCopyrightStatementAfter0ptBottomSinglesolidline1"/>
        <w:rPr>
          <w:rFonts w:ascii="Times New Roman" w:hAnsi="Times New Roman"/>
          <w:sz w:val="20"/>
          <w:lang w:val="en-GB"/>
        </w:rPr>
      </w:pPr>
    </w:p>
    <w:p w14:paraId="70CE1AAB" w14:textId="77777777" w:rsidR="003C1C68" w:rsidRPr="0034304D" w:rsidRDefault="003C1C68" w:rsidP="00751E0B">
      <w:pPr>
        <w:pStyle w:val="StyleCopyrightStatementAfter0ptBottomSinglesolidline1"/>
        <w:rPr>
          <w:rFonts w:ascii="Times New Roman" w:hAnsi="Times New Roman"/>
          <w:sz w:val="20"/>
          <w:lang w:val="en-GB"/>
        </w:rPr>
      </w:pPr>
    </w:p>
    <w:p w14:paraId="5DDBB0FF" w14:textId="484CA48B" w:rsidR="003C1C68" w:rsidRPr="0034304D" w:rsidRDefault="003C1C68" w:rsidP="00320FCF">
      <w:pPr>
        <w:pStyle w:val="BodyTextMain"/>
        <w:rPr>
          <w:lang w:val="en-GB"/>
        </w:rPr>
      </w:pPr>
      <w:r w:rsidRPr="0034304D">
        <w:rPr>
          <w:lang w:val="en-GB"/>
        </w:rPr>
        <w:t>In January 2018, the Philippine cement industry changed forever with the entry of a 100-per</w:t>
      </w:r>
      <w:r>
        <w:rPr>
          <w:lang w:val="en-GB"/>
        </w:rPr>
        <w:t>-</w:t>
      </w:r>
      <w:r w:rsidRPr="0034304D">
        <w:rPr>
          <w:lang w:val="en-GB"/>
        </w:rPr>
        <w:t>cent Filipino-owned cement manufacturing company, Big Boss Cement Inc. (BBCI). When the company decided to set up shop with a cheaper, eco-friendly manufacturing process that promised less carbon emission,</w:t>
      </w:r>
      <w:r w:rsidRPr="0034304D">
        <w:rPr>
          <w:rStyle w:val="EndnoteReference"/>
          <w:lang w:val="en-GB"/>
        </w:rPr>
        <w:endnoteReference w:id="2"/>
      </w:r>
      <w:r w:rsidRPr="0034304D">
        <w:rPr>
          <w:lang w:val="en-GB"/>
        </w:rPr>
        <w:t xml:space="preserve"> not only did the revolutionary move heat up competition, it also gave the National Ecolabelling Programme – Green Choice Philippines (NELP – GCP) initiative a big push. According to industry experts, in a scenario where the Philippine government planned to spend </w:t>
      </w:r>
      <w:r w:rsidRPr="00B51995">
        <w:t>₱3.6 trillion</w:t>
      </w:r>
      <w:r w:rsidRPr="0034304D">
        <w:rPr>
          <w:rStyle w:val="EndnoteReference"/>
          <w:lang w:val="en-GB"/>
        </w:rPr>
        <w:endnoteReference w:id="3"/>
      </w:r>
      <w:r w:rsidRPr="0034304D">
        <w:rPr>
          <w:lang w:val="en-GB"/>
        </w:rPr>
        <w:t xml:space="preserve"> on infrastructure projects nationwide from 2018 to 2020, and where national demand for cement was expected to grow to 40 million metric tons by 2021,</w:t>
      </w:r>
      <w:r w:rsidRPr="0034304D">
        <w:rPr>
          <w:rStyle w:val="EndnoteReference"/>
          <w:lang w:val="en-GB"/>
        </w:rPr>
        <w:endnoteReference w:id="4"/>
      </w:r>
      <w:r w:rsidRPr="0034304D">
        <w:rPr>
          <w:lang w:val="en-GB"/>
        </w:rPr>
        <w:t xml:space="preserve"> the entry of more players into the mix to meet this enormous requirement signalled the start </w:t>
      </w:r>
      <w:bookmarkStart w:id="0" w:name="_Hlk505948110"/>
      <w:r w:rsidRPr="0034304D">
        <w:rPr>
          <w:lang w:val="en-GB"/>
        </w:rPr>
        <w:t>of the “golden age of infrastructure”</w:t>
      </w:r>
      <w:bookmarkEnd w:id="0"/>
      <w:r w:rsidRPr="0034304D">
        <w:rPr>
          <w:lang w:val="en-GB"/>
        </w:rPr>
        <w:t xml:space="preserve"> in the country.</w:t>
      </w:r>
      <w:r w:rsidRPr="0034304D">
        <w:rPr>
          <w:rStyle w:val="EndnoteReference"/>
          <w:lang w:val="en-GB"/>
        </w:rPr>
        <w:endnoteReference w:id="5"/>
      </w:r>
    </w:p>
    <w:p w14:paraId="3E1BAD75" w14:textId="77777777" w:rsidR="003C1C68" w:rsidRPr="0034304D" w:rsidRDefault="003C1C68" w:rsidP="00320FCF">
      <w:pPr>
        <w:pStyle w:val="BodyTextMain"/>
        <w:rPr>
          <w:lang w:val="en-GB"/>
        </w:rPr>
      </w:pPr>
    </w:p>
    <w:p w14:paraId="5022202B" w14:textId="0FFA6F61" w:rsidR="003C1C68" w:rsidRPr="0034304D" w:rsidRDefault="003C1C68" w:rsidP="00320FCF">
      <w:pPr>
        <w:pStyle w:val="BodyTextMain"/>
        <w:rPr>
          <w:lang w:val="en-GB"/>
        </w:rPr>
      </w:pPr>
      <w:r w:rsidRPr="0034304D">
        <w:rPr>
          <w:lang w:val="en-GB"/>
        </w:rPr>
        <w:t>To ride this cement wave in the Philippines, the Consunji family-led conglomerate DMCI Holdings Inc. also intended to jump into the fray with a potential US$340-million investment to set up a plant in the province of Antique’s Semirara Island, which was famous for its large limestone reserves and where DMCI Holdings Inc. was already mining coal.</w:t>
      </w:r>
      <w:r w:rsidRPr="0034304D">
        <w:rPr>
          <w:rStyle w:val="EndnoteReference"/>
          <w:lang w:val="en-GB"/>
        </w:rPr>
        <w:endnoteReference w:id="6"/>
      </w:r>
    </w:p>
    <w:p w14:paraId="58473A05" w14:textId="77777777" w:rsidR="003C1C68" w:rsidRPr="0034304D" w:rsidRDefault="003C1C68" w:rsidP="00320FCF">
      <w:pPr>
        <w:pStyle w:val="BodyTextMain"/>
        <w:rPr>
          <w:spacing w:val="-4"/>
          <w:lang w:val="en-GB"/>
        </w:rPr>
      </w:pPr>
    </w:p>
    <w:p w14:paraId="4839034A" w14:textId="4C2CBA15" w:rsidR="003C1C68" w:rsidRPr="0034304D" w:rsidRDefault="003C1C68" w:rsidP="00320FCF">
      <w:pPr>
        <w:pStyle w:val="BodyTextMain"/>
        <w:rPr>
          <w:lang w:val="en-GB"/>
        </w:rPr>
      </w:pPr>
      <w:r w:rsidRPr="0034304D">
        <w:rPr>
          <w:lang w:val="en-GB"/>
        </w:rPr>
        <w:t>Although BBCI’s eco-friendly manufacturing process was in line with the Philippine government directive of reducing greenhouse gas emissions by 70 per cent by 2030,</w:t>
      </w:r>
      <w:r w:rsidRPr="0034304D">
        <w:rPr>
          <w:rStyle w:val="EndnoteReference"/>
          <w:lang w:val="en-GB"/>
        </w:rPr>
        <w:endnoteReference w:id="7"/>
      </w:r>
      <w:r w:rsidRPr="0034304D">
        <w:rPr>
          <w:lang w:val="en-GB"/>
        </w:rPr>
        <w:t xml:space="preserve"> BBCI was not the only company offering a green cement product. Of the industry’s four top players, which included Eagle Cement Corporation (Eagle Cement),</w:t>
      </w:r>
      <w:r w:rsidRPr="0034304D">
        <w:rPr>
          <w:rStyle w:val="EndnoteReference"/>
          <w:lang w:val="en-GB"/>
        </w:rPr>
        <w:endnoteReference w:id="8"/>
      </w:r>
      <w:r w:rsidRPr="0034304D">
        <w:rPr>
          <w:lang w:val="en-GB"/>
        </w:rPr>
        <w:t xml:space="preserve"> three</w:t>
      </w:r>
      <w:r>
        <w:rPr>
          <w:lang w:val="en-GB"/>
        </w:rPr>
        <w:t xml:space="preserve"> companies</w:t>
      </w:r>
      <w:r w:rsidRPr="0034304D">
        <w:rPr>
          <w:lang w:val="en-GB"/>
        </w:rPr>
        <w:t>—CEMEX Holdings Philippines Inc. (CEMEX), Republic Cement Group (Republic Cement), and Holcim Philippines Inc. (Holcim),—had also rolled out green products.</w:t>
      </w:r>
    </w:p>
    <w:p w14:paraId="73C3B271" w14:textId="77777777" w:rsidR="003C1C68" w:rsidRPr="0034304D" w:rsidRDefault="003C1C68" w:rsidP="00320FCF">
      <w:pPr>
        <w:pStyle w:val="BodyTextMain"/>
        <w:rPr>
          <w:lang w:val="en-GB"/>
        </w:rPr>
      </w:pPr>
    </w:p>
    <w:p w14:paraId="4E3FF66A" w14:textId="781A468E" w:rsidR="003C1C68" w:rsidRPr="0034304D" w:rsidRDefault="003C1C68" w:rsidP="00320FCF">
      <w:pPr>
        <w:pStyle w:val="BodyTextMain"/>
        <w:rPr>
          <w:szCs w:val="20"/>
          <w:lang w:val="en-GB"/>
        </w:rPr>
      </w:pPr>
      <w:r w:rsidRPr="0034304D">
        <w:rPr>
          <w:szCs w:val="20"/>
          <w:lang w:val="en-GB"/>
        </w:rPr>
        <w:t xml:space="preserve">It was important for BBCI to analyze the macro-environmental and competitive forces relevant in the context of its entry into the cement industry. </w:t>
      </w:r>
      <w:r w:rsidRPr="0034304D">
        <w:rPr>
          <w:lang w:val="en-GB"/>
        </w:rPr>
        <w:t xml:space="preserve">In an industry already exposed to green products, </w:t>
      </w:r>
      <w:r w:rsidRPr="0034304D">
        <w:rPr>
          <w:szCs w:val="20"/>
          <w:lang w:val="en-GB"/>
        </w:rPr>
        <w:t xml:space="preserve">was it possible for BBCI to </w:t>
      </w:r>
      <w:r w:rsidRPr="0034304D">
        <w:rPr>
          <w:lang w:val="en-GB"/>
        </w:rPr>
        <w:t>differentiate its product based solely on eco</w:t>
      </w:r>
      <w:r>
        <w:rPr>
          <w:lang w:val="en-GB"/>
        </w:rPr>
        <w:t>logical</w:t>
      </w:r>
      <w:r w:rsidRPr="0034304D">
        <w:rPr>
          <w:lang w:val="en-GB"/>
        </w:rPr>
        <w:t xml:space="preserve"> appeal? Would its environmentally-friendly brand promise work? </w:t>
      </w:r>
      <w:bookmarkStart w:id="1" w:name="_Hlk507162745"/>
      <w:r w:rsidRPr="0034304D">
        <w:rPr>
          <w:lang w:val="en-GB"/>
        </w:rPr>
        <w:t>How could BBCI ascertain and counter potential obstacles to its success?</w:t>
      </w:r>
    </w:p>
    <w:bookmarkEnd w:id="1"/>
    <w:p w14:paraId="06DD13C2" w14:textId="77777777" w:rsidR="003C1C68" w:rsidRPr="0034304D" w:rsidRDefault="003C1C68" w:rsidP="00320FCF">
      <w:pPr>
        <w:pStyle w:val="BodyTextMain"/>
        <w:rPr>
          <w:lang w:val="en-GB"/>
        </w:rPr>
      </w:pPr>
    </w:p>
    <w:p w14:paraId="5B544023" w14:textId="77777777" w:rsidR="003C1C68" w:rsidRPr="0034304D" w:rsidRDefault="003C1C68" w:rsidP="00320FCF">
      <w:pPr>
        <w:pStyle w:val="BodyTextMain"/>
        <w:rPr>
          <w:lang w:val="en-GB"/>
        </w:rPr>
      </w:pPr>
    </w:p>
    <w:p w14:paraId="6A4BA562" w14:textId="77777777" w:rsidR="003C1C68" w:rsidRPr="0034304D" w:rsidRDefault="003C1C68" w:rsidP="00320FCF">
      <w:pPr>
        <w:pStyle w:val="Casehead1"/>
        <w:rPr>
          <w:lang w:val="en-GB"/>
        </w:rPr>
      </w:pPr>
      <w:r w:rsidRPr="0034304D">
        <w:rPr>
          <w:lang w:val="en-GB"/>
        </w:rPr>
        <w:t>BIG BOSS CEMENT INC.</w:t>
      </w:r>
    </w:p>
    <w:p w14:paraId="4A2D5B40" w14:textId="77777777" w:rsidR="003C1C68" w:rsidRPr="0034304D" w:rsidRDefault="003C1C68" w:rsidP="00320FCF">
      <w:pPr>
        <w:pStyle w:val="BodyTextMain"/>
        <w:rPr>
          <w:lang w:val="en-GB"/>
        </w:rPr>
      </w:pPr>
    </w:p>
    <w:p w14:paraId="73148B5F" w14:textId="20B41F03" w:rsidR="003C1C68" w:rsidRPr="0034304D" w:rsidRDefault="003C1C68" w:rsidP="00320FCF">
      <w:pPr>
        <w:pStyle w:val="BodyTextMain"/>
        <w:rPr>
          <w:lang w:val="en-GB"/>
        </w:rPr>
      </w:pPr>
      <w:r w:rsidRPr="0034304D">
        <w:rPr>
          <w:lang w:val="en-GB"/>
        </w:rPr>
        <w:t xml:space="preserve">Henry “Big Boy” Sy Jr., the eldest son and namesake of the Philippines’ richest man, Henry Sy Sr., owned 95 per cent of BBCI, while another businessman, Anthony L. Almeda, was the other key shareholder with </w:t>
      </w:r>
      <w:r w:rsidRPr="0034304D">
        <w:rPr>
          <w:lang w:val="en-GB"/>
        </w:rPr>
        <w:lastRenderedPageBreak/>
        <w:t xml:space="preserve">a 4.88-per-cent stake. Sy Sr. had a net worth of US$12.7 billion as of 2017 and had been named the richest Filipino by </w:t>
      </w:r>
      <w:r w:rsidRPr="0034304D">
        <w:rPr>
          <w:i/>
          <w:lang w:val="en-GB"/>
        </w:rPr>
        <w:t>Forbes</w:t>
      </w:r>
      <w:r w:rsidRPr="0034304D">
        <w:rPr>
          <w:lang w:val="en-GB"/>
        </w:rPr>
        <w:t xml:space="preserve"> for 10 consecutive years.</w:t>
      </w:r>
      <w:r w:rsidRPr="0034304D">
        <w:rPr>
          <w:rStyle w:val="EndnoteReference"/>
          <w:lang w:val="en-GB"/>
        </w:rPr>
        <w:endnoteReference w:id="9"/>
      </w:r>
    </w:p>
    <w:p w14:paraId="2D2C905F" w14:textId="77777777" w:rsidR="003C1C68" w:rsidRPr="0034304D" w:rsidRDefault="003C1C68" w:rsidP="00320FCF">
      <w:pPr>
        <w:pStyle w:val="BodyTextMain"/>
        <w:rPr>
          <w:lang w:val="en-GB"/>
        </w:rPr>
      </w:pPr>
    </w:p>
    <w:p w14:paraId="7633B57E" w14:textId="3B34EACC" w:rsidR="003C1C68" w:rsidRPr="0034304D" w:rsidRDefault="003C1C68" w:rsidP="00320FCF">
      <w:pPr>
        <w:pStyle w:val="BodyTextMain"/>
        <w:rPr>
          <w:spacing w:val="-2"/>
          <w:lang w:val="en-GB"/>
        </w:rPr>
      </w:pPr>
      <w:r w:rsidRPr="0034304D">
        <w:rPr>
          <w:spacing w:val="-2"/>
          <w:lang w:val="en-GB"/>
        </w:rPr>
        <w:t>Sy Jr. was the vice-chairperson of SM Investments Corporation and chairperson of both SM Prime Holdings Inc. and SM Development Corporation. SM Investments Corporation was the holding company of the SM Group of Companies and had three reportable operating segments (see Exhibit 1). According to BBCI officials, Sy Jr.’s investment in BBCI was in a personal capacity and independent of any affiliation to SM Investments Corporation.</w:t>
      </w:r>
      <w:r w:rsidRPr="0034304D">
        <w:rPr>
          <w:rStyle w:val="EndnoteReference"/>
          <w:spacing w:val="-2"/>
          <w:lang w:val="en-GB"/>
        </w:rPr>
        <w:endnoteReference w:id="10"/>
      </w:r>
      <w:r w:rsidRPr="0034304D">
        <w:rPr>
          <w:spacing w:val="-2"/>
          <w:lang w:val="en-GB"/>
        </w:rPr>
        <w:t xml:space="preserve"> Sy Jr., </w:t>
      </w:r>
      <w:r>
        <w:rPr>
          <w:spacing w:val="-2"/>
          <w:lang w:val="en-GB"/>
        </w:rPr>
        <w:t xml:space="preserve">who had </w:t>
      </w:r>
      <w:r w:rsidRPr="0034304D">
        <w:rPr>
          <w:spacing w:val="-2"/>
          <w:lang w:val="en-GB"/>
        </w:rPr>
        <w:t>graduated with a management degree, had top-level experience in companies engaged in b</w:t>
      </w:r>
      <w:r>
        <w:rPr>
          <w:spacing w:val="-2"/>
          <w:lang w:val="en-GB"/>
        </w:rPr>
        <w:t>anking, real estate development;</w:t>
      </w:r>
      <w:r w:rsidRPr="0034304D">
        <w:rPr>
          <w:spacing w:val="-2"/>
          <w:lang w:val="en-GB"/>
        </w:rPr>
        <w:t xml:space="preserve"> construction</w:t>
      </w:r>
      <w:r>
        <w:rPr>
          <w:spacing w:val="-2"/>
          <w:lang w:val="en-GB"/>
        </w:rPr>
        <w:t>;</w:t>
      </w:r>
      <w:r w:rsidRPr="0034304D">
        <w:rPr>
          <w:spacing w:val="-2"/>
          <w:lang w:val="en-GB"/>
        </w:rPr>
        <w:t xml:space="preserve"> mall operation</w:t>
      </w:r>
      <w:r>
        <w:rPr>
          <w:spacing w:val="-2"/>
          <w:lang w:val="en-GB"/>
        </w:rPr>
        <w:t>;</w:t>
      </w:r>
      <w:r w:rsidRPr="0034304D">
        <w:rPr>
          <w:spacing w:val="-2"/>
          <w:lang w:val="en-GB"/>
        </w:rPr>
        <w:t xml:space="preserve"> food and rubber manufacturing</w:t>
      </w:r>
      <w:r>
        <w:rPr>
          <w:spacing w:val="-2"/>
          <w:lang w:val="en-GB"/>
        </w:rPr>
        <w:t>;</w:t>
      </w:r>
      <w:r w:rsidRPr="0034304D">
        <w:rPr>
          <w:spacing w:val="-2"/>
          <w:lang w:val="en-GB"/>
        </w:rPr>
        <w:t xml:space="preserve"> finance</w:t>
      </w:r>
      <w:r>
        <w:rPr>
          <w:spacing w:val="-2"/>
          <w:lang w:val="en-GB"/>
        </w:rPr>
        <w:t>;</w:t>
      </w:r>
      <w:r w:rsidRPr="0034304D">
        <w:rPr>
          <w:spacing w:val="-2"/>
          <w:lang w:val="en-GB"/>
        </w:rPr>
        <w:t xml:space="preserve"> and investment.</w:t>
      </w:r>
      <w:r w:rsidRPr="0034304D">
        <w:rPr>
          <w:rStyle w:val="EndnoteReference"/>
          <w:spacing w:val="-2"/>
          <w:lang w:val="en-GB"/>
        </w:rPr>
        <w:endnoteReference w:id="11"/>
      </w:r>
    </w:p>
    <w:p w14:paraId="44634052" w14:textId="77777777" w:rsidR="003C1C68" w:rsidRPr="0034304D" w:rsidRDefault="003C1C68" w:rsidP="00320FCF">
      <w:pPr>
        <w:pStyle w:val="BodyTextMain"/>
        <w:rPr>
          <w:lang w:val="en-GB"/>
        </w:rPr>
      </w:pPr>
    </w:p>
    <w:p w14:paraId="38C697E3" w14:textId="3F514329" w:rsidR="003C1C68" w:rsidRPr="0034304D" w:rsidRDefault="003C1C68" w:rsidP="00320FCF">
      <w:pPr>
        <w:pStyle w:val="BodyTextMain"/>
        <w:rPr>
          <w:lang w:val="en-GB"/>
        </w:rPr>
      </w:pPr>
      <w:r w:rsidRPr="0034304D">
        <w:rPr>
          <w:lang w:val="en-GB"/>
        </w:rPr>
        <w:t>Gilbert S. Cruz, an engineer who had worked in businesses situated in Zamboanga, Pampanga, Cavite, and Metropolitan Manila and had several bachelor degrees (chemistry, industrial engineering, and mechanical engineering), was named president of BBCI.</w:t>
      </w:r>
      <w:r w:rsidRPr="0034304D">
        <w:rPr>
          <w:rStyle w:val="EndnoteReference"/>
          <w:lang w:val="en-GB"/>
        </w:rPr>
        <w:endnoteReference w:id="12"/>
      </w:r>
      <w:r w:rsidRPr="0034304D">
        <w:rPr>
          <w:lang w:val="en-GB"/>
        </w:rPr>
        <w:t xml:space="preserve"> Cruz had pioneered ultra</w:t>
      </w:r>
      <w:r>
        <w:rPr>
          <w:lang w:val="en-GB"/>
        </w:rPr>
        <w:t>-</w:t>
      </w:r>
      <w:r w:rsidRPr="0034304D">
        <w:rPr>
          <w:lang w:val="en-GB"/>
        </w:rPr>
        <w:t>high-strength concrete and self-compacting/consolidating concrete in the Philippines.</w:t>
      </w:r>
      <w:r w:rsidRPr="0034304D">
        <w:rPr>
          <w:rStyle w:val="EndnoteReference"/>
          <w:lang w:val="en-GB"/>
        </w:rPr>
        <w:endnoteReference w:id="13"/>
      </w:r>
      <w:r w:rsidRPr="0034304D">
        <w:rPr>
          <w:lang w:val="en-GB"/>
        </w:rPr>
        <w:t xml:space="preserve"> He had the experience of various concreting projects, such as Malaysia’s Petronas Towers in 1996, Taiwan’s high-speed rail project in 1997, China’s Three Gorges Dam project in 1999, and the Tokyo–Yokohama underwater tunnel project in 1999.</w:t>
      </w:r>
      <w:r w:rsidRPr="0034304D">
        <w:rPr>
          <w:rStyle w:val="EndnoteReference"/>
          <w:lang w:val="en-GB"/>
        </w:rPr>
        <w:endnoteReference w:id="14"/>
      </w:r>
    </w:p>
    <w:p w14:paraId="72D0ED5F" w14:textId="77777777" w:rsidR="003C1C68" w:rsidRPr="0034304D" w:rsidRDefault="003C1C68" w:rsidP="00320FCF">
      <w:pPr>
        <w:pStyle w:val="BodyTextMain"/>
        <w:rPr>
          <w:lang w:val="en-GB"/>
        </w:rPr>
      </w:pPr>
    </w:p>
    <w:p w14:paraId="542F50B1" w14:textId="77777777" w:rsidR="003C1C68" w:rsidRPr="0034304D" w:rsidRDefault="003C1C68" w:rsidP="00320FCF">
      <w:pPr>
        <w:pStyle w:val="BodyTextMain"/>
        <w:rPr>
          <w:lang w:val="en-GB"/>
        </w:rPr>
      </w:pPr>
    </w:p>
    <w:p w14:paraId="35BDB5B5" w14:textId="2B8A4D7E" w:rsidR="003C1C68" w:rsidRPr="0034304D" w:rsidRDefault="003C1C68" w:rsidP="00AA7E85">
      <w:pPr>
        <w:pStyle w:val="BodyTextMain"/>
        <w:keepNext/>
        <w:rPr>
          <w:u w:val="single"/>
          <w:lang w:val="en-GB"/>
        </w:rPr>
      </w:pPr>
      <w:r w:rsidRPr="0034304D">
        <w:rPr>
          <w:u w:val="single"/>
          <w:lang w:val="en-GB"/>
        </w:rPr>
        <w:t>Cement-</w:t>
      </w:r>
      <w:r>
        <w:rPr>
          <w:u w:val="single"/>
          <w:lang w:val="en-GB"/>
        </w:rPr>
        <w:t>M</w:t>
      </w:r>
      <w:r w:rsidRPr="0034304D">
        <w:rPr>
          <w:u w:val="single"/>
          <w:lang w:val="en-GB"/>
        </w:rPr>
        <w:t>aking Process</w:t>
      </w:r>
    </w:p>
    <w:p w14:paraId="44DAE273" w14:textId="77777777" w:rsidR="003C1C68" w:rsidRPr="0034304D" w:rsidRDefault="003C1C68" w:rsidP="00AA7E85">
      <w:pPr>
        <w:pStyle w:val="BodyTextMain"/>
        <w:keepNext/>
        <w:rPr>
          <w:lang w:val="en-GB"/>
        </w:rPr>
      </w:pPr>
    </w:p>
    <w:p w14:paraId="49F0BD37" w14:textId="7F2E93BA" w:rsidR="003C1C68" w:rsidRPr="0034304D" w:rsidRDefault="003C1C68" w:rsidP="00AA7E85">
      <w:pPr>
        <w:pStyle w:val="BodyTextMain"/>
        <w:keepNext/>
        <w:rPr>
          <w:lang w:val="en-GB"/>
        </w:rPr>
      </w:pPr>
      <w:r w:rsidRPr="0034304D">
        <w:rPr>
          <w:lang w:val="en-GB"/>
        </w:rPr>
        <w:t>The traditional method of cement production involved mining raw materials such as calcium carbonate, silica, alumina, and iron ore, which were extracted from limestone and clay, and crushing and stacking these into a stockpile for grinding. The mix was dried and ground again before cooking in a kiln fed with silica and/or clay, and underwent stages of preheating up to 1,500 degrees Celsius to produce clinker—a basic raw material needed for cement production. Clinker and a certain amount of gypsum were milled together to make cement. Additives gave cement specific properties such as permeability, resistance to sulphate, and higher quality.</w:t>
      </w:r>
      <w:r w:rsidRPr="0034304D">
        <w:rPr>
          <w:rStyle w:val="EndnoteReference"/>
          <w:lang w:val="en-GB"/>
        </w:rPr>
        <w:endnoteReference w:id="15"/>
      </w:r>
      <w:r w:rsidRPr="0034304D">
        <w:rPr>
          <w:lang w:val="en-GB"/>
        </w:rPr>
        <w:t xml:space="preserve"> </w:t>
      </w:r>
    </w:p>
    <w:p w14:paraId="1C2E3B4F" w14:textId="77777777" w:rsidR="003C1C68" w:rsidRPr="0034304D" w:rsidRDefault="003C1C68" w:rsidP="00320FCF">
      <w:pPr>
        <w:pStyle w:val="BodyTextMain"/>
        <w:rPr>
          <w:lang w:val="en-GB"/>
        </w:rPr>
      </w:pPr>
    </w:p>
    <w:p w14:paraId="3397C65E" w14:textId="69B8D3C4" w:rsidR="003C1C68" w:rsidRPr="0034304D" w:rsidRDefault="003C1C68" w:rsidP="00320FCF">
      <w:pPr>
        <w:pStyle w:val="BodyTextMain"/>
        <w:rPr>
          <w:vertAlign w:val="superscript"/>
          <w:lang w:val="en-GB"/>
        </w:rPr>
      </w:pPr>
      <w:r w:rsidRPr="0034304D">
        <w:rPr>
          <w:lang w:val="en-GB"/>
        </w:rPr>
        <w:t>The process induced heavy carbon dioxide emissions, which led to the cement industry accounting for around 5 per cent of global carbon dioxide emissions. Government legislation was pushing cement manufacturers to focus on ways to lower carbon dioxide emissions. The combustion of fuels used to heat the kiln (fossil fuels such as coal and oil) accounted for 40 per cent of emissions, the calcination process (heating of limestone) for 50 per cent, and the electricity used to power additional plant machinery and final transportation accounted for 5–10 per cent of the industry’s emissions.</w:t>
      </w:r>
      <w:r w:rsidRPr="0034304D">
        <w:rPr>
          <w:rStyle w:val="EndnoteReference"/>
          <w:lang w:val="en-GB"/>
        </w:rPr>
        <w:endnoteReference w:id="16"/>
      </w:r>
      <w:r w:rsidRPr="0034304D">
        <w:rPr>
          <w:vertAlign w:val="superscript"/>
          <w:lang w:val="en-GB"/>
        </w:rPr>
        <w:t xml:space="preserve"> </w:t>
      </w:r>
    </w:p>
    <w:p w14:paraId="34A5FDE5" w14:textId="77777777" w:rsidR="003C1C68" w:rsidRPr="0034304D" w:rsidRDefault="003C1C68" w:rsidP="00320FCF">
      <w:pPr>
        <w:pStyle w:val="BodyTextMain"/>
        <w:rPr>
          <w:lang w:val="en-GB"/>
        </w:rPr>
      </w:pPr>
    </w:p>
    <w:p w14:paraId="60A1C064" w14:textId="2BE7ABD3" w:rsidR="003C1C68" w:rsidRPr="0034304D" w:rsidRDefault="003C1C68" w:rsidP="00320FCF">
      <w:pPr>
        <w:pStyle w:val="BodyTextMain"/>
        <w:rPr>
          <w:vertAlign w:val="superscript"/>
          <w:lang w:val="en-GB"/>
        </w:rPr>
      </w:pPr>
      <w:r w:rsidRPr="0034304D">
        <w:rPr>
          <w:lang w:val="en-GB"/>
        </w:rPr>
        <w:t xml:space="preserve">Cement manufacturers were working on methods to use alternative fuels to lower fuel-combustion related emissions; for example, </w:t>
      </w:r>
      <w:r w:rsidRPr="0034304D">
        <w:rPr>
          <w:rFonts w:eastAsiaTheme="minorHAnsi"/>
          <w:lang w:val="en-GB"/>
        </w:rPr>
        <w:t>Holcim used alternative fuels such as industrial, agro, and residual waste (e.g., used tires and plastics) for its thermal-power requirements. Thermal energy generated from traditional fossil fuels such as coal represented 30–40 per cent of overall costs for the cement industry. The use of alternative fuels not only reduced manufacturing costs but also helped provide the government with a way to handle and dispose of hazardous waste and location waste. For example, when Republic Cement opted to use alternative fuels such as rice husks, saw dust, and refuse-derived fuel, substituting its fossil fuel requirements, the company not only managed to achieve a lower carbon footprint (an 18–25-per-cent emissions reduction), it also helped Metropolitan Manila address its solid waste disposal problem.</w:t>
      </w:r>
      <w:r w:rsidRPr="0034304D">
        <w:rPr>
          <w:rStyle w:val="EndnoteReference"/>
          <w:rFonts w:eastAsiaTheme="minorHAnsi"/>
          <w:lang w:val="en-GB"/>
        </w:rPr>
        <w:endnoteReference w:id="17"/>
      </w:r>
      <w:r w:rsidRPr="0034304D">
        <w:rPr>
          <w:rFonts w:eastAsiaTheme="minorHAnsi"/>
          <w:lang w:val="en-GB"/>
        </w:rPr>
        <w:t xml:space="preserve"> </w:t>
      </w:r>
    </w:p>
    <w:p w14:paraId="5F0A1CDF" w14:textId="77777777" w:rsidR="003C1C68" w:rsidRPr="0034304D" w:rsidRDefault="003C1C68" w:rsidP="00320FCF">
      <w:pPr>
        <w:pStyle w:val="BodyTextMain"/>
        <w:rPr>
          <w:u w:val="single"/>
          <w:lang w:val="en-GB"/>
        </w:rPr>
      </w:pPr>
    </w:p>
    <w:p w14:paraId="22027952" w14:textId="77777777" w:rsidR="003C1C68" w:rsidRPr="0034304D" w:rsidRDefault="003C1C68" w:rsidP="00320FCF">
      <w:pPr>
        <w:pStyle w:val="BodyTextMain"/>
        <w:rPr>
          <w:u w:val="single"/>
          <w:lang w:val="en-GB"/>
        </w:rPr>
      </w:pPr>
    </w:p>
    <w:p w14:paraId="385E97AB" w14:textId="71B78608" w:rsidR="003C1C68" w:rsidRPr="0034304D" w:rsidRDefault="003C1C68" w:rsidP="003F74D0">
      <w:pPr>
        <w:pStyle w:val="BodyTextMain"/>
        <w:keepNext/>
        <w:rPr>
          <w:u w:val="single"/>
          <w:lang w:val="en-GB"/>
        </w:rPr>
      </w:pPr>
      <w:r w:rsidRPr="0034304D">
        <w:rPr>
          <w:u w:val="single"/>
          <w:lang w:val="en-GB"/>
        </w:rPr>
        <w:lastRenderedPageBreak/>
        <w:t>Emissions Reduction</w:t>
      </w:r>
    </w:p>
    <w:p w14:paraId="53F4FE41" w14:textId="77777777" w:rsidR="003C1C68" w:rsidRPr="0034304D" w:rsidRDefault="003C1C68" w:rsidP="003F74D0">
      <w:pPr>
        <w:pStyle w:val="BodyTextMain"/>
        <w:keepNext/>
        <w:rPr>
          <w:lang w:val="en-GB"/>
        </w:rPr>
      </w:pPr>
    </w:p>
    <w:p w14:paraId="1FED3EB5" w14:textId="15A8F3EE" w:rsidR="003C1C68" w:rsidRPr="0034304D" w:rsidRDefault="003C1C68" w:rsidP="003F74D0">
      <w:pPr>
        <w:pStyle w:val="BodyTextMain"/>
        <w:keepNext/>
        <w:rPr>
          <w:rFonts w:eastAsiaTheme="minorHAnsi"/>
          <w:lang w:val="en-GB"/>
        </w:rPr>
      </w:pPr>
      <w:r w:rsidRPr="0034304D">
        <w:rPr>
          <w:lang w:val="en-GB"/>
        </w:rPr>
        <w:t>Improving production-process efficiency (i.e., moving from wet to dry kilns) and replacing limestone-based clinker with materials such as coal fly ash and blast furnace slag used for blended cement helped reduce emissions.</w:t>
      </w:r>
      <w:r w:rsidRPr="0034304D">
        <w:rPr>
          <w:rStyle w:val="EndnoteReference"/>
          <w:lang w:val="en-GB"/>
        </w:rPr>
        <w:endnoteReference w:id="18"/>
      </w:r>
      <w:r w:rsidRPr="0034304D">
        <w:rPr>
          <w:lang w:val="en-GB"/>
        </w:rPr>
        <w:t xml:space="preserve"> According to the Cement Sustainability Initiative, the percentage of clinker in the final cement product across the world had decreased from 83 per cent in 1990 to around 75 per cent in 2012, wherein 25 per cent of the cement was a non-clinker mineral with a lower energy requirement.</w:t>
      </w:r>
      <w:r w:rsidRPr="0034304D">
        <w:rPr>
          <w:rStyle w:val="EndnoteReference"/>
          <w:lang w:val="en-GB"/>
        </w:rPr>
        <w:endnoteReference w:id="19"/>
      </w:r>
      <w:r w:rsidRPr="0034304D">
        <w:rPr>
          <w:lang w:val="en-GB"/>
        </w:rPr>
        <w:t xml:space="preserve"> </w:t>
      </w:r>
      <w:r w:rsidRPr="0034304D">
        <w:rPr>
          <w:rFonts w:eastAsiaTheme="minorHAnsi"/>
          <w:lang w:val="en-GB"/>
        </w:rPr>
        <w:t>Republic Cement had replaced clinker in its blended cement with carbon-neutral minerals or industrial by-products, as exemplified by its product Republic Portland Plus, which used fly ash, an industrial by-product of the power industry, and had a lower environmental impact, of around 25 per cent.</w:t>
      </w:r>
      <w:r w:rsidRPr="0034304D">
        <w:rPr>
          <w:rStyle w:val="EndnoteReference"/>
          <w:rFonts w:eastAsiaTheme="minorHAnsi"/>
          <w:lang w:val="en-GB"/>
        </w:rPr>
        <w:endnoteReference w:id="20"/>
      </w:r>
      <w:r w:rsidRPr="0034304D">
        <w:rPr>
          <w:rFonts w:eastAsiaTheme="minorHAnsi"/>
          <w:lang w:val="en-GB"/>
        </w:rPr>
        <w:t xml:space="preserve"> Eagle Cement had built a waste-heat recovery system that generated up to 6.30 megawatts of power from the plant’s waste heat and allowed it to save up to 20 per cent of electricity costs in production—while conserving the renewable fuel supply and minimizing harmful gas emissions.</w:t>
      </w:r>
      <w:r w:rsidRPr="0034304D">
        <w:rPr>
          <w:rStyle w:val="EndnoteReference"/>
          <w:rFonts w:eastAsiaTheme="minorHAnsi"/>
          <w:lang w:val="en-GB"/>
        </w:rPr>
        <w:endnoteReference w:id="21"/>
      </w:r>
    </w:p>
    <w:p w14:paraId="23738BCE" w14:textId="77777777" w:rsidR="003C1C68" w:rsidRPr="0034304D" w:rsidRDefault="003C1C68" w:rsidP="00320FCF">
      <w:pPr>
        <w:pStyle w:val="BodyTextMain"/>
        <w:rPr>
          <w:rFonts w:eastAsiaTheme="minorHAnsi"/>
          <w:lang w:val="en-GB"/>
        </w:rPr>
      </w:pPr>
    </w:p>
    <w:p w14:paraId="22C71D14" w14:textId="77777777" w:rsidR="003C1C68" w:rsidRPr="0034304D" w:rsidRDefault="003C1C68" w:rsidP="00320FCF">
      <w:pPr>
        <w:pStyle w:val="BodyTextMain"/>
        <w:rPr>
          <w:rFonts w:eastAsiaTheme="minorHAnsi"/>
          <w:lang w:val="en-GB"/>
        </w:rPr>
      </w:pPr>
    </w:p>
    <w:p w14:paraId="6B8B7972" w14:textId="77777777" w:rsidR="003C1C68" w:rsidRPr="0034304D" w:rsidRDefault="003C1C68" w:rsidP="00320FCF">
      <w:pPr>
        <w:pStyle w:val="BodyTextMain"/>
        <w:rPr>
          <w:u w:val="single"/>
          <w:lang w:val="en-GB"/>
        </w:rPr>
      </w:pPr>
      <w:r w:rsidRPr="0034304D">
        <w:rPr>
          <w:u w:val="single"/>
          <w:lang w:val="en-GB"/>
        </w:rPr>
        <w:t>Product</w:t>
      </w:r>
    </w:p>
    <w:p w14:paraId="4BB3476E" w14:textId="77777777" w:rsidR="003C1C68" w:rsidRPr="0034304D" w:rsidRDefault="003C1C68" w:rsidP="00320FCF">
      <w:pPr>
        <w:pStyle w:val="BodyTextMain"/>
        <w:rPr>
          <w:lang w:val="en-GB"/>
        </w:rPr>
      </w:pPr>
    </w:p>
    <w:p w14:paraId="60BF067E" w14:textId="1C067541" w:rsidR="003C1C68" w:rsidRPr="0034304D" w:rsidRDefault="003C1C68" w:rsidP="00320FCF">
      <w:pPr>
        <w:pStyle w:val="BodyTextMain"/>
        <w:rPr>
          <w:lang w:val="en-GB"/>
        </w:rPr>
      </w:pPr>
      <w:r w:rsidRPr="0034304D">
        <w:rPr>
          <w:lang w:val="en-GB"/>
        </w:rPr>
        <w:t>The various products available in the market included Portland cement (made of clinker and gypsum) and blended cement (made of Portland cement clinker, gypsum, and pozzolan); however, local cement manufacturers promoted blended cement because of its durability, performance in severe weather conditions, sustainable construction (carbon dioxide emissions), and economics.</w:t>
      </w:r>
      <w:r w:rsidRPr="0034304D">
        <w:rPr>
          <w:rStyle w:val="EndnoteReference"/>
          <w:lang w:val="en-GB"/>
        </w:rPr>
        <w:endnoteReference w:id="22"/>
      </w:r>
      <w:r w:rsidRPr="0034304D">
        <w:rPr>
          <w:lang w:val="en-GB"/>
        </w:rPr>
        <w:t xml:space="preserve"> BBCI had plans to roll out Portland cement Type 1B (blended cement that required less clinker) priced </w:t>
      </w:r>
      <w:r w:rsidRPr="003C1C68">
        <w:t>at ₱</w:t>
      </w:r>
      <w:r w:rsidRPr="0034304D">
        <w:rPr>
          <w:lang w:val="en-GB"/>
        </w:rPr>
        <w:t xml:space="preserve">206 per bag, which was within the government price-control range of </w:t>
      </w:r>
      <w:r w:rsidRPr="0034304D">
        <w:rPr>
          <w:color w:val="222222"/>
          <w:shd w:val="clear" w:color="auto" w:fill="FFFFFF"/>
          <w:lang w:val="en-GB"/>
        </w:rPr>
        <w:t>₱</w:t>
      </w:r>
      <w:r w:rsidRPr="0034304D">
        <w:rPr>
          <w:lang w:val="en-GB"/>
        </w:rPr>
        <w:t>205–215 per bag.</w:t>
      </w:r>
      <w:r w:rsidRPr="0034304D">
        <w:rPr>
          <w:rStyle w:val="EndnoteReference"/>
          <w:lang w:val="en-GB"/>
        </w:rPr>
        <w:endnoteReference w:id="23"/>
      </w:r>
      <w:r w:rsidRPr="0034304D">
        <w:rPr>
          <w:lang w:val="en-GB"/>
        </w:rPr>
        <w:t xml:space="preserve"> Besides, the process used to produce the clinker did not require a kiln (costing around </w:t>
      </w:r>
      <w:r w:rsidRPr="0034304D">
        <w:rPr>
          <w:color w:val="222222"/>
          <w:shd w:val="clear" w:color="auto" w:fill="FFFFFF"/>
          <w:lang w:val="en-GB"/>
        </w:rPr>
        <w:t>₱</w:t>
      </w:r>
      <w:r w:rsidRPr="0034304D">
        <w:rPr>
          <w:lang w:val="en-GB"/>
        </w:rPr>
        <w:t>3–5 billion) and hence required no burning.</w:t>
      </w:r>
      <w:r w:rsidRPr="0034304D">
        <w:rPr>
          <w:rStyle w:val="EndnoteReference"/>
          <w:lang w:val="en-GB"/>
        </w:rPr>
        <w:endnoteReference w:id="24"/>
      </w:r>
      <w:r w:rsidRPr="0034304D">
        <w:rPr>
          <w:lang w:val="en-GB"/>
        </w:rPr>
        <w:t xml:space="preserve"> Clinker had to be imported from countries such as China, Vietnam, Indonesia, and Japan as the Philippines did not have enough capacity to crush and burn limestone into the raw material.</w:t>
      </w:r>
      <w:r w:rsidRPr="0034304D">
        <w:rPr>
          <w:rStyle w:val="EndnoteReference"/>
          <w:lang w:val="en-GB"/>
        </w:rPr>
        <w:endnoteReference w:id="25"/>
      </w:r>
      <w:r w:rsidRPr="0034304D">
        <w:rPr>
          <w:lang w:val="en-GB"/>
        </w:rPr>
        <w:t xml:space="preserve"> According to a BBCI spokesperson, the company’s cement production process would make use of readily available pozzolanic raw materials such as lahar, and almost all types of soils and fillers.</w:t>
      </w:r>
      <w:r w:rsidRPr="0034304D">
        <w:rPr>
          <w:rStyle w:val="EndnoteReference"/>
          <w:lang w:val="en-GB"/>
        </w:rPr>
        <w:endnoteReference w:id="26"/>
      </w:r>
      <w:r w:rsidRPr="0034304D">
        <w:rPr>
          <w:vertAlign w:val="superscript"/>
          <w:lang w:val="en-GB"/>
        </w:rPr>
        <w:t xml:space="preserve"> </w:t>
      </w:r>
      <w:r w:rsidRPr="0034304D">
        <w:rPr>
          <w:lang w:val="en-GB"/>
        </w:rPr>
        <w:t xml:space="preserve">The company claimed that it could use any sand the government would allow for its raw material, including beach sand, as sand throughout the Philippines was 93 per cent the same, regardless of its source. BBCI claimed that its process would not only cater to the local cement industry but also decrease air pollution and environmental damage. Further, the company would only incur a cost of </w:t>
      </w:r>
      <w:r w:rsidRPr="0034304D">
        <w:rPr>
          <w:color w:val="222222"/>
          <w:shd w:val="clear" w:color="auto" w:fill="FFFFFF"/>
          <w:lang w:val="en-GB"/>
        </w:rPr>
        <w:t>₱</w:t>
      </w:r>
      <w:r w:rsidRPr="0034304D">
        <w:rPr>
          <w:lang w:val="en-GB"/>
        </w:rPr>
        <w:t xml:space="preserve">2–4 billion, which was lower than the cost of a traditional cement plant (about </w:t>
      </w:r>
      <w:r w:rsidRPr="0034304D">
        <w:rPr>
          <w:color w:val="222222"/>
          <w:shd w:val="clear" w:color="auto" w:fill="FFFFFF"/>
          <w:lang w:val="en-GB"/>
        </w:rPr>
        <w:t>₱</w:t>
      </w:r>
      <w:r w:rsidRPr="0034304D">
        <w:rPr>
          <w:lang w:val="en-GB"/>
        </w:rPr>
        <w:t>70 billion).</w:t>
      </w:r>
      <w:r w:rsidRPr="0034304D">
        <w:rPr>
          <w:rStyle w:val="EndnoteReference"/>
          <w:lang w:val="en-GB"/>
        </w:rPr>
        <w:endnoteReference w:id="27"/>
      </w:r>
      <w:r w:rsidRPr="0034304D">
        <w:rPr>
          <w:lang w:val="en-GB"/>
        </w:rPr>
        <w:t xml:space="preserve"> However, the process failed to get an initial approval from the Philippine Board of Investment due to a lack of “proof of concept.”</w:t>
      </w:r>
      <w:r w:rsidRPr="0034304D">
        <w:rPr>
          <w:rStyle w:val="EndnoteReference"/>
          <w:lang w:val="en-GB"/>
        </w:rPr>
        <w:endnoteReference w:id="28"/>
      </w:r>
    </w:p>
    <w:p w14:paraId="37C82585" w14:textId="77777777" w:rsidR="003C1C68" w:rsidRPr="0034304D" w:rsidRDefault="003C1C68" w:rsidP="00D05EFE">
      <w:pPr>
        <w:pStyle w:val="BodyTextMain"/>
        <w:rPr>
          <w:lang w:val="en-GB"/>
        </w:rPr>
      </w:pPr>
    </w:p>
    <w:p w14:paraId="14544200" w14:textId="77777777" w:rsidR="003C1C68" w:rsidRPr="0034304D" w:rsidRDefault="003C1C68" w:rsidP="00D05EFE">
      <w:pPr>
        <w:pStyle w:val="BodyTextMain"/>
        <w:rPr>
          <w:lang w:val="en-GB"/>
        </w:rPr>
      </w:pPr>
    </w:p>
    <w:p w14:paraId="1B690830" w14:textId="17159D55" w:rsidR="003C1C68" w:rsidRPr="0034304D" w:rsidRDefault="003C1C68" w:rsidP="00320FCF">
      <w:pPr>
        <w:pStyle w:val="BodyTextMain"/>
        <w:rPr>
          <w:rFonts w:ascii="Arial" w:hAnsi="Arial" w:cs="Arial"/>
          <w:b/>
          <w:sz w:val="20"/>
          <w:szCs w:val="20"/>
          <w:lang w:val="en-GB"/>
        </w:rPr>
      </w:pPr>
      <w:r w:rsidRPr="0034304D">
        <w:rPr>
          <w:rFonts w:ascii="Arial" w:hAnsi="Arial" w:cs="Arial"/>
          <w:b/>
          <w:sz w:val="20"/>
          <w:szCs w:val="20"/>
          <w:lang w:val="en-GB"/>
        </w:rPr>
        <w:t>PHILIPPINE CEMENT INDUSTRY</w:t>
      </w:r>
    </w:p>
    <w:p w14:paraId="0B208F4B" w14:textId="77777777" w:rsidR="003C1C68" w:rsidRPr="0034304D" w:rsidRDefault="003C1C68" w:rsidP="00320FCF">
      <w:pPr>
        <w:pStyle w:val="BodyTextMain"/>
        <w:rPr>
          <w:lang w:val="en-GB"/>
        </w:rPr>
      </w:pPr>
    </w:p>
    <w:p w14:paraId="61570CC9" w14:textId="565E5EEC" w:rsidR="003C1C68" w:rsidRPr="0034304D" w:rsidRDefault="003C1C68" w:rsidP="00320FCF">
      <w:pPr>
        <w:pStyle w:val="BodyTextMain"/>
        <w:rPr>
          <w:spacing w:val="-2"/>
          <w:lang w:val="en-GB"/>
        </w:rPr>
      </w:pPr>
      <w:r w:rsidRPr="0034304D">
        <w:rPr>
          <w:spacing w:val="-2"/>
          <w:lang w:val="en-GB"/>
        </w:rPr>
        <w:t>With a population of about 100 million as of 2015, which was growing at an average rate of 1.8–2.3 per cent annually, the Philippines’ need to improve infrastructure facilities and develop new residential areas had compounded.</w:t>
      </w:r>
      <w:r w:rsidRPr="0034304D">
        <w:rPr>
          <w:rStyle w:val="EndnoteReference"/>
          <w:spacing w:val="-2"/>
          <w:lang w:val="en-GB"/>
        </w:rPr>
        <w:endnoteReference w:id="29"/>
      </w:r>
      <w:r w:rsidRPr="0034304D">
        <w:rPr>
          <w:spacing w:val="-2"/>
          <w:lang w:val="en-GB"/>
        </w:rPr>
        <w:t xml:space="preserve"> </w:t>
      </w:r>
      <w:bookmarkStart w:id="2" w:name="_Hlk505947385"/>
      <w:r w:rsidRPr="0034304D">
        <w:rPr>
          <w:spacing w:val="-2"/>
          <w:lang w:val="en-GB"/>
        </w:rPr>
        <w:t>Foreseeing the massive requirements for doing so, the National Economic and Development Authority announced an increase in government spending on infrastructure from 5.32 per cent of gross domestic product (GDP) in 2017 (</w:t>
      </w:r>
      <w:r w:rsidRPr="0034304D">
        <w:rPr>
          <w:color w:val="222222"/>
          <w:spacing w:val="-2"/>
          <w:shd w:val="clear" w:color="auto" w:fill="FFFFFF"/>
          <w:lang w:val="en-GB"/>
        </w:rPr>
        <w:t>₱</w:t>
      </w:r>
      <w:r w:rsidRPr="0034304D">
        <w:rPr>
          <w:spacing w:val="-2"/>
          <w:lang w:val="en-GB"/>
        </w:rPr>
        <w:t>847.2 billion) to 7.3 per cent of GDP (</w:t>
      </w:r>
      <w:r w:rsidRPr="0034304D">
        <w:rPr>
          <w:color w:val="222222"/>
          <w:spacing w:val="-2"/>
          <w:shd w:val="clear" w:color="auto" w:fill="FFFFFF"/>
          <w:lang w:val="en-GB"/>
        </w:rPr>
        <w:t>₱</w:t>
      </w:r>
      <w:r w:rsidRPr="0034304D">
        <w:rPr>
          <w:spacing w:val="-2"/>
          <w:lang w:val="en-GB"/>
        </w:rPr>
        <w:t>1.84 trillion) by 2022</w:t>
      </w:r>
      <w:bookmarkEnd w:id="2"/>
      <w:r w:rsidRPr="0034304D">
        <w:rPr>
          <w:spacing w:val="-2"/>
          <w:lang w:val="en-GB"/>
        </w:rPr>
        <w:t>.</w:t>
      </w:r>
      <w:r w:rsidRPr="0034304D">
        <w:rPr>
          <w:rStyle w:val="EndnoteReference"/>
          <w:spacing w:val="-2"/>
          <w:lang w:val="en-GB"/>
        </w:rPr>
        <w:endnoteReference w:id="30"/>
      </w:r>
      <w:r w:rsidRPr="0034304D">
        <w:rPr>
          <w:spacing w:val="-2"/>
          <w:lang w:val="en-GB"/>
        </w:rPr>
        <w:t xml:space="preserve"> It earmarked 75 projects for prioritization, approval, and implementation until 2022. Of these, 18 projects, including the Malolos-Clark Airport–Green City Rail Project; New Centennial Water Source Project; Chico River Pump Irrigation Project; Phase 1 of the Mindanao Railway; the New Cebu International Container Port; and the Davao, Bohol, Laguindingan, Bacolod, and Iloilo airports, were approved by the National Economic and Development Authority’s board.</w:t>
      </w:r>
      <w:r w:rsidRPr="0034304D">
        <w:rPr>
          <w:rStyle w:val="EndnoteReference"/>
          <w:spacing w:val="-2"/>
          <w:lang w:val="en-GB"/>
        </w:rPr>
        <w:endnoteReference w:id="31"/>
      </w:r>
      <w:r w:rsidRPr="0034304D">
        <w:rPr>
          <w:spacing w:val="-2"/>
          <w:lang w:val="en-GB"/>
        </w:rPr>
        <w:t xml:space="preserve"> </w:t>
      </w:r>
      <w:bookmarkStart w:id="3" w:name="_Hlk505947712"/>
      <w:r w:rsidRPr="0034304D">
        <w:rPr>
          <w:spacing w:val="-2"/>
          <w:lang w:val="en-GB"/>
        </w:rPr>
        <w:t>The government had committed to investing US$23 billion in tourism infrastructure over six years under the National Tourism Development Plan</w:t>
      </w:r>
      <w:bookmarkEnd w:id="3"/>
      <w:r w:rsidRPr="0034304D">
        <w:rPr>
          <w:spacing w:val="-2"/>
          <w:lang w:val="en-GB"/>
        </w:rPr>
        <w:t>.</w:t>
      </w:r>
      <w:r w:rsidRPr="0034304D">
        <w:rPr>
          <w:rStyle w:val="EndnoteReference"/>
          <w:spacing w:val="-2"/>
          <w:lang w:val="en-GB"/>
        </w:rPr>
        <w:endnoteReference w:id="32"/>
      </w:r>
      <w:r w:rsidRPr="0034304D">
        <w:rPr>
          <w:spacing w:val="-2"/>
          <w:lang w:val="en-GB"/>
        </w:rPr>
        <w:t xml:space="preserve"> </w:t>
      </w:r>
    </w:p>
    <w:p w14:paraId="276BC8F2" w14:textId="3ECD0C04" w:rsidR="003C1C68" w:rsidRPr="0034304D" w:rsidRDefault="003C1C68" w:rsidP="00320FCF">
      <w:pPr>
        <w:pStyle w:val="BodyTextMain"/>
        <w:rPr>
          <w:lang w:val="en-GB"/>
        </w:rPr>
      </w:pPr>
      <w:r w:rsidRPr="0034304D">
        <w:rPr>
          <w:lang w:val="en-GB"/>
        </w:rPr>
        <w:lastRenderedPageBreak/>
        <w:t xml:space="preserve">Industry reports estimated that the country’s residential market would account for 33.9 per cent of the construction industry’s total value in 2020, considering </w:t>
      </w:r>
      <w:bookmarkStart w:id="4" w:name="_Hlk505947851"/>
      <w:r w:rsidRPr="0034304D">
        <w:rPr>
          <w:lang w:val="en-GB"/>
        </w:rPr>
        <w:t xml:space="preserve">that the government intended to give financial aid to middle- and low-income families through various programs such as the Pag-IBIG Affordable Housing Program, Community Mortgage Program, Core </w:t>
      </w:r>
      <w:r w:rsidRPr="0034304D">
        <w:rPr>
          <w:color w:val="000000" w:themeColor="text1"/>
          <w:lang w:val="en-GB"/>
        </w:rPr>
        <w:t>Housing Program, and the Abot-Kaya Pabahay Fund Developmental Loan Program</w:t>
      </w:r>
      <w:bookmarkEnd w:id="4"/>
      <w:r w:rsidRPr="0034304D">
        <w:rPr>
          <w:color w:val="000000" w:themeColor="text1"/>
          <w:lang w:val="en-GB"/>
        </w:rPr>
        <w:t>.</w:t>
      </w:r>
      <w:r w:rsidRPr="0034304D">
        <w:rPr>
          <w:rStyle w:val="EndnoteReference"/>
          <w:color w:val="000000" w:themeColor="text1"/>
          <w:lang w:val="en-GB"/>
        </w:rPr>
        <w:endnoteReference w:id="33"/>
      </w:r>
      <w:r w:rsidRPr="0034304D">
        <w:rPr>
          <w:color w:val="000000" w:themeColor="text1"/>
          <w:lang w:val="en-GB"/>
        </w:rPr>
        <w:t xml:space="preserve"> </w:t>
      </w:r>
      <w:bookmarkStart w:id="5" w:name="_Hlk505947986"/>
      <w:r w:rsidRPr="0034304D">
        <w:rPr>
          <w:color w:val="000000" w:themeColor="text1"/>
          <w:lang w:val="en-GB"/>
        </w:rPr>
        <w:t>However, a falling peso against the U.S. dollar was likely to lead to a rise in bank interest rates, resulting in higher interest on home loans and hence lower demand for housing.</w:t>
      </w:r>
      <w:r w:rsidRPr="0034304D">
        <w:rPr>
          <w:rStyle w:val="EndnoteReference"/>
          <w:color w:val="000000" w:themeColor="text1"/>
          <w:lang w:val="en-GB"/>
        </w:rPr>
        <w:endnoteReference w:id="34"/>
      </w:r>
      <w:r w:rsidRPr="0034304D">
        <w:rPr>
          <w:color w:val="000000" w:themeColor="text1"/>
          <w:lang w:val="en-GB"/>
        </w:rPr>
        <w:t xml:space="preserve"> </w:t>
      </w:r>
      <w:r w:rsidRPr="0034304D">
        <w:rPr>
          <w:lang w:val="en-GB"/>
        </w:rPr>
        <w:t>Despite this, the outlook for the construction industry was still positive.</w:t>
      </w:r>
      <w:r w:rsidRPr="0034304D">
        <w:rPr>
          <w:color w:val="000000" w:themeColor="text1"/>
          <w:lang w:val="en-GB"/>
        </w:rPr>
        <w:t xml:space="preserve"> The Philippine government had launched a </w:t>
      </w:r>
      <w:r w:rsidRPr="0034304D">
        <w:rPr>
          <w:color w:val="000000" w:themeColor="text1"/>
          <w:shd w:val="clear" w:color="auto" w:fill="FFFFFF"/>
          <w:lang w:val="en-GB"/>
        </w:rPr>
        <w:t>₱</w:t>
      </w:r>
      <w:r w:rsidRPr="0034304D">
        <w:rPr>
          <w:color w:val="000000" w:themeColor="text1"/>
          <w:lang w:val="en-GB"/>
        </w:rPr>
        <w:t>10-billion reconstruction project for the City of Marawi</w:t>
      </w:r>
      <w:bookmarkEnd w:id="5"/>
      <w:r w:rsidRPr="0034304D">
        <w:rPr>
          <w:color w:val="000000" w:themeColor="text1"/>
          <w:lang w:val="en-GB"/>
        </w:rPr>
        <w:t xml:space="preserve">, which had been destroyed in a state-versus-rebel group </w:t>
      </w:r>
      <w:r w:rsidRPr="0034304D">
        <w:rPr>
          <w:lang w:val="en-GB"/>
        </w:rPr>
        <w:t>conflict.</w:t>
      </w:r>
      <w:r w:rsidRPr="0034304D">
        <w:rPr>
          <w:rStyle w:val="EndnoteReference"/>
          <w:lang w:val="en-GB"/>
        </w:rPr>
        <w:endnoteReference w:id="35"/>
      </w:r>
      <w:r w:rsidRPr="0034304D">
        <w:rPr>
          <w:lang w:val="en-GB"/>
        </w:rPr>
        <w:t xml:space="preserve"> Apart from this, a rising expatriate population was fuelling </w:t>
      </w:r>
      <w:bookmarkStart w:id="6" w:name="_Hlk505948414"/>
      <w:r w:rsidRPr="0034304D">
        <w:rPr>
          <w:lang w:val="en-GB"/>
        </w:rPr>
        <w:t>demand for posh condominiums in the Philippines</w:t>
      </w:r>
      <w:bookmarkEnd w:id="6"/>
      <w:r w:rsidRPr="0034304D">
        <w:rPr>
          <w:lang w:val="en-GB"/>
        </w:rPr>
        <w:t>.</w:t>
      </w:r>
      <w:r w:rsidRPr="0034304D">
        <w:rPr>
          <w:rStyle w:val="EndnoteReference"/>
          <w:lang w:val="en-GB"/>
        </w:rPr>
        <w:endnoteReference w:id="36"/>
      </w:r>
    </w:p>
    <w:p w14:paraId="42B0AC50" w14:textId="77777777" w:rsidR="003C1C68" w:rsidRPr="0034304D" w:rsidRDefault="003C1C68" w:rsidP="00320FCF">
      <w:pPr>
        <w:pStyle w:val="BodyTextMain"/>
        <w:rPr>
          <w:lang w:val="en-GB"/>
        </w:rPr>
      </w:pPr>
    </w:p>
    <w:p w14:paraId="6D08A588" w14:textId="73CBAD31" w:rsidR="003C1C68" w:rsidRPr="0034304D" w:rsidRDefault="003C1C68" w:rsidP="00320FCF">
      <w:pPr>
        <w:pStyle w:val="BodyTextMain"/>
        <w:rPr>
          <w:lang w:val="en-GB"/>
        </w:rPr>
      </w:pPr>
      <w:r w:rsidRPr="0034304D">
        <w:rPr>
          <w:lang w:val="en-GB"/>
        </w:rPr>
        <w:t xml:space="preserve">Government focus on infrastructure investment, </w:t>
      </w:r>
      <w:bookmarkStart w:id="7" w:name="_Hlk505948351"/>
      <w:r w:rsidRPr="0034304D">
        <w:rPr>
          <w:lang w:val="en-GB"/>
        </w:rPr>
        <w:t>the urbanization of underprivileged rural areas</w:t>
      </w:r>
      <w:bookmarkEnd w:id="7"/>
      <w:r w:rsidRPr="0034304D">
        <w:rPr>
          <w:lang w:val="en-GB"/>
        </w:rPr>
        <w:t xml:space="preserve">, and housing projects for low- and middle-income groups had encouraged growth in the construction sector, which was expected to reach US$47 billion by 2020. </w:t>
      </w:r>
      <w:bookmarkStart w:id="8" w:name="_Hlk505947328"/>
      <w:r w:rsidRPr="0034304D">
        <w:rPr>
          <w:lang w:val="en-GB"/>
        </w:rPr>
        <w:t xml:space="preserve">The Asian Development Bank had upgraded the </w:t>
      </w:r>
      <w:r>
        <w:rPr>
          <w:lang w:val="en-GB"/>
        </w:rPr>
        <w:t>GDP</w:t>
      </w:r>
      <w:r w:rsidRPr="0034304D">
        <w:rPr>
          <w:lang w:val="en-GB"/>
        </w:rPr>
        <w:t xml:space="preserve"> forecast for 2018 from 6.7 per cent to 6.8 per cent</w:t>
      </w:r>
      <w:r>
        <w:rPr>
          <w:lang w:val="en-GB"/>
        </w:rPr>
        <w:t>,</w:t>
      </w:r>
      <w:r w:rsidRPr="0034304D">
        <w:rPr>
          <w:lang w:val="en-GB"/>
        </w:rPr>
        <w:t xml:space="preserve"> </w:t>
      </w:r>
      <w:bookmarkEnd w:id="8"/>
      <w:r w:rsidRPr="0034304D">
        <w:rPr>
          <w:lang w:val="en-GB"/>
        </w:rPr>
        <w:t>based on the assumption that the government’s infrastructure programs and investment would accelerate large projects.</w:t>
      </w:r>
      <w:r w:rsidRPr="0034304D">
        <w:rPr>
          <w:rStyle w:val="EndnoteReference"/>
          <w:lang w:val="en-GB"/>
        </w:rPr>
        <w:endnoteReference w:id="37"/>
      </w:r>
    </w:p>
    <w:p w14:paraId="0ECF4BA3" w14:textId="77777777" w:rsidR="003C1C68" w:rsidRPr="0034304D" w:rsidRDefault="003C1C68" w:rsidP="00320FCF">
      <w:pPr>
        <w:pStyle w:val="BodyTextMain"/>
        <w:rPr>
          <w:lang w:val="en-GB"/>
        </w:rPr>
      </w:pPr>
    </w:p>
    <w:p w14:paraId="7FC34664" w14:textId="7C34E4F1" w:rsidR="003C1C68" w:rsidRPr="005432AB" w:rsidRDefault="003C1C68" w:rsidP="003C1C68">
      <w:pPr>
        <w:pStyle w:val="BodyTextMain"/>
        <w:rPr>
          <w:spacing w:val="-2"/>
        </w:rPr>
      </w:pPr>
      <w:bookmarkStart w:id="9" w:name="_GoBack"/>
      <w:r w:rsidRPr="005432AB">
        <w:rPr>
          <w:spacing w:val="-2"/>
        </w:rPr>
        <w:t>According to the Cement Manufacturers’ Association of the Philippines (CeMAP), cement sales, including those of imported cement, were rising (see Exhibit 2). By the end of 2016, sales had risen 6.6 per cent to 25.96 million metric tons, of which 1.59 million metric tons were imported.</w:t>
      </w:r>
      <w:r w:rsidRPr="005432AB">
        <w:rPr>
          <w:rStyle w:val="EndnoteReference"/>
          <w:spacing w:val="-2"/>
        </w:rPr>
        <w:endnoteReference w:id="38"/>
      </w:r>
      <w:r w:rsidRPr="005432AB">
        <w:rPr>
          <w:spacing w:val="-2"/>
          <w:vertAlign w:val="superscript"/>
        </w:rPr>
        <w:t xml:space="preserve"> </w:t>
      </w:r>
      <w:r w:rsidRPr="005432AB">
        <w:rPr>
          <w:spacing w:val="-2"/>
        </w:rPr>
        <w:t>But cement importers needed to pay a minimum capitalization of ₱20 million and a post-surety bond of 10 per cent of the declared value of the imported cement.</w:t>
      </w:r>
      <w:r w:rsidRPr="005432AB">
        <w:rPr>
          <w:rStyle w:val="EndnoteReference"/>
          <w:spacing w:val="-2"/>
        </w:rPr>
        <w:endnoteReference w:id="39"/>
      </w:r>
      <w:r w:rsidRPr="005432AB">
        <w:rPr>
          <w:spacing w:val="-2"/>
        </w:rPr>
        <w:t xml:space="preserve"> The gap between demand and local supply was the result of the lower-than-estimated effective capacity of most plants. These plants, which required refurbishments, were more than 20 years old and had a lower than 0.80 clinker-to-cement ratio. Moreover, to meet the Philippines’ growing needs, the cement industry was expected to grow “by an additional 11.5 million tons until 2025,” from its demand of 26.82 million metric tons in 2017.</w:t>
      </w:r>
      <w:r w:rsidRPr="005432AB">
        <w:rPr>
          <w:rStyle w:val="EndnoteReference"/>
          <w:spacing w:val="-2"/>
        </w:rPr>
        <w:endnoteReference w:id="40"/>
      </w:r>
      <w:r w:rsidRPr="005432AB">
        <w:rPr>
          <w:spacing w:val="-2"/>
        </w:rPr>
        <w:t xml:space="preserve"> BBCI hoped to account for 3 per cent of the estimated 26.82 million metric tons, as existing players could only accommodate 20–22 million metric tons of the 2017 demand.</w:t>
      </w:r>
      <w:r w:rsidRPr="005432AB">
        <w:rPr>
          <w:rStyle w:val="EndnoteReference"/>
          <w:spacing w:val="-2"/>
        </w:rPr>
        <w:endnoteReference w:id="41"/>
      </w:r>
    </w:p>
    <w:bookmarkEnd w:id="9"/>
    <w:p w14:paraId="7B888BA8" w14:textId="77777777" w:rsidR="003C1C68" w:rsidRPr="0034304D" w:rsidRDefault="003C1C68" w:rsidP="00320FCF">
      <w:pPr>
        <w:pStyle w:val="BodyTextMain"/>
        <w:rPr>
          <w:color w:val="000000"/>
          <w:shd w:val="clear" w:color="auto" w:fill="FFFFFF"/>
          <w:lang w:val="en-GB"/>
        </w:rPr>
      </w:pPr>
    </w:p>
    <w:p w14:paraId="0170716E" w14:textId="3D77172F" w:rsidR="003C1C68" w:rsidRPr="003C1C68" w:rsidRDefault="003C1C68" w:rsidP="003C1C68">
      <w:pPr>
        <w:pStyle w:val="BodyTextMain"/>
      </w:pPr>
      <w:r w:rsidRPr="003C1C68">
        <w:t>No CeMAP report of the cement industry was available after 2016 because the association had halted the collection of sales data in August 2017 following an investigation into CeMAP, Holcim, and Republic Cement by the Philippine Competition Commission for alleged violations of competitive practices.</w:t>
      </w:r>
      <w:r w:rsidRPr="003C1C68">
        <w:rPr>
          <w:rStyle w:val="EndnoteReference"/>
        </w:rPr>
        <w:endnoteReference w:id="42"/>
      </w:r>
    </w:p>
    <w:p w14:paraId="4BBCAE0A" w14:textId="77777777" w:rsidR="003C1C68" w:rsidRPr="0034304D" w:rsidRDefault="003C1C68" w:rsidP="00320FCF">
      <w:pPr>
        <w:pStyle w:val="BodyTextMain"/>
        <w:rPr>
          <w:lang w:val="en-GB"/>
        </w:rPr>
      </w:pPr>
    </w:p>
    <w:p w14:paraId="51BC2941" w14:textId="67C02982" w:rsidR="003C1C68" w:rsidRPr="0034304D" w:rsidRDefault="003C1C68" w:rsidP="00320FCF">
      <w:pPr>
        <w:pStyle w:val="BodyTextMain"/>
        <w:rPr>
          <w:lang w:val="en-GB"/>
        </w:rPr>
      </w:pPr>
      <w:r w:rsidRPr="0034304D">
        <w:rPr>
          <w:lang w:val="en-GB"/>
        </w:rPr>
        <w:t>As part of global initiatives to reduce emissions, the Philippine government, too, was promoting green products and had rolled out the NELP – GCP to veer consumers towards buying environmentally-friendly products by labelling and declaring products “green” on the basis of clean manufacturing practices.</w:t>
      </w:r>
      <w:r w:rsidRPr="0034304D">
        <w:rPr>
          <w:rStyle w:val="EndnoteReference"/>
          <w:lang w:val="en-GB"/>
        </w:rPr>
        <w:endnoteReference w:id="43"/>
      </w:r>
      <w:r w:rsidRPr="0034304D">
        <w:rPr>
          <w:lang w:val="en-GB"/>
        </w:rPr>
        <w:t xml:space="preserve"> Besides this, the new </w:t>
      </w:r>
      <w:r>
        <w:rPr>
          <w:lang w:val="en-GB"/>
        </w:rPr>
        <w:t>companies</w:t>
      </w:r>
      <w:r w:rsidRPr="0034304D">
        <w:rPr>
          <w:lang w:val="en-GB"/>
        </w:rPr>
        <w:t xml:space="preserve"> BBCI, CEMEX, Republic Cement, and Holcim all had their products certified as “green” by the NELP – GCP.</w:t>
      </w:r>
    </w:p>
    <w:p w14:paraId="206D9E9C" w14:textId="77777777" w:rsidR="003C1C68" w:rsidRPr="0034304D" w:rsidRDefault="003C1C68" w:rsidP="00320FCF">
      <w:pPr>
        <w:pStyle w:val="BodyTextMain"/>
        <w:rPr>
          <w:lang w:val="en-GB"/>
        </w:rPr>
      </w:pPr>
    </w:p>
    <w:p w14:paraId="286A8C82" w14:textId="77777777" w:rsidR="003C1C68" w:rsidRPr="0034304D" w:rsidRDefault="003C1C68" w:rsidP="00320FCF">
      <w:pPr>
        <w:pStyle w:val="BodyTextMain"/>
        <w:rPr>
          <w:lang w:val="en-GB"/>
        </w:rPr>
      </w:pPr>
    </w:p>
    <w:p w14:paraId="3A878778" w14:textId="77777777" w:rsidR="003C1C68" w:rsidRPr="0034304D" w:rsidRDefault="003C1C68" w:rsidP="00320FCF">
      <w:pPr>
        <w:pStyle w:val="BodyTextMain"/>
        <w:rPr>
          <w:rFonts w:ascii="Arial" w:hAnsi="Arial" w:cs="Arial"/>
          <w:b/>
          <w:sz w:val="20"/>
          <w:szCs w:val="20"/>
          <w:lang w:val="en-GB"/>
        </w:rPr>
      </w:pPr>
      <w:r w:rsidRPr="0034304D">
        <w:rPr>
          <w:rFonts w:ascii="Arial" w:hAnsi="Arial" w:cs="Arial"/>
          <w:b/>
          <w:sz w:val="20"/>
          <w:szCs w:val="20"/>
          <w:lang w:val="en-GB"/>
        </w:rPr>
        <w:t>MAJOR PLAYERS</w:t>
      </w:r>
    </w:p>
    <w:p w14:paraId="379DCAB1" w14:textId="77777777" w:rsidR="003C1C68" w:rsidRPr="0034304D" w:rsidRDefault="003C1C68" w:rsidP="00320FCF">
      <w:pPr>
        <w:pStyle w:val="BodyTextMain"/>
        <w:rPr>
          <w:lang w:val="en-GB"/>
        </w:rPr>
      </w:pPr>
    </w:p>
    <w:p w14:paraId="7C64D843" w14:textId="5205520B" w:rsidR="003C1C68" w:rsidRPr="0034304D" w:rsidRDefault="003C1C68" w:rsidP="00320FCF">
      <w:pPr>
        <w:pStyle w:val="BodyTextMain"/>
        <w:rPr>
          <w:lang w:val="en-GB"/>
        </w:rPr>
      </w:pPr>
      <w:r w:rsidRPr="0034304D">
        <w:rPr>
          <w:lang w:val="en-GB"/>
        </w:rPr>
        <w:t xml:space="preserve">As of 2016, the top four </w:t>
      </w:r>
      <w:r>
        <w:rPr>
          <w:lang w:val="en-GB"/>
        </w:rPr>
        <w:t>companies</w:t>
      </w:r>
      <w:r w:rsidRPr="0034304D">
        <w:rPr>
          <w:lang w:val="en-GB"/>
        </w:rPr>
        <w:t>—Holcim, CEMEX, Republic Cement, and Eagle Cement—accounted for 80–82 per cent of total clinker and cement domestic production.</w:t>
      </w:r>
      <w:r w:rsidRPr="0034304D">
        <w:rPr>
          <w:rStyle w:val="EndnoteReference"/>
          <w:lang w:val="en-GB"/>
        </w:rPr>
        <w:endnoteReference w:id="44"/>
      </w:r>
    </w:p>
    <w:p w14:paraId="1759D9ED" w14:textId="77777777" w:rsidR="003C1C68" w:rsidRPr="0034304D" w:rsidRDefault="003C1C68" w:rsidP="00320FCF">
      <w:pPr>
        <w:pStyle w:val="BodyTextMain"/>
        <w:rPr>
          <w:lang w:val="en-GB"/>
        </w:rPr>
      </w:pPr>
    </w:p>
    <w:p w14:paraId="43C98218" w14:textId="1F5DC05E" w:rsidR="003C1C68" w:rsidRPr="0034304D" w:rsidRDefault="003C1C68" w:rsidP="00320FCF">
      <w:pPr>
        <w:pStyle w:val="BodyTextMain"/>
        <w:rPr>
          <w:lang w:val="en-GB"/>
        </w:rPr>
      </w:pPr>
      <w:r w:rsidRPr="0034304D">
        <w:rPr>
          <w:lang w:val="en-GB"/>
        </w:rPr>
        <w:t xml:space="preserve">Holcim was the </w:t>
      </w:r>
      <w:r>
        <w:rPr>
          <w:lang w:val="en-GB"/>
        </w:rPr>
        <w:t xml:space="preserve">market </w:t>
      </w:r>
      <w:r w:rsidRPr="0034304D">
        <w:rPr>
          <w:lang w:val="en-GB"/>
        </w:rPr>
        <w:t>leader with the largest cement-production capacity</w:t>
      </w:r>
      <w:r>
        <w:rPr>
          <w:lang w:val="en-GB"/>
        </w:rPr>
        <w:t>—</w:t>
      </w:r>
      <w:r w:rsidRPr="0034304D">
        <w:rPr>
          <w:lang w:val="en-GB"/>
        </w:rPr>
        <w:t xml:space="preserve"> 8 million metric tons as of 2016 (see Exhibit 3). The competition was becoming </w:t>
      </w:r>
      <w:r>
        <w:rPr>
          <w:lang w:val="en-GB"/>
        </w:rPr>
        <w:t>more intense</w:t>
      </w:r>
      <w:r w:rsidRPr="0034304D">
        <w:rPr>
          <w:lang w:val="en-GB"/>
        </w:rPr>
        <w:t xml:space="preserve">, with each of the four </w:t>
      </w:r>
      <w:r>
        <w:rPr>
          <w:lang w:val="en-GB"/>
        </w:rPr>
        <w:t>competitors</w:t>
      </w:r>
      <w:r w:rsidRPr="0034304D">
        <w:rPr>
          <w:lang w:val="en-GB"/>
        </w:rPr>
        <w:t xml:space="preserve"> rolling out initiatives and investments to increase production output by 2020 (see Exhibit 3). The Philippine cement industry’s production capacity was estimated </w:t>
      </w:r>
      <w:r>
        <w:rPr>
          <w:lang w:val="en-GB"/>
        </w:rPr>
        <w:t>a</w:t>
      </w:r>
      <w:r w:rsidRPr="0034304D">
        <w:rPr>
          <w:lang w:val="en-GB"/>
        </w:rPr>
        <w:t>t 28.63 million metric tons as of December 2016</w:t>
      </w:r>
      <w:r>
        <w:rPr>
          <w:lang w:val="en-GB"/>
        </w:rPr>
        <w:t>,</w:t>
      </w:r>
      <w:r w:rsidRPr="0034304D">
        <w:rPr>
          <w:lang w:val="en-GB"/>
        </w:rPr>
        <w:t xml:space="preserve"> based on nameplate capacities of integrated cement manufacturing and grinding plants.</w:t>
      </w:r>
      <w:r w:rsidRPr="0034304D">
        <w:rPr>
          <w:rStyle w:val="EndnoteReference"/>
          <w:lang w:val="en-GB"/>
        </w:rPr>
        <w:endnoteReference w:id="45"/>
      </w:r>
      <w:r w:rsidRPr="0034304D">
        <w:rPr>
          <w:vertAlign w:val="superscript"/>
          <w:lang w:val="en-GB"/>
        </w:rPr>
        <w:t xml:space="preserve"> </w:t>
      </w:r>
      <w:r w:rsidRPr="0034304D">
        <w:rPr>
          <w:lang w:val="en-GB"/>
        </w:rPr>
        <w:t xml:space="preserve">Industry reports placed the </w:t>
      </w:r>
      <w:r w:rsidRPr="0034304D">
        <w:rPr>
          <w:lang w:val="en-GB"/>
        </w:rPr>
        <w:lastRenderedPageBreak/>
        <w:t>number of cement plants in the country at 18 (16 integrated and two grinding plants), with the plants of the top four players spread across the Luzon, Visayas, and Mindanao regions (see Exhibit 4).</w:t>
      </w:r>
    </w:p>
    <w:p w14:paraId="3E8EE408" w14:textId="77777777" w:rsidR="003C1C68" w:rsidRPr="0034304D" w:rsidRDefault="003C1C68" w:rsidP="008226EA">
      <w:pPr>
        <w:pStyle w:val="BodyTextMain"/>
        <w:rPr>
          <w:lang w:val="en-GB"/>
        </w:rPr>
      </w:pPr>
    </w:p>
    <w:p w14:paraId="3DE70D2E" w14:textId="77777777" w:rsidR="003C1C68" w:rsidRPr="0034304D" w:rsidRDefault="003C1C68" w:rsidP="008226EA">
      <w:pPr>
        <w:pStyle w:val="BodyTextMain"/>
        <w:rPr>
          <w:lang w:val="en-GB"/>
        </w:rPr>
      </w:pPr>
    </w:p>
    <w:p w14:paraId="2490A105" w14:textId="77777777" w:rsidR="003C1C68" w:rsidRPr="0034304D" w:rsidRDefault="003C1C68" w:rsidP="00320FCF">
      <w:pPr>
        <w:pStyle w:val="BodyTextMain"/>
        <w:rPr>
          <w:rFonts w:eastAsiaTheme="minorHAnsi"/>
          <w:u w:val="single"/>
          <w:lang w:val="en-GB"/>
        </w:rPr>
      </w:pPr>
      <w:r w:rsidRPr="0034304D">
        <w:rPr>
          <w:rFonts w:eastAsiaTheme="minorHAnsi"/>
          <w:u w:val="single"/>
          <w:lang w:val="en-GB"/>
        </w:rPr>
        <w:t>Holcim Philippines Inc.</w:t>
      </w:r>
    </w:p>
    <w:p w14:paraId="08BC2107" w14:textId="77777777" w:rsidR="003C1C68" w:rsidRPr="0034304D" w:rsidRDefault="003C1C68" w:rsidP="00320FCF">
      <w:pPr>
        <w:pStyle w:val="BodyTextMain"/>
        <w:rPr>
          <w:rFonts w:eastAsiaTheme="minorHAnsi"/>
          <w:lang w:val="en-GB"/>
        </w:rPr>
      </w:pPr>
    </w:p>
    <w:p w14:paraId="5B7E0F89" w14:textId="5AA2C40D" w:rsidR="003C1C68" w:rsidRPr="0034304D" w:rsidRDefault="003C1C68" w:rsidP="00320FCF">
      <w:pPr>
        <w:pStyle w:val="BodyTextMain"/>
        <w:rPr>
          <w:rFonts w:eastAsiaTheme="minorHAnsi"/>
          <w:lang w:val="en-GB"/>
        </w:rPr>
      </w:pPr>
      <w:r w:rsidRPr="0034304D">
        <w:rPr>
          <w:rFonts w:eastAsiaTheme="minorHAnsi"/>
          <w:lang w:val="en-GB"/>
        </w:rPr>
        <w:t>Holcim was a member of the LafargeHolcim</w:t>
      </w:r>
      <w:r>
        <w:rPr>
          <w:rFonts w:eastAsiaTheme="minorHAnsi"/>
          <w:lang w:val="en-GB"/>
        </w:rPr>
        <w:t xml:space="preserve"> Ltd. group</w:t>
      </w:r>
      <w:r w:rsidRPr="0034304D">
        <w:rPr>
          <w:rFonts w:eastAsiaTheme="minorHAnsi"/>
          <w:lang w:val="en-GB"/>
        </w:rPr>
        <w:t>, a world leader in the construction materials industry, with a presence in 80 countries and over 80,000 employees.</w:t>
      </w:r>
      <w:r w:rsidRPr="0034304D">
        <w:rPr>
          <w:rStyle w:val="EndnoteReference"/>
          <w:rFonts w:eastAsiaTheme="minorHAnsi"/>
          <w:lang w:val="en-GB"/>
        </w:rPr>
        <w:endnoteReference w:id="46"/>
      </w:r>
      <w:r w:rsidRPr="0034304D">
        <w:rPr>
          <w:rFonts w:eastAsiaTheme="minorHAnsi"/>
          <w:lang w:val="en-GB"/>
        </w:rPr>
        <w:t xml:space="preserve"> The company was formed in 2000 after the merger of three companies—Bacnotan Cement Corporation, Davao Union Cement Corporation, and Hi Cement Corporation—and the subsequent acquisition of the Alsons Cement Corporation in 2002.</w:t>
      </w:r>
      <w:r w:rsidRPr="0034304D">
        <w:rPr>
          <w:rFonts w:eastAsiaTheme="minorHAnsi"/>
          <w:vertAlign w:val="superscript"/>
          <w:lang w:val="en-GB"/>
        </w:rPr>
        <w:t xml:space="preserve"> </w:t>
      </w:r>
      <w:r w:rsidRPr="0034304D">
        <w:rPr>
          <w:rFonts w:eastAsiaTheme="minorHAnsi"/>
          <w:lang w:val="en-GB"/>
        </w:rPr>
        <w:t xml:space="preserve">Holcim manufactured, sold, and distributed cement, dry mix mortar products, and clinker. The company and its subsidiaries had four production facilities (see Exhibit 4), one grinding mill, </w:t>
      </w:r>
      <w:bookmarkStart w:id="11" w:name="_Hlk505949339"/>
      <w:r w:rsidRPr="0034304D">
        <w:rPr>
          <w:rFonts w:eastAsiaTheme="minorHAnsi"/>
          <w:lang w:val="en-GB"/>
        </w:rPr>
        <w:t xml:space="preserve">three ports, and several storage and distribution points across the </w:t>
      </w:r>
      <w:bookmarkEnd w:id="11"/>
      <w:r w:rsidRPr="0034304D">
        <w:rPr>
          <w:rFonts w:eastAsiaTheme="minorHAnsi"/>
          <w:lang w:val="en-GB"/>
        </w:rPr>
        <w:t>Philippines.</w:t>
      </w:r>
      <w:r w:rsidRPr="0034304D">
        <w:rPr>
          <w:rStyle w:val="EndnoteReference"/>
          <w:rFonts w:eastAsiaTheme="minorHAnsi"/>
          <w:lang w:val="en-GB"/>
        </w:rPr>
        <w:endnoteReference w:id="47"/>
      </w:r>
      <w:r w:rsidRPr="0034304D">
        <w:rPr>
          <w:rFonts w:eastAsiaTheme="minorHAnsi"/>
          <w:lang w:val="en-GB"/>
        </w:rPr>
        <w:t xml:space="preserve"> Its investments in several sustainability initiatives, such as a continuous emissions monitoring system—to watch gaseous and dust emissions in real time—and being a founding member of the World Business Council for Sustainable Development, reflected the company’s commitment to reducing emissions by 20 per cent by 2010.</w:t>
      </w:r>
      <w:r w:rsidRPr="0034304D">
        <w:rPr>
          <w:rStyle w:val="EndnoteReference"/>
          <w:rFonts w:eastAsiaTheme="minorHAnsi"/>
          <w:lang w:val="en-GB"/>
        </w:rPr>
        <w:endnoteReference w:id="48"/>
      </w:r>
    </w:p>
    <w:p w14:paraId="5699D1C4" w14:textId="77777777" w:rsidR="003C1C68" w:rsidRPr="0034304D" w:rsidRDefault="003C1C68" w:rsidP="00320FCF">
      <w:pPr>
        <w:pStyle w:val="BodyTextMain"/>
        <w:rPr>
          <w:rFonts w:eastAsiaTheme="minorHAnsi"/>
          <w:lang w:val="en-GB"/>
        </w:rPr>
      </w:pPr>
    </w:p>
    <w:p w14:paraId="6611327A" w14:textId="77777777" w:rsidR="003C1C68" w:rsidRPr="0034304D" w:rsidRDefault="003C1C68" w:rsidP="00320FCF">
      <w:pPr>
        <w:pStyle w:val="BodyTextMain"/>
        <w:rPr>
          <w:rFonts w:eastAsiaTheme="minorHAnsi"/>
          <w:lang w:val="en-GB"/>
        </w:rPr>
      </w:pPr>
    </w:p>
    <w:p w14:paraId="0E26E8FE" w14:textId="058E4CF0" w:rsidR="003C1C68" w:rsidRPr="0034304D" w:rsidRDefault="003C1C68" w:rsidP="00320FCF">
      <w:pPr>
        <w:pStyle w:val="BodyTextMain"/>
        <w:rPr>
          <w:color w:val="000000"/>
          <w:u w:val="single"/>
          <w:shd w:val="clear" w:color="auto" w:fill="FFFFFF"/>
          <w:lang w:val="en-GB"/>
        </w:rPr>
      </w:pPr>
      <w:r w:rsidRPr="0034304D">
        <w:rPr>
          <w:color w:val="000000"/>
          <w:u w:val="single"/>
          <w:shd w:val="clear" w:color="auto" w:fill="FFFFFF"/>
          <w:lang w:val="en-GB"/>
        </w:rPr>
        <w:t>CEMEX Holdings Philippines Inc.</w:t>
      </w:r>
    </w:p>
    <w:p w14:paraId="3CCA7033" w14:textId="77777777" w:rsidR="003C1C68" w:rsidRPr="0034304D" w:rsidRDefault="003C1C68" w:rsidP="00320FCF">
      <w:pPr>
        <w:pStyle w:val="BodyTextMain"/>
        <w:rPr>
          <w:rFonts w:eastAsiaTheme="minorHAnsi"/>
          <w:lang w:val="en-GB"/>
        </w:rPr>
      </w:pPr>
    </w:p>
    <w:p w14:paraId="05C5132C" w14:textId="6AA9A8DE" w:rsidR="003C1C68" w:rsidRPr="0034304D" w:rsidRDefault="003C1C68" w:rsidP="00320FCF">
      <w:pPr>
        <w:pStyle w:val="BodyTextMain"/>
        <w:rPr>
          <w:rFonts w:eastAsiaTheme="minorHAnsi"/>
          <w:lang w:val="en-GB"/>
        </w:rPr>
      </w:pPr>
      <w:r w:rsidRPr="0034304D">
        <w:rPr>
          <w:rFonts w:eastAsiaTheme="minorHAnsi"/>
          <w:lang w:val="en-GB"/>
        </w:rPr>
        <w:t xml:space="preserve">CEMEX, a subsidiary of CEMEX Asian South East Corporation, was a global building-materials company and had a presence across 50 countries. Its products included ordinary Portland cement, masonry or mortar cement, blended cement, and ready-mix concrete. As of March 31, 2016, the company and its subsidiaries owned two cement plants (see Exhibit 4), one ready-mix concrete plant, one admixtures facility, and </w:t>
      </w:r>
      <w:bookmarkStart w:id="12" w:name="_Hlk505949374"/>
      <w:r w:rsidRPr="0034304D">
        <w:rPr>
          <w:rFonts w:eastAsiaTheme="minorHAnsi"/>
          <w:lang w:val="en-GB"/>
        </w:rPr>
        <w:t xml:space="preserve">several land distribution facilities and shipping terminals across the </w:t>
      </w:r>
      <w:bookmarkEnd w:id="12"/>
      <w:r w:rsidRPr="0034304D">
        <w:rPr>
          <w:rFonts w:eastAsiaTheme="minorHAnsi"/>
          <w:lang w:val="en-GB"/>
        </w:rPr>
        <w:t>Philippines.</w:t>
      </w:r>
      <w:r w:rsidRPr="0034304D">
        <w:rPr>
          <w:rStyle w:val="EndnoteReference"/>
          <w:rFonts w:eastAsiaTheme="minorHAnsi"/>
          <w:lang w:val="en-GB"/>
        </w:rPr>
        <w:endnoteReference w:id="49"/>
      </w:r>
      <w:r w:rsidRPr="0034304D">
        <w:rPr>
          <w:rFonts w:eastAsiaTheme="minorHAnsi"/>
          <w:lang w:val="en-GB"/>
        </w:rPr>
        <w:t xml:space="preserve"> Apart from developing green products, the company was also involved in several corporate social responsibility and skill-developing initiates. I</w:t>
      </w:r>
      <w:r>
        <w:rPr>
          <w:rFonts w:eastAsiaTheme="minorHAnsi"/>
          <w:lang w:val="en-GB"/>
        </w:rPr>
        <w:t>n</w:t>
      </w:r>
      <w:r w:rsidRPr="0034304D">
        <w:rPr>
          <w:rFonts w:eastAsiaTheme="minorHAnsi"/>
          <w:lang w:val="en-GB"/>
        </w:rPr>
        <w:t xml:space="preserve"> 2014, it conducted a free 33-day masonry skills training program—Experto Ako!—where over 200 masons were taught about proper cement application and equipment, values formation, and teamwork.</w:t>
      </w:r>
      <w:r w:rsidRPr="0034304D">
        <w:rPr>
          <w:rStyle w:val="EndnoteReference"/>
          <w:rFonts w:eastAsiaTheme="minorHAnsi"/>
          <w:lang w:val="en-GB"/>
        </w:rPr>
        <w:endnoteReference w:id="50"/>
      </w:r>
      <w:r w:rsidRPr="0034304D">
        <w:rPr>
          <w:rFonts w:eastAsiaTheme="minorHAnsi"/>
          <w:lang w:val="en-GB"/>
        </w:rPr>
        <w:t xml:space="preserve"> Besides this, CEMEX had partnered with the local government and non-profit organizations in the aftermath of Super Typhoon Yolanda to help rebuild and rehabilitate affected communities in the northern part of Cebu province.</w:t>
      </w:r>
      <w:r w:rsidRPr="0034304D">
        <w:rPr>
          <w:rStyle w:val="EndnoteReference"/>
          <w:rFonts w:eastAsiaTheme="minorHAnsi"/>
          <w:lang w:val="en-GB"/>
        </w:rPr>
        <w:endnoteReference w:id="51"/>
      </w:r>
      <w:r w:rsidRPr="0034304D">
        <w:rPr>
          <w:rFonts w:eastAsiaTheme="minorHAnsi"/>
          <w:lang w:val="en-GB"/>
        </w:rPr>
        <w:t xml:space="preserve"> </w:t>
      </w:r>
    </w:p>
    <w:p w14:paraId="5E369FCB" w14:textId="77777777" w:rsidR="003C1C68" w:rsidRPr="0034304D" w:rsidRDefault="003C1C68" w:rsidP="00320FCF">
      <w:pPr>
        <w:pStyle w:val="BodyTextMain"/>
        <w:rPr>
          <w:rFonts w:eastAsiaTheme="minorHAnsi"/>
          <w:u w:val="single"/>
          <w:lang w:val="en-GB"/>
        </w:rPr>
      </w:pPr>
    </w:p>
    <w:p w14:paraId="709D28A7" w14:textId="77777777" w:rsidR="003C1C68" w:rsidRPr="0034304D" w:rsidRDefault="003C1C68" w:rsidP="00320FCF">
      <w:pPr>
        <w:pStyle w:val="BodyTextMain"/>
        <w:rPr>
          <w:rFonts w:eastAsiaTheme="minorHAnsi"/>
          <w:u w:val="single"/>
          <w:lang w:val="en-GB"/>
        </w:rPr>
      </w:pPr>
    </w:p>
    <w:p w14:paraId="747D299E" w14:textId="77777777" w:rsidR="003C1C68" w:rsidRPr="0034304D" w:rsidRDefault="003C1C68" w:rsidP="00320FCF">
      <w:pPr>
        <w:pStyle w:val="BodyTextMain"/>
        <w:rPr>
          <w:rFonts w:eastAsiaTheme="minorHAnsi"/>
          <w:u w:val="single"/>
          <w:lang w:val="en-GB"/>
        </w:rPr>
      </w:pPr>
      <w:r w:rsidRPr="0034304D">
        <w:rPr>
          <w:rFonts w:eastAsiaTheme="minorHAnsi"/>
          <w:u w:val="single"/>
          <w:lang w:val="en-GB"/>
        </w:rPr>
        <w:t>Republic Cement Group</w:t>
      </w:r>
    </w:p>
    <w:p w14:paraId="582D7CD0" w14:textId="77777777" w:rsidR="003C1C68" w:rsidRPr="0034304D" w:rsidRDefault="003C1C68" w:rsidP="00320FCF">
      <w:pPr>
        <w:pStyle w:val="BodyTextMain"/>
        <w:rPr>
          <w:rFonts w:eastAsiaTheme="minorHAnsi"/>
          <w:lang w:val="en-GB"/>
        </w:rPr>
      </w:pPr>
    </w:p>
    <w:p w14:paraId="00B279CE" w14:textId="2D309048" w:rsidR="003C1C68" w:rsidRPr="0034304D" w:rsidRDefault="003C1C68" w:rsidP="00320FCF">
      <w:pPr>
        <w:pStyle w:val="BodyTextMain"/>
        <w:rPr>
          <w:rFonts w:eastAsiaTheme="minorHAnsi"/>
          <w:lang w:val="en-GB"/>
        </w:rPr>
      </w:pPr>
      <w:r w:rsidRPr="0034304D">
        <w:rPr>
          <w:rFonts w:eastAsiaTheme="minorHAnsi"/>
          <w:lang w:val="en-GB"/>
        </w:rPr>
        <w:t>Republic Cement &amp; Building Materials, Inc.; Republic Cement Iligan, Inc.; Republic Cement Mindanao, Inc.; and Republic Cement Services, Inc. comprised the Republic Cement Group, a joint venture between Ireland-based company CRH and local conglomerate Aboitiz Equity Ventures. CRH was a Fortune 500 building-materials company listed on the London Stock Exchange and the Irish Stock Exchange, and Aboitiz Equity Ventures, a public holding company of the Aboitiz Group, was a Filipino business group listed on the Philippine Stock Exchange. It had major investments in power, banking and financial services, food, infrastructure, and real estate. Republic Cement was involved in multiple sustainability initiatives; four of its key initiatives were for (1) people and communities (health, training, affordable housing, ethics, and compliance)</w:t>
      </w:r>
      <w:r>
        <w:rPr>
          <w:rFonts w:eastAsiaTheme="minorHAnsi"/>
          <w:lang w:val="en-GB"/>
        </w:rPr>
        <w:t>;</w:t>
      </w:r>
      <w:r w:rsidRPr="0034304D">
        <w:rPr>
          <w:rFonts w:eastAsiaTheme="minorHAnsi"/>
          <w:lang w:val="en-GB"/>
        </w:rPr>
        <w:t xml:space="preserve"> (2) climate-change mitigation (reducing carbon dioxide emissions and the amount of clinker in cement, using alternative fuels, improving heat efficiency, and reforestation)</w:t>
      </w:r>
      <w:r>
        <w:rPr>
          <w:rFonts w:eastAsiaTheme="minorHAnsi"/>
          <w:lang w:val="en-GB"/>
        </w:rPr>
        <w:t>;</w:t>
      </w:r>
      <w:r w:rsidRPr="0034304D">
        <w:rPr>
          <w:rFonts w:eastAsiaTheme="minorHAnsi"/>
          <w:lang w:val="en-GB"/>
        </w:rPr>
        <w:t xml:space="preserve"> (3) environmental responsibility (water conservation, bio-diversity, and particulate matter)</w:t>
      </w:r>
      <w:r>
        <w:rPr>
          <w:rFonts w:eastAsiaTheme="minorHAnsi"/>
          <w:lang w:val="en-GB"/>
        </w:rPr>
        <w:t>;</w:t>
      </w:r>
      <w:r w:rsidRPr="0034304D">
        <w:rPr>
          <w:rFonts w:eastAsiaTheme="minorHAnsi"/>
          <w:lang w:val="en-GB"/>
        </w:rPr>
        <w:t xml:space="preserve"> and (4) blue innovation (discovering and promoting ecologically-sound solutions, processes, and products).</w:t>
      </w:r>
      <w:r w:rsidRPr="0034304D">
        <w:rPr>
          <w:rStyle w:val="EndnoteReference"/>
          <w:rFonts w:eastAsiaTheme="minorHAnsi"/>
          <w:lang w:val="en-GB"/>
        </w:rPr>
        <w:endnoteReference w:id="52"/>
      </w:r>
    </w:p>
    <w:p w14:paraId="47C8869E" w14:textId="77777777" w:rsidR="003C1C68" w:rsidRPr="0034304D" w:rsidRDefault="003C1C68" w:rsidP="00320FCF">
      <w:pPr>
        <w:pStyle w:val="BodyTextMain"/>
        <w:rPr>
          <w:rFonts w:eastAsiaTheme="minorHAnsi"/>
          <w:u w:val="single"/>
          <w:lang w:val="en-GB"/>
        </w:rPr>
      </w:pPr>
    </w:p>
    <w:p w14:paraId="72E12BA5" w14:textId="77777777" w:rsidR="003C1C68" w:rsidRPr="0034304D" w:rsidRDefault="003C1C68" w:rsidP="00320FCF">
      <w:pPr>
        <w:pStyle w:val="BodyTextMain"/>
        <w:rPr>
          <w:rFonts w:eastAsiaTheme="minorHAnsi"/>
          <w:u w:val="single"/>
          <w:lang w:val="en-GB"/>
        </w:rPr>
      </w:pPr>
    </w:p>
    <w:p w14:paraId="59F77A6C" w14:textId="1F3815CB" w:rsidR="003C1C68" w:rsidRPr="0034304D" w:rsidRDefault="003C1C68" w:rsidP="00320FCF">
      <w:pPr>
        <w:pStyle w:val="BodyTextMain"/>
        <w:rPr>
          <w:rFonts w:eastAsiaTheme="minorHAnsi"/>
          <w:u w:val="single"/>
          <w:lang w:val="en-GB"/>
        </w:rPr>
      </w:pPr>
      <w:r w:rsidRPr="0034304D">
        <w:rPr>
          <w:rFonts w:eastAsiaTheme="minorHAnsi"/>
          <w:u w:val="single"/>
          <w:lang w:val="en-GB"/>
        </w:rPr>
        <w:lastRenderedPageBreak/>
        <w:t>Eagle Cement Corporation</w:t>
      </w:r>
    </w:p>
    <w:p w14:paraId="3D98CB2F" w14:textId="77777777" w:rsidR="003C1C68" w:rsidRPr="0034304D" w:rsidRDefault="003C1C68" w:rsidP="00320FCF">
      <w:pPr>
        <w:pStyle w:val="BodyTextMain"/>
        <w:rPr>
          <w:rFonts w:eastAsiaTheme="minorHAnsi"/>
          <w:lang w:val="en-GB"/>
        </w:rPr>
      </w:pPr>
    </w:p>
    <w:p w14:paraId="06206FFC" w14:textId="56F08BA7" w:rsidR="003C1C68" w:rsidRPr="0034304D" w:rsidRDefault="003C1C68" w:rsidP="00320FCF">
      <w:pPr>
        <w:pStyle w:val="BodyTextMain"/>
        <w:rPr>
          <w:rFonts w:eastAsiaTheme="minorHAnsi"/>
          <w:lang w:val="en-GB"/>
        </w:rPr>
      </w:pPr>
      <w:r w:rsidRPr="0034304D">
        <w:rPr>
          <w:rFonts w:eastAsiaTheme="minorHAnsi"/>
          <w:lang w:val="en-GB"/>
        </w:rPr>
        <w:t>Eagle Cement</w:t>
      </w:r>
      <w:r w:rsidRPr="0034304D">
        <w:rPr>
          <w:rFonts w:eastAsiaTheme="minorHAnsi"/>
          <w:b/>
          <w:lang w:val="en-GB"/>
        </w:rPr>
        <w:t xml:space="preserve"> </w:t>
      </w:r>
      <w:r w:rsidRPr="0034304D">
        <w:rPr>
          <w:rFonts w:eastAsiaTheme="minorHAnsi"/>
          <w:lang w:val="en-GB"/>
        </w:rPr>
        <w:t>was majority-owned and managed by Chinese Filipino businessman Ramon Ang, who was the president and chairman of San Miguel Corporation. He owned a hotel and over 100 acres of prime real estate.</w:t>
      </w:r>
      <w:r w:rsidRPr="0034304D">
        <w:rPr>
          <w:rStyle w:val="EndnoteReference"/>
          <w:rFonts w:eastAsiaTheme="minorHAnsi"/>
          <w:lang w:val="en-GB"/>
        </w:rPr>
        <w:endnoteReference w:id="53"/>
      </w:r>
      <w:r w:rsidRPr="0034304D">
        <w:rPr>
          <w:rFonts w:eastAsiaTheme="minorHAnsi"/>
          <w:lang w:val="en-GB"/>
        </w:rPr>
        <w:t xml:space="preserve"> San Miguel Corporation was among the largest and most diversified conglomerates in the Philippines. It contributed about 5.1 per cent of the country’s GDP (as of 2015) through its operations in beverages, food, packaging, fuel and oil, power, and infrastructure.</w:t>
      </w:r>
      <w:r w:rsidRPr="0034304D">
        <w:rPr>
          <w:rStyle w:val="EndnoteReference"/>
          <w:rFonts w:eastAsiaTheme="minorHAnsi"/>
          <w:lang w:val="en-GB"/>
        </w:rPr>
        <w:endnoteReference w:id="54"/>
      </w:r>
      <w:r w:rsidRPr="0034304D">
        <w:rPr>
          <w:rFonts w:eastAsiaTheme="minorHAnsi"/>
          <w:lang w:val="en-GB"/>
        </w:rPr>
        <w:t xml:space="preserve"> It manufactured, marketed, sold, and distributed cement products and by-products and had two wholly-owned subsidiaries—South Western Cement Corporation and KB Space Holdings Inc., a land holding company. While South Western Cement Corporation manufactured and sold cement and its by-products and owned mineral rights in Malabuyoc in the province of Cebu, KB Space Holdings Inc. owned several parcels of prime commercial land in Mandaluyong City.</w:t>
      </w:r>
      <w:r w:rsidRPr="0034304D">
        <w:rPr>
          <w:rStyle w:val="EndnoteReference"/>
          <w:rFonts w:eastAsiaTheme="minorHAnsi"/>
          <w:lang w:val="en-GB"/>
        </w:rPr>
        <w:endnoteReference w:id="55"/>
      </w:r>
      <w:r w:rsidRPr="0034304D">
        <w:rPr>
          <w:rFonts w:eastAsiaTheme="minorHAnsi"/>
          <w:lang w:val="en-GB"/>
        </w:rPr>
        <w:t xml:space="preserve"> Eagle Cement</w:t>
      </w:r>
      <w:r w:rsidRPr="0034304D">
        <w:rPr>
          <w:lang w:val="en-GB"/>
        </w:rPr>
        <w:t xml:space="preserve"> </w:t>
      </w:r>
      <w:r w:rsidRPr="0034304D">
        <w:rPr>
          <w:rFonts w:eastAsiaTheme="minorHAnsi"/>
          <w:lang w:val="en-GB"/>
        </w:rPr>
        <w:t>had a cement production facility in Barangay Akle, Bulacan (see Exhibit 4), and a grinding and packaging facility in Limay, Bataan.</w:t>
      </w:r>
    </w:p>
    <w:p w14:paraId="29B7B0A7" w14:textId="77777777" w:rsidR="003C1C68" w:rsidRPr="0034304D" w:rsidRDefault="003C1C68" w:rsidP="00320FCF">
      <w:pPr>
        <w:pStyle w:val="BodyTextMain"/>
        <w:rPr>
          <w:rFonts w:eastAsiaTheme="minorHAnsi"/>
          <w:lang w:val="en-GB"/>
        </w:rPr>
      </w:pPr>
    </w:p>
    <w:p w14:paraId="0700C3B3" w14:textId="77777777" w:rsidR="003C1C68" w:rsidRPr="0034304D" w:rsidRDefault="003C1C68" w:rsidP="00320FCF">
      <w:pPr>
        <w:pStyle w:val="BodyTextMain"/>
        <w:rPr>
          <w:rFonts w:eastAsiaTheme="minorHAnsi"/>
          <w:lang w:val="en-GB"/>
        </w:rPr>
      </w:pPr>
    </w:p>
    <w:p w14:paraId="2574C0F5" w14:textId="77777777" w:rsidR="003C1C68" w:rsidRPr="0034304D" w:rsidRDefault="003C1C68" w:rsidP="00320FCF">
      <w:pPr>
        <w:pStyle w:val="BodyTextMain"/>
        <w:rPr>
          <w:rFonts w:ascii="Arial" w:eastAsiaTheme="minorHAnsi" w:hAnsi="Arial" w:cs="Arial"/>
          <w:b/>
          <w:sz w:val="20"/>
          <w:szCs w:val="20"/>
          <w:lang w:val="en-GB"/>
        </w:rPr>
      </w:pPr>
      <w:r w:rsidRPr="0034304D">
        <w:rPr>
          <w:rFonts w:ascii="Arial" w:eastAsiaTheme="minorHAnsi" w:hAnsi="Arial" w:cs="Arial"/>
          <w:b/>
          <w:sz w:val="20"/>
          <w:szCs w:val="20"/>
          <w:lang w:val="en-GB"/>
        </w:rPr>
        <w:t>THE WAY FORWARD</w:t>
      </w:r>
    </w:p>
    <w:p w14:paraId="43605303" w14:textId="77777777" w:rsidR="003C1C68" w:rsidRPr="0034304D" w:rsidRDefault="003C1C68" w:rsidP="00320FCF">
      <w:pPr>
        <w:pStyle w:val="BodyTextMain"/>
        <w:rPr>
          <w:lang w:val="en-GB"/>
        </w:rPr>
      </w:pPr>
    </w:p>
    <w:p w14:paraId="1507635B" w14:textId="6682AECE" w:rsidR="003F74D0" w:rsidRPr="0034304D" w:rsidRDefault="003C1C68" w:rsidP="00320FCF">
      <w:pPr>
        <w:pStyle w:val="BodyTextMain"/>
        <w:rPr>
          <w:szCs w:val="20"/>
          <w:lang w:val="en-GB"/>
        </w:rPr>
      </w:pPr>
      <w:r w:rsidRPr="0034304D">
        <w:rPr>
          <w:rFonts w:ascii="Calibri" w:eastAsia="Calibri" w:hAnsi="Calibri" w:cs="Mangal"/>
          <w:noProof/>
        </w:rPr>
        <mc:AlternateContent>
          <mc:Choice Requires="wps">
            <w:drawing>
              <wp:anchor distT="45720" distB="45720" distL="114300" distR="114300" simplePos="0" relativeHeight="251663360" behindDoc="0" locked="0" layoutInCell="1" allowOverlap="1" wp14:anchorId="680601B6" wp14:editId="7181DDD7">
                <wp:simplePos x="0" y="0"/>
                <wp:positionH relativeFrom="margin">
                  <wp:posOffset>564349</wp:posOffset>
                </wp:positionH>
                <wp:positionV relativeFrom="paragraph">
                  <wp:posOffset>1929020</wp:posOffset>
                </wp:positionV>
                <wp:extent cx="4894580" cy="342265"/>
                <wp:effectExtent l="0" t="0" r="762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4580" cy="342265"/>
                        </a:xfrm>
                        <a:prstGeom prst="rect">
                          <a:avLst/>
                        </a:prstGeom>
                        <a:solidFill>
                          <a:srgbClr val="FFFFFF"/>
                        </a:solidFill>
                        <a:ln w="3175">
                          <a:solidFill>
                            <a:srgbClr val="000000"/>
                          </a:solidFill>
                          <a:miter lim="800000"/>
                          <a:headEnd/>
                          <a:tailEnd/>
                        </a:ln>
                      </wps:spPr>
                      <wps:txbx>
                        <w:txbxContent>
                          <w:p w14:paraId="3CC7F950" w14:textId="5BAA404F" w:rsidR="003C1C68" w:rsidRPr="00576BB4" w:rsidRDefault="003C1C68" w:rsidP="00216CCF">
                            <w:pPr>
                              <w:pStyle w:val="Footnote"/>
                              <w:jc w:val="center"/>
                            </w:pPr>
                            <w:r>
                              <w:t xml:space="preserve">Shweta Pandey is Associate Professorial Lecturer at De La Salle University, Philippines; </w:t>
                            </w:r>
                            <w:r w:rsidRPr="00576BB4">
                              <w:t xml:space="preserve">Sandeep Puri </w:t>
                            </w:r>
                            <w:r>
                              <w:t xml:space="preserve">and Babak Hayati are </w:t>
                            </w:r>
                            <w:r w:rsidRPr="00576BB4">
                              <w:t>Associate Professor</w:t>
                            </w:r>
                            <w:r>
                              <w:t>s</w:t>
                            </w:r>
                            <w:r w:rsidRPr="00576BB4">
                              <w:t xml:space="preserve"> at </w:t>
                            </w:r>
                            <w:r>
                              <w:t>the Asian Institute of Management, 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80601B6" id="_x0000_t202" coordsize="21600,21600" o:spt="202" path="m,l,21600r21600,l21600,xe">
                <v:stroke joinstyle="miter"/>
                <v:path gradientshapeok="t" o:connecttype="rect"/>
              </v:shapetype>
              <v:shape id="Text Box 2" o:spid="_x0000_s1026" type="#_x0000_t202" style="position:absolute;left:0;text-align:left;margin-left:44.45pt;margin-top:151.9pt;width:385.4pt;height:26.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" strokeweight=".25pt">
                <v:textbox style="mso-fit-shape-to-text:t">
                  <w:txbxContent>
                    <w:p w14:paraId="3CC7F950" w14:textId="5BAA404F" w:rsidR="003C1C68" w:rsidRPr="00576BB4" w:rsidRDefault="003C1C68" w:rsidP="00216CCF">
                      <w:pPr>
                        <w:pStyle w:val="Footnote"/>
                        <w:jc w:val="center"/>
                      </w:pPr>
                      <w:r>
                        <w:t xml:space="preserve">Shweta Pandey is Associate Professorial Lecturer at De La Salle University, Philippines; </w:t>
                      </w:r>
                      <w:r w:rsidRPr="00576BB4">
                        <w:t xml:space="preserve">Sandeep Puri </w:t>
                      </w:r>
                      <w:r>
                        <w:t xml:space="preserve">and Babak Hayati are </w:t>
                      </w:r>
                      <w:r w:rsidRPr="00576BB4">
                        <w:t>Associate Professor</w:t>
                      </w:r>
                      <w:r>
                        <w:t>s</w:t>
                      </w:r>
                      <w:r w:rsidRPr="00576BB4">
                        <w:t xml:space="preserve"> at </w:t>
                      </w:r>
                      <w:r>
                        <w:t>the Asian Institute of Management, Philippines.</w:t>
                      </w:r>
                    </w:p>
                  </w:txbxContent>
                </v:textbox>
                <w10:wrap type="topAndBottom" anchorx="margin"/>
              </v:shape>
            </w:pict>
          </mc:Fallback>
        </mc:AlternateContent>
      </w:r>
      <w:r w:rsidRPr="0034304D">
        <w:rPr>
          <w:lang w:val="en-GB"/>
        </w:rPr>
        <w:t>BBCI operated a testing facility in Mandaluyong capable of a monthly production of 5,000 bags of cement.</w:t>
      </w:r>
      <w:r w:rsidRPr="0034304D">
        <w:rPr>
          <w:rStyle w:val="EndnoteReference"/>
          <w:lang w:val="en-GB"/>
        </w:rPr>
        <w:endnoteReference w:id="56"/>
      </w:r>
      <w:r w:rsidRPr="0034304D">
        <w:rPr>
          <w:lang w:val="en-GB"/>
        </w:rPr>
        <w:t xml:space="preserve"> It was in the process of building a facility with an output capacity of 1.5 million bags of cement per month in Porac, Pampanga. Commercial operations were expected to start there in March 2018.</w:t>
      </w:r>
      <w:r w:rsidRPr="0034304D">
        <w:rPr>
          <w:rStyle w:val="EndnoteReference"/>
          <w:lang w:val="en-GB"/>
        </w:rPr>
        <w:endnoteReference w:id="57"/>
      </w:r>
      <w:r w:rsidRPr="0034304D">
        <w:rPr>
          <w:lang w:val="en-GB"/>
        </w:rPr>
        <w:t xml:space="preserve"> BBCI planned to invest around </w:t>
      </w:r>
      <w:r w:rsidRPr="0034304D">
        <w:rPr>
          <w:color w:val="222222"/>
          <w:shd w:val="clear" w:color="auto" w:fill="FFFFFF"/>
          <w:lang w:val="en-GB"/>
        </w:rPr>
        <w:t>₱</w:t>
      </w:r>
      <w:r w:rsidRPr="0034304D">
        <w:rPr>
          <w:lang w:val="en-GB"/>
        </w:rPr>
        <w:t>4 billion for two additional plants (both in Luzon) to increase its monthly capacity to 10 million bags of cement, and another plant was planned at Zambaonga Peninsula.</w:t>
      </w:r>
      <w:r w:rsidRPr="0034304D">
        <w:rPr>
          <w:rStyle w:val="EndnoteReference"/>
          <w:lang w:val="en-GB"/>
        </w:rPr>
        <w:endnoteReference w:id="58"/>
      </w:r>
      <w:r w:rsidRPr="0034304D">
        <w:rPr>
          <w:lang w:val="en-GB"/>
        </w:rPr>
        <w:t xml:space="preserve"> </w:t>
      </w:r>
      <w:r w:rsidR="00320FCF" w:rsidRPr="0034304D">
        <w:rPr>
          <w:lang w:val="en-GB"/>
        </w:rPr>
        <w:t>Even as BBCI aimed for capacity expansions, it needed to identify and address potential obstacles to its success</w:t>
      </w:r>
      <w:r w:rsidR="00320FCF" w:rsidRPr="0034304D">
        <w:rPr>
          <w:szCs w:val="20"/>
          <w:lang w:val="en-GB"/>
        </w:rPr>
        <w:t xml:space="preserve"> and decide how to manage them</w:t>
      </w:r>
      <w:r w:rsidR="00320FCF" w:rsidRPr="0034304D">
        <w:rPr>
          <w:lang w:val="en-GB"/>
        </w:rPr>
        <w:t xml:space="preserve">. Considering BBCI was not the only company to launch </w:t>
      </w:r>
      <w:r w:rsidR="0018501C" w:rsidRPr="0034304D">
        <w:rPr>
          <w:lang w:val="en-GB"/>
        </w:rPr>
        <w:t>“</w:t>
      </w:r>
      <w:r w:rsidR="00320FCF" w:rsidRPr="0034304D">
        <w:rPr>
          <w:lang w:val="en-GB"/>
        </w:rPr>
        <w:t>green</w:t>
      </w:r>
      <w:r w:rsidR="0018501C" w:rsidRPr="0034304D">
        <w:rPr>
          <w:lang w:val="en-GB"/>
        </w:rPr>
        <w:t>”</w:t>
      </w:r>
      <w:r w:rsidR="00320FCF" w:rsidRPr="0034304D">
        <w:rPr>
          <w:lang w:val="en-GB"/>
        </w:rPr>
        <w:t xml:space="preserve"> cement to reduce emissions or </w:t>
      </w:r>
      <w:r w:rsidR="0018501C" w:rsidRPr="0034304D">
        <w:rPr>
          <w:lang w:val="en-GB"/>
        </w:rPr>
        <w:t xml:space="preserve">to </w:t>
      </w:r>
      <w:r w:rsidR="00320FCF" w:rsidRPr="0034304D">
        <w:rPr>
          <w:lang w:val="en-GB"/>
        </w:rPr>
        <w:t>be involved in environmental</w:t>
      </w:r>
      <w:r w:rsidR="0018501C" w:rsidRPr="0034304D">
        <w:rPr>
          <w:lang w:val="en-GB"/>
        </w:rPr>
        <w:t>ly</w:t>
      </w:r>
      <w:r w:rsidR="00320FCF" w:rsidRPr="0034304D">
        <w:rPr>
          <w:lang w:val="en-GB"/>
        </w:rPr>
        <w:t xml:space="preserve">-friendly initiatives, it was necessary for the company to set itself apart from the others </w:t>
      </w:r>
      <w:r w:rsidR="0018501C" w:rsidRPr="0034304D">
        <w:rPr>
          <w:lang w:val="en-GB"/>
        </w:rPr>
        <w:t>by</w:t>
      </w:r>
      <w:r w:rsidR="00320FCF" w:rsidRPr="0034304D">
        <w:rPr>
          <w:lang w:val="en-GB"/>
        </w:rPr>
        <w:t xml:space="preserve"> its product’s eco</w:t>
      </w:r>
      <w:r w:rsidR="0018501C" w:rsidRPr="0034304D">
        <w:rPr>
          <w:lang w:val="en-GB"/>
        </w:rPr>
        <w:t xml:space="preserve"> </w:t>
      </w:r>
      <w:r w:rsidR="00320FCF" w:rsidRPr="0034304D">
        <w:rPr>
          <w:lang w:val="en-GB"/>
        </w:rPr>
        <w:t xml:space="preserve">appeal. It was also essential for BBCI to ensure that its </w:t>
      </w:r>
      <w:r w:rsidR="00320FCF" w:rsidRPr="0034304D">
        <w:rPr>
          <w:szCs w:val="20"/>
          <w:lang w:val="en-GB"/>
        </w:rPr>
        <w:t>segmentation, targeting</w:t>
      </w:r>
      <w:r w:rsidR="0018501C" w:rsidRPr="0034304D">
        <w:rPr>
          <w:szCs w:val="20"/>
          <w:lang w:val="en-GB"/>
        </w:rPr>
        <w:t>,</w:t>
      </w:r>
      <w:r w:rsidR="00320FCF" w:rsidRPr="0034304D">
        <w:rPr>
          <w:szCs w:val="20"/>
          <w:lang w:val="en-GB"/>
        </w:rPr>
        <w:t xml:space="preserve"> and positioning strategies were well aligned with its environment</w:t>
      </w:r>
      <w:r w:rsidR="0018501C" w:rsidRPr="0034304D">
        <w:rPr>
          <w:szCs w:val="20"/>
          <w:lang w:val="en-GB"/>
        </w:rPr>
        <w:t>ally</w:t>
      </w:r>
      <w:r w:rsidR="00320FCF" w:rsidRPr="0034304D">
        <w:rPr>
          <w:szCs w:val="20"/>
          <w:lang w:val="en-GB"/>
        </w:rPr>
        <w:t>-friendly brand promise</w:t>
      </w:r>
      <w:r w:rsidR="0018501C" w:rsidRPr="0034304D">
        <w:rPr>
          <w:szCs w:val="20"/>
          <w:lang w:val="en-GB"/>
        </w:rPr>
        <w:t>,</w:t>
      </w:r>
      <w:r w:rsidR="00320FCF" w:rsidRPr="0034304D">
        <w:rPr>
          <w:szCs w:val="20"/>
          <w:lang w:val="en-GB"/>
        </w:rPr>
        <w:t xml:space="preserve"> for it to emerge as a market leader.</w:t>
      </w:r>
    </w:p>
    <w:p w14:paraId="46270846" w14:textId="60E5AF4B" w:rsidR="003F74D0" w:rsidRPr="0034304D" w:rsidRDefault="003F74D0">
      <w:pPr>
        <w:spacing w:after="200" w:line="276" w:lineRule="auto"/>
        <w:rPr>
          <w:sz w:val="22"/>
          <w:lang w:val="en-GB"/>
        </w:rPr>
      </w:pPr>
      <w:r w:rsidRPr="0034304D">
        <w:rPr>
          <w:lang w:val="en-GB"/>
        </w:rPr>
        <w:br w:type="page"/>
      </w:r>
    </w:p>
    <w:p w14:paraId="7739E5E2" w14:textId="3E20C061" w:rsidR="00127570" w:rsidRPr="0034304D" w:rsidRDefault="00127570" w:rsidP="00127570">
      <w:pPr>
        <w:pStyle w:val="ExhibitHeading"/>
        <w:rPr>
          <w:lang w:val="en-GB"/>
        </w:rPr>
      </w:pPr>
      <w:r w:rsidRPr="0034304D">
        <w:rPr>
          <w:lang w:val="en-GB"/>
        </w:rPr>
        <w:lastRenderedPageBreak/>
        <w:t>EXHIBIT 1: SM INVESTMENTS CORPORATION</w:t>
      </w:r>
      <w:r w:rsidR="0018501C" w:rsidRPr="0034304D">
        <w:rPr>
          <w:lang w:val="en-GB"/>
        </w:rPr>
        <w:t xml:space="preserve"> operating segments</w:t>
      </w:r>
    </w:p>
    <w:p w14:paraId="2F28D38F" w14:textId="4F25930A" w:rsidR="00127570" w:rsidRPr="0034304D" w:rsidRDefault="00127570" w:rsidP="00127570">
      <w:pPr>
        <w:jc w:val="center"/>
        <w:rPr>
          <w:rFonts w:ascii="Arial" w:hAnsi="Arial" w:cs="Arial"/>
          <w:b/>
          <w:lang w:val="en-GB"/>
        </w:rPr>
      </w:pPr>
    </w:p>
    <w:tbl>
      <w:tblPr>
        <w:tblStyle w:val="TableGrid"/>
        <w:tblW w:w="0" w:type="auto"/>
        <w:jc w:val="center"/>
        <w:tblLook w:val="04A0" w:firstRow="1" w:lastRow="0" w:firstColumn="1" w:lastColumn="0" w:noHBand="0" w:noVBand="1"/>
      </w:tblPr>
      <w:tblGrid>
        <w:gridCol w:w="1555"/>
        <w:gridCol w:w="7461"/>
      </w:tblGrid>
      <w:tr w:rsidR="00127570" w:rsidRPr="0034304D" w14:paraId="3A5EF026" w14:textId="77777777" w:rsidTr="00127570">
        <w:trPr>
          <w:trHeight w:val="60"/>
          <w:jc w:val="center"/>
        </w:trPr>
        <w:tc>
          <w:tcPr>
            <w:tcW w:w="1555" w:type="dxa"/>
            <w:vAlign w:val="center"/>
          </w:tcPr>
          <w:p w14:paraId="033512D5" w14:textId="77777777" w:rsidR="00127570" w:rsidRPr="0034304D" w:rsidRDefault="00127570" w:rsidP="00BD18B7">
            <w:pPr>
              <w:pStyle w:val="ExhibitText"/>
              <w:jc w:val="center"/>
              <w:rPr>
                <w:b/>
                <w:lang w:val="en-GB"/>
              </w:rPr>
            </w:pPr>
            <w:r w:rsidRPr="0034304D">
              <w:rPr>
                <w:b/>
                <w:lang w:val="en-GB"/>
              </w:rPr>
              <w:t>Area</w:t>
            </w:r>
          </w:p>
        </w:tc>
        <w:tc>
          <w:tcPr>
            <w:tcW w:w="7461" w:type="dxa"/>
            <w:vAlign w:val="center"/>
          </w:tcPr>
          <w:p w14:paraId="26202602" w14:textId="77777777" w:rsidR="00127570" w:rsidRPr="0034304D" w:rsidRDefault="00127570" w:rsidP="00BD18B7">
            <w:pPr>
              <w:pStyle w:val="ExhibitText"/>
              <w:jc w:val="center"/>
              <w:rPr>
                <w:b/>
                <w:lang w:val="en-GB"/>
              </w:rPr>
            </w:pPr>
            <w:r w:rsidRPr="0034304D">
              <w:rPr>
                <w:b/>
                <w:lang w:val="en-GB"/>
              </w:rPr>
              <w:t>Subsidiaries (Category)</w:t>
            </w:r>
          </w:p>
        </w:tc>
      </w:tr>
      <w:tr w:rsidR="00127570" w:rsidRPr="0034304D" w14:paraId="0476CAE8" w14:textId="77777777" w:rsidTr="00127570">
        <w:trPr>
          <w:trHeight w:val="60"/>
          <w:jc w:val="center"/>
        </w:trPr>
        <w:tc>
          <w:tcPr>
            <w:tcW w:w="1555" w:type="dxa"/>
            <w:vAlign w:val="center"/>
          </w:tcPr>
          <w:p w14:paraId="672FAEFB" w14:textId="77777777" w:rsidR="00127570" w:rsidRPr="0034304D" w:rsidRDefault="00127570" w:rsidP="00127570">
            <w:pPr>
              <w:pStyle w:val="ExhibitText"/>
              <w:rPr>
                <w:b/>
                <w:lang w:val="en-GB"/>
              </w:rPr>
            </w:pPr>
            <w:r w:rsidRPr="0034304D">
              <w:rPr>
                <w:lang w:val="en-GB"/>
              </w:rPr>
              <w:t>Retail</w:t>
            </w:r>
          </w:p>
        </w:tc>
        <w:tc>
          <w:tcPr>
            <w:tcW w:w="7461" w:type="dxa"/>
            <w:vAlign w:val="center"/>
          </w:tcPr>
          <w:p w14:paraId="172EF3A3" w14:textId="78832965" w:rsidR="00127570" w:rsidRPr="0034304D" w:rsidRDefault="00127570" w:rsidP="00127570">
            <w:pPr>
              <w:pStyle w:val="ExhibitText"/>
              <w:jc w:val="left"/>
              <w:rPr>
                <w:lang w:val="en-GB"/>
              </w:rPr>
            </w:pPr>
            <w:r w:rsidRPr="0034304D">
              <w:rPr>
                <w:lang w:val="en-GB"/>
              </w:rPr>
              <w:t>The SM Store (</w:t>
            </w:r>
            <w:r w:rsidR="0018501C" w:rsidRPr="0034304D">
              <w:rPr>
                <w:lang w:val="en-GB"/>
              </w:rPr>
              <w:t>n</w:t>
            </w:r>
            <w:r w:rsidRPr="0034304D">
              <w:rPr>
                <w:lang w:val="en-GB"/>
              </w:rPr>
              <w:t>on-food)</w:t>
            </w:r>
          </w:p>
          <w:p w14:paraId="2B58B079" w14:textId="244775DC" w:rsidR="00127570" w:rsidRPr="0034304D" w:rsidRDefault="00127570" w:rsidP="001D0909">
            <w:pPr>
              <w:pStyle w:val="ExhibitText"/>
              <w:jc w:val="left"/>
              <w:rPr>
                <w:b/>
                <w:lang w:val="en-GB"/>
              </w:rPr>
            </w:pPr>
            <w:r w:rsidRPr="0034304D">
              <w:rPr>
                <w:lang w:val="en-GB"/>
              </w:rPr>
              <w:t>SM Markets, WalterMart</w:t>
            </w:r>
            <w:r w:rsidR="0018501C" w:rsidRPr="0034304D">
              <w:rPr>
                <w:lang w:val="en-GB"/>
              </w:rPr>
              <w:t>,</w:t>
            </w:r>
            <w:r w:rsidRPr="0034304D">
              <w:rPr>
                <w:lang w:val="en-GB"/>
              </w:rPr>
              <w:t xml:space="preserve"> Alfa</w:t>
            </w:r>
            <w:r w:rsidR="0018501C" w:rsidRPr="0034304D">
              <w:rPr>
                <w:lang w:val="en-GB"/>
              </w:rPr>
              <w:t>m</w:t>
            </w:r>
            <w:r w:rsidRPr="0034304D">
              <w:rPr>
                <w:lang w:val="en-GB"/>
              </w:rPr>
              <w:t>art (</w:t>
            </w:r>
            <w:r w:rsidR="0018501C" w:rsidRPr="0034304D">
              <w:rPr>
                <w:lang w:val="en-GB"/>
              </w:rPr>
              <w:t>f</w:t>
            </w:r>
            <w:r w:rsidRPr="0034304D">
              <w:rPr>
                <w:lang w:val="en-GB"/>
              </w:rPr>
              <w:t>ood)</w:t>
            </w:r>
          </w:p>
        </w:tc>
      </w:tr>
      <w:tr w:rsidR="00127570" w:rsidRPr="0034304D" w14:paraId="15FDAD93" w14:textId="77777777" w:rsidTr="00127570">
        <w:trPr>
          <w:trHeight w:val="60"/>
          <w:jc w:val="center"/>
        </w:trPr>
        <w:tc>
          <w:tcPr>
            <w:tcW w:w="1555" w:type="dxa"/>
            <w:vAlign w:val="center"/>
          </w:tcPr>
          <w:p w14:paraId="5C52DB8E" w14:textId="77777777" w:rsidR="00127570" w:rsidRPr="0034304D" w:rsidRDefault="00127570" w:rsidP="00127570">
            <w:pPr>
              <w:pStyle w:val="ExhibitText"/>
              <w:rPr>
                <w:b/>
                <w:lang w:val="en-GB"/>
              </w:rPr>
            </w:pPr>
            <w:r w:rsidRPr="0034304D">
              <w:rPr>
                <w:lang w:val="en-GB"/>
              </w:rPr>
              <w:t>Property</w:t>
            </w:r>
          </w:p>
        </w:tc>
        <w:tc>
          <w:tcPr>
            <w:tcW w:w="7461" w:type="dxa"/>
            <w:vAlign w:val="center"/>
          </w:tcPr>
          <w:p w14:paraId="71BDB60B" w14:textId="26EC0EFB" w:rsidR="00127570" w:rsidRPr="0034304D" w:rsidRDefault="00127570" w:rsidP="001D0909">
            <w:pPr>
              <w:pStyle w:val="ExhibitText"/>
              <w:jc w:val="left"/>
              <w:rPr>
                <w:b/>
                <w:lang w:val="en-GB"/>
              </w:rPr>
            </w:pPr>
            <w:r w:rsidRPr="0034304D">
              <w:rPr>
                <w:lang w:val="en-GB"/>
              </w:rPr>
              <w:t>SM Prime Holdings Inc. (</w:t>
            </w:r>
            <w:r w:rsidR="0018501C" w:rsidRPr="0034304D">
              <w:rPr>
                <w:lang w:val="en-GB"/>
              </w:rPr>
              <w:t>m</w:t>
            </w:r>
            <w:r w:rsidRPr="0034304D">
              <w:rPr>
                <w:lang w:val="en-GB"/>
              </w:rPr>
              <w:t xml:space="preserve">alls, </w:t>
            </w:r>
            <w:r w:rsidR="0018501C" w:rsidRPr="0034304D">
              <w:rPr>
                <w:lang w:val="en-GB"/>
              </w:rPr>
              <w:t>r</w:t>
            </w:r>
            <w:r w:rsidRPr="0034304D">
              <w:rPr>
                <w:lang w:val="en-GB"/>
              </w:rPr>
              <w:t>esidences)</w:t>
            </w:r>
          </w:p>
        </w:tc>
      </w:tr>
      <w:tr w:rsidR="00127570" w:rsidRPr="0034304D" w14:paraId="29B2B541" w14:textId="77777777" w:rsidTr="00127570">
        <w:trPr>
          <w:trHeight w:val="125"/>
          <w:jc w:val="center"/>
        </w:trPr>
        <w:tc>
          <w:tcPr>
            <w:tcW w:w="1555" w:type="dxa"/>
            <w:vAlign w:val="center"/>
          </w:tcPr>
          <w:p w14:paraId="3FF89155" w14:textId="77777777" w:rsidR="00127570" w:rsidRPr="0034304D" w:rsidRDefault="00127570" w:rsidP="00127570">
            <w:pPr>
              <w:pStyle w:val="ExhibitText"/>
              <w:rPr>
                <w:b/>
                <w:lang w:val="en-GB"/>
              </w:rPr>
            </w:pPr>
            <w:r w:rsidRPr="0034304D">
              <w:rPr>
                <w:lang w:val="en-GB"/>
              </w:rPr>
              <w:t>Financial Services</w:t>
            </w:r>
          </w:p>
        </w:tc>
        <w:tc>
          <w:tcPr>
            <w:tcW w:w="7461" w:type="dxa"/>
            <w:vAlign w:val="center"/>
          </w:tcPr>
          <w:p w14:paraId="443F8FD7" w14:textId="0CB29411" w:rsidR="00127570" w:rsidRPr="0034304D" w:rsidRDefault="00127570" w:rsidP="00127570">
            <w:pPr>
              <w:pStyle w:val="ExhibitText"/>
              <w:jc w:val="left"/>
              <w:rPr>
                <w:lang w:val="en-GB"/>
              </w:rPr>
            </w:pPr>
            <w:r w:rsidRPr="0034304D">
              <w:rPr>
                <w:lang w:val="en-GB"/>
              </w:rPr>
              <w:t>BDO Unibank Inc. (</w:t>
            </w:r>
            <w:r w:rsidR="0018501C" w:rsidRPr="0034304D">
              <w:rPr>
                <w:lang w:val="en-GB"/>
              </w:rPr>
              <w:t>i</w:t>
            </w:r>
            <w:r w:rsidRPr="0034304D">
              <w:rPr>
                <w:lang w:val="en-GB"/>
              </w:rPr>
              <w:t>nvestment banking, wealth management, credit cards, insurance, leasing, remittances)</w:t>
            </w:r>
          </w:p>
          <w:p w14:paraId="3DEC34CF" w14:textId="1E33A3BE" w:rsidR="00127570" w:rsidRPr="0034304D" w:rsidRDefault="00127570" w:rsidP="001D0909">
            <w:pPr>
              <w:pStyle w:val="ExhibitText"/>
              <w:jc w:val="left"/>
              <w:rPr>
                <w:b/>
                <w:lang w:val="en-GB"/>
              </w:rPr>
            </w:pPr>
            <w:r w:rsidRPr="0034304D">
              <w:rPr>
                <w:lang w:val="en-GB"/>
              </w:rPr>
              <w:t>China Banking Corporation (</w:t>
            </w:r>
            <w:r w:rsidR="0018501C" w:rsidRPr="0034304D">
              <w:rPr>
                <w:lang w:val="en-GB"/>
              </w:rPr>
              <w:t>s</w:t>
            </w:r>
            <w:r w:rsidRPr="0034304D">
              <w:rPr>
                <w:lang w:val="en-GB"/>
              </w:rPr>
              <w:t>erving small and medium</w:t>
            </w:r>
            <w:r w:rsidR="0018501C" w:rsidRPr="0034304D">
              <w:rPr>
                <w:lang w:val="en-GB"/>
              </w:rPr>
              <w:t>-</w:t>
            </w:r>
            <w:r w:rsidRPr="0034304D">
              <w:rPr>
                <w:lang w:val="en-GB"/>
              </w:rPr>
              <w:t>sized compan</w:t>
            </w:r>
            <w:r w:rsidR="0018501C" w:rsidRPr="0034304D">
              <w:rPr>
                <w:lang w:val="en-GB"/>
              </w:rPr>
              <w:t>ies’</w:t>
            </w:r>
            <w:r w:rsidRPr="0034304D">
              <w:rPr>
                <w:lang w:val="en-GB"/>
              </w:rPr>
              <w:t xml:space="preserve"> investment needs)</w:t>
            </w:r>
          </w:p>
        </w:tc>
      </w:tr>
    </w:tbl>
    <w:p w14:paraId="5995D888" w14:textId="456B3D4F" w:rsidR="00127570" w:rsidRPr="0034304D" w:rsidRDefault="00127570" w:rsidP="00127570">
      <w:pPr>
        <w:rPr>
          <w:rFonts w:ascii="Arial" w:hAnsi="Arial" w:cs="Arial"/>
          <w:sz w:val="17"/>
          <w:szCs w:val="17"/>
          <w:lang w:val="en-GB"/>
        </w:rPr>
      </w:pPr>
    </w:p>
    <w:p w14:paraId="0107F5D9" w14:textId="496F55FB" w:rsidR="00127570" w:rsidRPr="0034304D" w:rsidRDefault="00127570" w:rsidP="00127570">
      <w:pPr>
        <w:pStyle w:val="Footnote"/>
        <w:rPr>
          <w:lang w:val="en-GB"/>
        </w:rPr>
      </w:pPr>
      <w:r w:rsidRPr="0034304D">
        <w:rPr>
          <w:lang w:val="en-GB"/>
        </w:rPr>
        <w:t>Sources: “Our Company</w:t>
      </w:r>
      <w:r w:rsidR="0018501C" w:rsidRPr="0034304D">
        <w:rPr>
          <w:lang w:val="en-GB"/>
        </w:rPr>
        <w:t>,</w:t>
      </w:r>
      <w:r w:rsidRPr="0034304D">
        <w:rPr>
          <w:lang w:val="en-GB"/>
        </w:rPr>
        <w:t>” SM Investments Corporation, accessed January 18, 2018, www.sminvestments.com/our-company; “Company Information</w:t>
      </w:r>
      <w:r w:rsidR="0018501C" w:rsidRPr="0034304D">
        <w:rPr>
          <w:lang w:val="en-GB"/>
        </w:rPr>
        <w:t>:</w:t>
      </w:r>
      <w:r w:rsidRPr="0034304D">
        <w:rPr>
          <w:lang w:val="en-GB"/>
        </w:rPr>
        <w:t xml:space="preserve"> SM Investments Corporation,</w:t>
      </w:r>
      <w:r w:rsidR="0018501C" w:rsidRPr="0034304D">
        <w:rPr>
          <w:lang w:val="en-GB"/>
        </w:rPr>
        <w:t>” PSE EDGE,</w:t>
      </w:r>
      <w:r w:rsidRPr="0034304D">
        <w:rPr>
          <w:lang w:val="en-GB"/>
        </w:rPr>
        <w:t xml:space="preserve"> accessed January 18, 2018, http://edge.pse.com.ph/companyInformation/form.do?cmpy_id=599</w:t>
      </w:r>
      <w:r w:rsidR="0018501C" w:rsidRPr="0034304D">
        <w:rPr>
          <w:lang w:val="en-GB"/>
        </w:rPr>
        <w:t>.</w:t>
      </w:r>
      <w:r w:rsidRPr="0034304D">
        <w:rPr>
          <w:lang w:val="en-GB"/>
        </w:rPr>
        <w:t xml:space="preserve"> </w:t>
      </w:r>
    </w:p>
    <w:p w14:paraId="296F357D" w14:textId="40E23538" w:rsidR="00127570" w:rsidRPr="0034304D" w:rsidRDefault="00127570" w:rsidP="00127570">
      <w:pPr>
        <w:jc w:val="center"/>
        <w:rPr>
          <w:b/>
          <w:lang w:val="en-GB"/>
        </w:rPr>
      </w:pPr>
    </w:p>
    <w:p w14:paraId="64A0ADC6" w14:textId="77777777" w:rsidR="00127570" w:rsidRPr="0034304D" w:rsidRDefault="00127570" w:rsidP="00127570">
      <w:pPr>
        <w:jc w:val="center"/>
        <w:rPr>
          <w:b/>
          <w:lang w:val="en-GB"/>
        </w:rPr>
      </w:pPr>
    </w:p>
    <w:p w14:paraId="7290EE4E" w14:textId="717D223C" w:rsidR="0018501C" w:rsidRPr="0034304D" w:rsidRDefault="00127570" w:rsidP="00127570">
      <w:pPr>
        <w:jc w:val="center"/>
        <w:rPr>
          <w:rFonts w:ascii="Arial" w:hAnsi="Arial" w:cs="Arial"/>
          <w:b/>
          <w:lang w:val="en-GB"/>
        </w:rPr>
      </w:pPr>
      <w:r w:rsidRPr="0034304D">
        <w:rPr>
          <w:rFonts w:ascii="Arial" w:hAnsi="Arial" w:cs="Arial"/>
          <w:b/>
          <w:lang w:val="en-GB"/>
        </w:rPr>
        <w:t xml:space="preserve">EXHIBIT 2: </w:t>
      </w:r>
      <w:r w:rsidR="003F7484" w:rsidRPr="0034304D">
        <w:rPr>
          <w:rFonts w:ascii="Arial" w:hAnsi="Arial" w:cs="Arial"/>
          <w:b/>
          <w:lang w:val="en-GB"/>
        </w:rPr>
        <w:t xml:space="preserve">CEMENT </w:t>
      </w:r>
      <w:r w:rsidRPr="0034304D">
        <w:rPr>
          <w:rFonts w:ascii="Arial" w:hAnsi="Arial" w:cs="Arial"/>
          <w:b/>
          <w:lang w:val="en-GB"/>
        </w:rPr>
        <w:t>PRODUCTION, IMPORTS</w:t>
      </w:r>
      <w:r w:rsidR="003F7484" w:rsidRPr="0034304D">
        <w:rPr>
          <w:rFonts w:ascii="Arial" w:hAnsi="Arial" w:cs="Arial"/>
          <w:b/>
          <w:lang w:val="en-GB"/>
        </w:rPr>
        <w:t>,</w:t>
      </w:r>
      <w:r w:rsidRPr="0034304D">
        <w:rPr>
          <w:rFonts w:ascii="Arial" w:hAnsi="Arial" w:cs="Arial"/>
          <w:b/>
          <w:lang w:val="en-GB"/>
        </w:rPr>
        <w:t xml:space="preserve"> AND DEMAND ('000 METRIC TONS), </w:t>
      </w:r>
    </w:p>
    <w:p w14:paraId="2A63C3F8" w14:textId="25D6B82B" w:rsidR="00127570" w:rsidRPr="0034304D" w:rsidRDefault="00127570" w:rsidP="00127570">
      <w:pPr>
        <w:jc w:val="center"/>
        <w:rPr>
          <w:rFonts w:ascii="Arial" w:hAnsi="Arial" w:cs="Arial"/>
          <w:b/>
          <w:lang w:val="en-GB"/>
        </w:rPr>
      </w:pPr>
      <w:r w:rsidRPr="0034304D">
        <w:rPr>
          <w:rFonts w:ascii="Arial" w:hAnsi="Arial" w:cs="Arial"/>
          <w:b/>
          <w:lang w:val="en-GB"/>
        </w:rPr>
        <w:t>2009</w:t>
      </w:r>
      <w:r w:rsidR="0018501C" w:rsidRPr="0034304D">
        <w:rPr>
          <w:rFonts w:ascii="Arial" w:hAnsi="Arial" w:cs="Arial"/>
          <w:b/>
          <w:lang w:val="en-GB"/>
        </w:rPr>
        <w:t>–</w:t>
      </w:r>
      <w:r w:rsidRPr="0034304D">
        <w:rPr>
          <w:rFonts w:ascii="Arial" w:hAnsi="Arial" w:cs="Arial"/>
          <w:b/>
          <w:lang w:val="en-GB"/>
        </w:rPr>
        <w:t>2016</w:t>
      </w:r>
    </w:p>
    <w:p w14:paraId="03377301" w14:textId="7CE66812" w:rsidR="00127570" w:rsidRPr="0034304D" w:rsidRDefault="00127570" w:rsidP="00127570">
      <w:pPr>
        <w:jc w:val="center"/>
        <w:rPr>
          <w:rFonts w:ascii="Arial" w:hAnsi="Arial" w:cs="Arial"/>
          <w:b/>
          <w:lang w:val="en-GB"/>
        </w:rPr>
      </w:pPr>
    </w:p>
    <w:tbl>
      <w:tblPr>
        <w:tblStyle w:val="TableGrid"/>
        <w:tblW w:w="0" w:type="auto"/>
        <w:jc w:val="center"/>
        <w:tblLook w:val="04A0" w:firstRow="1" w:lastRow="0" w:firstColumn="1" w:lastColumn="0" w:noHBand="0" w:noVBand="1"/>
      </w:tblPr>
      <w:tblGrid>
        <w:gridCol w:w="908"/>
        <w:gridCol w:w="1272"/>
        <w:gridCol w:w="984"/>
        <w:gridCol w:w="2643"/>
        <w:gridCol w:w="2397"/>
      </w:tblGrid>
      <w:tr w:rsidR="00127570" w:rsidRPr="0034304D" w14:paraId="1817150D" w14:textId="77777777" w:rsidTr="00BD18B7">
        <w:trPr>
          <w:trHeight w:val="60"/>
          <w:jc w:val="center"/>
        </w:trPr>
        <w:tc>
          <w:tcPr>
            <w:tcW w:w="908" w:type="dxa"/>
          </w:tcPr>
          <w:p w14:paraId="5061D1FA"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b/>
                <w:bCs/>
                <w:sz w:val="20"/>
                <w:szCs w:val="20"/>
                <w:lang w:val="en-GB"/>
              </w:rPr>
              <w:t>Year</w:t>
            </w:r>
          </w:p>
        </w:tc>
        <w:tc>
          <w:tcPr>
            <w:tcW w:w="1272" w:type="dxa"/>
          </w:tcPr>
          <w:p w14:paraId="53C153F3"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b/>
                <w:bCs/>
                <w:sz w:val="20"/>
                <w:szCs w:val="20"/>
                <w:lang w:val="en-GB"/>
              </w:rPr>
              <w:t>Production</w:t>
            </w:r>
          </w:p>
        </w:tc>
        <w:tc>
          <w:tcPr>
            <w:tcW w:w="984" w:type="dxa"/>
          </w:tcPr>
          <w:p w14:paraId="3ABE77A1" w14:textId="77777777" w:rsidR="00127570" w:rsidRPr="0034304D" w:rsidRDefault="00127570" w:rsidP="003941AA">
            <w:pPr>
              <w:pStyle w:val="p2"/>
              <w:spacing w:after="0" w:afterAutospacing="0"/>
              <w:jc w:val="center"/>
              <w:rPr>
                <w:rFonts w:ascii="Arial" w:hAnsi="Arial" w:cs="Arial"/>
                <w:b/>
                <w:bCs/>
                <w:sz w:val="20"/>
                <w:szCs w:val="20"/>
                <w:lang w:val="en-GB"/>
              </w:rPr>
            </w:pPr>
            <w:r w:rsidRPr="0034304D">
              <w:rPr>
                <w:rFonts w:ascii="Arial" w:hAnsi="Arial" w:cs="Arial"/>
                <w:b/>
                <w:bCs/>
                <w:sz w:val="20"/>
                <w:szCs w:val="20"/>
                <w:lang w:val="en-GB"/>
              </w:rPr>
              <w:t>Imports</w:t>
            </w:r>
          </w:p>
        </w:tc>
        <w:tc>
          <w:tcPr>
            <w:tcW w:w="2643" w:type="dxa"/>
          </w:tcPr>
          <w:p w14:paraId="380039F9" w14:textId="461750A6" w:rsidR="00127570" w:rsidRPr="0034304D" w:rsidRDefault="00127570" w:rsidP="00BD18B7">
            <w:pPr>
              <w:pStyle w:val="p2"/>
              <w:spacing w:after="0" w:afterAutospacing="0"/>
              <w:contextualSpacing/>
              <w:jc w:val="center"/>
              <w:rPr>
                <w:rFonts w:ascii="Arial" w:eastAsiaTheme="minorHAnsi" w:hAnsi="Arial" w:cs="Arial"/>
                <w:sz w:val="20"/>
                <w:szCs w:val="20"/>
                <w:lang w:val="en-GB"/>
              </w:rPr>
            </w:pPr>
            <w:r w:rsidRPr="0034304D">
              <w:rPr>
                <w:rFonts w:ascii="Arial" w:hAnsi="Arial" w:cs="Arial"/>
                <w:b/>
                <w:bCs/>
                <w:sz w:val="20"/>
                <w:szCs w:val="20"/>
                <w:lang w:val="en-GB"/>
              </w:rPr>
              <w:t>Demand</w:t>
            </w:r>
            <w:r w:rsidR="0018501C" w:rsidRPr="0034304D">
              <w:rPr>
                <w:rFonts w:ascii="Arial" w:hAnsi="Arial" w:cs="Arial"/>
                <w:b/>
                <w:bCs/>
                <w:sz w:val="20"/>
                <w:szCs w:val="20"/>
                <w:lang w:val="en-GB"/>
              </w:rPr>
              <w:t xml:space="preserve"> </w:t>
            </w:r>
            <w:r w:rsidRPr="0034304D">
              <w:rPr>
                <w:rFonts w:ascii="Arial" w:hAnsi="Arial" w:cs="Arial"/>
                <w:b/>
                <w:bCs/>
                <w:sz w:val="20"/>
                <w:szCs w:val="20"/>
                <w:lang w:val="en-GB"/>
              </w:rPr>
              <w:t>(Local Sales +</w:t>
            </w:r>
            <w:r w:rsidR="0018501C" w:rsidRPr="0034304D">
              <w:rPr>
                <w:rFonts w:ascii="Arial" w:hAnsi="Arial" w:cs="Arial"/>
                <w:b/>
                <w:bCs/>
                <w:sz w:val="20"/>
                <w:szCs w:val="20"/>
                <w:lang w:val="en-GB"/>
              </w:rPr>
              <w:t xml:space="preserve"> </w:t>
            </w:r>
            <w:r w:rsidRPr="0034304D">
              <w:rPr>
                <w:rFonts w:ascii="Arial" w:hAnsi="Arial" w:cs="Arial"/>
                <w:b/>
                <w:bCs/>
                <w:sz w:val="20"/>
                <w:szCs w:val="20"/>
                <w:lang w:val="en-GB"/>
              </w:rPr>
              <w:t>Import</w:t>
            </w:r>
            <w:r w:rsidR="0018501C" w:rsidRPr="0034304D">
              <w:rPr>
                <w:rFonts w:ascii="Arial" w:hAnsi="Arial" w:cs="Arial"/>
                <w:b/>
                <w:bCs/>
                <w:sz w:val="20"/>
                <w:szCs w:val="20"/>
                <w:lang w:val="en-GB"/>
              </w:rPr>
              <w:t>s</w:t>
            </w:r>
            <w:r w:rsidRPr="0034304D">
              <w:rPr>
                <w:rFonts w:ascii="Arial" w:hAnsi="Arial" w:cs="Arial"/>
                <w:b/>
                <w:bCs/>
                <w:sz w:val="20"/>
                <w:szCs w:val="20"/>
                <w:lang w:val="en-GB"/>
              </w:rPr>
              <w:t>)</w:t>
            </w:r>
          </w:p>
        </w:tc>
        <w:tc>
          <w:tcPr>
            <w:tcW w:w="2397" w:type="dxa"/>
          </w:tcPr>
          <w:p w14:paraId="7BBCE12A" w14:textId="3B1BDB32" w:rsidR="00127570" w:rsidRPr="0034304D" w:rsidRDefault="00127570" w:rsidP="001D0909">
            <w:pPr>
              <w:pStyle w:val="p2"/>
              <w:spacing w:after="0" w:afterAutospacing="0"/>
              <w:jc w:val="center"/>
              <w:rPr>
                <w:rFonts w:ascii="Arial" w:eastAsiaTheme="minorHAnsi" w:hAnsi="Arial" w:cs="Arial"/>
                <w:sz w:val="20"/>
                <w:szCs w:val="20"/>
                <w:lang w:val="en-GB"/>
              </w:rPr>
            </w:pPr>
            <w:r w:rsidRPr="0034304D">
              <w:rPr>
                <w:rFonts w:ascii="Arial" w:hAnsi="Arial" w:cs="Arial"/>
                <w:b/>
                <w:bCs/>
                <w:sz w:val="20"/>
                <w:szCs w:val="20"/>
                <w:lang w:val="en-GB"/>
              </w:rPr>
              <w:t>Change</w:t>
            </w:r>
            <w:r w:rsidR="000A1ECE">
              <w:rPr>
                <w:rFonts w:ascii="Arial" w:hAnsi="Arial" w:cs="Arial"/>
                <w:b/>
                <w:bCs/>
                <w:sz w:val="20"/>
                <w:szCs w:val="20"/>
                <w:lang w:val="en-GB"/>
              </w:rPr>
              <w:t xml:space="preserve"> (%)</w:t>
            </w:r>
          </w:p>
        </w:tc>
      </w:tr>
      <w:tr w:rsidR="00127570" w:rsidRPr="0034304D" w14:paraId="384518A0" w14:textId="77777777" w:rsidTr="00BD18B7">
        <w:trPr>
          <w:jc w:val="center"/>
        </w:trPr>
        <w:tc>
          <w:tcPr>
            <w:tcW w:w="908" w:type="dxa"/>
          </w:tcPr>
          <w:p w14:paraId="488F52E3"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2009</w:t>
            </w:r>
          </w:p>
        </w:tc>
        <w:tc>
          <w:tcPr>
            <w:tcW w:w="1272" w:type="dxa"/>
          </w:tcPr>
          <w:p w14:paraId="3D6BAD06" w14:textId="2C6379B0"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14</w:t>
            </w:r>
            <w:r w:rsidR="0018501C" w:rsidRPr="0034304D">
              <w:rPr>
                <w:rFonts w:ascii="Arial" w:hAnsi="Arial" w:cs="Arial"/>
                <w:sz w:val="20"/>
                <w:szCs w:val="20"/>
                <w:lang w:val="en-GB"/>
              </w:rPr>
              <w:t>,</w:t>
            </w:r>
            <w:r w:rsidRPr="0034304D">
              <w:rPr>
                <w:rFonts w:ascii="Arial" w:hAnsi="Arial" w:cs="Arial"/>
                <w:sz w:val="20"/>
                <w:szCs w:val="20"/>
                <w:lang w:val="en-GB"/>
              </w:rPr>
              <w:t>865</w:t>
            </w:r>
          </w:p>
        </w:tc>
        <w:tc>
          <w:tcPr>
            <w:tcW w:w="984" w:type="dxa"/>
          </w:tcPr>
          <w:p w14:paraId="66D9A1DC" w14:textId="77777777" w:rsidR="00127570" w:rsidRPr="0034304D" w:rsidRDefault="00127570" w:rsidP="003941AA">
            <w:pPr>
              <w:pStyle w:val="p2"/>
              <w:spacing w:after="0" w:afterAutospacing="0"/>
              <w:jc w:val="center"/>
              <w:rPr>
                <w:rFonts w:ascii="Arial" w:hAnsi="Arial" w:cs="Arial"/>
                <w:sz w:val="20"/>
                <w:szCs w:val="20"/>
                <w:lang w:val="en-GB"/>
              </w:rPr>
            </w:pPr>
            <w:r w:rsidRPr="0034304D">
              <w:rPr>
                <w:rFonts w:ascii="Arial" w:hAnsi="Arial" w:cs="Arial"/>
                <w:sz w:val="20"/>
                <w:szCs w:val="20"/>
                <w:lang w:val="en-GB"/>
              </w:rPr>
              <w:t>1</w:t>
            </w:r>
          </w:p>
        </w:tc>
        <w:tc>
          <w:tcPr>
            <w:tcW w:w="2643" w:type="dxa"/>
          </w:tcPr>
          <w:p w14:paraId="4623573A" w14:textId="077DC2E1"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14</w:t>
            </w:r>
            <w:r w:rsidR="0018501C" w:rsidRPr="0034304D">
              <w:rPr>
                <w:rFonts w:ascii="Arial" w:hAnsi="Arial" w:cs="Arial"/>
                <w:sz w:val="20"/>
                <w:szCs w:val="20"/>
                <w:lang w:val="en-GB"/>
              </w:rPr>
              <w:t>,</w:t>
            </w:r>
            <w:r w:rsidRPr="0034304D">
              <w:rPr>
                <w:rFonts w:ascii="Arial" w:hAnsi="Arial" w:cs="Arial"/>
                <w:sz w:val="20"/>
                <w:szCs w:val="20"/>
                <w:lang w:val="en-GB"/>
              </w:rPr>
              <w:t>470</w:t>
            </w:r>
          </w:p>
        </w:tc>
        <w:tc>
          <w:tcPr>
            <w:tcW w:w="2397" w:type="dxa"/>
          </w:tcPr>
          <w:p w14:paraId="54D631E6"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9.48</w:t>
            </w:r>
          </w:p>
        </w:tc>
      </w:tr>
      <w:tr w:rsidR="00127570" w:rsidRPr="0034304D" w14:paraId="14804438" w14:textId="77777777" w:rsidTr="00BD18B7">
        <w:trPr>
          <w:jc w:val="center"/>
        </w:trPr>
        <w:tc>
          <w:tcPr>
            <w:tcW w:w="908" w:type="dxa"/>
          </w:tcPr>
          <w:p w14:paraId="4DCE8452"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2010</w:t>
            </w:r>
          </w:p>
        </w:tc>
        <w:tc>
          <w:tcPr>
            <w:tcW w:w="1272" w:type="dxa"/>
          </w:tcPr>
          <w:p w14:paraId="06B72199" w14:textId="7F402D33"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15</w:t>
            </w:r>
            <w:r w:rsidR="0018501C" w:rsidRPr="0034304D">
              <w:rPr>
                <w:rFonts w:ascii="Arial" w:hAnsi="Arial" w:cs="Arial"/>
                <w:sz w:val="20"/>
                <w:szCs w:val="20"/>
                <w:lang w:val="en-GB"/>
              </w:rPr>
              <w:t>,</w:t>
            </w:r>
            <w:r w:rsidRPr="0034304D">
              <w:rPr>
                <w:rFonts w:ascii="Arial" w:hAnsi="Arial" w:cs="Arial"/>
                <w:sz w:val="20"/>
                <w:szCs w:val="20"/>
                <w:lang w:val="en-GB"/>
              </w:rPr>
              <w:t>900</w:t>
            </w:r>
          </w:p>
        </w:tc>
        <w:tc>
          <w:tcPr>
            <w:tcW w:w="984" w:type="dxa"/>
          </w:tcPr>
          <w:p w14:paraId="3A909BF6" w14:textId="77777777" w:rsidR="00127570" w:rsidRPr="0034304D" w:rsidRDefault="00127570" w:rsidP="003941AA">
            <w:pPr>
              <w:pStyle w:val="p2"/>
              <w:spacing w:after="0" w:afterAutospacing="0"/>
              <w:jc w:val="center"/>
              <w:rPr>
                <w:rFonts w:ascii="Arial" w:hAnsi="Arial" w:cs="Arial"/>
                <w:sz w:val="20"/>
                <w:szCs w:val="20"/>
                <w:lang w:val="en-GB"/>
              </w:rPr>
            </w:pPr>
            <w:r w:rsidRPr="0034304D">
              <w:rPr>
                <w:rFonts w:ascii="Arial" w:hAnsi="Arial" w:cs="Arial"/>
                <w:sz w:val="20"/>
                <w:szCs w:val="20"/>
                <w:lang w:val="en-GB"/>
              </w:rPr>
              <w:t>1</w:t>
            </w:r>
          </w:p>
        </w:tc>
        <w:tc>
          <w:tcPr>
            <w:tcW w:w="2643" w:type="dxa"/>
          </w:tcPr>
          <w:p w14:paraId="58BBFABE" w14:textId="7EA9EBA8"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15</w:t>
            </w:r>
            <w:r w:rsidR="0018501C" w:rsidRPr="0034304D">
              <w:rPr>
                <w:rFonts w:ascii="Arial" w:hAnsi="Arial" w:cs="Arial"/>
                <w:sz w:val="20"/>
                <w:szCs w:val="20"/>
                <w:lang w:val="en-GB"/>
              </w:rPr>
              <w:t>,</w:t>
            </w:r>
            <w:r w:rsidRPr="0034304D">
              <w:rPr>
                <w:rFonts w:ascii="Arial" w:hAnsi="Arial" w:cs="Arial"/>
                <w:sz w:val="20"/>
                <w:szCs w:val="20"/>
                <w:lang w:val="en-GB"/>
              </w:rPr>
              <w:t>450</w:t>
            </w:r>
          </w:p>
        </w:tc>
        <w:tc>
          <w:tcPr>
            <w:tcW w:w="2397" w:type="dxa"/>
          </w:tcPr>
          <w:p w14:paraId="3E8F24B7"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6.77</w:t>
            </w:r>
          </w:p>
        </w:tc>
      </w:tr>
      <w:tr w:rsidR="00127570" w:rsidRPr="0034304D" w14:paraId="656F0CB0" w14:textId="77777777" w:rsidTr="00BD18B7">
        <w:trPr>
          <w:jc w:val="center"/>
        </w:trPr>
        <w:tc>
          <w:tcPr>
            <w:tcW w:w="908" w:type="dxa"/>
          </w:tcPr>
          <w:p w14:paraId="17C5D39D"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2011</w:t>
            </w:r>
          </w:p>
        </w:tc>
        <w:tc>
          <w:tcPr>
            <w:tcW w:w="1272" w:type="dxa"/>
          </w:tcPr>
          <w:p w14:paraId="1B53FB83" w14:textId="5C12FCAE"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16</w:t>
            </w:r>
            <w:r w:rsidR="0018501C" w:rsidRPr="0034304D">
              <w:rPr>
                <w:rFonts w:ascii="Arial" w:hAnsi="Arial" w:cs="Arial"/>
                <w:sz w:val="20"/>
                <w:szCs w:val="20"/>
                <w:lang w:val="en-GB"/>
              </w:rPr>
              <w:t>,</w:t>
            </w:r>
            <w:r w:rsidRPr="0034304D">
              <w:rPr>
                <w:rFonts w:ascii="Arial" w:hAnsi="Arial" w:cs="Arial"/>
                <w:sz w:val="20"/>
                <w:szCs w:val="20"/>
                <w:lang w:val="en-GB"/>
              </w:rPr>
              <w:t>063</w:t>
            </w:r>
          </w:p>
        </w:tc>
        <w:tc>
          <w:tcPr>
            <w:tcW w:w="984" w:type="dxa"/>
          </w:tcPr>
          <w:p w14:paraId="7FE4A362" w14:textId="77777777" w:rsidR="00127570" w:rsidRPr="0034304D" w:rsidRDefault="00127570" w:rsidP="003941AA">
            <w:pPr>
              <w:pStyle w:val="p2"/>
              <w:spacing w:after="0" w:afterAutospacing="0"/>
              <w:jc w:val="center"/>
              <w:rPr>
                <w:rFonts w:ascii="Arial" w:hAnsi="Arial" w:cs="Arial"/>
                <w:sz w:val="20"/>
                <w:szCs w:val="20"/>
                <w:lang w:val="en-GB"/>
              </w:rPr>
            </w:pPr>
            <w:r w:rsidRPr="0034304D">
              <w:rPr>
                <w:rFonts w:ascii="Arial" w:hAnsi="Arial" w:cs="Arial"/>
                <w:sz w:val="20"/>
                <w:szCs w:val="20"/>
                <w:lang w:val="en-GB"/>
              </w:rPr>
              <w:t>30</w:t>
            </w:r>
          </w:p>
        </w:tc>
        <w:tc>
          <w:tcPr>
            <w:tcW w:w="2643" w:type="dxa"/>
          </w:tcPr>
          <w:p w14:paraId="015CDBCB" w14:textId="57C2758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15</w:t>
            </w:r>
            <w:r w:rsidR="0018501C" w:rsidRPr="0034304D">
              <w:rPr>
                <w:rFonts w:ascii="Arial" w:hAnsi="Arial" w:cs="Arial"/>
                <w:sz w:val="20"/>
                <w:szCs w:val="20"/>
                <w:lang w:val="en-GB"/>
              </w:rPr>
              <w:t>,</w:t>
            </w:r>
            <w:r w:rsidRPr="0034304D">
              <w:rPr>
                <w:rFonts w:ascii="Arial" w:hAnsi="Arial" w:cs="Arial"/>
                <w:sz w:val="20"/>
                <w:szCs w:val="20"/>
                <w:lang w:val="en-GB"/>
              </w:rPr>
              <w:t>625</w:t>
            </w:r>
          </w:p>
        </w:tc>
        <w:tc>
          <w:tcPr>
            <w:tcW w:w="2397" w:type="dxa"/>
          </w:tcPr>
          <w:p w14:paraId="6268B184"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1.13</w:t>
            </w:r>
          </w:p>
        </w:tc>
      </w:tr>
      <w:tr w:rsidR="00127570" w:rsidRPr="0034304D" w14:paraId="26E61497" w14:textId="77777777" w:rsidTr="00BD18B7">
        <w:trPr>
          <w:jc w:val="center"/>
        </w:trPr>
        <w:tc>
          <w:tcPr>
            <w:tcW w:w="908" w:type="dxa"/>
          </w:tcPr>
          <w:p w14:paraId="7046AB47"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2012</w:t>
            </w:r>
          </w:p>
        </w:tc>
        <w:tc>
          <w:tcPr>
            <w:tcW w:w="1272" w:type="dxa"/>
          </w:tcPr>
          <w:p w14:paraId="6225BFD9" w14:textId="5F74827D"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18</w:t>
            </w:r>
            <w:r w:rsidR="0018501C" w:rsidRPr="0034304D">
              <w:rPr>
                <w:rFonts w:ascii="Arial" w:hAnsi="Arial" w:cs="Arial"/>
                <w:sz w:val="20"/>
                <w:szCs w:val="20"/>
                <w:lang w:val="en-GB"/>
              </w:rPr>
              <w:t>,</w:t>
            </w:r>
            <w:r w:rsidRPr="0034304D">
              <w:rPr>
                <w:rFonts w:ascii="Arial" w:hAnsi="Arial" w:cs="Arial"/>
                <w:sz w:val="20"/>
                <w:szCs w:val="20"/>
                <w:lang w:val="en-GB"/>
              </w:rPr>
              <w:t>907</w:t>
            </w:r>
          </w:p>
        </w:tc>
        <w:tc>
          <w:tcPr>
            <w:tcW w:w="984" w:type="dxa"/>
          </w:tcPr>
          <w:p w14:paraId="5D3DC7D0" w14:textId="77777777" w:rsidR="00127570" w:rsidRPr="0034304D" w:rsidRDefault="00127570" w:rsidP="003941AA">
            <w:pPr>
              <w:pStyle w:val="p2"/>
              <w:spacing w:after="0" w:afterAutospacing="0"/>
              <w:jc w:val="center"/>
              <w:rPr>
                <w:rFonts w:ascii="Arial" w:hAnsi="Arial" w:cs="Arial"/>
                <w:sz w:val="20"/>
                <w:szCs w:val="20"/>
                <w:lang w:val="en-GB"/>
              </w:rPr>
            </w:pPr>
            <w:r w:rsidRPr="0034304D">
              <w:rPr>
                <w:rFonts w:ascii="Arial" w:hAnsi="Arial" w:cs="Arial"/>
                <w:sz w:val="20"/>
                <w:szCs w:val="20"/>
                <w:lang w:val="en-GB"/>
              </w:rPr>
              <w:t>0</w:t>
            </w:r>
          </w:p>
        </w:tc>
        <w:tc>
          <w:tcPr>
            <w:tcW w:w="2643" w:type="dxa"/>
          </w:tcPr>
          <w:p w14:paraId="26276A8E" w14:textId="5A23B2A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18</w:t>
            </w:r>
            <w:r w:rsidR="0018501C" w:rsidRPr="0034304D">
              <w:rPr>
                <w:rFonts w:ascii="Arial" w:hAnsi="Arial" w:cs="Arial"/>
                <w:sz w:val="20"/>
                <w:szCs w:val="20"/>
                <w:lang w:val="en-GB"/>
              </w:rPr>
              <w:t>,</w:t>
            </w:r>
            <w:r w:rsidRPr="0034304D">
              <w:rPr>
                <w:rFonts w:ascii="Arial" w:hAnsi="Arial" w:cs="Arial"/>
                <w:sz w:val="20"/>
                <w:szCs w:val="20"/>
                <w:lang w:val="en-GB"/>
              </w:rPr>
              <w:t>395</w:t>
            </w:r>
          </w:p>
        </w:tc>
        <w:tc>
          <w:tcPr>
            <w:tcW w:w="2397" w:type="dxa"/>
          </w:tcPr>
          <w:p w14:paraId="512F83F4"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17.73</w:t>
            </w:r>
          </w:p>
        </w:tc>
      </w:tr>
      <w:tr w:rsidR="00127570" w:rsidRPr="0034304D" w14:paraId="3C0F84B8" w14:textId="77777777" w:rsidTr="00BD18B7">
        <w:trPr>
          <w:jc w:val="center"/>
        </w:trPr>
        <w:tc>
          <w:tcPr>
            <w:tcW w:w="908" w:type="dxa"/>
          </w:tcPr>
          <w:p w14:paraId="63B09C60"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2013</w:t>
            </w:r>
          </w:p>
        </w:tc>
        <w:tc>
          <w:tcPr>
            <w:tcW w:w="1272" w:type="dxa"/>
          </w:tcPr>
          <w:p w14:paraId="096BFF92" w14:textId="13BEE91A"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20</w:t>
            </w:r>
            <w:r w:rsidR="0018501C" w:rsidRPr="0034304D">
              <w:rPr>
                <w:rFonts w:ascii="Arial" w:hAnsi="Arial" w:cs="Arial"/>
                <w:sz w:val="20"/>
                <w:szCs w:val="20"/>
                <w:lang w:val="en-GB"/>
              </w:rPr>
              <w:t>,</w:t>
            </w:r>
            <w:r w:rsidRPr="0034304D">
              <w:rPr>
                <w:rFonts w:ascii="Arial" w:hAnsi="Arial" w:cs="Arial"/>
                <w:sz w:val="20"/>
                <w:szCs w:val="20"/>
                <w:lang w:val="en-GB"/>
              </w:rPr>
              <w:t>150</w:t>
            </w:r>
          </w:p>
        </w:tc>
        <w:tc>
          <w:tcPr>
            <w:tcW w:w="984" w:type="dxa"/>
          </w:tcPr>
          <w:p w14:paraId="0F383EB6" w14:textId="77777777" w:rsidR="00127570" w:rsidRPr="0034304D" w:rsidRDefault="00127570" w:rsidP="003941AA">
            <w:pPr>
              <w:pStyle w:val="p2"/>
              <w:spacing w:after="0" w:afterAutospacing="0"/>
              <w:jc w:val="center"/>
              <w:rPr>
                <w:rFonts w:ascii="Arial" w:hAnsi="Arial" w:cs="Arial"/>
                <w:sz w:val="20"/>
                <w:szCs w:val="20"/>
                <w:lang w:val="en-GB"/>
              </w:rPr>
            </w:pPr>
            <w:r w:rsidRPr="0034304D">
              <w:rPr>
                <w:rFonts w:ascii="Arial" w:hAnsi="Arial" w:cs="Arial"/>
                <w:sz w:val="20"/>
                <w:szCs w:val="20"/>
                <w:lang w:val="en-GB"/>
              </w:rPr>
              <w:t>0</w:t>
            </w:r>
          </w:p>
        </w:tc>
        <w:tc>
          <w:tcPr>
            <w:tcW w:w="2643" w:type="dxa"/>
          </w:tcPr>
          <w:p w14:paraId="7BCA8835" w14:textId="26899F1D"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19</w:t>
            </w:r>
            <w:r w:rsidR="0018501C" w:rsidRPr="0034304D">
              <w:rPr>
                <w:rFonts w:ascii="Arial" w:hAnsi="Arial" w:cs="Arial"/>
                <w:sz w:val="20"/>
                <w:szCs w:val="20"/>
                <w:lang w:val="en-GB"/>
              </w:rPr>
              <w:t>,</w:t>
            </w:r>
            <w:r w:rsidRPr="0034304D">
              <w:rPr>
                <w:rFonts w:ascii="Arial" w:hAnsi="Arial" w:cs="Arial"/>
                <w:sz w:val="20"/>
                <w:szCs w:val="20"/>
                <w:lang w:val="en-GB"/>
              </w:rPr>
              <w:t>604</w:t>
            </w:r>
          </w:p>
        </w:tc>
        <w:tc>
          <w:tcPr>
            <w:tcW w:w="2397" w:type="dxa"/>
          </w:tcPr>
          <w:p w14:paraId="23D84D05"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 xml:space="preserve"> 6.57</w:t>
            </w:r>
          </w:p>
        </w:tc>
      </w:tr>
      <w:tr w:rsidR="00127570" w:rsidRPr="0034304D" w14:paraId="54B53DEC" w14:textId="77777777" w:rsidTr="00BD18B7">
        <w:trPr>
          <w:jc w:val="center"/>
        </w:trPr>
        <w:tc>
          <w:tcPr>
            <w:tcW w:w="908" w:type="dxa"/>
          </w:tcPr>
          <w:p w14:paraId="3A6360C2"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2014</w:t>
            </w:r>
          </w:p>
        </w:tc>
        <w:tc>
          <w:tcPr>
            <w:tcW w:w="1272" w:type="dxa"/>
          </w:tcPr>
          <w:p w14:paraId="1183CB1F" w14:textId="1E014F4F"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21</w:t>
            </w:r>
            <w:r w:rsidR="0018501C" w:rsidRPr="0034304D">
              <w:rPr>
                <w:rFonts w:ascii="Arial" w:hAnsi="Arial" w:cs="Arial"/>
                <w:sz w:val="20"/>
                <w:szCs w:val="20"/>
                <w:lang w:val="en-GB"/>
              </w:rPr>
              <w:t>,</w:t>
            </w:r>
            <w:r w:rsidRPr="0034304D">
              <w:rPr>
                <w:rFonts w:ascii="Arial" w:hAnsi="Arial" w:cs="Arial"/>
                <w:sz w:val="20"/>
                <w:szCs w:val="20"/>
                <w:lang w:val="en-GB"/>
              </w:rPr>
              <w:t>305</w:t>
            </w:r>
          </w:p>
        </w:tc>
        <w:tc>
          <w:tcPr>
            <w:tcW w:w="984" w:type="dxa"/>
          </w:tcPr>
          <w:p w14:paraId="0814132C" w14:textId="77777777" w:rsidR="00127570" w:rsidRPr="0034304D" w:rsidRDefault="00127570" w:rsidP="003941AA">
            <w:pPr>
              <w:pStyle w:val="p2"/>
              <w:spacing w:after="0" w:afterAutospacing="0"/>
              <w:jc w:val="center"/>
              <w:rPr>
                <w:rFonts w:ascii="Arial" w:hAnsi="Arial" w:cs="Arial"/>
                <w:sz w:val="20"/>
                <w:szCs w:val="20"/>
                <w:lang w:val="en-GB"/>
              </w:rPr>
            </w:pPr>
            <w:r w:rsidRPr="0034304D">
              <w:rPr>
                <w:rFonts w:ascii="Arial" w:hAnsi="Arial" w:cs="Arial"/>
                <w:sz w:val="20"/>
                <w:szCs w:val="20"/>
                <w:lang w:val="en-GB"/>
              </w:rPr>
              <w:t>4</w:t>
            </w:r>
          </w:p>
        </w:tc>
        <w:tc>
          <w:tcPr>
            <w:tcW w:w="2643" w:type="dxa"/>
          </w:tcPr>
          <w:p w14:paraId="0530273A" w14:textId="08A9EB56"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21</w:t>
            </w:r>
            <w:r w:rsidR="0018501C" w:rsidRPr="0034304D">
              <w:rPr>
                <w:rFonts w:ascii="Arial" w:hAnsi="Arial" w:cs="Arial"/>
                <w:sz w:val="20"/>
                <w:szCs w:val="20"/>
                <w:lang w:val="en-GB"/>
              </w:rPr>
              <w:t>,</w:t>
            </w:r>
            <w:r w:rsidRPr="0034304D">
              <w:rPr>
                <w:rFonts w:ascii="Arial" w:hAnsi="Arial" w:cs="Arial"/>
                <w:sz w:val="20"/>
                <w:szCs w:val="20"/>
                <w:lang w:val="en-GB"/>
              </w:rPr>
              <w:t>305</w:t>
            </w:r>
          </w:p>
        </w:tc>
        <w:tc>
          <w:tcPr>
            <w:tcW w:w="2397" w:type="dxa"/>
          </w:tcPr>
          <w:p w14:paraId="235D7DF1"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8.68</w:t>
            </w:r>
          </w:p>
        </w:tc>
      </w:tr>
      <w:tr w:rsidR="00127570" w:rsidRPr="0034304D" w14:paraId="6A856B1C" w14:textId="77777777" w:rsidTr="00BD18B7">
        <w:trPr>
          <w:jc w:val="center"/>
        </w:trPr>
        <w:tc>
          <w:tcPr>
            <w:tcW w:w="908" w:type="dxa"/>
          </w:tcPr>
          <w:p w14:paraId="4815697D"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2015</w:t>
            </w:r>
          </w:p>
        </w:tc>
        <w:tc>
          <w:tcPr>
            <w:tcW w:w="1272" w:type="dxa"/>
          </w:tcPr>
          <w:p w14:paraId="787CC9AE" w14:textId="334C3A6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24</w:t>
            </w:r>
            <w:r w:rsidR="0018501C" w:rsidRPr="0034304D">
              <w:rPr>
                <w:rFonts w:ascii="Arial" w:hAnsi="Arial" w:cs="Arial"/>
                <w:sz w:val="20"/>
                <w:szCs w:val="20"/>
                <w:lang w:val="en-GB"/>
              </w:rPr>
              <w:t>,</w:t>
            </w:r>
            <w:r w:rsidRPr="0034304D">
              <w:rPr>
                <w:rFonts w:ascii="Arial" w:hAnsi="Arial" w:cs="Arial"/>
                <w:sz w:val="20"/>
                <w:szCs w:val="20"/>
                <w:lang w:val="en-GB"/>
              </w:rPr>
              <w:t>046</w:t>
            </w:r>
          </w:p>
        </w:tc>
        <w:tc>
          <w:tcPr>
            <w:tcW w:w="984" w:type="dxa"/>
          </w:tcPr>
          <w:p w14:paraId="66522047" w14:textId="77777777" w:rsidR="00127570" w:rsidRPr="0034304D" w:rsidRDefault="00127570" w:rsidP="003941AA">
            <w:pPr>
              <w:pStyle w:val="p2"/>
              <w:spacing w:after="0" w:afterAutospacing="0"/>
              <w:jc w:val="center"/>
              <w:rPr>
                <w:rFonts w:ascii="Arial" w:hAnsi="Arial" w:cs="Arial"/>
                <w:sz w:val="20"/>
                <w:szCs w:val="20"/>
                <w:lang w:val="en-GB"/>
              </w:rPr>
            </w:pPr>
            <w:r w:rsidRPr="0034304D">
              <w:rPr>
                <w:rFonts w:ascii="Arial" w:hAnsi="Arial" w:cs="Arial"/>
                <w:sz w:val="20"/>
                <w:szCs w:val="20"/>
                <w:lang w:val="en-GB"/>
              </w:rPr>
              <w:t>314</w:t>
            </w:r>
          </w:p>
        </w:tc>
        <w:tc>
          <w:tcPr>
            <w:tcW w:w="2643" w:type="dxa"/>
          </w:tcPr>
          <w:p w14:paraId="77AD3E99" w14:textId="79B606E0"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24</w:t>
            </w:r>
            <w:r w:rsidR="0018501C" w:rsidRPr="0034304D">
              <w:rPr>
                <w:rFonts w:ascii="Arial" w:hAnsi="Arial" w:cs="Arial"/>
                <w:sz w:val="20"/>
                <w:szCs w:val="20"/>
                <w:lang w:val="en-GB"/>
              </w:rPr>
              <w:t>,</w:t>
            </w:r>
            <w:r w:rsidRPr="0034304D">
              <w:rPr>
                <w:rFonts w:ascii="Arial" w:hAnsi="Arial" w:cs="Arial"/>
                <w:sz w:val="20"/>
                <w:szCs w:val="20"/>
                <w:lang w:val="en-GB"/>
              </w:rPr>
              <w:t>360</w:t>
            </w:r>
          </w:p>
        </w:tc>
        <w:tc>
          <w:tcPr>
            <w:tcW w:w="2397" w:type="dxa"/>
          </w:tcPr>
          <w:p w14:paraId="4C47689F"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14.34</w:t>
            </w:r>
          </w:p>
        </w:tc>
      </w:tr>
      <w:tr w:rsidR="00127570" w:rsidRPr="0034304D" w14:paraId="04118EAA" w14:textId="77777777" w:rsidTr="00BD18B7">
        <w:trPr>
          <w:jc w:val="center"/>
        </w:trPr>
        <w:tc>
          <w:tcPr>
            <w:tcW w:w="908" w:type="dxa"/>
          </w:tcPr>
          <w:p w14:paraId="1B6AF8BA"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2016</w:t>
            </w:r>
          </w:p>
        </w:tc>
        <w:tc>
          <w:tcPr>
            <w:tcW w:w="1272" w:type="dxa"/>
          </w:tcPr>
          <w:p w14:paraId="71D4AC18" w14:textId="0E695DCF"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eastAsiaTheme="minorHAnsi" w:hAnsi="Arial" w:cs="Arial"/>
                <w:sz w:val="20"/>
                <w:szCs w:val="20"/>
                <w:lang w:val="en-GB"/>
              </w:rPr>
              <w:t>24</w:t>
            </w:r>
            <w:r w:rsidR="0018501C" w:rsidRPr="0034304D">
              <w:rPr>
                <w:rFonts w:ascii="Arial" w:eastAsiaTheme="minorHAnsi" w:hAnsi="Arial" w:cs="Arial"/>
                <w:sz w:val="20"/>
                <w:szCs w:val="20"/>
                <w:lang w:val="en-GB"/>
              </w:rPr>
              <w:t>,</w:t>
            </w:r>
            <w:r w:rsidRPr="0034304D">
              <w:rPr>
                <w:rFonts w:ascii="Arial" w:eastAsiaTheme="minorHAnsi" w:hAnsi="Arial" w:cs="Arial"/>
                <w:sz w:val="20"/>
                <w:szCs w:val="20"/>
                <w:lang w:val="en-GB"/>
              </w:rPr>
              <w:t>370</w:t>
            </w:r>
          </w:p>
        </w:tc>
        <w:tc>
          <w:tcPr>
            <w:tcW w:w="984" w:type="dxa"/>
          </w:tcPr>
          <w:p w14:paraId="06DAFB39" w14:textId="78A1667F" w:rsidR="00127570" w:rsidRPr="0034304D" w:rsidRDefault="00127570" w:rsidP="003941AA">
            <w:pPr>
              <w:pStyle w:val="p2"/>
              <w:spacing w:after="0" w:afterAutospacing="0"/>
              <w:jc w:val="center"/>
              <w:rPr>
                <w:rFonts w:ascii="Arial" w:hAnsi="Arial" w:cs="Arial"/>
                <w:sz w:val="20"/>
                <w:szCs w:val="20"/>
                <w:lang w:val="en-GB"/>
              </w:rPr>
            </w:pPr>
            <w:r w:rsidRPr="0034304D">
              <w:rPr>
                <w:rFonts w:ascii="Arial" w:hAnsi="Arial" w:cs="Arial"/>
                <w:sz w:val="20"/>
                <w:szCs w:val="20"/>
                <w:lang w:val="en-GB"/>
              </w:rPr>
              <w:t>1</w:t>
            </w:r>
            <w:r w:rsidR="0018501C" w:rsidRPr="0034304D">
              <w:rPr>
                <w:rFonts w:ascii="Arial" w:hAnsi="Arial" w:cs="Arial"/>
                <w:sz w:val="20"/>
                <w:szCs w:val="20"/>
                <w:lang w:val="en-GB"/>
              </w:rPr>
              <w:t>,</w:t>
            </w:r>
            <w:r w:rsidRPr="0034304D">
              <w:rPr>
                <w:rFonts w:ascii="Arial" w:hAnsi="Arial" w:cs="Arial"/>
                <w:sz w:val="20"/>
                <w:szCs w:val="20"/>
                <w:lang w:val="en-GB"/>
              </w:rPr>
              <w:t>590*</w:t>
            </w:r>
          </w:p>
        </w:tc>
        <w:tc>
          <w:tcPr>
            <w:tcW w:w="2643" w:type="dxa"/>
          </w:tcPr>
          <w:p w14:paraId="19E47FC5" w14:textId="5732A7E6"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25</w:t>
            </w:r>
            <w:r w:rsidR="0018501C" w:rsidRPr="0034304D">
              <w:rPr>
                <w:rFonts w:ascii="Arial" w:hAnsi="Arial" w:cs="Arial"/>
                <w:sz w:val="20"/>
                <w:szCs w:val="20"/>
                <w:lang w:val="en-GB"/>
              </w:rPr>
              <w:t>,</w:t>
            </w:r>
            <w:r w:rsidRPr="0034304D">
              <w:rPr>
                <w:rFonts w:ascii="Arial" w:hAnsi="Arial" w:cs="Arial"/>
                <w:sz w:val="20"/>
                <w:szCs w:val="20"/>
                <w:lang w:val="en-GB"/>
              </w:rPr>
              <w:t>960*</w:t>
            </w:r>
          </w:p>
        </w:tc>
        <w:tc>
          <w:tcPr>
            <w:tcW w:w="2397" w:type="dxa"/>
          </w:tcPr>
          <w:p w14:paraId="6E0655AC" w14:textId="77777777" w:rsidR="00127570" w:rsidRPr="0034304D" w:rsidRDefault="00127570" w:rsidP="003941AA">
            <w:pPr>
              <w:pStyle w:val="p2"/>
              <w:spacing w:after="0" w:afterAutospacing="0"/>
              <w:jc w:val="center"/>
              <w:rPr>
                <w:rFonts w:ascii="Arial" w:eastAsiaTheme="minorHAnsi" w:hAnsi="Arial" w:cs="Arial"/>
                <w:sz w:val="20"/>
                <w:szCs w:val="20"/>
                <w:lang w:val="en-GB"/>
              </w:rPr>
            </w:pPr>
            <w:r w:rsidRPr="0034304D">
              <w:rPr>
                <w:rFonts w:ascii="Arial" w:hAnsi="Arial" w:cs="Arial"/>
                <w:sz w:val="20"/>
                <w:szCs w:val="20"/>
                <w:lang w:val="en-GB"/>
              </w:rPr>
              <w:t xml:space="preserve"> 6.57</w:t>
            </w:r>
          </w:p>
        </w:tc>
      </w:tr>
    </w:tbl>
    <w:p w14:paraId="2782F5F0" w14:textId="77777777" w:rsidR="00127570" w:rsidRPr="0034304D" w:rsidRDefault="00127570" w:rsidP="00127570">
      <w:pPr>
        <w:pStyle w:val="p2"/>
        <w:spacing w:before="0" w:beforeAutospacing="0" w:after="0" w:afterAutospacing="0"/>
        <w:rPr>
          <w:rFonts w:ascii="Arial" w:eastAsiaTheme="minorHAnsi" w:hAnsi="Arial" w:cs="Arial"/>
          <w:sz w:val="17"/>
          <w:szCs w:val="17"/>
          <w:lang w:val="en-GB"/>
        </w:rPr>
      </w:pPr>
    </w:p>
    <w:p w14:paraId="4C4CC834" w14:textId="606D0F2B" w:rsidR="00127570" w:rsidRPr="0034304D" w:rsidRDefault="00127570" w:rsidP="00BD18B7">
      <w:pPr>
        <w:pStyle w:val="p2"/>
        <w:spacing w:before="0" w:beforeAutospacing="0" w:after="0" w:afterAutospacing="0"/>
        <w:jc w:val="both"/>
        <w:rPr>
          <w:rFonts w:ascii="Arial" w:hAnsi="Arial" w:cs="Arial"/>
          <w:sz w:val="17"/>
          <w:szCs w:val="17"/>
          <w:lang w:val="en-GB"/>
        </w:rPr>
      </w:pPr>
      <w:r w:rsidRPr="0034304D">
        <w:rPr>
          <w:rFonts w:ascii="Arial" w:eastAsiaTheme="minorHAnsi" w:hAnsi="Arial" w:cs="Arial"/>
          <w:sz w:val="17"/>
          <w:szCs w:val="17"/>
          <w:lang w:val="en-GB"/>
        </w:rPr>
        <w:fldChar w:fldCharType="begin"/>
      </w:r>
      <w:r w:rsidRPr="0034304D">
        <w:rPr>
          <w:rFonts w:ascii="Arial" w:eastAsiaTheme="minorHAnsi" w:hAnsi="Arial" w:cs="Arial"/>
          <w:sz w:val="17"/>
          <w:szCs w:val="17"/>
          <w:lang w:val="en-GB"/>
        </w:rPr>
        <w:instrText xml:space="preserve"> LINK Excel.Sheet.12 "C:\\Users\\like\\Dropbox\\Journals\\Publications\\In Research progress\\Case study\\Summary.xlsx" Sheet2!R2C2:R16C5 \a \f 5 \h  \* MERGEFORMAT </w:instrText>
      </w:r>
      <w:r w:rsidRPr="0034304D">
        <w:rPr>
          <w:rFonts w:ascii="Arial" w:eastAsiaTheme="minorHAnsi" w:hAnsi="Arial" w:cs="Arial"/>
          <w:sz w:val="17"/>
          <w:szCs w:val="17"/>
          <w:lang w:val="en-GB"/>
        </w:rPr>
        <w:fldChar w:fldCharType="end"/>
      </w:r>
      <w:r w:rsidRPr="0034304D">
        <w:rPr>
          <w:rFonts w:ascii="Arial" w:eastAsiaTheme="minorHAnsi" w:hAnsi="Arial" w:cs="Arial"/>
          <w:sz w:val="17"/>
          <w:szCs w:val="17"/>
          <w:lang w:val="en-GB"/>
        </w:rPr>
        <w:t xml:space="preserve">Source: </w:t>
      </w:r>
      <w:r w:rsidR="003F7484" w:rsidRPr="0034304D">
        <w:rPr>
          <w:rFonts w:ascii="Arial" w:eastAsiaTheme="minorHAnsi" w:hAnsi="Arial" w:cs="Arial"/>
          <w:sz w:val="17"/>
          <w:szCs w:val="17"/>
          <w:lang w:val="en-GB"/>
        </w:rPr>
        <w:t xml:space="preserve">Cement Manufacturers’ Association of the Philippines Inc. (CeMAP), </w:t>
      </w:r>
      <w:r w:rsidRPr="0034304D">
        <w:rPr>
          <w:rFonts w:ascii="Arial" w:eastAsiaTheme="minorHAnsi" w:hAnsi="Arial" w:cs="Arial"/>
          <w:i/>
          <w:sz w:val="17"/>
          <w:szCs w:val="17"/>
          <w:lang w:val="en-GB"/>
        </w:rPr>
        <w:t>2015 Annual Cement Industry Report</w:t>
      </w:r>
      <w:r w:rsidRPr="0034304D">
        <w:rPr>
          <w:rFonts w:ascii="Arial" w:eastAsiaTheme="minorHAnsi" w:hAnsi="Arial" w:cs="Arial"/>
          <w:sz w:val="17"/>
          <w:szCs w:val="17"/>
          <w:lang w:val="en-GB"/>
        </w:rPr>
        <w:t xml:space="preserve">, </w:t>
      </w:r>
      <w:r w:rsidR="003F7484" w:rsidRPr="0034304D">
        <w:rPr>
          <w:rFonts w:ascii="Arial" w:eastAsiaTheme="minorHAnsi" w:hAnsi="Arial" w:cs="Arial"/>
          <w:sz w:val="17"/>
          <w:szCs w:val="17"/>
          <w:lang w:val="en-GB"/>
        </w:rPr>
        <w:t xml:space="preserve">2015, </w:t>
      </w:r>
      <w:r w:rsidRPr="0034304D">
        <w:rPr>
          <w:rFonts w:ascii="Arial" w:eastAsiaTheme="minorHAnsi" w:hAnsi="Arial" w:cs="Arial"/>
          <w:sz w:val="17"/>
          <w:szCs w:val="17"/>
          <w:lang w:val="en-GB"/>
        </w:rPr>
        <w:t xml:space="preserve"> accessed January 25, 2018, http://cemap.org.ph/downloadables/PDF/cemap2015.pdf; </w:t>
      </w:r>
      <w:r w:rsidRPr="0034304D">
        <w:rPr>
          <w:rFonts w:ascii="Arial" w:hAnsi="Arial" w:cs="Arial"/>
          <w:sz w:val="17"/>
          <w:szCs w:val="17"/>
          <w:lang w:val="en-GB"/>
        </w:rPr>
        <w:t xml:space="preserve">*Philippines News Agency, “Cement </w:t>
      </w:r>
      <w:r w:rsidR="003F7484" w:rsidRPr="0034304D">
        <w:rPr>
          <w:rFonts w:ascii="Arial" w:hAnsi="Arial" w:cs="Arial"/>
          <w:sz w:val="17"/>
          <w:szCs w:val="17"/>
          <w:lang w:val="en-GB"/>
        </w:rPr>
        <w:t>D</w:t>
      </w:r>
      <w:r w:rsidRPr="0034304D">
        <w:rPr>
          <w:rFonts w:ascii="Arial" w:hAnsi="Arial" w:cs="Arial"/>
          <w:sz w:val="17"/>
          <w:szCs w:val="17"/>
          <w:lang w:val="en-GB"/>
        </w:rPr>
        <w:t xml:space="preserve">emand to </w:t>
      </w:r>
      <w:r w:rsidR="003F7484" w:rsidRPr="0034304D">
        <w:rPr>
          <w:rFonts w:ascii="Arial" w:hAnsi="Arial" w:cs="Arial"/>
          <w:sz w:val="17"/>
          <w:szCs w:val="17"/>
          <w:lang w:val="en-GB"/>
        </w:rPr>
        <w:t>D</w:t>
      </w:r>
      <w:r w:rsidRPr="0034304D">
        <w:rPr>
          <w:rFonts w:ascii="Arial" w:hAnsi="Arial" w:cs="Arial"/>
          <w:sz w:val="17"/>
          <w:szCs w:val="17"/>
          <w:lang w:val="en-GB"/>
        </w:rPr>
        <w:t xml:space="preserve">ouble by 2021 with </w:t>
      </w:r>
      <w:r w:rsidR="003F7484" w:rsidRPr="0034304D">
        <w:rPr>
          <w:rFonts w:ascii="Arial" w:hAnsi="Arial" w:cs="Arial"/>
          <w:sz w:val="17"/>
          <w:szCs w:val="17"/>
          <w:lang w:val="en-GB"/>
        </w:rPr>
        <w:t>I</w:t>
      </w:r>
      <w:r w:rsidRPr="0034304D">
        <w:rPr>
          <w:rFonts w:ascii="Arial" w:hAnsi="Arial" w:cs="Arial"/>
          <w:sz w:val="17"/>
          <w:szCs w:val="17"/>
          <w:lang w:val="en-GB"/>
        </w:rPr>
        <w:t xml:space="preserve">nfra </w:t>
      </w:r>
      <w:r w:rsidR="003F7484" w:rsidRPr="0034304D">
        <w:rPr>
          <w:rFonts w:ascii="Arial" w:hAnsi="Arial" w:cs="Arial"/>
          <w:sz w:val="17"/>
          <w:szCs w:val="17"/>
          <w:lang w:val="en-GB"/>
        </w:rPr>
        <w:t>B</w:t>
      </w:r>
      <w:r w:rsidRPr="0034304D">
        <w:rPr>
          <w:rFonts w:ascii="Arial" w:hAnsi="Arial" w:cs="Arial"/>
          <w:sz w:val="17"/>
          <w:szCs w:val="17"/>
          <w:lang w:val="en-GB"/>
        </w:rPr>
        <w:t>oost</w:t>
      </w:r>
      <w:r w:rsidR="003F7484" w:rsidRPr="0034304D">
        <w:rPr>
          <w:rFonts w:ascii="Arial" w:hAnsi="Arial" w:cs="Arial"/>
          <w:sz w:val="17"/>
          <w:szCs w:val="17"/>
          <w:lang w:val="en-GB"/>
        </w:rPr>
        <w:t>,</w:t>
      </w:r>
      <w:r w:rsidRPr="0034304D">
        <w:rPr>
          <w:rFonts w:ascii="Arial" w:hAnsi="Arial" w:cs="Arial"/>
          <w:sz w:val="17"/>
          <w:szCs w:val="17"/>
          <w:lang w:val="en-GB"/>
        </w:rPr>
        <w:t xml:space="preserve">” </w:t>
      </w:r>
      <w:r w:rsidR="003F7484" w:rsidRPr="0034304D">
        <w:rPr>
          <w:rFonts w:ascii="Arial" w:hAnsi="Arial" w:cs="Arial"/>
          <w:i/>
          <w:sz w:val="17"/>
          <w:szCs w:val="17"/>
          <w:lang w:val="en-GB"/>
        </w:rPr>
        <w:t xml:space="preserve">The </w:t>
      </w:r>
      <w:r w:rsidRPr="0034304D">
        <w:rPr>
          <w:rFonts w:ascii="Arial" w:hAnsi="Arial" w:cs="Arial"/>
          <w:i/>
          <w:sz w:val="17"/>
          <w:szCs w:val="17"/>
          <w:lang w:val="en-GB"/>
        </w:rPr>
        <w:t>Manila Times</w:t>
      </w:r>
      <w:r w:rsidRPr="0034304D">
        <w:rPr>
          <w:rFonts w:ascii="Arial" w:hAnsi="Arial" w:cs="Arial"/>
          <w:sz w:val="17"/>
          <w:szCs w:val="17"/>
          <w:lang w:val="en-GB"/>
        </w:rPr>
        <w:t>, June 20, 2017, accessed January 18, 2018, www.manilatimes.net/cement-demand-double-2021-infra-boost/333791/</w:t>
      </w:r>
      <w:r w:rsidR="003F7484" w:rsidRPr="0034304D">
        <w:rPr>
          <w:rFonts w:ascii="Arial" w:hAnsi="Arial" w:cs="Arial"/>
          <w:sz w:val="17"/>
          <w:szCs w:val="17"/>
          <w:lang w:val="en-GB"/>
        </w:rPr>
        <w:t>.</w:t>
      </w:r>
    </w:p>
    <w:p w14:paraId="38A95858" w14:textId="001CD582" w:rsidR="00127570" w:rsidRPr="0034304D" w:rsidRDefault="00127570" w:rsidP="00127570">
      <w:pPr>
        <w:pStyle w:val="BodyTextMain"/>
        <w:rPr>
          <w:lang w:val="en-GB"/>
        </w:rPr>
      </w:pPr>
    </w:p>
    <w:p w14:paraId="4B978E47" w14:textId="36BBB0C1" w:rsidR="00127570" w:rsidRPr="0034304D" w:rsidRDefault="00127570" w:rsidP="00127570">
      <w:pPr>
        <w:pStyle w:val="BodyTextMain"/>
        <w:rPr>
          <w:sz w:val="20"/>
          <w:szCs w:val="20"/>
          <w:lang w:val="en-GB"/>
        </w:rPr>
      </w:pPr>
    </w:p>
    <w:p w14:paraId="53AEFF8F" w14:textId="2C4A2809" w:rsidR="00127570" w:rsidRPr="0034304D" w:rsidRDefault="00127570" w:rsidP="00127570">
      <w:pPr>
        <w:jc w:val="center"/>
        <w:rPr>
          <w:rFonts w:ascii="Arial" w:hAnsi="Arial" w:cs="Arial"/>
          <w:b/>
          <w:lang w:val="en-GB"/>
        </w:rPr>
      </w:pPr>
      <w:r w:rsidRPr="0034304D">
        <w:rPr>
          <w:rFonts w:ascii="Arial" w:hAnsi="Arial" w:cs="Arial"/>
          <w:b/>
          <w:lang w:val="en-GB"/>
        </w:rPr>
        <w:t>EXHIBIT 3: PRODUCTION CAPACITY ('000 TONS) FOR KEY CEMENT MANUFACTURERS</w:t>
      </w:r>
    </w:p>
    <w:p w14:paraId="115A5DF8" w14:textId="6D7C7F0E" w:rsidR="00127570" w:rsidRPr="0034304D" w:rsidRDefault="00127570" w:rsidP="00127570">
      <w:pPr>
        <w:jc w:val="center"/>
        <w:rPr>
          <w:rFonts w:ascii="Arial" w:hAnsi="Arial" w:cs="Arial"/>
          <w:b/>
          <w:lang w:val="en-GB"/>
        </w:rPr>
      </w:pPr>
    </w:p>
    <w:tbl>
      <w:tblPr>
        <w:tblStyle w:val="TableGrid"/>
        <w:tblW w:w="0" w:type="auto"/>
        <w:jc w:val="center"/>
        <w:tblLook w:val="04A0" w:firstRow="1" w:lastRow="0" w:firstColumn="1" w:lastColumn="0" w:noHBand="0" w:noVBand="1"/>
      </w:tblPr>
      <w:tblGrid>
        <w:gridCol w:w="3890"/>
        <w:gridCol w:w="2025"/>
        <w:gridCol w:w="2025"/>
      </w:tblGrid>
      <w:tr w:rsidR="00127570" w:rsidRPr="0034304D" w14:paraId="1E78B47F" w14:textId="77777777" w:rsidTr="00BD18B7">
        <w:trPr>
          <w:trHeight w:val="256"/>
          <w:jc w:val="center"/>
        </w:trPr>
        <w:tc>
          <w:tcPr>
            <w:tcW w:w="3890" w:type="dxa"/>
            <w:vAlign w:val="bottom"/>
          </w:tcPr>
          <w:p w14:paraId="7B8EF7BF" w14:textId="77777777" w:rsidR="00127570" w:rsidRPr="0034304D" w:rsidRDefault="00127570" w:rsidP="00BD18B7">
            <w:pPr>
              <w:jc w:val="center"/>
              <w:rPr>
                <w:rFonts w:ascii="Arial" w:hAnsi="Arial" w:cs="Arial"/>
                <w:lang w:val="en-GB"/>
              </w:rPr>
            </w:pPr>
            <w:r w:rsidRPr="0034304D">
              <w:rPr>
                <w:rFonts w:ascii="Arial" w:hAnsi="Arial" w:cs="Arial"/>
                <w:b/>
                <w:bCs/>
                <w:color w:val="000000"/>
                <w:lang w:val="en-GB"/>
              </w:rPr>
              <w:t>Company</w:t>
            </w:r>
          </w:p>
        </w:tc>
        <w:tc>
          <w:tcPr>
            <w:tcW w:w="2025" w:type="dxa"/>
            <w:vAlign w:val="bottom"/>
          </w:tcPr>
          <w:p w14:paraId="36C362AF" w14:textId="77777777" w:rsidR="00127570" w:rsidRPr="0034304D" w:rsidRDefault="00127570" w:rsidP="001D0909">
            <w:pPr>
              <w:jc w:val="center"/>
              <w:rPr>
                <w:rFonts w:ascii="Arial" w:hAnsi="Arial" w:cs="Arial"/>
                <w:lang w:val="en-GB"/>
              </w:rPr>
            </w:pPr>
            <w:r w:rsidRPr="0034304D">
              <w:rPr>
                <w:rFonts w:ascii="Arial" w:hAnsi="Arial" w:cs="Arial"/>
                <w:b/>
                <w:bCs/>
                <w:color w:val="000000"/>
                <w:lang w:val="en-GB"/>
              </w:rPr>
              <w:t>2016</w:t>
            </w:r>
          </w:p>
        </w:tc>
        <w:tc>
          <w:tcPr>
            <w:tcW w:w="2025" w:type="dxa"/>
            <w:vAlign w:val="bottom"/>
          </w:tcPr>
          <w:p w14:paraId="00AD96A4" w14:textId="77777777" w:rsidR="00127570" w:rsidRPr="0034304D" w:rsidRDefault="00127570" w:rsidP="00DD01AC">
            <w:pPr>
              <w:jc w:val="center"/>
              <w:rPr>
                <w:rFonts w:ascii="Arial" w:hAnsi="Arial" w:cs="Arial"/>
                <w:lang w:val="en-GB"/>
              </w:rPr>
            </w:pPr>
            <w:r w:rsidRPr="0034304D">
              <w:rPr>
                <w:rFonts w:ascii="Arial" w:hAnsi="Arial" w:cs="Arial"/>
                <w:b/>
                <w:bCs/>
                <w:color w:val="000000"/>
                <w:lang w:val="en-GB"/>
              </w:rPr>
              <w:t>2020</w:t>
            </w:r>
          </w:p>
        </w:tc>
      </w:tr>
      <w:tr w:rsidR="00127570" w:rsidRPr="0034304D" w14:paraId="775462CB" w14:textId="77777777" w:rsidTr="00BD18B7">
        <w:trPr>
          <w:trHeight w:val="241"/>
          <w:jc w:val="center"/>
        </w:trPr>
        <w:tc>
          <w:tcPr>
            <w:tcW w:w="3890" w:type="dxa"/>
            <w:vAlign w:val="bottom"/>
          </w:tcPr>
          <w:p w14:paraId="17B13858" w14:textId="6826D6EE" w:rsidR="00127570" w:rsidRPr="0034304D" w:rsidRDefault="00127570" w:rsidP="00127570">
            <w:pPr>
              <w:jc w:val="both"/>
              <w:rPr>
                <w:rFonts w:ascii="Arial" w:hAnsi="Arial" w:cs="Arial"/>
                <w:lang w:val="en-GB"/>
              </w:rPr>
            </w:pPr>
            <w:r w:rsidRPr="0034304D">
              <w:rPr>
                <w:rFonts w:ascii="Arial" w:hAnsi="Arial" w:cs="Arial"/>
                <w:color w:val="000000"/>
                <w:lang w:val="en-GB"/>
              </w:rPr>
              <w:t>Holcim Philippines Inc.</w:t>
            </w:r>
          </w:p>
        </w:tc>
        <w:tc>
          <w:tcPr>
            <w:tcW w:w="2025" w:type="dxa"/>
            <w:vAlign w:val="bottom"/>
          </w:tcPr>
          <w:p w14:paraId="04CB3C89" w14:textId="70219946" w:rsidR="00127570" w:rsidRPr="0034304D" w:rsidRDefault="00127570" w:rsidP="00BD18B7">
            <w:pPr>
              <w:jc w:val="right"/>
              <w:rPr>
                <w:rFonts w:ascii="Arial" w:hAnsi="Arial" w:cs="Arial"/>
                <w:lang w:val="en-GB"/>
              </w:rPr>
            </w:pPr>
            <w:r w:rsidRPr="0034304D">
              <w:rPr>
                <w:rFonts w:ascii="Arial" w:hAnsi="Arial" w:cs="Arial"/>
                <w:color w:val="000000"/>
                <w:lang w:val="en-GB"/>
              </w:rPr>
              <w:t>8</w:t>
            </w:r>
            <w:r w:rsidR="003F7484" w:rsidRPr="0034304D">
              <w:rPr>
                <w:rFonts w:ascii="Arial" w:hAnsi="Arial" w:cs="Arial"/>
                <w:color w:val="000000"/>
                <w:lang w:val="en-GB"/>
              </w:rPr>
              <w:t>,</w:t>
            </w:r>
            <w:r w:rsidRPr="0034304D">
              <w:rPr>
                <w:rFonts w:ascii="Arial" w:hAnsi="Arial" w:cs="Arial"/>
                <w:color w:val="000000"/>
                <w:lang w:val="en-GB"/>
              </w:rPr>
              <w:t>000</w:t>
            </w:r>
          </w:p>
        </w:tc>
        <w:tc>
          <w:tcPr>
            <w:tcW w:w="2025" w:type="dxa"/>
            <w:vAlign w:val="bottom"/>
          </w:tcPr>
          <w:p w14:paraId="03DE0437" w14:textId="5DC2C1E9" w:rsidR="00127570" w:rsidRPr="0034304D" w:rsidRDefault="00127570" w:rsidP="00BD18B7">
            <w:pPr>
              <w:jc w:val="right"/>
              <w:rPr>
                <w:rFonts w:ascii="Arial" w:hAnsi="Arial" w:cs="Arial"/>
                <w:lang w:val="en-GB"/>
              </w:rPr>
            </w:pPr>
            <w:r w:rsidRPr="0034304D">
              <w:rPr>
                <w:rFonts w:ascii="Arial" w:hAnsi="Arial" w:cs="Arial"/>
                <w:color w:val="000000"/>
                <w:lang w:val="en-GB"/>
              </w:rPr>
              <w:t>12</w:t>
            </w:r>
            <w:r w:rsidR="003F7484" w:rsidRPr="0034304D">
              <w:rPr>
                <w:rFonts w:ascii="Arial" w:hAnsi="Arial" w:cs="Arial"/>
                <w:color w:val="000000"/>
                <w:lang w:val="en-GB"/>
              </w:rPr>
              <w:t>,</w:t>
            </w:r>
            <w:r w:rsidRPr="0034304D">
              <w:rPr>
                <w:rFonts w:ascii="Arial" w:hAnsi="Arial" w:cs="Arial"/>
                <w:color w:val="000000"/>
                <w:lang w:val="en-GB"/>
              </w:rPr>
              <w:t>000</w:t>
            </w:r>
          </w:p>
        </w:tc>
      </w:tr>
      <w:tr w:rsidR="00127570" w:rsidRPr="0034304D" w14:paraId="1C4BD754" w14:textId="77777777" w:rsidTr="00BD18B7">
        <w:trPr>
          <w:trHeight w:val="256"/>
          <w:jc w:val="center"/>
        </w:trPr>
        <w:tc>
          <w:tcPr>
            <w:tcW w:w="3890" w:type="dxa"/>
            <w:vAlign w:val="bottom"/>
          </w:tcPr>
          <w:p w14:paraId="7B5EFFC3" w14:textId="516F54B9" w:rsidR="00127570" w:rsidRPr="0034304D" w:rsidRDefault="00127570" w:rsidP="00127570">
            <w:pPr>
              <w:jc w:val="both"/>
              <w:rPr>
                <w:rFonts w:ascii="Arial" w:hAnsi="Arial" w:cs="Arial"/>
                <w:lang w:val="en-GB"/>
              </w:rPr>
            </w:pPr>
            <w:r w:rsidRPr="0034304D">
              <w:rPr>
                <w:rFonts w:ascii="Arial" w:hAnsi="Arial" w:cs="Arial"/>
                <w:color w:val="000000"/>
                <w:lang w:val="en-GB"/>
              </w:rPr>
              <w:t>Republic Cement Group</w:t>
            </w:r>
          </w:p>
        </w:tc>
        <w:tc>
          <w:tcPr>
            <w:tcW w:w="2025" w:type="dxa"/>
            <w:vAlign w:val="bottom"/>
          </w:tcPr>
          <w:p w14:paraId="0686E7BC" w14:textId="5401FFC0" w:rsidR="00127570" w:rsidRPr="0034304D" w:rsidRDefault="00127570" w:rsidP="00BD18B7">
            <w:pPr>
              <w:jc w:val="right"/>
              <w:rPr>
                <w:rFonts w:ascii="Arial" w:hAnsi="Arial" w:cs="Arial"/>
                <w:lang w:val="en-GB"/>
              </w:rPr>
            </w:pPr>
            <w:r w:rsidRPr="0034304D">
              <w:rPr>
                <w:rFonts w:ascii="Arial" w:hAnsi="Arial" w:cs="Arial"/>
                <w:color w:val="000000"/>
                <w:lang w:val="en-GB"/>
              </w:rPr>
              <w:t>7</w:t>
            </w:r>
            <w:r w:rsidR="003F7484" w:rsidRPr="0034304D">
              <w:rPr>
                <w:rFonts w:ascii="Arial" w:hAnsi="Arial" w:cs="Arial"/>
                <w:color w:val="000000"/>
                <w:lang w:val="en-GB"/>
              </w:rPr>
              <w:t>,</w:t>
            </w:r>
            <w:r w:rsidRPr="0034304D">
              <w:rPr>
                <w:rFonts w:ascii="Arial" w:hAnsi="Arial" w:cs="Arial"/>
                <w:color w:val="000000"/>
                <w:lang w:val="en-GB"/>
              </w:rPr>
              <w:t>000</w:t>
            </w:r>
          </w:p>
        </w:tc>
        <w:tc>
          <w:tcPr>
            <w:tcW w:w="2025" w:type="dxa"/>
            <w:vAlign w:val="bottom"/>
          </w:tcPr>
          <w:p w14:paraId="0074CF92" w14:textId="1395FBB6" w:rsidR="00127570" w:rsidRPr="0034304D" w:rsidRDefault="00127570" w:rsidP="00BD18B7">
            <w:pPr>
              <w:jc w:val="right"/>
              <w:rPr>
                <w:rFonts w:ascii="Arial" w:hAnsi="Arial" w:cs="Arial"/>
                <w:lang w:val="en-GB"/>
              </w:rPr>
            </w:pPr>
            <w:r w:rsidRPr="0034304D">
              <w:rPr>
                <w:rFonts w:ascii="Arial" w:hAnsi="Arial" w:cs="Arial"/>
                <w:color w:val="000000"/>
                <w:lang w:val="en-GB"/>
              </w:rPr>
              <w:t>10</w:t>
            </w:r>
            <w:r w:rsidR="003F7484" w:rsidRPr="0034304D">
              <w:rPr>
                <w:rFonts w:ascii="Arial" w:hAnsi="Arial" w:cs="Arial"/>
                <w:color w:val="000000"/>
                <w:lang w:val="en-GB"/>
              </w:rPr>
              <w:t>,</w:t>
            </w:r>
            <w:r w:rsidRPr="0034304D">
              <w:rPr>
                <w:rFonts w:ascii="Arial" w:hAnsi="Arial" w:cs="Arial"/>
                <w:color w:val="000000"/>
                <w:lang w:val="en-GB"/>
              </w:rPr>
              <w:t>000</w:t>
            </w:r>
          </w:p>
        </w:tc>
      </w:tr>
      <w:tr w:rsidR="00127570" w:rsidRPr="0034304D" w14:paraId="5FC24E93" w14:textId="77777777" w:rsidTr="00BD18B7">
        <w:trPr>
          <w:trHeight w:val="256"/>
          <w:jc w:val="center"/>
        </w:trPr>
        <w:tc>
          <w:tcPr>
            <w:tcW w:w="3890" w:type="dxa"/>
            <w:vAlign w:val="bottom"/>
          </w:tcPr>
          <w:p w14:paraId="24906957" w14:textId="24CDBDCD" w:rsidR="00127570" w:rsidRPr="0034304D" w:rsidRDefault="00127570" w:rsidP="00127570">
            <w:pPr>
              <w:jc w:val="both"/>
              <w:rPr>
                <w:rFonts w:ascii="Arial" w:hAnsi="Arial" w:cs="Arial"/>
                <w:lang w:val="en-GB"/>
              </w:rPr>
            </w:pPr>
            <w:r w:rsidRPr="0034304D">
              <w:rPr>
                <w:rFonts w:ascii="Arial" w:hAnsi="Arial" w:cs="Arial"/>
                <w:color w:val="000000"/>
                <w:lang w:val="en-GB"/>
              </w:rPr>
              <w:t>Cemex Holdings Philippines Inc.</w:t>
            </w:r>
          </w:p>
        </w:tc>
        <w:tc>
          <w:tcPr>
            <w:tcW w:w="2025" w:type="dxa"/>
            <w:vAlign w:val="bottom"/>
          </w:tcPr>
          <w:p w14:paraId="5325F9F2" w14:textId="6BBD4330" w:rsidR="00127570" w:rsidRPr="0034304D" w:rsidRDefault="00127570" w:rsidP="00BD18B7">
            <w:pPr>
              <w:jc w:val="right"/>
              <w:rPr>
                <w:rFonts w:ascii="Arial" w:hAnsi="Arial" w:cs="Arial"/>
                <w:lang w:val="en-GB"/>
              </w:rPr>
            </w:pPr>
            <w:r w:rsidRPr="0034304D">
              <w:rPr>
                <w:rFonts w:ascii="Arial" w:hAnsi="Arial" w:cs="Arial"/>
                <w:color w:val="000000"/>
                <w:lang w:val="en-GB"/>
              </w:rPr>
              <w:t>5</w:t>
            </w:r>
            <w:r w:rsidR="003F7484" w:rsidRPr="0034304D">
              <w:rPr>
                <w:rFonts w:ascii="Arial" w:hAnsi="Arial" w:cs="Arial"/>
                <w:color w:val="000000"/>
                <w:lang w:val="en-GB"/>
              </w:rPr>
              <w:t>,</w:t>
            </w:r>
            <w:r w:rsidRPr="0034304D">
              <w:rPr>
                <w:rFonts w:ascii="Arial" w:hAnsi="Arial" w:cs="Arial"/>
                <w:color w:val="000000"/>
                <w:lang w:val="en-GB"/>
              </w:rPr>
              <w:t>700</w:t>
            </w:r>
          </w:p>
        </w:tc>
        <w:tc>
          <w:tcPr>
            <w:tcW w:w="2025" w:type="dxa"/>
            <w:vAlign w:val="bottom"/>
          </w:tcPr>
          <w:p w14:paraId="72F2981C" w14:textId="7BE63674" w:rsidR="00127570" w:rsidRPr="0034304D" w:rsidRDefault="00127570" w:rsidP="00BD18B7">
            <w:pPr>
              <w:jc w:val="right"/>
              <w:rPr>
                <w:rFonts w:ascii="Arial" w:hAnsi="Arial" w:cs="Arial"/>
                <w:lang w:val="en-GB"/>
              </w:rPr>
            </w:pPr>
            <w:r w:rsidRPr="0034304D">
              <w:rPr>
                <w:rFonts w:ascii="Arial" w:hAnsi="Arial" w:cs="Arial"/>
                <w:color w:val="000000"/>
                <w:lang w:val="en-GB"/>
              </w:rPr>
              <w:t>7</w:t>
            </w:r>
            <w:r w:rsidR="003F7484" w:rsidRPr="0034304D">
              <w:rPr>
                <w:rFonts w:ascii="Arial" w:hAnsi="Arial" w:cs="Arial"/>
                <w:color w:val="000000"/>
                <w:lang w:val="en-GB"/>
              </w:rPr>
              <w:t>,</w:t>
            </w:r>
            <w:r w:rsidRPr="0034304D">
              <w:rPr>
                <w:rFonts w:ascii="Arial" w:hAnsi="Arial" w:cs="Arial"/>
                <w:color w:val="000000"/>
                <w:lang w:val="en-GB"/>
              </w:rPr>
              <w:t>200</w:t>
            </w:r>
          </w:p>
        </w:tc>
      </w:tr>
      <w:tr w:rsidR="00127570" w:rsidRPr="0034304D" w14:paraId="67C1A940" w14:textId="77777777" w:rsidTr="00BD18B7">
        <w:trPr>
          <w:trHeight w:val="241"/>
          <w:jc w:val="center"/>
        </w:trPr>
        <w:tc>
          <w:tcPr>
            <w:tcW w:w="3890" w:type="dxa"/>
            <w:vAlign w:val="bottom"/>
          </w:tcPr>
          <w:p w14:paraId="3C4D4687" w14:textId="05771F63" w:rsidR="00127570" w:rsidRPr="0034304D" w:rsidRDefault="00127570" w:rsidP="00127570">
            <w:pPr>
              <w:jc w:val="both"/>
              <w:rPr>
                <w:rFonts w:ascii="Arial" w:hAnsi="Arial" w:cs="Arial"/>
                <w:lang w:val="en-GB"/>
              </w:rPr>
            </w:pPr>
            <w:r w:rsidRPr="0034304D">
              <w:rPr>
                <w:rFonts w:ascii="Arial" w:hAnsi="Arial" w:cs="Arial"/>
                <w:color w:val="000000"/>
                <w:lang w:val="en-GB"/>
              </w:rPr>
              <w:t>Eagle Cement</w:t>
            </w:r>
            <w:r w:rsidR="00C6424D" w:rsidRPr="0034304D">
              <w:rPr>
                <w:rFonts w:ascii="Arial" w:hAnsi="Arial" w:cs="Arial"/>
                <w:color w:val="000000"/>
                <w:lang w:val="en-GB"/>
              </w:rPr>
              <w:t xml:space="preserve"> Corporation</w:t>
            </w:r>
          </w:p>
        </w:tc>
        <w:tc>
          <w:tcPr>
            <w:tcW w:w="2025" w:type="dxa"/>
            <w:vAlign w:val="bottom"/>
          </w:tcPr>
          <w:p w14:paraId="7B977CCF" w14:textId="56C76B7E" w:rsidR="00127570" w:rsidRPr="0034304D" w:rsidRDefault="00127570" w:rsidP="00BD18B7">
            <w:pPr>
              <w:jc w:val="right"/>
              <w:rPr>
                <w:rFonts w:ascii="Arial" w:hAnsi="Arial" w:cs="Arial"/>
                <w:lang w:val="en-GB"/>
              </w:rPr>
            </w:pPr>
            <w:r w:rsidRPr="0034304D">
              <w:rPr>
                <w:rFonts w:ascii="Arial" w:hAnsi="Arial" w:cs="Arial"/>
                <w:color w:val="000000"/>
                <w:lang w:val="en-GB"/>
              </w:rPr>
              <w:t>5</w:t>
            </w:r>
            <w:r w:rsidR="003F7484" w:rsidRPr="0034304D">
              <w:rPr>
                <w:rFonts w:ascii="Arial" w:hAnsi="Arial" w:cs="Arial"/>
                <w:color w:val="000000"/>
                <w:lang w:val="en-GB"/>
              </w:rPr>
              <w:t>,</w:t>
            </w:r>
            <w:r w:rsidRPr="0034304D">
              <w:rPr>
                <w:rFonts w:ascii="Arial" w:hAnsi="Arial" w:cs="Arial"/>
                <w:color w:val="000000"/>
                <w:lang w:val="en-GB"/>
              </w:rPr>
              <w:t>100</w:t>
            </w:r>
          </w:p>
        </w:tc>
        <w:tc>
          <w:tcPr>
            <w:tcW w:w="2025" w:type="dxa"/>
            <w:vAlign w:val="bottom"/>
          </w:tcPr>
          <w:p w14:paraId="7D9C143F" w14:textId="49C3E8F7" w:rsidR="00127570" w:rsidRPr="0034304D" w:rsidRDefault="00127570" w:rsidP="00BD18B7">
            <w:pPr>
              <w:jc w:val="right"/>
              <w:rPr>
                <w:rFonts w:ascii="Arial" w:hAnsi="Arial" w:cs="Arial"/>
                <w:lang w:val="en-GB"/>
              </w:rPr>
            </w:pPr>
            <w:r w:rsidRPr="0034304D">
              <w:rPr>
                <w:rFonts w:ascii="Arial" w:hAnsi="Arial" w:cs="Arial"/>
                <w:color w:val="000000"/>
                <w:lang w:val="en-GB"/>
              </w:rPr>
              <w:t>9</w:t>
            </w:r>
            <w:r w:rsidR="003F7484" w:rsidRPr="0034304D">
              <w:rPr>
                <w:rFonts w:ascii="Arial" w:hAnsi="Arial" w:cs="Arial"/>
                <w:color w:val="000000"/>
                <w:lang w:val="en-GB"/>
              </w:rPr>
              <w:t>,</w:t>
            </w:r>
            <w:r w:rsidRPr="0034304D">
              <w:rPr>
                <w:rFonts w:ascii="Arial" w:hAnsi="Arial" w:cs="Arial"/>
                <w:color w:val="000000"/>
                <w:lang w:val="en-GB"/>
              </w:rPr>
              <w:t>100</w:t>
            </w:r>
          </w:p>
        </w:tc>
      </w:tr>
      <w:tr w:rsidR="00127570" w:rsidRPr="0034304D" w14:paraId="07BCCB61" w14:textId="77777777" w:rsidTr="00BD18B7">
        <w:trPr>
          <w:trHeight w:val="256"/>
          <w:jc w:val="center"/>
        </w:trPr>
        <w:tc>
          <w:tcPr>
            <w:tcW w:w="3890" w:type="dxa"/>
            <w:vAlign w:val="bottom"/>
          </w:tcPr>
          <w:p w14:paraId="0B86D98A" w14:textId="77777777" w:rsidR="00127570" w:rsidRPr="0034304D" w:rsidRDefault="00127570" w:rsidP="003941AA">
            <w:pPr>
              <w:jc w:val="both"/>
              <w:rPr>
                <w:rFonts w:ascii="Arial" w:hAnsi="Arial" w:cs="Arial"/>
                <w:lang w:val="en-GB"/>
              </w:rPr>
            </w:pPr>
            <w:r w:rsidRPr="0034304D">
              <w:rPr>
                <w:rFonts w:ascii="Arial" w:hAnsi="Arial" w:cs="Arial"/>
                <w:b/>
                <w:bCs/>
                <w:color w:val="000000"/>
                <w:lang w:val="en-GB"/>
              </w:rPr>
              <w:t>Total</w:t>
            </w:r>
          </w:p>
        </w:tc>
        <w:tc>
          <w:tcPr>
            <w:tcW w:w="2025" w:type="dxa"/>
            <w:vAlign w:val="bottom"/>
          </w:tcPr>
          <w:p w14:paraId="4F543C14" w14:textId="3B739FB5" w:rsidR="00127570" w:rsidRPr="0034304D" w:rsidRDefault="00127570" w:rsidP="00BD18B7">
            <w:pPr>
              <w:jc w:val="right"/>
              <w:rPr>
                <w:rFonts w:ascii="Arial" w:hAnsi="Arial" w:cs="Arial"/>
                <w:lang w:val="en-GB"/>
              </w:rPr>
            </w:pPr>
            <w:r w:rsidRPr="0034304D">
              <w:rPr>
                <w:rFonts w:ascii="Arial" w:hAnsi="Arial" w:cs="Arial"/>
                <w:b/>
                <w:bCs/>
                <w:color w:val="000000"/>
                <w:lang w:val="en-GB"/>
              </w:rPr>
              <w:t>25</w:t>
            </w:r>
            <w:r w:rsidR="003F7484" w:rsidRPr="0034304D">
              <w:rPr>
                <w:rFonts w:ascii="Arial" w:hAnsi="Arial" w:cs="Arial"/>
                <w:b/>
                <w:bCs/>
                <w:color w:val="000000"/>
                <w:lang w:val="en-GB"/>
              </w:rPr>
              <w:t>,</w:t>
            </w:r>
            <w:r w:rsidRPr="0034304D">
              <w:rPr>
                <w:rFonts w:ascii="Arial" w:hAnsi="Arial" w:cs="Arial"/>
                <w:b/>
                <w:bCs/>
                <w:color w:val="000000"/>
                <w:lang w:val="en-GB"/>
              </w:rPr>
              <w:t>800</w:t>
            </w:r>
          </w:p>
        </w:tc>
        <w:tc>
          <w:tcPr>
            <w:tcW w:w="2025" w:type="dxa"/>
            <w:vAlign w:val="bottom"/>
          </w:tcPr>
          <w:p w14:paraId="6D91A6E7" w14:textId="7BCD2A10" w:rsidR="00127570" w:rsidRPr="0034304D" w:rsidRDefault="00127570" w:rsidP="00BD18B7">
            <w:pPr>
              <w:jc w:val="right"/>
              <w:rPr>
                <w:rFonts w:ascii="Arial" w:hAnsi="Arial" w:cs="Arial"/>
                <w:lang w:val="en-GB"/>
              </w:rPr>
            </w:pPr>
            <w:r w:rsidRPr="0034304D">
              <w:rPr>
                <w:rFonts w:ascii="Arial" w:hAnsi="Arial" w:cs="Arial"/>
                <w:b/>
                <w:bCs/>
                <w:color w:val="000000"/>
                <w:lang w:val="en-GB"/>
              </w:rPr>
              <w:t>38</w:t>
            </w:r>
            <w:r w:rsidR="003F7484" w:rsidRPr="0034304D">
              <w:rPr>
                <w:rFonts w:ascii="Arial" w:hAnsi="Arial" w:cs="Arial"/>
                <w:b/>
                <w:bCs/>
                <w:color w:val="000000"/>
                <w:lang w:val="en-GB"/>
              </w:rPr>
              <w:t>,</w:t>
            </w:r>
            <w:r w:rsidRPr="0034304D">
              <w:rPr>
                <w:rFonts w:ascii="Arial" w:hAnsi="Arial" w:cs="Arial"/>
                <w:b/>
                <w:bCs/>
                <w:color w:val="000000"/>
                <w:lang w:val="en-GB"/>
              </w:rPr>
              <w:t>300</w:t>
            </w:r>
          </w:p>
        </w:tc>
      </w:tr>
    </w:tbl>
    <w:p w14:paraId="52D3AB84" w14:textId="4A9567EA" w:rsidR="00127570" w:rsidRPr="0034304D" w:rsidRDefault="00127570" w:rsidP="00127570">
      <w:pPr>
        <w:jc w:val="both"/>
        <w:rPr>
          <w:rFonts w:ascii="Arial" w:hAnsi="Arial" w:cs="Arial"/>
          <w:sz w:val="17"/>
          <w:szCs w:val="17"/>
          <w:lang w:val="en-GB"/>
        </w:rPr>
      </w:pPr>
    </w:p>
    <w:p w14:paraId="260048FB" w14:textId="31481817" w:rsidR="00127570" w:rsidRPr="0034304D" w:rsidRDefault="00127570" w:rsidP="00127570">
      <w:pPr>
        <w:pStyle w:val="Footnote"/>
        <w:rPr>
          <w:sz w:val="20"/>
          <w:szCs w:val="20"/>
          <w:lang w:val="en-GB"/>
        </w:rPr>
      </w:pPr>
      <w:r w:rsidRPr="0034304D">
        <w:rPr>
          <w:lang w:val="en-GB"/>
        </w:rPr>
        <w:t xml:space="preserve">Source: </w:t>
      </w:r>
      <w:r w:rsidR="00F9224C" w:rsidRPr="0034304D">
        <w:rPr>
          <w:lang w:val="en-GB"/>
        </w:rPr>
        <w:t xml:space="preserve">Global Cement Staff, </w:t>
      </w:r>
      <w:r w:rsidRPr="0034304D">
        <w:rPr>
          <w:lang w:val="en-GB"/>
        </w:rPr>
        <w:t xml:space="preserve">“Holcim Philippines to </w:t>
      </w:r>
      <w:r w:rsidR="00F9224C" w:rsidRPr="0034304D">
        <w:rPr>
          <w:lang w:val="en-GB"/>
        </w:rPr>
        <w:t>B</w:t>
      </w:r>
      <w:r w:rsidRPr="0034304D">
        <w:rPr>
          <w:lang w:val="en-GB"/>
        </w:rPr>
        <w:t xml:space="preserve">ring on </w:t>
      </w:r>
      <w:r w:rsidR="00F9224C" w:rsidRPr="0034304D">
        <w:rPr>
          <w:lang w:val="en-GB"/>
        </w:rPr>
        <w:t>E</w:t>
      </w:r>
      <w:r w:rsidRPr="0034304D">
        <w:rPr>
          <w:lang w:val="en-GB"/>
        </w:rPr>
        <w:t xml:space="preserve">xtra 2Mt/yr through </w:t>
      </w:r>
      <w:r w:rsidR="00F9224C" w:rsidRPr="0034304D">
        <w:rPr>
          <w:lang w:val="en-GB"/>
        </w:rPr>
        <w:t>D</w:t>
      </w:r>
      <w:r w:rsidRPr="0034304D">
        <w:rPr>
          <w:lang w:val="en-GB"/>
        </w:rPr>
        <w:t>ebottlenecking</w:t>
      </w:r>
      <w:r w:rsidR="00F9224C" w:rsidRPr="0034304D">
        <w:rPr>
          <w:lang w:val="en-GB"/>
        </w:rPr>
        <w:t>,</w:t>
      </w:r>
      <w:r w:rsidRPr="0034304D">
        <w:rPr>
          <w:lang w:val="en-GB"/>
        </w:rPr>
        <w:t xml:space="preserve">” </w:t>
      </w:r>
      <w:r w:rsidR="00F9224C" w:rsidRPr="0034304D">
        <w:rPr>
          <w:i/>
          <w:lang w:val="en-GB"/>
        </w:rPr>
        <w:t>Global Cement</w:t>
      </w:r>
      <w:r w:rsidR="00F9224C" w:rsidRPr="0034304D">
        <w:rPr>
          <w:lang w:val="en-GB"/>
        </w:rPr>
        <w:t xml:space="preserve">, </w:t>
      </w:r>
      <w:r w:rsidRPr="0034304D">
        <w:rPr>
          <w:lang w:val="en-GB"/>
        </w:rPr>
        <w:t xml:space="preserve">May </w:t>
      </w:r>
      <w:r w:rsidR="00F9224C" w:rsidRPr="0034304D">
        <w:rPr>
          <w:lang w:val="en-GB"/>
        </w:rPr>
        <w:t xml:space="preserve">26, </w:t>
      </w:r>
      <w:r w:rsidRPr="0034304D">
        <w:rPr>
          <w:lang w:val="en-GB"/>
        </w:rPr>
        <w:t>2017, accessed January</w:t>
      </w:r>
      <w:r w:rsidR="00F9224C" w:rsidRPr="0034304D">
        <w:rPr>
          <w:lang w:val="en-GB"/>
        </w:rPr>
        <w:t xml:space="preserve"> 25</w:t>
      </w:r>
      <w:r w:rsidRPr="0034304D">
        <w:rPr>
          <w:lang w:val="en-GB"/>
        </w:rPr>
        <w:t xml:space="preserve">, 2018, www.globalcement.com/news/item/6155-holcim-philippines-to-bring-on-extra-2mt-yr-through-debottlenecking; Danessa Rivera, “Republic Cement to </w:t>
      </w:r>
      <w:r w:rsidR="00F9224C" w:rsidRPr="0034304D">
        <w:rPr>
          <w:lang w:val="en-GB"/>
        </w:rPr>
        <w:t>R</w:t>
      </w:r>
      <w:r w:rsidRPr="0034304D">
        <w:rPr>
          <w:lang w:val="en-GB"/>
        </w:rPr>
        <w:t xml:space="preserve">aise </w:t>
      </w:r>
      <w:r w:rsidR="00F9224C" w:rsidRPr="0034304D">
        <w:rPr>
          <w:lang w:val="en-GB"/>
        </w:rPr>
        <w:t>C</w:t>
      </w:r>
      <w:r w:rsidRPr="0034304D">
        <w:rPr>
          <w:lang w:val="en-GB"/>
        </w:rPr>
        <w:t>apacity</w:t>
      </w:r>
      <w:r w:rsidR="00F9224C" w:rsidRPr="0034304D">
        <w:rPr>
          <w:lang w:val="en-GB"/>
        </w:rPr>
        <w:t>,</w:t>
      </w:r>
      <w:r w:rsidRPr="0034304D">
        <w:rPr>
          <w:lang w:val="en-GB"/>
        </w:rPr>
        <w:t xml:space="preserve">” </w:t>
      </w:r>
      <w:r w:rsidR="00F9224C" w:rsidRPr="0034304D">
        <w:rPr>
          <w:i/>
          <w:lang w:val="en-GB"/>
        </w:rPr>
        <w:t>The Philippine Star</w:t>
      </w:r>
      <w:r w:rsidR="00F9224C" w:rsidRPr="0034304D">
        <w:rPr>
          <w:lang w:val="en-GB"/>
        </w:rPr>
        <w:t xml:space="preserve">, </w:t>
      </w:r>
      <w:r w:rsidRPr="0034304D">
        <w:rPr>
          <w:lang w:val="en-GB"/>
        </w:rPr>
        <w:t xml:space="preserve">September </w:t>
      </w:r>
      <w:r w:rsidR="00F9224C" w:rsidRPr="0034304D">
        <w:rPr>
          <w:lang w:val="en-GB"/>
        </w:rPr>
        <w:t xml:space="preserve">18, </w:t>
      </w:r>
      <w:r w:rsidRPr="0034304D">
        <w:rPr>
          <w:lang w:val="en-GB"/>
        </w:rPr>
        <w:t xml:space="preserve">2017, accessed January </w:t>
      </w:r>
      <w:r w:rsidR="00F9224C" w:rsidRPr="0034304D">
        <w:rPr>
          <w:lang w:val="en-GB"/>
        </w:rPr>
        <w:t xml:space="preserve">25, </w:t>
      </w:r>
      <w:r w:rsidRPr="0034304D">
        <w:rPr>
          <w:lang w:val="en-GB"/>
        </w:rPr>
        <w:t xml:space="preserve">2017, www.philstar.com/business/2017/09/19/1740381/republic-cement-raise-capacity; Iris Gonzales, </w:t>
      </w:r>
      <w:r w:rsidR="00F9224C" w:rsidRPr="0034304D">
        <w:rPr>
          <w:lang w:val="en-GB"/>
        </w:rPr>
        <w:t>“</w:t>
      </w:r>
      <w:r w:rsidRPr="0034304D">
        <w:rPr>
          <w:lang w:val="en-GB"/>
        </w:rPr>
        <w:t xml:space="preserve">Cemex </w:t>
      </w:r>
      <w:r w:rsidR="00F9224C" w:rsidRPr="0034304D">
        <w:rPr>
          <w:lang w:val="en-GB"/>
        </w:rPr>
        <w:t>P</w:t>
      </w:r>
      <w:r w:rsidRPr="0034304D">
        <w:rPr>
          <w:lang w:val="en-GB"/>
        </w:rPr>
        <w:t xml:space="preserve">lans </w:t>
      </w:r>
      <w:r w:rsidR="00F9224C" w:rsidRPr="0034304D">
        <w:rPr>
          <w:lang w:val="en-GB"/>
        </w:rPr>
        <w:t>A</w:t>
      </w:r>
      <w:r w:rsidRPr="0034304D">
        <w:rPr>
          <w:lang w:val="en-GB"/>
        </w:rPr>
        <w:t xml:space="preserve">dditional </w:t>
      </w:r>
      <w:r w:rsidR="00F9224C" w:rsidRPr="0034304D">
        <w:rPr>
          <w:lang w:val="en-GB"/>
        </w:rPr>
        <w:t>C</w:t>
      </w:r>
      <w:r w:rsidRPr="0034304D">
        <w:rPr>
          <w:lang w:val="en-GB"/>
        </w:rPr>
        <w:t>apacity in Philippines by 2019</w:t>
      </w:r>
      <w:r w:rsidR="00F9224C" w:rsidRPr="0034304D">
        <w:rPr>
          <w:lang w:val="en-GB"/>
        </w:rPr>
        <w:t>,”</w:t>
      </w:r>
      <w:r w:rsidRPr="0034304D">
        <w:rPr>
          <w:lang w:val="en-GB"/>
        </w:rPr>
        <w:t xml:space="preserve"> </w:t>
      </w:r>
      <w:r w:rsidR="00F9224C" w:rsidRPr="0034304D">
        <w:rPr>
          <w:i/>
          <w:lang w:val="en-GB"/>
        </w:rPr>
        <w:t>The Philippine Star</w:t>
      </w:r>
      <w:r w:rsidR="00F9224C" w:rsidRPr="0034304D">
        <w:rPr>
          <w:lang w:val="en-GB"/>
        </w:rPr>
        <w:t xml:space="preserve">, </w:t>
      </w:r>
      <w:r w:rsidRPr="0034304D">
        <w:rPr>
          <w:lang w:val="en-GB"/>
        </w:rPr>
        <w:t xml:space="preserve">June 20, 2016, accessed January </w:t>
      </w:r>
      <w:r w:rsidR="00F9224C" w:rsidRPr="0034304D">
        <w:rPr>
          <w:lang w:val="en-GB"/>
        </w:rPr>
        <w:t xml:space="preserve">25, </w:t>
      </w:r>
      <w:r w:rsidRPr="0034304D">
        <w:rPr>
          <w:lang w:val="en-GB"/>
        </w:rPr>
        <w:t xml:space="preserve">2018, www.philstar.com/business/2016/06/20/1594537/cemex-plans-additional-capacity-philippines-2019; Eagle Cement, “Eagle Cement </w:t>
      </w:r>
      <w:r w:rsidR="00F9224C" w:rsidRPr="0034304D">
        <w:rPr>
          <w:lang w:val="en-GB"/>
        </w:rPr>
        <w:t>B</w:t>
      </w:r>
      <w:r w:rsidRPr="0034304D">
        <w:rPr>
          <w:lang w:val="en-GB"/>
        </w:rPr>
        <w:t xml:space="preserve">reaks </w:t>
      </w:r>
      <w:r w:rsidR="00F9224C" w:rsidRPr="0034304D">
        <w:rPr>
          <w:lang w:val="en-GB"/>
        </w:rPr>
        <w:t>G</w:t>
      </w:r>
      <w:r w:rsidRPr="0034304D">
        <w:rPr>
          <w:lang w:val="en-GB"/>
        </w:rPr>
        <w:t xml:space="preserve">round on its P12.5-B </w:t>
      </w:r>
      <w:r w:rsidR="00F9224C" w:rsidRPr="0034304D">
        <w:rPr>
          <w:lang w:val="en-GB"/>
        </w:rPr>
        <w:t>I</w:t>
      </w:r>
      <w:r w:rsidRPr="0034304D">
        <w:rPr>
          <w:lang w:val="en-GB"/>
        </w:rPr>
        <w:t xml:space="preserve">ntegrated </w:t>
      </w:r>
      <w:r w:rsidR="00F9224C" w:rsidRPr="0034304D">
        <w:rPr>
          <w:lang w:val="en-GB"/>
        </w:rPr>
        <w:t>C</w:t>
      </w:r>
      <w:r w:rsidRPr="0034304D">
        <w:rPr>
          <w:lang w:val="en-GB"/>
        </w:rPr>
        <w:t xml:space="preserve">ement </w:t>
      </w:r>
      <w:r w:rsidR="00F9224C" w:rsidRPr="0034304D">
        <w:rPr>
          <w:lang w:val="en-GB"/>
        </w:rPr>
        <w:t>P</w:t>
      </w:r>
      <w:r w:rsidRPr="0034304D">
        <w:rPr>
          <w:lang w:val="en-GB"/>
        </w:rPr>
        <w:t>lant in Cebu</w:t>
      </w:r>
      <w:r w:rsidR="00F9224C" w:rsidRPr="0034304D">
        <w:rPr>
          <w:lang w:val="en-GB"/>
        </w:rPr>
        <w:t>,</w:t>
      </w:r>
      <w:r w:rsidRPr="0034304D">
        <w:rPr>
          <w:lang w:val="en-GB"/>
        </w:rPr>
        <w:t xml:space="preserve">” November 22, 2017, accessed January </w:t>
      </w:r>
      <w:r w:rsidR="00F9224C" w:rsidRPr="0034304D">
        <w:rPr>
          <w:lang w:val="en-GB"/>
        </w:rPr>
        <w:t xml:space="preserve">25, </w:t>
      </w:r>
      <w:r w:rsidRPr="0034304D">
        <w:rPr>
          <w:lang w:val="en-GB"/>
        </w:rPr>
        <w:t>2018, www.eaglecement.com.ph/article/eagle-cement-breaks-ground-on-its-p12-5-b-integrated-cement-plant-in-cebu/5</w:t>
      </w:r>
      <w:r w:rsidR="00F9224C" w:rsidRPr="0034304D">
        <w:rPr>
          <w:lang w:val="en-GB"/>
        </w:rPr>
        <w:t>.</w:t>
      </w:r>
      <w:r w:rsidRPr="0034304D">
        <w:rPr>
          <w:sz w:val="20"/>
          <w:szCs w:val="20"/>
          <w:lang w:val="en-GB"/>
        </w:rPr>
        <w:t xml:space="preserve"> </w:t>
      </w:r>
      <w:r w:rsidRPr="0034304D">
        <w:rPr>
          <w:sz w:val="20"/>
          <w:szCs w:val="20"/>
          <w:lang w:val="en-GB"/>
        </w:rPr>
        <w:br w:type="page"/>
      </w:r>
    </w:p>
    <w:p w14:paraId="73FC7DFA" w14:textId="53207947" w:rsidR="00127570" w:rsidRPr="0034304D" w:rsidRDefault="00127570" w:rsidP="00127570">
      <w:pPr>
        <w:jc w:val="center"/>
        <w:rPr>
          <w:rFonts w:ascii="Arial" w:hAnsi="Arial" w:cs="Arial"/>
          <w:b/>
          <w:lang w:val="en-GB"/>
        </w:rPr>
      </w:pPr>
      <w:r w:rsidRPr="0034304D">
        <w:rPr>
          <w:rFonts w:ascii="Arial" w:hAnsi="Arial" w:cs="Arial"/>
          <w:b/>
          <w:lang w:val="en-GB"/>
        </w:rPr>
        <w:lastRenderedPageBreak/>
        <w:t>EXHIBIT 4: REGION</w:t>
      </w:r>
      <w:r w:rsidR="00F9224C" w:rsidRPr="0034304D">
        <w:rPr>
          <w:rFonts w:ascii="Arial" w:hAnsi="Arial" w:cs="Arial"/>
          <w:b/>
          <w:lang w:val="en-GB"/>
        </w:rPr>
        <w:t>-</w:t>
      </w:r>
      <w:r w:rsidRPr="0034304D">
        <w:rPr>
          <w:rFonts w:ascii="Arial" w:hAnsi="Arial" w:cs="Arial"/>
          <w:b/>
          <w:lang w:val="en-GB"/>
        </w:rPr>
        <w:t xml:space="preserve">WISE DISTRIBUTION OF KEY CEMENT </w:t>
      </w:r>
      <w:r w:rsidR="005E6EFA" w:rsidRPr="0034304D">
        <w:rPr>
          <w:rFonts w:ascii="Arial" w:hAnsi="Arial" w:cs="Arial"/>
          <w:b/>
          <w:lang w:val="en-GB"/>
        </w:rPr>
        <w:t>PLANT</w:t>
      </w:r>
      <w:r w:rsidRPr="0034304D">
        <w:rPr>
          <w:rFonts w:ascii="Arial" w:hAnsi="Arial" w:cs="Arial"/>
          <w:b/>
          <w:lang w:val="en-GB"/>
        </w:rPr>
        <w:t>S</w:t>
      </w:r>
    </w:p>
    <w:p w14:paraId="25B0BBE5" w14:textId="508FB6C4" w:rsidR="00127570" w:rsidRPr="0034304D" w:rsidRDefault="00127570" w:rsidP="00127570">
      <w:pPr>
        <w:jc w:val="center"/>
        <w:rPr>
          <w:rFonts w:ascii="Arial" w:hAnsi="Arial" w:cs="Arial"/>
          <w:b/>
          <w:lang w:val="en-GB"/>
        </w:rPr>
      </w:pPr>
    </w:p>
    <w:tbl>
      <w:tblPr>
        <w:tblStyle w:val="TableGrid"/>
        <w:tblW w:w="9346" w:type="dxa"/>
        <w:jc w:val="center"/>
        <w:tblLook w:val="04A0" w:firstRow="1" w:lastRow="0" w:firstColumn="1" w:lastColumn="0" w:noHBand="0" w:noVBand="1"/>
      </w:tblPr>
      <w:tblGrid>
        <w:gridCol w:w="2161"/>
        <w:gridCol w:w="1417"/>
        <w:gridCol w:w="1607"/>
        <w:gridCol w:w="4161"/>
      </w:tblGrid>
      <w:tr w:rsidR="00127570" w:rsidRPr="0034304D" w14:paraId="2A3AA406" w14:textId="77777777" w:rsidTr="005C6629">
        <w:trPr>
          <w:jc w:val="center"/>
        </w:trPr>
        <w:tc>
          <w:tcPr>
            <w:tcW w:w="2547" w:type="dxa"/>
            <w:vAlign w:val="center"/>
          </w:tcPr>
          <w:p w14:paraId="3879D3E3" w14:textId="77777777" w:rsidR="00127570" w:rsidRPr="0034304D" w:rsidRDefault="00127570" w:rsidP="00BD18B7">
            <w:pPr>
              <w:jc w:val="center"/>
              <w:rPr>
                <w:rFonts w:ascii="Arial" w:hAnsi="Arial" w:cs="Arial"/>
                <w:lang w:val="en-GB"/>
              </w:rPr>
            </w:pPr>
            <w:r w:rsidRPr="0034304D">
              <w:rPr>
                <w:rFonts w:ascii="Arial" w:hAnsi="Arial" w:cs="Arial"/>
                <w:b/>
                <w:bCs/>
                <w:color w:val="000000"/>
                <w:lang w:val="en-GB"/>
              </w:rPr>
              <w:t>Region</w:t>
            </w:r>
          </w:p>
        </w:tc>
        <w:tc>
          <w:tcPr>
            <w:tcW w:w="1559" w:type="dxa"/>
            <w:vAlign w:val="center"/>
          </w:tcPr>
          <w:p w14:paraId="34C26CE1" w14:textId="1F31752F" w:rsidR="00127570" w:rsidRPr="0034304D" w:rsidRDefault="00127570" w:rsidP="00BD18B7">
            <w:pPr>
              <w:jc w:val="center"/>
              <w:rPr>
                <w:rFonts w:ascii="Arial" w:hAnsi="Arial" w:cs="Arial"/>
                <w:lang w:val="en-GB"/>
              </w:rPr>
            </w:pPr>
            <w:r w:rsidRPr="0034304D">
              <w:rPr>
                <w:rFonts w:ascii="Arial" w:hAnsi="Arial" w:cs="Arial"/>
                <w:b/>
                <w:bCs/>
                <w:color w:val="000000"/>
                <w:lang w:val="en-GB"/>
              </w:rPr>
              <w:t xml:space="preserve">Island </w:t>
            </w:r>
            <w:r w:rsidR="005E6EFA" w:rsidRPr="0034304D">
              <w:rPr>
                <w:rFonts w:ascii="Arial" w:hAnsi="Arial" w:cs="Arial"/>
                <w:b/>
                <w:bCs/>
                <w:color w:val="000000"/>
                <w:lang w:val="en-GB"/>
              </w:rPr>
              <w:t>G</w:t>
            </w:r>
            <w:r w:rsidRPr="0034304D">
              <w:rPr>
                <w:rFonts w:ascii="Arial" w:hAnsi="Arial" w:cs="Arial"/>
                <w:b/>
                <w:bCs/>
                <w:color w:val="000000"/>
                <w:lang w:val="en-GB"/>
              </w:rPr>
              <w:t>roup</w:t>
            </w:r>
          </w:p>
        </w:tc>
        <w:tc>
          <w:tcPr>
            <w:tcW w:w="1843" w:type="dxa"/>
            <w:vAlign w:val="center"/>
          </w:tcPr>
          <w:p w14:paraId="21D7BD2C" w14:textId="70C7410F" w:rsidR="00127570" w:rsidRPr="0034304D" w:rsidRDefault="00127570" w:rsidP="00BD18B7">
            <w:pPr>
              <w:jc w:val="center"/>
              <w:rPr>
                <w:rFonts w:ascii="Arial" w:hAnsi="Arial" w:cs="Arial"/>
                <w:lang w:val="en-GB"/>
              </w:rPr>
            </w:pPr>
            <w:r w:rsidRPr="0034304D">
              <w:rPr>
                <w:rFonts w:ascii="Arial" w:hAnsi="Arial" w:cs="Arial"/>
                <w:b/>
                <w:bCs/>
                <w:color w:val="000000"/>
                <w:lang w:val="en-GB"/>
              </w:rPr>
              <w:t>Regional Cent</w:t>
            </w:r>
            <w:r w:rsidR="005E6EFA" w:rsidRPr="0034304D">
              <w:rPr>
                <w:rFonts w:ascii="Arial" w:hAnsi="Arial" w:cs="Arial"/>
                <w:b/>
                <w:bCs/>
                <w:color w:val="000000"/>
                <w:lang w:val="en-GB"/>
              </w:rPr>
              <w:t>r</w:t>
            </w:r>
            <w:r w:rsidRPr="0034304D">
              <w:rPr>
                <w:rFonts w:ascii="Arial" w:hAnsi="Arial" w:cs="Arial"/>
                <w:b/>
                <w:bCs/>
                <w:color w:val="000000"/>
                <w:lang w:val="en-GB"/>
              </w:rPr>
              <w:t>e</w:t>
            </w:r>
          </w:p>
        </w:tc>
        <w:tc>
          <w:tcPr>
            <w:tcW w:w="5386" w:type="dxa"/>
            <w:vAlign w:val="center"/>
          </w:tcPr>
          <w:p w14:paraId="6C80F4C2" w14:textId="62EB221B" w:rsidR="00127570" w:rsidRPr="0034304D" w:rsidRDefault="00127570" w:rsidP="00BD18B7">
            <w:pPr>
              <w:jc w:val="center"/>
              <w:rPr>
                <w:rFonts w:ascii="Arial" w:hAnsi="Arial" w:cs="Arial"/>
                <w:lang w:val="en-GB"/>
              </w:rPr>
            </w:pPr>
            <w:r w:rsidRPr="0034304D">
              <w:rPr>
                <w:rFonts w:ascii="Arial" w:hAnsi="Arial" w:cs="Arial"/>
                <w:b/>
                <w:bCs/>
                <w:color w:val="000000"/>
                <w:lang w:val="en-GB"/>
              </w:rPr>
              <w:t>Cement Plants</w:t>
            </w:r>
          </w:p>
        </w:tc>
      </w:tr>
      <w:tr w:rsidR="00127570" w:rsidRPr="0034304D" w14:paraId="132AC0DC" w14:textId="77777777" w:rsidTr="005C6629">
        <w:trPr>
          <w:trHeight w:val="773"/>
          <w:jc w:val="center"/>
        </w:trPr>
        <w:tc>
          <w:tcPr>
            <w:tcW w:w="2547" w:type="dxa"/>
            <w:vAlign w:val="center"/>
          </w:tcPr>
          <w:p w14:paraId="26B3433D" w14:textId="77777777" w:rsidR="00127570" w:rsidRPr="0034304D" w:rsidRDefault="00127570" w:rsidP="003941AA">
            <w:pPr>
              <w:rPr>
                <w:rFonts w:ascii="Arial" w:hAnsi="Arial" w:cs="Arial"/>
                <w:lang w:val="en-GB"/>
              </w:rPr>
            </w:pPr>
            <w:r w:rsidRPr="0034304D">
              <w:rPr>
                <w:rFonts w:ascii="Arial" w:hAnsi="Arial" w:cs="Arial"/>
                <w:color w:val="000000"/>
                <w:lang w:val="en-GB"/>
              </w:rPr>
              <w:t>Ilocos (Region I)</w:t>
            </w:r>
          </w:p>
        </w:tc>
        <w:tc>
          <w:tcPr>
            <w:tcW w:w="1559" w:type="dxa"/>
            <w:vAlign w:val="center"/>
          </w:tcPr>
          <w:p w14:paraId="46273275" w14:textId="77777777" w:rsidR="00127570" w:rsidRPr="0034304D" w:rsidRDefault="00127570" w:rsidP="003941AA">
            <w:pPr>
              <w:rPr>
                <w:rFonts w:ascii="Arial" w:hAnsi="Arial" w:cs="Arial"/>
                <w:lang w:val="en-GB"/>
              </w:rPr>
            </w:pPr>
            <w:r w:rsidRPr="0034304D">
              <w:rPr>
                <w:rFonts w:ascii="Arial" w:hAnsi="Arial" w:cs="Arial"/>
                <w:color w:val="000000"/>
                <w:lang w:val="en-GB"/>
              </w:rPr>
              <w:t>Luzon</w:t>
            </w:r>
          </w:p>
        </w:tc>
        <w:tc>
          <w:tcPr>
            <w:tcW w:w="1843" w:type="dxa"/>
            <w:vAlign w:val="center"/>
          </w:tcPr>
          <w:p w14:paraId="68C78E4A" w14:textId="77777777" w:rsidR="00127570" w:rsidRPr="0034304D" w:rsidRDefault="00127570" w:rsidP="003941AA">
            <w:pPr>
              <w:rPr>
                <w:rFonts w:ascii="Arial" w:hAnsi="Arial" w:cs="Arial"/>
                <w:lang w:val="en-GB"/>
              </w:rPr>
            </w:pPr>
            <w:r w:rsidRPr="0034304D">
              <w:rPr>
                <w:rFonts w:ascii="Arial" w:hAnsi="Arial" w:cs="Arial"/>
                <w:color w:val="000000"/>
                <w:lang w:val="en-GB"/>
              </w:rPr>
              <w:t>San Fernando</w:t>
            </w:r>
          </w:p>
        </w:tc>
        <w:tc>
          <w:tcPr>
            <w:tcW w:w="5386" w:type="dxa"/>
            <w:vAlign w:val="center"/>
          </w:tcPr>
          <w:p w14:paraId="0DED7721" w14:textId="7927CDB0" w:rsidR="00127570" w:rsidRPr="0034304D" w:rsidRDefault="00127570" w:rsidP="003941AA">
            <w:pPr>
              <w:rPr>
                <w:rFonts w:ascii="Arial" w:hAnsi="Arial" w:cs="Arial"/>
                <w:color w:val="000000"/>
                <w:lang w:val="en-GB"/>
              </w:rPr>
            </w:pPr>
            <w:r w:rsidRPr="0034304D">
              <w:rPr>
                <w:rFonts w:ascii="Arial" w:hAnsi="Arial" w:cs="Arial"/>
                <w:color w:val="000000"/>
                <w:lang w:val="en-GB"/>
              </w:rPr>
              <w:t>Holcim Philippines Inc.: La Union Plant, Bacnotan</w:t>
            </w:r>
          </w:p>
          <w:p w14:paraId="7495CB9D" w14:textId="01A317A4" w:rsidR="00127570" w:rsidRPr="0034304D" w:rsidRDefault="00127570" w:rsidP="003941AA">
            <w:pPr>
              <w:rPr>
                <w:rFonts w:ascii="Arial" w:hAnsi="Arial" w:cs="Arial"/>
                <w:color w:val="000000"/>
                <w:lang w:val="en-GB"/>
              </w:rPr>
            </w:pPr>
          </w:p>
          <w:p w14:paraId="69FFDE97" w14:textId="30C380B0" w:rsidR="00127570" w:rsidRPr="0034304D" w:rsidRDefault="00127570" w:rsidP="003941AA">
            <w:pPr>
              <w:rPr>
                <w:rFonts w:ascii="Arial" w:hAnsi="Arial" w:cs="Arial"/>
                <w:color w:val="000000"/>
                <w:lang w:val="en-GB"/>
              </w:rPr>
            </w:pPr>
            <w:r w:rsidRPr="0034304D">
              <w:rPr>
                <w:rFonts w:ascii="Arial" w:hAnsi="Arial" w:cs="Arial"/>
                <w:color w:val="000000"/>
                <w:lang w:val="en-GB"/>
              </w:rPr>
              <w:t>San Miguel Yamamura Packaging Corporation: Northern Cement Corporation Plant, Pangasinan</w:t>
            </w:r>
          </w:p>
          <w:p w14:paraId="31B12CB0" w14:textId="77777777" w:rsidR="00127570" w:rsidRPr="0034304D" w:rsidRDefault="00127570" w:rsidP="003941AA">
            <w:pPr>
              <w:rPr>
                <w:rFonts w:ascii="Arial" w:hAnsi="Arial" w:cs="Arial"/>
                <w:color w:val="000000"/>
                <w:lang w:val="en-GB"/>
              </w:rPr>
            </w:pPr>
          </w:p>
          <w:p w14:paraId="7F5C4E0A" w14:textId="6EF0647D" w:rsidR="00127570" w:rsidRPr="0034304D" w:rsidRDefault="00127570" w:rsidP="003941AA">
            <w:pPr>
              <w:rPr>
                <w:rFonts w:ascii="Arial" w:hAnsi="Arial" w:cs="Arial"/>
                <w:lang w:val="en-GB"/>
              </w:rPr>
            </w:pPr>
            <w:r w:rsidRPr="0034304D">
              <w:rPr>
                <w:rFonts w:ascii="Arial" w:hAnsi="Arial" w:cs="Arial"/>
                <w:color w:val="000000"/>
                <w:lang w:val="en-GB"/>
              </w:rPr>
              <w:t>Mabuhay Filcement Inc.:</w:t>
            </w:r>
            <w:r w:rsidR="00871C3B" w:rsidRPr="0034304D">
              <w:rPr>
                <w:rFonts w:ascii="Arial" w:hAnsi="Arial" w:cs="Arial"/>
                <w:color w:val="000000"/>
                <w:lang w:val="en-GB"/>
              </w:rPr>
              <w:t xml:space="preserve"> </w:t>
            </w:r>
            <w:r w:rsidRPr="0034304D">
              <w:rPr>
                <w:rFonts w:ascii="Arial" w:hAnsi="Arial" w:cs="Arial"/>
                <w:color w:val="000000"/>
                <w:lang w:val="en-GB"/>
              </w:rPr>
              <w:t>San Fernando</w:t>
            </w:r>
          </w:p>
        </w:tc>
      </w:tr>
      <w:tr w:rsidR="00127570" w:rsidRPr="0034304D" w14:paraId="2A4FA224" w14:textId="77777777" w:rsidTr="005C6629">
        <w:trPr>
          <w:trHeight w:val="2488"/>
          <w:jc w:val="center"/>
        </w:trPr>
        <w:tc>
          <w:tcPr>
            <w:tcW w:w="2547" w:type="dxa"/>
            <w:vAlign w:val="center"/>
          </w:tcPr>
          <w:p w14:paraId="6A3568B3" w14:textId="77777777" w:rsidR="00127570" w:rsidRPr="0034304D" w:rsidRDefault="00127570" w:rsidP="003941AA">
            <w:pPr>
              <w:rPr>
                <w:rFonts w:ascii="Arial" w:hAnsi="Arial" w:cs="Arial"/>
                <w:lang w:val="en-GB"/>
              </w:rPr>
            </w:pPr>
            <w:r w:rsidRPr="0034304D">
              <w:rPr>
                <w:rFonts w:ascii="Arial" w:hAnsi="Arial" w:cs="Arial"/>
                <w:color w:val="000000"/>
                <w:lang w:val="en-GB"/>
              </w:rPr>
              <w:t>Central Luzon (Region III)</w:t>
            </w:r>
          </w:p>
        </w:tc>
        <w:tc>
          <w:tcPr>
            <w:tcW w:w="1559" w:type="dxa"/>
            <w:vAlign w:val="center"/>
          </w:tcPr>
          <w:p w14:paraId="1DFE7E62" w14:textId="77777777" w:rsidR="00127570" w:rsidRPr="0034304D" w:rsidRDefault="00127570" w:rsidP="003941AA">
            <w:pPr>
              <w:rPr>
                <w:rFonts w:ascii="Arial" w:hAnsi="Arial" w:cs="Arial"/>
                <w:lang w:val="en-GB"/>
              </w:rPr>
            </w:pPr>
            <w:r w:rsidRPr="0034304D">
              <w:rPr>
                <w:rFonts w:ascii="Arial" w:hAnsi="Arial" w:cs="Arial"/>
                <w:color w:val="000000"/>
                <w:lang w:val="en-GB"/>
              </w:rPr>
              <w:t>Luzon</w:t>
            </w:r>
          </w:p>
        </w:tc>
        <w:tc>
          <w:tcPr>
            <w:tcW w:w="1843" w:type="dxa"/>
            <w:vAlign w:val="center"/>
          </w:tcPr>
          <w:p w14:paraId="474349E5" w14:textId="77777777" w:rsidR="00127570" w:rsidRPr="0034304D" w:rsidRDefault="00127570" w:rsidP="003941AA">
            <w:pPr>
              <w:rPr>
                <w:rFonts w:ascii="Arial" w:hAnsi="Arial" w:cs="Arial"/>
                <w:lang w:val="en-GB"/>
              </w:rPr>
            </w:pPr>
            <w:r w:rsidRPr="0034304D">
              <w:rPr>
                <w:rFonts w:ascii="Arial" w:hAnsi="Arial" w:cs="Arial"/>
                <w:color w:val="000000"/>
                <w:lang w:val="en-GB"/>
              </w:rPr>
              <w:t>San Fernando</w:t>
            </w:r>
          </w:p>
        </w:tc>
        <w:tc>
          <w:tcPr>
            <w:tcW w:w="5386" w:type="dxa"/>
            <w:vAlign w:val="center"/>
          </w:tcPr>
          <w:p w14:paraId="1548BDB1" w14:textId="174C04C0" w:rsidR="00127570" w:rsidRPr="0034304D" w:rsidRDefault="00127570" w:rsidP="003941AA">
            <w:pPr>
              <w:rPr>
                <w:rFonts w:ascii="Arial" w:hAnsi="Arial" w:cs="Arial"/>
                <w:color w:val="000000"/>
                <w:lang w:val="en-GB"/>
              </w:rPr>
            </w:pPr>
            <w:r w:rsidRPr="0034304D">
              <w:rPr>
                <w:rFonts w:ascii="Arial" w:hAnsi="Arial" w:cs="Arial"/>
                <w:color w:val="000000"/>
                <w:lang w:val="en-GB"/>
              </w:rPr>
              <w:t xml:space="preserve">Eagle Cement Inc.: San Ildefanso, Bulacan </w:t>
            </w:r>
          </w:p>
          <w:p w14:paraId="6F9D6ECA" w14:textId="77777777" w:rsidR="00127570" w:rsidRPr="0034304D" w:rsidRDefault="00127570" w:rsidP="003941AA">
            <w:pPr>
              <w:rPr>
                <w:rFonts w:ascii="Arial" w:hAnsi="Arial" w:cs="Arial"/>
                <w:color w:val="000000"/>
                <w:lang w:val="en-GB"/>
              </w:rPr>
            </w:pPr>
          </w:p>
          <w:p w14:paraId="37633F84" w14:textId="5A5EFE9C" w:rsidR="00127570" w:rsidRPr="0034304D" w:rsidRDefault="00127570" w:rsidP="003941AA">
            <w:pPr>
              <w:rPr>
                <w:rFonts w:ascii="Arial" w:hAnsi="Arial" w:cs="Arial"/>
                <w:color w:val="000000"/>
                <w:lang w:val="en-GB"/>
              </w:rPr>
            </w:pPr>
            <w:r w:rsidRPr="0034304D">
              <w:rPr>
                <w:rFonts w:ascii="Arial" w:hAnsi="Arial" w:cs="Arial"/>
                <w:color w:val="000000"/>
                <w:lang w:val="en-GB"/>
              </w:rPr>
              <w:t>Taiheyo Cement Corporation: San Feranando</w:t>
            </w:r>
          </w:p>
          <w:p w14:paraId="55D0B0E4" w14:textId="77777777" w:rsidR="00127570" w:rsidRPr="0034304D" w:rsidRDefault="00127570" w:rsidP="003941AA">
            <w:pPr>
              <w:rPr>
                <w:rFonts w:ascii="Arial" w:hAnsi="Arial" w:cs="Arial"/>
                <w:color w:val="000000"/>
                <w:lang w:val="en-GB"/>
              </w:rPr>
            </w:pPr>
          </w:p>
          <w:p w14:paraId="1D926BBD" w14:textId="6F96980B" w:rsidR="00127570" w:rsidRPr="0034304D" w:rsidRDefault="00127570" w:rsidP="003941AA">
            <w:pPr>
              <w:rPr>
                <w:rFonts w:ascii="Arial" w:hAnsi="Arial" w:cs="Arial"/>
                <w:color w:val="000000"/>
                <w:lang w:val="en-GB"/>
              </w:rPr>
            </w:pPr>
            <w:r w:rsidRPr="0034304D">
              <w:rPr>
                <w:rFonts w:ascii="Arial" w:hAnsi="Arial" w:cs="Arial"/>
                <w:color w:val="000000"/>
                <w:lang w:val="en-GB"/>
              </w:rPr>
              <w:t>Republic Cement Group: Bulacan</w:t>
            </w:r>
            <w:r w:rsidR="00871C3B" w:rsidRPr="0034304D">
              <w:rPr>
                <w:rFonts w:ascii="Arial" w:hAnsi="Arial" w:cs="Arial"/>
                <w:color w:val="000000"/>
                <w:lang w:val="en-GB"/>
              </w:rPr>
              <w:t xml:space="preserve">, </w:t>
            </w:r>
            <w:r w:rsidRPr="0034304D">
              <w:rPr>
                <w:rFonts w:ascii="Arial" w:hAnsi="Arial" w:cs="Arial"/>
                <w:color w:val="000000"/>
                <w:lang w:val="en-GB"/>
              </w:rPr>
              <w:t xml:space="preserve">Norgazaray </w:t>
            </w:r>
          </w:p>
          <w:p w14:paraId="3BED0FA4" w14:textId="77777777" w:rsidR="00127570" w:rsidRPr="0034304D" w:rsidRDefault="00127570" w:rsidP="003941AA">
            <w:pPr>
              <w:rPr>
                <w:rFonts w:ascii="Arial" w:hAnsi="Arial" w:cs="Arial"/>
                <w:color w:val="000000"/>
                <w:lang w:val="en-GB"/>
              </w:rPr>
            </w:pPr>
          </w:p>
          <w:p w14:paraId="364DDBD4" w14:textId="7F53DCC5" w:rsidR="00127570" w:rsidRPr="0034304D" w:rsidRDefault="00127570" w:rsidP="003941AA">
            <w:pPr>
              <w:rPr>
                <w:rFonts w:ascii="Arial" w:hAnsi="Arial" w:cs="Arial"/>
                <w:color w:val="000000"/>
                <w:lang w:val="en-GB"/>
              </w:rPr>
            </w:pPr>
            <w:r w:rsidRPr="0034304D">
              <w:rPr>
                <w:rFonts w:ascii="Arial" w:hAnsi="Arial" w:cs="Arial"/>
                <w:color w:val="000000"/>
                <w:lang w:val="en-GB"/>
              </w:rPr>
              <w:t>Holcim Philippines Inc.:  Bulacan</w:t>
            </w:r>
          </w:p>
          <w:p w14:paraId="49CF06C1" w14:textId="77777777" w:rsidR="00127570" w:rsidRPr="0034304D" w:rsidRDefault="00127570" w:rsidP="003941AA">
            <w:pPr>
              <w:rPr>
                <w:rFonts w:ascii="Arial" w:hAnsi="Arial" w:cs="Arial"/>
                <w:color w:val="000000"/>
                <w:lang w:val="en-GB"/>
              </w:rPr>
            </w:pPr>
          </w:p>
          <w:p w14:paraId="19068601" w14:textId="4F497EA8" w:rsidR="00127570" w:rsidRPr="0034304D" w:rsidRDefault="00127570" w:rsidP="003941AA">
            <w:pPr>
              <w:rPr>
                <w:rFonts w:ascii="Arial" w:hAnsi="Arial" w:cs="Arial"/>
                <w:lang w:val="en-GB"/>
              </w:rPr>
            </w:pPr>
            <w:r w:rsidRPr="0034304D">
              <w:rPr>
                <w:rFonts w:ascii="Arial" w:hAnsi="Arial" w:cs="Arial"/>
                <w:color w:val="000000"/>
                <w:lang w:val="en-GB"/>
              </w:rPr>
              <w:t>BBCI:Porac, Pampanga</w:t>
            </w:r>
          </w:p>
        </w:tc>
      </w:tr>
      <w:tr w:rsidR="00127570" w:rsidRPr="0034304D" w14:paraId="141C7276" w14:textId="77777777" w:rsidTr="005C6629">
        <w:trPr>
          <w:trHeight w:val="872"/>
          <w:jc w:val="center"/>
        </w:trPr>
        <w:tc>
          <w:tcPr>
            <w:tcW w:w="2547" w:type="dxa"/>
            <w:vAlign w:val="center"/>
          </w:tcPr>
          <w:p w14:paraId="4C0C0762" w14:textId="77777777" w:rsidR="00127570" w:rsidRPr="0034304D" w:rsidRDefault="00127570" w:rsidP="003941AA">
            <w:pPr>
              <w:rPr>
                <w:rFonts w:ascii="Arial" w:hAnsi="Arial" w:cs="Arial"/>
                <w:lang w:val="en-GB"/>
              </w:rPr>
            </w:pPr>
            <w:r w:rsidRPr="0034304D">
              <w:rPr>
                <w:rFonts w:ascii="Arial" w:hAnsi="Arial" w:cs="Arial"/>
                <w:color w:val="000000"/>
                <w:lang w:val="en-GB"/>
              </w:rPr>
              <w:t>Calabarzon (Region IV-A)</w:t>
            </w:r>
          </w:p>
        </w:tc>
        <w:tc>
          <w:tcPr>
            <w:tcW w:w="1559" w:type="dxa"/>
            <w:vAlign w:val="center"/>
          </w:tcPr>
          <w:p w14:paraId="04841F4F" w14:textId="77777777" w:rsidR="00127570" w:rsidRPr="0034304D" w:rsidRDefault="00127570" w:rsidP="003941AA">
            <w:pPr>
              <w:rPr>
                <w:rFonts w:ascii="Arial" w:hAnsi="Arial" w:cs="Arial"/>
                <w:lang w:val="en-GB"/>
              </w:rPr>
            </w:pPr>
            <w:r w:rsidRPr="0034304D">
              <w:rPr>
                <w:rFonts w:ascii="Arial" w:hAnsi="Arial" w:cs="Arial"/>
                <w:color w:val="000000"/>
                <w:lang w:val="en-GB"/>
              </w:rPr>
              <w:t>Luzon</w:t>
            </w:r>
          </w:p>
        </w:tc>
        <w:tc>
          <w:tcPr>
            <w:tcW w:w="1843" w:type="dxa"/>
            <w:vAlign w:val="center"/>
          </w:tcPr>
          <w:p w14:paraId="5BB1D1F8" w14:textId="77777777" w:rsidR="00127570" w:rsidRPr="0034304D" w:rsidRDefault="00127570" w:rsidP="003941AA">
            <w:pPr>
              <w:rPr>
                <w:rFonts w:ascii="Arial" w:hAnsi="Arial" w:cs="Arial"/>
                <w:lang w:val="en-GB"/>
              </w:rPr>
            </w:pPr>
            <w:r w:rsidRPr="0034304D">
              <w:rPr>
                <w:rFonts w:ascii="Arial" w:hAnsi="Arial" w:cs="Arial"/>
                <w:color w:val="000000"/>
                <w:lang w:val="en-GB"/>
              </w:rPr>
              <w:t>Calamba</w:t>
            </w:r>
          </w:p>
        </w:tc>
        <w:tc>
          <w:tcPr>
            <w:tcW w:w="5386" w:type="dxa"/>
            <w:vAlign w:val="center"/>
          </w:tcPr>
          <w:p w14:paraId="4FD100BE" w14:textId="77777777" w:rsidR="00127570" w:rsidRPr="0034304D" w:rsidRDefault="00127570" w:rsidP="003941AA">
            <w:pPr>
              <w:rPr>
                <w:rFonts w:ascii="Arial" w:hAnsi="Arial" w:cs="Arial"/>
                <w:color w:val="000000"/>
                <w:lang w:val="en-GB"/>
              </w:rPr>
            </w:pPr>
            <w:r w:rsidRPr="0034304D">
              <w:rPr>
                <w:rFonts w:ascii="Arial" w:hAnsi="Arial" w:cs="Arial"/>
                <w:color w:val="000000"/>
                <w:lang w:val="en-GB"/>
              </w:rPr>
              <w:t>Republic Cement Group: Batangas Plant and Teresa Plant</w:t>
            </w:r>
          </w:p>
          <w:p w14:paraId="74C324B6" w14:textId="77777777" w:rsidR="00127570" w:rsidRPr="0034304D" w:rsidRDefault="00127570" w:rsidP="003941AA">
            <w:pPr>
              <w:rPr>
                <w:rFonts w:ascii="Arial" w:hAnsi="Arial" w:cs="Arial"/>
                <w:color w:val="000000"/>
                <w:lang w:val="en-GB"/>
              </w:rPr>
            </w:pPr>
          </w:p>
          <w:p w14:paraId="20165736" w14:textId="26430929" w:rsidR="00127570" w:rsidRPr="0034304D" w:rsidRDefault="00127570" w:rsidP="003941AA">
            <w:pPr>
              <w:rPr>
                <w:rFonts w:ascii="Arial" w:hAnsi="Arial" w:cs="Arial"/>
                <w:lang w:val="en-GB"/>
              </w:rPr>
            </w:pPr>
            <w:r w:rsidRPr="0034304D">
              <w:rPr>
                <w:rFonts w:ascii="Arial" w:hAnsi="Arial" w:cs="Arial"/>
                <w:color w:val="000000"/>
                <w:lang w:val="en-GB"/>
              </w:rPr>
              <w:t>Cemex Holdings Philippines Inc.: Solid Cement Corporation at Rizal</w:t>
            </w:r>
          </w:p>
        </w:tc>
      </w:tr>
      <w:tr w:rsidR="00127570" w:rsidRPr="0034304D" w14:paraId="34645A13" w14:textId="77777777" w:rsidTr="005C6629">
        <w:trPr>
          <w:trHeight w:val="60"/>
          <w:jc w:val="center"/>
        </w:trPr>
        <w:tc>
          <w:tcPr>
            <w:tcW w:w="2547" w:type="dxa"/>
            <w:vAlign w:val="center"/>
          </w:tcPr>
          <w:p w14:paraId="225FC30E" w14:textId="2C478F6E" w:rsidR="00127570" w:rsidRPr="0034304D" w:rsidRDefault="00127570" w:rsidP="001D0909">
            <w:pPr>
              <w:rPr>
                <w:rFonts w:ascii="Arial" w:hAnsi="Arial" w:cs="Arial"/>
                <w:lang w:val="en-GB"/>
              </w:rPr>
            </w:pPr>
            <w:r w:rsidRPr="0034304D">
              <w:rPr>
                <w:rFonts w:ascii="Arial" w:hAnsi="Arial" w:cs="Arial"/>
                <w:color w:val="000000"/>
                <w:lang w:val="en-GB"/>
              </w:rPr>
              <w:t>Bicol (</w:t>
            </w:r>
            <w:r w:rsidR="005E6EFA" w:rsidRPr="0034304D">
              <w:rPr>
                <w:rFonts w:ascii="Arial" w:hAnsi="Arial" w:cs="Arial"/>
                <w:color w:val="000000"/>
                <w:lang w:val="en-GB"/>
              </w:rPr>
              <w:t>R</w:t>
            </w:r>
            <w:r w:rsidRPr="0034304D">
              <w:rPr>
                <w:rFonts w:ascii="Arial" w:hAnsi="Arial" w:cs="Arial"/>
                <w:color w:val="000000"/>
                <w:lang w:val="en-GB"/>
              </w:rPr>
              <w:t>egion V)</w:t>
            </w:r>
          </w:p>
        </w:tc>
        <w:tc>
          <w:tcPr>
            <w:tcW w:w="1559" w:type="dxa"/>
            <w:vAlign w:val="center"/>
          </w:tcPr>
          <w:p w14:paraId="4ECAADAD" w14:textId="77777777" w:rsidR="00127570" w:rsidRPr="0034304D" w:rsidRDefault="00127570" w:rsidP="003941AA">
            <w:pPr>
              <w:rPr>
                <w:rFonts w:ascii="Arial" w:hAnsi="Arial" w:cs="Arial"/>
                <w:lang w:val="en-GB"/>
              </w:rPr>
            </w:pPr>
            <w:r w:rsidRPr="0034304D">
              <w:rPr>
                <w:rFonts w:ascii="Arial" w:hAnsi="Arial" w:cs="Arial"/>
                <w:color w:val="000000"/>
                <w:lang w:val="en-GB"/>
              </w:rPr>
              <w:t>Luzon</w:t>
            </w:r>
          </w:p>
        </w:tc>
        <w:tc>
          <w:tcPr>
            <w:tcW w:w="1843" w:type="dxa"/>
            <w:vAlign w:val="center"/>
          </w:tcPr>
          <w:p w14:paraId="5075AB86" w14:textId="77777777" w:rsidR="00127570" w:rsidRPr="0034304D" w:rsidRDefault="00127570" w:rsidP="003941AA">
            <w:pPr>
              <w:rPr>
                <w:rFonts w:ascii="Arial" w:hAnsi="Arial" w:cs="Arial"/>
                <w:lang w:val="en-GB"/>
              </w:rPr>
            </w:pPr>
            <w:r w:rsidRPr="0034304D">
              <w:rPr>
                <w:rFonts w:ascii="Arial" w:hAnsi="Arial" w:cs="Arial"/>
                <w:color w:val="000000"/>
                <w:lang w:val="en-GB"/>
              </w:rPr>
              <w:t>Legazpi</w:t>
            </w:r>
          </w:p>
        </w:tc>
        <w:tc>
          <w:tcPr>
            <w:tcW w:w="5386" w:type="dxa"/>
            <w:vAlign w:val="center"/>
          </w:tcPr>
          <w:p w14:paraId="7CD938C8" w14:textId="518CCE12" w:rsidR="00127570" w:rsidRPr="0034304D" w:rsidRDefault="00127570" w:rsidP="003941AA">
            <w:pPr>
              <w:rPr>
                <w:rFonts w:ascii="Arial" w:hAnsi="Arial" w:cs="Arial"/>
                <w:lang w:val="en-GB"/>
              </w:rPr>
            </w:pPr>
            <w:r w:rsidRPr="0034304D">
              <w:rPr>
                <w:rFonts w:ascii="Arial" w:hAnsi="Arial" w:cs="Arial"/>
                <w:color w:val="000000"/>
                <w:lang w:val="en-GB"/>
              </w:rPr>
              <w:t>Goodfound Cement Corp.:</w:t>
            </w:r>
            <w:r w:rsidR="00871C3B" w:rsidRPr="0034304D">
              <w:rPr>
                <w:rFonts w:ascii="Arial" w:hAnsi="Arial" w:cs="Arial"/>
                <w:color w:val="000000"/>
                <w:lang w:val="en-GB"/>
              </w:rPr>
              <w:t xml:space="preserve"> </w:t>
            </w:r>
            <w:r w:rsidRPr="0034304D">
              <w:rPr>
                <w:rFonts w:ascii="Arial" w:hAnsi="Arial" w:cs="Arial"/>
                <w:color w:val="000000"/>
                <w:lang w:val="en-GB"/>
              </w:rPr>
              <w:t>Albay</w:t>
            </w:r>
          </w:p>
        </w:tc>
      </w:tr>
      <w:tr w:rsidR="00127570" w:rsidRPr="0034304D" w14:paraId="109901C4" w14:textId="77777777" w:rsidTr="005C6629">
        <w:trPr>
          <w:trHeight w:val="1223"/>
          <w:jc w:val="center"/>
        </w:trPr>
        <w:tc>
          <w:tcPr>
            <w:tcW w:w="2547" w:type="dxa"/>
            <w:vAlign w:val="center"/>
          </w:tcPr>
          <w:p w14:paraId="08E069D7" w14:textId="77777777" w:rsidR="00127570" w:rsidRPr="0034304D" w:rsidRDefault="00127570" w:rsidP="003941AA">
            <w:pPr>
              <w:rPr>
                <w:rFonts w:ascii="Arial" w:hAnsi="Arial" w:cs="Arial"/>
                <w:lang w:val="en-GB"/>
              </w:rPr>
            </w:pPr>
            <w:r w:rsidRPr="0034304D">
              <w:rPr>
                <w:rFonts w:ascii="Arial" w:hAnsi="Arial" w:cs="Arial"/>
                <w:color w:val="000000"/>
                <w:lang w:val="en-GB"/>
              </w:rPr>
              <w:t>Central Visayas (Region VII)</w:t>
            </w:r>
          </w:p>
        </w:tc>
        <w:tc>
          <w:tcPr>
            <w:tcW w:w="1559" w:type="dxa"/>
            <w:vAlign w:val="center"/>
          </w:tcPr>
          <w:p w14:paraId="244915E7" w14:textId="77777777" w:rsidR="00127570" w:rsidRPr="0034304D" w:rsidRDefault="00127570" w:rsidP="003941AA">
            <w:pPr>
              <w:rPr>
                <w:rFonts w:ascii="Arial" w:hAnsi="Arial" w:cs="Arial"/>
                <w:lang w:val="en-GB"/>
              </w:rPr>
            </w:pPr>
            <w:r w:rsidRPr="0034304D">
              <w:rPr>
                <w:rFonts w:ascii="Arial" w:hAnsi="Arial" w:cs="Arial"/>
                <w:color w:val="000000"/>
                <w:lang w:val="en-GB"/>
              </w:rPr>
              <w:t>Visayas</w:t>
            </w:r>
          </w:p>
        </w:tc>
        <w:tc>
          <w:tcPr>
            <w:tcW w:w="1843" w:type="dxa"/>
            <w:vAlign w:val="center"/>
          </w:tcPr>
          <w:p w14:paraId="22DA0C9F" w14:textId="77777777" w:rsidR="00127570" w:rsidRPr="0034304D" w:rsidRDefault="00127570" w:rsidP="003941AA">
            <w:pPr>
              <w:rPr>
                <w:rFonts w:ascii="Arial" w:hAnsi="Arial" w:cs="Arial"/>
                <w:lang w:val="en-GB"/>
              </w:rPr>
            </w:pPr>
            <w:r w:rsidRPr="0034304D">
              <w:rPr>
                <w:rFonts w:ascii="Arial" w:hAnsi="Arial" w:cs="Arial"/>
                <w:color w:val="000000"/>
                <w:lang w:val="en-GB"/>
              </w:rPr>
              <w:t>Cebu City</w:t>
            </w:r>
          </w:p>
        </w:tc>
        <w:tc>
          <w:tcPr>
            <w:tcW w:w="5386" w:type="dxa"/>
            <w:vAlign w:val="center"/>
          </w:tcPr>
          <w:p w14:paraId="318834E8" w14:textId="66CB2567" w:rsidR="00127570" w:rsidRPr="0034304D" w:rsidRDefault="00127570" w:rsidP="003941AA">
            <w:pPr>
              <w:rPr>
                <w:rFonts w:ascii="Arial" w:hAnsi="Arial" w:cs="Arial"/>
                <w:color w:val="000000"/>
                <w:lang w:val="en-GB"/>
              </w:rPr>
            </w:pPr>
            <w:r w:rsidRPr="0034304D">
              <w:rPr>
                <w:rFonts w:ascii="Arial" w:hAnsi="Arial" w:cs="Arial"/>
                <w:color w:val="000000"/>
                <w:lang w:val="en-GB"/>
              </w:rPr>
              <w:t>Republic Cement: Danao Plant</w:t>
            </w:r>
          </w:p>
          <w:p w14:paraId="0B8B48C1" w14:textId="5FC2F448" w:rsidR="00127570" w:rsidRPr="0034304D" w:rsidRDefault="00127570" w:rsidP="003941AA">
            <w:pPr>
              <w:rPr>
                <w:rFonts w:ascii="Arial" w:hAnsi="Arial" w:cs="Arial"/>
                <w:color w:val="000000"/>
                <w:lang w:val="en-GB"/>
              </w:rPr>
            </w:pPr>
          </w:p>
          <w:p w14:paraId="4BD0494E" w14:textId="5C436221" w:rsidR="00127570" w:rsidRPr="0034304D" w:rsidRDefault="00127570" w:rsidP="003941AA">
            <w:pPr>
              <w:rPr>
                <w:rFonts w:ascii="Arial" w:hAnsi="Arial" w:cs="Arial"/>
                <w:color w:val="000000"/>
                <w:lang w:val="en-GB"/>
              </w:rPr>
            </w:pPr>
            <w:r w:rsidRPr="0034304D">
              <w:rPr>
                <w:rFonts w:ascii="Arial" w:hAnsi="Arial" w:cs="Arial"/>
                <w:color w:val="000000"/>
                <w:lang w:val="en-GB"/>
              </w:rPr>
              <w:t>Cemex Holdings Philippines Inc</w:t>
            </w:r>
            <w:r w:rsidR="005E6EFA" w:rsidRPr="0034304D">
              <w:rPr>
                <w:rFonts w:ascii="Arial" w:hAnsi="Arial" w:cs="Arial"/>
                <w:color w:val="000000"/>
                <w:lang w:val="en-GB"/>
              </w:rPr>
              <w:t>.</w:t>
            </w:r>
            <w:r w:rsidRPr="0034304D">
              <w:rPr>
                <w:rFonts w:ascii="Arial" w:hAnsi="Arial" w:cs="Arial"/>
                <w:color w:val="000000"/>
                <w:lang w:val="en-GB"/>
              </w:rPr>
              <w:t xml:space="preserve"> (APO Cement Corporation):</w:t>
            </w:r>
            <w:r w:rsidR="00871C3B" w:rsidRPr="0034304D">
              <w:rPr>
                <w:rFonts w:ascii="Arial" w:hAnsi="Arial" w:cs="Arial"/>
                <w:color w:val="000000"/>
                <w:lang w:val="en-GB"/>
              </w:rPr>
              <w:t xml:space="preserve"> </w:t>
            </w:r>
            <w:r w:rsidRPr="0034304D">
              <w:rPr>
                <w:rFonts w:ascii="Arial" w:hAnsi="Arial" w:cs="Arial"/>
                <w:color w:val="000000"/>
                <w:lang w:val="en-GB"/>
              </w:rPr>
              <w:t>Tina-an, Naga City, Cebu</w:t>
            </w:r>
          </w:p>
        </w:tc>
      </w:tr>
      <w:tr w:rsidR="00127570" w:rsidRPr="0034304D" w14:paraId="3A6C7149" w14:textId="77777777" w:rsidTr="005C6629">
        <w:trPr>
          <w:trHeight w:val="827"/>
          <w:jc w:val="center"/>
        </w:trPr>
        <w:tc>
          <w:tcPr>
            <w:tcW w:w="2547" w:type="dxa"/>
            <w:vAlign w:val="center"/>
          </w:tcPr>
          <w:p w14:paraId="58E57A2B" w14:textId="77777777" w:rsidR="00127570" w:rsidRPr="0034304D" w:rsidRDefault="00127570" w:rsidP="003941AA">
            <w:pPr>
              <w:rPr>
                <w:rFonts w:ascii="Arial" w:hAnsi="Arial" w:cs="Arial"/>
                <w:lang w:val="en-GB"/>
              </w:rPr>
            </w:pPr>
            <w:r w:rsidRPr="0034304D">
              <w:rPr>
                <w:rFonts w:ascii="Arial" w:hAnsi="Arial" w:cs="Arial"/>
                <w:color w:val="000000"/>
                <w:lang w:val="en-GB"/>
              </w:rPr>
              <w:t>Northern Mindanao (Region X)</w:t>
            </w:r>
          </w:p>
        </w:tc>
        <w:tc>
          <w:tcPr>
            <w:tcW w:w="1559" w:type="dxa"/>
            <w:vAlign w:val="center"/>
          </w:tcPr>
          <w:p w14:paraId="768CA5C6" w14:textId="77777777" w:rsidR="00127570" w:rsidRPr="0034304D" w:rsidRDefault="00127570" w:rsidP="003941AA">
            <w:pPr>
              <w:rPr>
                <w:rFonts w:ascii="Arial" w:hAnsi="Arial" w:cs="Arial"/>
                <w:lang w:val="en-GB"/>
              </w:rPr>
            </w:pPr>
            <w:r w:rsidRPr="0034304D">
              <w:rPr>
                <w:rFonts w:ascii="Arial" w:hAnsi="Arial" w:cs="Arial"/>
                <w:color w:val="000000"/>
                <w:lang w:val="en-GB"/>
              </w:rPr>
              <w:t>Mindanao</w:t>
            </w:r>
          </w:p>
        </w:tc>
        <w:tc>
          <w:tcPr>
            <w:tcW w:w="1843" w:type="dxa"/>
            <w:vAlign w:val="center"/>
          </w:tcPr>
          <w:p w14:paraId="0CC09B30" w14:textId="77777777" w:rsidR="00127570" w:rsidRPr="0034304D" w:rsidRDefault="00127570" w:rsidP="003941AA">
            <w:pPr>
              <w:rPr>
                <w:rFonts w:ascii="Arial" w:hAnsi="Arial" w:cs="Arial"/>
                <w:lang w:val="en-GB"/>
              </w:rPr>
            </w:pPr>
            <w:r w:rsidRPr="0034304D">
              <w:rPr>
                <w:rFonts w:ascii="Arial" w:hAnsi="Arial" w:cs="Arial"/>
                <w:color w:val="000000"/>
                <w:lang w:val="en-GB"/>
              </w:rPr>
              <w:t>Cagayan de Oro</w:t>
            </w:r>
          </w:p>
        </w:tc>
        <w:tc>
          <w:tcPr>
            <w:tcW w:w="5386" w:type="dxa"/>
            <w:vAlign w:val="center"/>
          </w:tcPr>
          <w:p w14:paraId="404C2548" w14:textId="7000D411" w:rsidR="00127570" w:rsidRPr="0034304D" w:rsidRDefault="00127570" w:rsidP="003941AA">
            <w:pPr>
              <w:rPr>
                <w:rFonts w:ascii="Arial" w:hAnsi="Arial" w:cs="Arial"/>
                <w:color w:val="000000"/>
                <w:lang w:val="en-GB"/>
              </w:rPr>
            </w:pPr>
            <w:r w:rsidRPr="0034304D">
              <w:rPr>
                <w:rFonts w:ascii="Arial" w:hAnsi="Arial" w:cs="Arial"/>
                <w:color w:val="000000"/>
                <w:lang w:val="en-GB"/>
              </w:rPr>
              <w:t>Republic Cement Group:</w:t>
            </w:r>
            <w:r w:rsidR="00871C3B" w:rsidRPr="0034304D">
              <w:rPr>
                <w:rFonts w:ascii="Arial" w:hAnsi="Arial" w:cs="Arial"/>
                <w:color w:val="000000"/>
                <w:lang w:val="en-GB"/>
              </w:rPr>
              <w:t xml:space="preserve"> </w:t>
            </w:r>
            <w:r w:rsidRPr="0034304D">
              <w:rPr>
                <w:rFonts w:ascii="Arial" w:hAnsi="Arial" w:cs="Arial"/>
                <w:color w:val="000000"/>
                <w:lang w:val="en-GB"/>
              </w:rPr>
              <w:t>Iligan Cement plant</w:t>
            </w:r>
          </w:p>
          <w:p w14:paraId="4165D44A" w14:textId="30D5BCE1" w:rsidR="00127570" w:rsidRPr="0034304D" w:rsidRDefault="00127570" w:rsidP="003941AA">
            <w:pPr>
              <w:rPr>
                <w:rFonts w:ascii="Arial" w:hAnsi="Arial" w:cs="Arial"/>
                <w:color w:val="000000"/>
                <w:lang w:val="en-GB"/>
              </w:rPr>
            </w:pPr>
          </w:p>
          <w:p w14:paraId="4503B611" w14:textId="3F302055" w:rsidR="00127570" w:rsidRPr="0034304D" w:rsidRDefault="00127570" w:rsidP="003941AA">
            <w:pPr>
              <w:rPr>
                <w:rFonts w:ascii="Arial" w:hAnsi="Arial" w:cs="Arial"/>
                <w:lang w:val="en-GB"/>
              </w:rPr>
            </w:pPr>
            <w:r w:rsidRPr="0034304D">
              <w:rPr>
                <w:rFonts w:ascii="Arial" w:hAnsi="Arial" w:cs="Arial"/>
                <w:color w:val="000000"/>
                <w:lang w:val="en-GB"/>
              </w:rPr>
              <w:t>Holcim Philippines Inc.:Lugait Plant</w:t>
            </w:r>
          </w:p>
        </w:tc>
      </w:tr>
      <w:tr w:rsidR="00127570" w:rsidRPr="0034304D" w14:paraId="22CBD63A" w14:textId="77777777" w:rsidTr="005C6629">
        <w:trPr>
          <w:trHeight w:val="60"/>
          <w:jc w:val="center"/>
        </w:trPr>
        <w:tc>
          <w:tcPr>
            <w:tcW w:w="2547" w:type="dxa"/>
            <w:vAlign w:val="center"/>
          </w:tcPr>
          <w:p w14:paraId="6D42BF74" w14:textId="77777777" w:rsidR="00127570" w:rsidRPr="0034304D" w:rsidRDefault="00127570" w:rsidP="003941AA">
            <w:pPr>
              <w:rPr>
                <w:rFonts w:ascii="Arial" w:hAnsi="Arial" w:cs="Arial"/>
                <w:lang w:val="en-GB"/>
              </w:rPr>
            </w:pPr>
            <w:r w:rsidRPr="0034304D">
              <w:rPr>
                <w:rFonts w:ascii="Arial" w:hAnsi="Arial" w:cs="Arial"/>
                <w:color w:val="000000"/>
                <w:lang w:val="en-GB"/>
              </w:rPr>
              <w:t>Davao Region (Region XI)</w:t>
            </w:r>
          </w:p>
        </w:tc>
        <w:tc>
          <w:tcPr>
            <w:tcW w:w="1559" w:type="dxa"/>
            <w:vAlign w:val="center"/>
          </w:tcPr>
          <w:p w14:paraId="34B7BF5A" w14:textId="77777777" w:rsidR="00127570" w:rsidRPr="0034304D" w:rsidRDefault="00127570" w:rsidP="003941AA">
            <w:pPr>
              <w:rPr>
                <w:rFonts w:ascii="Arial" w:hAnsi="Arial" w:cs="Arial"/>
                <w:lang w:val="en-GB"/>
              </w:rPr>
            </w:pPr>
            <w:r w:rsidRPr="0034304D">
              <w:rPr>
                <w:rFonts w:ascii="Arial" w:hAnsi="Arial" w:cs="Arial"/>
                <w:color w:val="000000"/>
                <w:lang w:val="en-GB"/>
              </w:rPr>
              <w:t>Mindanao</w:t>
            </w:r>
          </w:p>
        </w:tc>
        <w:tc>
          <w:tcPr>
            <w:tcW w:w="1843" w:type="dxa"/>
            <w:vAlign w:val="center"/>
          </w:tcPr>
          <w:p w14:paraId="08349D11" w14:textId="77777777" w:rsidR="00127570" w:rsidRPr="0034304D" w:rsidRDefault="00127570" w:rsidP="003941AA">
            <w:pPr>
              <w:rPr>
                <w:rFonts w:ascii="Arial" w:hAnsi="Arial" w:cs="Arial"/>
                <w:lang w:val="en-GB"/>
              </w:rPr>
            </w:pPr>
            <w:r w:rsidRPr="0034304D">
              <w:rPr>
                <w:rFonts w:ascii="Arial" w:hAnsi="Arial" w:cs="Arial"/>
                <w:color w:val="000000"/>
                <w:lang w:val="en-GB"/>
              </w:rPr>
              <w:t>Davao City</w:t>
            </w:r>
          </w:p>
        </w:tc>
        <w:tc>
          <w:tcPr>
            <w:tcW w:w="5386" w:type="dxa"/>
            <w:vAlign w:val="center"/>
          </w:tcPr>
          <w:p w14:paraId="1DE62FFE" w14:textId="3FE2F871" w:rsidR="00127570" w:rsidRPr="0034304D" w:rsidRDefault="00127570" w:rsidP="003941AA">
            <w:pPr>
              <w:rPr>
                <w:rFonts w:ascii="Arial" w:hAnsi="Arial" w:cs="Arial"/>
                <w:lang w:val="en-GB"/>
              </w:rPr>
            </w:pPr>
            <w:r w:rsidRPr="0034304D">
              <w:rPr>
                <w:rFonts w:ascii="Arial" w:hAnsi="Arial" w:cs="Arial"/>
                <w:color w:val="000000"/>
                <w:lang w:val="en-GB"/>
              </w:rPr>
              <w:t>Holcim Philippines Inc.:Davao Plant</w:t>
            </w:r>
          </w:p>
        </w:tc>
      </w:tr>
      <w:tr w:rsidR="00127570" w:rsidRPr="0034304D" w14:paraId="039E3E23" w14:textId="77777777" w:rsidTr="005C6629">
        <w:trPr>
          <w:trHeight w:val="197"/>
          <w:jc w:val="center"/>
        </w:trPr>
        <w:tc>
          <w:tcPr>
            <w:tcW w:w="2547" w:type="dxa"/>
            <w:vAlign w:val="center"/>
          </w:tcPr>
          <w:p w14:paraId="00E63655" w14:textId="77777777" w:rsidR="00127570" w:rsidRPr="0034304D" w:rsidRDefault="00127570" w:rsidP="003941AA">
            <w:pPr>
              <w:rPr>
                <w:rFonts w:ascii="Arial" w:hAnsi="Arial" w:cs="Arial"/>
                <w:lang w:val="en-GB"/>
              </w:rPr>
            </w:pPr>
            <w:r w:rsidRPr="0034304D">
              <w:rPr>
                <w:rFonts w:ascii="Arial" w:hAnsi="Arial" w:cs="Arial"/>
                <w:color w:val="000000"/>
                <w:lang w:val="en-GB"/>
              </w:rPr>
              <w:t>Zamboanga Peninsula (Region IX)</w:t>
            </w:r>
          </w:p>
        </w:tc>
        <w:tc>
          <w:tcPr>
            <w:tcW w:w="1559" w:type="dxa"/>
            <w:vAlign w:val="center"/>
          </w:tcPr>
          <w:p w14:paraId="1ABF0464" w14:textId="77777777" w:rsidR="00127570" w:rsidRPr="0034304D" w:rsidRDefault="00127570" w:rsidP="003941AA">
            <w:pPr>
              <w:rPr>
                <w:rFonts w:ascii="Arial" w:hAnsi="Arial" w:cs="Arial"/>
                <w:lang w:val="en-GB"/>
              </w:rPr>
            </w:pPr>
            <w:r w:rsidRPr="0034304D">
              <w:rPr>
                <w:rFonts w:ascii="Arial" w:hAnsi="Arial" w:cs="Arial"/>
                <w:color w:val="000000"/>
                <w:lang w:val="en-GB"/>
              </w:rPr>
              <w:t>Mindanao</w:t>
            </w:r>
          </w:p>
        </w:tc>
        <w:tc>
          <w:tcPr>
            <w:tcW w:w="1843" w:type="dxa"/>
            <w:vAlign w:val="center"/>
          </w:tcPr>
          <w:p w14:paraId="2D183BEF" w14:textId="77777777" w:rsidR="00127570" w:rsidRPr="0034304D" w:rsidRDefault="00127570" w:rsidP="003941AA">
            <w:pPr>
              <w:rPr>
                <w:rFonts w:ascii="Arial" w:hAnsi="Arial" w:cs="Arial"/>
                <w:lang w:val="en-GB"/>
              </w:rPr>
            </w:pPr>
            <w:r w:rsidRPr="0034304D">
              <w:rPr>
                <w:rFonts w:ascii="Arial" w:hAnsi="Arial" w:cs="Arial"/>
                <w:color w:val="000000"/>
                <w:lang w:val="en-GB"/>
              </w:rPr>
              <w:t>Pagadian</w:t>
            </w:r>
          </w:p>
        </w:tc>
        <w:tc>
          <w:tcPr>
            <w:tcW w:w="5386" w:type="dxa"/>
            <w:vAlign w:val="center"/>
          </w:tcPr>
          <w:p w14:paraId="03342C90" w14:textId="38905DF9" w:rsidR="00127570" w:rsidRPr="0034304D" w:rsidRDefault="00127570" w:rsidP="003941AA">
            <w:pPr>
              <w:rPr>
                <w:rFonts w:ascii="Arial" w:hAnsi="Arial" w:cs="Arial"/>
                <w:lang w:val="en-GB"/>
              </w:rPr>
            </w:pPr>
            <w:r w:rsidRPr="0034304D">
              <w:rPr>
                <w:rFonts w:ascii="Arial" w:hAnsi="Arial" w:cs="Arial"/>
                <w:color w:val="000000"/>
                <w:lang w:val="en-GB"/>
              </w:rPr>
              <w:t>Big Boss Cement Inc.: Plant II (Planned), Zamboanga Peninsula</w:t>
            </w:r>
          </w:p>
        </w:tc>
      </w:tr>
    </w:tbl>
    <w:p w14:paraId="521CEEE6" w14:textId="77777777" w:rsidR="00523AD0" w:rsidRPr="0034304D" w:rsidRDefault="00523AD0" w:rsidP="00523AD0">
      <w:pPr>
        <w:pStyle w:val="Footnote"/>
        <w:rPr>
          <w:lang w:val="en-GB"/>
        </w:rPr>
      </w:pPr>
    </w:p>
    <w:p w14:paraId="113FB34A" w14:textId="346EBCD2" w:rsidR="00216CCF" w:rsidRPr="0034304D" w:rsidRDefault="00127570" w:rsidP="00523AD0">
      <w:pPr>
        <w:pStyle w:val="Footnote"/>
        <w:rPr>
          <w:rStyle w:val="Hyperlink"/>
          <w:color w:val="auto"/>
          <w:u w:val="none"/>
          <w:lang w:val="en-GB"/>
        </w:rPr>
      </w:pPr>
      <w:r w:rsidRPr="0034304D">
        <w:rPr>
          <w:lang w:val="en-GB"/>
        </w:rPr>
        <w:t xml:space="preserve">Source: “Cement </w:t>
      </w:r>
      <w:r w:rsidR="005E6EFA" w:rsidRPr="0034304D">
        <w:rPr>
          <w:lang w:val="en-GB"/>
        </w:rPr>
        <w:t>P</w:t>
      </w:r>
      <w:r w:rsidRPr="0034304D">
        <w:rPr>
          <w:lang w:val="en-GB"/>
        </w:rPr>
        <w:t xml:space="preserve">lants </w:t>
      </w:r>
      <w:r w:rsidR="005E6EFA" w:rsidRPr="0034304D">
        <w:rPr>
          <w:lang w:val="en-GB"/>
        </w:rPr>
        <w:t>L</w:t>
      </w:r>
      <w:r w:rsidRPr="0034304D">
        <w:rPr>
          <w:lang w:val="en-GB"/>
        </w:rPr>
        <w:t>ocated in Philippines</w:t>
      </w:r>
      <w:r w:rsidR="005E6EFA" w:rsidRPr="0034304D">
        <w:rPr>
          <w:lang w:val="en-GB"/>
        </w:rPr>
        <w:t>,</w:t>
      </w:r>
      <w:r w:rsidRPr="0034304D">
        <w:rPr>
          <w:lang w:val="en-GB"/>
        </w:rPr>
        <w:t xml:space="preserve">” </w:t>
      </w:r>
      <w:r w:rsidR="005E6EFA" w:rsidRPr="0034304D">
        <w:rPr>
          <w:lang w:val="en-GB"/>
        </w:rPr>
        <w:t xml:space="preserve">CemNet.com, </w:t>
      </w:r>
      <w:r w:rsidRPr="0034304D">
        <w:rPr>
          <w:lang w:val="en-GB"/>
        </w:rPr>
        <w:t xml:space="preserve">accessed January 30, 2018, </w:t>
      </w:r>
      <w:r w:rsidR="003C1C68" w:rsidRPr="005432AB">
        <w:rPr>
          <w:lang w:val="en-GB"/>
        </w:rPr>
        <w:t>www.cemnet.com/global-cement-report/country/philippines</w:t>
      </w:r>
      <w:r w:rsidR="005E6EFA" w:rsidRPr="0034304D">
        <w:rPr>
          <w:rStyle w:val="Hyperlink"/>
          <w:color w:val="auto"/>
          <w:u w:val="none"/>
          <w:lang w:val="en-GB"/>
        </w:rPr>
        <w:t>.</w:t>
      </w:r>
    </w:p>
    <w:p w14:paraId="1AC89DE1" w14:textId="6C8BB14A" w:rsidR="00216CCF" w:rsidRPr="0034304D" w:rsidRDefault="00216CCF" w:rsidP="00523AD0">
      <w:pPr>
        <w:pStyle w:val="Footnote"/>
        <w:rPr>
          <w:rStyle w:val="Hyperlink"/>
          <w:color w:val="auto"/>
          <w:u w:val="none"/>
          <w:lang w:val="en-GB"/>
        </w:rPr>
      </w:pPr>
    </w:p>
    <w:p w14:paraId="2822F26B" w14:textId="203C3EBB" w:rsidR="00216CCF" w:rsidRPr="0034304D" w:rsidRDefault="00216CCF" w:rsidP="00523AD0">
      <w:pPr>
        <w:pStyle w:val="Footnote"/>
        <w:rPr>
          <w:rStyle w:val="Hyperlink"/>
          <w:color w:val="auto"/>
          <w:u w:val="none"/>
          <w:lang w:val="en-GB"/>
        </w:rPr>
      </w:pPr>
    </w:p>
    <w:p w14:paraId="18BCFCCA" w14:textId="11466988" w:rsidR="00216CCF" w:rsidRPr="0034304D" w:rsidRDefault="00216CCF" w:rsidP="00523AD0">
      <w:pPr>
        <w:pStyle w:val="Footnote"/>
        <w:rPr>
          <w:rStyle w:val="Hyperlink"/>
          <w:color w:val="auto"/>
          <w:u w:val="none"/>
          <w:lang w:val="en-GB"/>
        </w:rPr>
      </w:pPr>
    </w:p>
    <w:p w14:paraId="2CD11F1F" w14:textId="1D4853B0" w:rsidR="00127570" w:rsidRPr="0034304D" w:rsidRDefault="00127570" w:rsidP="00523AD0">
      <w:pPr>
        <w:pStyle w:val="Footnote"/>
        <w:rPr>
          <w:b/>
          <w:caps/>
          <w:lang w:val="en-GB"/>
        </w:rPr>
      </w:pPr>
      <w:r w:rsidRPr="0034304D">
        <w:rPr>
          <w:lang w:val="en-GB"/>
        </w:rPr>
        <w:br w:type="page"/>
      </w:r>
    </w:p>
    <w:p w14:paraId="2D192E1C" w14:textId="0B4D3AB0" w:rsidR="004B632F" w:rsidRPr="0034304D" w:rsidRDefault="003F74D0" w:rsidP="003F74D0">
      <w:pPr>
        <w:pStyle w:val="Casehead1"/>
        <w:rPr>
          <w:lang w:val="en-GB"/>
        </w:rPr>
      </w:pPr>
      <w:r w:rsidRPr="0034304D">
        <w:rPr>
          <w:lang w:val="en-GB"/>
        </w:rPr>
        <w:lastRenderedPageBreak/>
        <w:t>Endnotes</w:t>
      </w:r>
    </w:p>
    <w:sectPr w:rsidR="004B632F" w:rsidRPr="0034304D"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710C3" w16cid:durableId="1F1EED17"/>
  <w16cid:commentId w16cid:paraId="50417C43" w16cid:durableId="1F1EEEB2"/>
  <w16cid:commentId w16cid:paraId="1087A6FF" w16cid:durableId="1F1EA597"/>
  <w16cid:commentId w16cid:paraId="67437DF9" w16cid:durableId="1F1EC555"/>
  <w16cid:commentId w16cid:paraId="0BBDB1D1" w16cid:durableId="1F1EC944"/>
  <w16cid:commentId w16cid:paraId="741FAB5B" w16cid:durableId="1F1EC9C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0A7D8" w14:textId="77777777" w:rsidR="001E0016" w:rsidRDefault="001E0016" w:rsidP="00D75295">
      <w:r>
        <w:separator/>
      </w:r>
    </w:p>
  </w:endnote>
  <w:endnote w:type="continuationSeparator" w:id="0">
    <w:p w14:paraId="65FAE86C" w14:textId="77777777" w:rsidR="001E0016" w:rsidRDefault="001E0016" w:rsidP="00D75295">
      <w:r>
        <w:continuationSeparator/>
      </w:r>
    </w:p>
  </w:endnote>
  <w:endnote w:id="1">
    <w:p w14:paraId="388AFFE1" w14:textId="77777777" w:rsidR="003C1C68" w:rsidRPr="00127570" w:rsidRDefault="003C1C68" w:rsidP="00AA7E85">
      <w:pPr>
        <w:pStyle w:val="Footnote"/>
      </w:pPr>
      <w:r w:rsidRPr="00127570">
        <w:rPr>
          <w:rStyle w:val="EndnoteReference"/>
        </w:rPr>
        <w:endnoteRef/>
      </w:r>
      <w:r w:rsidRPr="00127570">
        <w:t xml:space="preserve"> This case has been written on the basis of published sources only. Consequently, the interpretation and perspectives presented in this case are not necessarily those of Big Boss Cement Inc. or any of its employees.</w:t>
      </w:r>
    </w:p>
  </w:endnote>
  <w:endnote w:id="2">
    <w:p w14:paraId="0B29F530" w14:textId="357C8400" w:rsidR="003C1C68" w:rsidRPr="004912BA" w:rsidRDefault="003C1C68" w:rsidP="00AA7E85">
      <w:pPr>
        <w:pStyle w:val="Footnote"/>
      </w:pPr>
      <w:r w:rsidRPr="00127570">
        <w:rPr>
          <w:rStyle w:val="EndnoteReference"/>
        </w:rPr>
        <w:endnoteRef/>
      </w:r>
      <w:r w:rsidRPr="00127570">
        <w:t xml:space="preserve"> Ted Cordero, “Henry Sy Jr. </w:t>
      </w:r>
      <w:r>
        <w:t>G</w:t>
      </w:r>
      <w:r w:rsidRPr="00127570">
        <w:t xml:space="preserve">oes into </w:t>
      </w:r>
      <w:r>
        <w:t>C</w:t>
      </w:r>
      <w:r w:rsidRPr="00127570">
        <w:t xml:space="preserve">ement </w:t>
      </w:r>
      <w:r>
        <w:t>B</w:t>
      </w:r>
      <w:r w:rsidRPr="00127570">
        <w:t>usiness</w:t>
      </w:r>
      <w:r>
        <w:t>,</w:t>
      </w:r>
      <w:r w:rsidRPr="00127570">
        <w:t xml:space="preserve">” GMA News Online, January 11, 2018, accessed January 18, 2018, </w:t>
      </w:r>
      <w:hyperlink r:id="rId1" w:history="1">
        <w:r w:rsidRPr="00BD18B7">
          <w:t>www.gmanetwork.com/news/money/companies/639384/henry-sy-jr-goes-into-cement-business/story/</w:t>
        </w:r>
      </w:hyperlink>
      <w:r w:rsidRPr="00557EBC">
        <w:t>.</w:t>
      </w:r>
    </w:p>
  </w:endnote>
  <w:endnote w:id="3">
    <w:p w14:paraId="63AFDBF2" w14:textId="47B2D830" w:rsidR="003C1C68" w:rsidRPr="00127570" w:rsidRDefault="003C1C68" w:rsidP="00AA7E85">
      <w:pPr>
        <w:pStyle w:val="Footnote"/>
      </w:pPr>
      <w:r w:rsidRPr="00127570">
        <w:rPr>
          <w:rStyle w:val="EndnoteReference"/>
        </w:rPr>
        <w:endnoteRef/>
      </w:r>
      <w:r w:rsidRPr="00127570">
        <w:t xml:space="preserve"> </w:t>
      </w:r>
      <w:r w:rsidRPr="00127570">
        <w:rPr>
          <w:color w:val="222222"/>
          <w:shd w:val="clear" w:color="auto" w:fill="FFFFFF"/>
        </w:rPr>
        <w:t>₱</w:t>
      </w:r>
      <w:r>
        <w:rPr>
          <w:color w:val="222222"/>
          <w:shd w:val="clear" w:color="auto" w:fill="FFFFFF"/>
        </w:rPr>
        <w:t xml:space="preserve"> </w:t>
      </w:r>
      <w:r w:rsidRPr="00127570">
        <w:t xml:space="preserve">= Philippine </w:t>
      </w:r>
      <w:r>
        <w:t>p</w:t>
      </w:r>
      <w:r w:rsidRPr="00127570">
        <w:t xml:space="preserve">eso; </w:t>
      </w:r>
      <w:r>
        <w:t xml:space="preserve">All currency amounts are in </w:t>
      </w:r>
      <w:r w:rsidRPr="00127570">
        <w:rPr>
          <w:color w:val="222222"/>
          <w:shd w:val="clear" w:color="auto" w:fill="FFFFFF"/>
        </w:rPr>
        <w:t>₱</w:t>
      </w:r>
      <w:r>
        <w:rPr>
          <w:color w:val="222222"/>
          <w:shd w:val="clear" w:color="auto" w:fill="FFFFFF"/>
        </w:rPr>
        <w:t xml:space="preserve"> unless otherwise specified; </w:t>
      </w:r>
      <w:r w:rsidRPr="00127570">
        <w:t>US</w:t>
      </w:r>
      <w:r>
        <w:t>$1</w:t>
      </w:r>
      <w:r w:rsidRPr="00127570">
        <w:t xml:space="preserve">= </w:t>
      </w:r>
      <w:r w:rsidRPr="00127570">
        <w:rPr>
          <w:color w:val="222222"/>
          <w:shd w:val="clear" w:color="auto" w:fill="FFFFFF"/>
        </w:rPr>
        <w:t>₱</w:t>
      </w:r>
      <w:r w:rsidRPr="00127570">
        <w:t>51.41 on January 30, 2018</w:t>
      </w:r>
      <w:r>
        <w:t>.</w:t>
      </w:r>
    </w:p>
  </w:endnote>
  <w:endnote w:id="4">
    <w:p w14:paraId="6C95C4E1" w14:textId="7D955190" w:rsidR="003C1C68" w:rsidRPr="00127570" w:rsidRDefault="003C1C68" w:rsidP="00AA7E85">
      <w:pPr>
        <w:pStyle w:val="Footnote"/>
      </w:pPr>
      <w:r w:rsidRPr="00127570">
        <w:rPr>
          <w:rStyle w:val="EndnoteReference"/>
        </w:rPr>
        <w:endnoteRef/>
      </w:r>
      <w:r w:rsidRPr="00127570">
        <w:t xml:space="preserve"> Philippines News Agency, “Cement </w:t>
      </w:r>
      <w:r>
        <w:t>D</w:t>
      </w:r>
      <w:r w:rsidRPr="00127570">
        <w:t xml:space="preserve">emand to </w:t>
      </w:r>
      <w:r>
        <w:t>D</w:t>
      </w:r>
      <w:r w:rsidRPr="00127570">
        <w:t xml:space="preserve">ouble by 2021 with </w:t>
      </w:r>
      <w:r>
        <w:t>I</w:t>
      </w:r>
      <w:r w:rsidRPr="00127570">
        <w:t xml:space="preserve">nfra </w:t>
      </w:r>
      <w:r>
        <w:t>B</w:t>
      </w:r>
      <w:r w:rsidRPr="00127570">
        <w:t>oost</w:t>
      </w:r>
      <w:r>
        <w:t>,</w:t>
      </w:r>
      <w:r w:rsidRPr="00127570">
        <w:t xml:space="preserve">” </w:t>
      </w:r>
      <w:r w:rsidRPr="00BD18B7">
        <w:rPr>
          <w:i/>
        </w:rPr>
        <w:t>The Manila Times</w:t>
      </w:r>
      <w:r w:rsidRPr="00127570">
        <w:t>, June 20, 2017, accessed January 18, 2018, www.manilatimes.net/cement-demand-double-2021-infra-boost/333791/</w:t>
      </w:r>
      <w:r>
        <w:t>.</w:t>
      </w:r>
    </w:p>
  </w:endnote>
  <w:endnote w:id="5">
    <w:p w14:paraId="48AED024" w14:textId="00A9C866" w:rsidR="003C1C68" w:rsidRPr="00127570" w:rsidRDefault="003C1C68" w:rsidP="00AA7E85">
      <w:pPr>
        <w:pStyle w:val="Footnote"/>
      </w:pPr>
      <w:r w:rsidRPr="00127570">
        <w:rPr>
          <w:rStyle w:val="EndnoteReference"/>
        </w:rPr>
        <w:endnoteRef/>
      </w:r>
      <w:r w:rsidRPr="00127570">
        <w:t xml:space="preserve"> “Labor, </w:t>
      </w:r>
      <w:r>
        <w:t>C</w:t>
      </w:r>
      <w:r w:rsidRPr="00127570">
        <w:t xml:space="preserve">ement </w:t>
      </w:r>
      <w:r>
        <w:t>S</w:t>
      </w:r>
      <w:r w:rsidRPr="00127570">
        <w:t xml:space="preserve">hortages </w:t>
      </w:r>
      <w:r>
        <w:t>T</w:t>
      </w:r>
      <w:r w:rsidRPr="00127570">
        <w:t xml:space="preserve">hreaten </w:t>
      </w:r>
      <w:r>
        <w:t>I</w:t>
      </w:r>
      <w:r w:rsidRPr="00127570">
        <w:t xml:space="preserve">nfrastructure </w:t>
      </w:r>
      <w:r>
        <w:t>M</w:t>
      </w:r>
      <w:r w:rsidRPr="00127570">
        <w:t>omentum</w:t>
      </w:r>
      <w:r>
        <w:t>,</w:t>
      </w:r>
      <w:r w:rsidRPr="00127570">
        <w:t>”</w:t>
      </w:r>
      <w:r>
        <w:t xml:space="preserve"> </w:t>
      </w:r>
      <w:r w:rsidRPr="005432AB">
        <w:rPr>
          <w:i/>
        </w:rPr>
        <w:t>The Ph</w:t>
      </w:r>
      <w:r w:rsidR="005432AB" w:rsidRPr="005432AB">
        <w:rPr>
          <w:i/>
        </w:rPr>
        <w:t>ilippine Star</w:t>
      </w:r>
      <w:r w:rsidRPr="00127570">
        <w:t>, November 2</w:t>
      </w:r>
      <w:r w:rsidR="005432AB">
        <w:t>8</w:t>
      </w:r>
      <w:r w:rsidRPr="00127570">
        <w:t xml:space="preserve">, 2017, accessed January 20, 2018, </w:t>
      </w:r>
      <w:r w:rsidR="005432AB" w:rsidRPr="005432AB">
        <w:t>www.philstar.com/business/2017/11/28/1763368/labor-cement-shortages-threaten-infrastructure-momentum</w:t>
      </w:r>
      <w:r>
        <w:t>.</w:t>
      </w:r>
      <w:r w:rsidRPr="00127570">
        <w:t xml:space="preserve"> </w:t>
      </w:r>
    </w:p>
  </w:endnote>
  <w:endnote w:id="6">
    <w:p w14:paraId="7573DE33" w14:textId="4BF6BF2D" w:rsidR="003C1C68" w:rsidRPr="00127570" w:rsidRDefault="003C1C68" w:rsidP="00AA7E85">
      <w:pPr>
        <w:pStyle w:val="Footnote"/>
      </w:pPr>
      <w:r w:rsidRPr="00127570">
        <w:rPr>
          <w:rStyle w:val="EndnoteReference"/>
        </w:rPr>
        <w:endnoteRef/>
      </w:r>
      <w:r w:rsidRPr="00127570">
        <w:t xml:space="preserve"> Doris Dumlao-Abadilla, “DMCI to </w:t>
      </w:r>
      <w:r>
        <w:t>E</w:t>
      </w:r>
      <w:r w:rsidRPr="00127570">
        <w:t xml:space="preserve">nter </w:t>
      </w:r>
      <w:r>
        <w:t>C</w:t>
      </w:r>
      <w:r w:rsidRPr="00127570">
        <w:t xml:space="preserve">ement </w:t>
      </w:r>
      <w:r>
        <w:t>B</w:t>
      </w:r>
      <w:r w:rsidRPr="00127570">
        <w:t>usiness</w:t>
      </w:r>
      <w:r>
        <w:t>,”</w:t>
      </w:r>
      <w:r w:rsidRPr="00127570">
        <w:t xml:space="preserve"> Inquirer.net, June 6, 2017, accessed January 12, 2018, http://business.inquirer.net/230853/dmci-enter-cement-business</w:t>
      </w:r>
      <w:r>
        <w:t>.</w:t>
      </w:r>
      <w:r w:rsidRPr="00127570">
        <w:t xml:space="preserve">  </w:t>
      </w:r>
    </w:p>
  </w:endnote>
  <w:endnote w:id="7">
    <w:p w14:paraId="792044A8" w14:textId="2D197DD9" w:rsidR="003C1C68" w:rsidRPr="00127570" w:rsidRDefault="003C1C68" w:rsidP="00AA7E85">
      <w:pPr>
        <w:pStyle w:val="Footnote"/>
      </w:pPr>
      <w:r w:rsidRPr="00127570">
        <w:rPr>
          <w:rStyle w:val="EndnoteReference"/>
        </w:rPr>
        <w:endnoteRef/>
      </w:r>
      <w:r w:rsidRPr="00127570">
        <w:t xml:space="preserve"> “PH </w:t>
      </w:r>
      <w:r>
        <w:t>V</w:t>
      </w:r>
      <w:r w:rsidRPr="00127570">
        <w:t xml:space="preserve">ows to </w:t>
      </w:r>
      <w:r>
        <w:t>L</w:t>
      </w:r>
      <w:r w:rsidRPr="00127570">
        <w:t xml:space="preserve">ower </w:t>
      </w:r>
      <w:r>
        <w:t>C</w:t>
      </w:r>
      <w:r w:rsidRPr="00127570">
        <w:t xml:space="preserve">arbon </w:t>
      </w:r>
      <w:r>
        <w:t>E</w:t>
      </w:r>
      <w:r w:rsidRPr="00127570">
        <w:t>missions 70</w:t>
      </w:r>
      <w:r>
        <w:t>%</w:t>
      </w:r>
      <w:r w:rsidRPr="00127570">
        <w:t xml:space="preserve"> by 2030</w:t>
      </w:r>
      <w:r>
        <w:t>,</w:t>
      </w:r>
      <w:r w:rsidRPr="00127570">
        <w:t xml:space="preserve">” </w:t>
      </w:r>
      <w:r w:rsidR="005432AB" w:rsidRPr="00335812">
        <w:rPr>
          <w:i/>
        </w:rPr>
        <w:t>Philippine Daily Inquirer</w:t>
      </w:r>
      <w:r w:rsidR="005432AB">
        <w:t>,</w:t>
      </w:r>
      <w:r>
        <w:t xml:space="preserve"> </w:t>
      </w:r>
      <w:r w:rsidRPr="00127570">
        <w:t>October 2, 2015, accessed January 21, 2018, http://newsinfo.inquirer.net/727316/ph-vows-to-lower-carbon-emissions-70-by-2030</w:t>
      </w:r>
      <w:r>
        <w:t>.</w:t>
      </w:r>
    </w:p>
  </w:endnote>
  <w:endnote w:id="8">
    <w:p w14:paraId="65F6E43B" w14:textId="7FC6F494" w:rsidR="003C1C68" w:rsidRPr="00127570" w:rsidRDefault="003C1C68" w:rsidP="00AA7E85">
      <w:pPr>
        <w:pStyle w:val="Footnote"/>
      </w:pPr>
      <w:r w:rsidRPr="00127570">
        <w:rPr>
          <w:rStyle w:val="EndnoteReference"/>
        </w:rPr>
        <w:endnoteRef/>
      </w:r>
      <w:r w:rsidRPr="00127570">
        <w:t xml:space="preserve"> Richmond Mercurio, “Cement </w:t>
      </w:r>
      <w:r>
        <w:t>M</w:t>
      </w:r>
      <w:r w:rsidRPr="00127570">
        <w:t xml:space="preserve">akers </w:t>
      </w:r>
      <w:r>
        <w:t>H</w:t>
      </w:r>
      <w:r w:rsidRPr="00127570">
        <w:t xml:space="preserve">alt </w:t>
      </w:r>
      <w:r>
        <w:t>S</w:t>
      </w:r>
      <w:r w:rsidRPr="00127570">
        <w:t xml:space="preserve">ales </w:t>
      </w:r>
      <w:r>
        <w:t>D</w:t>
      </w:r>
      <w:r w:rsidRPr="00127570">
        <w:t xml:space="preserve">ata </w:t>
      </w:r>
      <w:r>
        <w:t>C</w:t>
      </w:r>
      <w:r w:rsidRPr="00127570">
        <w:t>ollection</w:t>
      </w:r>
      <w:r>
        <w:t>,</w:t>
      </w:r>
      <w:r w:rsidRPr="00127570">
        <w:t xml:space="preserve">” </w:t>
      </w:r>
      <w:r w:rsidRPr="00BD18B7">
        <w:rPr>
          <w:i/>
        </w:rPr>
        <w:t>The Philippines Star</w:t>
      </w:r>
      <w:r w:rsidRPr="00127570">
        <w:t>, August 23, 2017, accessed January 20, 2018, www.philstar.com/business/2017/08/23/1731672/cement-makers-halt-sales-data-collection</w:t>
      </w:r>
      <w:r>
        <w:t>.</w:t>
      </w:r>
    </w:p>
  </w:endnote>
  <w:endnote w:id="9">
    <w:p w14:paraId="0FC01031" w14:textId="5648ADB0" w:rsidR="003C1C68" w:rsidRPr="00127570" w:rsidRDefault="003C1C68" w:rsidP="00AA7E85">
      <w:pPr>
        <w:pStyle w:val="Footnote"/>
        <w:rPr>
          <w:spacing w:val="-2"/>
        </w:rPr>
      </w:pPr>
      <w:r w:rsidRPr="00127570">
        <w:rPr>
          <w:rStyle w:val="EndnoteReference"/>
          <w:spacing w:val="-2"/>
        </w:rPr>
        <w:endnoteRef/>
      </w:r>
      <w:r w:rsidRPr="00127570">
        <w:rPr>
          <w:spacing w:val="-2"/>
        </w:rPr>
        <w:t xml:space="preserve"> </w:t>
      </w:r>
      <w:r w:rsidRPr="00BD18B7">
        <w:t xml:space="preserve">Bettina Faye V. Roc, “The Other Henry Sy,” SM Investments Corporation, July 26, 2013, accessed January 21, 2018, www.sminvestments.com/other-henry-sy#; </w:t>
      </w:r>
      <w:r w:rsidRPr="00BD18B7">
        <w:rPr>
          <w:rStyle w:val="NoSpacingChar"/>
          <w:rFonts w:ascii="Arial" w:hAnsi="Arial" w:cs="Arial"/>
          <w:lang w:val="en-US"/>
        </w:rPr>
        <w:t xml:space="preserve">Krista A. M. Montealegre, “Henry Sy, Jr. Forays into Cement Business,” </w:t>
      </w:r>
      <w:r>
        <w:rPr>
          <w:rStyle w:val="NoSpacingChar"/>
          <w:rFonts w:ascii="Arial" w:hAnsi="Arial" w:cs="Arial"/>
          <w:lang w:val="en-US"/>
        </w:rPr>
        <w:t>BusinessWorld</w:t>
      </w:r>
      <w:r w:rsidRPr="00BD18B7">
        <w:rPr>
          <w:rStyle w:val="NoSpacingChar"/>
          <w:rFonts w:ascii="Arial" w:hAnsi="Arial" w:cs="Arial"/>
          <w:lang w:val="en-US"/>
        </w:rPr>
        <w:t>, January 12, 2018, accessed January 21 2018, http://bworldonline.com/henry-sy-jr-forays-cement-business/</w:t>
      </w:r>
      <w:r w:rsidRPr="00BD18B7">
        <w:rPr>
          <w:rStyle w:val="NoSpacingChar"/>
          <w:rFonts w:ascii="Times New Roman" w:hAnsi="Times New Roman"/>
          <w:lang w:val="en-US"/>
        </w:rPr>
        <w:t>;</w:t>
      </w:r>
      <w:r w:rsidRPr="00BD18B7">
        <w:t xml:space="preserve"> Rosette Adel, “Forbes: Henry Sy World’s Richest Filipino for a Decade Now,” </w:t>
      </w:r>
      <w:r w:rsidRPr="00BD18B7">
        <w:rPr>
          <w:i/>
        </w:rPr>
        <w:t>The Philippine Star</w:t>
      </w:r>
      <w:r w:rsidRPr="00BD18B7">
        <w:t>, August 24, 2017, accessed January 22, 2018, www.philstar.com/business/2017/08/24/1732274/forbes-henry-sy-worlds-richest-filipino-decade-now.</w:t>
      </w:r>
    </w:p>
  </w:endnote>
  <w:endnote w:id="10">
    <w:p w14:paraId="07C8A000" w14:textId="589BE0D0" w:rsidR="003C1C68" w:rsidRPr="00127570" w:rsidRDefault="003C1C68" w:rsidP="00AA7E85">
      <w:pPr>
        <w:pStyle w:val="Footnote"/>
      </w:pPr>
      <w:r w:rsidRPr="00127570">
        <w:rPr>
          <w:rStyle w:val="EndnoteReference"/>
        </w:rPr>
        <w:endnoteRef/>
      </w:r>
      <w:r w:rsidRPr="00127570">
        <w:t xml:space="preserve"> Ted Cordero, op. cit.</w:t>
      </w:r>
    </w:p>
  </w:endnote>
  <w:endnote w:id="11">
    <w:p w14:paraId="36AEC7CA" w14:textId="54E06705" w:rsidR="003C1C68" w:rsidRPr="00127570" w:rsidRDefault="003C1C68" w:rsidP="00AA7E85">
      <w:pPr>
        <w:pStyle w:val="Footnote"/>
      </w:pPr>
      <w:r w:rsidRPr="00127570">
        <w:rPr>
          <w:rStyle w:val="EndnoteReference"/>
        </w:rPr>
        <w:endnoteRef/>
      </w:r>
      <w:r w:rsidRPr="00127570">
        <w:t xml:space="preserve"> </w:t>
      </w:r>
      <w:r w:rsidRPr="00BD18B7">
        <w:t>“BBCI Executive Profile: Chairman – Henry Sy, Jr.,” Big Boss Cement, accessed January 22, 2018, http://bigbosscement.com/management-team/.</w:t>
      </w:r>
      <w:r w:rsidRPr="00127570">
        <w:t xml:space="preserve"> </w:t>
      </w:r>
    </w:p>
  </w:endnote>
  <w:endnote w:id="12">
    <w:p w14:paraId="6A33552A" w14:textId="0FC4FB75" w:rsidR="003C1C68" w:rsidRPr="00127570" w:rsidRDefault="003C1C68" w:rsidP="00AA7E85">
      <w:pPr>
        <w:pStyle w:val="Footnote"/>
      </w:pPr>
      <w:r w:rsidRPr="00127570">
        <w:rPr>
          <w:rStyle w:val="EndnoteReference"/>
        </w:rPr>
        <w:endnoteRef/>
      </w:r>
      <w:r w:rsidRPr="00127570">
        <w:t xml:space="preserve"> “</w:t>
      </w:r>
      <w:r>
        <w:t xml:space="preserve">BBCI Executive Profile: President – </w:t>
      </w:r>
      <w:r w:rsidRPr="00127570">
        <w:t>Engr. Gilbert S. Cruz</w:t>
      </w:r>
      <w:r>
        <w:t>,</w:t>
      </w:r>
      <w:r w:rsidRPr="00127570">
        <w:t xml:space="preserve">” </w:t>
      </w:r>
      <w:r>
        <w:t>Big Boss Cement</w:t>
      </w:r>
      <w:r w:rsidRPr="00127570">
        <w:t>, accessed January 22, 2018, http://bigbosscement.com/management-team/</w:t>
      </w:r>
      <w:r>
        <w:t>.</w:t>
      </w:r>
      <w:r w:rsidRPr="00127570">
        <w:t xml:space="preserve"> </w:t>
      </w:r>
    </w:p>
  </w:endnote>
  <w:endnote w:id="13">
    <w:p w14:paraId="4E5722B8" w14:textId="7F35A522" w:rsidR="003C1C68" w:rsidRPr="00127570" w:rsidRDefault="003C1C68" w:rsidP="00AA7E85">
      <w:pPr>
        <w:pStyle w:val="Footnote"/>
      </w:pPr>
      <w:r w:rsidRPr="00127570">
        <w:rPr>
          <w:rStyle w:val="EndnoteReference"/>
        </w:rPr>
        <w:endnoteRef/>
      </w:r>
      <w:r w:rsidRPr="00127570">
        <w:t xml:space="preserve"> </w:t>
      </w:r>
      <w:r>
        <w:t xml:space="preserve">Ibid. </w:t>
      </w:r>
    </w:p>
  </w:endnote>
  <w:endnote w:id="14">
    <w:p w14:paraId="7FDBCD59" w14:textId="3710275A" w:rsidR="003C1C68" w:rsidRPr="00127570" w:rsidRDefault="003C1C68" w:rsidP="00AA7E85">
      <w:pPr>
        <w:pStyle w:val="Footnote"/>
      </w:pPr>
      <w:r w:rsidRPr="00127570">
        <w:rPr>
          <w:rStyle w:val="EndnoteReference"/>
        </w:rPr>
        <w:endnoteRef/>
      </w:r>
      <w:r w:rsidRPr="00127570">
        <w:t xml:space="preserve"> James Humarang, “Concrete </w:t>
      </w:r>
      <w:r>
        <w:t>T</w:t>
      </w:r>
      <w:r w:rsidRPr="00127570">
        <w:t xml:space="preserve">echnologist </w:t>
      </w:r>
      <w:r>
        <w:t>L</w:t>
      </w:r>
      <w:r w:rsidRPr="00127570">
        <w:t xml:space="preserve">aunches </w:t>
      </w:r>
      <w:r>
        <w:t>G</w:t>
      </w:r>
      <w:r w:rsidRPr="00127570">
        <w:t xml:space="preserve">reenest </w:t>
      </w:r>
      <w:r>
        <w:t>C</w:t>
      </w:r>
      <w:r w:rsidRPr="00127570">
        <w:t xml:space="preserve">ement </w:t>
      </w:r>
      <w:r>
        <w:t>C</w:t>
      </w:r>
      <w:r w:rsidRPr="00127570">
        <w:t>ompany in PH</w:t>
      </w:r>
      <w:r>
        <w:t>,</w:t>
      </w:r>
      <w:r w:rsidRPr="00127570">
        <w:t xml:space="preserve">” </w:t>
      </w:r>
      <w:r w:rsidRPr="00BD18B7">
        <w:rPr>
          <w:i/>
        </w:rPr>
        <w:t>Tech and Lifestyle Journal</w:t>
      </w:r>
      <w:r w:rsidRPr="00127570">
        <w:t>, January 16, 2018, accessed January 22, 2018, http://techandlifestylejournal.com/big-boss-cement-initial-announcement/</w:t>
      </w:r>
      <w:r>
        <w:t>.</w:t>
      </w:r>
    </w:p>
  </w:endnote>
  <w:endnote w:id="15">
    <w:p w14:paraId="791E8F9E" w14:textId="7FB40002" w:rsidR="003C1C68" w:rsidRPr="00127570" w:rsidRDefault="003C1C68" w:rsidP="00AA7E85">
      <w:pPr>
        <w:pStyle w:val="Footnote"/>
      </w:pPr>
      <w:r w:rsidRPr="00127570">
        <w:rPr>
          <w:rStyle w:val="EndnoteReference"/>
        </w:rPr>
        <w:endnoteRef/>
      </w:r>
      <w:r w:rsidRPr="00127570">
        <w:t xml:space="preserve"> </w:t>
      </w:r>
      <w:r>
        <w:t>“</w:t>
      </w:r>
      <w:r w:rsidRPr="00127570">
        <w:t xml:space="preserve">Manufacturing </w:t>
      </w:r>
      <w:r>
        <w:t>P</w:t>
      </w:r>
      <w:r w:rsidRPr="00127570">
        <w:t>rocess,</w:t>
      </w:r>
      <w:r>
        <w:t>” Lafarge,</w:t>
      </w:r>
      <w:r w:rsidRPr="00127570">
        <w:t xml:space="preserve"> accessed January 22, 2018, www.lafarge-na.com/wps/portal/na/en/2_2_1-Manufacturing_process</w:t>
      </w:r>
      <w:r>
        <w:t>.</w:t>
      </w:r>
    </w:p>
  </w:endnote>
  <w:endnote w:id="16">
    <w:p w14:paraId="4A8CBBA2" w14:textId="2F74648C" w:rsidR="003C1C68" w:rsidRPr="00127570" w:rsidRDefault="003C1C68" w:rsidP="00AA7E85">
      <w:pPr>
        <w:pStyle w:val="Footnote"/>
      </w:pPr>
      <w:r w:rsidRPr="00127570">
        <w:rPr>
          <w:rStyle w:val="EndnoteReference"/>
        </w:rPr>
        <w:endnoteRef/>
      </w:r>
      <w:r w:rsidRPr="00127570">
        <w:t xml:space="preserve"> Madeleine Rubenstein, “Emissions from the </w:t>
      </w:r>
      <w:r>
        <w:t>C</w:t>
      </w:r>
      <w:r w:rsidRPr="00127570">
        <w:t xml:space="preserve">ement </w:t>
      </w:r>
      <w:r>
        <w:t>I</w:t>
      </w:r>
      <w:r w:rsidRPr="00127570">
        <w:t>ndustry</w:t>
      </w:r>
      <w:r>
        <w:t>,</w:t>
      </w:r>
      <w:r w:rsidRPr="00127570">
        <w:t xml:space="preserve">” May 9, 2012, accessed January 22, 2018, http://blogs.ei.columbia.edu/2012/05/09/emissions-from-the-cement-industry/; Peter Edwards, </w:t>
      </w:r>
      <w:r>
        <w:t>“</w:t>
      </w:r>
      <w:r w:rsidRPr="00127570">
        <w:t>The Rise and Potential Peak of Cement Demand in the Urbanized World</w:t>
      </w:r>
      <w:r>
        <w:t>,</w:t>
      </w:r>
      <w:r w:rsidRPr="00127570">
        <w:t xml:space="preserve">” </w:t>
      </w:r>
      <w:r w:rsidRPr="0006106B">
        <w:rPr>
          <w:i/>
        </w:rPr>
        <w:t>Cornerstone</w:t>
      </w:r>
      <w:r w:rsidRPr="00127570">
        <w:t>,</w:t>
      </w:r>
      <w:r w:rsidRPr="00127570">
        <w:rPr>
          <w:i/>
        </w:rPr>
        <w:t xml:space="preserve"> </w:t>
      </w:r>
      <w:r w:rsidRPr="00127570">
        <w:t>accessed January 30, 2018, http://cornerstonemag.net/the-rise-and-potential-peak-of-cement-demand-in-the-urbanized-world/</w:t>
      </w:r>
      <w:r>
        <w:t>.</w:t>
      </w:r>
    </w:p>
  </w:endnote>
  <w:endnote w:id="17">
    <w:p w14:paraId="0B5FB363" w14:textId="480CFB3E" w:rsidR="003C1C68" w:rsidRPr="00127570" w:rsidRDefault="003C1C68" w:rsidP="00AA7E85">
      <w:pPr>
        <w:pStyle w:val="Footnote"/>
      </w:pPr>
      <w:r w:rsidRPr="00127570">
        <w:rPr>
          <w:rStyle w:val="EndnoteReference"/>
        </w:rPr>
        <w:endnoteRef/>
      </w:r>
      <w:r w:rsidRPr="00127570">
        <w:t xml:space="preserve"> “Environmental </w:t>
      </w:r>
      <w:r>
        <w:t>R</w:t>
      </w:r>
      <w:r w:rsidRPr="00127570">
        <w:t>esponsibility</w:t>
      </w:r>
      <w:r>
        <w:t>,</w:t>
      </w:r>
      <w:r w:rsidRPr="00127570">
        <w:t>” Holcim Philippines, accessed January 30, 2018, www.holcim.ph/sustainable-development/environmental-responsibility; Peter Edwards, op. cit</w:t>
      </w:r>
      <w:r>
        <w:t>.</w:t>
      </w:r>
      <w:r w:rsidRPr="00127570">
        <w:t xml:space="preserve">; “Climate </w:t>
      </w:r>
      <w:r>
        <w:t>C</w:t>
      </w:r>
      <w:r w:rsidRPr="00127570">
        <w:t xml:space="preserve">hange </w:t>
      </w:r>
      <w:r>
        <w:t>M</w:t>
      </w:r>
      <w:r w:rsidRPr="00127570">
        <w:t>itigation,” Republic</w:t>
      </w:r>
      <w:r>
        <w:t xml:space="preserve"> Cement</w:t>
      </w:r>
      <w:r w:rsidRPr="00127570">
        <w:t>, accessed January 30, 2018, www.republiccement.com/our-advocacies/sustainable-development/climate-change-mitigation.</w:t>
      </w:r>
    </w:p>
  </w:endnote>
  <w:endnote w:id="18">
    <w:p w14:paraId="7171893F" w14:textId="46C7D4C8" w:rsidR="003C1C68" w:rsidRPr="00127570" w:rsidRDefault="003C1C68" w:rsidP="00AA7E85">
      <w:pPr>
        <w:pStyle w:val="Footnote"/>
      </w:pPr>
      <w:r w:rsidRPr="00127570">
        <w:rPr>
          <w:vertAlign w:val="superscript"/>
        </w:rPr>
        <w:endnoteRef/>
      </w:r>
      <w:r w:rsidRPr="00127570">
        <w:rPr>
          <w:vertAlign w:val="superscript"/>
        </w:rPr>
        <w:t xml:space="preserve"> </w:t>
      </w:r>
      <w:r w:rsidRPr="00127570">
        <w:t>Madeleine Rubenstein, op. cit.</w:t>
      </w:r>
    </w:p>
  </w:endnote>
  <w:endnote w:id="19">
    <w:p w14:paraId="2BAB1D24" w14:textId="61BDA71D" w:rsidR="003C1C68" w:rsidRPr="00127570" w:rsidRDefault="003C1C68" w:rsidP="00AA7E85">
      <w:pPr>
        <w:pStyle w:val="Footnote"/>
      </w:pPr>
      <w:r w:rsidRPr="00127570">
        <w:rPr>
          <w:vertAlign w:val="superscript"/>
        </w:rPr>
        <w:endnoteRef/>
      </w:r>
      <w:r w:rsidRPr="00127570">
        <w:t xml:space="preserve"> Peter Edwards, op. cit.</w:t>
      </w:r>
    </w:p>
  </w:endnote>
  <w:endnote w:id="20">
    <w:p w14:paraId="5E89AD3E" w14:textId="5CDEBBA1" w:rsidR="003C1C68" w:rsidRPr="00127570" w:rsidRDefault="003C1C68" w:rsidP="00AA7E85">
      <w:pPr>
        <w:pStyle w:val="Footnote"/>
      </w:pPr>
      <w:r w:rsidRPr="00127570">
        <w:rPr>
          <w:vertAlign w:val="superscript"/>
        </w:rPr>
        <w:endnoteRef/>
      </w:r>
      <w:r w:rsidRPr="00127570">
        <w:rPr>
          <w:vertAlign w:val="superscript"/>
        </w:rPr>
        <w:t xml:space="preserve"> </w:t>
      </w:r>
      <w:r w:rsidRPr="00127570">
        <w:t xml:space="preserve">“Climate </w:t>
      </w:r>
      <w:r>
        <w:t>C</w:t>
      </w:r>
      <w:r w:rsidRPr="00127570">
        <w:t xml:space="preserve">hange </w:t>
      </w:r>
      <w:r>
        <w:t>M</w:t>
      </w:r>
      <w:r w:rsidRPr="00127570">
        <w:t>itigation,” op. cit.</w:t>
      </w:r>
    </w:p>
  </w:endnote>
  <w:endnote w:id="21">
    <w:p w14:paraId="62C80215" w14:textId="58B423F6" w:rsidR="003C1C68" w:rsidRPr="00127570" w:rsidRDefault="003C1C68" w:rsidP="00AA7E85">
      <w:pPr>
        <w:pStyle w:val="Footnote"/>
      </w:pPr>
      <w:r w:rsidRPr="00127570">
        <w:rPr>
          <w:vertAlign w:val="superscript"/>
        </w:rPr>
        <w:endnoteRef/>
      </w:r>
      <w:r w:rsidRPr="00127570">
        <w:rPr>
          <w:vertAlign w:val="superscript"/>
        </w:rPr>
        <w:t xml:space="preserve"> </w:t>
      </w:r>
      <w:r w:rsidRPr="00127570">
        <w:t xml:space="preserve">“Taking </w:t>
      </w:r>
      <w:r>
        <w:t>G</w:t>
      </w:r>
      <w:r w:rsidRPr="00127570">
        <w:t xml:space="preserve">reen to a </w:t>
      </w:r>
      <w:r>
        <w:t>H</w:t>
      </w:r>
      <w:r w:rsidRPr="00127570">
        <w:t xml:space="preserve">igher </w:t>
      </w:r>
      <w:r>
        <w:t>L</w:t>
      </w:r>
      <w:r w:rsidRPr="00127570">
        <w:t>evel</w:t>
      </w:r>
      <w:r>
        <w:t>,</w:t>
      </w:r>
      <w:r w:rsidRPr="00127570">
        <w:t>” Eagle Cement, May 16, 2017, accessed January 30, 2017, www.eaglecement.com.ph/article/taking-green-to-a-higher-level/7</w:t>
      </w:r>
      <w:r>
        <w:t>.</w:t>
      </w:r>
    </w:p>
  </w:endnote>
  <w:endnote w:id="22">
    <w:p w14:paraId="2E04C250" w14:textId="1FD98478" w:rsidR="003C1C68" w:rsidRPr="00127570" w:rsidRDefault="003C1C68" w:rsidP="00AA7E85">
      <w:pPr>
        <w:pStyle w:val="Footnote"/>
      </w:pPr>
      <w:r w:rsidRPr="00127570">
        <w:rPr>
          <w:rStyle w:val="EndnoteReference"/>
        </w:rPr>
        <w:endnoteRef/>
      </w:r>
      <w:r w:rsidRPr="00127570">
        <w:t xml:space="preserve"> “Blended </w:t>
      </w:r>
      <w:r>
        <w:t>C</w:t>
      </w:r>
      <w:r w:rsidRPr="00127570">
        <w:t xml:space="preserve">ement </w:t>
      </w:r>
      <w:r>
        <w:t>I</w:t>
      </w:r>
      <w:r w:rsidRPr="00127570">
        <w:t xml:space="preserve">s </w:t>
      </w:r>
      <w:r>
        <w:t>N</w:t>
      </w:r>
      <w:r w:rsidRPr="00127570">
        <w:t xml:space="preserve">ext </w:t>
      </w:r>
      <w:r>
        <w:t>G</w:t>
      </w:r>
      <w:r w:rsidRPr="00127570">
        <w:t xml:space="preserve">eneration </w:t>
      </w:r>
      <w:r>
        <w:t>B</w:t>
      </w:r>
      <w:r w:rsidRPr="00127570">
        <w:t xml:space="preserve">uilding </w:t>
      </w:r>
      <w:r>
        <w:t>M</w:t>
      </w:r>
      <w:r w:rsidRPr="00127570">
        <w:t>aterial</w:t>
      </w:r>
      <w:r>
        <w:t>,</w:t>
      </w:r>
      <w:r w:rsidRPr="00127570">
        <w:t xml:space="preserve">” </w:t>
      </w:r>
      <w:r w:rsidRPr="0006106B">
        <w:rPr>
          <w:i/>
        </w:rPr>
        <w:t>The Philippine Star</w:t>
      </w:r>
      <w:r w:rsidRPr="00127570">
        <w:t>, February 6, 2011, accessed January 30, 2018, www.philstar.com/business/654393/blended-cement-next-generation-building-material</w:t>
      </w:r>
      <w:r>
        <w:t>.</w:t>
      </w:r>
    </w:p>
  </w:endnote>
  <w:endnote w:id="23">
    <w:p w14:paraId="01749332" w14:textId="5B01B065" w:rsidR="003C1C68" w:rsidRPr="0006106B" w:rsidRDefault="003C1C68" w:rsidP="00AA7E85">
      <w:pPr>
        <w:pStyle w:val="Footnote"/>
      </w:pPr>
      <w:r w:rsidRPr="00127570">
        <w:rPr>
          <w:vertAlign w:val="superscript"/>
        </w:rPr>
        <w:endnoteRef/>
      </w:r>
      <w:r w:rsidRPr="00127570">
        <w:t xml:space="preserve"> Richmond Mercurio, “Price </w:t>
      </w:r>
      <w:r>
        <w:t>C</w:t>
      </w:r>
      <w:r w:rsidRPr="00127570">
        <w:t xml:space="preserve">ap on </w:t>
      </w:r>
      <w:r>
        <w:t>C</w:t>
      </w:r>
      <w:r w:rsidRPr="00127570">
        <w:t xml:space="preserve">onstruction </w:t>
      </w:r>
      <w:r>
        <w:t>M</w:t>
      </w:r>
      <w:r w:rsidRPr="00127570">
        <w:t xml:space="preserve">aterials in Marawi </w:t>
      </w:r>
      <w:r>
        <w:t>O</w:t>
      </w:r>
      <w:r w:rsidRPr="00127570">
        <w:t>rdered</w:t>
      </w:r>
      <w:r>
        <w:t>,</w:t>
      </w:r>
      <w:r w:rsidRPr="00127570">
        <w:t xml:space="preserve">” </w:t>
      </w:r>
      <w:r w:rsidRPr="00BD18B7">
        <w:rPr>
          <w:i/>
        </w:rPr>
        <w:t>The Philippine Star</w:t>
      </w:r>
      <w:r>
        <w:t>,</w:t>
      </w:r>
      <w:r w:rsidRPr="00127570">
        <w:t xml:space="preserve"> November 23, 2017, accessed January 30, 2018, www.philstar.com/nation/2017/11/23/1761500/price-cap-construction-materials-marawi-ordered; James </w:t>
      </w:r>
      <w:r w:rsidRPr="0006106B">
        <w:t>Humarang, op. cit.</w:t>
      </w:r>
    </w:p>
  </w:endnote>
  <w:endnote w:id="24">
    <w:p w14:paraId="51F24735" w14:textId="2F10B0A8" w:rsidR="003C1C68" w:rsidRPr="00127570" w:rsidRDefault="003C1C68" w:rsidP="00AA7E85">
      <w:pPr>
        <w:pStyle w:val="Footnote"/>
      </w:pPr>
      <w:r w:rsidRPr="0006106B">
        <w:rPr>
          <w:rStyle w:val="EndnoteReference"/>
        </w:rPr>
        <w:endnoteRef/>
      </w:r>
      <w:r w:rsidRPr="0006106B">
        <w:t xml:space="preserve"> Krista A. M. Montealegre, op. cit</w:t>
      </w:r>
      <w:r>
        <w:t>.</w:t>
      </w:r>
      <w:r w:rsidRPr="0006106B">
        <w:t>; “Big Boss Cement to Prove Concept to Board of Investments,” CemNet.com, January 22, 2018, accessed February 7, 2018, www.cemnet.com/News/story/163270/big-boss-cement-to-prove-concept-to-board-of-investments.html.</w:t>
      </w:r>
      <w:r w:rsidRPr="00127570">
        <w:t xml:space="preserve"> </w:t>
      </w:r>
    </w:p>
  </w:endnote>
  <w:endnote w:id="25">
    <w:p w14:paraId="56A2ABAC" w14:textId="76BBA3BE" w:rsidR="003C1C68" w:rsidRPr="00127570" w:rsidRDefault="003C1C68" w:rsidP="00AA7E85">
      <w:pPr>
        <w:pStyle w:val="Footnote"/>
      </w:pPr>
      <w:r w:rsidRPr="00127570">
        <w:rPr>
          <w:rStyle w:val="EndnoteReference"/>
        </w:rPr>
        <w:endnoteRef/>
      </w:r>
      <w:r w:rsidRPr="00127570">
        <w:t xml:space="preserve"> Ros</w:t>
      </w:r>
      <w:r>
        <w:t>e</w:t>
      </w:r>
      <w:r w:rsidRPr="00127570">
        <w:t xml:space="preserve"> de la Cruz, “Cementing the </w:t>
      </w:r>
      <w:r>
        <w:t>I</w:t>
      </w:r>
      <w:r w:rsidRPr="00127570">
        <w:t xml:space="preserve">ndustry in an </w:t>
      </w:r>
      <w:r>
        <w:t>E</w:t>
      </w:r>
      <w:r w:rsidRPr="00127570">
        <w:t>nvironment-</w:t>
      </w:r>
      <w:r>
        <w:t>F</w:t>
      </w:r>
      <w:r w:rsidRPr="00127570">
        <w:t xml:space="preserve">riendly </w:t>
      </w:r>
      <w:r>
        <w:t>W</w:t>
      </w:r>
      <w:r w:rsidRPr="00127570">
        <w:t>ay</w:t>
      </w:r>
      <w:r>
        <w:t>,</w:t>
      </w:r>
      <w:r w:rsidRPr="00127570">
        <w:t>” Opin</w:t>
      </w:r>
      <w:r>
        <w:t>Y</w:t>
      </w:r>
      <w:r w:rsidRPr="00127570">
        <w:t>on, January</w:t>
      </w:r>
      <w:r>
        <w:t xml:space="preserve"> 19</w:t>
      </w:r>
      <w:r w:rsidRPr="00127570">
        <w:t>, 2018, accessed January 30, 2018, www.opinyon.com.ph/index.php/3065-cementing-the-industry-in-an-environment-friendly-way</w:t>
      </w:r>
      <w:r>
        <w:t>.</w:t>
      </w:r>
    </w:p>
  </w:endnote>
  <w:endnote w:id="26">
    <w:p w14:paraId="39A0C325" w14:textId="6BC2E83D" w:rsidR="003C1C68" w:rsidRPr="00127570" w:rsidRDefault="003C1C68" w:rsidP="00AA7E85">
      <w:pPr>
        <w:pStyle w:val="Footnote"/>
      </w:pPr>
      <w:r w:rsidRPr="00127570">
        <w:rPr>
          <w:vertAlign w:val="superscript"/>
        </w:rPr>
        <w:endnoteRef/>
      </w:r>
      <w:r w:rsidRPr="00127570">
        <w:t xml:space="preserve"> VG Cabu</w:t>
      </w:r>
      <w:r>
        <w:t>a</w:t>
      </w:r>
      <w:r w:rsidRPr="00127570">
        <w:t xml:space="preserve">g, “Cement </w:t>
      </w:r>
      <w:r>
        <w:t>M</w:t>
      </w:r>
      <w:r w:rsidRPr="00127570">
        <w:t xml:space="preserve">akers </w:t>
      </w:r>
      <w:r>
        <w:t>J</w:t>
      </w:r>
      <w:r w:rsidRPr="00127570">
        <w:t xml:space="preserve">ostle for </w:t>
      </w:r>
      <w:r>
        <w:t>B</w:t>
      </w:r>
      <w:r w:rsidRPr="00127570">
        <w:t xml:space="preserve">igger </w:t>
      </w:r>
      <w:r>
        <w:t>M</w:t>
      </w:r>
      <w:r w:rsidRPr="00127570">
        <w:t xml:space="preserve">arket </w:t>
      </w:r>
      <w:r>
        <w:t>S</w:t>
      </w:r>
      <w:r w:rsidRPr="00127570">
        <w:t>hare</w:t>
      </w:r>
      <w:r>
        <w:t>,</w:t>
      </w:r>
      <w:r w:rsidRPr="00127570">
        <w:t xml:space="preserve">” </w:t>
      </w:r>
      <w:r w:rsidRPr="00BD18B7">
        <w:rPr>
          <w:i/>
        </w:rPr>
        <w:t>Business Mirror</w:t>
      </w:r>
      <w:r w:rsidRPr="00127570">
        <w:t>, April 22, 2017, accessed January 21, 2018, https://businessmirror.com.ph/cement-makers-jostle-for-bigger-market-share/</w:t>
      </w:r>
      <w:r>
        <w:t>.</w:t>
      </w:r>
    </w:p>
  </w:endnote>
  <w:endnote w:id="27">
    <w:p w14:paraId="4966CA90" w14:textId="2F545A88" w:rsidR="003C1C68" w:rsidRPr="00127570" w:rsidRDefault="003C1C68" w:rsidP="00AA7E85">
      <w:pPr>
        <w:pStyle w:val="Footnote"/>
      </w:pPr>
      <w:r w:rsidRPr="00127570">
        <w:rPr>
          <w:rStyle w:val="EndnoteReference"/>
        </w:rPr>
        <w:endnoteRef/>
      </w:r>
      <w:r w:rsidRPr="00127570">
        <w:t xml:space="preserve"> Ros</w:t>
      </w:r>
      <w:r>
        <w:t>e</w:t>
      </w:r>
      <w:r w:rsidRPr="00127570">
        <w:t xml:space="preserve"> de la Cruz, op. cit.</w:t>
      </w:r>
    </w:p>
  </w:endnote>
  <w:endnote w:id="28">
    <w:p w14:paraId="0775CE48" w14:textId="780DB8C8" w:rsidR="003C1C68" w:rsidRPr="00127570" w:rsidRDefault="003C1C68" w:rsidP="00AA7E85">
      <w:pPr>
        <w:pStyle w:val="Footnote"/>
      </w:pPr>
      <w:r w:rsidRPr="00127570">
        <w:rPr>
          <w:rStyle w:val="EndnoteReference"/>
        </w:rPr>
        <w:endnoteRef/>
      </w:r>
      <w:r w:rsidRPr="00127570">
        <w:t xml:space="preserve"> “Big Boss Cement to </w:t>
      </w:r>
      <w:r>
        <w:t>P</w:t>
      </w:r>
      <w:r w:rsidRPr="00127570">
        <w:t xml:space="preserve">rove </w:t>
      </w:r>
      <w:r>
        <w:t>C</w:t>
      </w:r>
      <w:r w:rsidRPr="00127570">
        <w:t>oncept to Board of Investments,” op. cit.</w:t>
      </w:r>
    </w:p>
  </w:endnote>
  <w:endnote w:id="29">
    <w:p w14:paraId="4D775D13" w14:textId="17D885A5" w:rsidR="003C1C68" w:rsidRPr="00127570" w:rsidRDefault="003C1C68" w:rsidP="00AA7E85">
      <w:pPr>
        <w:pStyle w:val="Footnote"/>
      </w:pPr>
      <w:r w:rsidRPr="00127570">
        <w:rPr>
          <w:rStyle w:val="EndnoteReference"/>
        </w:rPr>
        <w:endnoteRef/>
      </w:r>
      <w:r w:rsidRPr="00127570">
        <w:t xml:space="preserve"> Recto Mercene, </w:t>
      </w:r>
      <w:r>
        <w:t>“</w:t>
      </w:r>
      <w:r w:rsidRPr="00127570">
        <w:t xml:space="preserve">Infrastructure, </w:t>
      </w:r>
      <w:r>
        <w:t>T</w:t>
      </w:r>
      <w:r w:rsidRPr="00127570">
        <w:t xml:space="preserve">ransport </w:t>
      </w:r>
      <w:r>
        <w:t>P</w:t>
      </w:r>
      <w:r w:rsidRPr="00127570">
        <w:t xml:space="preserve">rojects </w:t>
      </w:r>
      <w:r>
        <w:t>M</w:t>
      </w:r>
      <w:r w:rsidRPr="00127570">
        <w:t xml:space="preserve">ake Philippines </w:t>
      </w:r>
      <w:r>
        <w:t>R</w:t>
      </w:r>
      <w:r w:rsidRPr="00127570">
        <w:t xml:space="preserve">ipe for </w:t>
      </w:r>
      <w:r>
        <w:t>I</w:t>
      </w:r>
      <w:r w:rsidRPr="00127570">
        <w:t>nvestment</w:t>
      </w:r>
      <w:r>
        <w:t>,</w:t>
      </w:r>
      <w:r w:rsidRPr="00127570">
        <w:t xml:space="preserve">” </w:t>
      </w:r>
      <w:r w:rsidRPr="00BD18B7">
        <w:rPr>
          <w:i/>
        </w:rPr>
        <w:t>Business Mirror</w:t>
      </w:r>
      <w:r w:rsidRPr="00127570">
        <w:t>, October 23, 2015, accessed January 24, 2018, https://businessmirror.com.ph/infrastructure-transport-projects-make-philippines-ripe-for-investment/</w:t>
      </w:r>
      <w:r>
        <w:t>.</w:t>
      </w:r>
    </w:p>
  </w:endnote>
  <w:endnote w:id="30">
    <w:p w14:paraId="773A6F3A" w14:textId="2C970B18" w:rsidR="003C1C68" w:rsidRPr="00127570" w:rsidRDefault="003C1C68" w:rsidP="00AA7E85">
      <w:pPr>
        <w:pStyle w:val="Footnote"/>
      </w:pPr>
      <w:r w:rsidRPr="00127570">
        <w:rPr>
          <w:rStyle w:val="EndnoteReference"/>
        </w:rPr>
        <w:endnoteRef/>
      </w:r>
      <w:r w:rsidRPr="00127570">
        <w:t xml:space="preserve"> “</w:t>
      </w:r>
      <w:r>
        <w:t>‘</w:t>
      </w:r>
      <w:r w:rsidRPr="00127570">
        <w:t xml:space="preserve">Build, </w:t>
      </w:r>
      <w:r>
        <w:t>B</w:t>
      </w:r>
      <w:r w:rsidRPr="00127570">
        <w:t xml:space="preserve">uild, </w:t>
      </w:r>
      <w:r>
        <w:t>B</w:t>
      </w:r>
      <w:r w:rsidRPr="00127570">
        <w:t xml:space="preserve">uild’ </w:t>
      </w:r>
      <w:r>
        <w:t>I</w:t>
      </w:r>
      <w:r w:rsidRPr="00127570">
        <w:t xml:space="preserve">s a </w:t>
      </w:r>
      <w:r>
        <w:t>G</w:t>
      </w:r>
      <w:r w:rsidRPr="00127570">
        <w:t>o</w:t>
      </w:r>
      <w:r>
        <w:t>,</w:t>
      </w:r>
      <w:r w:rsidRPr="00127570">
        <w:t xml:space="preserve">” </w:t>
      </w:r>
      <w:r w:rsidRPr="0006106B">
        <w:t>Inquirer.net</w:t>
      </w:r>
      <w:r w:rsidRPr="00127570">
        <w:t>, December 18, 2017, accessed January 23, 2018, http://opinion.inquirer.net/109558/build-build-build-go</w:t>
      </w:r>
      <w:r>
        <w:t>.</w:t>
      </w:r>
      <w:r w:rsidRPr="00127570">
        <w:t xml:space="preserve">  </w:t>
      </w:r>
    </w:p>
  </w:endnote>
  <w:endnote w:id="31">
    <w:p w14:paraId="17C9EF4C" w14:textId="2DA352D7" w:rsidR="003C1C68" w:rsidRPr="00127570" w:rsidRDefault="003C1C68" w:rsidP="00AA7E85">
      <w:pPr>
        <w:pStyle w:val="Footnote"/>
      </w:pPr>
      <w:r w:rsidRPr="00127570">
        <w:rPr>
          <w:rStyle w:val="EndnoteReference"/>
        </w:rPr>
        <w:endnoteRef/>
      </w:r>
      <w:r w:rsidRPr="00127570">
        <w:t xml:space="preserve"> “Increased </w:t>
      </w:r>
      <w:r>
        <w:t>I</w:t>
      </w:r>
      <w:r w:rsidRPr="00127570">
        <w:t xml:space="preserve">nfra </w:t>
      </w:r>
      <w:r>
        <w:t>S</w:t>
      </w:r>
      <w:r w:rsidRPr="00127570">
        <w:t xml:space="preserve">pending to </w:t>
      </w:r>
      <w:r>
        <w:t>B</w:t>
      </w:r>
      <w:r w:rsidRPr="00127570">
        <w:t xml:space="preserve">oost PH </w:t>
      </w:r>
      <w:r>
        <w:t>E</w:t>
      </w:r>
      <w:r w:rsidRPr="00127570">
        <w:t>conomy</w:t>
      </w:r>
      <w:r>
        <w:t xml:space="preserve"> – NEDA,</w:t>
      </w:r>
      <w:r w:rsidRPr="00127570">
        <w:t xml:space="preserve">” </w:t>
      </w:r>
      <w:r>
        <w:t xml:space="preserve">Republic of the Philippines, National Economic and Development Authority, </w:t>
      </w:r>
      <w:r w:rsidRPr="00127570">
        <w:t>September 8, 2017, accessed January 24, 2018, www.neda.gov.ph/2017/09/08/increased-infra-spending-to-boost-ph-economy-neda/</w:t>
      </w:r>
      <w:r>
        <w:t>.</w:t>
      </w:r>
      <w:r w:rsidRPr="00127570">
        <w:t xml:space="preserve">   </w:t>
      </w:r>
    </w:p>
  </w:endnote>
  <w:endnote w:id="32">
    <w:p w14:paraId="38EDE763" w14:textId="4524C2BF" w:rsidR="003C1C68" w:rsidRPr="00127570" w:rsidRDefault="003C1C68" w:rsidP="00AA7E85">
      <w:pPr>
        <w:pStyle w:val="Footnote"/>
      </w:pPr>
      <w:r w:rsidRPr="00127570">
        <w:rPr>
          <w:rStyle w:val="EndnoteReference"/>
        </w:rPr>
        <w:endnoteRef/>
      </w:r>
      <w:r w:rsidRPr="00127570">
        <w:t xml:space="preserve"> Rey Gamboa, “Tourism </w:t>
      </w:r>
      <w:r>
        <w:t>I</w:t>
      </w:r>
      <w:r w:rsidRPr="00127570">
        <w:t xml:space="preserve">nvestment </w:t>
      </w:r>
      <w:r>
        <w:t>G</w:t>
      </w:r>
      <w:r w:rsidRPr="00127570">
        <w:t xml:space="preserve">ate </w:t>
      </w:r>
      <w:r>
        <w:t>O</w:t>
      </w:r>
      <w:r w:rsidRPr="00127570">
        <w:t>pens</w:t>
      </w:r>
      <w:r>
        <w:t>,</w:t>
      </w:r>
      <w:r w:rsidRPr="00127570">
        <w:t xml:space="preserve">” </w:t>
      </w:r>
      <w:r w:rsidRPr="0006106B">
        <w:rPr>
          <w:i/>
        </w:rPr>
        <w:t>The Philippine Star</w:t>
      </w:r>
      <w:r w:rsidRPr="00127570">
        <w:t>, January 11, 2018, accessed January 24, 2018, www.philstar.com/business/2018/01/11/1776509/tourism-investment-gate-opens</w:t>
      </w:r>
      <w:r>
        <w:t>.</w:t>
      </w:r>
    </w:p>
  </w:endnote>
  <w:endnote w:id="33">
    <w:p w14:paraId="19D2A453" w14:textId="5537EFE9" w:rsidR="003C1C68" w:rsidRPr="00127570" w:rsidRDefault="003C1C68" w:rsidP="00AA7E85">
      <w:pPr>
        <w:pStyle w:val="Footnote"/>
        <w:rPr>
          <w:u w:val="single"/>
        </w:rPr>
      </w:pPr>
      <w:r w:rsidRPr="00127570">
        <w:rPr>
          <w:rStyle w:val="EndnoteReference"/>
        </w:rPr>
        <w:endnoteRef/>
      </w:r>
      <w:r w:rsidRPr="00127570">
        <w:t xml:space="preserve"> Richmond Mercurio, “Philippine </w:t>
      </w:r>
      <w:r>
        <w:t>C</w:t>
      </w:r>
      <w:r w:rsidRPr="00127570">
        <w:t xml:space="preserve">onstruction </w:t>
      </w:r>
      <w:r>
        <w:t>W</w:t>
      </w:r>
      <w:r w:rsidRPr="00127570">
        <w:t xml:space="preserve">orks </w:t>
      </w:r>
      <w:r>
        <w:t>S</w:t>
      </w:r>
      <w:r w:rsidRPr="00127570">
        <w:t xml:space="preserve">een </w:t>
      </w:r>
      <w:r>
        <w:t>G</w:t>
      </w:r>
      <w:r w:rsidRPr="00127570">
        <w:t>rowing over 50% by 2020</w:t>
      </w:r>
      <w:r>
        <w:t>,</w:t>
      </w:r>
      <w:r w:rsidRPr="00127570">
        <w:t xml:space="preserve">” </w:t>
      </w:r>
      <w:r w:rsidRPr="00BD18B7">
        <w:rPr>
          <w:i/>
        </w:rPr>
        <w:t>The Philippine Star</w:t>
      </w:r>
      <w:r w:rsidRPr="00127570">
        <w:t>, May 26, 2016, accessed January 24, 2018, www.philstar.com/business/2016/05/26/1586914/philippine-construction-works-seen-growing-over-50-2020</w:t>
      </w:r>
      <w:r>
        <w:t>.</w:t>
      </w:r>
    </w:p>
  </w:endnote>
  <w:endnote w:id="34">
    <w:p w14:paraId="531AB6BB" w14:textId="155C2359" w:rsidR="003C1C68" w:rsidRPr="00127570" w:rsidRDefault="003C1C68" w:rsidP="00AA7E85">
      <w:pPr>
        <w:pStyle w:val="Footnote"/>
        <w:rPr>
          <w:color w:val="000000" w:themeColor="text1"/>
        </w:rPr>
      </w:pPr>
      <w:r w:rsidRPr="00127570">
        <w:rPr>
          <w:rStyle w:val="EndnoteReference"/>
          <w:color w:val="000000" w:themeColor="text1"/>
        </w:rPr>
        <w:endnoteRef/>
      </w:r>
      <w:r w:rsidRPr="00127570">
        <w:rPr>
          <w:color w:val="000000" w:themeColor="text1"/>
        </w:rPr>
        <w:t xml:space="preserve"> </w:t>
      </w:r>
      <w:r>
        <w:rPr>
          <w:color w:val="000000" w:themeColor="text1"/>
        </w:rPr>
        <w:t xml:space="preserve">Ditas B. </w:t>
      </w:r>
      <w:r w:rsidRPr="00127570">
        <w:rPr>
          <w:color w:val="000000" w:themeColor="text1"/>
        </w:rPr>
        <w:t xml:space="preserve">Lopez and </w:t>
      </w:r>
      <w:r>
        <w:rPr>
          <w:color w:val="000000" w:themeColor="text1"/>
        </w:rPr>
        <w:t xml:space="preserve">Y-Sing </w:t>
      </w:r>
      <w:r w:rsidRPr="00127570">
        <w:rPr>
          <w:color w:val="000000" w:themeColor="text1"/>
        </w:rPr>
        <w:t xml:space="preserve">Liau, “Philippine </w:t>
      </w:r>
      <w:r>
        <w:rPr>
          <w:color w:val="000000" w:themeColor="text1"/>
        </w:rPr>
        <w:t>P</w:t>
      </w:r>
      <w:r w:rsidRPr="00127570">
        <w:rPr>
          <w:color w:val="000000" w:themeColor="text1"/>
        </w:rPr>
        <w:t xml:space="preserve">eso </w:t>
      </w:r>
      <w:r>
        <w:rPr>
          <w:color w:val="000000" w:themeColor="text1"/>
        </w:rPr>
        <w:t>P</w:t>
      </w:r>
      <w:r w:rsidRPr="00127570">
        <w:rPr>
          <w:color w:val="000000" w:themeColor="text1"/>
        </w:rPr>
        <w:t xml:space="preserve">redicted to be Asia’s </w:t>
      </w:r>
      <w:r>
        <w:rPr>
          <w:color w:val="000000" w:themeColor="text1"/>
        </w:rPr>
        <w:t>W</w:t>
      </w:r>
      <w:r w:rsidRPr="00127570">
        <w:rPr>
          <w:color w:val="000000" w:themeColor="text1"/>
        </w:rPr>
        <w:t xml:space="preserve">orst-performing </w:t>
      </w:r>
      <w:r>
        <w:rPr>
          <w:color w:val="000000" w:themeColor="text1"/>
        </w:rPr>
        <w:t>C</w:t>
      </w:r>
      <w:r w:rsidRPr="00127570">
        <w:rPr>
          <w:color w:val="000000" w:themeColor="text1"/>
        </w:rPr>
        <w:t>urrency in 2018</w:t>
      </w:r>
      <w:r>
        <w:rPr>
          <w:color w:val="000000" w:themeColor="text1"/>
        </w:rPr>
        <w:t>,</w:t>
      </w:r>
      <w:r w:rsidRPr="00127570">
        <w:rPr>
          <w:color w:val="000000" w:themeColor="text1"/>
        </w:rPr>
        <w:t xml:space="preserve">” Bloomberg, </w:t>
      </w:r>
      <w:r>
        <w:rPr>
          <w:color w:val="000000" w:themeColor="text1"/>
        </w:rPr>
        <w:t xml:space="preserve">December 21, 2017, </w:t>
      </w:r>
      <w:r w:rsidRPr="00127570">
        <w:rPr>
          <w:color w:val="000000" w:themeColor="text1"/>
        </w:rPr>
        <w:t xml:space="preserve">accessed January 25, 2018, www.bloomberg.com/news/articles/2017-12-21/philippine-peso-seen-as-asia-s-laggard-for-2018-as-deficit-grows; </w:t>
      </w:r>
      <w:r>
        <w:rPr>
          <w:color w:val="000000" w:themeColor="text1"/>
        </w:rPr>
        <w:t xml:space="preserve">Catherine </w:t>
      </w:r>
      <w:r w:rsidRPr="00127570">
        <w:rPr>
          <w:color w:val="000000" w:themeColor="text1"/>
        </w:rPr>
        <w:t xml:space="preserve">Talavera, “Weaker </w:t>
      </w:r>
      <w:r>
        <w:rPr>
          <w:color w:val="000000" w:themeColor="text1"/>
        </w:rPr>
        <w:t>P</w:t>
      </w:r>
      <w:r w:rsidRPr="00127570">
        <w:rPr>
          <w:color w:val="000000" w:themeColor="text1"/>
        </w:rPr>
        <w:t xml:space="preserve">eso to </w:t>
      </w:r>
      <w:r>
        <w:rPr>
          <w:color w:val="000000" w:themeColor="text1"/>
        </w:rPr>
        <w:t>I</w:t>
      </w:r>
      <w:r w:rsidRPr="00127570">
        <w:rPr>
          <w:color w:val="000000" w:themeColor="text1"/>
        </w:rPr>
        <w:t xml:space="preserve">mpact </w:t>
      </w:r>
      <w:r>
        <w:rPr>
          <w:color w:val="000000" w:themeColor="text1"/>
        </w:rPr>
        <w:t>P</w:t>
      </w:r>
      <w:r w:rsidRPr="00127570">
        <w:rPr>
          <w:color w:val="000000" w:themeColor="text1"/>
        </w:rPr>
        <w:t xml:space="preserve">roperty </w:t>
      </w:r>
      <w:r>
        <w:rPr>
          <w:color w:val="000000" w:themeColor="text1"/>
        </w:rPr>
        <w:t>M</w:t>
      </w:r>
      <w:r w:rsidRPr="00127570">
        <w:rPr>
          <w:color w:val="000000" w:themeColor="text1"/>
        </w:rPr>
        <w:t>arket</w:t>
      </w:r>
      <w:r>
        <w:rPr>
          <w:color w:val="000000" w:themeColor="text1"/>
        </w:rPr>
        <w:t xml:space="preserve"> – </w:t>
      </w:r>
      <w:r w:rsidRPr="00127570">
        <w:rPr>
          <w:color w:val="000000" w:themeColor="text1"/>
        </w:rPr>
        <w:t xml:space="preserve">JLL </w:t>
      </w:r>
      <w:r>
        <w:rPr>
          <w:color w:val="000000" w:themeColor="text1"/>
        </w:rPr>
        <w:t>A</w:t>
      </w:r>
      <w:r w:rsidRPr="00127570">
        <w:rPr>
          <w:color w:val="000000" w:themeColor="text1"/>
        </w:rPr>
        <w:t>nalyst</w:t>
      </w:r>
      <w:r>
        <w:rPr>
          <w:color w:val="000000" w:themeColor="text1"/>
        </w:rPr>
        <w:t>,</w:t>
      </w:r>
      <w:r w:rsidRPr="00127570">
        <w:rPr>
          <w:color w:val="000000" w:themeColor="text1"/>
        </w:rPr>
        <w:t xml:space="preserve">” </w:t>
      </w:r>
      <w:r w:rsidRPr="00BD18B7">
        <w:rPr>
          <w:i/>
          <w:color w:val="000000" w:themeColor="text1"/>
        </w:rPr>
        <w:t>Manila Times</w:t>
      </w:r>
      <w:r w:rsidRPr="00127570">
        <w:rPr>
          <w:color w:val="000000" w:themeColor="text1"/>
        </w:rPr>
        <w:t xml:space="preserve">, </w:t>
      </w:r>
      <w:r>
        <w:rPr>
          <w:color w:val="000000" w:themeColor="text1"/>
        </w:rPr>
        <w:t xml:space="preserve">December 6, 2016, </w:t>
      </w:r>
      <w:r w:rsidRPr="00127570">
        <w:rPr>
          <w:color w:val="000000" w:themeColor="text1"/>
        </w:rPr>
        <w:t>accessed January 25, 2018, www.manilatimes.net/weaker-peso-impact-property-market-jll-analyst/300252/</w:t>
      </w:r>
      <w:r>
        <w:rPr>
          <w:color w:val="000000" w:themeColor="text1"/>
        </w:rPr>
        <w:t>.</w:t>
      </w:r>
    </w:p>
  </w:endnote>
  <w:endnote w:id="35">
    <w:p w14:paraId="42E0FB60" w14:textId="59C62EA5" w:rsidR="003C1C68" w:rsidRPr="00127570" w:rsidRDefault="003C1C68" w:rsidP="00AA7E85">
      <w:pPr>
        <w:pStyle w:val="Footnote"/>
      </w:pPr>
      <w:r w:rsidRPr="00127570">
        <w:rPr>
          <w:rStyle w:val="EndnoteReference"/>
          <w:color w:val="000000" w:themeColor="text1"/>
        </w:rPr>
        <w:endnoteRef/>
      </w:r>
      <w:r w:rsidRPr="00127570">
        <w:rPr>
          <w:color w:val="000000" w:themeColor="text1"/>
        </w:rPr>
        <w:t xml:space="preserve"> Bernie Cahiles-Magkilat, “Cement </w:t>
      </w:r>
      <w:r>
        <w:rPr>
          <w:color w:val="000000" w:themeColor="text1"/>
        </w:rPr>
        <w:t>D</w:t>
      </w:r>
      <w:r w:rsidRPr="00127570">
        <w:rPr>
          <w:color w:val="000000" w:themeColor="text1"/>
        </w:rPr>
        <w:t xml:space="preserve">emand, </w:t>
      </w:r>
      <w:r>
        <w:rPr>
          <w:color w:val="000000" w:themeColor="text1"/>
        </w:rPr>
        <w:t>I</w:t>
      </w:r>
      <w:r w:rsidRPr="00127570">
        <w:rPr>
          <w:color w:val="000000" w:themeColor="text1"/>
        </w:rPr>
        <w:t xml:space="preserve">mports </w:t>
      </w:r>
      <w:r>
        <w:rPr>
          <w:color w:val="000000" w:themeColor="text1"/>
        </w:rPr>
        <w:t>S</w:t>
      </w:r>
      <w:r w:rsidRPr="00127570">
        <w:rPr>
          <w:color w:val="000000" w:themeColor="text1"/>
        </w:rPr>
        <w:t xml:space="preserve">een </w:t>
      </w:r>
      <w:r>
        <w:rPr>
          <w:color w:val="000000" w:themeColor="text1"/>
        </w:rPr>
        <w:t>R</w:t>
      </w:r>
      <w:r w:rsidRPr="00127570">
        <w:rPr>
          <w:color w:val="000000" w:themeColor="text1"/>
        </w:rPr>
        <w:t xml:space="preserve">ising; </w:t>
      </w:r>
      <w:r>
        <w:rPr>
          <w:color w:val="000000" w:themeColor="text1"/>
        </w:rPr>
        <w:t>S</w:t>
      </w:r>
      <w:r w:rsidRPr="00127570">
        <w:rPr>
          <w:color w:val="000000" w:themeColor="text1"/>
        </w:rPr>
        <w:t xml:space="preserve">upply </w:t>
      </w:r>
      <w:r>
        <w:rPr>
          <w:color w:val="000000" w:themeColor="text1"/>
        </w:rPr>
        <w:t>E</w:t>
      </w:r>
      <w:r w:rsidRPr="00127570">
        <w:rPr>
          <w:color w:val="000000" w:themeColor="text1"/>
        </w:rPr>
        <w:t xml:space="preserve">nough for </w:t>
      </w:r>
      <w:r>
        <w:rPr>
          <w:color w:val="000000" w:themeColor="text1"/>
        </w:rPr>
        <w:t>P</w:t>
      </w:r>
      <w:r w:rsidRPr="00127570">
        <w:rPr>
          <w:color w:val="000000" w:themeColor="text1"/>
        </w:rPr>
        <w:t>rojects</w:t>
      </w:r>
      <w:r>
        <w:rPr>
          <w:color w:val="000000" w:themeColor="text1"/>
        </w:rPr>
        <w:t>,</w:t>
      </w:r>
      <w:r w:rsidRPr="00127570">
        <w:rPr>
          <w:color w:val="000000" w:themeColor="text1"/>
        </w:rPr>
        <w:t xml:space="preserve">” </w:t>
      </w:r>
      <w:r w:rsidRPr="00BD18B7">
        <w:rPr>
          <w:i/>
          <w:color w:val="000000" w:themeColor="text1"/>
        </w:rPr>
        <w:t>Manila Bulletin</w:t>
      </w:r>
      <w:r w:rsidRPr="00127570">
        <w:rPr>
          <w:color w:val="000000" w:themeColor="text1"/>
        </w:rPr>
        <w:t xml:space="preserve">, June 17, </w:t>
      </w:r>
      <w:r w:rsidRPr="00127570">
        <w:t>2017, accessed January 23, 2018, https://business.mb.com.ph/2017/06/17/cement-demand-imports-seen-rising-supply-enough-for-projects/</w:t>
      </w:r>
      <w:r>
        <w:t>.</w:t>
      </w:r>
    </w:p>
  </w:endnote>
  <w:endnote w:id="36">
    <w:p w14:paraId="4C186ABD" w14:textId="567CDA6E" w:rsidR="003C1C68" w:rsidRPr="00127570" w:rsidRDefault="003C1C68" w:rsidP="00AA7E85">
      <w:pPr>
        <w:pStyle w:val="Footnote"/>
      </w:pPr>
      <w:r w:rsidRPr="00127570">
        <w:rPr>
          <w:rStyle w:val="EndnoteReference"/>
        </w:rPr>
        <w:endnoteRef/>
      </w:r>
      <w:r w:rsidRPr="00127570">
        <w:t xml:space="preserve"> Tessa R. Salazar, “Expat </w:t>
      </w:r>
      <w:r>
        <w:t>P</w:t>
      </w:r>
      <w:r w:rsidRPr="00127570">
        <w:t xml:space="preserve">opulation </w:t>
      </w:r>
      <w:r>
        <w:t>S</w:t>
      </w:r>
      <w:r w:rsidRPr="00127570">
        <w:t xml:space="preserve">purs </w:t>
      </w:r>
      <w:r>
        <w:t>D</w:t>
      </w:r>
      <w:r w:rsidRPr="00127570">
        <w:t xml:space="preserve">emand for </w:t>
      </w:r>
      <w:r>
        <w:t>P</w:t>
      </w:r>
      <w:r w:rsidRPr="00127570">
        <w:t xml:space="preserve">osh </w:t>
      </w:r>
      <w:r>
        <w:t>C</w:t>
      </w:r>
      <w:r w:rsidRPr="00127570">
        <w:t>ondos</w:t>
      </w:r>
      <w:r>
        <w:t>,</w:t>
      </w:r>
      <w:r w:rsidRPr="00127570">
        <w:t xml:space="preserve">” </w:t>
      </w:r>
      <w:r>
        <w:t>Inquirer.net</w:t>
      </w:r>
      <w:r w:rsidRPr="00127570">
        <w:t>, June 15, 2012, accessed January 24, 2018, http://business.inquirer.net/65303/expat-population-spurs-demand-for-posh-condos</w:t>
      </w:r>
      <w:r>
        <w:t>.</w:t>
      </w:r>
    </w:p>
  </w:endnote>
  <w:endnote w:id="37">
    <w:p w14:paraId="737CD9FA" w14:textId="11D4825D" w:rsidR="003C1C68" w:rsidRPr="00127570" w:rsidRDefault="003C1C68" w:rsidP="00AA7E85">
      <w:pPr>
        <w:pStyle w:val="Footnote"/>
      </w:pPr>
      <w:r w:rsidRPr="00127570">
        <w:rPr>
          <w:rStyle w:val="EndnoteReference"/>
        </w:rPr>
        <w:endnoteRef/>
      </w:r>
      <w:r w:rsidRPr="00127570">
        <w:t xml:space="preserve"> Richmond Mercurio, “Philippine </w:t>
      </w:r>
      <w:r>
        <w:t>C</w:t>
      </w:r>
      <w:r w:rsidRPr="00127570">
        <w:t xml:space="preserve">onstruction </w:t>
      </w:r>
      <w:r>
        <w:t>W</w:t>
      </w:r>
      <w:r w:rsidRPr="00127570">
        <w:t xml:space="preserve">orks </w:t>
      </w:r>
      <w:r>
        <w:t>S</w:t>
      </w:r>
      <w:r w:rsidRPr="00127570">
        <w:t xml:space="preserve">een </w:t>
      </w:r>
      <w:r>
        <w:t>G</w:t>
      </w:r>
      <w:r w:rsidRPr="00127570">
        <w:t>rowing over 50% by 2020,” op. cit</w:t>
      </w:r>
      <w:r>
        <w:t>.</w:t>
      </w:r>
      <w:r w:rsidRPr="00127570">
        <w:t xml:space="preserve">; Chris Schnabel, “ADB </w:t>
      </w:r>
      <w:r>
        <w:t>U</w:t>
      </w:r>
      <w:r w:rsidRPr="00127570">
        <w:t xml:space="preserve">pgrades Philippine GDP </w:t>
      </w:r>
      <w:r>
        <w:t>G</w:t>
      </w:r>
      <w:r w:rsidRPr="00127570">
        <w:t xml:space="preserve">rowth </w:t>
      </w:r>
      <w:r>
        <w:t>F</w:t>
      </w:r>
      <w:r w:rsidRPr="00127570">
        <w:t>orecast for 2017, 2018</w:t>
      </w:r>
      <w:r>
        <w:t>,”</w:t>
      </w:r>
      <w:r w:rsidRPr="00127570">
        <w:t xml:space="preserve"> Rappler, </w:t>
      </w:r>
      <w:r>
        <w:t xml:space="preserve">December 13, 2017, </w:t>
      </w:r>
      <w:r w:rsidRPr="00127570">
        <w:t>accessed January 30, 2018, www.rappler.com/business/191245-adb-upgrade-philippines-gdp-outlook-2017-2018</w:t>
      </w:r>
      <w:r>
        <w:t>.</w:t>
      </w:r>
    </w:p>
  </w:endnote>
  <w:endnote w:id="38">
    <w:p w14:paraId="37CFF061" w14:textId="0AC4C036" w:rsidR="003C1C68" w:rsidRPr="00127570" w:rsidRDefault="003C1C68" w:rsidP="00AA7E85">
      <w:pPr>
        <w:pStyle w:val="Footnote"/>
        <w:rPr>
          <w:color w:val="000000" w:themeColor="text1"/>
          <w:spacing w:val="-2"/>
        </w:rPr>
      </w:pPr>
      <w:r w:rsidRPr="00127570">
        <w:rPr>
          <w:rStyle w:val="EndnoteReference"/>
          <w:color w:val="000000" w:themeColor="text1"/>
          <w:spacing w:val="-2"/>
        </w:rPr>
        <w:endnoteRef/>
      </w:r>
      <w:r w:rsidRPr="00127570">
        <w:rPr>
          <w:color w:val="000000" w:themeColor="text1"/>
          <w:spacing w:val="-2"/>
        </w:rPr>
        <w:t xml:space="preserve"> </w:t>
      </w:r>
      <w:r>
        <w:rPr>
          <w:color w:val="000000" w:themeColor="text1"/>
          <w:spacing w:val="-2"/>
        </w:rPr>
        <w:t xml:space="preserve">ICR Newsroom, </w:t>
      </w:r>
      <w:r w:rsidRPr="00127570">
        <w:rPr>
          <w:color w:val="000000" w:themeColor="text1"/>
          <w:spacing w:val="-2"/>
        </w:rPr>
        <w:t xml:space="preserve">“Philippines </w:t>
      </w:r>
      <w:r>
        <w:rPr>
          <w:color w:val="000000" w:themeColor="text1"/>
          <w:spacing w:val="-2"/>
        </w:rPr>
        <w:t>C</w:t>
      </w:r>
      <w:r w:rsidRPr="00127570">
        <w:rPr>
          <w:color w:val="000000" w:themeColor="text1"/>
          <w:spacing w:val="-2"/>
        </w:rPr>
        <w:t xml:space="preserve">ement </w:t>
      </w:r>
      <w:r>
        <w:rPr>
          <w:color w:val="000000" w:themeColor="text1"/>
          <w:spacing w:val="-2"/>
        </w:rPr>
        <w:t>S</w:t>
      </w:r>
      <w:r w:rsidRPr="00127570">
        <w:rPr>
          <w:color w:val="000000" w:themeColor="text1"/>
          <w:spacing w:val="-2"/>
        </w:rPr>
        <w:t xml:space="preserve">ales </w:t>
      </w:r>
      <w:r>
        <w:rPr>
          <w:color w:val="000000" w:themeColor="text1"/>
          <w:spacing w:val="-2"/>
        </w:rPr>
        <w:t>R</w:t>
      </w:r>
      <w:r w:rsidRPr="00127570">
        <w:rPr>
          <w:color w:val="000000" w:themeColor="text1"/>
          <w:spacing w:val="-2"/>
        </w:rPr>
        <w:t>ise 6.6% in 2016</w:t>
      </w:r>
      <w:r>
        <w:rPr>
          <w:color w:val="000000" w:themeColor="text1"/>
          <w:spacing w:val="-2"/>
        </w:rPr>
        <w:t>,</w:t>
      </w:r>
      <w:r w:rsidRPr="00127570">
        <w:rPr>
          <w:color w:val="000000" w:themeColor="text1"/>
          <w:spacing w:val="-2"/>
        </w:rPr>
        <w:t xml:space="preserve">” </w:t>
      </w:r>
      <w:r>
        <w:rPr>
          <w:color w:val="000000" w:themeColor="text1"/>
          <w:spacing w:val="-2"/>
        </w:rPr>
        <w:t>CemNet.com</w:t>
      </w:r>
      <w:r w:rsidRPr="00127570">
        <w:rPr>
          <w:color w:val="000000" w:themeColor="text1"/>
          <w:spacing w:val="-2"/>
        </w:rPr>
        <w:t xml:space="preserve">, February </w:t>
      </w:r>
      <w:r>
        <w:rPr>
          <w:color w:val="000000" w:themeColor="text1"/>
          <w:spacing w:val="-2"/>
        </w:rPr>
        <w:t xml:space="preserve">28, </w:t>
      </w:r>
      <w:r w:rsidRPr="00127570">
        <w:rPr>
          <w:color w:val="000000" w:themeColor="text1"/>
          <w:spacing w:val="-2"/>
        </w:rPr>
        <w:t xml:space="preserve">2017, accessed January </w:t>
      </w:r>
      <w:r>
        <w:rPr>
          <w:color w:val="000000" w:themeColor="text1"/>
          <w:spacing w:val="-2"/>
        </w:rPr>
        <w:t xml:space="preserve">27, </w:t>
      </w:r>
      <w:r w:rsidRPr="00127570">
        <w:rPr>
          <w:color w:val="000000" w:themeColor="text1"/>
          <w:spacing w:val="-2"/>
        </w:rPr>
        <w:t>2018, www.cemnet.com/News/story/161205/philippines-cement-sales-rise-6-6-in-2016.html; Philippines News Agency, op. cit.</w:t>
      </w:r>
    </w:p>
  </w:endnote>
  <w:endnote w:id="39">
    <w:p w14:paraId="3F458B83" w14:textId="47DD344B" w:rsidR="003C1C68" w:rsidRPr="00127570" w:rsidRDefault="003C1C68" w:rsidP="00AA7E85">
      <w:pPr>
        <w:pStyle w:val="Footnote"/>
        <w:rPr>
          <w:color w:val="000000" w:themeColor="text1"/>
        </w:rPr>
      </w:pPr>
      <w:r w:rsidRPr="00127570">
        <w:rPr>
          <w:rStyle w:val="EndnoteReference"/>
          <w:color w:val="000000" w:themeColor="text1"/>
        </w:rPr>
        <w:endnoteRef/>
      </w:r>
      <w:r w:rsidRPr="00127570">
        <w:rPr>
          <w:color w:val="000000" w:themeColor="text1"/>
        </w:rPr>
        <w:t xml:space="preserve"> “DTI </w:t>
      </w:r>
      <w:r>
        <w:rPr>
          <w:color w:val="000000" w:themeColor="text1"/>
        </w:rPr>
        <w:t>I</w:t>
      </w:r>
      <w:r w:rsidRPr="00127570">
        <w:rPr>
          <w:color w:val="000000" w:themeColor="text1"/>
        </w:rPr>
        <w:t xml:space="preserve">ssues </w:t>
      </w:r>
      <w:r>
        <w:rPr>
          <w:color w:val="000000" w:themeColor="text1"/>
        </w:rPr>
        <w:t>N</w:t>
      </w:r>
      <w:r w:rsidRPr="00127570">
        <w:rPr>
          <w:color w:val="000000" w:themeColor="text1"/>
        </w:rPr>
        <w:t xml:space="preserve">ew </w:t>
      </w:r>
      <w:r>
        <w:rPr>
          <w:color w:val="000000" w:themeColor="text1"/>
        </w:rPr>
        <w:t>R</w:t>
      </w:r>
      <w:r w:rsidRPr="00127570">
        <w:rPr>
          <w:color w:val="000000" w:themeColor="text1"/>
        </w:rPr>
        <w:t xml:space="preserve">equirements on </w:t>
      </w:r>
      <w:r>
        <w:rPr>
          <w:color w:val="000000" w:themeColor="text1"/>
        </w:rPr>
        <w:t>C</w:t>
      </w:r>
      <w:r w:rsidRPr="00127570">
        <w:rPr>
          <w:color w:val="000000" w:themeColor="text1"/>
        </w:rPr>
        <w:t xml:space="preserve">ement </w:t>
      </w:r>
      <w:r>
        <w:rPr>
          <w:color w:val="000000" w:themeColor="text1"/>
        </w:rPr>
        <w:t>I</w:t>
      </w:r>
      <w:r w:rsidRPr="00127570">
        <w:rPr>
          <w:color w:val="000000" w:themeColor="text1"/>
        </w:rPr>
        <w:t>mportation</w:t>
      </w:r>
      <w:r>
        <w:rPr>
          <w:color w:val="000000" w:themeColor="text1"/>
        </w:rPr>
        <w:t>,</w:t>
      </w:r>
      <w:r w:rsidRPr="00127570">
        <w:rPr>
          <w:color w:val="000000" w:themeColor="text1"/>
        </w:rPr>
        <w:t xml:space="preserve">” Malaya Business Insight, </w:t>
      </w:r>
      <w:r>
        <w:rPr>
          <w:color w:val="000000" w:themeColor="text1"/>
        </w:rPr>
        <w:t xml:space="preserve">March 1, 2017, </w:t>
      </w:r>
      <w:r w:rsidRPr="00127570">
        <w:rPr>
          <w:color w:val="000000" w:themeColor="text1"/>
        </w:rPr>
        <w:t>accessed February 20, 2018, www.malaya.com.ph/business-news/business/dti-issues-new-requirements-cement-importation</w:t>
      </w:r>
      <w:r>
        <w:rPr>
          <w:color w:val="000000" w:themeColor="text1"/>
        </w:rPr>
        <w:t>.</w:t>
      </w:r>
      <w:r w:rsidRPr="00127570">
        <w:rPr>
          <w:color w:val="000000" w:themeColor="text1"/>
        </w:rPr>
        <w:t xml:space="preserve"> </w:t>
      </w:r>
    </w:p>
  </w:endnote>
  <w:endnote w:id="40">
    <w:p w14:paraId="7F2F049E" w14:textId="292D7F75" w:rsidR="003C1C68" w:rsidRPr="00127570" w:rsidRDefault="003C1C68" w:rsidP="00AA7E85">
      <w:pPr>
        <w:pStyle w:val="Footnote"/>
        <w:rPr>
          <w:color w:val="000000" w:themeColor="text1"/>
        </w:rPr>
      </w:pPr>
      <w:r w:rsidRPr="00127570">
        <w:rPr>
          <w:rStyle w:val="EndnoteReference"/>
          <w:color w:val="000000" w:themeColor="text1"/>
        </w:rPr>
        <w:endnoteRef/>
      </w:r>
      <w:r w:rsidRPr="00127570">
        <w:rPr>
          <w:color w:val="000000" w:themeColor="text1"/>
        </w:rPr>
        <w:t xml:space="preserve"> </w:t>
      </w:r>
      <w:bookmarkStart w:id="10" w:name="_Hlk505077696"/>
      <w:r w:rsidRPr="00127570">
        <w:rPr>
          <w:color w:val="000000" w:themeColor="text1"/>
        </w:rPr>
        <w:t>VG Cabaug, op. cit.</w:t>
      </w:r>
    </w:p>
    <w:bookmarkEnd w:id="10"/>
  </w:endnote>
  <w:endnote w:id="41">
    <w:p w14:paraId="49D11683" w14:textId="58742D25" w:rsidR="003C1C68" w:rsidRPr="00127570" w:rsidRDefault="003C1C68" w:rsidP="00AA7E85">
      <w:pPr>
        <w:pStyle w:val="Footnote"/>
        <w:rPr>
          <w:color w:val="000000" w:themeColor="text1"/>
        </w:rPr>
      </w:pPr>
      <w:r w:rsidRPr="00127570">
        <w:rPr>
          <w:rStyle w:val="EndnoteReference"/>
          <w:color w:val="000000" w:themeColor="text1"/>
        </w:rPr>
        <w:endnoteRef/>
      </w:r>
      <w:r w:rsidRPr="00127570">
        <w:rPr>
          <w:color w:val="000000" w:themeColor="text1"/>
        </w:rPr>
        <w:t xml:space="preserve"> Krista A. M. Montealegre, op. cit.</w:t>
      </w:r>
    </w:p>
  </w:endnote>
  <w:endnote w:id="42">
    <w:p w14:paraId="755975D4" w14:textId="2A8B0B58" w:rsidR="003C1C68" w:rsidRPr="00127570" w:rsidRDefault="003C1C68" w:rsidP="00AA7E85">
      <w:pPr>
        <w:pStyle w:val="Footnote"/>
        <w:rPr>
          <w:color w:val="000000" w:themeColor="text1"/>
        </w:rPr>
      </w:pPr>
      <w:r w:rsidRPr="00127570">
        <w:rPr>
          <w:rStyle w:val="EndnoteReference"/>
          <w:color w:val="000000" w:themeColor="text1"/>
        </w:rPr>
        <w:endnoteRef/>
      </w:r>
      <w:r w:rsidRPr="00127570">
        <w:rPr>
          <w:color w:val="000000" w:themeColor="text1"/>
        </w:rPr>
        <w:t xml:space="preserve"> Global Cement Staff, “Philippine Competition Commission </w:t>
      </w:r>
      <w:r>
        <w:rPr>
          <w:color w:val="000000" w:themeColor="text1"/>
        </w:rPr>
        <w:t>E</w:t>
      </w:r>
      <w:r w:rsidRPr="00127570">
        <w:rPr>
          <w:color w:val="000000" w:themeColor="text1"/>
        </w:rPr>
        <w:t xml:space="preserve">xpects to </w:t>
      </w:r>
      <w:r>
        <w:rPr>
          <w:color w:val="000000" w:themeColor="text1"/>
        </w:rPr>
        <w:t>C</w:t>
      </w:r>
      <w:r w:rsidRPr="00127570">
        <w:rPr>
          <w:color w:val="000000" w:themeColor="text1"/>
        </w:rPr>
        <w:t xml:space="preserve">omplete </w:t>
      </w:r>
      <w:r>
        <w:rPr>
          <w:color w:val="000000" w:themeColor="text1"/>
        </w:rPr>
        <w:t>I</w:t>
      </w:r>
      <w:r w:rsidRPr="00127570">
        <w:rPr>
          <w:color w:val="000000" w:themeColor="text1"/>
        </w:rPr>
        <w:t xml:space="preserve">nvestigation of </w:t>
      </w:r>
      <w:r>
        <w:rPr>
          <w:color w:val="000000" w:themeColor="text1"/>
        </w:rPr>
        <w:t>C</w:t>
      </w:r>
      <w:r w:rsidRPr="00127570">
        <w:rPr>
          <w:color w:val="000000" w:themeColor="text1"/>
        </w:rPr>
        <w:t xml:space="preserve">ement </w:t>
      </w:r>
      <w:r>
        <w:rPr>
          <w:color w:val="000000" w:themeColor="text1"/>
        </w:rPr>
        <w:t>I</w:t>
      </w:r>
      <w:r w:rsidRPr="00127570">
        <w:rPr>
          <w:color w:val="000000" w:themeColor="text1"/>
        </w:rPr>
        <w:t xml:space="preserve">ndustry by 2019,” </w:t>
      </w:r>
      <w:r w:rsidRPr="00BD18B7">
        <w:rPr>
          <w:i/>
          <w:color w:val="000000" w:themeColor="text1"/>
        </w:rPr>
        <w:t>Global Cement</w:t>
      </w:r>
      <w:r>
        <w:rPr>
          <w:color w:val="000000" w:themeColor="text1"/>
        </w:rPr>
        <w:t xml:space="preserve">, </w:t>
      </w:r>
      <w:r w:rsidRPr="00127570">
        <w:rPr>
          <w:color w:val="000000" w:themeColor="text1"/>
        </w:rPr>
        <w:t>August</w:t>
      </w:r>
      <w:r>
        <w:rPr>
          <w:color w:val="000000" w:themeColor="text1"/>
        </w:rPr>
        <w:t xml:space="preserve"> 3,</w:t>
      </w:r>
      <w:r w:rsidRPr="00127570">
        <w:rPr>
          <w:color w:val="000000" w:themeColor="text1"/>
        </w:rPr>
        <w:t xml:space="preserve"> 2017, accessed January 21, 2018, www.globalcement.com/news/item/6412-philippine-competition-commission-expects-to-complete-investigation-of-cement-industry-by-2019.</w:t>
      </w:r>
    </w:p>
  </w:endnote>
  <w:endnote w:id="43">
    <w:p w14:paraId="040A48D8" w14:textId="6A621A24" w:rsidR="003C1C68" w:rsidRPr="00127570" w:rsidRDefault="003C1C68" w:rsidP="00AA7E85">
      <w:pPr>
        <w:pStyle w:val="Footnote"/>
      </w:pPr>
      <w:r w:rsidRPr="00127570">
        <w:rPr>
          <w:rStyle w:val="EndnoteReference"/>
        </w:rPr>
        <w:endnoteRef/>
      </w:r>
      <w:r w:rsidRPr="00127570">
        <w:t xml:space="preserve"> Ma. Elisa Osorio, “DTI </w:t>
      </w:r>
      <w:r>
        <w:t>U</w:t>
      </w:r>
      <w:r w:rsidRPr="00127570">
        <w:t xml:space="preserve">rges </w:t>
      </w:r>
      <w:r>
        <w:t>C</w:t>
      </w:r>
      <w:r w:rsidRPr="00127570">
        <w:t xml:space="preserve">onsumers to </w:t>
      </w:r>
      <w:r>
        <w:t>B</w:t>
      </w:r>
      <w:r w:rsidRPr="00127570">
        <w:t xml:space="preserve">uy </w:t>
      </w:r>
      <w:r>
        <w:t>P</w:t>
      </w:r>
      <w:r w:rsidRPr="00127570">
        <w:t xml:space="preserve">roducts with Green Choice </w:t>
      </w:r>
      <w:r>
        <w:t>S</w:t>
      </w:r>
      <w:r w:rsidRPr="00127570">
        <w:t>eal</w:t>
      </w:r>
      <w:r>
        <w:t>,</w:t>
      </w:r>
      <w:r w:rsidRPr="00127570">
        <w:t xml:space="preserve">” </w:t>
      </w:r>
      <w:r w:rsidRPr="0006106B">
        <w:rPr>
          <w:i/>
        </w:rPr>
        <w:t>The Philippine Star</w:t>
      </w:r>
      <w:r w:rsidRPr="00127570">
        <w:t>, August 28, 2011, accessed January 21, 2018, www.philstar.com/business/720829/dti-urges-consumers-buy-products-green-choice-seal</w:t>
      </w:r>
      <w:r>
        <w:t>.</w:t>
      </w:r>
      <w:r w:rsidRPr="00127570">
        <w:t xml:space="preserve"> </w:t>
      </w:r>
    </w:p>
  </w:endnote>
  <w:endnote w:id="44">
    <w:p w14:paraId="208E3CBD" w14:textId="5091D050" w:rsidR="003C1C68" w:rsidRPr="00127570" w:rsidRDefault="003C1C68" w:rsidP="00AA7E85">
      <w:pPr>
        <w:pStyle w:val="Footnote"/>
        <w:rPr>
          <w:color w:val="000000" w:themeColor="text1"/>
        </w:rPr>
      </w:pPr>
      <w:r w:rsidRPr="00127570">
        <w:rPr>
          <w:rStyle w:val="EndnoteReference"/>
          <w:color w:val="000000" w:themeColor="text1"/>
        </w:rPr>
        <w:endnoteRef/>
      </w:r>
      <w:r w:rsidRPr="00127570">
        <w:rPr>
          <w:color w:val="000000" w:themeColor="text1"/>
        </w:rPr>
        <w:t xml:space="preserve"> Cabaug, op. cit.</w:t>
      </w:r>
    </w:p>
  </w:endnote>
  <w:endnote w:id="45">
    <w:p w14:paraId="0BBCEB51" w14:textId="2CDE0038" w:rsidR="003C1C68" w:rsidRPr="00127570" w:rsidRDefault="003C1C68" w:rsidP="00AA7E85">
      <w:pPr>
        <w:pStyle w:val="Footnote"/>
        <w:rPr>
          <w:color w:val="000000" w:themeColor="text1"/>
        </w:rPr>
      </w:pPr>
      <w:r w:rsidRPr="00127570">
        <w:rPr>
          <w:rStyle w:val="EndnoteReference"/>
          <w:color w:val="000000" w:themeColor="text1"/>
        </w:rPr>
        <w:endnoteRef/>
      </w:r>
      <w:r w:rsidRPr="00127570">
        <w:rPr>
          <w:color w:val="000000" w:themeColor="text1"/>
        </w:rPr>
        <w:t xml:space="preserve"> Doris Dumlao-Abadilla, op. cit.</w:t>
      </w:r>
    </w:p>
  </w:endnote>
  <w:endnote w:id="46">
    <w:p w14:paraId="699C2EEE" w14:textId="2099F624" w:rsidR="003C1C68" w:rsidRPr="00127570" w:rsidRDefault="003C1C68" w:rsidP="00AA7E85">
      <w:pPr>
        <w:pStyle w:val="Footnote"/>
        <w:rPr>
          <w:color w:val="000000" w:themeColor="text1"/>
        </w:rPr>
      </w:pPr>
      <w:r w:rsidRPr="00127570">
        <w:rPr>
          <w:rStyle w:val="EndnoteReference"/>
          <w:color w:val="000000" w:themeColor="text1"/>
        </w:rPr>
        <w:endnoteRef/>
      </w:r>
      <w:r>
        <w:rPr>
          <w:color w:val="000000" w:themeColor="text1"/>
        </w:rPr>
        <w:t xml:space="preserve"> </w:t>
      </w:r>
      <w:r w:rsidRPr="00127570">
        <w:rPr>
          <w:color w:val="000000" w:themeColor="text1"/>
        </w:rPr>
        <w:t xml:space="preserve">“About </w:t>
      </w:r>
      <w:r>
        <w:rPr>
          <w:color w:val="000000" w:themeColor="text1"/>
        </w:rPr>
        <w:t>U</w:t>
      </w:r>
      <w:r w:rsidRPr="00127570">
        <w:rPr>
          <w:color w:val="000000" w:themeColor="text1"/>
        </w:rPr>
        <w:t>s</w:t>
      </w:r>
      <w:r>
        <w:rPr>
          <w:color w:val="000000" w:themeColor="text1"/>
        </w:rPr>
        <w:t>,</w:t>
      </w:r>
      <w:r w:rsidRPr="00127570">
        <w:rPr>
          <w:color w:val="000000" w:themeColor="text1"/>
        </w:rPr>
        <w:t>” Holcim Philippines, accessed January 21, 2018, www.holcim.ph/about-us</w:t>
      </w:r>
      <w:r>
        <w:rPr>
          <w:color w:val="000000" w:themeColor="text1"/>
        </w:rPr>
        <w:t>.</w:t>
      </w:r>
      <w:r w:rsidRPr="00127570">
        <w:rPr>
          <w:color w:val="000000" w:themeColor="text1"/>
        </w:rPr>
        <w:t xml:space="preserve"> </w:t>
      </w:r>
    </w:p>
  </w:endnote>
  <w:endnote w:id="47">
    <w:p w14:paraId="7F029E40" w14:textId="5C42D483" w:rsidR="003C1C68" w:rsidRPr="00127570" w:rsidRDefault="003C1C68" w:rsidP="00AA7E85">
      <w:pPr>
        <w:pStyle w:val="Footnote"/>
      </w:pPr>
      <w:r w:rsidRPr="00127570">
        <w:rPr>
          <w:rStyle w:val="EndnoteReference"/>
        </w:rPr>
        <w:endnoteRef/>
      </w:r>
      <w:r w:rsidRPr="00127570">
        <w:t xml:space="preserve"> “</w:t>
      </w:r>
      <w:r>
        <w:t xml:space="preserve">Company Information: </w:t>
      </w:r>
      <w:r w:rsidRPr="00127570">
        <w:t>Holcim Philippines</w:t>
      </w:r>
      <w:r>
        <w:t>,</w:t>
      </w:r>
      <w:r w:rsidRPr="00127570">
        <w:t xml:space="preserve"> Inc.</w:t>
      </w:r>
      <w:r>
        <w:t>,</w:t>
      </w:r>
      <w:r w:rsidRPr="00127570">
        <w:t>” PSE E</w:t>
      </w:r>
      <w:r>
        <w:t>DGE</w:t>
      </w:r>
      <w:r w:rsidRPr="00127570">
        <w:t>, accessed January 30, 2018, http://edge.pse.com.ph/companyInformation/form.do?cmpy_id=211.</w:t>
      </w:r>
    </w:p>
  </w:endnote>
  <w:endnote w:id="48">
    <w:p w14:paraId="227E03F9" w14:textId="0ADF7FBB" w:rsidR="003C1C68" w:rsidRPr="00127570" w:rsidRDefault="003C1C68" w:rsidP="00AA7E85">
      <w:pPr>
        <w:pStyle w:val="Footnote"/>
      </w:pPr>
      <w:r w:rsidRPr="00127570">
        <w:rPr>
          <w:rStyle w:val="EndnoteReference"/>
        </w:rPr>
        <w:endnoteRef/>
      </w:r>
      <w:r w:rsidRPr="00127570">
        <w:t xml:space="preserve"> “Environmental </w:t>
      </w:r>
      <w:r>
        <w:t>R</w:t>
      </w:r>
      <w:r w:rsidRPr="00127570">
        <w:t xml:space="preserve">esponsibility,” op. cit. </w:t>
      </w:r>
    </w:p>
  </w:endnote>
  <w:endnote w:id="49">
    <w:p w14:paraId="465EED2E" w14:textId="3B33F01E" w:rsidR="003C1C68" w:rsidRPr="00127570" w:rsidRDefault="003C1C68" w:rsidP="00AA7E85">
      <w:pPr>
        <w:pStyle w:val="Footnote"/>
      </w:pPr>
      <w:r w:rsidRPr="00127570">
        <w:rPr>
          <w:rStyle w:val="EndnoteReference"/>
        </w:rPr>
        <w:endnoteRef/>
      </w:r>
      <w:r w:rsidRPr="00127570">
        <w:t xml:space="preserve"> </w:t>
      </w:r>
      <w:r w:rsidRPr="00BD18B7">
        <w:t>“Company Information: Cemex Holdings Philippines, Inc.,” PSE Edge, accessed January 30, 2018, http://edge.pse.com.ph/companyInformation/form.do?cmpy_id=662.</w:t>
      </w:r>
    </w:p>
  </w:endnote>
  <w:endnote w:id="50">
    <w:p w14:paraId="42BDE44A" w14:textId="355D2394" w:rsidR="003C1C68" w:rsidRPr="00127570" w:rsidRDefault="003C1C68" w:rsidP="00AA7E85">
      <w:pPr>
        <w:pStyle w:val="Footnote"/>
      </w:pPr>
      <w:r w:rsidRPr="00127570">
        <w:rPr>
          <w:rStyle w:val="EndnoteReference"/>
        </w:rPr>
        <w:endnoteRef/>
      </w:r>
      <w:r w:rsidRPr="00127570">
        <w:t xml:space="preserve"> “CEMEX </w:t>
      </w:r>
      <w:r>
        <w:t>C</w:t>
      </w:r>
      <w:r w:rsidRPr="00127570">
        <w:t xml:space="preserve">ompletes Experto Ako! Masonry </w:t>
      </w:r>
      <w:r>
        <w:t>S</w:t>
      </w:r>
      <w:r w:rsidRPr="00127570">
        <w:t xml:space="preserve">kills </w:t>
      </w:r>
      <w:r>
        <w:t>T</w:t>
      </w:r>
      <w:r w:rsidRPr="00127570">
        <w:t xml:space="preserve">raining </w:t>
      </w:r>
      <w:r>
        <w:t>P</w:t>
      </w:r>
      <w:r w:rsidRPr="00127570">
        <w:t>rogram in Cebu</w:t>
      </w:r>
      <w:r>
        <w:t>,</w:t>
      </w:r>
      <w:r w:rsidRPr="00127570">
        <w:t>” C</w:t>
      </w:r>
      <w:r>
        <w:t>EMEX</w:t>
      </w:r>
      <w:r w:rsidRPr="00127570">
        <w:t xml:space="preserve"> Holdings Philippines, October 10, 2014, accessed January 30, 2018, www.cemexholdingsphilippines.com/News20141010_2.aspx</w:t>
      </w:r>
      <w:r>
        <w:t>.</w:t>
      </w:r>
    </w:p>
  </w:endnote>
  <w:endnote w:id="51">
    <w:p w14:paraId="09EBB7EA" w14:textId="63510FE6" w:rsidR="003C1C68" w:rsidRPr="00127570" w:rsidRDefault="003C1C68" w:rsidP="00AA7E85">
      <w:pPr>
        <w:pStyle w:val="Footnote"/>
      </w:pPr>
      <w:r w:rsidRPr="00127570">
        <w:rPr>
          <w:rStyle w:val="EndnoteReference"/>
        </w:rPr>
        <w:endnoteRef/>
      </w:r>
      <w:r w:rsidRPr="00127570">
        <w:t xml:space="preserve"> </w:t>
      </w:r>
      <w:r>
        <w:t xml:space="preserve">CEMEX, </w:t>
      </w:r>
      <w:r w:rsidRPr="00BD18B7">
        <w:rPr>
          <w:i/>
        </w:rPr>
        <w:t>Integrated Strategy for a Better Future: 2016 Integrated Report</w:t>
      </w:r>
      <w:r>
        <w:t>,</w:t>
      </w:r>
      <w:r w:rsidRPr="00127570">
        <w:t xml:space="preserve"> 2016, accessed January 30, 2018, www.cemex.cz/Userfiles/dokumenty/vyrocni-zpravy/IntegratedReport2016.pdf</w:t>
      </w:r>
      <w:r>
        <w:t>.</w:t>
      </w:r>
      <w:r w:rsidRPr="00127570">
        <w:t xml:space="preserve"> </w:t>
      </w:r>
    </w:p>
  </w:endnote>
  <w:endnote w:id="52">
    <w:p w14:paraId="74267CA2" w14:textId="05280637" w:rsidR="003C1C68" w:rsidRPr="00127570" w:rsidRDefault="003C1C68" w:rsidP="00AA7E85">
      <w:pPr>
        <w:pStyle w:val="Footnote"/>
        <w:rPr>
          <w:lang w:val="en-GB"/>
        </w:rPr>
      </w:pPr>
      <w:r w:rsidRPr="00127570">
        <w:rPr>
          <w:rStyle w:val="EndnoteReference"/>
        </w:rPr>
        <w:endnoteRef/>
      </w:r>
      <w:r w:rsidRPr="00127570">
        <w:t xml:space="preserve"> “About Us</w:t>
      </w:r>
      <w:r>
        <w:t>,</w:t>
      </w:r>
      <w:r w:rsidRPr="00127570">
        <w:t xml:space="preserve">” Republic </w:t>
      </w:r>
      <w:r>
        <w:t>Cement</w:t>
      </w:r>
      <w:r w:rsidRPr="00127570">
        <w:t>, accessed January 30, 2018, www.republiccement.com/about-us/profile;</w:t>
      </w:r>
      <w:r w:rsidRPr="00127570">
        <w:rPr>
          <w:lang w:val="en-GB"/>
        </w:rPr>
        <w:t xml:space="preserve"> “</w:t>
      </w:r>
      <w:r w:rsidRPr="00127570">
        <w:t xml:space="preserve">Republic Cement </w:t>
      </w:r>
      <w:r>
        <w:t>Team Members Green the Coast,</w:t>
      </w:r>
      <w:r w:rsidRPr="00127570">
        <w:t xml:space="preserve">” </w:t>
      </w:r>
      <w:r w:rsidRPr="00BD18B7">
        <w:rPr>
          <w:i/>
        </w:rPr>
        <w:t>Aboitiz Eyes</w:t>
      </w:r>
      <w:r>
        <w:t xml:space="preserve">, 2016 Issue 4, </w:t>
      </w:r>
      <w:r w:rsidRPr="00127570">
        <w:t>accessed January 30, 2018, http://aboitizeyes.aboitiz.com/republic-cement-team-members-green-coast/</w:t>
      </w:r>
      <w:r>
        <w:t>.</w:t>
      </w:r>
    </w:p>
  </w:endnote>
  <w:endnote w:id="53">
    <w:p w14:paraId="1CF033FA" w14:textId="390E97E8" w:rsidR="003C1C68" w:rsidRPr="00127570" w:rsidRDefault="003C1C68" w:rsidP="00AA7E85">
      <w:pPr>
        <w:pStyle w:val="Footnote"/>
      </w:pPr>
      <w:r w:rsidRPr="00127570">
        <w:rPr>
          <w:rStyle w:val="EndnoteReference"/>
        </w:rPr>
        <w:endnoteRef/>
      </w:r>
      <w:r w:rsidRPr="00127570">
        <w:t xml:space="preserve"> “Ramon Ang</w:t>
      </w:r>
      <w:r>
        <w:t>,</w:t>
      </w:r>
      <w:r w:rsidRPr="00127570">
        <w:t xml:space="preserve">” </w:t>
      </w:r>
      <w:r w:rsidRPr="00BD18B7">
        <w:rPr>
          <w:i/>
        </w:rPr>
        <w:t>Forbes</w:t>
      </w:r>
      <w:r w:rsidRPr="00127570">
        <w:t>, accessed January 30, 2018, www.forbes.com/profile/ramon-ang/; Cabaug, op. cit.</w:t>
      </w:r>
    </w:p>
  </w:endnote>
  <w:endnote w:id="54">
    <w:p w14:paraId="4606C59A" w14:textId="0AECF43E" w:rsidR="003C1C68" w:rsidRPr="00127570" w:rsidRDefault="003C1C68" w:rsidP="00AA7E85">
      <w:pPr>
        <w:pStyle w:val="Footnote"/>
        <w:rPr>
          <w:lang w:val="en-GB"/>
        </w:rPr>
      </w:pPr>
      <w:r w:rsidRPr="00127570">
        <w:rPr>
          <w:rStyle w:val="EndnoteReference"/>
        </w:rPr>
        <w:endnoteRef/>
      </w:r>
      <w:r w:rsidRPr="00127570">
        <w:t xml:space="preserve"> “Our Company</w:t>
      </w:r>
      <w:r>
        <w:t>,</w:t>
      </w:r>
      <w:r w:rsidRPr="00127570">
        <w:t>” San Miguel Corporation, accessed January 30, 2018, www.sanmiguel.com.ph/page/our-company-inner.</w:t>
      </w:r>
    </w:p>
  </w:endnote>
  <w:endnote w:id="55">
    <w:p w14:paraId="6A94DDAB" w14:textId="3F62B3AF" w:rsidR="003C1C68" w:rsidRPr="00127570" w:rsidRDefault="003C1C68" w:rsidP="00DD01AC">
      <w:pPr>
        <w:pStyle w:val="Footnote"/>
      </w:pPr>
      <w:r w:rsidRPr="00127570">
        <w:rPr>
          <w:rStyle w:val="EndnoteReference"/>
        </w:rPr>
        <w:endnoteRef/>
      </w:r>
      <w:r w:rsidRPr="00127570">
        <w:t xml:space="preserve"> “Eagle Cement Corporation</w:t>
      </w:r>
      <w:r>
        <w:t>,</w:t>
      </w:r>
      <w:r w:rsidRPr="00127570">
        <w:t>” PSE Edge, accessed January 30, 2018, http://edge.pse.com.ph/companyInformation/</w:t>
      </w:r>
    </w:p>
    <w:p w14:paraId="1E3EF909" w14:textId="6C08DEE8" w:rsidR="003C1C68" w:rsidRPr="00127570" w:rsidRDefault="003C1C68">
      <w:pPr>
        <w:pStyle w:val="Footnote"/>
      </w:pPr>
      <w:r w:rsidRPr="00127570">
        <w:t>form.do?cmpy_id=667.</w:t>
      </w:r>
    </w:p>
  </w:endnote>
  <w:endnote w:id="56">
    <w:p w14:paraId="524FA7A8" w14:textId="1CC52CA6" w:rsidR="003C1C68" w:rsidRPr="00C25DCD" w:rsidRDefault="003C1C68">
      <w:pPr>
        <w:pStyle w:val="Footnote"/>
      </w:pPr>
      <w:r w:rsidRPr="00127570">
        <w:rPr>
          <w:rStyle w:val="EndnoteReference"/>
        </w:rPr>
        <w:endnoteRef/>
      </w:r>
      <w:r w:rsidRPr="00127570">
        <w:t xml:space="preserve"> </w:t>
      </w:r>
      <w:r w:rsidRPr="00DD01AC">
        <w:t xml:space="preserve">Richmond Mercurio, “Henry Sy Jr. </w:t>
      </w:r>
      <w:r>
        <w:t>V</w:t>
      </w:r>
      <w:r w:rsidRPr="00DD01AC">
        <w:t xml:space="preserve">entures </w:t>
      </w:r>
      <w:r w:rsidRPr="00463F59">
        <w:t xml:space="preserve">into </w:t>
      </w:r>
      <w:r>
        <w:t>C</w:t>
      </w:r>
      <w:r w:rsidRPr="00463F59">
        <w:t xml:space="preserve">ement </w:t>
      </w:r>
      <w:r>
        <w:t>B</w:t>
      </w:r>
      <w:r w:rsidRPr="00463F59">
        <w:t>usiness</w:t>
      </w:r>
      <w:r>
        <w:t>,</w:t>
      </w:r>
      <w:r w:rsidRPr="00463F59">
        <w:t xml:space="preserve">” </w:t>
      </w:r>
      <w:r w:rsidRPr="00735320">
        <w:rPr>
          <w:i/>
        </w:rPr>
        <w:t>The Philippine Star</w:t>
      </w:r>
      <w:r w:rsidRPr="00DD01AC">
        <w:t>, January 12, 2018, accessed</w:t>
      </w:r>
      <w:r w:rsidRPr="00463F59">
        <w:t xml:space="preserve"> </w:t>
      </w:r>
      <w:r w:rsidRPr="00C25DCD">
        <w:t>January 22, 2018, http://webcache.googleusercontent.com/search?q=cache:Nux4ASxiLUYJ:old.philstar.com:8080/business/</w:t>
      </w:r>
    </w:p>
    <w:p w14:paraId="70E49EBD" w14:textId="32045574" w:rsidR="003C1C68" w:rsidRPr="00127570" w:rsidRDefault="003C1C68">
      <w:pPr>
        <w:pStyle w:val="Footnote"/>
      </w:pPr>
      <w:r w:rsidRPr="00C25DCD">
        <w:t>2018/01/12/1776833/henry-sy-jr.-ventures-cement-business+&amp;cd=13&amp;hl=en&amp;ct=clnk&amp;gl=ph.</w:t>
      </w:r>
    </w:p>
  </w:endnote>
  <w:endnote w:id="57">
    <w:p w14:paraId="0DAABC03" w14:textId="3EF51D53" w:rsidR="003C1C68" w:rsidRPr="00127570" w:rsidRDefault="003C1C68" w:rsidP="00AA7E85">
      <w:pPr>
        <w:pStyle w:val="Footnote"/>
      </w:pPr>
      <w:r w:rsidRPr="00127570">
        <w:rPr>
          <w:rStyle w:val="EndnoteReference"/>
        </w:rPr>
        <w:endnoteRef/>
      </w:r>
      <w:r w:rsidRPr="00127570">
        <w:t xml:space="preserve"> James Humarang, op. cit.</w:t>
      </w:r>
    </w:p>
  </w:endnote>
  <w:endnote w:id="58">
    <w:p w14:paraId="69FB8299" w14:textId="27F3527F" w:rsidR="003C1C68" w:rsidRPr="00A940FD" w:rsidRDefault="003C1C68" w:rsidP="00AA7E85">
      <w:pPr>
        <w:pStyle w:val="Footnote"/>
      </w:pPr>
      <w:r w:rsidRPr="00127570">
        <w:rPr>
          <w:rStyle w:val="EndnoteReference"/>
        </w:rPr>
        <w:endnoteRef/>
      </w:r>
      <w:r w:rsidRPr="00127570">
        <w:t xml:space="preserve"> “Henry Sy Jr.’s Big Boss Cement </w:t>
      </w:r>
      <w:r>
        <w:t>E</w:t>
      </w:r>
      <w:r w:rsidRPr="00127570">
        <w:t xml:space="preserve">yes P4-B </w:t>
      </w:r>
      <w:r>
        <w:t>I</w:t>
      </w:r>
      <w:r w:rsidRPr="00127570">
        <w:t xml:space="preserve">nvestment for </w:t>
      </w:r>
      <w:r>
        <w:t>E</w:t>
      </w:r>
      <w:r w:rsidRPr="00127570">
        <w:t>xpansion</w:t>
      </w:r>
      <w:r>
        <w:t>,</w:t>
      </w:r>
      <w:r w:rsidRPr="00127570">
        <w:t>” GMA News Online, January 20, 2018, accessed January 22, 2018, www.gmanetwork.com/news/money/companies/640380/henry-sy-jr-s-big-boss-cement-eyes-p4-b-investment-for-expansion/story/</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F5E1B" w14:textId="77777777" w:rsidR="001E0016" w:rsidRDefault="001E0016" w:rsidP="00D75295">
      <w:r>
        <w:separator/>
      </w:r>
    </w:p>
  </w:footnote>
  <w:footnote w:type="continuationSeparator" w:id="0">
    <w:p w14:paraId="132C3AD8" w14:textId="77777777" w:rsidR="001E0016" w:rsidRDefault="001E001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8E2F1B2" w:rsidR="00DA783B" w:rsidRPr="00C92CC4" w:rsidRDefault="00DA783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432AB">
      <w:rPr>
        <w:rFonts w:ascii="Arial" w:hAnsi="Arial"/>
        <w:b/>
        <w:noProof/>
      </w:rPr>
      <w:t>10</w:t>
    </w:r>
    <w:r>
      <w:rPr>
        <w:rFonts w:ascii="Arial" w:hAnsi="Arial"/>
        <w:b/>
      </w:rPr>
      <w:fldChar w:fldCharType="end"/>
    </w:r>
    <w:r>
      <w:rPr>
        <w:rFonts w:ascii="Arial" w:hAnsi="Arial"/>
        <w:b/>
      </w:rPr>
      <w:tab/>
    </w:r>
    <w:r w:rsidR="006767CB">
      <w:rPr>
        <w:rFonts w:ascii="Arial" w:hAnsi="Arial"/>
        <w:b/>
      </w:rPr>
      <w:t>9B18A055</w:t>
    </w:r>
  </w:p>
  <w:p w14:paraId="2B53C0A0" w14:textId="77777777" w:rsidR="00DA783B" w:rsidRDefault="00DA783B" w:rsidP="00D13667">
    <w:pPr>
      <w:pStyle w:val="Header"/>
      <w:tabs>
        <w:tab w:val="clear" w:pos="4680"/>
      </w:tabs>
      <w:rPr>
        <w:sz w:val="18"/>
        <w:szCs w:val="18"/>
      </w:rPr>
    </w:pPr>
  </w:p>
  <w:p w14:paraId="47119730" w14:textId="77777777" w:rsidR="00DA783B" w:rsidRPr="00C92CC4" w:rsidRDefault="00DA783B"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165"/>
    <w:rsid w:val="00025DC7"/>
    <w:rsid w:val="00035F09"/>
    <w:rsid w:val="000419AB"/>
    <w:rsid w:val="00044ECC"/>
    <w:rsid w:val="00051E3E"/>
    <w:rsid w:val="000531D3"/>
    <w:rsid w:val="0005646B"/>
    <w:rsid w:val="0006106B"/>
    <w:rsid w:val="0008102D"/>
    <w:rsid w:val="00086B26"/>
    <w:rsid w:val="00094C0E"/>
    <w:rsid w:val="000A146D"/>
    <w:rsid w:val="000A1ECE"/>
    <w:rsid w:val="000A53D1"/>
    <w:rsid w:val="000B1D1B"/>
    <w:rsid w:val="000D7091"/>
    <w:rsid w:val="000F0C22"/>
    <w:rsid w:val="000F381F"/>
    <w:rsid w:val="000F6B09"/>
    <w:rsid w:val="000F6FDC"/>
    <w:rsid w:val="00104567"/>
    <w:rsid w:val="00104916"/>
    <w:rsid w:val="00104AA7"/>
    <w:rsid w:val="0012732D"/>
    <w:rsid w:val="00127570"/>
    <w:rsid w:val="00132962"/>
    <w:rsid w:val="00143F25"/>
    <w:rsid w:val="00152682"/>
    <w:rsid w:val="00154FC9"/>
    <w:rsid w:val="00156AE0"/>
    <w:rsid w:val="00157994"/>
    <w:rsid w:val="00177DA4"/>
    <w:rsid w:val="0018501C"/>
    <w:rsid w:val="0019241A"/>
    <w:rsid w:val="00192A18"/>
    <w:rsid w:val="001A22D1"/>
    <w:rsid w:val="001A752D"/>
    <w:rsid w:val="001A757E"/>
    <w:rsid w:val="001B5032"/>
    <w:rsid w:val="001C7777"/>
    <w:rsid w:val="001D0909"/>
    <w:rsid w:val="001D344B"/>
    <w:rsid w:val="001E0016"/>
    <w:rsid w:val="001E364F"/>
    <w:rsid w:val="001F4222"/>
    <w:rsid w:val="00203AA1"/>
    <w:rsid w:val="00213E98"/>
    <w:rsid w:val="00213FC5"/>
    <w:rsid w:val="00216CCF"/>
    <w:rsid w:val="0023081A"/>
    <w:rsid w:val="00243632"/>
    <w:rsid w:val="002648E9"/>
    <w:rsid w:val="00265FA8"/>
    <w:rsid w:val="00276FF8"/>
    <w:rsid w:val="002F3DCF"/>
    <w:rsid w:val="002F460C"/>
    <w:rsid w:val="002F48D6"/>
    <w:rsid w:val="00317391"/>
    <w:rsid w:val="00320864"/>
    <w:rsid w:val="00320E87"/>
    <w:rsid w:val="00320FCF"/>
    <w:rsid w:val="00326216"/>
    <w:rsid w:val="00336580"/>
    <w:rsid w:val="0034304D"/>
    <w:rsid w:val="0035266F"/>
    <w:rsid w:val="00354899"/>
    <w:rsid w:val="00355FD6"/>
    <w:rsid w:val="00364A5C"/>
    <w:rsid w:val="00373FB1"/>
    <w:rsid w:val="00383388"/>
    <w:rsid w:val="003941AA"/>
    <w:rsid w:val="00396C76"/>
    <w:rsid w:val="003A6695"/>
    <w:rsid w:val="003B30D8"/>
    <w:rsid w:val="003B7EF2"/>
    <w:rsid w:val="003C1C68"/>
    <w:rsid w:val="003C3FA4"/>
    <w:rsid w:val="003D0BA1"/>
    <w:rsid w:val="003E1640"/>
    <w:rsid w:val="003F2B0C"/>
    <w:rsid w:val="003F7484"/>
    <w:rsid w:val="003F74D0"/>
    <w:rsid w:val="004105B2"/>
    <w:rsid w:val="004124C0"/>
    <w:rsid w:val="00412900"/>
    <w:rsid w:val="004221E4"/>
    <w:rsid w:val="00426EB4"/>
    <w:rsid w:val="004273F8"/>
    <w:rsid w:val="004355A3"/>
    <w:rsid w:val="00446546"/>
    <w:rsid w:val="00452769"/>
    <w:rsid w:val="00454FA7"/>
    <w:rsid w:val="00463F59"/>
    <w:rsid w:val="00465348"/>
    <w:rsid w:val="00465E28"/>
    <w:rsid w:val="004912BA"/>
    <w:rsid w:val="004979A5"/>
    <w:rsid w:val="004B1CCB"/>
    <w:rsid w:val="004B632F"/>
    <w:rsid w:val="004D3FB1"/>
    <w:rsid w:val="004D6F21"/>
    <w:rsid w:val="004D73A5"/>
    <w:rsid w:val="005160F1"/>
    <w:rsid w:val="00523AD0"/>
    <w:rsid w:val="00524F2F"/>
    <w:rsid w:val="00527196"/>
    <w:rsid w:val="00527E5C"/>
    <w:rsid w:val="00532CF5"/>
    <w:rsid w:val="005432AB"/>
    <w:rsid w:val="005528CB"/>
    <w:rsid w:val="00553F50"/>
    <w:rsid w:val="00557EBC"/>
    <w:rsid w:val="00562F29"/>
    <w:rsid w:val="00566771"/>
    <w:rsid w:val="00581E2E"/>
    <w:rsid w:val="00584F15"/>
    <w:rsid w:val="0059514B"/>
    <w:rsid w:val="005A1B0F"/>
    <w:rsid w:val="005A40FF"/>
    <w:rsid w:val="005C6629"/>
    <w:rsid w:val="005D22D4"/>
    <w:rsid w:val="005E0D9F"/>
    <w:rsid w:val="005E6EFA"/>
    <w:rsid w:val="005F2DBC"/>
    <w:rsid w:val="006163F7"/>
    <w:rsid w:val="00627C63"/>
    <w:rsid w:val="0063350B"/>
    <w:rsid w:val="00652606"/>
    <w:rsid w:val="00670978"/>
    <w:rsid w:val="006767CB"/>
    <w:rsid w:val="006946EE"/>
    <w:rsid w:val="00697EE7"/>
    <w:rsid w:val="006A58A9"/>
    <w:rsid w:val="006A606D"/>
    <w:rsid w:val="006C0371"/>
    <w:rsid w:val="006C08B6"/>
    <w:rsid w:val="006C0B1A"/>
    <w:rsid w:val="006C6065"/>
    <w:rsid w:val="006C7F9F"/>
    <w:rsid w:val="006E2F6D"/>
    <w:rsid w:val="006E58F6"/>
    <w:rsid w:val="006E77E1"/>
    <w:rsid w:val="006F131D"/>
    <w:rsid w:val="007067D9"/>
    <w:rsid w:val="00711642"/>
    <w:rsid w:val="00735320"/>
    <w:rsid w:val="007507C6"/>
    <w:rsid w:val="00751E0B"/>
    <w:rsid w:val="00752BCD"/>
    <w:rsid w:val="00766DA1"/>
    <w:rsid w:val="00780D94"/>
    <w:rsid w:val="00783BC4"/>
    <w:rsid w:val="007866A6"/>
    <w:rsid w:val="007A130D"/>
    <w:rsid w:val="007C222A"/>
    <w:rsid w:val="007D1A2D"/>
    <w:rsid w:val="007D4102"/>
    <w:rsid w:val="007E54A7"/>
    <w:rsid w:val="007F25D8"/>
    <w:rsid w:val="007F43B7"/>
    <w:rsid w:val="007F5D87"/>
    <w:rsid w:val="00821FFC"/>
    <w:rsid w:val="008226EA"/>
    <w:rsid w:val="008271CA"/>
    <w:rsid w:val="008467D5"/>
    <w:rsid w:val="00851DFC"/>
    <w:rsid w:val="00871C3B"/>
    <w:rsid w:val="008A4DC4"/>
    <w:rsid w:val="008B438C"/>
    <w:rsid w:val="008D06CA"/>
    <w:rsid w:val="008D3A46"/>
    <w:rsid w:val="008D7902"/>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B11CF"/>
    <w:rsid w:val="009C2AA8"/>
    <w:rsid w:val="009C76D5"/>
    <w:rsid w:val="009F7AA4"/>
    <w:rsid w:val="00A10AD7"/>
    <w:rsid w:val="00A559DB"/>
    <w:rsid w:val="00A569EA"/>
    <w:rsid w:val="00A676A0"/>
    <w:rsid w:val="00A73550"/>
    <w:rsid w:val="00AA7E85"/>
    <w:rsid w:val="00AD59C8"/>
    <w:rsid w:val="00AE4FF3"/>
    <w:rsid w:val="00AF35FC"/>
    <w:rsid w:val="00AF5556"/>
    <w:rsid w:val="00B03639"/>
    <w:rsid w:val="00B0652A"/>
    <w:rsid w:val="00B15802"/>
    <w:rsid w:val="00B40937"/>
    <w:rsid w:val="00B423EF"/>
    <w:rsid w:val="00B44BAA"/>
    <w:rsid w:val="00B453DE"/>
    <w:rsid w:val="00B51995"/>
    <w:rsid w:val="00B72597"/>
    <w:rsid w:val="00B80423"/>
    <w:rsid w:val="00B901F9"/>
    <w:rsid w:val="00BC32E4"/>
    <w:rsid w:val="00BC4D98"/>
    <w:rsid w:val="00BD18B7"/>
    <w:rsid w:val="00BD6EFB"/>
    <w:rsid w:val="00BF5EAB"/>
    <w:rsid w:val="00C02410"/>
    <w:rsid w:val="00C1584D"/>
    <w:rsid w:val="00C15BE2"/>
    <w:rsid w:val="00C174CE"/>
    <w:rsid w:val="00C25DCD"/>
    <w:rsid w:val="00C3447F"/>
    <w:rsid w:val="00C6424D"/>
    <w:rsid w:val="00C67102"/>
    <w:rsid w:val="00C81491"/>
    <w:rsid w:val="00C81676"/>
    <w:rsid w:val="00C85C5D"/>
    <w:rsid w:val="00C92CC4"/>
    <w:rsid w:val="00CA0AFB"/>
    <w:rsid w:val="00CA2CE1"/>
    <w:rsid w:val="00CA3976"/>
    <w:rsid w:val="00CA50E3"/>
    <w:rsid w:val="00CA757B"/>
    <w:rsid w:val="00CC1787"/>
    <w:rsid w:val="00CC182C"/>
    <w:rsid w:val="00CC34E4"/>
    <w:rsid w:val="00CC5EE9"/>
    <w:rsid w:val="00CD0824"/>
    <w:rsid w:val="00CD2908"/>
    <w:rsid w:val="00D03A82"/>
    <w:rsid w:val="00D05EFE"/>
    <w:rsid w:val="00D13667"/>
    <w:rsid w:val="00D15344"/>
    <w:rsid w:val="00D23F57"/>
    <w:rsid w:val="00D31BEC"/>
    <w:rsid w:val="00D63150"/>
    <w:rsid w:val="00D6326E"/>
    <w:rsid w:val="00D636BA"/>
    <w:rsid w:val="00D64A32"/>
    <w:rsid w:val="00D64EFC"/>
    <w:rsid w:val="00D75295"/>
    <w:rsid w:val="00D76CE9"/>
    <w:rsid w:val="00D97F12"/>
    <w:rsid w:val="00DA6095"/>
    <w:rsid w:val="00DA783B"/>
    <w:rsid w:val="00DB42E7"/>
    <w:rsid w:val="00DC09D8"/>
    <w:rsid w:val="00DD01AC"/>
    <w:rsid w:val="00DE01A6"/>
    <w:rsid w:val="00DE4997"/>
    <w:rsid w:val="00DE7A98"/>
    <w:rsid w:val="00DF32C2"/>
    <w:rsid w:val="00E0571F"/>
    <w:rsid w:val="00E32F26"/>
    <w:rsid w:val="00E471A7"/>
    <w:rsid w:val="00E635CF"/>
    <w:rsid w:val="00E868D8"/>
    <w:rsid w:val="00E95C65"/>
    <w:rsid w:val="00EA745E"/>
    <w:rsid w:val="00EB3562"/>
    <w:rsid w:val="00EB5D6B"/>
    <w:rsid w:val="00EC6E0A"/>
    <w:rsid w:val="00ED4E18"/>
    <w:rsid w:val="00ED7922"/>
    <w:rsid w:val="00EE02C4"/>
    <w:rsid w:val="00EE1F37"/>
    <w:rsid w:val="00EE5715"/>
    <w:rsid w:val="00EE57AD"/>
    <w:rsid w:val="00EF7FB9"/>
    <w:rsid w:val="00F00A6C"/>
    <w:rsid w:val="00F0159C"/>
    <w:rsid w:val="00F105B7"/>
    <w:rsid w:val="00F13220"/>
    <w:rsid w:val="00F17A21"/>
    <w:rsid w:val="00F32CDB"/>
    <w:rsid w:val="00F37B27"/>
    <w:rsid w:val="00F46556"/>
    <w:rsid w:val="00F50E91"/>
    <w:rsid w:val="00F57D29"/>
    <w:rsid w:val="00F60786"/>
    <w:rsid w:val="00F903C0"/>
    <w:rsid w:val="00F91BC7"/>
    <w:rsid w:val="00F9224C"/>
    <w:rsid w:val="00F96201"/>
    <w:rsid w:val="00FD0B18"/>
    <w:rsid w:val="00FD2FAD"/>
    <w:rsid w:val="00FD62E6"/>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81665598-8701-49AD-A75C-3EA2FAA2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p2">
    <w:name w:val="p2"/>
    <w:basedOn w:val="Normal"/>
    <w:rsid w:val="00320FC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gmanetwork.com/news/money/companies/639384/henry-sy-jr-goes-into-cement-business/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58840-F91A-41E9-B626-097551E27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3732</Words>
  <Characters>21277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2015-03-04T20:34:00Z</cp:lastPrinted>
  <dcterms:created xsi:type="dcterms:W3CDTF">2018-08-23T19:58:00Z</dcterms:created>
  <dcterms:modified xsi:type="dcterms:W3CDTF">2018-08-30T18:30:00Z</dcterms:modified>
</cp:coreProperties>
</file>