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43BC7" w14:textId="5275AD4A" w:rsidR="007D7BA3" w:rsidRPr="00FD454B" w:rsidRDefault="00FD454B" w:rsidP="008467D5">
      <w:pPr>
        <w:pBdr>
          <w:bottom w:val="single" w:sz="18" w:space="1" w:color="auto"/>
        </w:pBdr>
        <w:tabs>
          <w:tab w:val="left" w:pos="-1440"/>
          <w:tab w:val="left" w:pos="-720"/>
          <w:tab w:val="left" w:pos="1"/>
        </w:tabs>
        <w:jc w:val="both"/>
        <w:rPr>
          <w:rFonts w:ascii="Arial" w:hAnsi="Arial"/>
          <w:b/>
          <w:noProof/>
          <w:sz w:val="24"/>
        </w:rPr>
      </w:pPr>
      <w:r w:rsidRPr="00FD454B">
        <w:rPr>
          <w:rFonts w:ascii="Arial" w:hAnsi="Arial"/>
          <w:b/>
          <w:noProof/>
          <w:sz w:val="24"/>
        </w:rPr>
        <w:drawing>
          <wp:inline distT="0" distB="0" distL="0" distR="0" wp14:anchorId="5FDC391A" wp14:editId="1E87954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3C771B3" w14:textId="3100623F" w:rsidR="00D75295" w:rsidRPr="000343FB" w:rsidRDefault="00FD454B" w:rsidP="00F105B7">
      <w:pPr>
        <w:pStyle w:val="ProductNumber"/>
        <w:rPr>
          <w:lang w:val="en-GB"/>
        </w:rPr>
      </w:pPr>
      <w:r>
        <w:rPr>
          <w:lang w:val="en-GB"/>
        </w:rPr>
        <w:t>9B18A066</w:t>
      </w:r>
    </w:p>
    <w:p w14:paraId="4561E134" w14:textId="77777777" w:rsidR="00D75295" w:rsidRPr="000343FB" w:rsidRDefault="00D75295" w:rsidP="00D75295">
      <w:pPr>
        <w:jc w:val="right"/>
        <w:rPr>
          <w:rFonts w:ascii="Arial" w:hAnsi="Arial"/>
          <w:b/>
          <w:sz w:val="28"/>
          <w:szCs w:val="28"/>
          <w:lang w:val="en-GB"/>
        </w:rPr>
      </w:pPr>
    </w:p>
    <w:p w14:paraId="5709676C" w14:textId="77777777" w:rsidR="00013360" w:rsidRPr="000343FB" w:rsidRDefault="00013360" w:rsidP="00D75295">
      <w:pPr>
        <w:jc w:val="right"/>
        <w:rPr>
          <w:rFonts w:ascii="Arial" w:hAnsi="Arial"/>
          <w:b/>
          <w:sz w:val="28"/>
          <w:szCs w:val="28"/>
          <w:lang w:val="en-GB"/>
        </w:rPr>
      </w:pPr>
    </w:p>
    <w:p w14:paraId="1ED18AC7" w14:textId="77777777" w:rsidR="00013360" w:rsidRPr="000343FB" w:rsidRDefault="00146BF2" w:rsidP="00013360">
      <w:pPr>
        <w:pStyle w:val="CaseTitle"/>
        <w:spacing w:after="0" w:line="240" w:lineRule="auto"/>
        <w:rPr>
          <w:sz w:val="20"/>
          <w:szCs w:val="20"/>
          <w:lang w:val="en-GB"/>
        </w:rPr>
      </w:pPr>
      <w:r w:rsidRPr="000343FB">
        <w:rPr>
          <w:rFonts w:eastAsia="Times New Roman"/>
          <w:szCs w:val="20"/>
          <w:lang w:val="en-GB"/>
        </w:rPr>
        <w:t>TIKTAULI DE CORPS: A Branding dilemma</w:t>
      </w:r>
    </w:p>
    <w:p w14:paraId="67C5C763" w14:textId="77777777" w:rsidR="00CA3976" w:rsidRPr="000343FB" w:rsidRDefault="00CA3976" w:rsidP="00013360">
      <w:pPr>
        <w:pStyle w:val="CaseTitle"/>
        <w:spacing w:after="0" w:line="240" w:lineRule="auto"/>
        <w:rPr>
          <w:sz w:val="20"/>
          <w:szCs w:val="20"/>
          <w:lang w:val="en-GB"/>
        </w:rPr>
      </w:pPr>
    </w:p>
    <w:p w14:paraId="297F0BAA" w14:textId="77777777" w:rsidR="00013360" w:rsidRPr="000343FB" w:rsidRDefault="00013360" w:rsidP="00013360">
      <w:pPr>
        <w:pStyle w:val="CaseTitle"/>
        <w:spacing w:after="0" w:line="240" w:lineRule="auto"/>
        <w:rPr>
          <w:sz w:val="20"/>
          <w:szCs w:val="20"/>
          <w:lang w:val="en-GB"/>
        </w:rPr>
      </w:pPr>
    </w:p>
    <w:p w14:paraId="09EF456A" w14:textId="77777777" w:rsidR="00627C63" w:rsidRPr="000343FB" w:rsidRDefault="00270B29" w:rsidP="00627C63">
      <w:pPr>
        <w:pStyle w:val="StyleCopyrightStatementAfter0ptBottomSinglesolidline1"/>
        <w:rPr>
          <w:lang w:val="en-GB"/>
        </w:rPr>
      </w:pPr>
      <w:hyperlink r:id="rId9" w:history="1">
        <w:r w:rsidR="00146BF2" w:rsidRPr="000343FB">
          <w:rPr>
            <w:rStyle w:val="Hyperlink"/>
            <w:color w:val="auto"/>
            <w:u w:val="none"/>
            <w:lang w:val="en-GB"/>
          </w:rPr>
          <w:t>Jones Mathew</w:t>
        </w:r>
      </w:hyperlink>
      <w:r w:rsidR="00146BF2" w:rsidRPr="000343FB">
        <w:rPr>
          <w:color w:val="auto"/>
          <w:lang w:val="en-GB"/>
        </w:rPr>
        <w:t xml:space="preserve">, </w:t>
      </w:r>
      <w:hyperlink r:id="rId10" w:history="1">
        <w:proofErr w:type="spellStart"/>
        <w:r w:rsidR="00146BF2" w:rsidRPr="000343FB">
          <w:rPr>
            <w:rStyle w:val="Hyperlink"/>
            <w:color w:val="auto"/>
            <w:u w:val="none"/>
            <w:lang w:val="en-GB"/>
          </w:rPr>
          <w:t>Banasree</w:t>
        </w:r>
        <w:proofErr w:type="spellEnd"/>
        <w:r w:rsidR="00146BF2" w:rsidRPr="000343FB">
          <w:rPr>
            <w:rStyle w:val="Hyperlink"/>
            <w:color w:val="auto"/>
            <w:u w:val="none"/>
            <w:lang w:val="en-GB"/>
          </w:rPr>
          <w:t xml:space="preserve"> </w:t>
        </w:r>
        <w:proofErr w:type="spellStart"/>
        <w:r w:rsidR="00146BF2" w:rsidRPr="000343FB">
          <w:rPr>
            <w:rStyle w:val="Hyperlink"/>
            <w:color w:val="auto"/>
            <w:u w:val="none"/>
            <w:lang w:val="en-GB"/>
          </w:rPr>
          <w:t>Dey</w:t>
        </w:r>
        <w:proofErr w:type="spellEnd"/>
      </w:hyperlink>
      <w:r w:rsidR="00146BF2" w:rsidRPr="000343FB">
        <w:rPr>
          <w:color w:val="auto"/>
          <w:lang w:val="en-GB"/>
        </w:rPr>
        <w:t xml:space="preserve">, and </w:t>
      </w:r>
      <w:hyperlink r:id="rId11" w:history="1">
        <w:r w:rsidR="00146BF2" w:rsidRPr="000343FB">
          <w:rPr>
            <w:rStyle w:val="Hyperlink"/>
            <w:color w:val="auto"/>
            <w:u w:val="none"/>
            <w:lang w:val="en-GB"/>
          </w:rPr>
          <w:t xml:space="preserve">Sandeep </w:t>
        </w:r>
        <w:proofErr w:type="spellStart"/>
        <w:r w:rsidR="00146BF2" w:rsidRPr="000343FB">
          <w:rPr>
            <w:rStyle w:val="Hyperlink"/>
            <w:color w:val="auto"/>
            <w:u w:val="none"/>
            <w:lang w:val="en-GB"/>
          </w:rPr>
          <w:t>Puri</w:t>
        </w:r>
        <w:proofErr w:type="spellEnd"/>
      </w:hyperlink>
      <w:r w:rsidR="00146BF2" w:rsidRPr="000343FB">
        <w:rPr>
          <w:color w:val="auto"/>
          <w:lang w:val="en-GB"/>
        </w:rPr>
        <w:t xml:space="preserve"> </w:t>
      </w:r>
      <w:r w:rsidR="004B632F" w:rsidRPr="000343FB">
        <w:rPr>
          <w:color w:val="auto"/>
          <w:lang w:val="en-GB"/>
        </w:rPr>
        <w:t>wrote</w:t>
      </w:r>
      <w:r w:rsidR="004B632F" w:rsidRPr="000343FB">
        <w:rPr>
          <w:lang w:val="en-GB"/>
        </w:rPr>
        <w:t xml:space="preserve"> this </w:t>
      </w:r>
      <w:r w:rsidR="00152682" w:rsidRPr="000343FB">
        <w:rPr>
          <w:lang w:val="en-GB"/>
        </w:rPr>
        <w:t>case</w:t>
      </w:r>
      <w:r w:rsidR="004B632F" w:rsidRPr="000343FB">
        <w:rPr>
          <w:lang w:val="en-GB"/>
        </w:rPr>
        <w:t xml:space="preserve"> </w:t>
      </w:r>
      <w:r w:rsidR="00152682" w:rsidRPr="000343FB">
        <w:rPr>
          <w:lang w:val="en-GB"/>
        </w:rPr>
        <w:t>solely to provide material for class discussion. The</w:t>
      </w:r>
      <w:r w:rsidR="001C7777" w:rsidRPr="000343FB">
        <w:rPr>
          <w:lang w:val="en-GB"/>
        </w:rPr>
        <w:t xml:space="preserve"> author</w:t>
      </w:r>
      <w:r w:rsidR="001A22D1" w:rsidRPr="000343FB">
        <w:rPr>
          <w:lang w:val="en-GB"/>
        </w:rPr>
        <w:t>s</w:t>
      </w:r>
      <w:r w:rsidR="00152682" w:rsidRPr="000343FB">
        <w:rPr>
          <w:lang w:val="en-GB"/>
        </w:rPr>
        <w:t xml:space="preserve"> do not intend to illustrate either effective or ineffective handling of a managerial situation. The author</w:t>
      </w:r>
      <w:r w:rsidR="001A22D1" w:rsidRPr="000343FB">
        <w:rPr>
          <w:lang w:val="en-GB"/>
        </w:rPr>
        <w:t>s</w:t>
      </w:r>
      <w:r w:rsidR="00152682" w:rsidRPr="000343FB">
        <w:rPr>
          <w:lang w:val="en-GB"/>
        </w:rPr>
        <w:t xml:space="preserve"> may have disguised certain names and other identifying information to protect confidentiality.</w:t>
      </w:r>
    </w:p>
    <w:p w14:paraId="3B46A004" w14:textId="77777777" w:rsidR="00751E0B" w:rsidRDefault="00751E0B" w:rsidP="00751E0B">
      <w:pPr>
        <w:pStyle w:val="StyleCopyrightStatementAfter0ptBottomSinglesolidline1"/>
        <w:rPr>
          <w:lang w:val="en-GB"/>
        </w:rPr>
      </w:pPr>
    </w:p>
    <w:p w14:paraId="76C5C7A7" w14:textId="77777777" w:rsidR="00FD454B" w:rsidRPr="00E23AB7" w:rsidRDefault="00FD454B"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46D29D08" w14:textId="6BF14928" w:rsidR="007D7BA3" w:rsidRDefault="007D7BA3" w:rsidP="00751E0B">
      <w:pPr>
        <w:pStyle w:val="StyleCopyrightStatementAfter0ptBottomSinglesolidline1"/>
        <w:rPr>
          <w:lang w:val="en-GB"/>
        </w:rPr>
      </w:pPr>
    </w:p>
    <w:p w14:paraId="26119241" w14:textId="28B30BC2" w:rsidR="00751E0B" w:rsidRPr="000343FB" w:rsidRDefault="00FD454B"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0343FB">
        <w:rPr>
          <w:rFonts w:cs="Arial"/>
          <w:szCs w:val="16"/>
          <w:lang w:val="en-GB"/>
        </w:rPr>
        <w:tab/>
      </w:r>
      <w:r w:rsidR="00751E0B" w:rsidRPr="000343FB">
        <w:rPr>
          <w:lang w:val="en-GB"/>
        </w:rPr>
        <w:t xml:space="preserve">Version: </w:t>
      </w:r>
      <w:r w:rsidR="003D0BA1" w:rsidRPr="000343FB">
        <w:rPr>
          <w:lang w:val="en-GB"/>
        </w:rPr>
        <w:t>20</w:t>
      </w:r>
      <w:r w:rsidR="00146BF2" w:rsidRPr="000343FB">
        <w:rPr>
          <w:lang w:val="en-GB"/>
        </w:rPr>
        <w:t>18</w:t>
      </w:r>
      <w:r w:rsidR="001C7777" w:rsidRPr="000343FB">
        <w:rPr>
          <w:lang w:val="en-GB"/>
        </w:rPr>
        <w:t>-</w:t>
      </w:r>
      <w:r w:rsidR="00146BF2" w:rsidRPr="000343FB">
        <w:rPr>
          <w:lang w:val="en-GB"/>
        </w:rPr>
        <w:t>1</w:t>
      </w:r>
      <w:r w:rsidR="00CA04B8">
        <w:rPr>
          <w:lang w:val="en-GB"/>
        </w:rPr>
        <w:t>2</w:t>
      </w:r>
      <w:r w:rsidR="00751E0B" w:rsidRPr="000343FB">
        <w:rPr>
          <w:lang w:val="en-GB"/>
        </w:rPr>
        <w:t>-</w:t>
      </w:r>
      <w:r w:rsidR="00CA04B8">
        <w:rPr>
          <w:lang w:val="en-GB"/>
        </w:rPr>
        <w:t>07</w:t>
      </w:r>
    </w:p>
    <w:p w14:paraId="0B248C53" w14:textId="77777777" w:rsidR="00751E0B" w:rsidRPr="000343FB" w:rsidRDefault="00751E0B" w:rsidP="00751E0B">
      <w:pPr>
        <w:pStyle w:val="StyleCopyrightStatementAfter0ptBottomSinglesolidline1"/>
        <w:rPr>
          <w:rFonts w:ascii="Times New Roman" w:hAnsi="Times New Roman"/>
          <w:sz w:val="20"/>
          <w:lang w:val="en-GB"/>
        </w:rPr>
      </w:pPr>
    </w:p>
    <w:p w14:paraId="14281549" w14:textId="77777777" w:rsidR="004B632F" w:rsidRPr="000343FB" w:rsidRDefault="004B632F" w:rsidP="004B632F">
      <w:pPr>
        <w:pStyle w:val="StyleCopyrightStatementAfter0ptBottomSinglesolidline1"/>
        <w:rPr>
          <w:rFonts w:ascii="Times New Roman" w:hAnsi="Times New Roman"/>
          <w:sz w:val="20"/>
          <w:lang w:val="en-GB"/>
        </w:rPr>
      </w:pPr>
    </w:p>
    <w:p w14:paraId="60C54FC9" w14:textId="2D3372B8" w:rsidR="00146BF2" w:rsidRPr="00270B29" w:rsidRDefault="00146BF2" w:rsidP="00146BF2">
      <w:pPr>
        <w:pStyle w:val="BodyTextMain"/>
        <w:rPr>
          <w:spacing w:val="-4"/>
          <w:kern w:val="22"/>
          <w:lang w:val="en-GB"/>
        </w:rPr>
      </w:pPr>
      <w:r w:rsidRPr="00270B29">
        <w:rPr>
          <w:spacing w:val="-4"/>
          <w:kern w:val="22"/>
          <w:lang w:val="en-GB"/>
        </w:rPr>
        <w:t xml:space="preserve">On a warm summer morning in July 2018, Sanjay Singh, the chief executive officer (CEO) of </w:t>
      </w:r>
      <w:proofErr w:type="spellStart"/>
      <w:r w:rsidRPr="00270B29">
        <w:rPr>
          <w:spacing w:val="-4"/>
          <w:kern w:val="22"/>
          <w:lang w:val="en-GB"/>
        </w:rPr>
        <w:t>Tiktauli</w:t>
      </w:r>
      <w:proofErr w:type="spellEnd"/>
      <w:r w:rsidRPr="00270B29">
        <w:rPr>
          <w:spacing w:val="-4"/>
          <w:kern w:val="22"/>
          <w:lang w:val="en-GB"/>
        </w:rPr>
        <w:t xml:space="preserve"> De Corps (TDC), was thinking about the branding strategy of the company. Founded in </w:t>
      </w:r>
      <w:r w:rsidR="003B14F0" w:rsidRPr="00270B29">
        <w:rPr>
          <w:spacing w:val="-4"/>
          <w:kern w:val="22"/>
          <w:lang w:val="en-GB"/>
        </w:rPr>
        <w:t xml:space="preserve">India in </w:t>
      </w:r>
      <w:r w:rsidRPr="00270B29">
        <w:rPr>
          <w:spacing w:val="-4"/>
          <w:kern w:val="22"/>
          <w:lang w:val="en-GB"/>
        </w:rPr>
        <w:t>August 2012 as a casual wear apparel brand, TDC had grown rapidly</w:t>
      </w:r>
      <w:r w:rsidR="005E043F" w:rsidRPr="00270B29">
        <w:rPr>
          <w:spacing w:val="-4"/>
          <w:kern w:val="22"/>
          <w:lang w:val="en-GB"/>
        </w:rPr>
        <w:t>. The company featured</w:t>
      </w:r>
      <w:r w:rsidRPr="00270B29">
        <w:rPr>
          <w:spacing w:val="-4"/>
          <w:kern w:val="22"/>
          <w:lang w:val="en-GB"/>
        </w:rPr>
        <w:t xml:space="preserve"> three </w:t>
      </w:r>
      <w:r w:rsidR="005E043F" w:rsidRPr="00270B29">
        <w:rPr>
          <w:spacing w:val="-4"/>
          <w:kern w:val="22"/>
          <w:lang w:val="en-GB"/>
        </w:rPr>
        <w:t xml:space="preserve">main </w:t>
      </w:r>
      <w:r w:rsidRPr="00270B29">
        <w:rPr>
          <w:spacing w:val="-4"/>
          <w:kern w:val="22"/>
          <w:lang w:val="en-GB"/>
        </w:rPr>
        <w:t>business</w:t>
      </w:r>
      <w:r w:rsidR="005E043F" w:rsidRPr="00270B29">
        <w:rPr>
          <w:spacing w:val="-4"/>
          <w:kern w:val="22"/>
          <w:lang w:val="en-GB"/>
        </w:rPr>
        <w:t xml:space="preserve"> lin</w:t>
      </w:r>
      <w:r w:rsidRPr="00270B29">
        <w:rPr>
          <w:spacing w:val="-4"/>
          <w:kern w:val="22"/>
          <w:lang w:val="en-GB"/>
        </w:rPr>
        <w:t>es</w:t>
      </w:r>
      <w:r w:rsidR="005E043F" w:rsidRPr="00270B29">
        <w:rPr>
          <w:spacing w:val="-4"/>
          <w:kern w:val="22"/>
          <w:lang w:val="en-GB"/>
        </w:rPr>
        <w:t>:</w:t>
      </w:r>
      <w:r w:rsidRPr="00270B29">
        <w:rPr>
          <w:spacing w:val="-4"/>
          <w:kern w:val="22"/>
          <w:lang w:val="en-GB"/>
        </w:rPr>
        <w:t xml:space="preserve"> </w:t>
      </w:r>
      <w:r w:rsidR="005E043F" w:rsidRPr="00270B29">
        <w:rPr>
          <w:spacing w:val="-4"/>
          <w:kern w:val="22"/>
          <w:lang w:val="en-GB"/>
        </w:rPr>
        <w:t>electronic dance music (</w:t>
      </w:r>
      <w:r w:rsidRPr="00270B29">
        <w:rPr>
          <w:spacing w:val="-4"/>
          <w:kern w:val="22"/>
          <w:lang w:val="en-GB"/>
        </w:rPr>
        <w:t>EDM</w:t>
      </w:r>
      <w:r w:rsidR="005E043F" w:rsidRPr="00270B29">
        <w:rPr>
          <w:spacing w:val="-4"/>
          <w:kern w:val="22"/>
          <w:lang w:val="en-GB"/>
        </w:rPr>
        <w:t>)</w:t>
      </w:r>
      <w:r w:rsidRPr="00270B29">
        <w:rPr>
          <w:spacing w:val="-4"/>
          <w:kern w:val="22"/>
          <w:lang w:val="en-GB"/>
        </w:rPr>
        <w:t xml:space="preserve"> fashion apparel and accessories</w:t>
      </w:r>
      <w:r w:rsidR="005E043F" w:rsidRPr="00270B29">
        <w:rPr>
          <w:spacing w:val="-4"/>
          <w:kern w:val="22"/>
          <w:lang w:val="en-GB"/>
        </w:rPr>
        <w:t>,</w:t>
      </w:r>
      <w:r w:rsidRPr="00270B29">
        <w:rPr>
          <w:spacing w:val="-4"/>
          <w:kern w:val="22"/>
          <w:lang w:val="en-GB"/>
        </w:rPr>
        <w:t xml:space="preserve"> sports</w:t>
      </w:r>
      <w:r w:rsidR="005E043F" w:rsidRPr="00270B29">
        <w:rPr>
          <w:spacing w:val="-4"/>
          <w:kern w:val="22"/>
          <w:lang w:val="en-GB"/>
        </w:rPr>
        <w:t xml:space="preserve"> </w:t>
      </w:r>
      <w:r w:rsidRPr="00270B29">
        <w:rPr>
          <w:spacing w:val="-4"/>
          <w:kern w:val="22"/>
          <w:lang w:val="en-GB"/>
        </w:rPr>
        <w:t>gear</w:t>
      </w:r>
      <w:r w:rsidR="005E043F" w:rsidRPr="00270B29">
        <w:rPr>
          <w:spacing w:val="-4"/>
          <w:kern w:val="22"/>
          <w:lang w:val="en-GB"/>
        </w:rPr>
        <w:t>,</w:t>
      </w:r>
      <w:r w:rsidRPr="00270B29">
        <w:rPr>
          <w:spacing w:val="-4"/>
          <w:kern w:val="22"/>
          <w:lang w:val="en-GB"/>
        </w:rPr>
        <w:t xml:space="preserve"> and affordable fashion</w:t>
      </w:r>
      <w:r w:rsidR="005E043F" w:rsidRPr="00270B29">
        <w:rPr>
          <w:spacing w:val="-4"/>
          <w:kern w:val="22"/>
          <w:lang w:val="en-GB"/>
        </w:rPr>
        <w:t xml:space="preserve"> </w:t>
      </w:r>
      <w:r w:rsidRPr="00270B29">
        <w:rPr>
          <w:spacing w:val="-4"/>
          <w:kern w:val="22"/>
          <w:lang w:val="en-GB"/>
        </w:rPr>
        <w:t>wear</w:t>
      </w:r>
      <w:r w:rsidR="005E043F" w:rsidRPr="00270B29">
        <w:rPr>
          <w:spacing w:val="-4"/>
          <w:kern w:val="22"/>
          <w:lang w:val="en-GB"/>
        </w:rPr>
        <w:t>.</w:t>
      </w:r>
      <w:r w:rsidRPr="00270B29">
        <w:rPr>
          <w:spacing w:val="-4"/>
          <w:kern w:val="22"/>
          <w:lang w:val="en-GB"/>
        </w:rPr>
        <w:t xml:space="preserve"> </w:t>
      </w:r>
      <w:r w:rsidR="00EA45DE" w:rsidRPr="00270B29">
        <w:rPr>
          <w:spacing w:val="-4"/>
          <w:kern w:val="22"/>
          <w:lang w:val="en-GB"/>
        </w:rPr>
        <w:t>Singh had</w:t>
      </w:r>
      <w:r w:rsidRPr="00270B29">
        <w:rPr>
          <w:spacing w:val="-4"/>
          <w:kern w:val="22"/>
          <w:lang w:val="en-GB"/>
        </w:rPr>
        <w:t xml:space="preserve"> adopted a house of brands strategy</w:t>
      </w:r>
      <w:r w:rsidR="00CB4EF4" w:rsidRPr="00270B29">
        <w:rPr>
          <w:spacing w:val="-4"/>
          <w:kern w:val="22"/>
          <w:lang w:val="en-GB"/>
        </w:rPr>
        <w:t xml:space="preserve"> for the company’s three brands: </w:t>
      </w:r>
      <w:r w:rsidRPr="00270B29">
        <w:rPr>
          <w:spacing w:val="-4"/>
          <w:kern w:val="22"/>
          <w:lang w:val="en-GB"/>
        </w:rPr>
        <w:t xml:space="preserve">TDC, </w:t>
      </w:r>
      <w:proofErr w:type="spellStart"/>
      <w:r w:rsidR="00CA04B8" w:rsidRPr="00270B29">
        <w:rPr>
          <w:spacing w:val="-4"/>
          <w:kern w:val="22"/>
          <w:lang w:val="en-GB"/>
        </w:rPr>
        <w:t>Fieldgear</w:t>
      </w:r>
      <w:proofErr w:type="spellEnd"/>
      <w:r w:rsidR="00CA04B8" w:rsidRPr="00270B29">
        <w:rPr>
          <w:spacing w:val="-4"/>
          <w:kern w:val="22"/>
          <w:lang w:val="en-GB"/>
        </w:rPr>
        <w:t xml:space="preserve">, and </w:t>
      </w:r>
      <w:proofErr w:type="spellStart"/>
      <w:r w:rsidR="00CB4EF4" w:rsidRPr="00270B29">
        <w:rPr>
          <w:spacing w:val="-4"/>
          <w:kern w:val="22"/>
          <w:lang w:val="en-GB"/>
        </w:rPr>
        <w:t>Koolho</w:t>
      </w:r>
      <w:proofErr w:type="spellEnd"/>
      <w:r w:rsidRPr="00270B29">
        <w:rPr>
          <w:spacing w:val="-4"/>
          <w:kern w:val="22"/>
          <w:lang w:val="en-GB"/>
        </w:rPr>
        <w:t xml:space="preserve">. After six years, one of </w:t>
      </w:r>
      <w:r w:rsidR="00CB4EF4" w:rsidRPr="00270B29">
        <w:rPr>
          <w:spacing w:val="-4"/>
          <w:kern w:val="22"/>
          <w:lang w:val="en-GB"/>
        </w:rPr>
        <w:t>the</w:t>
      </w:r>
      <w:r w:rsidRPr="00270B29">
        <w:rPr>
          <w:spacing w:val="-4"/>
          <w:kern w:val="22"/>
          <w:lang w:val="en-GB"/>
        </w:rPr>
        <w:t xml:space="preserve"> three brands had started generating profits, but none had achieved recognition outside a niche circle. </w:t>
      </w:r>
      <w:r w:rsidR="00CB4EF4" w:rsidRPr="00270B29">
        <w:rPr>
          <w:spacing w:val="-4"/>
          <w:kern w:val="22"/>
          <w:lang w:val="en-GB"/>
        </w:rPr>
        <w:t>However, confident that</w:t>
      </w:r>
      <w:r w:rsidRPr="00270B29">
        <w:rPr>
          <w:spacing w:val="-4"/>
          <w:kern w:val="22"/>
          <w:lang w:val="en-GB"/>
        </w:rPr>
        <w:t xml:space="preserve"> the various brands were aligned with TDC</w:t>
      </w:r>
      <w:r w:rsidR="00CB4EF4" w:rsidRPr="00270B29">
        <w:rPr>
          <w:spacing w:val="-4"/>
          <w:kern w:val="22"/>
          <w:lang w:val="en-GB"/>
        </w:rPr>
        <w:t>’s</w:t>
      </w:r>
      <w:r w:rsidRPr="00270B29">
        <w:rPr>
          <w:spacing w:val="-4"/>
          <w:kern w:val="22"/>
          <w:lang w:val="en-GB"/>
        </w:rPr>
        <w:t xml:space="preserve"> vision</w:t>
      </w:r>
      <w:r w:rsidR="00CB4EF4" w:rsidRPr="00270B29">
        <w:rPr>
          <w:spacing w:val="-4"/>
          <w:kern w:val="22"/>
          <w:lang w:val="en-GB"/>
        </w:rPr>
        <w:t xml:space="preserve"> and e</w:t>
      </w:r>
      <w:r w:rsidRPr="00270B29">
        <w:rPr>
          <w:spacing w:val="-4"/>
          <w:kern w:val="22"/>
          <w:lang w:val="en-GB"/>
        </w:rPr>
        <w:t xml:space="preserve">ncouraged by </w:t>
      </w:r>
      <w:r w:rsidR="00CB4EF4" w:rsidRPr="00270B29">
        <w:rPr>
          <w:spacing w:val="-4"/>
          <w:kern w:val="22"/>
          <w:lang w:val="en-GB"/>
        </w:rPr>
        <w:t>the company</w:t>
      </w:r>
      <w:r w:rsidRPr="00270B29">
        <w:rPr>
          <w:spacing w:val="-4"/>
          <w:kern w:val="22"/>
          <w:lang w:val="en-GB"/>
        </w:rPr>
        <w:t>’s success</w:t>
      </w:r>
      <w:r w:rsidR="00CB4EF4" w:rsidRPr="00270B29">
        <w:rPr>
          <w:spacing w:val="-4"/>
          <w:kern w:val="22"/>
          <w:lang w:val="en-GB"/>
        </w:rPr>
        <w:t>, Singh</w:t>
      </w:r>
      <w:r w:rsidRPr="00270B29">
        <w:rPr>
          <w:spacing w:val="-4"/>
          <w:kern w:val="22"/>
          <w:lang w:val="en-GB"/>
        </w:rPr>
        <w:t xml:space="preserve"> was considering expanding into international markets. </w:t>
      </w:r>
      <w:r w:rsidR="00CA04B8" w:rsidRPr="00270B29">
        <w:rPr>
          <w:spacing w:val="-4"/>
          <w:kern w:val="22"/>
          <w:lang w:val="en-GB"/>
        </w:rPr>
        <w:t>Because of</w:t>
      </w:r>
      <w:r w:rsidRPr="00270B29">
        <w:rPr>
          <w:spacing w:val="-4"/>
          <w:kern w:val="22"/>
          <w:lang w:val="en-GB"/>
        </w:rPr>
        <w:t xml:space="preserve"> limited access to funds, synergy </w:t>
      </w:r>
      <w:r w:rsidR="00A53280" w:rsidRPr="00270B29">
        <w:rPr>
          <w:spacing w:val="-4"/>
          <w:kern w:val="22"/>
          <w:lang w:val="en-GB"/>
        </w:rPr>
        <w:t>among</w:t>
      </w:r>
      <w:r w:rsidRPr="00270B29">
        <w:rPr>
          <w:spacing w:val="-4"/>
          <w:kern w:val="22"/>
          <w:lang w:val="en-GB"/>
        </w:rPr>
        <w:t xml:space="preserve"> </w:t>
      </w:r>
      <w:r w:rsidR="00A53280" w:rsidRPr="00270B29">
        <w:rPr>
          <w:spacing w:val="-4"/>
          <w:kern w:val="22"/>
          <w:lang w:val="en-GB"/>
        </w:rPr>
        <w:t xml:space="preserve">the company’s </w:t>
      </w:r>
      <w:r w:rsidRPr="00270B29">
        <w:rPr>
          <w:spacing w:val="-4"/>
          <w:kern w:val="22"/>
          <w:lang w:val="en-GB"/>
        </w:rPr>
        <w:t>house brands</w:t>
      </w:r>
      <w:r w:rsidR="00A53280" w:rsidRPr="00270B29">
        <w:rPr>
          <w:spacing w:val="-4"/>
          <w:kern w:val="22"/>
          <w:lang w:val="en-GB"/>
        </w:rPr>
        <w:t>,</w:t>
      </w:r>
      <w:r w:rsidRPr="00270B29">
        <w:rPr>
          <w:spacing w:val="-4"/>
          <w:kern w:val="22"/>
          <w:lang w:val="en-GB"/>
        </w:rPr>
        <w:t xml:space="preserve"> and the impact of macro-environmental factors on his growth plans</w:t>
      </w:r>
      <w:r w:rsidR="00A53280" w:rsidRPr="00270B29">
        <w:rPr>
          <w:spacing w:val="-4"/>
          <w:kern w:val="22"/>
          <w:lang w:val="en-GB"/>
        </w:rPr>
        <w:t>, Singh had to choose</w:t>
      </w:r>
      <w:r w:rsidRPr="00270B29">
        <w:rPr>
          <w:spacing w:val="-4"/>
          <w:kern w:val="22"/>
          <w:lang w:val="en-GB"/>
        </w:rPr>
        <w:t xml:space="preserve"> the best </w:t>
      </w:r>
      <w:r w:rsidR="00E126E9" w:rsidRPr="00270B29">
        <w:rPr>
          <w:spacing w:val="-4"/>
          <w:kern w:val="22"/>
          <w:lang w:val="en-GB"/>
        </w:rPr>
        <w:t>branding strategy for the company’s future</w:t>
      </w:r>
      <w:r w:rsidRPr="00270B29">
        <w:rPr>
          <w:spacing w:val="-4"/>
          <w:kern w:val="22"/>
          <w:lang w:val="en-GB"/>
        </w:rPr>
        <w:t xml:space="preserve">. </w:t>
      </w:r>
    </w:p>
    <w:p w14:paraId="0C92A9B0" w14:textId="77777777" w:rsidR="00146BF2" w:rsidRPr="000343FB" w:rsidRDefault="00146BF2" w:rsidP="00146BF2">
      <w:pPr>
        <w:pStyle w:val="BodyTextMain"/>
        <w:rPr>
          <w:lang w:val="en-GB"/>
        </w:rPr>
      </w:pPr>
    </w:p>
    <w:p w14:paraId="71848C57" w14:textId="77777777" w:rsidR="00146BF2" w:rsidRPr="000343FB" w:rsidRDefault="00146BF2" w:rsidP="00146BF2">
      <w:pPr>
        <w:pStyle w:val="BodyTextMain"/>
        <w:rPr>
          <w:lang w:val="en-GB"/>
        </w:rPr>
      </w:pPr>
    </w:p>
    <w:p w14:paraId="0508E9C8" w14:textId="77777777" w:rsidR="00146BF2" w:rsidRPr="000343FB" w:rsidRDefault="00146BF2" w:rsidP="00146BF2">
      <w:pPr>
        <w:pStyle w:val="Casehead1"/>
        <w:rPr>
          <w:lang w:val="en-GB"/>
        </w:rPr>
      </w:pPr>
      <w:r w:rsidRPr="000343FB">
        <w:rPr>
          <w:lang w:val="en-GB"/>
        </w:rPr>
        <w:t>TIKTAULI DE CORPS</w:t>
      </w:r>
    </w:p>
    <w:p w14:paraId="41FD6104" w14:textId="77777777" w:rsidR="00146BF2" w:rsidRPr="000343FB" w:rsidRDefault="00146BF2" w:rsidP="00146BF2">
      <w:pPr>
        <w:pStyle w:val="BodyTextMain"/>
        <w:rPr>
          <w:lang w:val="en-GB"/>
        </w:rPr>
      </w:pPr>
    </w:p>
    <w:p w14:paraId="307FBB9C" w14:textId="77777777" w:rsidR="00146BF2" w:rsidRPr="000343FB" w:rsidRDefault="00146BF2" w:rsidP="00146BF2">
      <w:pPr>
        <w:pStyle w:val="Casehead2"/>
        <w:rPr>
          <w:lang w:val="en-GB"/>
        </w:rPr>
      </w:pPr>
      <w:r w:rsidRPr="000343FB">
        <w:rPr>
          <w:lang w:val="en-GB"/>
        </w:rPr>
        <w:t>Genesis and Growth</w:t>
      </w:r>
    </w:p>
    <w:p w14:paraId="2F4D0B64" w14:textId="77777777" w:rsidR="00146BF2" w:rsidRPr="000343FB" w:rsidRDefault="00146BF2" w:rsidP="00146BF2">
      <w:pPr>
        <w:pStyle w:val="BodyTextMain"/>
        <w:rPr>
          <w:lang w:val="en-GB"/>
        </w:rPr>
      </w:pPr>
    </w:p>
    <w:p w14:paraId="39BACC40" w14:textId="33072AA5" w:rsidR="00146BF2" w:rsidRPr="000343FB" w:rsidRDefault="00146BF2" w:rsidP="00146BF2">
      <w:pPr>
        <w:pStyle w:val="BodyTextMain"/>
        <w:rPr>
          <w:lang w:val="en-GB"/>
        </w:rPr>
      </w:pPr>
      <w:r w:rsidRPr="000343FB">
        <w:rPr>
          <w:lang w:val="en-GB"/>
        </w:rPr>
        <w:t>Founded as a casual wear apparel brand</w:t>
      </w:r>
      <w:r w:rsidR="00E126E9">
        <w:rPr>
          <w:lang w:val="en-GB"/>
        </w:rPr>
        <w:t xml:space="preserve"> </w:t>
      </w:r>
      <w:r w:rsidR="001E58AC">
        <w:rPr>
          <w:lang w:val="en-GB"/>
        </w:rPr>
        <w:t>in 2012</w:t>
      </w:r>
      <w:r w:rsidRPr="000343FB">
        <w:rPr>
          <w:lang w:val="en-GB"/>
        </w:rPr>
        <w:t xml:space="preserve">, </w:t>
      </w:r>
      <w:r w:rsidR="001B7567">
        <w:rPr>
          <w:lang w:val="en-GB"/>
        </w:rPr>
        <w:t>TDC</w:t>
      </w:r>
      <w:r w:rsidRPr="000343FB">
        <w:rPr>
          <w:lang w:val="en-GB"/>
        </w:rPr>
        <w:t xml:space="preserve"> </w:t>
      </w:r>
      <w:r w:rsidR="001E58AC">
        <w:rPr>
          <w:lang w:val="en-GB"/>
        </w:rPr>
        <w:t>had grown</w:t>
      </w:r>
      <w:r w:rsidRPr="000343FB">
        <w:rPr>
          <w:lang w:val="en-GB"/>
        </w:rPr>
        <w:t xml:space="preserve"> rapidly </w:t>
      </w:r>
      <w:r w:rsidR="002B2A63">
        <w:rPr>
          <w:lang w:val="en-GB"/>
        </w:rPr>
        <w:t>into</w:t>
      </w:r>
      <w:r w:rsidRPr="000343FB">
        <w:rPr>
          <w:lang w:val="en-GB"/>
        </w:rPr>
        <w:t xml:space="preserve"> multiple product categories. </w:t>
      </w:r>
      <w:r w:rsidR="0081742B">
        <w:rPr>
          <w:lang w:val="en-GB"/>
        </w:rPr>
        <w:t>Its unique identity</w:t>
      </w:r>
      <w:r w:rsidRPr="000343FB">
        <w:rPr>
          <w:lang w:val="en-GB"/>
        </w:rPr>
        <w:t xml:space="preserve"> was derived from </w:t>
      </w:r>
      <w:r w:rsidR="002B2A63">
        <w:rPr>
          <w:lang w:val="en-GB"/>
        </w:rPr>
        <w:t xml:space="preserve">music </w:t>
      </w:r>
      <w:r w:rsidRPr="000343FB">
        <w:rPr>
          <w:lang w:val="en-GB"/>
        </w:rPr>
        <w:t>influence</w:t>
      </w:r>
      <w:r w:rsidR="002B2A63">
        <w:rPr>
          <w:lang w:val="en-GB"/>
        </w:rPr>
        <w:t>s such as</w:t>
      </w:r>
      <w:r w:rsidRPr="000343FB">
        <w:rPr>
          <w:lang w:val="en-GB"/>
        </w:rPr>
        <w:t xml:space="preserve"> hip</w:t>
      </w:r>
      <w:r w:rsidR="00901F18">
        <w:rPr>
          <w:lang w:val="en-GB"/>
        </w:rPr>
        <w:t xml:space="preserve"> </w:t>
      </w:r>
      <w:r w:rsidRPr="000343FB">
        <w:rPr>
          <w:lang w:val="en-GB"/>
        </w:rPr>
        <w:t>hop</w:t>
      </w:r>
      <w:r w:rsidR="002B2A63">
        <w:rPr>
          <w:lang w:val="en-GB"/>
        </w:rPr>
        <w:t xml:space="preserve"> and</w:t>
      </w:r>
      <w:r w:rsidRPr="000343FB">
        <w:rPr>
          <w:lang w:val="en-GB"/>
        </w:rPr>
        <w:t xml:space="preserve"> EDM</w:t>
      </w:r>
      <w:r w:rsidR="002B2A63">
        <w:rPr>
          <w:lang w:val="en-GB"/>
        </w:rPr>
        <w:t>,</w:t>
      </w:r>
      <w:r w:rsidRPr="000343FB">
        <w:rPr>
          <w:lang w:val="en-GB"/>
        </w:rPr>
        <w:t xml:space="preserve"> </w:t>
      </w:r>
      <w:r w:rsidR="002B2A63">
        <w:rPr>
          <w:lang w:val="en-GB"/>
        </w:rPr>
        <w:t>and from subculture</w:t>
      </w:r>
      <w:r w:rsidRPr="000343FB">
        <w:rPr>
          <w:lang w:val="en-GB"/>
        </w:rPr>
        <w:t xml:space="preserve"> genres such as swag, rap, dope, rave, noir</w:t>
      </w:r>
      <w:r w:rsidR="002B2A63">
        <w:rPr>
          <w:lang w:val="en-GB"/>
        </w:rPr>
        <w:t>,</w:t>
      </w:r>
      <w:r w:rsidRPr="000343FB">
        <w:rPr>
          <w:lang w:val="en-GB"/>
        </w:rPr>
        <w:t xml:space="preserve"> and techno. </w:t>
      </w:r>
      <w:r w:rsidR="0081742B">
        <w:rPr>
          <w:lang w:val="en-GB"/>
        </w:rPr>
        <w:t>TDC was</w:t>
      </w:r>
      <w:r w:rsidRPr="000343FB">
        <w:rPr>
          <w:lang w:val="en-GB"/>
        </w:rPr>
        <w:t xml:space="preserve"> unapologetic</w:t>
      </w:r>
      <w:r w:rsidR="0081742B">
        <w:rPr>
          <w:lang w:val="en-GB"/>
        </w:rPr>
        <w:t xml:space="preserve"> about its image, proudly proclaiming</w:t>
      </w:r>
      <w:r w:rsidRPr="000343FB">
        <w:rPr>
          <w:lang w:val="en-GB"/>
        </w:rPr>
        <w:t xml:space="preserve"> on </w:t>
      </w:r>
      <w:r w:rsidR="0081742B">
        <w:rPr>
          <w:lang w:val="en-GB"/>
        </w:rPr>
        <w:t>i</w:t>
      </w:r>
      <w:r w:rsidRPr="000343FB">
        <w:rPr>
          <w:lang w:val="en-GB"/>
        </w:rPr>
        <w:t>t</w:t>
      </w:r>
      <w:r w:rsidR="0081742B">
        <w:rPr>
          <w:lang w:val="en-GB"/>
        </w:rPr>
        <w:t>s</w:t>
      </w:r>
      <w:r w:rsidRPr="000343FB">
        <w:rPr>
          <w:lang w:val="en-GB"/>
        </w:rPr>
        <w:t xml:space="preserve"> website, “We sell </w:t>
      </w:r>
      <w:r w:rsidR="00A7518D">
        <w:rPr>
          <w:lang w:val="en-GB"/>
        </w:rPr>
        <w:t>M</w:t>
      </w:r>
      <w:r w:rsidRPr="000343FB">
        <w:rPr>
          <w:lang w:val="en-GB"/>
        </w:rPr>
        <w:t>usic</w:t>
      </w:r>
      <w:r w:rsidR="00CA04B8">
        <w:rPr>
          <w:lang w:val="en-GB"/>
        </w:rPr>
        <w:t xml:space="preserve"> </w:t>
      </w:r>
      <w:r w:rsidRPr="000343FB">
        <w:rPr>
          <w:lang w:val="en-GB"/>
        </w:rPr>
        <w:t>inspired</w:t>
      </w:r>
      <w:r w:rsidR="00CA04B8">
        <w:rPr>
          <w:lang w:val="en-GB"/>
        </w:rPr>
        <w:t xml:space="preserve"> Trend </w:t>
      </w:r>
      <w:r w:rsidR="00A7518D">
        <w:rPr>
          <w:lang w:val="en-GB"/>
        </w:rPr>
        <w:t>s</w:t>
      </w:r>
      <w:r w:rsidRPr="000343FB">
        <w:rPr>
          <w:lang w:val="en-GB"/>
        </w:rPr>
        <w:t>etting Fashion</w:t>
      </w:r>
      <w:r w:rsidR="00A7518D">
        <w:rPr>
          <w:lang w:val="en-GB"/>
        </w:rPr>
        <w:t xml:space="preserve"> </w:t>
      </w:r>
      <w:r w:rsidRPr="000343FB">
        <w:rPr>
          <w:lang w:val="en-GB"/>
        </w:rPr>
        <w:t>…</w:t>
      </w:r>
      <w:r w:rsidR="00A7518D">
        <w:rPr>
          <w:lang w:val="en-GB"/>
        </w:rPr>
        <w:t xml:space="preserve"> </w:t>
      </w:r>
      <w:r w:rsidRPr="000343FB">
        <w:rPr>
          <w:lang w:val="en-GB"/>
        </w:rPr>
        <w:t xml:space="preserve">and </w:t>
      </w:r>
      <w:r w:rsidR="00A7518D">
        <w:rPr>
          <w:lang w:val="en-GB"/>
        </w:rPr>
        <w:t>‘</w:t>
      </w:r>
      <w:r w:rsidRPr="000343FB">
        <w:rPr>
          <w:lang w:val="en-GB"/>
        </w:rPr>
        <w:t>No Shit</w:t>
      </w:r>
      <w:r w:rsidR="0081742B">
        <w:rPr>
          <w:lang w:val="en-GB"/>
        </w:rPr>
        <w:t>.</w:t>
      </w:r>
      <w:r w:rsidR="00A7518D">
        <w:rPr>
          <w:lang w:val="en-GB"/>
        </w:rPr>
        <w:t>’</w:t>
      </w:r>
      <w:r w:rsidRPr="000343FB">
        <w:rPr>
          <w:lang w:val="en-GB"/>
        </w:rPr>
        <w:t>”</w:t>
      </w:r>
      <w:r w:rsidRPr="000343FB">
        <w:rPr>
          <w:vertAlign w:val="superscript"/>
          <w:lang w:val="en-GB"/>
        </w:rPr>
        <w:endnoteReference w:id="1"/>
      </w:r>
      <w:r w:rsidRPr="000343FB">
        <w:rPr>
          <w:lang w:val="en-GB"/>
        </w:rPr>
        <w:t xml:space="preserve"> </w:t>
      </w:r>
      <w:r w:rsidR="00A7518D">
        <w:rPr>
          <w:lang w:val="en-GB"/>
        </w:rPr>
        <w:t>By mid-July 2018, t</w:t>
      </w:r>
      <w:r w:rsidRPr="000343FB">
        <w:rPr>
          <w:lang w:val="en-GB"/>
        </w:rPr>
        <w:t>he brand’s Facebook page had 52</w:t>
      </w:r>
      <w:r w:rsidR="00A7518D">
        <w:rPr>
          <w:lang w:val="en-GB"/>
        </w:rPr>
        <w:t>,</w:t>
      </w:r>
      <w:r w:rsidRPr="000343FB">
        <w:rPr>
          <w:lang w:val="en-GB"/>
        </w:rPr>
        <w:t>813 likes and 52</w:t>
      </w:r>
      <w:r w:rsidR="00A7518D">
        <w:rPr>
          <w:lang w:val="en-GB"/>
        </w:rPr>
        <w:t>,</w:t>
      </w:r>
      <w:r w:rsidRPr="000343FB">
        <w:rPr>
          <w:lang w:val="en-GB"/>
        </w:rPr>
        <w:t>625 followers</w:t>
      </w:r>
      <w:r w:rsidR="00A7518D">
        <w:rPr>
          <w:lang w:val="en-GB"/>
        </w:rPr>
        <w:t>.</w:t>
      </w:r>
      <w:r w:rsidRPr="000343FB">
        <w:rPr>
          <w:vertAlign w:val="superscript"/>
          <w:lang w:val="en-GB"/>
        </w:rPr>
        <w:endnoteReference w:id="2"/>
      </w:r>
      <w:r w:rsidRPr="000343FB">
        <w:rPr>
          <w:lang w:val="en-GB"/>
        </w:rPr>
        <w:t xml:space="preserve"> </w:t>
      </w:r>
    </w:p>
    <w:p w14:paraId="4E3A93AF" w14:textId="77777777" w:rsidR="00146BF2" w:rsidRPr="000343FB" w:rsidRDefault="00146BF2" w:rsidP="00146BF2">
      <w:pPr>
        <w:pStyle w:val="BodyTextMain"/>
        <w:rPr>
          <w:lang w:val="en-GB"/>
        </w:rPr>
      </w:pPr>
    </w:p>
    <w:p w14:paraId="384071A6" w14:textId="3E1A1FF5" w:rsidR="00146BF2" w:rsidRPr="000343FB" w:rsidRDefault="00146BF2" w:rsidP="00146BF2">
      <w:pPr>
        <w:pStyle w:val="BodyTextMain"/>
        <w:rPr>
          <w:rFonts w:eastAsia="Calibri"/>
          <w:lang w:val="en-GB"/>
        </w:rPr>
      </w:pPr>
      <w:r w:rsidRPr="000343FB">
        <w:rPr>
          <w:rFonts w:eastAsia="Calibri"/>
          <w:lang w:val="en-GB"/>
        </w:rPr>
        <w:t xml:space="preserve">TDC’s vision </w:t>
      </w:r>
      <w:r w:rsidR="009927A2">
        <w:rPr>
          <w:rFonts w:eastAsia="Calibri"/>
          <w:lang w:val="en-GB"/>
        </w:rPr>
        <w:t xml:space="preserve">was </w:t>
      </w:r>
      <w:r w:rsidRPr="000343FB">
        <w:rPr>
          <w:rFonts w:eastAsia="Calibri"/>
          <w:lang w:val="en-GB"/>
        </w:rPr>
        <w:t xml:space="preserve">to </w:t>
      </w:r>
      <w:r w:rsidR="009927A2">
        <w:rPr>
          <w:rFonts w:eastAsia="Calibri"/>
          <w:lang w:val="en-GB"/>
        </w:rPr>
        <w:t>d</w:t>
      </w:r>
      <w:r w:rsidRPr="000343FB">
        <w:rPr>
          <w:rFonts w:eastAsia="Calibri"/>
          <w:lang w:val="en-GB"/>
        </w:rPr>
        <w:t>evelop 360</w:t>
      </w:r>
      <w:r w:rsidR="009927A2">
        <w:rPr>
          <w:rFonts w:eastAsia="Calibri"/>
          <w:lang w:val="en-GB"/>
        </w:rPr>
        <w:t>-</w:t>
      </w:r>
      <w:r w:rsidRPr="000343FB">
        <w:rPr>
          <w:rFonts w:eastAsia="Calibri"/>
          <w:lang w:val="en-GB"/>
        </w:rPr>
        <w:t>degree retail with a global online business foundation</w:t>
      </w:r>
      <w:r w:rsidR="009927A2">
        <w:rPr>
          <w:rFonts w:eastAsia="Calibri"/>
          <w:lang w:val="en-GB"/>
        </w:rPr>
        <w:t>. Similarly, the company</w:t>
      </w:r>
      <w:r w:rsidRPr="000343FB">
        <w:rPr>
          <w:rFonts w:eastAsia="Calibri"/>
          <w:lang w:val="en-GB"/>
        </w:rPr>
        <w:t>’s mission statement outlined a</w:t>
      </w:r>
      <w:r w:rsidR="009927A2">
        <w:rPr>
          <w:rFonts w:eastAsia="Calibri"/>
          <w:lang w:val="en-GB"/>
        </w:rPr>
        <w:t xml:space="preserve"> drive for</w:t>
      </w:r>
      <w:r w:rsidRPr="000343FB">
        <w:rPr>
          <w:rFonts w:eastAsia="Calibri"/>
          <w:lang w:val="en-GB"/>
        </w:rPr>
        <w:t xml:space="preserve"> </w:t>
      </w:r>
      <w:r w:rsidR="009927A2">
        <w:rPr>
          <w:rFonts w:eastAsia="Calibri"/>
          <w:lang w:val="en-GB"/>
        </w:rPr>
        <w:t>p</w:t>
      </w:r>
      <w:r w:rsidRPr="000343FB">
        <w:rPr>
          <w:rFonts w:eastAsia="Calibri"/>
          <w:lang w:val="en-GB"/>
        </w:rPr>
        <w:t xml:space="preserve">rofitability, </w:t>
      </w:r>
      <w:r w:rsidR="009927A2">
        <w:rPr>
          <w:rFonts w:eastAsia="Calibri"/>
          <w:lang w:val="en-GB"/>
        </w:rPr>
        <w:t>m</w:t>
      </w:r>
      <w:r w:rsidRPr="000343FB">
        <w:rPr>
          <w:rFonts w:eastAsia="Calibri"/>
          <w:lang w:val="en-GB"/>
        </w:rPr>
        <w:t xml:space="preserve">arket </w:t>
      </w:r>
      <w:r w:rsidR="009927A2">
        <w:rPr>
          <w:rFonts w:eastAsia="Calibri"/>
          <w:lang w:val="en-GB"/>
        </w:rPr>
        <w:t>h</w:t>
      </w:r>
      <w:r w:rsidRPr="000343FB">
        <w:rPr>
          <w:rFonts w:eastAsia="Calibri"/>
          <w:lang w:val="en-GB"/>
        </w:rPr>
        <w:t xml:space="preserve">old, and </w:t>
      </w:r>
      <w:r w:rsidR="009927A2">
        <w:rPr>
          <w:rFonts w:eastAsia="Calibri"/>
          <w:lang w:val="en-GB"/>
        </w:rPr>
        <w:t>c</w:t>
      </w:r>
      <w:r w:rsidRPr="000343FB">
        <w:rPr>
          <w:rFonts w:eastAsia="Calibri"/>
          <w:lang w:val="en-GB"/>
        </w:rPr>
        <w:t xml:space="preserve">ustomer </w:t>
      </w:r>
      <w:r w:rsidR="009927A2">
        <w:rPr>
          <w:rFonts w:eastAsia="Calibri"/>
          <w:lang w:val="en-GB"/>
        </w:rPr>
        <w:t>d</w:t>
      </w:r>
      <w:r w:rsidRPr="000343FB">
        <w:rPr>
          <w:rFonts w:eastAsia="Calibri"/>
          <w:lang w:val="en-GB"/>
        </w:rPr>
        <w:t xml:space="preserve">elight through </w:t>
      </w:r>
      <w:r w:rsidR="009927A2">
        <w:rPr>
          <w:rFonts w:eastAsia="Calibri"/>
          <w:lang w:val="en-GB"/>
        </w:rPr>
        <w:t>m</w:t>
      </w:r>
      <w:r w:rsidRPr="000343FB">
        <w:rPr>
          <w:rFonts w:eastAsia="Calibri"/>
          <w:lang w:val="en-GB"/>
        </w:rPr>
        <w:t xml:space="preserve">ultiple </w:t>
      </w:r>
      <w:r w:rsidR="009927A2">
        <w:rPr>
          <w:rFonts w:eastAsia="Calibri"/>
          <w:lang w:val="en-GB"/>
        </w:rPr>
        <w:t>b</w:t>
      </w:r>
      <w:r w:rsidRPr="000343FB">
        <w:rPr>
          <w:rFonts w:eastAsia="Calibri"/>
          <w:lang w:val="en-GB"/>
        </w:rPr>
        <w:t xml:space="preserve">usiness </w:t>
      </w:r>
      <w:r w:rsidR="009927A2">
        <w:rPr>
          <w:rFonts w:eastAsia="Calibri"/>
          <w:lang w:val="en-GB"/>
        </w:rPr>
        <w:t>v</w:t>
      </w:r>
      <w:r w:rsidRPr="000343FB">
        <w:rPr>
          <w:rFonts w:eastAsia="Calibri"/>
          <w:lang w:val="en-GB"/>
        </w:rPr>
        <w:t>erticals</w:t>
      </w:r>
      <w:r w:rsidR="009927A2">
        <w:rPr>
          <w:rFonts w:eastAsia="Calibri"/>
          <w:lang w:val="en-GB"/>
        </w:rPr>
        <w:t>.</w:t>
      </w:r>
      <w:r w:rsidRPr="000343FB">
        <w:rPr>
          <w:rFonts w:eastAsia="Calibri"/>
          <w:lang w:val="en-GB"/>
        </w:rPr>
        <w:t xml:space="preserve"> </w:t>
      </w:r>
      <w:r w:rsidR="009927A2">
        <w:rPr>
          <w:rFonts w:eastAsia="Calibri"/>
          <w:lang w:val="en-GB"/>
        </w:rPr>
        <w:t xml:space="preserve">Singh was </w:t>
      </w:r>
      <w:r w:rsidRPr="000343FB">
        <w:rPr>
          <w:rFonts w:eastAsia="Calibri"/>
          <w:lang w:val="en-GB"/>
        </w:rPr>
        <w:t xml:space="preserve">striving to achieve his </w:t>
      </w:r>
      <w:r w:rsidR="009927A2">
        <w:rPr>
          <w:rFonts w:eastAsia="Calibri"/>
          <w:lang w:val="en-GB"/>
        </w:rPr>
        <w:t>vision</w:t>
      </w:r>
      <w:r w:rsidR="008F14D0">
        <w:rPr>
          <w:rFonts w:eastAsia="Calibri"/>
          <w:lang w:val="en-GB"/>
        </w:rPr>
        <w:t xml:space="preserve"> directly through the</w:t>
      </w:r>
      <w:r w:rsidRPr="000343FB">
        <w:rPr>
          <w:rFonts w:eastAsia="Calibri"/>
          <w:lang w:val="en-GB"/>
        </w:rPr>
        <w:t xml:space="preserve"> company</w:t>
      </w:r>
      <w:r w:rsidR="008F14D0">
        <w:rPr>
          <w:rFonts w:eastAsia="Calibri"/>
          <w:lang w:val="en-GB"/>
        </w:rPr>
        <w:t>’s</w:t>
      </w:r>
      <w:r w:rsidRPr="000343FB">
        <w:rPr>
          <w:rFonts w:eastAsia="Calibri"/>
          <w:lang w:val="en-GB"/>
        </w:rPr>
        <w:t xml:space="preserve"> brands </w:t>
      </w:r>
      <w:r w:rsidR="008F14D0">
        <w:rPr>
          <w:rFonts w:eastAsia="Calibri"/>
          <w:lang w:val="en-GB"/>
        </w:rPr>
        <w:t>and in</w:t>
      </w:r>
      <w:r w:rsidRPr="000343FB">
        <w:rPr>
          <w:rFonts w:eastAsia="Calibri"/>
          <w:lang w:val="en-GB"/>
        </w:rPr>
        <w:t xml:space="preserve">directly </w:t>
      </w:r>
      <w:r w:rsidR="008F14D0">
        <w:rPr>
          <w:rFonts w:eastAsia="Calibri"/>
          <w:lang w:val="en-GB"/>
        </w:rPr>
        <w:t>through</w:t>
      </w:r>
      <w:r w:rsidRPr="000343FB">
        <w:rPr>
          <w:rFonts w:eastAsia="Calibri"/>
          <w:lang w:val="en-GB"/>
        </w:rPr>
        <w:t xml:space="preserve"> </w:t>
      </w:r>
      <w:r w:rsidR="008F14D0">
        <w:rPr>
          <w:rFonts w:eastAsia="Calibri"/>
          <w:lang w:val="en-GB"/>
        </w:rPr>
        <w:t>b</w:t>
      </w:r>
      <w:r w:rsidRPr="000343FB">
        <w:rPr>
          <w:rFonts w:eastAsia="Calibri"/>
          <w:lang w:val="en-GB"/>
        </w:rPr>
        <w:t>usiness-to-</w:t>
      </w:r>
      <w:r w:rsidR="008F14D0">
        <w:rPr>
          <w:rFonts w:eastAsia="Calibri"/>
          <w:lang w:val="en-GB"/>
        </w:rPr>
        <w:t>b</w:t>
      </w:r>
      <w:r w:rsidRPr="000343FB">
        <w:rPr>
          <w:rFonts w:eastAsia="Calibri"/>
          <w:lang w:val="en-GB"/>
        </w:rPr>
        <w:t xml:space="preserve">usiness (B2B) supplies. In the near future, he planned to target </w:t>
      </w:r>
      <w:r w:rsidR="008F14D0">
        <w:rPr>
          <w:rFonts w:eastAsia="Calibri"/>
          <w:lang w:val="en-GB"/>
        </w:rPr>
        <w:t xml:space="preserve">the </w:t>
      </w:r>
      <w:r w:rsidR="00E126E9">
        <w:rPr>
          <w:rFonts w:eastAsia="Calibri"/>
          <w:lang w:val="en-GB"/>
        </w:rPr>
        <w:t xml:space="preserve">markets of </w:t>
      </w:r>
      <w:r w:rsidRPr="000343FB">
        <w:rPr>
          <w:rFonts w:eastAsia="Calibri"/>
          <w:lang w:val="en-GB"/>
        </w:rPr>
        <w:t>Brazil, Russia, India, and China</w:t>
      </w:r>
      <w:r w:rsidR="00E126E9">
        <w:rPr>
          <w:rFonts w:eastAsia="Calibri"/>
          <w:lang w:val="en-GB"/>
        </w:rPr>
        <w:t xml:space="preserve"> (known as the BRIC countries</w:t>
      </w:r>
      <w:r w:rsidRPr="000343FB">
        <w:rPr>
          <w:rFonts w:eastAsia="Calibri"/>
          <w:lang w:val="en-GB"/>
        </w:rPr>
        <w:t xml:space="preserve">) and </w:t>
      </w:r>
      <w:r w:rsidR="00E126E9">
        <w:rPr>
          <w:rFonts w:eastAsia="Calibri"/>
          <w:lang w:val="en-GB"/>
        </w:rPr>
        <w:t xml:space="preserve">the </w:t>
      </w:r>
      <w:r w:rsidRPr="000343FB">
        <w:rPr>
          <w:color w:val="222222"/>
          <w:shd w:val="clear" w:color="auto" w:fill="FFFFFF"/>
          <w:lang w:val="en-GB"/>
        </w:rPr>
        <w:t>Commonwealth of Independent States</w:t>
      </w:r>
      <w:r w:rsidR="00E126E9">
        <w:rPr>
          <w:color w:val="222222"/>
          <w:shd w:val="clear" w:color="auto" w:fill="FFFFFF"/>
          <w:lang w:val="en-GB"/>
        </w:rPr>
        <w:t>.</w:t>
      </w:r>
      <w:r w:rsidRPr="000343FB">
        <w:rPr>
          <w:rFonts w:eastAsia="Calibri"/>
          <w:vertAlign w:val="superscript"/>
          <w:lang w:val="en-GB"/>
        </w:rPr>
        <w:endnoteReference w:id="3"/>
      </w:r>
      <w:r w:rsidRPr="000343FB">
        <w:rPr>
          <w:rFonts w:ascii="Calibri" w:eastAsia="Calibri" w:hAnsi="Calibri"/>
          <w:lang w:val="en-GB"/>
        </w:rPr>
        <w:t xml:space="preserve"> </w:t>
      </w:r>
      <w:r w:rsidRPr="000343FB">
        <w:rPr>
          <w:rFonts w:eastAsia="Calibri"/>
          <w:lang w:val="en-GB"/>
        </w:rPr>
        <w:t xml:space="preserve">The company had set </w:t>
      </w:r>
      <w:r w:rsidR="005D1A0D">
        <w:rPr>
          <w:rFonts w:eastAsia="Calibri"/>
          <w:lang w:val="en-GB"/>
        </w:rPr>
        <w:t>a</w:t>
      </w:r>
      <w:r w:rsidR="008F14D0">
        <w:rPr>
          <w:rFonts w:eastAsia="Calibri"/>
          <w:lang w:val="en-GB"/>
        </w:rPr>
        <w:t xml:space="preserve"> deadline</w:t>
      </w:r>
      <w:r w:rsidRPr="000343FB">
        <w:rPr>
          <w:rFonts w:eastAsia="Calibri"/>
          <w:lang w:val="en-GB"/>
        </w:rPr>
        <w:t xml:space="preserve"> of 2021 to make the brand global. Singh </w:t>
      </w:r>
      <w:r w:rsidR="008F14D0">
        <w:rPr>
          <w:rFonts w:eastAsia="Calibri"/>
          <w:lang w:val="en-GB"/>
        </w:rPr>
        <w:t>plann</w:t>
      </w:r>
      <w:r w:rsidRPr="000343FB">
        <w:rPr>
          <w:rFonts w:eastAsia="Calibri"/>
          <w:lang w:val="en-GB"/>
        </w:rPr>
        <w:t>ed to achieve this goal by setting up and building multiple independent brands simultaneously.</w:t>
      </w:r>
    </w:p>
    <w:p w14:paraId="1B54B550" w14:textId="77777777" w:rsidR="008F14D0" w:rsidRDefault="008F14D0" w:rsidP="00146BF2">
      <w:pPr>
        <w:pStyle w:val="BodyTextMain"/>
        <w:rPr>
          <w:lang w:val="en-GB"/>
        </w:rPr>
      </w:pPr>
    </w:p>
    <w:p w14:paraId="1BBC86E5" w14:textId="34FBCEAA" w:rsidR="00146BF2" w:rsidRPr="00270B29" w:rsidRDefault="00146BF2" w:rsidP="00146BF2">
      <w:pPr>
        <w:pStyle w:val="BodyTextMain"/>
        <w:rPr>
          <w:rFonts w:eastAsia="Calibri"/>
          <w:spacing w:val="-2"/>
          <w:kern w:val="22"/>
          <w:lang w:val="en-GB"/>
        </w:rPr>
      </w:pPr>
      <w:r w:rsidRPr="00270B29">
        <w:rPr>
          <w:spacing w:val="-2"/>
          <w:kern w:val="22"/>
          <w:lang w:val="en-GB"/>
        </w:rPr>
        <w:t xml:space="preserve">TDC started its journey as an aggregator and supplier of apparel and footwear brands to </w:t>
      </w:r>
      <w:r w:rsidR="00E126E9" w:rsidRPr="00270B29">
        <w:rPr>
          <w:spacing w:val="-2"/>
          <w:kern w:val="22"/>
          <w:lang w:val="en-GB"/>
        </w:rPr>
        <w:t>the giant</w:t>
      </w:r>
      <w:r w:rsidRPr="00270B29">
        <w:rPr>
          <w:spacing w:val="-2"/>
          <w:kern w:val="22"/>
          <w:lang w:val="en-GB"/>
        </w:rPr>
        <w:t xml:space="preserve"> e-commerce platforms Flipkart and Amazon</w:t>
      </w:r>
      <w:r w:rsidR="002A586D" w:rsidRPr="00270B29">
        <w:rPr>
          <w:spacing w:val="-2"/>
          <w:kern w:val="22"/>
          <w:lang w:val="en-GB"/>
        </w:rPr>
        <w:t>.com</w:t>
      </w:r>
      <w:r w:rsidRPr="00270B29">
        <w:rPr>
          <w:spacing w:val="-2"/>
          <w:kern w:val="22"/>
          <w:lang w:val="en-GB"/>
        </w:rPr>
        <w:t xml:space="preserve">. </w:t>
      </w:r>
      <w:r w:rsidR="007D3040" w:rsidRPr="00270B29">
        <w:rPr>
          <w:spacing w:val="-2"/>
          <w:kern w:val="22"/>
          <w:lang w:val="en-GB"/>
        </w:rPr>
        <w:t>The company then started an</w:t>
      </w:r>
      <w:r w:rsidRPr="00270B29">
        <w:rPr>
          <w:spacing w:val="-2"/>
          <w:kern w:val="22"/>
          <w:lang w:val="en-GB"/>
        </w:rPr>
        <w:t xml:space="preserve"> online marketing </w:t>
      </w:r>
      <w:r w:rsidR="007D3040" w:rsidRPr="00270B29">
        <w:rPr>
          <w:spacing w:val="-2"/>
          <w:kern w:val="22"/>
          <w:lang w:val="en-GB"/>
        </w:rPr>
        <w:t xml:space="preserve">campaign </w:t>
      </w:r>
      <w:r w:rsidR="002A586D" w:rsidRPr="00270B29">
        <w:rPr>
          <w:spacing w:val="-2"/>
          <w:kern w:val="22"/>
          <w:lang w:val="en-GB"/>
        </w:rPr>
        <w:t>for</w:t>
      </w:r>
      <w:r w:rsidRPr="00270B29">
        <w:rPr>
          <w:spacing w:val="-2"/>
          <w:kern w:val="22"/>
          <w:lang w:val="en-GB"/>
        </w:rPr>
        <w:t xml:space="preserve"> </w:t>
      </w:r>
      <w:r w:rsidR="007D3040" w:rsidRPr="00270B29">
        <w:rPr>
          <w:spacing w:val="-2"/>
          <w:kern w:val="22"/>
          <w:lang w:val="en-GB"/>
        </w:rPr>
        <w:t>i</w:t>
      </w:r>
      <w:r w:rsidRPr="00270B29">
        <w:rPr>
          <w:spacing w:val="-2"/>
          <w:kern w:val="22"/>
          <w:lang w:val="en-GB"/>
        </w:rPr>
        <w:t>t</w:t>
      </w:r>
      <w:r w:rsidR="007D3040" w:rsidRPr="00270B29">
        <w:rPr>
          <w:spacing w:val="-2"/>
          <w:kern w:val="22"/>
          <w:lang w:val="en-GB"/>
        </w:rPr>
        <w:t>s</w:t>
      </w:r>
      <w:r w:rsidRPr="00270B29">
        <w:rPr>
          <w:spacing w:val="-2"/>
          <w:kern w:val="22"/>
          <w:lang w:val="en-GB"/>
        </w:rPr>
        <w:t xml:space="preserve"> range </w:t>
      </w:r>
      <w:r w:rsidRPr="00270B29">
        <w:rPr>
          <w:spacing w:val="-2"/>
          <w:kern w:val="22"/>
          <w:lang w:val="en-GB"/>
        </w:rPr>
        <w:lastRenderedPageBreak/>
        <w:t xml:space="preserve">of </w:t>
      </w:r>
      <w:r w:rsidR="007D3040" w:rsidRPr="00270B29">
        <w:rPr>
          <w:spacing w:val="-2"/>
          <w:kern w:val="22"/>
          <w:lang w:val="en-GB"/>
        </w:rPr>
        <w:t xml:space="preserve">apparel and accessories inspired by </w:t>
      </w:r>
      <w:r w:rsidR="00291295" w:rsidRPr="00270B29">
        <w:rPr>
          <w:spacing w:val="-2"/>
          <w:kern w:val="22"/>
          <w:lang w:val="en-GB"/>
        </w:rPr>
        <w:t xml:space="preserve">the </w:t>
      </w:r>
      <w:r w:rsidRPr="00270B29">
        <w:rPr>
          <w:spacing w:val="-2"/>
          <w:kern w:val="22"/>
          <w:lang w:val="en-GB"/>
        </w:rPr>
        <w:t>hip</w:t>
      </w:r>
      <w:r w:rsidR="00901F18" w:rsidRPr="00270B29">
        <w:rPr>
          <w:spacing w:val="-2"/>
          <w:kern w:val="22"/>
          <w:lang w:val="en-GB"/>
        </w:rPr>
        <w:t xml:space="preserve"> </w:t>
      </w:r>
      <w:r w:rsidRPr="00270B29">
        <w:rPr>
          <w:spacing w:val="-2"/>
          <w:kern w:val="22"/>
          <w:lang w:val="en-GB"/>
        </w:rPr>
        <w:t xml:space="preserve">hop and </w:t>
      </w:r>
      <w:r w:rsidR="007D3040" w:rsidRPr="00270B29">
        <w:rPr>
          <w:spacing w:val="-2"/>
          <w:kern w:val="22"/>
          <w:lang w:val="en-GB"/>
        </w:rPr>
        <w:t>EDM</w:t>
      </w:r>
      <w:r w:rsidR="00577E7D" w:rsidRPr="00270B29">
        <w:rPr>
          <w:spacing w:val="-2"/>
          <w:kern w:val="22"/>
          <w:lang w:val="en-GB"/>
        </w:rPr>
        <w:t xml:space="preserve"> genres</w:t>
      </w:r>
      <w:r w:rsidR="007D3040" w:rsidRPr="00270B29">
        <w:rPr>
          <w:spacing w:val="-2"/>
          <w:kern w:val="22"/>
          <w:lang w:val="en-GB"/>
        </w:rPr>
        <w:t>. It also began</w:t>
      </w:r>
      <w:r w:rsidRPr="00270B29">
        <w:rPr>
          <w:spacing w:val="-2"/>
          <w:kern w:val="22"/>
          <w:lang w:val="en-GB"/>
        </w:rPr>
        <w:t xml:space="preserve"> supplying athletic apparel under the </w:t>
      </w:r>
      <w:proofErr w:type="spellStart"/>
      <w:r w:rsidRPr="00270B29">
        <w:rPr>
          <w:spacing w:val="-2"/>
          <w:kern w:val="22"/>
          <w:lang w:val="en-GB"/>
        </w:rPr>
        <w:t>Fieldgear</w:t>
      </w:r>
      <w:proofErr w:type="spellEnd"/>
      <w:r w:rsidRPr="00270B29">
        <w:rPr>
          <w:spacing w:val="-2"/>
          <w:kern w:val="22"/>
          <w:lang w:val="en-GB"/>
        </w:rPr>
        <w:t xml:space="preserve"> brand name</w:t>
      </w:r>
      <w:r w:rsidR="007D3040" w:rsidRPr="00270B29">
        <w:rPr>
          <w:spacing w:val="-2"/>
          <w:kern w:val="22"/>
          <w:lang w:val="en-GB"/>
        </w:rPr>
        <w:t>, to become</w:t>
      </w:r>
      <w:r w:rsidRPr="00270B29">
        <w:rPr>
          <w:spacing w:val="-2"/>
          <w:kern w:val="22"/>
          <w:lang w:val="en-GB"/>
        </w:rPr>
        <w:t xml:space="preserve"> a</w:t>
      </w:r>
      <w:r w:rsidR="007D3040" w:rsidRPr="00270B29">
        <w:rPr>
          <w:spacing w:val="-2"/>
          <w:kern w:val="22"/>
          <w:lang w:val="en-GB"/>
        </w:rPr>
        <w:t>n</w:t>
      </w:r>
      <w:r w:rsidRPr="00270B29">
        <w:rPr>
          <w:spacing w:val="-2"/>
          <w:kern w:val="22"/>
          <w:lang w:val="en-GB"/>
        </w:rPr>
        <w:t xml:space="preserve"> official outfitter for various national sports leagues in India. </w:t>
      </w:r>
      <w:r w:rsidR="007D3040" w:rsidRPr="00270B29">
        <w:rPr>
          <w:spacing w:val="-2"/>
          <w:kern w:val="22"/>
          <w:lang w:val="en-GB"/>
        </w:rPr>
        <w:t>Singh</w:t>
      </w:r>
      <w:r w:rsidRPr="00270B29">
        <w:rPr>
          <w:spacing w:val="-2"/>
          <w:kern w:val="22"/>
          <w:lang w:val="en-GB"/>
        </w:rPr>
        <w:t xml:space="preserve"> also </w:t>
      </w:r>
      <w:r w:rsidR="007D3040" w:rsidRPr="00270B29">
        <w:rPr>
          <w:spacing w:val="-2"/>
          <w:kern w:val="22"/>
          <w:lang w:val="en-GB"/>
        </w:rPr>
        <w:t>had plans for</w:t>
      </w:r>
      <w:r w:rsidRPr="00270B29">
        <w:rPr>
          <w:spacing w:val="-2"/>
          <w:kern w:val="22"/>
          <w:lang w:val="en-GB"/>
        </w:rPr>
        <w:t xml:space="preserve"> </w:t>
      </w:r>
      <w:r w:rsidR="007D3040" w:rsidRPr="00270B29">
        <w:rPr>
          <w:spacing w:val="-2"/>
          <w:kern w:val="22"/>
          <w:lang w:val="en-GB"/>
        </w:rPr>
        <w:t xml:space="preserve">a new online </w:t>
      </w:r>
      <w:r w:rsidR="006623E7" w:rsidRPr="00270B29">
        <w:rPr>
          <w:spacing w:val="-2"/>
          <w:kern w:val="22"/>
          <w:lang w:val="en-GB"/>
        </w:rPr>
        <w:t>music channel</w:t>
      </w:r>
      <w:r w:rsidR="007D3040" w:rsidRPr="00270B29">
        <w:rPr>
          <w:spacing w:val="-2"/>
          <w:kern w:val="22"/>
          <w:lang w:val="en-GB"/>
        </w:rPr>
        <w:t xml:space="preserve"> called </w:t>
      </w:r>
      <w:proofErr w:type="spellStart"/>
      <w:r w:rsidRPr="00270B29">
        <w:rPr>
          <w:spacing w:val="-2"/>
          <w:kern w:val="22"/>
          <w:lang w:val="en-GB"/>
        </w:rPr>
        <w:t>Tiktauli</w:t>
      </w:r>
      <w:proofErr w:type="spellEnd"/>
      <w:r w:rsidRPr="00270B29">
        <w:rPr>
          <w:spacing w:val="-2"/>
          <w:kern w:val="22"/>
          <w:lang w:val="en-GB"/>
        </w:rPr>
        <w:t xml:space="preserve"> Air</w:t>
      </w:r>
      <w:r w:rsidR="007D3040" w:rsidRPr="00270B29">
        <w:rPr>
          <w:spacing w:val="-2"/>
          <w:kern w:val="22"/>
          <w:lang w:val="en-GB"/>
        </w:rPr>
        <w:t>, with</w:t>
      </w:r>
      <w:r w:rsidRPr="00270B29">
        <w:rPr>
          <w:spacing w:val="-2"/>
          <w:kern w:val="22"/>
          <w:lang w:val="en-GB"/>
        </w:rPr>
        <w:t xml:space="preserve"> nearly 50 EDM </w:t>
      </w:r>
      <w:r w:rsidR="007D3040" w:rsidRPr="00270B29">
        <w:rPr>
          <w:spacing w:val="-2"/>
          <w:kern w:val="22"/>
          <w:lang w:val="en-GB"/>
        </w:rPr>
        <w:t>disk</w:t>
      </w:r>
      <w:r w:rsidR="005968C7" w:rsidRPr="00270B29">
        <w:rPr>
          <w:spacing w:val="-2"/>
          <w:kern w:val="22"/>
          <w:lang w:val="en-GB"/>
        </w:rPr>
        <w:t xml:space="preserve"> jockeys (</w:t>
      </w:r>
      <w:r w:rsidRPr="00270B29">
        <w:rPr>
          <w:spacing w:val="-2"/>
          <w:kern w:val="22"/>
          <w:lang w:val="en-GB"/>
        </w:rPr>
        <w:t>DJs</w:t>
      </w:r>
      <w:r w:rsidR="005968C7" w:rsidRPr="00270B29">
        <w:rPr>
          <w:spacing w:val="-2"/>
          <w:kern w:val="22"/>
          <w:lang w:val="en-GB"/>
        </w:rPr>
        <w:t>)</w:t>
      </w:r>
      <w:r w:rsidRPr="00270B29">
        <w:rPr>
          <w:spacing w:val="-2"/>
          <w:kern w:val="22"/>
          <w:lang w:val="en-GB"/>
        </w:rPr>
        <w:t xml:space="preserve"> </w:t>
      </w:r>
      <w:r w:rsidR="007D3040" w:rsidRPr="00270B29">
        <w:rPr>
          <w:spacing w:val="-2"/>
          <w:kern w:val="22"/>
          <w:lang w:val="en-GB"/>
        </w:rPr>
        <w:t xml:space="preserve">from </w:t>
      </w:r>
      <w:r w:rsidRPr="00270B29">
        <w:rPr>
          <w:spacing w:val="-2"/>
          <w:kern w:val="22"/>
          <w:lang w:val="en-GB"/>
        </w:rPr>
        <w:t>around the world</w:t>
      </w:r>
      <w:r w:rsidR="007D3040" w:rsidRPr="00270B29">
        <w:rPr>
          <w:spacing w:val="-2"/>
          <w:kern w:val="22"/>
          <w:lang w:val="en-GB"/>
        </w:rPr>
        <w:t xml:space="preserve"> streaming EDM</w:t>
      </w:r>
      <w:r w:rsidR="001515C0" w:rsidRPr="00270B29">
        <w:rPr>
          <w:spacing w:val="-2"/>
          <w:kern w:val="22"/>
          <w:lang w:val="en-GB"/>
        </w:rPr>
        <w:t xml:space="preserve"> on the website</w:t>
      </w:r>
      <w:r w:rsidRPr="00270B29">
        <w:rPr>
          <w:spacing w:val="-2"/>
          <w:kern w:val="22"/>
          <w:lang w:val="en-GB"/>
        </w:rPr>
        <w:t>. With TDC’s head office established in Nevada,</w:t>
      </w:r>
      <w:r w:rsidR="00CA04B8" w:rsidRPr="00270B29">
        <w:rPr>
          <w:spacing w:val="-2"/>
          <w:kern w:val="22"/>
          <w:lang w:val="en-GB"/>
        </w:rPr>
        <w:t xml:space="preserve"> United States,</w:t>
      </w:r>
      <w:r w:rsidRPr="00270B29">
        <w:rPr>
          <w:spacing w:val="-2"/>
          <w:kern w:val="22"/>
          <w:lang w:val="en-GB"/>
        </w:rPr>
        <w:t xml:space="preserve"> Singh planned to expand in</w:t>
      </w:r>
      <w:r w:rsidR="007D3040" w:rsidRPr="00270B29">
        <w:rPr>
          <w:spacing w:val="-2"/>
          <w:kern w:val="22"/>
          <w:lang w:val="en-GB"/>
        </w:rPr>
        <w:t>to the United States, as well as</w:t>
      </w:r>
      <w:r w:rsidRPr="00270B29">
        <w:rPr>
          <w:spacing w:val="-2"/>
          <w:kern w:val="22"/>
          <w:lang w:val="en-GB"/>
        </w:rPr>
        <w:t xml:space="preserve"> enter</w:t>
      </w:r>
      <w:r w:rsidR="007D3040" w:rsidRPr="00270B29">
        <w:rPr>
          <w:spacing w:val="-2"/>
          <w:kern w:val="22"/>
          <w:lang w:val="en-GB"/>
        </w:rPr>
        <w:t>ing</w:t>
      </w:r>
      <w:r w:rsidRPr="00270B29">
        <w:rPr>
          <w:spacing w:val="-2"/>
          <w:kern w:val="22"/>
          <w:lang w:val="en-GB"/>
        </w:rPr>
        <w:t xml:space="preserve"> Brazil, Iran, Kazakhstan, Nigeria, Romania, Belarus</w:t>
      </w:r>
      <w:r w:rsidR="007D3040" w:rsidRPr="00270B29">
        <w:rPr>
          <w:spacing w:val="-2"/>
          <w:kern w:val="22"/>
          <w:lang w:val="en-GB"/>
        </w:rPr>
        <w:t>,</w:t>
      </w:r>
      <w:r w:rsidRPr="00270B29">
        <w:rPr>
          <w:spacing w:val="-2"/>
          <w:kern w:val="22"/>
          <w:lang w:val="en-GB"/>
        </w:rPr>
        <w:t xml:space="preserve"> and the U</w:t>
      </w:r>
      <w:r w:rsidR="007D3040" w:rsidRPr="00270B29">
        <w:rPr>
          <w:spacing w:val="-2"/>
          <w:kern w:val="22"/>
          <w:lang w:val="en-GB"/>
        </w:rPr>
        <w:t xml:space="preserve">nited </w:t>
      </w:r>
      <w:r w:rsidRPr="00270B29">
        <w:rPr>
          <w:spacing w:val="-2"/>
          <w:kern w:val="22"/>
          <w:lang w:val="en-GB"/>
        </w:rPr>
        <w:t>K</w:t>
      </w:r>
      <w:r w:rsidR="007D3040" w:rsidRPr="00270B29">
        <w:rPr>
          <w:spacing w:val="-2"/>
          <w:kern w:val="22"/>
          <w:lang w:val="en-GB"/>
        </w:rPr>
        <w:t>ingdom</w:t>
      </w:r>
      <w:r w:rsidRPr="00270B29">
        <w:rPr>
          <w:spacing w:val="-2"/>
          <w:kern w:val="22"/>
          <w:lang w:val="en-GB"/>
        </w:rPr>
        <w:t xml:space="preserve"> </w:t>
      </w:r>
      <w:r w:rsidR="007D3040" w:rsidRPr="00270B29">
        <w:rPr>
          <w:spacing w:val="-2"/>
          <w:kern w:val="22"/>
          <w:lang w:val="en-GB"/>
        </w:rPr>
        <w:t>with</w:t>
      </w:r>
      <w:r w:rsidRPr="00270B29">
        <w:rPr>
          <w:spacing w:val="-2"/>
          <w:kern w:val="22"/>
          <w:lang w:val="en-GB"/>
        </w:rPr>
        <w:t>in the next three years. His foreign market expansion strategy was to follow the same path he had taken in India: penetrate popular fashion e-retailing portals and then leverage their reach. This meant introducing TDC products in these foreign markets through popular e</w:t>
      </w:r>
      <w:r w:rsidR="007D3040" w:rsidRPr="00270B29">
        <w:rPr>
          <w:spacing w:val="-2"/>
          <w:kern w:val="22"/>
          <w:lang w:val="en-GB"/>
        </w:rPr>
        <w:t>-</w:t>
      </w:r>
      <w:r w:rsidRPr="00270B29">
        <w:rPr>
          <w:spacing w:val="-2"/>
          <w:kern w:val="22"/>
          <w:lang w:val="en-GB"/>
        </w:rPr>
        <w:t xml:space="preserve">commerce websites such as </w:t>
      </w:r>
      <w:proofErr w:type="spellStart"/>
      <w:r w:rsidRPr="00270B29">
        <w:rPr>
          <w:rFonts w:eastAsia="Calibri"/>
          <w:spacing w:val="-2"/>
          <w:kern w:val="22"/>
          <w:lang w:val="en-GB"/>
        </w:rPr>
        <w:t>Zalora</w:t>
      </w:r>
      <w:proofErr w:type="spellEnd"/>
      <w:r w:rsidRPr="00270B29">
        <w:rPr>
          <w:rFonts w:eastAsia="Calibri"/>
          <w:spacing w:val="-2"/>
          <w:kern w:val="22"/>
          <w:lang w:val="en-GB"/>
        </w:rPr>
        <w:t xml:space="preserve"> </w:t>
      </w:r>
      <w:r w:rsidR="007D3040" w:rsidRPr="00270B29">
        <w:rPr>
          <w:rFonts w:eastAsia="Calibri"/>
          <w:spacing w:val="-2"/>
          <w:kern w:val="22"/>
          <w:lang w:val="en-GB"/>
        </w:rPr>
        <w:t>to reach the</w:t>
      </w:r>
      <w:r w:rsidRPr="00270B29">
        <w:rPr>
          <w:rFonts w:eastAsia="Calibri"/>
          <w:spacing w:val="-2"/>
          <w:kern w:val="22"/>
          <w:lang w:val="en-GB"/>
        </w:rPr>
        <w:t xml:space="preserve"> Asia</w:t>
      </w:r>
      <w:r w:rsidR="007D3040" w:rsidRPr="00270B29">
        <w:rPr>
          <w:rFonts w:eastAsia="Calibri"/>
          <w:spacing w:val="-2"/>
          <w:kern w:val="22"/>
          <w:lang w:val="en-GB"/>
        </w:rPr>
        <w:t>n countries of</w:t>
      </w:r>
      <w:r w:rsidRPr="00270B29">
        <w:rPr>
          <w:rFonts w:eastAsia="Calibri"/>
          <w:spacing w:val="-2"/>
          <w:kern w:val="22"/>
          <w:lang w:val="en-GB"/>
        </w:rPr>
        <w:t xml:space="preserve"> Malaysia, Singapore, and Indonesia; Next Brazil</w:t>
      </w:r>
      <w:r w:rsidR="007D3040" w:rsidRPr="00270B29">
        <w:rPr>
          <w:rFonts w:eastAsia="Calibri"/>
          <w:spacing w:val="-2"/>
          <w:kern w:val="22"/>
          <w:lang w:val="en-GB"/>
        </w:rPr>
        <w:t xml:space="preserve"> to enter the</w:t>
      </w:r>
      <w:r w:rsidRPr="00270B29">
        <w:rPr>
          <w:rFonts w:eastAsia="Calibri"/>
          <w:spacing w:val="-2"/>
          <w:kern w:val="22"/>
          <w:lang w:val="en-GB"/>
        </w:rPr>
        <w:t xml:space="preserve"> Brazil</w:t>
      </w:r>
      <w:r w:rsidR="007D3040" w:rsidRPr="00270B29">
        <w:rPr>
          <w:rFonts w:eastAsia="Calibri"/>
          <w:spacing w:val="-2"/>
          <w:kern w:val="22"/>
          <w:lang w:val="en-GB"/>
        </w:rPr>
        <w:t xml:space="preserve"> market</w:t>
      </w:r>
      <w:r w:rsidRPr="00270B29">
        <w:rPr>
          <w:rFonts w:eastAsia="Calibri"/>
          <w:spacing w:val="-2"/>
          <w:kern w:val="22"/>
          <w:lang w:val="en-GB"/>
        </w:rPr>
        <w:t xml:space="preserve">; and </w:t>
      </w:r>
      <w:r w:rsidR="006623E7" w:rsidRPr="00270B29">
        <w:rPr>
          <w:rFonts w:eastAsia="Calibri"/>
          <w:spacing w:val="-2"/>
          <w:kern w:val="22"/>
          <w:lang w:val="en-GB"/>
        </w:rPr>
        <w:t>W</w:t>
      </w:r>
      <w:r w:rsidRPr="00270B29">
        <w:rPr>
          <w:rFonts w:eastAsia="Calibri"/>
          <w:spacing w:val="-2"/>
          <w:kern w:val="22"/>
          <w:lang w:val="en-GB"/>
        </w:rPr>
        <w:t>ildberries.kz</w:t>
      </w:r>
      <w:r w:rsidR="006623E7" w:rsidRPr="00270B29">
        <w:rPr>
          <w:rFonts w:eastAsia="Calibri"/>
          <w:spacing w:val="-2"/>
          <w:kern w:val="22"/>
          <w:lang w:val="en-GB"/>
        </w:rPr>
        <w:t xml:space="preserve"> to reach</w:t>
      </w:r>
      <w:r w:rsidRPr="00270B29">
        <w:rPr>
          <w:rFonts w:eastAsia="Calibri"/>
          <w:spacing w:val="-2"/>
          <w:kern w:val="22"/>
          <w:lang w:val="en-GB"/>
        </w:rPr>
        <w:t xml:space="preserve"> Kazakhstan.</w:t>
      </w:r>
    </w:p>
    <w:p w14:paraId="2A8FC7F3" w14:textId="77777777" w:rsidR="00146BF2" w:rsidRPr="000343FB" w:rsidRDefault="00146BF2" w:rsidP="00146BF2">
      <w:pPr>
        <w:pStyle w:val="BodyTextMain"/>
        <w:rPr>
          <w:rFonts w:eastAsia="Calibri"/>
          <w:lang w:val="en-GB"/>
        </w:rPr>
      </w:pPr>
    </w:p>
    <w:p w14:paraId="68F67710" w14:textId="77777777" w:rsidR="00146BF2" w:rsidRPr="000343FB" w:rsidRDefault="00146BF2" w:rsidP="00146BF2">
      <w:pPr>
        <w:pStyle w:val="BodyTextMain"/>
        <w:rPr>
          <w:lang w:val="en-GB"/>
        </w:rPr>
      </w:pPr>
    </w:p>
    <w:p w14:paraId="52428D15" w14:textId="77777777" w:rsidR="00146BF2" w:rsidRPr="000343FB" w:rsidRDefault="00146BF2" w:rsidP="00146BF2">
      <w:pPr>
        <w:pStyle w:val="Casehead2"/>
        <w:rPr>
          <w:lang w:val="en-GB"/>
        </w:rPr>
      </w:pPr>
      <w:r w:rsidRPr="000343FB">
        <w:rPr>
          <w:lang w:val="en-GB"/>
        </w:rPr>
        <w:t xml:space="preserve">Core Businesses </w:t>
      </w:r>
    </w:p>
    <w:p w14:paraId="5E2B4A86" w14:textId="77777777" w:rsidR="00146BF2" w:rsidRPr="000343FB" w:rsidRDefault="00146BF2" w:rsidP="00146BF2">
      <w:pPr>
        <w:pStyle w:val="BodyTextMain"/>
        <w:rPr>
          <w:lang w:val="en-GB"/>
        </w:rPr>
      </w:pPr>
    </w:p>
    <w:p w14:paraId="3DD6E619" w14:textId="3FD02034" w:rsidR="006623E7" w:rsidRDefault="00146BF2" w:rsidP="00146BF2">
      <w:pPr>
        <w:pStyle w:val="BodyTextMain"/>
        <w:rPr>
          <w:rFonts w:eastAsia="Calibri"/>
          <w:lang w:val="en-GB"/>
        </w:rPr>
      </w:pPr>
      <w:r w:rsidRPr="000343FB">
        <w:rPr>
          <w:rFonts w:eastAsia="Calibri"/>
          <w:lang w:val="en-GB"/>
        </w:rPr>
        <w:t>T</w:t>
      </w:r>
      <w:r w:rsidR="006623E7">
        <w:rPr>
          <w:rFonts w:eastAsia="Calibri"/>
          <w:lang w:val="en-GB"/>
        </w:rPr>
        <w:t>DC’s</w:t>
      </w:r>
      <w:r w:rsidRPr="000343FB">
        <w:rPr>
          <w:rFonts w:eastAsia="Calibri"/>
          <w:lang w:val="en-GB"/>
        </w:rPr>
        <w:t xml:space="preserve"> core businesses comprised of two </w:t>
      </w:r>
      <w:r w:rsidR="00577E7D">
        <w:rPr>
          <w:rFonts w:eastAsia="Calibri"/>
          <w:lang w:val="en-GB"/>
        </w:rPr>
        <w:t xml:space="preserve">business </w:t>
      </w:r>
      <w:r w:rsidRPr="000343FB">
        <w:rPr>
          <w:rFonts w:eastAsia="Calibri"/>
          <w:lang w:val="en-GB"/>
        </w:rPr>
        <w:t xml:space="preserve">verticals: B2B </w:t>
      </w:r>
      <w:proofErr w:type="spellStart"/>
      <w:r w:rsidR="00EA45DE">
        <w:rPr>
          <w:rFonts w:eastAsia="Calibri"/>
          <w:lang w:val="en-GB"/>
        </w:rPr>
        <w:t>f</w:t>
      </w:r>
      <w:r w:rsidR="00EA45DE" w:rsidRPr="000343FB">
        <w:rPr>
          <w:rFonts w:eastAsia="Calibri"/>
          <w:lang w:val="en-GB"/>
        </w:rPr>
        <w:t>ulfil</w:t>
      </w:r>
      <w:r w:rsidR="00161C92">
        <w:rPr>
          <w:rFonts w:eastAsia="Calibri"/>
          <w:lang w:val="en-GB"/>
        </w:rPr>
        <w:t>l</w:t>
      </w:r>
      <w:r w:rsidR="00EA45DE">
        <w:rPr>
          <w:rFonts w:eastAsia="Calibri"/>
          <w:lang w:val="en-GB"/>
        </w:rPr>
        <w:t>m</w:t>
      </w:r>
      <w:r w:rsidR="00EA45DE" w:rsidRPr="000343FB">
        <w:rPr>
          <w:rFonts w:eastAsia="Calibri"/>
          <w:lang w:val="en-GB"/>
        </w:rPr>
        <w:t>ent</w:t>
      </w:r>
      <w:proofErr w:type="spellEnd"/>
      <w:r w:rsidRPr="000343FB">
        <w:rPr>
          <w:rFonts w:eastAsia="Calibri"/>
          <w:lang w:val="en-GB"/>
        </w:rPr>
        <w:t xml:space="preserve"> and company</w:t>
      </w:r>
      <w:r w:rsidR="00577E7D">
        <w:rPr>
          <w:rFonts w:eastAsia="Calibri"/>
          <w:lang w:val="en-GB"/>
        </w:rPr>
        <w:t xml:space="preserve"> </w:t>
      </w:r>
      <w:r w:rsidRPr="000343FB">
        <w:rPr>
          <w:rFonts w:eastAsia="Calibri"/>
          <w:lang w:val="en-GB"/>
        </w:rPr>
        <w:t xml:space="preserve">owned brands. The company had </w:t>
      </w:r>
      <w:r w:rsidR="006623E7">
        <w:rPr>
          <w:rFonts w:eastAsia="Calibri"/>
          <w:lang w:val="en-GB"/>
        </w:rPr>
        <w:t>already realized some success</w:t>
      </w:r>
      <w:r w:rsidRPr="000343FB">
        <w:rPr>
          <w:rFonts w:eastAsia="Calibri"/>
          <w:lang w:val="en-GB"/>
        </w:rPr>
        <w:t xml:space="preserve"> in the f</w:t>
      </w:r>
      <w:r w:rsidR="006623E7">
        <w:rPr>
          <w:rFonts w:eastAsia="Calibri"/>
          <w:lang w:val="en-GB"/>
        </w:rPr>
        <w:t>irst segment, as</w:t>
      </w:r>
      <w:r w:rsidRPr="000343FB">
        <w:rPr>
          <w:rFonts w:eastAsia="Calibri"/>
          <w:lang w:val="en-GB"/>
        </w:rPr>
        <w:t xml:space="preserve"> Singh</w:t>
      </w:r>
      <w:r w:rsidR="006623E7">
        <w:rPr>
          <w:rFonts w:eastAsia="Calibri"/>
          <w:lang w:val="en-GB"/>
        </w:rPr>
        <w:t xml:space="preserve"> confirmed:</w:t>
      </w:r>
    </w:p>
    <w:p w14:paraId="78462ABD" w14:textId="77777777" w:rsidR="006623E7" w:rsidRDefault="006623E7" w:rsidP="00146BF2">
      <w:pPr>
        <w:pStyle w:val="BodyTextMain"/>
        <w:rPr>
          <w:rFonts w:eastAsia="Calibri"/>
          <w:lang w:val="en-GB"/>
        </w:rPr>
      </w:pPr>
    </w:p>
    <w:p w14:paraId="36E296D0" w14:textId="4F94C1F6" w:rsidR="00146BF2" w:rsidRPr="000343FB" w:rsidRDefault="00146BF2" w:rsidP="00412C0E">
      <w:pPr>
        <w:pStyle w:val="BodyTextMain"/>
        <w:ind w:left="720"/>
        <w:rPr>
          <w:lang w:val="en-GB"/>
        </w:rPr>
      </w:pPr>
      <w:r w:rsidRPr="000343FB">
        <w:rPr>
          <w:rFonts w:eastAsia="Calibri"/>
          <w:lang w:val="en-GB"/>
        </w:rPr>
        <w:t>B2B was kind of unorganized earlier</w:t>
      </w:r>
      <w:r w:rsidR="001E146D">
        <w:rPr>
          <w:rFonts w:eastAsia="Calibri"/>
          <w:lang w:val="en-GB"/>
        </w:rPr>
        <w:t>,</w:t>
      </w:r>
      <w:r w:rsidRPr="000343FB">
        <w:rPr>
          <w:rFonts w:eastAsia="Calibri"/>
          <w:lang w:val="en-GB"/>
        </w:rPr>
        <w:t xml:space="preserve"> wherein e-commerce companies did not have any direct relationships with brands. TDC forged excellent relationships with several brands after those initial years of learning and had signed agreements with brands like Fila, Adidas</w:t>
      </w:r>
      <w:r w:rsidR="006623E7">
        <w:rPr>
          <w:rFonts w:eastAsia="Calibri"/>
          <w:lang w:val="en-GB"/>
        </w:rPr>
        <w:t>,</w:t>
      </w:r>
      <w:r w:rsidRPr="000343FB">
        <w:rPr>
          <w:rFonts w:eastAsia="Calibri"/>
          <w:lang w:val="en-GB"/>
        </w:rPr>
        <w:t xml:space="preserve"> and Reebok in India. </w:t>
      </w:r>
      <w:r w:rsidRPr="000343FB">
        <w:rPr>
          <w:lang w:val="en-GB"/>
        </w:rPr>
        <w:t xml:space="preserve">B2B </w:t>
      </w:r>
      <w:proofErr w:type="spellStart"/>
      <w:r w:rsidRPr="000343FB">
        <w:rPr>
          <w:lang w:val="en-GB"/>
        </w:rPr>
        <w:t>fulfi</w:t>
      </w:r>
      <w:r w:rsidR="00161C92">
        <w:rPr>
          <w:lang w:val="en-GB"/>
        </w:rPr>
        <w:t>l</w:t>
      </w:r>
      <w:r w:rsidRPr="000343FB">
        <w:rPr>
          <w:lang w:val="en-GB"/>
        </w:rPr>
        <w:t>lment</w:t>
      </w:r>
      <w:proofErr w:type="spellEnd"/>
      <w:r w:rsidRPr="000343FB">
        <w:rPr>
          <w:lang w:val="en-GB"/>
        </w:rPr>
        <w:t xml:space="preserve"> had been the major bread</w:t>
      </w:r>
      <w:r w:rsidR="006623E7">
        <w:rPr>
          <w:lang w:val="en-GB"/>
        </w:rPr>
        <w:t>-</w:t>
      </w:r>
      <w:r w:rsidRPr="000343FB">
        <w:rPr>
          <w:lang w:val="en-GB"/>
        </w:rPr>
        <w:t>and</w:t>
      </w:r>
      <w:r w:rsidR="006623E7">
        <w:rPr>
          <w:lang w:val="en-GB"/>
        </w:rPr>
        <w:t>-</w:t>
      </w:r>
      <w:r w:rsidRPr="000343FB">
        <w:rPr>
          <w:lang w:val="en-GB"/>
        </w:rPr>
        <w:t>butter vertical for the past four years at the group.</w:t>
      </w:r>
    </w:p>
    <w:p w14:paraId="2DC070AC" w14:textId="77777777" w:rsidR="00146BF2" w:rsidRPr="000343FB" w:rsidRDefault="00146BF2" w:rsidP="00146BF2">
      <w:pPr>
        <w:pStyle w:val="BodyTextMain"/>
        <w:rPr>
          <w:lang w:val="en-GB"/>
        </w:rPr>
      </w:pPr>
    </w:p>
    <w:p w14:paraId="3F145B14" w14:textId="5F3444FA" w:rsidR="00146BF2" w:rsidRPr="000343FB" w:rsidRDefault="00577E7D" w:rsidP="00146BF2">
      <w:pPr>
        <w:pStyle w:val="BodyTextMain"/>
        <w:rPr>
          <w:rFonts w:eastAsia="Calibri"/>
          <w:lang w:val="en-GB"/>
        </w:rPr>
      </w:pPr>
      <w:r>
        <w:rPr>
          <w:lang w:val="en-GB"/>
        </w:rPr>
        <w:t>TDC had t</w:t>
      </w:r>
      <w:r w:rsidR="00146BF2" w:rsidRPr="000343FB">
        <w:rPr>
          <w:lang w:val="en-GB"/>
        </w:rPr>
        <w:t>h</w:t>
      </w:r>
      <w:r>
        <w:rPr>
          <w:lang w:val="en-GB"/>
        </w:rPr>
        <w:t>r</w:t>
      </w:r>
      <w:r w:rsidR="00146BF2" w:rsidRPr="000343FB">
        <w:rPr>
          <w:lang w:val="en-GB"/>
        </w:rPr>
        <w:t>e</w:t>
      </w:r>
      <w:r>
        <w:rPr>
          <w:lang w:val="en-GB"/>
        </w:rPr>
        <w:t>e</w:t>
      </w:r>
      <w:r w:rsidR="00146BF2" w:rsidRPr="000343FB">
        <w:rPr>
          <w:lang w:val="en-GB"/>
        </w:rPr>
        <w:t xml:space="preserve"> </w:t>
      </w:r>
      <w:r>
        <w:rPr>
          <w:lang w:val="en-GB"/>
        </w:rPr>
        <w:t xml:space="preserve">currently active </w:t>
      </w:r>
      <w:r w:rsidR="00146BF2" w:rsidRPr="000343FB">
        <w:rPr>
          <w:lang w:val="en-GB"/>
        </w:rPr>
        <w:t>company</w:t>
      </w:r>
      <w:r>
        <w:rPr>
          <w:lang w:val="en-GB"/>
        </w:rPr>
        <w:t xml:space="preserve"> </w:t>
      </w:r>
      <w:r w:rsidR="00146BF2" w:rsidRPr="000343FB">
        <w:rPr>
          <w:lang w:val="en-GB"/>
        </w:rPr>
        <w:t>owned brands</w:t>
      </w:r>
      <w:r>
        <w:rPr>
          <w:lang w:val="en-GB"/>
        </w:rPr>
        <w:t>:</w:t>
      </w:r>
      <w:r w:rsidR="00146BF2" w:rsidRPr="000343FB">
        <w:rPr>
          <w:lang w:val="en-GB"/>
        </w:rPr>
        <w:t xml:space="preserve"> TDC</w:t>
      </w:r>
      <w:r>
        <w:rPr>
          <w:lang w:val="en-GB"/>
        </w:rPr>
        <w:t>, which</w:t>
      </w:r>
      <w:r w:rsidR="00146BF2" w:rsidRPr="000343FB">
        <w:rPr>
          <w:lang w:val="en-GB"/>
        </w:rPr>
        <w:t xml:space="preserve"> marketed apparel, footwear, and accessories; </w:t>
      </w:r>
      <w:proofErr w:type="spellStart"/>
      <w:r w:rsidR="00146BF2" w:rsidRPr="000343FB">
        <w:rPr>
          <w:lang w:val="en-GB"/>
        </w:rPr>
        <w:t>Fieldgear</w:t>
      </w:r>
      <w:proofErr w:type="spellEnd"/>
      <w:r>
        <w:rPr>
          <w:lang w:val="en-GB"/>
        </w:rPr>
        <w:t>, which</w:t>
      </w:r>
      <w:r w:rsidR="00146BF2" w:rsidRPr="000343FB">
        <w:rPr>
          <w:lang w:val="en-GB"/>
        </w:rPr>
        <w:t xml:space="preserve"> sold sports apparel and equipment; and </w:t>
      </w:r>
      <w:proofErr w:type="spellStart"/>
      <w:r w:rsidR="00146BF2" w:rsidRPr="000343FB">
        <w:rPr>
          <w:lang w:val="en-GB"/>
        </w:rPr>
        <w:t>Koolho</w:t>
      </w:r>
      <w:proofErr w:type="spellEnd"/>
      <w:r>
        <w:rPr>
          <w:lang w:val="en-GB"/>
        </w:rPr>
        <w:t>,</w:t>
      </w:r>
      <w:r w:rsidR="00146BF2" w:rsidRPr="000343FB">
        <w:rPr>
          <w:vertAlign w:val="superscript"/>
          <w:lang w:val="en-GB"/>
        </w:rPr>
        <w:endnoteReference w:id="4"/>
      </w:r>
      <w:r w:rsidR="00146BF2" w:rsidRPr="000343FB">
        <w:rPr>
          <w:lang w:val="en-GB"/>
        </w:rPr>
        <w:t xml:space="preserve"> </w:t>
      </w:r>
      <w:r>
        <w:rPr>
          <w:lang w:val="en-GB"/>
        </w:rPr>
        <w:t>which provided</w:t>
      </w:r>
      <w:r w:rsidR="00146BF2" w:rsidRPr="000343FB">
        <w:rPr>
          <w:lang w:val="en-GB"/>
        </w:rPr>
        <w:t xml:space="preserve"> affordable premium quality apparel</w:t>
      </w:r>
      <w:r w:rsidR="006623E7">
        <w:rPr>
          <w:lang w:val="en-GB"/>
        </w:rPr>
        <w:t xml:space="preserve"> (see Exhibits 1 and 2)</w:t>
      </w:r>
      <w:r w:rsidR="00146BF2" w:rsidRPr="000343FB">
        <w:rPr>
          <w:lang w:val="en-GB"/>
        </w:rPr>
        <w:t xml:space="preserve">. </w:t>
      </w:r>
      <w:r w:rsidR="006623E7">
        <w:rPr>
          <w:lang w:val="en-GB"/>
        </w:rPr>
        <w:t>A</w:t>
      </w:r>
      <w:r w:rsidR="00146BF2" w:rsidRPr="000343FB">
        <w:rPr>
          <w:lang w:val="en-GB"/>
        </w:rPr>
        <w:t xml:space="preserve"> fourth brand</w:t>
      </w:r>
      <w:r w:rsidR="006623E7">
        <w:rPr>
          <w:lang w:val="en-GB"/>
        </w:rPr>
        <w:t>—</w:t>
      </w:r>
      <w:r w:rsidR="00146BF2" w:rsidRPr="000343FB">
        <w:rPr>
          <w:lang w:val="en-GB"/>
        </w:rPr>
        <w:t xml:space="preserve">the soon-to-be-launched </w:t>
      </w:r>
      <w:proofErr w:type="spellStart"/>
      <w:r w:rsidR="00146BF2" w:rsidRPr="000343FB">
        <w:rPr>
          <w:lang w:val="en-GB"/>
        </w:rPr>
        <w:t>Tiktauli</w:t>
      </w:r>
      <w:proofErr w:type="spellEnd"/>
      <w:r w:rsidR="00146BF2" w:rsidRPr="000343FB">
        <w:rPr>
          <w:lang w:val="en-GB"/>
        </w:rPr>
        <w:t xml:space="preserve"> Air </w:t>
      </w:r>
      <w:r w:rsidR="006623E7">
        <w:rPr>
          <w:lang w:val="en-GB"/>
        </w:rPr>
        <w:t xml:space="preserve">online </w:t>
      </w:r>
      <w:r w:rsidR="00146BF2" w:rsidRPr="000343FB">
        <w:rPr>
          <w:lang w:val="en-GB"/>
        </w:rPr>
        <w:t>music channel</w:t>
      </w:r>
      <w:r w:rsidR="006623E7">
        <w:rPr>
          <w:lang w:val="en-GB"/>
        </w:rPr>
        <w:t>—</w:t>
      </w:r>
      <w:r w:rsidR="00146BF2" w:rsidRPr="000343FB">
        <w:rPr>
          <w:lang w:val="en-GB"/>
        </w:rPr>
        <w:t>was still in a conceptual stage</w:t>
      </w:r>
      <w:r w:rsidR="006623E7">
        <w:rPr>
          <w:lang w:val="en-GB"/>
        </w:rPr>
        <w:t>.</w:t>
      </w:r>
      <w:r w:rsidR="00146BF2" w:rsidRPr="000343FB">
        <w:rPr>
          <w:lang w:val="en-GB"/>
        </w:rPr>
        <w:t xml:space="preserve"> </w:t>
      </w:r>
      <w:r w:rsidR="006623E7">
        <w:rPr>
          <w:lang w:val="en-GB"/>
        </w:rPr>
        <w:t>Although its launch</w:t>
      </w:r>
      <w:r w:rsidR="00146BF2" w:rsidRPr="000343FB">
        <w:rPr>
          <w:lang w:val="en-GB"/>
        </w:rPr>
        <w:t xml:space="preserve"> was still more than a year away, </w:t>
      </w:r>
      <w:r w:rsidR="006623E7">
        <w:rPr>
          <w:lang w:val="en-GB"/>
        </w:rPr>
        <w:t>the music channel</w:t>
      </w:r>
      <w:r w:rsidR="00146BF2" w:rsidRPr="000343FB">
        <w:rPr>
          <w:lang w:val="en-GB"/>
        </w:rPr>
        <w:t xml:space="preserve"> formed an integral part of Singh’s music-apparel vision. </w:t>
      </w:r>
    </w:p>
    <w:p w14:paraId="0AF6F1EC" w14:textId="77777777" w:rsidR="00146BF2" w:rsidRPr="000343FB" w:rsidRDefault="00146BF2" w:rsidP="00146BF2">
      <w:pPr>
        <w:pStyle w:val="BodyTextMain"/>
        <w:rPr>
          <w:rFonts w:eastAsia="Calibri"/>
          <w:lang w:val="en-GB"/>
        </w:rPr>
      </w:pPr>
    </w:p>
    <w:p w14:paraId="3EABB48A" w14:textId="77777777" w:rsidR="006623E7" w:rsidRDefault="006623E7" w:rsidP="00146BF2">
      <w:pPr>
        <w:pStyle w:val="Casehead2"/>
        <w:rPr>
          <w:rFonts w:eastAsia="Calibri"/>
          <w:lang w:val="en-GB"/>
        </w:rPr>
      </w:pPr>
    </w:p>
    <w:p w14:paraId="5C39E8C0" w14:textId="77777777" w:rsidR="00146BF2" w:rsidRPr="000343FB" w:rsidRDefault="00146BF2" w:rsidP="00146BF2">
      <w:pPr>
        <w:pStyle w:val="Casehead2"/>
        <w:rPr>
          <w:rFonts w:eastAsia="Calibri"/>
          <w:lang w:val="en-GB"/>
        </w:rPr>
      </w:pPr>
      <w:r w:rsidRPr="000343FB">
        <w:rPr>
          <w:rFonts w:eastAsia="Calibri"/>
          <w:lang w:val="en-GB"/>
        </w:rPr>
        <w:t>TDC’s Strengths</w:t>
      </w:r>
    </w:p>
    <w:p w14:paraId="34A2E6B1" w14:textId="77777777" w:rsidR="00146BF2" w:rsidRPr="000343FB" w:rsidRDefault="00146BF2" w:rsidP="00146BF2">
      <w:pPr>
        <w:pStyle w:val="BodyTextMain"/>
        <w:rPr>
          <w:rFonts w:eastAsia="Calibri"/>
          <w:lang w:val="en-GB"/>
        </w:rPr>
      </w:pPr>
    </w:p>
    <w:p w14:paraId="6878DF14" w14:textId="137CEB0D" w:rsidR="00146BF2" w:rsidRPr="000343FB" w:rsidRDefault="00146BF2" w:rsidP="00146BF2">
      <w:pPr>
        <w:pStyle w:val="BodyTextMain"/>
        <w:rPr>
          <w:rFonts w:eastAsia="Calibri"/>
          <w:lang w:val="en-GB"/>
        </w:rPr>
      </w:pPr>
      <w:r w:rsidRPr="000343FB">
        <w:rPr>
          <w:rFonts w:eastAsia="Calibri"/>
          <w:lang w:val="en-GB"/>
        </w:rPr>
        <w:t xml:space="preserve">From the beginning, Singh </w:t>
      </w:r>
      <w:r w:rsidR="004F26FB">
        <w:rPr>
          <w:rFonts w:eastAsia="Calibri"/>
          <w:lang w:val="en-GB"/>
        </w:rPr>
        <w:t xml:space="preserve">had </w:t>
      </w:r>
      <w:r w:rsidRPr="000343FB">
        <w:rPr>
          <w:rFonts w:eastAsia="Calibri"/>
          <w:lang w:val="en-GB"/>
        </w:rPr>
        <w:t xml:space="preserve">hired talented designers from </w:t>
      </w:r>
      <w:r w:rsidR="00B95013">
        <w:rPr>
          <w:rFonts w:eastAsia="Calibri"/>
          <w:lang w:val="en-GB"/>
        </w:rPr>
        <w:t xml:space="preserve">design schools in </w:t>
      </w:r>
      <w:r w:rsidR="00CA04B8">
        <w:rPr>
          <w:rFonts w:eastAsia="Calibri"/>
          <w:lang w:val="en-GB"/>
        </w:rPr>
        <w:t>the United States and the United Kingdom</w:t>
      </w:r>
      <w:r w:rsidR="003D6552">
        <w:rPr>
          <w:rFonts w:eastAsia="Calibri"/>
          <w:lang w:val="en-GB"/>
        </w:rPr>
        <w:t>, as well as from</w:t>
      </w:r>
      <w:r w:rsidRPr="000343FB">
        <w:rPr>
          <w:rFonts w:eastAsia="Calibri"/>
          <w:lang w:val="en-GB"/>
        </w:rPr>
        <w:t xml:space="preserve"> India’s own premier National Institute of Fashion Technology’s apparel design and production school. </w:t>
      </w:r>
      <w:r w:rsidR="003D6552">
        <w:rPr>
          <w:rFonts w:eastAsia="Calibri"/>
          <w:lang w:val="en-GB"/>
        </w:rPr>
        <w:t>TDC’s</w:t>
      </w:r>
      <w:r w:rsidRPr="000343FB">
        <w:rPr>
          <w:rFonts w:eastAsia="Calibri"/>
          <w:lang w:val="en-GB"/>
        </w:rPr>
        <w:t xml:space="preserve"> policy </w:t>
      </w:r>
      <w:r w:rsidR="003D6552">
        <w:rPr>
          <w:rFonts w:eastAsia="Calibri"/>
          <w:lang w:val="en-GB"/>
        </w:rPr>
        <w:t xml:space="preserve">to hire from the best schools </w:t>
      </w:r>
      <w:r w:rsidRPr="000343FB">
        <w:rPr>
          <w:rFonts w:eastAsia="Calibri"/>
          <w:lang w:val="en-GB"/>
        </w:rPr>
        <w:t xml:space="preserve">created excellent design and product development strength for the </w:t>
      </w:r>
      <w:r w:rsidR="003D6552">
        <w:rPr>
          <w:rFonts w:eastAsia="Calibri"/>
          <w:lang w:val="en-GB"/>
        </w:rPr>
        <w:t xml:space="preserve">company’s </w:t>
      </w:r>
      <w:r w:rsidRPr="000343FB">
        <w:rPr>
          <w:rFonts w:eastAsia="Calibri"/>
          <w:lang w:val="en-GB"/>
        </w:rPr>
        <w:t>brands</w:t>
      </w:r>
      <w:r w:rsidR="003D6552">
        <w:rPr>
          <w:rFonts w:eastAsia="Calibri"/>
          <w:lang w:val="en-GB"/>
        </w:rPr>
        <w:t>.</w:t>
      </w:r>
      <w:r w:rsidRPr="000343FB">
        <w:rPr>
          <w:rFonts w:eastAsia="Calibri"/>
          <w:lang w:val="en-GB"/>
        </w:rPr>
        <w:t xml:space="preserve"> </w:t>
      </w:r>
      <w:r w:rsidR="003D6552">
        <w:rPr>
          <w:rFonts w:eastAsia="Calibri"/>
          <w:lang w:val="en-GB"/>
        </w:rPr>
        <w:t>With his own</w:t>
      </w:r>
      <w:r w:rsidRPr="000343FB">
        <w:rPr>
          <w:rFonts w:eastAsia="Calibri"/>
          <w:lang w:val="en-GB"/>
        </w:rPr>
        <w:t xml:space="preserve"> background in product marketing and fashion</w:t>
      </w:r>
      <w:r w:rsidR="003D6552">
        <w:rPr>
          <w:rFonts w:eastAsia="Calibri"/>
          <w:lang w:val="en-GB"/>
        </w:rPr>
        <w:t>, Singh had</w:t>
      </w:r>
      <w:r w:rsidRPr="000343FB">
        <w:rPr>
          <w:rFonts w:eastAsia="Calibri"/>
          <w:lang w:val="en-GB"/>
        </w:rPr>
        <w:t xml:space="preserve"> the necessary expertise to manage the brands successfully. </w:t>
      </w:r>
    </w:p>
    <w:p w14:paraId="0012E6C0" w14:textId="77777777" w:rsidR="00146BF2" w:rsidRPr="000343FB" w:rsidRDefault="00146BF2" w:rsidP="00146BF2">
      <w:pPr>
        <w:pStyle w:val="BodyTextMain"/>
        <w:rPr>
          <w:rFonts w:eastAsia="Calibri"/>
          <w:lang w:val="en-GB"/>
        </w:rPr>
      </w:pPr>
    </w:p>
    <w:p w14:paraId="702AF71D" w14:textId="3CDBB06A" w:rsidR="00146BF2" w:rsidRPr="000343FB" w:rsidRDefault="00146BF2" w:rsidP="00146BF2">
      <w:pPr>
        <w:pStyle w:val="BodyTextMain"/>
        <w:rPr>
          <w:rFonts w:eastAsia="Calibri"/>
          <w:lang w:val="en-GB"/>
        </w:rPr>
      </w:pPr>
      <w:r w:rsidRPr="000343FB">
        <w:rPr>
          <w:rFonts w:eastAsia="Calibri"/>
          <w:lang w:val="en-GB"/>
        </w:rPr>
        <w:t xml:space="preserve">Singh </w:t>
      </w:r>
      <w:r w:rsidR="003D6552">
        <w:rPr>
          <w:rFonts w:eastAsia="Calibri"/>
          <w:lang w:val="en-GB"/>
        </w:rPr>
        <w:t>also instilled</w:t>
      </w:r>
      <w:r w:rsidRPr="000343FB">
        <w:rPr>
          <w:rFonts w:eastAsia="Calibri"/>
          <w:lang w:val="en-GB"/>
        </w:rPr>
        <w:t xml:space="preserve"> and nurtured a close-knit </w:t>
      </w:r>
      <w:r w:rsidR="003D6552">
        <w:rPr>
          <w:rFonts w:eastAsia="Calibri"/>
          <w:lang w:val="en-GB"/>
        </w:rPr>
        <w:t>cul</w:t>
      </w:r>
      <w:r w:rsidRPr="000343FB">
        <w:rPr>
          <w:rFonts w:eastAsia="Calibri"/>
          <w:lang w:val="en-GB"/>
        </w:rPr>
        <w:t xml:space="preserve">ture </w:t>
      </w:r>
      <w:r w:rsidR="003D6552">
        <w:rPr>
          <w:rFonts w:eastAsia="Calibri"/>
          <w:lang w:val="en-GB"/>
        </w:rPr>
        <w:t>in</w:t>
      </w:r>
      <w:r w:rsidRPr="000343FB">
        <w:rPr>
          <w:rFonts w:eastAsia="Calibri"/>
          <w:lang w:val="en-GB"/>
        </w:rPr>
        <w:t xml:space="preserve"> his organization. Despite </w:t>
      </w:r>
      <w:r w:rsidR="003D6552">
        <w:rPr>
          <w:rFonts w:eastAsia="Calibri"/>
          <w:lang w:val="en-GB"/>
        </w:rPr>
        <w:t>the company’s fast</w:t>
      </w:r>
      <w:r w:rsidRPr="000343FB">
        <w:rPr>
          <w:rFonts w:eastAsia="Calibri"/>
          <w:lang w:val="en-GB"/>
        </w:rPr>
        <w:t xml:space="preserve"> grow</w:t>
      </w:r>
      <w:r w:rsidR="003D6552">
        <w:rPr>
          <w:rFonts w:eastAsia="Calibri"/>
          <w:lang w:val="en-GB"/>
        </w:rPr>
        <w:t>th</w:t>
      </w:r>
      <w:r w:rsidRPr="000343FB">
        <w:rPr>
          <w:rFonts w:eastAsia="Calibri"/>
          <w:lang w:val="en-GB"/>
        </w:rPr>
        <w:t xml:space="preserve"> in </w:t>
      </w:r>
      <w:r w:rsidR="003D6552">
        <w:rPr>
          <w:rFonts w:eastAsia="Calibri"/>
          <w:lang w:val="en-GB"/>
        </w:rPr>
        <w:t xml:space="preserve">both revenue </w:t>
      </w:r>
      <w:r w:rsidRPr="000343FB">
        <w:rPr>
          <w:rFonts w:eastAsia="Calibri"/>
          <w:lang w:val="en-GB"/>
        </w:rPr>
        <w:t>turnover a</w:t>
      </w:r>
      <w:r w:rsidR="003D6552">
        <w:rPr>
          <w:rFonts w:eastAsia="Calibri"/>
          <w:lang w:val="en-GB"/>
        </w:rPr>
        <w:t>nd</w:t>
      </w:r>
      <w:r w:rsidRPr="000343FB">
        <w:rPr>
          <w:rFonts w:eastAsia="Calibri"/>
          <w:lang w:val="en-GB"/>
        </w:rPr>
        <w:t xml:space="preserve"> </w:t>
      </w:r>
      <w:r w:rsidR="003D6552">
        <w:rPr>
          <w:rFonts w:eastAsia="Calibri"/>
          <w:lang w:val="en-GB"/>
        </w:rPr>
        <w:t>size</w:t>
      </w:r>
      <w:r w:rsidRPr="000343FB">
        <w:rPr>
          <w:rFonts w:eastAsia="Calibri"/>
          <w:lang w:val="en-GB"/>
        </w:rPr>
        <w:t>, employees rarely left the organization. In the six years the company had been in operation</w:t>
      </w:r>
      <w:r w:rsidR="003D6552">
        <w:rPr>
          <w:rFonts w:eastAsia="Calibri"/>
          <w:lang w:val="en-GB"/>
        </w:rPr>
        <w:t>,</w:t>
      </w:r>
      <w:r w:rsidRPr="000343FB">
        <w:rPr>
          <w:rFonts w:eastAsia="Calibri"/>
          <w:lang w:val="en-GB"/>
        </w:rPr>
        <w:t xml:space="preserve"> only two employees had left the firm</w:t>
      </w:r>
      <w:r w:rsidR="003D6552">
        <w:rPr>
          <w:rFonts w:eastAsia="Calibri"/>
          <w:lang w:val="en-GB"/>
        </w:rPr>
        <w:t xml:space="preserve">—both of whom later </w:t>
      </w:r>
      <w:r w:rsidR="00CA04B8">
        <w:rPr>
          <w:rFonts w:eastAsia="Calibri"/>
          <w:lang w:val="en-GB"/>
        </w:rPr>
        <w:t>returned</w:t>
      </w:r>
      <w:r w:rsidR="003D6552">
        <w:rPr>
          <w:rFonts w:eastAsia="Calibri"/>
          <w:lang w:val="en-GB"/>
        </w:rPr>
        <w:t xml:space="preserve"> to TDC, though one</w:t>
      </w:r>
      <w:r w:rsidRPr="000343FB">
        <w:rPr>
          <w:rFonts w:eastAsia="Calibri"/>
          <w:lang w:val="en-GB"/>
        </w:rPr>
        <w:t xml:space="preserve"> could not be </w:t>
      </w:r>
      <w:r w:rsidR="003D6552">
        <w:rPr>
          <w:rFonts w:eastAsia="Calibri"/>
          <w:lang w:val="en-GB"/>
        </w:rPr>
        <w:t>suitably re-</w:t>
      </w:r>
      <w:r w:rsidRPr="000343FB">
        <w:rPr>
          <w:rFonts w:eastAsia="Calibri"/>
          <w:lang w:val="en-GB"/>
        </w:rPr>
        <w:t xml:space="preserve">accommodated </w:t>
      </w:r>
      <w:r w:rsidR="003D6552">
        <w:rPr>
          <w:rFonts w:eastAsia="Calibri"/>
          <w:lang w:val="en-GB"/>
        </w:rPr>
        <w:t>in the organization</w:t>
      </w:r>
      <w:r w:rsidRPr="000343FB">
        <w:rPr>
          <w:rFonts w:eastAsia="Calibri"/>
          <w:lang w:val="en-GB"/>
        </w:rPr>
        <w:t xml:space="preserve"> (see</w:t>
      </w:r>
      <w:r w:rsidRPr="000343FB">
        <w:rPr>
          <w:rFonts w:eastAsia="Calibri"/>
          <w:color w:val="FF0000"/>
          <w:lang w:val="en-GB"/>
        </w:rPr>
        <w:t xml:space="preserve"> </w:t>
      </w:r>
      <w:r w:rsidRPr="000343FB">
        <w:rPr>
          <w:rFonts w:eastAsia="Calibri"/>
          <w:lang w:val="en-GB"/>
        </w:rPr>
        <w:t xml:space="preserve">Exhibit 3). </w:t>
      </w:r>
    </w:p>
    <w:p w14:paraId="3B57098D" w14:textId="77777777" w:rsidR="00146BF2" w:rsidRPr="000343FB" w:rsidRDefault="00146BF2" w:rsidP="00146BF2">
      <w:pPr>
        <w:pStyle w:val="BodyTextMain"/>
        <w:rPr>
          <w:rFonts w:eastAsia="Calibri"/>
          <w:lang w:val="en-GB"/>
        </w:rPr>
      </w:pPr>
    </w:p>
    <w:p w14:paraId="15162AA3" w14:textId="77777777" w:rsidR="00146BF2" w:rsidRPr="000343FB" w:rsidRDefault="00146BF2" w:rsidP="00146BF2">
      <w:pPr>
        <w:pStyle w:val="BodyTextMain"/>
        <w:rPr>
          <w:rFonts w:eastAsia="Calibri"/>
          <w:lang w:val="en-GB"/>
        </w:rPr>
      </w:pPr>
    </w:p>
    <w:p w14:paraId="0E6E5C7A" w14:textId="77777777" w:rsidR="00146BF2" w:rsidRPr="000343FB" w:rsidRDefault="00146BF2" w:rsidP="00146BF2">
      <w:pPr>
        <w:pStyle w:val="Casehead2"/>
        <w:rPr>
          <w:lang w:val="en-GB"/>
        </w:rPr>
      </w:pPr>
      <w:r w:rsidRPr="000343FB">
        <w:rPr>
          <w:lang w:val="en-GB"/>
        </w:rPr>
        <w:t>The TDC Philosophy</w:t>
      </w:r>
    </w:p>
    <w:p w14:paraId="3ADE5CB5" w14:textId="77777777" w:rsidR="00146BF2" w:rsidRPr="000343FB" w:rsidRDefault="00146BF2" w:rsidP="00146BF2">
      <w:pPr>
        <w:pStyle w:val="BodyTextMain"/>
        <w:rPr>
          <w:lang w:val="en-GB"/>
        </w:rPr>
      </w:pPr>
    </w:p>
    <w:p w14:paraId="7F9761EB" w14:textId="3DFBDD33" w:rsidR="00146BF2" w:rsidRDefault="00146BF2" w:rsidP="00146BF2">
      <w:pPr>
        <w:pStyle w:val="BodyTextMain"/>
        <w:rPr>
          <w:spacing w:val="-4"/>
          <w:kern w:val="22"/>
          <w:lang w:val="en-GB"/>
        </w:rPr>
      </w:pPr>
      <w:r w:rsidRPr="00FD454B">
        <w:rPr>
          <w:spacing w:val="-4"/>
          <w:kern w:val="22"/>
          <w:lang w:val="en-GB"/>
        </w:rPr>
        <w:t xml:space="preserve">From a brand positioning perspective, </w:t>
      </w:r>
      <w:r w:rsidR="001E146D" w:rsidRPr="00FD454B">
        <w:rPr>
          <w:spacing w:val="-4"/>
          <w:kern w:val="22"/>
          <w:lang w:val="en-GB"/>
        </w:rPr>
        <w:t>Singh</w:t>
      </w:r>
      <w:r w:rsidRPr="00FD454B">
        <w:rPr>
          <w:spacing w:val="-4"/>
          <w:kern w:val="22"/>
          <w:lang w:val="en-GB"/>
        </w:rPr>
        <w:t xml:space="preserve"> believed in </w:t>
      </w:r>
      <w:r w:rsidR="00A13E08" w:rsidRPr="00FD454B">
        <w:rPr>
          <w:spacing w:val="-4"/>
          <w:kern w:val="22"/>
          <w:lang w:val="en-GB"/>
        </w:rPr>
        <w:t xml:space="preserve">forging </w:t>
      </w:r>
      <w:r w:rsidR="001E146D" w:rsidRPr="00FD454B">
        <w:rPr>
          <w:spacing w:val="-4"/>
          <w:kern w:val="22"/>
          <w:lang w:val="en-GB"/>
        </w:rPr>
        <w:t>h</w:t>
      </w:r>
      <w:r w:rsidR="00577E7D" w:rsidRPr="00FD454B">
        <w:rPr>
          <w:spacing w:val="-4"/>
          <w:kern w:val="22"/>
          <w:lang w:val="en-GB"/>
        </w:rPr>
        <w:t>i</w:t>
      </w:r>
      <w:r w:rsidR="001E146D" w:rsidRPr="00FD454B">
        <w:rPr>
          <w:spacing w:val="-4"/>
          <w:kern w:val="22"/>
          <w:lang w:val="en-GB"/>
        </w:rPr>
        <w:t>s</w:t>
      </w:r>
      <w:r w:rsidR="00A13E08" w:rsidRPr="00FD454B">
        <w:rPr>
          <w:spacing w:val="-4"/>
          <w:kern w:val="22"/>
          <w:lang w:val="en-GB"/>
        </w:rPr>
        <w:t xml:space="preserve"> own path, rather than </w:t>
      </w:r>
      <w:r w:rsidRPr="00FD454B">
        <w:rPr>
          <w:spacing w:val="-4"/>
          <w:kern w:val="22"/>
          <w:lang w:val="en-GB"/>
        </w:rPr>
        <w:t xml:space="preserve">following others. “When others were trying to make </w:t>
      </w:r>
      <w:r w:rsidR="00E8749A" w:rsidRPr="00FD454B">
        <w:rPr>
          <w:spacing w:val="-4"/>
          <w:kern w:val="22"/>
          <w:lang w:val="en-GB"/>
        </w:rPr>
        <w:t>c</w:t>
      </w:r>
      <w:r w:rsidRPr="00FD454B">
        <w:rPr>
          <w:spacing w:val="-4"/>
          <w:kern w:val="22"/>
          <w:lang w:val="en-GB"/>
        </w:rPr>
        <w:t xml:space="preserve">ool </w:t>
      </w:r>
      <w:r w:rsidR="00E8749A" w:rsidRPr="00FD454B">
        <w:rPr>
          <w:spacing w:val="-4"/>
          <w:kern w:val="22"/>
          <w:lang w:val="en-GB"/>
        </w:rPr>
        <w:t>f</w:t>
      </w:r>
      <w:r w:rsidRPr="00FD454B">
        <w:rPr>
          <w:spacing w:val="-4"/>
          <w:kern w:val="22"/>
          <w:lang w:val="en-GB"/>
        </w:rPr>
        <w:t>ashion, we craved for something known as ‘</w:t>
      </w:r>
      <w:r w:rsidR="00E8749A" w:rsidRPr="00FD454B">
        <w:rPr>
          <w:spacing w:val="-4"/>
          <w:kern w:val="22"/>
          <w:lang w:val="en-GB"/>
        </w:rPr>
        <w:t>m</w:t>
      </w:r>
      <w:r w:rsidRPr="00FD454B">
        <w:rPr>
          <w:spacing w:val="-4"/>
          <w:kern w:val="22"/>
          <w:lang w:val="en-GB"/>
        </w:rPr>
        <w:t xml:space="preserve">y </w:t>
      </w:r>
      <w:r w:rsidR="00E8749A" w:rsidRPr="00FD454B">
        <w:rPr>
          <w:spacing w:val="-4"/>
          <w:kern w:val="22"/>
          <w:lang w:val="en-GB"/>
        </w:rPr>
        <w:t>w</w:t>
      </w:r>
      <w:r w:rsidRPr="00FD454B">
        <w:rPr>
          <w:spacing w:val="-4"/>
          <w:kern w:val="22"/>
          <w:lang w:val="en-GB"/>
        </w:rPr>
        <w:t xml:space="preserve">ay.’” This philosophy led </w:t>
      </w:r>
      <w:r w:rsidR="00E8749A" w:rsidRPr="00FD454B">
        <w:rPr>
          <w:spacing w:val="-4"/>
          <w:kern w:val="22"/>
          <w:lang w:val="en-GB"/>
        </w:rPr>
        <w:t xml:space="preserve">TDC </w:t>
      </w:r>
      <w:r w:rsidRPr="00FD454B">
        <w:rPr>
          <w:spacing w:val="-4"/>
          <w:kern w:val="22"/>
          <w:lang w:val="en-GB"/>
        </w:rPr>
        <w:t xml:space="preserve">into its </w:t>
      </w:r>
      <w:r w:rsidR="00E8749A" w:rsidRPr="00FD454B">
        <w:rPr>
          <w:spacing w:val="-4"/>
          <w:kern w:val="22"/>
          <w:lang w:val="en-GB"/>
        </w:rPr>
        <w:t xml:space="preserve">own </w:t>
      </w:r>
      <w:r w:rsidRPr="00FD454B">
        <w:rPr>
          <w:spacing w:val="-4"/>
          <w:kern w:val="22"/>
          <w:lang w:val="en-GB"/>
        </w:rPr>
        <w:t>brand vision and mission. The</w:t>
      </w:r>
      <w:r w:rsidR="00E8749A" w:rsidRPr="00FD454B">
        <w:rPr>
          <w:spacing w:val="-4"/>
          <w:kern w:val="22"/>
          <w:lang w:val="en-GB"/>
        </w:rPr>
        <w:t xml:space="preserve"> compan</w:t>
      </w:r>
      <w:r w:rsidRPr="00FD454B">
        <w:rPr>
          <w:spacing w:val="-4"/>
          <w:kern w:val="22"/>
          <w:lang w:val="en-GB"/>
        </w:rPr>
        <w:t>y designed everything with “swag”</w:t>
      </w:r>
      <w:r w:rsidRPr="00FD454B">
        <w:rPr>
          <w:spacing w:val="-4"/>
          <w:kern w:val="22"/>
          <w:vertAlign w:val="superscript"/>
          <w:lang w:val="en-GB"/>
        </w:rPr>
        <w:endnoteReference w:id="5"/>
      </w:r>
      <w:r w:rsidRPr="00FD454B">
        <w:rPr>
          <w:spacing w:val="-4"/>
          <w:kern w:val="22"/>
          <w:lang w:val="en-GB"/>
        </w:rPr>
        <w:t xml:space="preserve"> in mind. Accordingly, TDC purveyed products that aimed to build stylish confidence in its target audience, </w:t>
      </w:r>
      <w:r w:rsidR="00E8749A" w:rsidRPr="00FD454B">
        <w:rPr>
          <w:spacing w:val="-4"/>
          <w:kern w:val="22"/>
          <w:lang w:val="en-GB"/>
        </w:rPr>
        <w:t>while</w:t>
      </w:r>
      <w:r w:rsidRPr="00FD454B">
        <w:rPr>
          <w:spacing w:val="-4"/>
          <w:kern w:val="22"/>
          <w:lang w:val="en-GB"/>
        </w:rPr>
        <w:t xml:space="preserve"> </w:t>
      </w:r>
      <w:r w:rsidR="0094143D" w:rsidRPr="00FD454B">
        <w:rPr>
          <w:spacing w:val="-4"/>
          <w:kern w:val="22"/>
          <w:lang w:val="en-GB"/>
        </w:rPr>
        <w:t xml:space="preserve">efficiently </w:t>
      </w:r>
      <w:r w:rsidRPr="00FD454B">
        <w:rPr>
          <w:spacing w:val="-4"/>
          <w:kern w:val="22"/>
          <w:lang w:val="en-GB"/>
        </w:rPr>
        <w:t xml:space="preserve">developing and maintaining </w:t>
      </w:r>
      <w:r w:rsidR="0094143D" w:rsidRPr="00FD454B">
        <w:rPr>
          <w:spacing w:val="-4"/>
          <w:kern w:val="22"/>
          <w:lang w:val="en-GB"/>
        </w:rPr>
        <w:t xml:space="preserve">strong </w:t>
      </w:r>
      <w:r w:rsidRPr="00FD454B">
        <w:rPr>
          <w:spacing w:val="-4"/>
          <w:kern w:val="22"/>
          <w:lang w:val="en-GB"/>
        </w:rPr>
        <w:t>ethical stakeholder relationships, especially with suppliers.</w:t>
      </w:r>
    </w:p>
    <w:p w14:paraId="56307D94" w14:textId="77777777" w:rsidR="00146BF2" w:rsidRPr="000343FB" w:rsidRDefault="00146BF2" w:rsidP="00146BF2">
      <w:pPr>
        <w:pStyle w:val="Casehead2"/>
        <w:rPr>
          <w:lang w:val="en-GB"/>
        </w:rPr>
      </w:pPr>
      <w:r w:rsidRPr="000343FB">
        <w:rPr>
          <w:lang w:val="en-GB"/>
        </w:rPr>
        <w:lastRenderedPageBreak/>
        <w:t>Business Model</w:t>
      </w:r>
    </w:p>
    <w:p w14:paraId="1D4E788D" w14:textId="77777777" w:rsidR="00146BF2" w:rsidRPr="00270B29" w:rsidRDefault="00146BF2" w:rsidP="00FD454B">
      <w:pPr>
        <w:pStyle w:val="BodyTextMain"/>
        <w:rPr>
          <w:sz w:val="18"/>
          <w:szCs w:val="18"/>
        </w:rPr>
      </w:pPr>
    </w:p>
    <w:p w14:paraId="2208BC1F" w14:textId="18E1E1B2" w:rsidR="00D16CF6" w:rsidRDefault="00146BF2" w:rsidP="00146BF2">
      <w:pPr>
        <w:pStyle w:val="BodyTextMain"/>
        <w:rPr>
          <w:rFonts w:eastAsia="Calibri"/>
          <w:lang w:val="en-GB"/>
        </w:rPr>
      </w:pPr>
      <w:r w:rsidRPr="000343FB">
        <w:rPr>
          <w:rFonts w:eastAsia="Calibri"/>
          <w:lang w:val="en-GB"/>
        </w:rPr>
        <w:t xml:space="preserve">TDC’s business model revolved around </w:t>
      </w:r>
      <w:r w:rsidR="00E41A38">
        <w:rPr>
          <w:rFonts w:eastAsia="Calibri"/>
          <w:lang w:val="en-GB"/>
        </w:rPr>
        <w:t>four key</w:t>
      </w:r>
      <w:r w:rsidR="00D16CF6">
        <w:rPr>
          <w:rFonts w:eastAsia="Calibri"/>
          <w:lang w:val="en-GB"/>
        </w:rPr>
        <w:t xml:space="preserve"> activities: </w:t>
      </w:r>
      <w:r w:rsidRPr="000343FB">
        <w:rPr>
          <w:rFonts w:eastAsia="Calibri"/>
          <w:lang w:val="en-GB"/>
        </w:rPr>
        <w:t>operating a successful online apparel business, identifying and exploiting two major revenue sources, identifying three target customer bases, and tightly manag</w:t>
      </w:r>
      <w:r w:rsidR="00D16CF6">
        <w:rPr>
          <w:rFonts w:eastAsia="Calibri"/>
          <w:lang w:val="en-GB"/>
        </w:rPr>
        <w:t>ing</w:t>
      </w:r>
      <w:r w:rsidRPr="000343FB">
        <w:rPr>
          <w:rFonts w:eastAsia="Calibri"/>
          <w:lang w:val="en-GB"/>
        </w:rPr>
        <w:t xml:space="preserve"> finances. TDC generated revenues from B2B </w:t>
      </w:r>
      <w:proofErr w:type="spellStart"/>
      <w:r w:rsidR="00EA45DE" w:rsidRPr="000343FB">
        <w:rPr>
          <w:rFonts w:eastAsia="Calibri"/>
          <w:lang w:val="en-GB"/>
        </w:rPr>
        <w:t>fulfil</w:t>
      </w:r>
      <w:r w:rsidR="00161C92">
        <w:rPr>
          <w:rFonts w:eastAsia="Calibri"/>
          <w:lang w:val="en-GB"/>
        </w:rPr>
        <w:t>l</w:t>
      </w:r>
      <w:r w:rsidR="00EA45DE">
        <w:rPr>
          <w:rFonts w:eastAsia="Calibri"/>
          <w:lang w:val="en-GB"/>
        </w:rPr>
        <w:t>m</w:t>
      </w:r>
      <w:r w:rsidR="00EA45DE" w:rsidRPr="000343FB">
        <w:rPr>
          <w:rFonts w:eastAsia="Calibri"/>
          <w:lang w:val="en-GB"/>
        </w:rPr>
        <w:t>ent</w:t>
      </w:r>
      <w:proofErr w:type="spellEnd"/>
      <w:r w:rsidRPr="000343FB">
        <w:rPr>
          <w:rFonts w:eastAsia="Calibri"/>
          <w:lang w:val="en-GB"/>
        </w:rPr>
        <w:t xml:space="preserve"> for big</w:t>
      </w:r>
      <w:r w:rsidR="00D16CF6">
        <w:rPr>
          <w:rFonts w:eastAsia="Calibri"/>
          <w:lang w:val="en-GB"/>
        </w:rPr>
        <w:t>-</w:t>
      </w:r>
      <w:r w:rsidRPr="000343FB">
        <w:rPr>
          <w:rFonts w:eastAsia="Calibri"/>
          <w:lang w:val="en-GB"/>
        </w:rPr>
        <w:t>brand e</w:t>
      </w:r>
      <w:r w:rsidR="00D16CF6">
        <w:rPr>
          <w:rFonts w:eastAsia="Calibri"/>
          <w:lang w:val="en-GB"/>
        </w:rPr>
        <w:t>-</w:t>
      </w:r>
      <w:r w:rsidRPr="000343FB">
        <w:rPr>
          <w:rFonts w:eastAsia="Calibri"/>
          <w:lang w:val="en-GB"/>
        </w:rPr>
        <w:t>commerce retailers like Amazon</w:t>
      </w:r>
      <w:r w:rsidR="004F26FB">
        <w:rPr>
          <w:rFonts w:eastAsia="Calibri"/>
          <w:lang w:val="en-GB"/>
        </w:rPr>
        <w:t>.com</w:t>
      </w:r>
      <w:r w:rsidRPr="000343FB">
        <w:rPr>
          <w:rFonts w:eastAsia="Calibri"/>
          <w:lang w:val="en-GB"/>
        </w:rPr>
        <w:t xml:space="preserve">, Flipkart, </w:t>
      </w:r>
      <w:proofErr w:type="spellStart"/>
      <w:r w:rsidRPr="000343FB">
        <w:rPr>
          <w:rFonts w:eastAsia="Calibri"/>
          <w:lang w:val="en-GB"/>
        </w:rPr>
        <w:t>Jabong</w:t>
      </w:r>
      <w:proofErr w:type="spellEnd"/>
      <w:r w:rsidR="00D16CF6">
        <w:rPr>
          <w:rFonts w:eastAsia="Calibri"/>
          <w:lang w:val="en-GB"/>
        </w:rPr>
        <w:t>,</w:t>
      </w:r>
      <w:r w:rsidRPr="000343FB">
        <w:rPr>
          <w:rFonts w:eastAsia="Calibri"/>
          <w:lang w:val="en-GB"/>
        </w:rPr>
        <w:t xml:space="preserve"> and </w:t>
      </w:r>
      <w:proofErr w:type="spellStart"/>
      <w:r w:rsidRPr="000343FB">
        <w:rPr>
          <w:rFonts w:eastAsia="Calibri"/>
          <w:lang w:val="en-GB"/>
        </w:rPr>
        <w:t>Myntra</w:t>
      </w:r>
      <w:proofErr w:type="spellEnd"/>
      <w:r w:rsidRPr="000343FB">
        <w:rPr>
          <w:rFonts w:eastAsia="Calibri"/>
          <w:lang w:val="en-GB"/>
        </w:rPr>
        <w:t>. T</w:t>
      </w:r>
      <w:r w:rsidR="00D16CF6">
        <w:rPr>
          <w:rFonts w:eastAsia="Calibri"/>
          <w:lang w:val="en-GB"/>
        </w:rPr>
        <w:t>DC’s</w:t>
      </w:r>
      <w:r w:rsidRPr="000343FB">
        <w:rPr>
          <w:rFonts w:eastAsia="Calibri"/>
          <w:lang w:val="en-GB"/>
        </w:rPr>
        <w:t xml:space="preserve"> focus o</w:t>
      </w:r>
      <w:r w:rsidR="00D16CF6">
        <w:rPr>
          <w:rFonts w:eastAsia="Calibri"/>
          <w:lang w:val="en-GB"/>
        </w:rPr>
        <w:t>n</w:t>
      </w:r>
      <w:r w:rsidRPr="000343FB">
        <w:rPr>
          <w:rFonts w:eastAsia="Calibri"/>
          <w:lang w:val="en-GB"/>
        </w:rPr>
        <w:t xml:space="preserve"> financial management always </w:t>
      </w:r>
      <w:r w:rsidR="00D16CF6">
        <w:rPr>
          <w:rFonts w:eastAsia="Calibri"/>
          <w:lang w:val="en-GB"/>
        </w:rPr>
        <w:t>aimed for positive results in</w:t>
      </w:r>
      <w:r w:rsidRPr="000343FB">
        <w:rPr>
          <w:rFonts w:eastAsia="Calibri"/>
          <w:lang w:val="en-GB"/>
        </w:rPr>
        <w:t xml:space="preserve"> revenue and profit </w:t>
      </w:r>
      <w:r w:rsidR="00577E7D">
        <w:rPr>
          <w:rFonts w:eastAsia="Calibri"/>
          <w:lang w:val="en-GB"/>
        </w:rPr>
        <w:t>from</w:t>
      </w:r>
      <w:r w:rsidRPr="000343FB">
        <w:rPr>
          <w:rFonts w:eastAsia="Calibri"/>
          <w:lang w:val="en-GB"/>
        </w:rPr>
        <w:t xml:space="preserve"> the company</w:t>
      </w:r>
      <w:r w:rsidR="00D16CF6">
        <w:rPr>
          <w:rFonts w:eastAsia="Calibri"/>
          <w:lang w:val="en-GB"/>
        </w:rPr>
        <w:t>’s</w:t>
      </w:r>
      <w:r w:rsidRPr="000343FB">
        <w:rPr>
          <w:rFonts w:eastAsia="Calibri"/>
          <w:lang w:val="en-GB"/>
        </w:rPr>
        <w:t xml:space="preserve"> brands</w:t>
      </w:r>
      <w:r w:rsidR="00D16CF6">
        <w:rPr>
          <w:rFonts w:eastAsia="Calibri"/>
          <w:lang w:val="en-GB"/>
        </w:rPr>
        <w:t xml:space="preserve">, as </w:t>
      </w:r>
      <w:r w:rsidRPr="000343FB">
        <w:rPr>
          <w:rFonts w:eastAsia="Calibri"/>
          <w:lang w:val="en-GB"/>
        </w:rPr>
        <w:t xml:space="preserve">Singh </w:t>
      </w:r>
      <w:r w:rsidR="00D16CF6">
        <w:rPr>
          <w:rFonts w:eastAsia="Calibri"/>
          <w:lang w:val="en-GB"/>
        </w:rPr>
        <w:t>explained:</w:t>
      </w:r>
    </w:p>
    <w:p w14:paraId="4425C781" w14:textId="77777777" w:rsidR="00D16CF6" w:rsidRPr="00270B29" w:rsidRDefault="00D16CF6" w:rsidP="00FD454B">
      <w:pPr>
        <w:pStyle w:val="BodyTextMain"/>
        <w:rPr>
          <w:rFonts w:eastAsia="Calibri"/>
          <w:sz w:val="18"/>
          <w:szCs w:val="18"/>
        </w:rPr>
      </w:pPr>
    </w:p>
    <w:p w14:paraId="78637C52" w14:textId="2C9C2FA6" w:rsidR="00146BF2" w:rsidRPr="00B45236" w:rsidRDefault="00146BF2" w:rsidP="00412C0E">
      <w:pPr>
        <w:pStyle w:val="BodyTextMain"/>
        <w:ind w:left="720"/>
        <w:rPr>
          <w:rFonts w:eastAsia="Calibri"/>
          <w:spacing w:val="-4"/>
          <w:kern w:val="22"/>
          <w:lang w:val="en-GB"/>
        </w:rPr>
      </w:pPr>
      <w:r w:rsidRPr="00B45236">
        <w:rPr>
          <w:rFonts w:eastAsia="Calibri"/>
          <w:spacing w:val="-4"/>
          <w:kern w:val="22"/>
          <w:lang w:val="en-GB"/>
        </w:rPr>
        <w:t>From the beginning, our B2B business was profitable, and we were able to support company owned brands with low</w:t>
      </w:r>
      <w:r w:rsidR="00D16CF6" w:rsidRPr="00B45236">
        <w:rPr>
          <w:rFonts w:eastAsia="Calibri"/>
          <w:spacing w:val="-4"/>
          <w:kern w:val="22"/>
          <w:lang w:val="en-GB"/>
        </w:rPr>
        <w:t>-</w:t>
      </w:r>
      <w:r w:rsidRPr="00B45236">
        <w:rPr>
          <w:rFonts w:eastAsia="Calibri"/>
          <w:spacing w:val="-4"/>
          <w:kern w:val="22"/>
          <w:lang w:val="en-GB"/>
        </w:rPr>
        <w:t xml:space="preserve">hanging revenues from the B2B </w:t>
      </w:r>
      <w:proofErr w:type="spellStart"/>
      <w:r w:rsidR="00EA45DE" w:rsidRPr="00B45236">
        <w:rPr>
          <w:rFonts w:eastAsia="Calibri"/>
          <w:spacing w:val="-4"/>
          <w:kern w:val="22"/>
          <w:lang w:val="en-GB"/>
        </w:rPr>
        <w:t>fulfil</w:t>
      </w:r>
      <w:r w:rsidR="00161C92">
        <w:rPr>
          <w:rFonts w:eastAsia="Calibri"/>
          <w:spacing w:val="-4"/>
          <w:kern w:val="22"/>
          <w:lang w:val="en-GB"/>
        </w:rPr>
        <w:t>l</w:t>
      </w:r>
      <w:r w:rsidR="00EA45DE" w:rsidRPr="00B45236">
        <w:rPr>
          <w:rFonts w:eastAsia="Calibri"/>
          <w:spacing w:val="-4"/>
          <w:kern w:val="22"/>
          <w:lang w:val="en-GB"/>
        </w:rPr>
        <w:t>ment</w:t>
      </w:r>
      <w:proofErr w:type="spellEnd"/>
      <w:r w:rsidRPr="00B45236">
        <w:rPr>
          <w:rFonts w:eastAsia="Calibri"/>
          <w:spacing w:val="-4"/>
          <w:kern w:val="22"/>
          <w:lang w:val="en-GB"/>
        </w:rPr>
        <w:t xml:space="preserve"> business. In 2012, the share of company owned brands in the total business had been approximately 10 per</w:t>
      </w:r>
      <w:r w:rsidR="00D16CF6" w:rsidRPr="00B45236">
        <w:rPr>
          <w:rFonts w:eastAsia="Calibri"/>
          <w:spacing w:val="-4"/>
          <w:kern w:val="22"/>
          <w:lang w:val="en-GB"/>
        </w:rPr>
        <w:t xml:space="preserve"> </w:t>
      </w:r>
      <w:r w:rsidRPr="00B45236">
        <w:rPr>
          <w:rFonts w:eastAsia="Calibri"/>
          <w:spacing w:val="-4"/>
          <w:kern w:val="22"/>
          <w:lang w:val="en-GB"/>
        </w:rPr>
        <w:t>cent only. By 2018</w:t>
      </w:r>
      <w:r w:rsidR="00D16CF6" w:rsidRPr="00B45236">
        <w:rPr>
          <w:rFonts w:eastAsia="Calibri"/>
          <w:spacing w:val="-4"/>
          <w:kern w:val="22"/>
          <w:lang w:val="en-GB"/>
        </w:rPr>
        <w:t>–</w:t>
      </w:r>
      <w:r w:rsidR="004F26FB">
        <w:rPr>
          <w:rFonts w:eastAsia="Calibri"/>
          <w:spacing w:val="-4"/>
          <w:kern w:val="22"/>
          <w:lang w:val="en-GB"/>
        </w:rPr>
        <w:t>20</w:t>
      </w:r>
      <w:r w:rsidRPr="00B45236">
        <w:rPr>
          <w:rFonts w:eastAsia="Calibri"/>
          <w:spacing w:val="-4"/>
          <w:kern w:val="22"/>
          <w:lang w:val="en-GB"/>
        </w:rPr>
        <w:t>19, we plan to increase that share in the total turnover of the company to 45 per</w:t>
      </w:r>
      <w:r w:rsidR="00D16CF6" w:rsidRPr="00B45236">
        <w:rPr>
          <w:rFonts w:eastAsia="Calibri"/>
          <w:spacing w:val="-4"/>
          <w:kern w:val="22"/>
          <w:lang w:val="en-GB"/>
        </w:rPr>
        <w:t xml:space="preserve"> </w:t>
      </w:r>
      <w:r w:rsidRPr="00B45236">
        <w:rPr>
          <w:rFonts w:eastAsia="Calibri"/>
          <w:spacing w:val="-4"/>
          <w:kern w:val="22"/>
          <w:lang w:val="en-GB"/>
        </w:rPr>
        <w:t>cent, and by 2020 move it up to 50 per</w:t>
      </w:r>
      <w:r w:rsidR="00D16CF6" w:rsidRPr="00B45236">
        <w:rPr>
          <w:rFonts w:eastAsia="Calibri"/>
          <w:spacing w:val="-4"/>
          <w:kern w:val="22"/>
          <w:lang w:val="en-GB"/>
        </w:rPr>
        <w:t xml:space="preserve"> </w:t>
      </w:r>
      <w:r w:rsidRPr="00B45236">
        <w:rPr>
          <w:rFonts w:eastAsia="Calibri"/>
          <w:spacing w:val="-4"/>
          <w:kern w:val="22"/>
          <w:lang w:val="en-GB"/>
        </w:rPr>
        <w:t>cent or more. Company owned brands will fetch more profit and bring more consistency</w:t>
      </w:r>
      <w:r w:rsidR="004F26FB">
        <w:rPr>
          <w:rFonts w:eastAsia="Calibri"/>
          <w:spacing w:val="-4"/>
          <w:kern w:val="22"/>
          <w:lang w:val="en-GB"/>
        </w:rPr>
        <w:t>,</w:t>
      </w:r>
      <w:r w:rsidRPr="00B45236">
        <w:rPr>
          <w:rFonts w:eastAsia="Calibri"/>
          <w:spacing w:val="-4"/>
          <w:kern w:val="22"/>
          <w:lang w:val="en-GB"/>
        </w:rPr>
        <w:t xml:space="preserve"> since for B2B brands, at the end of the day</w:t>
      </w:r>
      <w:r w:rsidR="00D16CF6" w:rsidRPr="00B45236">
        <w:rPr>
          <w:rFonts w:eastAsia="Calibri"/>
          <w:spacing w:val="-4"/>
          <w:kern w:val="22"/>
          <w:lang w:val="en-GB"/>
        </w:rPr>
        <w:t xml:space="preserve"> . . . </w:t>
      </w:r>
      <w:r w:rsidRPr="00B45236">
        <w:rPr>
          <w:rFonts w:eastAsia="Calibri"/>
          <w:spacing w:val="-4"/>
          <w:kern w:val="22"/>
          <w:lang w:val="en-GB"/>
        </w:rPr>
        <w:t>you are dependent on others</w:t>
      </w:r>
      <w:r w:rsidR="00D16CF6" w:rsidRPr="00B45236">
        <w:rPr>
          <w:rFonts w:eastAsia="Calibri"/>
          <w:spacing w:val="-4"/>
          <w:kern w:val="22"/>
          <w:lang w:val="en-GB"/>
        </w:rPr>
        <w:t xml:space="preserve"> . . . </w:t>
      </w:r>
      <w:r w:rsidRPr="00B45236">
        <w:rPr>
          <w:rFonts w:eastAsia="Calibri"/>
          <w:spacing w:val="-4"/>
          <w:kern w:val="22"/>
          <w:lang w:val="en-GB"/>
        </w:rPr>
        <w:t>and as I believe in 360-degree vision, I would prefer to mitigate the business risk and invest more in company owned brands in the future.</w:t>
      </w:r>
    </w:p>
    <w:p w14:paraId="1BA55B8A" w14:textId="77777777" w:rsidR="00146BF2" w:rsidRPr="00270B29" w:rsidRDefault="00146BF2" w:rsidP="00FD454B">
      <w:pPr>
        <w:pStyle w:val="BodyTextMain"/>
        <w:rPr>
          <w:rFonts w:eastAsia="Calibri"/>
          <w:sz w:val="18"/>
          <w:szCs w:val="18"/>
        </w:rPr>
      </w:pPr>
    </w:p>
    <w:p w14:paraId="31B57974" w14:textId="77777777" w:rsidR="00146BF2" w:rsidRPr="00270B29" w:rsidRDefault="00146BF2" w:rsidP="00FD454B">
      <w:pPr>
        <w:pStyle w:val="BodyTextMain"/>
        <w:rPr>
          <w:rFonts w:eastAsia="Calibri"/>
          <w:sz w:val="18"/>
          <w:szCs w:val="18"/>
        </w:rPr>
      </w:pPr>
    </w:p>
    <w:p w14:paraId="1A011316" w14:textId="77777777" w:rsidR="00146BF2" w:rsidRPr="000343FB" w:rsidRDefault="00146BF2" w:rsidP="00146BF2">
      <w:pPr>
        <w:pStyle w:val="Casehead2"/>
        <w:rPr>
          <w:lang w:val="en-GB"/>
        </w:rPr>
      </w:pPr>
      <w:r w:rsidRPr="000343FB">
        <w:rPr>
          <w:lang w:val="en-GB"/>
        </w:rPr>
        <w:t>Supply Chain</w:t>
      </w:r>
    </w:p>
    <w:p w14:paraId="3645F275" w14:textId="77777777" w:rsidR="00146BF2" w:rsidRPr="00270B29" w:rsidRDefault="00146BF2" w:rsidP="00FD454B">
      <w:pPr>
        <w:pStyle w:val="BodyTextMain"/>
        <w:rPr>
          <w:sz w:val="18"/>
          <w:szCs w:val="18"/>
        </w:rPr>
      </w:pPr>
    </w:p>
    <w:p w14:paraId="26329C63" w14:textId="3F3A76E3" w:rsidR="00081F97" w:rsidRDefault="00715B57" w:rsidP="00146BF2">
      <w:pPr>
        <w:pStyle w:val="BodyTextMain"/>
        <w:rPr>
          <w:rFonts w:eastAsia="Calibri"/>
          <w:lang w:val="en-GB"/>
        </w:rPr>
      </w:pPr>
      <w:r>
        <w:rPr>
          <w:rFonts w:eastAsia="Calibri"/>
          <w:lang w:val="en-GB"/>
        </w:rPr>
        <w:t xml:space="preserve">Having </w:t>
      </w:r>
      <w:r w:rsidR="00040268">
        <w:rPr>
          <w:rFonts w:eastAsia="Calibri"/>
          <w:lang w:val="en-GB"/>
        </w:rPr>
        <w:t>start</w:t>
      </w:r>
      <w:r>
        <w:rPr>
          <w:rFonts w:eastAsia="Calibri"/>
          <w:lang w:val="en-GB"/>
        </w:rPr>
        <w:t>ed</w:t>
      </w:r>
      <w:r w:rsidR="00040268">
        <w:rPr>
          <w:rFonts w:eastAsia="Calibri"/>
          <w:lang w:val="en-GB"/>
        </w:rPr>
        <w:t xml:space="preserve"> </w:t>
      </w:r>
      <w:r w:rsidR="0094143D">
        <w:rPr>
          <w:rFonts w:eastAsia="Calibri"/>
          <w:lang w:val="en-GB"/>
        </w:rPr>
        <w:t>in 201</w:t>
      </w:r>
      <w:r>
        <w:rPr>
          <w:rFonts w:eastAsia="Calibri"/>
          <w:lang w:val="en-GB"/>
        </w:rPr>
        <w:t>2,</w:t>
      </w:r>
      <w:r w:rsidR="00040268">
        <w:rPr>
          <w:rFonts w:eastAsia="Calibri"/>
          <w:lang w:val="en-GB"/>
        </w:rPr>
        <w:t xml:space="preserve"> </w:t>
      </w:r>
      <w:r w:rsidR="0094143D">
        <w:rPr>
          <w:rFonts w:eastAsia="Calibri"/>
          <w:lang w:val="en-GB"/>
        </w:rPr>
        <w:t xml:space="preserve">TDC’s </w:t>
      </w:r>
      <w:r w:rsidR="00146BF2" w:rsidRPr="000343FB">
        <w:rPr>
          <w:rFonts w:eastAsia="Calibri"/>
          <w:lang w:val="en-GB"/>
        </w:rPr>
        <w:t xml:space="preserve">B2B </w:t>
      </w:r>
      <w:proofErr w:type="spellStart"/>
      <w:r w:rsidR="00EA45DE" w:rsidRPr="000343FB">
        <w:rPr>
          <w:rFonts w:eastAsia="Calibri"/>
          <w:lang w:val="en-GB"/>
        </w:rPr>
        <w:t>fulfi</w:t>
      </w:r>
      <w:r w:rsidR="00161C92">
        <w:rPr>
          <w:rFonts w:eastAsia="Calibri"/>
          <w:lang w:val="en-GB"/>
        </w:rPr>
        <w:t>l</w:t>
      </w:r>
      <w:r w:rsidR="00EA45DE">
        <w:rPr>
          <w:rFonts w:eastAsia="Calibri"/>
          <w:lang w:val="en-GB"/>
        </w:rPr>
        <w:t>l</w:t>
      </w:r>
      <w:r w:rsidR="00EA45DE" w:rsidRPr="000343FB">
        <w:rPr>
          <w:rFonts w:eastAsia="Calibri"/>
          <w:lang w:val="en-GB"/>
        </w:rPr>
        <w:t>ment</w:t>
      </w:r>
      <w:proofErr w:type="spellEnd"/>
      <w:r w:rsidR="00146BF2" w:rsidRPr="000343FB">
        <w:rPr>
          <w:rFonts w:eastAsia="Calibri"/>
          <w:lang w:val="en-GB"/>
        </w:rPr>
        <w:t xml:space="preserve"> vertical </w:t>
      </w:r>
      <w:r w:rsidR="00040268">
        <w:rPr>
          <w:rFonts w:eastAsia="Calibri"/>
          <w:lang w:val="en-GB"/>
        </w:rPr>
        <w:t>had become successful</w:t>
      </w:r>
      <w:r>
        <w:rPr>
          <w:rFonts w:eastAsia="Calibri"/>
          <w:lang w:val="en-GB"/>
        </w:rPr>
        <w:t xml:space="preserve"> by 2013</w:t>
      </w:r>
      <w:r w:rsidR="001E146D">
        <w:rPr>
          <w:rFonts w:eastAsia="Calibri"/>
          <w:lang w:val="en-GB"/>
        </w:rPr>
        <w:t>. At first</w:t>
      </w:r>
      <w:r w:rsidR="00146BF2" w:rsidRPr="000343FB">
        <w:rPr>
          <w:rFonts w:eastAsia="Calibri"/>
          <w:lang w:val="en-GB"/>
        </w:rPr>
        <w:t>, e</w:t>
      </w:r>
      <w:r w:rsidR="00D16CF6">
        <w:rPr>
          <w:rFonts w:eastAsia="Calibri"/>
          <w:lang w:val="en-GB"/>
        </w:rPr>
        <w:t>-</w:t>
      </w:r>
      <w:r w:rsidR="00146BF2" w:rsidRPr="000343FB">
        <w:rPr>
          <w:rFonts w:eastAsia="Calibri"/>
          <w:lang w:val="en-GB"/>
        </w:rPr>
        <w:t>commerce platforms did not have a relationship with individual brands</w:t>
      </w:r>
      <w:r w:rsidR="001E146D">
        <w:rPr>
          <w:rFonts w:eastAsia="Calibri"/>
          <w:lang w:val="en-GB"/>
        </w:rPr>
        <w:t xml:space="preserve"> and</w:t>
      </w:r>
      <w:r w:rsidR="00146BF2" w:rsidRPr="000343FB">
        <w:rPr>
          <w:rFonts w:eastAsia="Calibri"/>
          <w:lang w:val="en-GB"/>
        </w:rPr>
        <w:t xml:space="preserve"> </w:t>
      </w:r>
      <w:r w:rsidR="00040268">
        <w:rPr>
          <w:rFonts w:eastAsia="Calibri"/>
          <w:lang w:val="en-GB"/>
        </w:rPr>
        <w:t>foun</w:t>
      </w:r>
      <w:r w:rsidR="001E146D">
        <w:rPr>
          <w:rFonts w:eastAsia="Calibri"/>
          <w:lang w:val="en-GB"/>
        </w:rPr>
        <w:t>d</w:t>
      </w:r>
      <w:r w:rsidR="00040268">
        <w:rPr>
          <w:rFonts w:eastAsia="Calibri"/>
          <w:lang w:val="en-GB"/>
        </w:rPr>
        <w:t xml:space="preserve"> it challenging to </w:t>
      </w:r>
      <w:r w:rsidR="001E146D">
        <w:rPr>
          <w:rFonts w:eastAsia="Calibri"/>
          <w:lang w:val="en-GB"/>
        </w:rPr>
        <w:t>work with them</w:t>
      </w:r>
      <w:r w:rsidR="00146BF2" w:rsidRPr="000343FB">
        <w:rPr>
          <w:rFonts w:eastAsia="Calibri"/>
          <w:lang w:val="en-GB"/>
        </w:rPr>
        <w:t xml:space="preserve">. </w:t>
      </w:r>
      <w:r w:rsidR="00040268">
        <w:rPr>
          <w:rFonts w:eastAsia="Calibri"/>
          <w:lang w:val="en-GB"/>
        </w:rPr>
        <w:t>The p</w:t>
      </w:r>
      <w:r w:rsidR="00081F97" w:rsidRPr="000343FB">
        <w:rPr>
          <w:rFonts w:eastAsia="Calibri"/>
          <w:lang w:val="en-GB"/>
        </w:rPr>
        <w:t xml:space="preserve">ortals wanted to buy </w:t>
      </w:r>
      <w:r w:rsidR="00081F97">
        <w:rPr>
          <w:rFonts w:eastAsia="Calibri"/>
          <w:lang w:val="en-GB"/>
        </w:rPr>
        <w:t>low</w:t>
      </w:r>
      <w:r w:rsidR="00081F97" w:rsidRPr="000343FB">
        <w:rPr>
          <w:rFonts w:eastAsia="Calibri"/>
          <w:lang w:val="en-GB"/>
        </w:rPr>
        <w:t xml:space="preserve"> numbers </w:t>
      </w:r>
      <w:r w:rsidR="00081F97">
        <w:rPr>
          <w:rFonts w:eastAsia="Calibri"/>
          <w:lang w:val="en-GB"/>
        </w:rPr>
        <w:t xml:space="preserve">of items at infrequent rates, </w:t>
      </w:r>
      <w:r w:rsidR="00040268">
        <w:rPr>
          <w:rFonts w:eastAsia="Calibri"/>
          <w:lang w:val="en-GB"/>
        </w:rPr>
        <w:t>whereas the major</w:t>
      </w:r>
      <w:r w:rsidR="00081F97">
        <w:rPr>
          <w:rFonts w:eastAsia="Calibri"/>
          <w:lang w:val="en-GB"/>
        </w:rPr>
        <w:t xml:space="preserve"> brands</w:t>
      </w:r>
      <w:r w:rsidR="00146BF2" w:rsidRPr="000343FB">
        <w:rPr>
          <w:rFonts w:eastAsia="Calibri"/>
          <w:lang w:val="en-GB"/>
        </w:rPr>
        <w:t xml:space="preserve"> required </w:t>
      </w:r>
      <w:r w:rsidR="00040268">
        <w:rPr>
          <w:rFonts w:eastAsia="Calibri"/>
          <w:lang w:val="en-GB"/>
        </w:rPr>
        <w:t>high-number purchases</w:t>
      </w:r>
      <w:r w:rsidR="00146BF2" w:rsidRPr="000343FB">
        <w:rPr>
          <w:rFonts w:eastAsia="Calibri"/>
          <w:lang w:val="en-GB"/>
        </w:rPr>
        <w:t xml:space="preserve"> </w:t>
      </w:r>
      <w:r w:rsidR="00040268">
        <w:rPr>
          <w:rFonts w:eastAsia="Calibri"/>
          <w:lang w:val="en-GB"/>
        </w:rPr>
        <w:t xml:space="preserve">(e.g., </w:t>
      </w:r>
      <w:r w:rsidR="00146BF2" w:rsidRPr="000343FB">
        <w:rPr>
          <w:rFonts w:eastAsia="Calibri"/>
          <w:lang w:val="en-GB"/>
        </w:rPr>
        <w:t>half</w:t>
      </w:r>
      <w:r w:rsidR="001D6146">
        <w:rPr>
          <w:rFonts w:eastAsia="Calibri"/>
          <w:lang w:val="en-GB"/>
        </w:rPr>
        <w:t xml:space="preserve"> </w:t>
      </w:r>
      <w:r w:rsidR="00146BF2" w:rsidRPr="000343FB">
        <w:rPr>
          <w:rFonts w:eastAsia="Calibri"/>
          <w:lang w:val="en-GB"/>
        </w:rPr>
        <w:t>a</w:t>
      </w:r>
      <w:r w:rsidR="001D6146">
        <w:rPr>
          <w:rFonts w:eastAsia="Calibri"/>
          <w:lang w:val="en-GB"/>
        </w:rPr>
        <w:t xml:space="preserve"> </w:t>
      </w:r>
      <w:r w:rsidR="00146BF2" w:rsidRPr="000343FB">
        <w:rPr>
          <w:rFonts w:eastAsia="Calibri"/>
          <w:lang w:val="en-GB"/>
        </w:rPr>
        <w:t>million pairs</w:t>
      </w:r>
      <w:r w:rsidR="00081F97">
        <w:rPr>
          <w:rFonts w:eastAsia="Calibri"/>
          <w:lang w:val="en-GB"/>
        </w:rPr>
        <w:t xml:space="preserve"> or </w:t>
      </w:r>
      <w:r w:rsidR="00146BF2" w:rsidRPr="000343FB">
        <w:rPr>
          <w:rFonts w:eastAsia="Calibri"/>
          <w:lang w:val="en-GB"/>
        </w:rPr>
        <w:t xml:space="preserve">pieces </w:t>
      </w:r>
      <w:r w:rsidR="00081F97">
        <w:rPr>
          <w:rFonts w:eastAsia="Calibri"/>
          <w:lang w:val="en-GB"/>
        </w:rPr>
        <w:t>of apparel</w:t>
      </w:r>
      <w:r w:rsidR="00040268">
        <w:rPr>
          <w:rFonts w:eastAsia="Calibri"/>
          <w:lang w:val="en-GB"/>
        </w:rPr>
        <w:t>)</w:t>
      </w:r>
      <w:r w:rsidR="00081F97">
        <w:rPr>
          <w:rFonts w:eastAsia="Calibri"/>
          <w:lang w:val="en-GB"/>
        </w:rPr>
        <w:t xml:space="preserve"> </w:t>
      </w:r>
      <w:r w:rsidR="00146BF2" w:rsidRPr="000343FB">
        <w:rPr>
          <w:rFonts w:eastAsia="Calibri"/>
          <w:lang w:val="en-GB"/>
        </w:rPr>
        <w:t>and sign</w:t>
      </w:r>
      <w:r w:rsidR="00040268">
        <w:rPr>
          <w:rFonts w:eastAsia="Calibri"/>
          <w:lang w:val="en-GB"/>
        </w:rPr>
        <w:t>ed</w:t>
      </w:r>
      <w:r w:rsidR="00146BF2" w:rsidRPr="000343FB">
        <w:rPr>
          <w:rFonts w:eastAsia="Calibri"/>
          <w:lang w:val="en-GB"/>
        </w:rPr>
        <w:t xml:space="preserve"> agreement</w:t>
      </w:r>
      <w:r w:rsidR="00040268">
        <w:rPr>
          <w:rFonts w:eastAsia="Calibri"/>
          <w:lang w:val="en-GB"/>
        </w:rPr>
        <w:t>s</w:t>
      </w:r>
      <w:r w:rsidR="00146BF2" w:rsidRPr="000343FB">
        <w:rPr>
          <w:rFonts w:eastAsia="Calibri"/>
          <w:lang w:val="en-GB"/>
        </w:rPr>
        <w:t xml:space="preserve"> to buy </w:t>
      </w:r>
      <w:r w:rsidR="00081F97">
        <w:rPr>
          <w:rFonts w:eastAsia="Calibri"/>
          <w:lang w:val="en-GB"/>
        </w:rPr>
        <w:t xml:space="preserve">more </w:t>
      </w:r>
      <w:r w:rsidR="00146BF2" w:rsidRPr="000343FB">
        <w:rPr>
          <w:rFonts w:eastAsia="Calibri"/>
          <w:lang w:val="en-GB"/>
        </w:rPr>
        <w:t xml:space="preserve">products throughout the year. </w:t>
      </w:r>
      <w:r w:rsidR="00081F97">
        <w:rPr>
          <w:rFonts w:eastAsia="Calibri"/>
          <w:lang w:val="en-GB"/>
        </w:rPr>
        <w:t xml:space="preserve">The portals </w:t>
      </w:r>
      <w:r w:rsidR="00040268">
        <w:rPr>
          <w:rFonts w:eastAsia="Calibri"/>
          <w:lang w:val="en-GB"/>
        </w:rPr>
        <w:t xml:space="preserve">realized that they </w:t>
      </w:r>
      <w:r w:rsidR="00081F97">
        <w:rPr>
          <w:rFonts w:eastAsia="Calibri"/>
          <w:lang w:val="en-GB"/>
        </w:rPr>
        <w:t>needed</w:t>
      </w:r>
      <w:r w:rsidR="00146BF2" w:rsidRPr="000343FB">
        <w:rPr>
          <w:rFonts w:eastAsia="Calibri"/>
          <w:lang w:val="en-GB"/>
        </w:rPr>
        <w:t xml:space="preserve"> help </w:t>
      </w:r>
      <w:r w:rsidR="00040268">
        <w:rPr>
          <w:rFonts w:eastAsia="Calibri"/>
          <w:lang w:val="en-GB"/>
        </w:rPr>
        <w:t xml:space="preserve">in </w:t>
      </w:r>
      <w:r w:rsidR="00146BF2" w:rsidRPr="000343FB">
        <w:rPr>
          <w:rFonts w:eastAsia="Calibri"/>
          <w:lang w:val="en-GB"/>
        </w:rPr>
        <w:t xml:space="preserve">procuring </w:t>
      </w:r>
      <w:r w:rsidR="00081F97">
        <w:rPr>
          <w:rFonts w:eastAsia="Calibri"/>
          <w:lang w:val="en-GB"/>
        </w:rPr>
        <w:t>product</w:t>
      </w:r>
      <w:r w:rsidR="0094143D">
        <w:rPr>
          <w:rFonts w:eastAsia="Calibri"/>
          <w:lang w:val="en-GB"/>
        </w:rPr>
        <w:t>s</w:t>
      </w:r>
      <w:r w:rsidR="00081F97">
        <w:rPr>
          <w:rFonts w:eastAsia="Calibri"/>
          <w:lang w:val="en-GB"/>
        </w:rPr>
        <w:t xml:space="preserve"> from major </w:t>
      </w:r>
      <w:r w:rsidR="00146BF2" w:rsidRPr="000343FB">
        <w:rPr>
          <w:rFonts w:eastAsia="Calibri"/>
          <w:lang w:val="en-GB"/>
        </w:rPr>
        <w:t>brands</w:t>
      </w:r>
      <w:r>
        <w:rPr>
          <w:rFonts w:eastAsia="Calibri"/>
          <w:lang w:val="en-GB"/>
        </w:rPr>
        <w:t>.</w:t>
      </w:r>
      <w:r w:rsidR="00081F97">
        <w:rPr>
          <w:rFonts w:eastAsia="Calibri"/>
          <w:lang w:val="en-GB"/>
        </w:rPr>
        <w:t xml:space="preserve"> </w:t>
      </w:r>
      <w:r>
        <w:rPr>
          <w:rFonts w:eastAsia="Calibri"/>
          <w:lang w:val="en-GB"/>
        </w:rPr>
        <w:t>A</w:t>
      </w:r>
      <w:r w:rsidR="00081F97">
        <w:rPr>
          <w:rFonts w:eastAsia="Calibri"/>
          <w:lang w:val="en-GB"/>
        </w:rPr>
        <w:t>s Singh explained:</w:t>
      </w:r>
    </w:p>
    <w:p w14:paraId="7EA659B4" w14:textId="77777777" w:rsidR="00081F97" w:rsidRPr="00270B29" w:rsidRDefault="00081F97" w:rsidP="00FD454B">
      <w:pPr>
        <w:pStyle w:val="BodyTextMain"/>
        <w:rPr>
          <w:rFonts w:eastAsia="Calibri"/>
          <w:sz w:val="18"/>
          <w:szCs w:val="18"/>
        </w:rPr>
      </w:pPr>
    </w:p>
    <w:p w14:paraId="4ECC4321" w14:textId="312B5D7C" w:rsidR="00146BF2" w:rsidRPr="000343FB" w:rsidRDefault="00146BF2" w:rsidP="00412C0E">
      <w:pPr>
        <w:pStyle w:val="BodyTextMain"/>
        <w:ind w:left="720"/>
        <w:rPr>
          <w:rFonts w:eastAsia="Calibri"/>
          <w:lang w:val="en-GB"/>
        </w:rPr>
      </w:pPr>
      <w:r w:rsidRPr="000343FB">
        <w:rPr>
          <w:rFonts w:eastAsia="Calibri"/>
          <w:lang w:val="en-GB"/>
        </w:rPr>
        <w:t>They approached us</w:t>
      </w:r>
      <w:r w:rsidR="00081F97">
        <w:rPr>
          <w:rFonts w:eastAsia="Calibri"/>
          <w:lang w:val="en-GB"/>
        </w:rPr>
        <w:t xml:space="preserve"> [to see]</w:t>
      </w:r>
      <w:r w:rsidRPr="000343FB">
        <w:rPr>
          <w:rFonts w:eastAsia="Calibri"/>
          <w:lang w:val="en-GB"/>
        </w:rPr>
        <w:t xml:space="preserve"> if we could help them connect with brands. That’s how the supply chain side started. We converted unorganized into organized supply systems. At first, I used to procure from distributors and others</w:t>
      </w:r>
      <w:r w:rsidR="00081F97">
        <w:rPr>
          <w:rFonts w:eastAsia="Calibri"/>
          <w:lang w:val="en-GB"/>
        </w:rPr>
        <w:t>,</w:t>
      </w:r>
      <w:r w:rsidRPr="000343FB">
        <w:rPr>
          <w:rFonts w:eastAsia="Calibri"/>
          <w:lang w:val="en-GB"/>
        </w:rPr>
        <w:t xml:space="preserve"> and supplied to the e</w:t>
      </w:r>
      <w:r w:rsidR="00D16CF6">
        <w:rPr>
          <w:rFonts w:eastAsia="Calibri"/>
          <w:lang w:val="en-GB"/>
        </w:rPr>
        <w:t>-</w:t>
      </w:r>
      <w:r w:rsidRPr="000343FB">
        <w:rPr>
          <w:rFonts w:eastAsia="Calibri"/>
          <w:lang w:val="en-GB"/>
        </w:rPr>
        <w:t>commerce platforms</w:t>
      </w:r>
      <w:r w:rsidR="00081F97">
        <w:rPr>
          <w:rFonts w:eastAsia="Calibri"/>
          <w:lang w:val="en-GB"/>
        </w:rPr>
        <w:t>.</w:t>
      </w:r>
      <w:r w:rsidRPr="000343FB">
        <w:rPr>
          <w:rFonts w:eastAsia="Calibri"/>
          <w:lang w:val="en-GB"/>
        </w:rPr>
        <w:t xml:space="preserve"> Later, I started procuring products directly from the company as an affiliated business partner and started supplying to these e</w:t>
      </w:r>
      <w:r w:rsidR="00D16CF6">
        <w:rPr>
          <w:rFonts w:eastAsia="Calibri"/>
          <w:lang w:val="en-GB"/>
        </w:rPr>
        <w:t>-</w:t>
      </w:r>
      <w:r w:rsidRPr="000343FB">
        <w:rPr>
          <w:rFonts w:eastAsia="Calibri"/>
          <w:lang w:val="en-GB"/>
        </w:rPr>
        <w:t xml:space="preserve">commerce platforms as their authorized agent. </w:t>
      </w:r>
    </w:p>
    <w:p w14:paraId="0D3822D5" w14:textId="77777777" w:rsidR="00146BF2" w:rsidRPr="00270B29" w:rsidRDefault="00146BF2" w:rsidP="00FD454B">
      <w:pPr>
        <w:pStyle w:val="BodyTextMain"/>
        <w:rPr>
          <w:rFonts w:eastAsia="Calibri"/>
          <w:sz w:val="18"/>
          <w:szCs w:val="18"/>
        </w:rPr>
      </w:pPr>
    </w:p>
    <w:p w14:paraId="3D9CF0B0" w14:textId="0F5D97B9" w:rsidR="00146BF2" w:rsidRPr="000343FB" w:rsidRDefault="00146BF2" w:rsidP="00146BF2">
      <w:pPr>
        <w:pStyle w:val="BodyTextMain"/>
        <w:rPr>
          <w:rFonts w:eastAsia="Calibri"/>
          <w:lang w:val="en-GB"/>
        </w:rPr>
      </w:pPr>
      <w:r w:rsidRPr="000343FB">
        <w:rPr>
          <w:rFonts w:eastAsia="Calibri"/>
          <w:lang w:val="en-GB"/>
        </w:rPr>
        <w:t xml:space="preserve">TDC signed business supply agreements with </w:t>
      </w:r>
      <w:r w:rsidR="00081F97">
        <w:rPr>
          <w:rFonts w:eastAsia="Calibri"/>
          <w:lang w:val="en-GB"/>
        </w:rPr>
        <w:t>multinational corporation</w:t>
      </w:r>
      <w:r w:rsidRPr="000343FB">
        <w:rPr>
          <w:rFonts w:eastAsia="Calibri"/>
          <w:lang w:val="en-GB"/>
        </w:rPr>
        <w:t>s like Fila</w:t>
      </w:r>
      <w:r w:rsidR="00D34D1F">
        <w:rPr>
          <w:rFonts w:eastAsia="Calibri"/>
          <w:lang w:val="en-GB"/>
        </w:rPr>
        <w:t xml:space="preserve"> Inc.</w:t>
      </w:r>
      <w:r w:rsidRPr="000343FB">
        <w:rPr>
          <w:rFonts w:eastAsia="Calibri"/>
          <w:lang w:val="en-GB"/>
        </w:rPr>
        <w:t>, Adidas</w:t>
      </w:r>
      <w:r w:rsidR="00D34D1F">
        <w:rPr>
          <w:rFonts w:eastAsia="Calibri"/>
          <w:lang w:val="en-GB"/>
        </w:rPr>
        <w:t xml:space="preserve"> Inc.</w:t>
      </w:r>
      <w:r w:rsidRPr="000343FB">
        <w:rPr>
          <w:rFonts w:eastAsia="Calibri"/>
          <w:lang w:val="en-GB"/>
        </w:rPr>
        <w:t>, and Reebok</w:t>
      </w:r>
      <w:r w:rsidR="00D34D1F">
        <w:rPr>
          <w:rFonts w:eastAsia="Calibri"/>
          <w:lang w:val="en-GB"/>
        </w:rPr>
        <w:t xml:space="preserve"> International</w:t>
      </w:r>
      <w:r w:rsidRPr="000343FB">
        <w:rPr>
          <w:rFonts w:eastAsia="Calibri"/>
          <w:lang w:val="en-GB"/>
        </w:rPr>
        <w:t xml:space="preserve">. TDC’s supply side agreement required the first deal </w:t>
      </w:r>
      <w:r w:rsidR="00081F97">
        <w:rPr>
          <w:rFonts w:eastAsia="Calibri"/>
          <w:lang w:val="en-GB"/>
        </w:rPr>
        <w:t xml:space="preserve">to </w:t>
      </w:r>
      <w:r w:rsidRPr="000343FB">
        <w:rPr>
          <w:rFonts w:eastAsia="Calibri"/>
          <w:lang w:val="en-GB"/>
        </w:rPr>
        <w:t xml:space="preserve">always be </w:t>
      </w:r>
      <w:r w:rsidR="00040268">
        <w:rPr>
          <w:rFonts w:eastAsia="Calibri"/>
          <w:lang w:val="en-GB"/>
        </w:rPr>
        <w:t xml:space="preserve">in </w:t>
      </w:r>
      <w:r w:rsidRPr="000343FB">
        <w:rPr>
          <w:rFonts w:eastAsia="Calibri"/>
          <w:lang w:val="en-GB"/>
        </w:rPr>
        <w:t xml:space="preserve">cash. TDC also invested heavily in </w:t>
      </w:r>
      <w:r w:rsidR="00040268">
        <w:rPr>
          <w:rFonts w:eastAsia="Calibri"/>
          <w:lang w:val="en-GB"/>
        </w:rPr>
        <w:t xml:space="preserve">the </w:t>
      </w:r>
      <w:r w:rsidR="00040268" w:rsidRPr="000343FB">
        <w:rPr>
          <w:rFonts w:eastAsia="Calibri"/>
          <w:lang w:val="en-GB"/>
        </w:rPr>
        <w:t>supply chain system</w:t>
      </w:r>
      <w:r w:rsidR="00040268">
        <w:rPr>
          <w:rFonts w:eastAsia="Calibri"/>
          <w:lang w:val="en-GB"/>
        </w:rPr>
        <w:t xml:space="preserve"> of </w:t>
      </w:r>
      <w:r w:rsidRPr="000343FB">
        <w:rPr>
          <w:rFonts w:eastAsia="Calibri"/>
          <w:lang w:val="en-GB"/>
        </w:rPr>
        <w:t>these operations</w:t>
      </w:r>
      <w:r w:rsidR="00040268">
        <w:rPr>
          <w:rFonts w:eastAsia="Calibri"/>
          <w:lang w:val="en-GB"/>
        </w:rPr>
        <w:t>—</w:t>
      </w:r>
      <w:r w:rsidRPr="000343FB">
        <w:rPr>
          <w:rFonts w:eastAsia="Calibri"/>
          <w:lang w:val="en-GB"/>
        </w:rPr>
        <w:t xml:space="preserve">up </w:t>
      </w:r>
      <w:r w:rsidR="009A3037">
        <w:rPr>
          <w:rFonts w:eastAsia="Calibri"/>
          <w:lang w:val="en-GB"/>
        </w:rPr>
        <w:t xml:space="preserve">to </w:t>
      </w:r>
      <w:r w:rsidRPr="007D7BA3">
        <w:rPr>
          <w:rFonts w:ascii="Arial" w:eastAsia="Arial Unicode MS" w:hAnsi="Arial" w:cs="Arial"/>
          <w:sz w:val="20"/>
          <w:szCs w:val="20"/>
          <w:lang w:val="en-GB"/>
        </w:rPr>
        <w:t>₹</w:t>
      </w:r>
      <w:r w:rsidRPr="000343FB">
        <w:rPr>
          <w:rFonts w:eastAsia="Calibri"/>
          <w:lang w:val="en-GB"/>
        </w:rPr>
        <w:t xml:space="preserve">40 </w:t>
      </w:r>
      <w:r w:rsidR="00161C92">
        <w:rPr>
          <w:rFonts w:eastAsia="Calibri"/>
          <w:lang w:val="en-GB"/>
        </w:rPr>
        <w:t xml:space="preserve">million </w:t>
      </w:r>
      <w:r w:rsidRPr="000343FB">
        <w:rPr>
          <w:rFonts w:eastAsia="Calibri"/>
          <w:lang w:val="en-GB"/>
        </w:rPr>
        <w:t>o</w:t>
      </w:r>
      <w:r w:rsidR="009A3037">
        <w:rPr>
          <w:rFonts w:eastAsia="Calibri"/>
          <w:lang w:val="en-GB"/>
        </w:rPr>
        <w:t>r</w:t>
      </w:r>
      <w:r w:rsidRPr="000343FB">
        <w:rPr>
          <w:rFonts w:eastAsia="Calibri"/>
          <w:lang w:val="en-GB"/>
        </w:rPr>
        <w:t xml:space="preserve"> </w:t>
      </w:r>
      <w:r w:rsidR="00161C92">
        <w:rPr>
          <w:rFonts w:eastAsia="Calibri"/>
          <w:lang w:val="en-GB"/>
        </w:rPr>
        <w:t xml:space="preserve">even </w:t>
      </w:r>
      <w:r w:rsidR="00D34D1F" w:rsidRPr="00260240">
        <w:rPr>
          <w:rFonts w:ascii="Arial" w:eastAsia="Arial Unicode MS" w:hAnsi="Arial" w:cs="Arial"/>
          <w:sz w:val="20"/>
          <w:szCs w:val="20"/>
          <w:lang w:val="en-GB"/>
        </w:rPr>
        <w:t>₹</w:t>
      </w:r>
      <w:r w:rsidRPr="000343FB">
        <w:rPr>
          <w:rFonts w:eastAsia="Calibri"/>
          <w:lang w:val="en-GB"/>
        </w:rPr>
        <w:t>60 million</w:t>
      </w:r>
      <w:r w:rsidR="00C37C6F">
        <w:rPr>
          <w:rStyle w:val="EndnoteReference"/>
          <w:rFonts w:eastAsia="Calibri"/>
          <w:lang w:val="en-GB"/>
        </w:rPr>
        <w:endnoteReference w:id="6"/>
      </w:r>
      <w:r w:rsidRPr="000343FB">
        <w:rPr>
          <w:rFonts w:eastAsia="Calibri"/>
          <w:lang w:val="en-GB"/>
        </w:rPr>
        <w:t xml:space="preserve"> at a time. TDC’s supply chain operated a global network</w:t>
      </w:r>
      <w:r w:rsidR="003A02CB">
        <w:rPr>
          <w:rFonts w:eastAsia="Calibri"/>
          <w:lang w:val="en-GB"/>
        </w:rPr>
        <w:t>,</w:t>
      </w:r>
      <w:r w:rsidRPr="000343FB">
        <w:rPr>
          <w:rFonts w:eastAsia="Calibri"/>
          <w:lang w:val="en-GB"/>
        </w:rPr>
        <w:t xml:space="preserve"> sourcing and manufacturing products from around the world. The company considered its supply chain partners important collaborators</w:t>
      </w:r>
      <w:r w:rsidR="003A02CB">
        <w:rPr>
          <w:rFonts w:eastAsia="Calibri"/>
          <w:lang w:val="en-GB"/>
        </w:rPr>
        <w:t>. Therefore</w:t>
      </w:r>
      <w:r w:rsidRPr="000343FB">
        <w:rPr>
          <w:rFonts w:eastAsia="Calibri"/>
          <w:lang w:val="en-GB"/>
        </w:rPr>
        <w:t xml:space="preserve">, TDC focused on building strong </w:t>
      </w:r>
      <w:r w:rsidR="00161C92">
        <w:rPr>
          <w:rFonts w:eastAsia="Calibri"/>
          <w:lang w:val="en-GB"/>
        </w:rPr>
        <w:t xml:space="preserve">and respectful </w:t>
      </w:r>
      <w:r w:rsidRPr="000343FB">
        <w:rPr>
          <w:rFonts w:eastAsia="Calibri"/>
          <w:lang w:val="en-GB"/>
        </w:rPr>
        <w:t xml:space="preserve">long-term relationships with </w:t>
      </w:r>
      <w:r w:rsidR="00040268">
        <w:rPr>
          <w:rFonts w:eastAsia="Calibri"/>
          <w:lang w:val="en-GB"/>
        </w:rPr>
        <w:t xml:space="preserve">both major </w:t>
      </w:r>
      <w:r w:rsidRPr="000343FB">
        <w:rPr>
          <w:rFonts w:eastAsia="Calibri"/>
          <w:lang w:val="en-GB"/>
        </w:rPr>
        <w:t xml:space="preserve">brands and </w:t>
      </w:r>
      <w:r w:rsidR="00040268">
        <w:rPr>
          <w:rFonts w:eastAsia="Calibri"/>
          <w:lang w:val="en-GB"/>
        </w:rPr>
        <w:t xml:space="preserve">e-commerce </w:t>
      </w:r>
      <w:r w:rsidRPr="000343FB">
        <w:rPr>
          <w:rFonts w:eastAsia="Calibri"/>
          <w:lang w:val="en-GB"/>
        </w:rPr>
        <w:t xml:space="preserve">portals. Singh believed </w:t>
      </w:r>
      <w:r w:rsidR="003A02CB">
        <w:rPr>
          <w:rFonts w:eastAsia="Calibri"/>
          <w:lang w:val="en-GB"/>
        </w:rPr>
        <w:t xml:space="preserve">that </w:t>
      </w:r>
      <w:r w:rsidRPr="000343FB">
        <w:rPr>
          <w:rFonts w:eastAsia="Calibri"/>
          <w:lang w:val="en-GB"/>
        </w:rPr>
        <w:t xml:space="preserve">these relationships were critical to the </w:t>
      </w:r>
      <w:r w:rsidR="003A02CB">
        <w:rPr>
          <w:rFonts w:eastAsia="Calibri"/>
          <w:lang w:val="en-GB"/>
        </w:rPr>
        <w:t>company</w:t>
      </w:r>
      <w:r w:rsidRPr="000343FB">
        <w:rPr>
          <w:rFonts w:eastAsia="Calibri"/>
          <w:lang w:val="en-GB"/>
        </w:rPr>
        <w:t>’s continued success.</w:t>
      </w:r>
    </w:p>
    <w:p w14:paraId="48CA6954" w14:textId="77777777" w:rsidR="00146BF2" w:rsidRPr="00270B29" w:rsidRDefault="00146BF2" w:rsidP="00FD454B">
      <w:pPr>
        <w:pStyle w:val="BodyTextMain"/>
        <w:rPr>
          <w:rFonts w:eastAsia="Calibri"/>
          <w:sz w:val="18"/>
          <w:szCs w:val="18"/>
        </w:rPr>
      </w:pPr>
    </w:p>
    <w:p w14:paraId="183789BE" w14:textId="3C9B36A3" w:rsidR="00146BF2" w:rsidRPr="000343FB" w:rsidRDefault="00146BF2" w:rsidP="00146BF2">
      <w:pPr>
        <w:pStyle w:val="BodyTextMain"/>
        <w:rPr>
          <w:rFonts w:eastAsia="Calibri"/>
          <w:lang w:val="en-GB"/>
        </w:rPr>
      </w:pPr>
      <w:r w:rsidRPr="000343FB">
        <w:rPr>
          <w:rFonts w:eastAsia="Calibri"/>
          <w:lang w:val="en-GB"/>
        </w:rPr>
        <w:t xml:space="preserve">TDC </w:t>
      </w:r>
      <w:r w:rsidR="003A02CB">
        <w:rPr>
          <w:rFonts w:eastAsia="Calibri"/>
          <w:lang w:val="en-GB"/>
        </w:rPr>
        <w:t>established</w:t>
      </w:r>
      <w:r w:rsidRPr="000343FB">
        <w:rPr>
          <w:rFonts w:eastAsia="Calibri"/>
          <w:lang w:val="en-GB"/>
        </w:rPr>
        <w:t xml:space="preserve"> </w:t>
      </w:r>
      <w:r w:rsidR="003A02CB">
        <w:rPr>
          <w:rFonts w:eastAsia="Calibri"/>
          <w:lang w:val="en-GB"/>
        </w:rPr>
        <w:t>several</w:t>
      </w:r>
      <w:r w:rsidRPr="000343FB">
        <w:rPr>
          <w:rFonts w:eastAsia="Calibri"/>
          <w:lang w:val="en-GB"/>
        </w:rPr>
        <w:t xml:space="preserve"> international franchises</w:t>
      </w:r>
      <w:r w:rsidR="003A02CB">
        <w:rPr>
          <w:rFonts w:eastAsia="Calibri"/>
          <w:lang w:val="en-GB"/>
        </w:rPr>
        <w:t xml:space="preserve"> and</w:t>
      </w:r>
      <w:r w:rsidRPr="000343FB">
        <w:rPr>
          <w:rFonts w:eastAsia="Calibri"/>
          <w:lang w:val="en-GB"/>
        </w:rPr>
        <w:t xml:space="preserve"> </w:t>
      </w:r>
      <w:r w:rsidR="003A02CB">
        <w:rPr>
          <w:rFonts w:eastAsia="Calibri"/>
          <w:lang w:val="en-GB"/>
        </w:rPr>
        <w:t>so-called “</w:t>
      </w:r>
      <w:r w:rsidR="008C0CEB">
        <w:rPr>
          <w:rFonts w:eastAsia="Calibri"/>
          <w:lang w:val="en-GB"/>
        </w:rPr>
        <w:t>shop-in-</w:t>
      </w:r>
      <w:r w:rsidRPr="000343FB">
        <w:rPr>
          <w:rFonts w:eastAsia="Calibri"/>
          <w:lang w:val="en-GB"/>
        </w:rPr>
        <w:t>shops,</w:t>
      </w:r>
      <w:r w:rsidR="003A02CB">
        <w:rPr>
          <w:rFonts w:eastAsia="Calibri"/>
          <w:lang w:val="en-GB"/>
        </w:rPr>
        <w:t>”</w:t>
      </w:r>
      <w:r w:rsidRPr="000343FB">
        <w:rPr>
          <w:rFonts w:eastAsia="Calibri"/>
          <w:vertAlign w:val="superscript"/>
          <w:lang w:val="en-GB"/>
        </w:rPr>
        <w:endnoteReference w:id="7"/>
      </w:r>
      <w:r w:rsidRPr="000343FB">
        <w:rPr>
          <w:rFonts w:eastAsia="Calibri"/>
          <w:lang w:val="en-GB"/>
        </w:rPr>
        <w:t xml:space="preserve"> </w:t>
      </w:r>
      <w:r w:rsidR="003A02CB">
        <w:rPr>
          <w:rFonts w:eastAsia="Calibri"/>
          <w:lang w:val="en-GB"/>
        </w:rPr>
        <w:t>with</w:t>
      </w:r>
      <w:r w:rsidRPr="000343FB">
        <w:rPr>
          <w:rFonts w:eastAsia="Calibri"/>
          <w:lang w:val="en-GB"/>
        </w:rPr>
        <w:t xml:space="preserve"> </w:t>
      </w:r>
      <w:r w:rsidR="00161C92">
        <w:rPr>
          <w:rFonts w:eastAsia="Calibri"/>
          <w:lang w:val="en-GB"/>
        </w:rPr>
        <w:t xml:space="preserve">a </w:t>
      </w:r>
      <w:r w:rsidRPr="000343FB">
        <w:rPr>
          <w:rFonts w:eastAsia="Calibri"/>
          <w:lang w:val="en-GB"/>
        </w:rPr>
        <w:t>presence in multi-brand outlets in the Middle East, West Africa, South Africa, Europe, and South Asia. TDC</w:t>
      </w:r>
      <w:r w:rsidR="003A02CB">
        <w:rPr>
          <w:rFonts w:eastAsia="Calibri"/>
          <w:lang w:val="en-GB"/>
        </w:rPr>
        <w:t xml:space="preserve"> successfully managed its relationships with</w:t>
      </w:r>
      <w:r w:rsidRPr="000343FB">
        <w:rPr>
          <w:rFonts w:eastAsia="Calibri"/>
          <w:lang w:val="en-GB"/>
        </w:rPr>
        <w:t xml:space="preserve"> back-end supplier</w:t>
      </w:r>
      <w:r w:rsidR="003A02CB">
        <w:rPr>
          <w:rFonts w:eastAsia="Calibri"/>
          <w:lang w:val="en-GB"/>
        </w:rPr>
        <w:t>s while</w:t>
      </w:r>
      <w:r w:rsidRPr="000343FB">
        <w:rPr>
          <w:rFonts w:eastAsia="Calibri"/>
          <w:lang w:val="en-GB"/>
        </w:rPr>
        <w:t xml:space="preserve"> </w:t>
      </w:r>
      <w:r w:rsidR="00CC2BAA">
        <w:rPr>
          <w:rFonts w:eastAsia="Calibri"/>
          <w:lang w:val="en-GB"/>
        </w:rPr>
        <w:t>promoting</w:t>
      </w:r>
      <w:r w:rsidR="003A02CB">
        <w:rPr>
          <w:rFonts w:eastAsia="Calibri"/>
          <w:lang w:val="en-GB"/>
        </w:rPr>
        <w:t xml:space="preserve"> a </w:t>
      </w:r>
      <w:r w:rsidRPr="000343FB">
        <w:rPr>
          <w:rFonts w:eastAsia="Calibri"/>
          <w:lang w:val="en-GB"/>
        </w:rPr>
        <w:t>front-end</w:t>
      </w:r>
      <w:r w:rsidR="002F31C4">
        <w:rPr>
          <w:rFonts w:eastAsia="Calibri"/>
          <w:lang w:val="en-GB"/>
        </w:rPr>
        <w:t>,</w:t>
      </w:r>
      <w:r w:rsidRPr="000343FB">
        <w:rPr>
          <w:rFonts w:eastAsia="Calibri"/>
          <w:lang w:val="en-GB"/>
        </w:rPr>
        <w:t xml:space="preserve"> point</w:t>
      </w:r>
      <w:r w:rsidR="00CC2BAA">
        <w:rPr>
          <w:rFonts w:eastAsia="Calibri"/>
          <w:lang w:val="en-GB"/>
        </w:rPr>
        <w:t>-</w:t>
      </w:r>
      <w:r w:rsidRPr="000343FB">
        <w:rPr>
          <w:rFonts w:eastAsia="Calibri"/>
          <w:lang w:val="en-GB"/>
        </w:rPr>
        <w:t>of</w:t>
      </w:r>
      <w:r w:rsidR="00CC2BAA">
        <w:rPr>
          <w:rFonts w:eastAsia="Calibri"/>
          <w:lang w:val="en-GB"/>
        </w:rPr>
        <w:t>-</w:t>
      </w:r>
      <w:r w:rsidRPr="000343FB">
        <w:rPr>
          <w:rFonts w:eastAsia="Calibri"/>
          <w:lang w:val="en-GB"/>
        </w:rPr>
        <w:t xml:space="preserve">sale network across the globe, making it possible for customers to easily access its products.  </w:t>
      </w:r>
    </w:p>
    <w:p w14:paraId="66071692" w14:textId="77777777" w:rsidR="00040268" w:rsidRPr="00270B29" w:rsidRDefault="00040268" w:rsidP="00FD454B">
      <w:pPr>
        <w:pStyle w:val="BodyTextMain"/>
        <w:rPr>
          <w:sz w:val="18"/>
          <w:szCs w:val="18"/>
        </w:rPr>
      </w:pPr>
    </w:p>
    <w:p w14:paraId="152672FA" w14:textId="77777777" w:rsidR="00270B29" w:rsidRPr="00270B29" w:rsidRDefault="00270B29" w:rsidP="00FD454B">
      <w:pPr>
        <w:pStyle w:val="BodyTextMain"/>
        <w:rPr>
          <w:sz w:val="18"/>
          <w:szCs w:val="18"/>
        </w:rPr>
      </w:pPr>
    </w:p>
    <w:p w14:paraId="1ABEAEF4" w14:textId="5E0E4F5A" w:rsidR="00146BF2" w:rsidRPr="000343FB" w:rsidRDefault="00146BF2" w:rsidP="00270B29">
      <w:pPr>
        <w:pStyle w:val="Casehead1"/>
        <w:rPr>
          <w:lang w:val="en-GB"/>
        </w:rPr>
      </w:pPr>
      <w:r w:rsidRPr="000343FB">
        <w:rPr>
          <w:lang w:val="en-GB"/>
        </w:rPr>
        <w:t>MUSIC INSPIRED CONSUMER BRANDS</w:t>
      </w:r>
    </w:p>
    <w:p w14:paraId="204A74CC" w14:textId="77777777" w:rsidR="00146BF2" w:rsidRPr="00270B29" w:rsidRDefault="00146BF2" w:rsidP="00270B29">
      <w:pPr>
        <w:pStyle w:val="BodyTextMain"/>
        <w:rPr>
          <w:sz w:val="18"/>
          <w:szCs w:val="18"/>
        </w:rPr>
      </w:pPr>
    </w:p>
    <w:p w14:paraId="636F8BC0" w14:textId="149259D2" w:rsidR="00146BF2" w:rsidRPr="000343FB" w:rsidRDefault="00146BF2" w:rsidP="00270B29">
      <w:pPr>
        <w:pStyle w:val="Casehead2"/>
        <w:rPr>
          <w:lang w:val="en-GB"/>
        </w:rPr>
      </w:pPr>
      <w:r w:rsidRPr="000343FB">
        <w:rPr>
          <w:lang w:val="en-GB"/>
        </w:rPr>
        <w:t>Hip</w:t>
      </w:r>
      <w:r w:rsidR="00901F18">
        <w:rPr>
          <w:lang w:val="en-GB"/>
        </w:rPr>
        <w:t xml:space="preserve"> </w:t>
      </w:r>
      <w:r w:rsidRPr="000343FB">
        <w:rPr>
          <w:lang w:val="en-GB"/>
        </w:rPr>
        <w:t>Hop and EDM</w:t>
      </w:r>
    </w:p>
    <w:p w14:paraId="49513631" w14:textId="77777777" w:rsidR="00146BF2" w:rsidRPr="00270B29" w:rsidRDefault="00146BF2" w:rsidP="00270B29">
      <w:pPr>
        <w:pStyle w:val="BodyTextMain"/>
        <w:rPr>
          <w:sz w:val="18"/>
          <w:szCs w:val="18"/>
        </w:rPr>
      </w:pPr>
    </w:p>
    <w:p w14:paraId="4B98CFCA" w14:textId="1F5B7CB7" w:rsidR="00146BF2" w:rsidRPr="000343FB" w:rsidRDefault="00146BF2" w:rsidP="00270B29">
      <w:pPr>
        <w:pStyle w:val="BodyTextMain"/>
        <w:rPr>
          <w:lang w:val="en-GB"/>
        </w:rPr>
      </w:pPr>
      <w:r w:rsidRPr="000343FB">
        <w:rPr>
          <w:lang w:val="en-GB"/>
        </w:rPr>
        <w:t>Hip</w:t>
      </w:r>
      <w:r w:rsidR="00901F18">
        <w:rPr>
          <w:lang w:val="en-GB"/>
        </w:rPr>
        <w:t xml:space="preserve"> </w:t>
      </w:r>
      <w:r w:rsidRPr="000343FB">
        <w:rPr>
          <w:lang w:val="en-GB"/>
        </w:rPr>
        <w:t>hop music originated in the 1970s in the poorest inner</w:t>
      </w:r>
      <w:r w:rsidR="00142B06">
        <w:rPr>
          <w:lang w:val="en-GB"/>
        </w:rPr>
        <w:t>-</w:t>
      </w:r>
      <w:r w:rsidRPr="000343FB">
        <w:rPr>
          <w:lang w:val="en-GB"/>
        </w:rPr>
        <w:t>city African-American neighbo</w:t>
      </w:r>
      <w:r w:rsidR="002F31C4">
        <w:rPr>
          <w:lang w:val="en-GB"/>
        </w:rPr>
        <w:t>u</w:t>
      </w:r>
      <w:r w:rsidRPr="000343FB">
        <w:rPr>
          <w:lang w:val="en-GB"/>
        </w:rPr>
        <w:t>rhoods of New York City.</w:t>
      </w:r>
      <w:r w:rsidRPr="000343FB">
        <w:rPr>
          <w:vertAlign w:val="superscript"/>
          <w:lang w:val="en-GB"/>
        </w:rPr>
        <w:endnoteReference w:id="8"/>
      </w:r>
      <w:r w:rsidRPr="000343FB">
        <w:rPr>
          <w:lang w:val="en-GB"/>
        </w:rPr>
        <w:t xml:space="preserve"> </w:t>
      </w:r>
      <w:r w:rsidR="0083766B">
        <w:rPr>
          <w:lang w:val="en-GB"/>
        </w:rPr>
        <w:t>Y</w:t>
      </w:r>
      <w:r w:rsidRPr="000343FB">
        <w:rPr>
          <w:lang w:val="en-GB"/>
        </w:rPr>
        <w:t xml:space="preserve">outh </w:t>
      </w:r>
      <w:r w:rsidR="0083766B">
        <w:rPr>
          <w:lang w:val="en-GB"/>
        </w:rPr>
        <w:t xml:space="preserve">unemployment was high when </w:t>
      </w:r>
      <w:r w:rsidRPr="000343FB">
        <w:rPr>
          <w:lang w:val="en-GB"/>
        </w:rPr>
        <w:t xml:space="preserve">rapping, </w:t>
      </w:r>
      <w:proofErr w:type="spellStart"/>
      <w:r w:rsidRPr="000343FB">
        <w:rPr>
          <w:lang w:val="en-GB"/>
        </w:rPr>
        <w:t>deejaying</w:t>
      </w:r>
      <w:proofErr w:type="spellEnd"/>
      <w:r w:rsidRPr="000343FB">
        <w:rPr>
          <w:lang w:val="en-GB"/>
        </w:rPr>
        <w:t>, breakdancing, graffiti art, and hip</w:t>
      </w:r>
      <w:r w:rsidR="00901F18">
        <w:rPr>
          <w:lang w:val="en-GB"/>
        </w:rPr>
        <w:t xml:space="preserve"> </w:t>
      </w:r>
      <w:r w:rsidRPr="000343FB">
        <w:rPr>
          <w:lang w:val="en-GB"/>
        </w:rPr>
        <w:lastRenderedPageBreak/>
        <w:t>hop music</w:t>
      </w:r>
      <w:r w:rsidR="0083766B">
        <w:rPr>
          <w:lang w:val="en-GB"/>
        </w:rPr>
        <w:t xml:space="preserve"> were discovered</w:t>
      </w:r>
      <w:r w:rsidR="00CA04B8">
        <w:rPr>
          <w:lang w:val="en-GB"/>
        </w:rPr>
        <w:t>,</w:t>
      </w:r>
      <w:r w:rsidR="0083766B">
        <w:rPr>
          <w:lang w:val="en-GB"/>
        </w:rPr>
        <w:t xml:space="preserve"> and new </w:t>
      </w:r>
      <w:proofErr w:type="spellStart"/>
      <w:r w:rsidR="0083766B">
        <w:rPr>
          <w:lang w:val="en-GB"/>
        </w:rPr>
        <w:t>d</w:t>
      </w:r>
      <w:r w:rsidRPr="000343FB">
        <w:rPr>
          <w:lang w:val="en-GB"/>
        </w:rPr>
        <w:t>eejaying</w:t>
      </w:r>
      <w:proofErr w:type="spellEnd"/>
      <w:r w:rsidRPr="000343FB">
        <w:rPr>
          <w:lang w:val="en-GB"/>
        </w:rPr>
        <w:t xml:space="preserve"> techniques</w:t>
      </w:r>
      <w:r w:rsidR="00F80F08">
        <w:rPr>
          <w:lang w:val="en-GB"/>
        </w:rPr>
        <w:t>,</w:t>
      </w:r>
      <w:r w:rsidRPr="000343FB">
        <w:rPr>
          <w:lang w:val="en-GB"/>
        </w:rPr>
        <w:t xml:space="preserve"> such as using two turntables and a mixer to play music non</w:t>
      </w:r>
      <w:r w:rsidR="00142B06">
        <w:rPr>
          <w:lang w:val="en-GB"/>
        </w:rPr>
        <w:t>-</w:t>
      </w:r>
      <w:r w:rsidRPr="000343FB">
        <w:rPr>
          <w:lang w:val="en-GB"/>
        </w:rPr>
        <w:t>stop</w:t>
      </w:r>
      <w:r w:rsidR="00CA04B8">
        <w:rPr>
          <w:lang w:val="en-GB"/>
        </w:rPr>
        <w:t>, developed</w:t>
      </w:r>
      <w:r w:rsidRPr="000343FB">
        <w:rPr>
          <w:lang w:val="en-GB"/>
        </w:rPr>
        <w:t>.</w:t>
      </w:r>
      <w:r w:rsidRPr="000343FB">
        <w:rPr>
          <w:vertAlign w:val="superscript"/>
          <w:lang w:val="en-GB"/>
        </w:rPr>
        <w:endnoteReference w:id="9"/>
      </w:r>
      <w:r w:rsidRPr="000343FB">
        <w:rPr>
          <w:lang w:val="en-GB"/>
        </w:rPr>
        <w:t xml:space="preserve"> This was the beginning of rap music. </w:t>
      </w:r>
    </w:p>
    <w:p w14:paraId="406857FE" w14:textId="77777777" w:rsidR="00146BF2" w:rsidRPr="00FD454B" w:rsidRDefault="00146BF2" w:rsidP="00FD454B">
      <w:pPr>
        <w:pStyle w:val="BodyTextMain"/>
      </w:pPr>
    </w:p>
    <w:p w14:paraId="7E047C6B" w14:textId="4D85FF08" w:rsidR="00146BF2" w:rsidRPr="00B45236" w:rsidRDefault="00CA04B8" w:rsidP="00146BF2">
      <w:pPr>
        <w:pStyle w:val="BodyTextMain"/>
        <w:rPr>
          <w:spacing w:val="-2"/>
          <w:kern w:val="22"/>
          <w:lang w:val="en-GB"/>
        </w:rPr>
      </w:pPr>
      <w:r>
        <w:rPr>
          <w:spacing w:val="-2"/>
          <w:kern w:val="22"/>
          <w:lang w:val="en-GB"/>
        </w:rPr>
        <w:t>EDM</w:t>
      </w:r>
      <w:r w:rsidR="00146BF2" w:rsidRPr="00B45236">
        <w:rPr>
          <w:spacing w:val="-2"/>
          <w:kern w:val="22"/>
          <w:lang w:val="en-GB"/>
        </w:rPr>
        <w:t xml:space="preserve"> was the base for T</w:t>
      </w:r>
      <w:r w:rsidR="002F31C4" w:rsidRPr="00B45236">
        <w:rPr>
          <w:spacing w:val="-2"/>
          <w:kern w:val="22"/>
          <w:lang w:val="en-GB"/>
        </w:rPr>
        <w:t>DC</w:t>
      </w:r>
      <w:r w:rsidR="00146BF2" w:rsidRPr="00B45236">
        <w:rPr>
          <w:spacing w:val="-2"/>
          <w:kern w:val="22"/>
          <w:lang w:val="en-GB"/>
        </w:rPr>
        <w:t>’s range of products</w:t>
      </w:r>
      <w:r w:rsidR="00142B06" w:rsidRPr="00B45236">
        <w:rPr>
          <w:spacing w:val="-2"/>
          <w:kern w:val="22"/>
          <w:lang w:val="en-GB"/>
        </w:rPr>
        <w:t>.</w:t>
      </w:r>
      <w:r w:rsidR="00146BF2" w:rsidRPr="00B45236">
        <w:rPr>
          <w:spacing w:val="-2"/>
          <w:kern w:val="22"/>
          <w:lang w:val="en-GB"/>
        </w:rPr>
        <w:t xml:space="preserve"> </w:t>
      </w:r>
      <w:r w:rsidR="00142B06" w:rsidRPr="00B45236">
        <w:rPr>
          <w:spacing w:val="-2"/>
          <w:kern w:val="22"/>
          <w:lang w:val="en-GB"/>
        </w:rPr>
        <w:t>EDM wa</w:t>
      </w:r>
      <w:r w:rsidR="00146BF2" w:rsidRPr="00B45236">
        <w:rPr>
          <w:spacing w:val="-2"/>
          <w:kern w:val="22"/>
          <w:lang w:val="en-GB"/>
        </w:rPr>
        <w:t>s a percussion-based range of music genres created specifically for festivals, raves, and nightclubs.</w:t>
      </w:r>
      <w:r w:rsidR="00146BF2" w:rsidRPr="00B45236">
        <w:rPr>
          <w:spacing w:val="-2"/>
          <w:kern w:val="22"/>
          <w:vertAlign w:val="superscript"/>
          <w:lang w:val="en-GB"/>
        </w:rPr>
        <w:endnoteReference w:id="10"/>
      </w:r>
      <w:r w:rsidR="00146BF2" w:rsidRPr="00B45236">
        <w:rPr>
          <w:spacing w:val="-2"/>
          <w:kern w:val="22"/>
          <w:lang w:val="en-GB"/>
        </w:rPr>
        <w:t xml:space="preserve"> These </w:t>
      </w:r>
      <w:r w:rsidR="00142B06" w:rsidRPr="00B45236">
        <w:rPr>
          <w:spacing w:val="-2"/>
          <w:kern w:val="22"/>
          <w:lang w:val="en-GB"/>
        </w:rPr>
        <w:t xml:space="preserve">music styles </w:t>
      </w:r>
      <w:r w:rsidR="00146BF2" w:rsidRPr="00B45236">
        <w:rPr>
          <w:spacing w:val="-2"/>
          <w:kern w:val="22"/>
          <w:lang w:val="en-GB"/>
        </w:rPr>
        <w:t xml:space="preserve">were mixed seamlessly from various album tracks by </w:t>
      </w:r>
      <w:proofErr w:type="gramStart"/>
      <w:r w:rsidR="00F80F08" w:rsidRPr="00B45236">
        <w:rPr>
          <w:spacing w:val="-2"/>
          <w:kern w:val="22"/>
          <w:lang w:val="en-GB"/>
        </w:rPr>
        <w:t>DJ</w:t>
      </w:r>
      <w:r w:rsidR="00146BF2" w:rsidRPr="00B45236">
        <w:rPr>
          <w:spacing w:val="-2"/>
          <w:kern w:val="22"/>
          <w:lang w:val="en-GB"/>
        </w:rPr>
        <w:t>s</w:t>
      </w:r>
      <w:r w:rsidR="00142B06" w:rsidRPr="00B45236">
        <w:rPr>
          <w:spacing w:val="-2"/>
          <w:kern w:val="22"/>
          <w:lang w:val="en-GB"/>
        </w:rPr>
        <w:t>.</w:t>
      </w:r>
      <w:r w:rsidR="00146BF2" w:rsidRPr="00B45236">
        <w:rPr>
          <w:spacing w:val="-2"/>
          <w:kern w:val="22"/>
          <w:vertAlign w:val="superscript"/>
          <w:lang w:val="en-GB"/>
        </w:rPr>
        <w:endnoteReference w:id="11"/>
      </w:r>
      <w:r w:rsidR="00146BF2" w:rsidRPr="00B45236">
        <w:rPr>
          <w:spacing w:val="-2"/>
          <w:kern w:val="22"/>
          <w:lang w:val="en-GB"/>
        </w:rPr>
        <w:t xml:space="preserve"> Throughout</w:t>
      </w:r>
      <w:proofErr w:type="gramEnd"/>
      <w:r w:rsidR="00146BF2" w:rsidRPr="00B45236">
        <w:rPr>
          <w:spacing w:val="-2"/>
          <w:kern w:val="22"/>
          <w:lang w:val="en-GB"/>
        </w:rPr>
        <w:t xml:space="preserve"> the 1980s and up to the mid-1990s, mainstream media </w:t>
      </w:r>
      <w:r w:rsidR="00142B06" w:rsidRPr="00B45236">
        <w:rPr>
          <w:spacing w:val="-2"/>
          <w:kern w:val="22"/>
          <w:lang w:val="en-GB"/>
        </w:rPr>
        <w:t>distanced itself from</w:t>
      </w:r>
      <w:r w:rsidR="00146BF2" w:rsidRPr="00B45236">
        <w:rPr>
          <w:spacing w:val="-2"/>
          <w:kern w:val="22"/>
          <w:lang w:val="en-GB"/>
        </w:rPr>
        <w:t xml:space="preserve"> this genre of music because of its</w:t>
      </w:r>
      <w:r w:rsidR="002F31C4" w:rsidRPr="00B45236">
        <w:rPr>
          <w:spacing w:val="-2"/>
          <w:kern w:val="22"/>
          <w:lang w:val="en-GB"/>
        </w:rPr>
        <w:t xml:space="preserve"> </w:t>
      </w:r>
      <w:r w:rsidR="00142B06" w:rsidRPr="00B45236">
        <w:rPr>
          <w:spacing w:val="-2"/>
          <w:kern w:val="22"/>
          <w:lang w:val="en-GB"/>
        </w:rPr>
        <w:t>association</w:t>
      </w:r>
      <w:r w:rsidR="00146BF2" w:rsidRPr="00B45236">
        <w:rPr>
          <w:spacing w:val="-2"/>
          <w:kern w:val="22"/>
          <w:lang w:val="en-GB"/>
        </w:rPr>
        <w:t xml:space="preserve"> with illegal drugs</w:t>
      </w:r>
      <w:r w:rsidR="002F31C4" w:rsidRPr="00B45236">
        <w:rPr>
          <w:spacing w:val="-2"/>
          <w:kern w:val="22"/>
          <w:lang w:val="en-GB"/>
        </w:rPr>
        <w:t>.</w:t>
      </w:r>
      <w:r w:rsidR="00142B06" w:rsidRPr="00B45236">
        <w:rPr>
          <w:spacing w:val="-2"/>
          <w:kern w:val="22"/>
          <w:lang w:val="en-GB"/>
        </w:rPr>
        <w:t xml:space="preserve"> </w:t>
      </w:r>
      <w:r w:rsidR="002F31C4" w:rsidRPr="00B45236">
        <w:rPr>
          <w:spacing w:val="-2"/>
          <w:kern w:val="22"/>
          <w:lang w:val="en-GB"/>
        </w:rPr>
        <w:t>The events were</w:t>
      </w:r>
      <w:r w:rsidR="00142B06" w:rsidRPr="00B45236">
        <w:rPr>
          <w:spacing w:val="-2"/>
          <w:kern w:val="22"/>
          <w:lang w:val="en-GB"/>
        </w:rPr>
        <w:t xml:space="preserve"> often a target of</w:t>
      </w:r>
      <w:r w:rsidR="00146BF2" w:rsidRPr="00B45236">
        <w:rPr>
          <w:spacing w:val="-2"/>
          <w:kern w:val="22"/>
          <w:lang w:val="en-GB"/>
        </w:rPr>
        <w:t xml:space="preserve"> law enforcement agencies across </w:t>
      </w:r>
      <w:r w:rsidR="00142B06" w:rsidRPr="00B45236">
        <w:rPr>
          <w:spacing w:val="-2"/>
          <w:kern w:val="22"/>
          <w:lang w:val="en-GB"/>
        </w:rPr>
        <w:t xml:space="preserve">North </w:t>
      </w:r>
      <w:r w:rsidR="00146BF2" w:rsidRPr="00B45236">
        <w:rPr>
          <w:spacing w:val="-2"/>
          <w:kern w:val="22"/>
          <w:lang w:val="en-GB"/>
        </w:rPr>
        <w:t>America and continental Europe.</w:t>
      </w:r>
      <w:r w:rsidR="00146BF2" w:rsidRPr="00B45236">
        <w:rPr>
          <w:spacing w:val="-2"/>
          <w:kern w:val="22"/>
          <w:vertAlign w:val="superscript"/>
          <w:lang w:val="en-GB"/>
        </w:rPr>
        <w:endnoteReference w:id="12"/>
      </w:r>
      <w:r w:rsidR="00146BF2" w:rsidRPr="00B45236">
        <w:rPr>
          <w:spacing w:val="-2"/>
          <w:kern w:val="22"/>
          <w:lang w:val="en-GB"/>
        </w:rPr>
        <w:t xml:space="preserve"> </w:t>
      </w:r>
      <w:r w:rsidR="00F80F08" w:rsidRPr="00B45236">
        <w:rPr>
          <w:spacing w:val="-2"/>
          <w:kern w:val="22"/>
          <w:lang w:val="en-GB"/>
        </w:rPr>
        <w:t>In</w:t>
      </w:r>
      <w:r w:rsidR="00146BF2" w:rsidRPr="00B45236">
        <w:rPr>
          <w:spacing w:val="-2"/>
          <w:kern w:val="22"/>
          <w:lang w:val="en-GB"/>
        </w:rPr>
        <w:t xml:space="preserve"> </w:t>
      </w:r>
      <w:r w:rsidR="00F80F08" w:rsidRPr="00B45236">
        <w:rPr>
          <w:spacing w:val="-2"/>
          <w:kern w:val="22"/>
          <w:lang w:val="en-GB"/>
        </w:rPr>
        <w:t xml:space="preserve">the </w:t>
      </w:r>
      <w:r w:rsidR="00142B06" w:rsidRPr="00B45236">
        <w:rPr>
          <w:spacing w:val="-2"/>
          <w:kern w:val="22"/>
          <w:lang w:val="en-GB"/>
        </w:rPr>
        <w:t xml:space="preserve">early </w:t>
      </w:r>
      <w:r w:rsidR="00146BF2" w:rsidRPr="00B45236">
        <w:rPr>
          <w:spacing w:val="-2"/>
          <w:kern w:val="22"/>
          <w:lang w:val="en-GB"/>
        </w:rPr>
        <w:t>2010s</w:t>
      </w:r>
      <w:r w:rsidR="00142B06" w:rsidRPr="00B45236">
        <w:rPr>
          <w:spacing w:val="-2"/>
          <w:kern w:val="22"/>
          <w:lang w:val="en-GB"/>
        </w:rPr>
        <w:t>,</w:t>
      </w:r>
      <w:r w:rsidR="00146BF2" w:rsidRPr="00B45236">
        <w:rPr>
          <w:spacing w:val="-2"/>
          <w:kern w:val="22"/>
          <w:lang w:val="en-GB"/>
        </w:rPr>
        <w:t xml:space="preserve"> the American music industry embarked on </w:t>
      </w:r>
      <w:r w:rsidR="00142B06" w:rsidRPr="00B45236">
        <w:rPr>
          <w:spacing w:val="-2"/>
          <w:kern w:val="22"/>
          <w:lang w:val="en-GB"/>
        </w:rPr>
        <w:t xml:space="preserve">a </w:t>
      </w:r>
      <w:r w:rsidR="00146BF2" w:rsidRPr="00B45236">
        <w:rPr>
          <w:spacing w:val="-2"/>
          <w:kern w:val="22"/>
          <w:lang w:val="en-GB"/>
        </w:rPr>
        <w:t>rebrand</w:t>
      </w:r>
      <w:r w:rsidR="00F80F08" w:rsidRPr="00B45236">
        <w:rPr>
          <w:spacing w:val="-2"/>
          <w:kern w:val="22"/>
          <w:lang w:val="en-GB"/>
        </w:rPr>
        <w:t>ing</w:t>
      </w:r>
      <w:r w:rsidR="00142B06" w:rsidRPr="00B45236">
        <w:rPr>
          <w:spacing w:val="-2"/>
          <w:kern w:val="22"/>
          <w:lang w:val="en-GB"/>
        </w:rPr>
        <w:t xml:space="preserve"> of the</w:t>
      </w:r>
      <w:r w:rsidR="00146BF2" w:rsidRPr="00B45236">
        <w:rPr>
          <w:spacing w:val="-2"/>
          <w:kern w:val="22"/>
          <w:lang w:val="en-GB"/>
        </w:rPr>
        <w:t xml:space="preserve"> rave culture</w:t>
      </w:r>
      <w:r w:rsidR="00142B06" w:rsidRPr="00B45236">
        <w:rPr>
          <w:spacing w:val="-2"/>
          <w:kern w:val="22"/>
          <w:lang w:val="en-GB"/>
        </w:rPr>
        <w:t>.</w:t>
      </w:r>
      <w:r w:rsidR="00146BF2" w:rsidRPr="00B45236">
        <w:rPr>
          <w:spacing w:val="-2"/>
          <w:kern w:val="22"/>
          <w:vertAlign w:val="superscript"/>
          <w:lang w:val="en-GB"/>
        </w:rPr>
        <w:endnoteReference w:id="13"/>
      </w:r>
      <w:r w:rsidR="00146BF2" w:rsidRPr="00B45236">
        <w:rPr>
          <w:spacing w:val="-2"/>
          <w:kern w:val="22"/>
          <w:lang w:val="en-GB"/>
        </w:rPr>
        <w:t xml:space="preserve"> Despite attempts to create a specific music genre, </w:t>
      </w:r>
      <w:r w:rsidR="00142B06" w:rsidRPr="00B45236">
        <w:rPr>
          <w:spacing w:val="-2"/>
          <w:kern w:val="22"/>
          <w:lang w:val="en-GB"/>
        </w:rPr>
        <w:t>EDM</w:t>
      </w:r>
      <w:r w:rsidR="00146BF2" w:rsidRPr="00B45236">
        <w:rPr>
          <w:spacing w:val="-2"/>
          <w:kern w:val="22"/>
          <w:lang w:val="en-GB"/>
        </w:rPr>
        <w:t xml:space="preserve"> continued to be an umbrella term for different music </w:t>
      </w:r>
      <w:r w:rsidR="00142B06" w:rsidRPr="00B45236">
        <w:rPr>
          <w:spacing w:val="-2"/>
          <w:kern w:val="22"/>
          <w:lang w:val="en-GB"/>
        </w:rPr>
        <w:t>styles</w:t>
      </w:r>
      <w:r w:rsidR="00146BF2" w:rsidRPr="00B45236">
        <w:rPr>
          <w:spacing w:val="-2"/>
          <w:kern w:val="22"/>
          <w:lang w:val="en-GB"/>
        </w:rPr>
        <w:t xml:space="preserve"> such as house, techno, trance, drum and bass, dubstep</w:t>
      </w:r>
      <w:r w:rsidR="00142B06" w:rsidRPr="00B45236">
        <w:rPr>
          <w:spacing w:val="-2"/>
          <w:kern w:val="22"/>
          <w:lang w:val="en-GB"/>
        </w:rPr>
        <w:t>,</w:t>
      </w:r>
      <w:r w:rsidR="00146BF2" w:rsidRPr="00B45236">
        <w:rPr>
          <w:spacing w:val="-2"/>
          <w:kern w:val="22"/>
          <w:lang w:val="en-GB"/>
        </w:rPr>
        <w:t xml:space="preserve"> and respective subgenres</w:t>
      </w:r>
      <w:r w:rsidR="00142B06" w:rsidRPr="00B45236">
        <w:rPr>
          <w:spacing w:val="-2"/>
          <w:kern w:val="22"/>
          <w:lang w:val="en-GB"/>
        </w:rPr>
        <w:t xml:space="preserve"> of these styles</w:t>
      </w:r>
      <w:r w:rsidR="00146BF2" w:rsidRPr="00B45236">
        <w:rPr>
          <w:spacing w:val="-2"/>
          <w:kern w:val="22"/>
          <w:lang w:val="en-GB"/>
        </w:rPr>
        <w:t>.</w:t>
      </w:r>
      <w:r w:rsidR="00146BF2" w:rsidRPr="00B45236">
        <w:rPr>
          <w:spacing w:val="-2"/>
          <w:kern w:val="22"/>
          <w:vertAlign w:val="superscript"/>
          <w:lang w:val="en-GB"/>
        </w:rPr>
        <w:endnoteReference w:id="14"/>
      </w:r>
      <w:r w:rsidR="00146BF2" w:rsidRPr="00B45236">
        <w:rPr>
          <w:spacing w:val="-2"/>
          <w:kern w:val="22"/>
          <w:lang w:val="en-GB"/>
        </w:rPr>
        <w:t xml:space="preserve">  </w:t>
      </w:r>
    </w:p>
    <w:p w14:paraId="0D260A36" w14:textId="77777777" w:rsidR="00146BF2" w:rsidRPr="00FD454B" w:rsidRDefault="00146BF2" w:rsidP="00FD454B">
      <w:pPr>
        <w:pStyle w:val="BodyTextMain"/>
      </w:pPr>
    </w:p>
    <w:p w14:paraId="07627E7B" w14:textId="6640D47F" w:rsidR="00146BF2" w:rsidRPr="000343FB" w:rsidRDefault="00142B06" w:rsidP="00146BF2">
      <w:pPr>
        <w:pStyle w:val="BodyTextMain"/>
        <w:rPr>
          <w:rFonts w:eastAsia="Calibri"/>
          <w:lang w:val="en-GB"/>
        </w:rPr>
      </w:pPr>
      <w:r>
        <w:rPr>
          <w:rFonts w:eastAsia="Calibri"/>
          <w:lang w:val="en-GB"/>
        </w:rPr>
        <w:t xml:space="preserve">According to </w:t>
      </w:r>
      <w:r w:rsidR="00146BF2" w:rsidRPr="000343FB">
        <w:rPr>
          <w:rFonts w:eastAsia="Calibri"/>
          <w:lang w:val="en-GB"/>
        </w:rPr>
        <w:t>Singh, “Hip-hop is macro</w:t>
      </w:r>
      <w:r w:rsidR="005576C7">
        <w:rPr>
          <w:rFonts w:eastAsia="Calibri"/>
          <w:lang w:val="en-GB"/>
        </w:rPr>
        <w:t>—</w:t>
      </w:r>
      <w:r w:rsidR="00146BF2" w:rsidRPr="000343FB">
        <w:rPr>
          <w:rFonts w:eastAsia="Calibri"/>
          <w:lang w:val="en-GB"/>
        </w:rPr>
        <w:t>like a continent</w:t>
      </w:r>
      <w:r w:rsidR="005576C7">
        <w:rPr>
          <w:rFonts w:eastAsia="Calibri"/>
          <w:lang w:val="en-GB"/>
        </w:rPr>
        <w:t>—</w:t>
      </w:r>
      <w:r w:rsidR="00146BF2" w:rsidRPr="000343FB">
        <w:rPr>
          <w:rFonts w:eastAsia="Calibri"/>
          <w:lang w:val="en-GB"/>
        </w:rPr>
        <w:t>while EDM is micro</w:t>
      </w:r>
      <w:r w:rsidR="005576C7">
        <w:rPr>
          <w:rFonts w:eastAsia="Calibri"/>
          <w:lang w:val="en-GB"/>
        </w:rPr>
        <w:t>—</w:t>
      </w:r>
      <w:r w:rsidR="00146BF2" w:rsidRPr="000343FB">
        <w:rPr>
          <w:rFonts w:eastAsia="Calibri"/>
          <w:lang w:val="en-GB"/>
        </w:rPr>
        <w:t>like a country. Hip-hop is not just about dance</w:t>
      </w:r>
      <w:r w:rsidR="002F31C4">
        <w:rPr>
          <w:rFonts w:eastAsia="Calibri"/>
          <w:lang w:val="en-GB"/>
        </w:rPr>
        <w:t>,</w:t>
      </w:r>
      <w:r w:rsidR="00146BF2" w:rsidRPr="000343FB">
        <w:rPr>
          <w:rFonts w:eastAsia="Calibri"/>
          <w:lang w:val="en-GB"/>
        </w:rPr>
        <w:t xml:space="preserve"> but about a lifestyle</w:t>
      </w:r>
      <w:r w:rsidR="005576C7">
        <w:rPr>
          <w:rFonts w:eastAsia="Calibri"/>
          <w:lang w:val="en-GB"/>
        </w:rPr>
        <w:t>—</w:t>
      </w:r>
      <w:r w:rsidR="00146BF2" w:rsidRPr="000343FB">
        <w:rPr>
          <w:rFonts w:eastAsia="Calibri"/>
          <w:lang w:val="en-GB"/>
        </w:rPr>
        <w:t>the way you walk, what you wear, what you listen to, including your hairstyle</w:t>
      </w:r>
      <w:r w:rsidR="005576C7">
        <w:rPr>
          <w:rFonts w:eastAsia="Calibri"/>
          <w:lang w:val="en-GB"/>
        </w:rPr>
        <w:t xml:space="preserve"> . . . </w:t>
      </w:r>
      <w:r w:rsidR="00146BF2" w:rsidRPr="000343FB">
        <w:rPr>
          <w:rFonts w:eastAsia="Calibri"/>
          <w:lang w:val="en-GB"/>
        </w:rPr>
        <w:t>it is a bigger domain.”</w:t>
      </w:r>
    </w:p>
    <w:p w14:paraId="689AE563" w14:textId="77777777" w:rsidR="00146BF2" w:rsidRPr="00FD454B" w:rsidRDefault="00146BF2" w:rsidP="00FD454B">
      <w:pPr>
        <w:pStyle w:val="BodyTextMain"/>
        <w:rPr>
          <w:rFonts w:eastAsia="Calibri"/>
        </w:rPr>
      </w:pPr>
    </w:p>
    <w:p w14:paraId="195EE35B" w14:textId="77777777" w:rsidR="00146BF2" w:rsidRPr="00FD454B" w:rsidRDefault="00146BF2" w:rsidP="00FD454B">
      <w:pPr>
        <w:pStyle w:val="BodyTextMain"/>
        <w:rPr>
          <w:rFonts w:eastAsia="Calibri"/>
        </w:rPr>
      </w:pPr>
    </w:p>
    <w:p w14:paraId="6844CC1C" w14:textId="77777777" w:rsidR="00146BF2" w:rsidRPr="000343FB" w:rsidRDefault="00146BF2" w:rsidP="00146BF2">
      <w:pPr>
        <w:pStyle w:val="Casehead2"/>
        <w:rPr>
          <w:lang w:val="en-GB"/>
        </w:rPr>
      </w:pPr>
      <w:r w:rsidRPr="000343FB">
        <w:rPr>
          <w:lang w:val="en-GB"/>
        </w:rPr>
        <w:t>Apparel and Footwear</w:t>
      </w:r>
    </w:p>
    <w:p w14:paraId="325734E6" w14:textId="77777777" w:rsidR="00146BF2" w:rsidRPr="00FD454B" w:rsidRDefault="00146BF2" w:rsidP="00FD454B">
      <w:pPr>
        <w:pStyle w:val="BodyTextMain"/>
      </w:pPr>
    </w:p>
    <w:p w14:paraId="56953684" w14:textId="44CD37FA" w:rsidR="00146BF2" w:rsidRPr="000343FB" w:rsidRDefault="005968C7" w:rsidP="00146BF2">
      <w:pPr>
        <w:pStyle w:val="BodyTextMain"/>
        <w:rPr>
          <w:lang w:val="en-GB"/>
        </w:rPr>
      </w:pPr>
      <w:r>
        <w:rPr>
          <w:lang w:val="en-GB"/>
        </w:rPr>
        <w:t>F</w:t>
      </w:r>
      <w:r w:rsidRPr="000343FB">
        <w:rPr>
          <w:lang w:val="en-GB"/>
        </w:rPr>
        <w:t>or its fans</w:t>
      </w:r>
      <w:r>
        <w:rPr>
          <w:lang w:val="en-GB"/>
        </w:rPr>
        <w:t>,</w:t>
      </w:r>
      <w:r w:rsidRPr="000343FB">
        <w:rPr>
          <w:lang w:val="en-GB"/>
        </w:rPr>
        <w:t xml:space="preserve"> </w:t>
      </w:r>
      <w:r>
        <w:rPr>
          <w:lang w:val="en-GB"/>
        </w:rPr>
        <w:t xml:space="preserve">EDM </w:t>
      </w:r>
      <w:r w:rsidRPr="000343FB">
        <w:rPr>
          <w:lang w:val="en-GB"/>
        </w:rPr>
        <w:t>was more than music</w:t>
      </w:r>
      <w:r>
        <w:rPr>
          <w:lang w:val="en-GB"/>
        </w:rPr>
        <w:t>—</w:t>
      </w:r>
      <w:r w:rsidRPr="000343FB">
        <w:rPr>
          <w:lang w:val="en-GB"/>
        </w:rPr>
        <w:t>it</w:t>
      </w:r>
      <w:r>
        <w:rPr>
          <w:lang w:val="en-GB"/>
        </w:rPr>
        <w:t xml:space="preserve"> wa</w:t>
      </w:r>
      <w:r w:rsidRPr="000343FB">
        <w:rPr>
          <w:lang w:val="en-GB"/>
        </w:rPr>
        <w:t>s a way of life</w:t>
      </w:r>
      <w:r>
        <w:rPr>
          <w:lang w:val="en-GB"/>
        </w:rPr>
        <w:t>, and</w:t>
      </w:r>
      <w:r w:rsidRPr="000343FB">
        <w:rPr>
          <w:lang w:val="en-GB"/>
        </w:rPr>
        <w:t xml:space="preserve"> </w:t>
      </w:r>
      <w:r w:rsidR="00146BF2" w:rsidRPr="000343FB">
        <w:rPr>
          <w:lang w:val="en-GB"/>
        </w:rPr>
        <w:t xml:space="preserve">EDM apparel was a must-have </w:t>
      </w:r>
      <w:r>
        <w:rPr>
          <w:lang w:val="en-GB"/>
        </w:rPr>
        <w:t>bec</w:t>
      </w:r>
      <w:r w:rsidR="00146BF2" w:rsidRPr="000343FB">
        <w:rPr>
          <w:lang w:val="en-GB"/>
        </w:rPr>
        <w:t>a</w:t>
      </w:r>
      <w:r>
        <w:rPr>
          <w:lang w:val="en-GB"/>
        </w:rPr>
        <w:t>u</w:t>
      </w:r>
      <w:r w:rsidR="00146BF2" w:rsidRPr="000343FB">
        <w:rPr>
          <w:lang w:val="en-GB"/>
        </w:rPr>
        <w:t>s</w:t>
      </w:r>
      <w:r>
        <w:rPr>
          <w:lang w:val="en-GB"/>
        </w:rPr>
        <w:t>e</w:t>
      </w:r>
      <w:r w:rsidR="00146BF2" w:rsidRPr="000343FB">
        <w:rPr>
          <w:lang w:val="en-GB"/>
        </w:rPr>
        <w:t xml:space="preserve"> it accentuated and embellished the unique </w:t>
      </w:r>
      <w:r>
        <w:rPr>
          <w:lang w:val="en-GB"/>
        </w:rPr>
        <w:t xml:space="preserve">EDM </w:t>
      </w:r>
      <w:r w:rsidR="00146BF2" w:rsidRPr="000343FB">
        <w:rPr>
          <w:lang w:val="en-GB"/>
        </w:rPr>
        <w:t xml:space="preserve">musical experience. </w:t>
      </w:r>
      <w:r w:rsidRPr="000343FB">
        <w:rPr>
          <w:lang w:val="en-GB"/>
        </w:rPr>
        <w:t xml:space="preserve">EDM apparel </w:t>
      </w:r>
      <w:r>
        <w:rPr>
          <w:lang w:val="en-GB"/>
        </w:rPr>
        <w:t>ranged from</w:t>
      </w:r>
      <w:r w:rsidR="00146BF2" w:rsidRPr="000343FB">
        <w:rPr>
          <w:lang w:val="en-GB"/>
        </w:rPr>
        <w:t xml:space="preserve"> “everyday wearables to unique festival fits.”</w:t>
      </w:r>
      <w:r w:rsidR="00146BF2" w:rsidRPr="000343FB">
        <w:rPr>
          <w:vertAlign w:val="superscript"/>
          <w:lang w:val="en-GB"/>
        </w:rPr>
        <w:endnoteReference w:id="15"/>
      </w:r>
      <w:r w:rsidR="00146BF2" w:rsidRPr="000343FB">
        <w:rPr>
          <w:lang w:val="en-GB"/>
        </w:rPr>
        <w:t xml:space="preserve"> Many EDM brands called the apparel wearable art</w:t>
      </w:r>
      <w:r>
        <w:rPr>
          <w:lang w:val="en-GB"/>
        </w:rPr>
        <w:t>,</w:t>
      </w:r>
      <w:r w:rsidR="00146BF2" w:rsidRPr="000343FB">
        <w:rPr>
          <w:lang w:val="en-GB"/>
        </w:rPr>
        <w:t xml:space="preserve"> claiming that EDM fans</w:t>
      </w:r>
      <w:r w:rsidR="006D3EB5">
        <w:rPr>
          <w:lang w:val="en-GB"/>
        </w:rPr>
        <w:t>’</w:t>
      </w:r>
      <w:r w:rsidR="00146BF2" w:rsidRPr="000343FB">
        <w:rPr>
          <w:lang w:val="en-GB"/>
        </w:rPr>
        <w:t xml:space="preserve"> bodies were </w:t>
      </w:r>
      <w:r>
        <w:rPr>
          <w:lang w:val="en-GB"/>
        </w:rPr>
        <w:t xml:space="preserve">a </w:t>
      </w:r>
      <w:r w:rsidR="00146BF2" w:rsidRPr="000343FB">
        <w:rPr>
          <w:lang w:val="en-GB"/>
        </w:rPr>
        <w:t>canvas for expression.</w:t>
      </w:r>
      <w:r w:rsidR="00146BF2" w:rsidRPr="000343FB">
        <w:rPr>
          <w:vertAlign w:val="superscript"/>
          <w:lang w:val="en-GB"/>
        </w:rPr>
        <w:endnoteReference w:id="16"/>
      </w:r>
      <w:r w:rsidR="00146BF2" w:rsidRPr="000343FB">
        <w:rPr>
          <w:lang w:val="en-GB"/>
        </w:rPr>
        <w:t xml:space="preserve"> Globally, EDM had a history of </w:t>
      </w:r>
      <w:r>
        <w:rPr>
          <w:lang w:val="en-GB"/>
        </w:rPr>
        <w:t>high-profile</w:t>
      </w:r>
      <w:r w:rsidR="00146BF2" w:rsidRPr="000343FB">
        <w:rPr>
          <w:lang w:val="en-GB"/>
        </w:rPr>
        <w:t xml:space="preserve"> apparel brands </w:t>
      </w:r>
      <w:r>
        <w:rPr>
          <w:lang w:val="en-GB"/>
        </w:rPr>
        <w:t>that included</w:t>
      </w:r>
      <w:r w:rsidR="00146BF2" w:rsidRPr="000343FB">
        <w:rPr>
          <w:lang w:val="en-GB"/>
        </w:rPr>
        <w:t xml:space="preserve"> </w:t>
      </w:r>
      <w:proofErr w:type="spellStart"/>
      <w:r w:rsidR="00146BF2" w:rsidRPr="000343FB">
        <w:rPr>
          <w:lang w:val="en-GB"/>
        </w:rPr>
        <w:t>Hous</w:t>
      </w:r>
      <w:proofErr w:type="spellEnd"/>
      <w:r w:rsidR="00146BF2" w:rsidRPr="000343FB">
        <w:rPr>
          <w:lang w:val="en-GB"/>
        </w:rPr>
        <w:t xml:space="preserve">, Billionaires Apparel, Shrapnel Streetwear, Neffmau5, </w:t>
      </w:r>
      <w:proofErr w:type="spellStart"/>
      <w:r w:rsidR="00146BF2" w:rsidRPr="000343FB">
        <w:rPr>
          <w:lang w:val="en-GB"/>
        </w:rPr>
        <w:t>JoJoElectro</w:t>
      </w:r>
      <w:proofErr w:type="spellEnd"/>
      <w:r w:rsidR="00146BF2" w:rsidRPr="000343FB">
        <w:rPr>
          <w:lang w:val="en-GB"/>
        </w:rPr>
        <w:t>, CLVB Life,</w:t>
      </w:r>
      <w:r w:rsidR="00146BF2" w:rsidRPr="000343FB">
        <w:rPr>
          <w:vertAlign w:val="superscript"/>
          <w:lang w:val="en-GB"/>
        </w:rPr>
        <w:endnoteReference w:id="17"/>
      </w:r>
      <w:r w:rsidR="00146BF2" w:rsidRPr="000343FB">
        <w:rPr>
          <w:lang w:val="en-GB"/>
        </w:rPr>
        <w:t xml:space="preserve"> </w:t>
      </w:r>
      <w:proofErr w:type="spellStart"/>
      <w:r w:rsidR="00146BF2" w:rsidRPr="000343FB">
        <w:rPr>
          <w:lang w:val="en-GB"/>
        </w:rPr>
        <w:t>Bassdrop</w:t>
      </w:r>
      <w:proofErr w:type="spellEnd"/>
      <w:r w:rsidR="00146BF2" w:rsidRPr="000343FB">
        <w:rPr>
          <w:lang w:val="en-GB"/>
        </w:rPr>
        <w:t>, NGHTBRND, and LBD (Little Black Diamond)</w:t>
      </w:r>
      <w:r w:rsidR="00361166">
        <w:rPr>
          <w:lang w:val="en-GB"/>
        </w:rPr>
        <w:t>. M</w:t>
      </w:r>
      <w:r w:rsidR="00146BF2" w:rsidRPr="000343FB">
        <w:rPr>
          <w:lang w:val="en-GB"/>
        </w:rPr>
        <w:t>ost of the</w:t>
      </w:r>
      <w:r w:rsidR="00361166">
        <w:rPr>
          <w:lang w:val="en-GB"/>
        </w:rPr>
        <w:t>se brands were</w:t>
      </w:r>
      <w:r w:rsidR="00146BF2" w:rsidRPr="000343FB">
        <w:rPr>
          <w:lang w:val="en-GB"/>
        </w:rPr>
        <w:t xml:space="preserve"> endorsed by </w:t>
      </w:r>
      <w:r w:rsidR="00EA45DE">
        <w:rPr>
          <w:lang w:val="en-GB"/>
        </w:rPr>
        <w:t xml:space="preserve">popular </w:t>
      </w:r>
      <w:r w:rsidR="00EA45DE" w:rsidRPr="000343FB">
        <w:rPr>
          <w:lang w:val="en-GB"/>
        </w:rPr>
        <w:t>DJs</w:t>
      </w:r>
      <w:r w:rsidR="00146BF2" w:rsidRPr="000343FB">
        <w:rPr>
          <w:lang w:val="en-GB"/>
        </w:rPr>
        <w:t>. For e</w:t>
      </w:r>
      <w:r w:rsidR="00757CA1">
        <w:rPr>
          <w:lang w:val="en-GB"/>
        </w:rPr>
        <w:t>xample</w:t>
      </w:r>
      <w:r w:rsidR="00146BF2" w:rsidRPr="000343FB">
        <w:rPr>
          <w:lang w:val="en-GB"/>
        </w:rPr>
        <w:t xml:space="preserve">, CLVB Life was endorsed by </w:t>
      </w:r>
      <w:proofErr w:type="spellStart"/>
      <w:r w:rsidR="00146BF2" w:rsidRPr="000343FB">
        <w:rPr>
          <w:lang w:val="en-GB"/>
        </w:rPr>
        <w:t>Tiesto</w:t>
      </w:r>
      <w:proofErr w:type="spellEnd"/>
      <w:r w:rsidR="00757CA1">
        <w:rPr>
          <w:lang w:val="en-GB"/>
        </w:rPr>
        <w:t>,</w:t>
      </w:r>
      <w:r w:rsidR="00146BF2" w:rsidRPr="000343FB">
        <w:rPr>
          <w:vertAlign w:val="superscript"/>
          <w:lang w:val="en-GB"/>
        </w:rPr>
        <w:endnoteReference w:id="18"/>
      </w:r>
      <w:r w:rsidR="00146BF2" w:rsidRPr="000343FB">
        <w:rPr>
          <w:lang w:val="en-GB"/>
        </w:rPr>
        <w:t xml:space="preserve"> </w:t>
      </w:r>
      <w:proofErr w:type="spellStart"/>
      <w:r w:rsidR="00146BF2" w:rsidRPr="000343FB">
        <w:rPr>
          <w:lang w:val="en-GB"/>
        </w:rPr>
        <w:t>JoJo</w:t>
      </w:r>
      <w:proofErr w:type="spellEnd"/>
      <w:r w:rsidR="00146BF2" w:rsidRPr="000343FB">
        <w:rPr>
          <w:lang w:val="en-GB"/>
        </w:rPr>
        <w:t xml:space="preserve"> Electro by DJ Dan</w:t>
      </w:r>
      <w:r w:rsidR="00757CA1">
        <w:rPr>
          <w:lang w:val="en-GB"/>
        </w:rPr>
        <w:t>,</w:t>
      </w:r>
      <w:r w:rsidR="00146BF2" w:rsidRPr="000343FB">
        <w:rPr>
          <w:vertAlign w:val="superscript"/>
          <w:lang w:val="en-GB"/>
        </w:rPr>
        <w:endnoteReference w:id="19"/>
      </w:r>
      <w:r w:rsidR="00146BF2" w:rsidRPr="000343FB">
        <w:rPr>
          <w:lang w:val="en-GB"/>
        </w:rPr>
        <w:t xml:space="preserve"> and Neffmau5 by Deadmau5</w:t>
      </w:r>
      <w:r w:rsidR="00757CA1">
        <w:rPr>
          <w:lang w:val="en-GB"/>
        </w:rPr>
        <w:t>.</w:t>
      </w:r>
      <w:r w:rsidR="00146BF2" w:rsidRPr="000343FB">
        <w:rPr>
          <w:vertAlign w:val="superscript"/>
          <w:lang w:val="en-GB"/>
        </w:rPr>
        <w:endnoteReference w:id="20"/>
      </w:r>
      <w:r w:rsidR="00146BF2" w:rsidRPr="000343FB">
        <w:rPr>
          <w:lang w:val="en-GB"/>
        </w:rPr>
        <w:t xml:space="preserve"> These brands produced music</w:t>
      </w:r>
      <w:r w:rsidR="00757CA1">
        <w:rPr>
          <w:lang w:val="en-GB"/>
        </w:rPr>
        <w:t>-</w:t>
      </w:r>
      <w:r w:rsidR="00146BF2" w:rsidRPr="000343FB">
        <w:rPr>
          <w:lang w:val="en-GB"/>
        </w:rPr>
        <w:t>inspired products such as shirts</w:t>
      </w:r>
      <w:r w:rsidR="00757CA1">
        <w:rPr>
          <w:lang w:val="en-GB"/>
        </w:rPr>
        <w:t>,</w:t>
      </w:r>
      <w:r w:rsidR="00146BF2" w:rsidRPr="000343FB">
        <w:rPr>
          <w:lang w:val="en-GB"/>
        </w:rPr>
        <w:t xml:space="preserve"> hats, slogan </w:t>
      </w:r>
      <w:r w:rsidR="003E09A2">
        <w:rPr>
          <w:lang w:val="en-GB"/>
        </w:rPr>
        <w:t>T-</w:t>
      </w:r>
      <w:r w:rsidR="00757CA1">
        <w:rPr>
          <w:lang w:val="en-GB"/>
        </w:rPr>
        <w:t>shirt</w:t>
      </w:r>
      <w:r w:rsidR="00146BF2" w:rsidRPr="000343FB">
        <w:rPr>
          <w:lang w:val="en-GB"/>
        </w:rPr>
        <w:t xml:space="preserve">s, backpacks, </w:t>
      </w:r>
      <w:r w:rsidR="00EA45DE" w:rsidRPr="000343FB">
        <w:rPr>
          <w:lang w:val="en-GB"/>
        </w:rPr>
        <w:t>cell phone</w:t>
      </w:r>
      <w:r w:rsidR="00146BF2" w:rsidRPr="000343FB">
        <w:rPr>
          <w:lang w:val="en-GB"/>
        </w:rPr>
        <w:t xml:space="preserve"> cases, necklaces, caps</w:t>
      </w:r>
      <w:r w:rsidR="00757CA1">
        <w:rPr>
          <w:lang w:val="en-GB"/>
        </w:rPr>
        <w:t>,</w:t>
      </w:r>
      <w:r w:rsidR="00146BF2" w:rsidRPr="000343FB">
        <w:rPr>
          <w:lang w:val="en-GB"/>
        </w:rPr>
        <w:t xml:space="preserve"> and shorts</w:t>
      </w:r>
      <w:r w:rsidR="00757CA1">
        <w:rPr>
          <w:lang w:val="en-GB"/>
        </w:rPr>
        <w:t xml:space="preserve"> with the premise</w:t>
      </w:r>
      <w:r w:rsidR="00146BF2" w:rsidRPr="000343FB">
        <w:rPr>
          <w:lang w:val="en-GB"/>
        </w:rPr>
        <w:t xml:space="preserve"> to give “raver</w:t>
      </w:r>
      <w:r w:rsidR="00757CA1">
        <w:rPr>
          <w:lang w:val="en-GB"/>
        </w:rPr>
        <w:t>s</w:t>
      </w:r>
      <w:r w:rsidR="00146BF2" w:rsidRPr="000343FB">
        <w:rPr>
          <w:lang w:val="en-GB"/>
        </w:rPr>
        <w:t>”</w:t>
      </w:r>
      <w:r w:rsidR="00146BF2" w:rsidRPr="000343FB">
        <w:rPr>
          <w:vertAlign w:val="superscript"/>
          <w:lang w:val="en-GB"/>
        </w:rPr>
        <w:endnoteReference w:id="21"/>
      </w:r>
      <w:r w:rsidR="00146BF2" w:rsidRPr="000343FB">
        <w:rPr>
          <w:lang w:val="en-GB"/>
        </w:rPr>
        <w:t xml:space="preserve"> everything th</w:t>
      </w:r>
      <w:r w:rsidR="00757CA1">
        <w:rPr>
          <w:lang w:val="en-GB"/>
        </w:rPr>
        <w:t>ey</w:t>
      </w:r>
      <w:r w:rsidR="00146BF2" w:rsidRPr="000343FB">
        <w:rPr>
          <w:lang w:val="en-GB"/>
        </w:rPr>
        <w:t xml:space="preserve"> needed to “</w:t>
      </w:r>
      <w:r w:rsidR="00757CA1">
        <w:rPr>
          <w:lang w:val="en-GB"/>
        </w:rPr>
        <w:t>k</w:t>
      </w:r>
      <w:r w:rsidR="00146BF2" w:rsidRPr="000343FB">
        <w:rPr>
          <w:lang w:val="en-GB"/>
        </w:rPr>
        <w:t xml:space="preserve">eep </w:t>
      </w:r>
      <w:r w:rsidR="00757CA1">
        <w:rPr>
          <w:lang w:val="en-GB"/>
        </w:rPr>
        <w:t>c</w:t>
      </w:r>
      <w:r w:rsidR="00146BF2" w:rsidRPr="000343FB">
        <w:rPr>
          <w:lang w:val="en-GB"/>
        </w:rPr>
        <w:t xml:space="preserve">alm and </w:t>
      </w:r>
      <w:r w:rsidR="00757CA1">
        <w:rPr>
          <w:lang w:val="en-GB"/>
        </w:rPr>
        <w:t>r</w:t>
      </w:r>
      <w:r w:rsidR="00146BF2" w:rsidRPr="000343FB">
        <w:rPr>
          <w:lang w:val="en-GB"/>
        </w:rPr>
        <w:t xml:space="preserve">ave </w:t>
      </w:r>
      <w:r w:rsidR="00757CA1">
        <w:rPr>
          <w:lang w:val="en-GB"/>
        </w:rPr>
        <w:t>o</w:t>
      </w:r>
      <w:r w:rsidR="00146BF2" w:rsidRPr="000343FB">
        <w:rPr>
          <w:lang w:val="en-GB"/>
        </w:rPr>
        <w:t>n.”</w:t>
      </w:r>
      <w:r w:rsidR="00146BF2" w:rsidRPr="000343FB">
        <w:rPr>
          <w:vertAlign w:val="superscript"/>
          <w:lang w:val="en-GB"/>
        </w:rPr>
        <w:endnoteReference w:id="22"/>
      </w:r>
      <w:r w:rsidR="00146BF2" w:rsidRPr="000343FB">
        <w:rPr>
          <w:lang w:val="en-GB"/>
        </w:rPr>
        <w:t xml:space="preserve"> </w:t>
      </w:r>
      <w:r w:rsidR="00757CA1">
        <w:rPr>
          <w:lang w:val="en-GB"/>
        </w:rPr>
        <w:t>T</w:t>
      </w:r>
      <w:r w:rsidR="00146BF2" w:rsidRPr="000343FB">
        <w:rPr>
          <w:lang w:val="en-GB"/>
        </w:rPr>
        <w:t>yp</w:t>
      </w:r>
      <w:r w:rsidR="00757CA1">
        <w:rPr>
          <w:lang w:val="en-GB"/>
        </w:rPr>
        <w:t>ing the phrase</w:t>
      </w:r>
      <w:r w:rsidR="00146BF2" w:rsidRPr="000343FB">
        <w:rPr>
          <w:lang w:val="en-GB"/>
        </w:rPr>
        <w:t xml:space="preserve"> “EDM apparel brands in India” into Google’s search b</w:t>
      </w:r>
      <w:r w:rsidR="00757CA1">
        <w:rPr>
          <w:lang w:val="en-GB"/>
        </w:rPr>
        <w:t>ox</w:t>
      </w:r>
      <w:r w:rsidR="00146BF2" w:rsidRPr="000343FB">
        <w:rPr>
          <w:lang w:val="en-GB"/>
        </w:rPr>
        <w:t xml:space="preserve"> </w:t>
      </w:r>
      <w:r w:rsidR="00BE4A0C">
        <w:rPr>
          <w:lang w:val="en-GB"/>
        </w:rPr>
        <w:t xml:space="preserve">would </w:t>
      </w:r>
      <w:r w:rsidR="00361166">
        <w:rPr>
          <w:lang w:val="en-GB"/>
        </w:rPr>
        <w:t>return</w:t>
      </w:r>
      <w:r w:rsidR="00146BF2" w:rsidRPr="000343FB">
        <w:rPr>
          <w:lang w:val="en-GB"/>
        </w:rPr>
        <w:t xml:space="preserve"> “</w:t>
      </w:r>
      <w:proofErr w:type="spellStart"/>
      <w:r w:rsidR="003133BF" w:rsidRPr="003133BF">
        <w:rPr>
          <w:lang w:val="en-GB"/>
        </w:rPr>
        <w:t>Tiktauli</w:t>
      </w:r>
      <w:proofErr w:type="spellEnd"/>
      <w:r w:rsidR="003133BF" w:rsidRPr="003133BF">
        <w:rPr>
          <w:lang w:val="en-GB"/>
        </w:rPr>
        <w:t xml:space="preserve"> De. Corps. Hip Hop, EDM, Swag, Rap, Dope, Rave, </w:t>
      </w:r>
      <w:proofErr w:type="gramStart"/>
      <w:r w:rsidR="003133BF" w:rsidRPr="003133BF">
        <w:rPr>
          <w:lang w:val="en-GB"/>
        </w:rPr>
        <w:t>Noir</w:t>
      </w:r>
      <w:proofErr w:type="gramEnd"/>
      <w:r w:rsidR="003133BF" w:rsidRPr="003133BF">
        <w:rPr>
          <w:lang w:val="en-GB"/>
        </w:rPr>
        <w:t xml:space="preserve"> and .</w:t>
      </w:r>
      <w:r w:rsidR="00FD454B">
        <w:rPr>
          <w:lang w:val="en-GB"/>
        </w:rPr>
        <w:t xml:space="preserve"> </w:t>
      </w:r>
      <w:r w:rsidR="003133BF" w:rsidRPr="003133BF">
        <w:rPr>
          <w:lang w:val="en-GB"/>
        </w:rPr>
        <w:t>.</w:t>
      </w:r>
      <w:r w:rsidR="00FD454B">
        <w:rPr>
          <w:lang w:val="en-GB"/>
        </w:rPr>
        <w:t xml:space="preserve"> </w:t>
      </w:r>
      <w:r w:rsidR="003133BF" w:rsidRPr="003133BF">
        <w:rPr>
          <w:lang w:val="en-GB"/>
        </w:rPr>
        <w:t>.</w:t>
      </w:r>
      <w:r w:rsidR="00146BF2" w:rsidRPr="000343FB">
        <w:rPr>
          <w:lang w:val="en-GB"/>
        </w:rPr>
        <w:t xml:space="preserve">” as the top </w:t>
      </w:r>
      <w:r w:rsidR="00757CA1">
        <w:rPr>
          <w:lang w:val="en-GB"/>
        </w:rPr>
        <w:t>sea</w:t>
      </w:r>
      <w:r w:rsidR="00361166">
        <w:rPr>
          <w:lang w:val="en-GB"/>
        </w:rPr>
        <w:t>r</w:t>
      </w:r>
      <w:r w:rsidR="00757CA1">
        <w:rPr>
          <w:lang w:val="en-GB"/>
        </w:rPr>
        <w:t>ch</w:t>
      </w:r>
      <w:r w:rsidR="00146BF2" w:rsidRPr="000343FB">
        <w:rPr>
          <w:lang w:val="en-GB"/>
        </w:rPr>
        <w:t xml:space="preserve"> result. </w:t>
      </w:r>
      <w:r w:rsidR="003133BF">
        <w:rPr>
          <w:lang w:val="en-GB"/>
        </w:rPr>
        <w:t>O</w:t>
      </w:r>
      <w:r w:rsidR="00146BF2" w:rsidRPr="000343FB">
        <w:rPr>
          <w:lang w:val="en-GB"/>
        </w:rPr>
        <w:t>ther EDM apparel brands</w:t>
      </w:r>
      <w:r w:rsidR="003133BF">
        <w:rPr>
          <w:lang w:val="en-GB"/>
        </w:rPr>
        <w:t>,</w:t>
      </w:r>
      <w:r w:rsidR="00146BF2" w:rsidRPr="000343FB">
        <w:rPr>
          <w:lang w:val="en-GB"/>
        </w:rPr>
        <w:t xml:space="preserve"> such as Acid Apparels, United Colours of Benetton, Pepe</w:t>
      </w:r>
      <w:r w:rsidR="003133BF">
        <w:rPr>
          <w:lang w:val="en-GB"/>
        </w:rPr>
        <w:t>,</w:t>
      </w:r>
      <w:r w:rsidR="00146BF2" w:rsidRPr="000343FB">
        <w:rPr>
          <w:lang w:val="en-GB"/>
        </w:rPr>
        <w:t xml:space="preserve"> Jack &amp; Jones, Fighting Fame, and SFYNX</w:t>
      </w:r>
      <w:r w:rsidR="003133BF">
        <w:rPr>
          <w:lang w:val="en-GB"/>
        </w:rPr>
        <w:t xml:space="preserve"> were</w:t>
      </w:r>
      <w:r w:rsidR="00146BF2" w:rsidRPr="000343FB">
        <w:rPr>
          <w:lang w:val="en-GB"/>
        </w:rPr>
        <w:t xml:space="preserve"> available </w:t>
      </w:r>
      <w:r w:rsidR="00361166">
        <w:rPr>
          <w:lang w:val="en-GB"/>
        </w:rPr>
        <w:t xml:space="preserve">in India </w:t>
      </w:r>
      <w:r w:rsidR="00146BF2" w:rsidRPr="000343FB">
        <w:rPr>
          <w:lang w:val="en-GB"/>
        </w:rPr>
        <w:t xml:space="preserve">on online platforms such as </w:t>
      </w:r>
      <w:proofErr w:type="spellStart"/>
      <w:r w:rsidR="00146BF2" w:rsidRPr="000343FB">
        <w:rPr>
          <w:lang w:val="en-GB"/>
        </w:rPr>
        <w:t>Myntra</w:t>
      </w:r>
      <w:proofErr w:type="spellEnd"/>
      <w:r w:rsidR="00146BF2" w:rsidRPr="000343FB">
        <w:rPr>
          <w:lang w:val="en-GB"/>
        </w:rPr>
        <w:t xml:space="preserve">, </w:t>
      </w:r>
      <w:proofErr w:type="spellStart"/>
      <w:r w:rsidR="00146BF2" w:rsidRPr="000343FB">
        <w:rPr>
          <w:lang w:val="en-GB"/>
        </w:rPr>
        <w:t>Koovs</w:t>
      </w:r>
      <w:proofErr w:type="spellEnd"/>
      <w:r w:rsidR="00146BF2" w:rsidRPr="000343FB">
        <w:rPr>
          <w:lang w:val="en-GB"/>
        </w:rPr>
        <w:t xml:space="preserve">, and </w:t>
      </w:r>
      <w:proofErr w:type="spellStart"/>
      <w:r w:rsidR="00146BF2" w:rsidRPr="000343FB">
        <w:rPr>
          <w:lang w:val="en-GB"/>
        </w:rPr>
        <w:t>uBuy</w:t>
      </w:r>
      <w:proofErr w:type="spellEnd"/>
      <w:r w:rsidR="003133BF">
        <w:rPr>
          <w:lang w:val="en-GB"/>
        </w:rPr>
        <w:t>.</w:t>
      </w:r>
      <w:r w:rsidR="00146BF2" w:rsidRPr="000343FB">
        <w:rPr>
          <w:lang w:val="en-GB"/>
        </w:rPr>
        <w:t xml:space="preserve"> </w:t>
      </w:r>
      <w:r w:rsidR="003133BF">
        <w:rPr>
          <w:lang w:val="en-GB"/>
        </w:rPr>
        <w:t xml:space="preserve">However, </w:t>
      </w:r>
      <w:r w:rsidR="003133BF" w:rsidRPr="000343FB">
        <w:rPr>
          <w:lang w:val="en-GB"/>
        </w:rPr>
        <w:t>Singh</w:t>
      </w:r>
      <w:r w:rsidR="00361166">
        <w:rPr>
          <w:lang w:val="en-GB"/>
        </w:rPr>
        <w:t xml:space="preserve"> believed</w:t>
      </w:r>
      <w:r w:rsidR="003E09A2">
        <w:rPr>
          <w:lang w:val="en-GB"/>
        </w:rPr>
        <w:t>,</w:t>
      </w:r>
      <w:r w:rsidR="003133BF">
        <w:rPr>
          <w:lang w:val="en-GB"/>
        </w:rPr>
        <w:t xml:space="preserve"> </w:t>
      </w:r>
      <w:r w:rsidR="00146BF2" w:rsidRPr="000343FB">
        <w:rPr>
          <w:lang w:val="en-GB"/>
        </w:rPr>
        <w:t>“</w:t>
      </w:r>
      <w:r w:rsidR="003E09A2">
        <w:rPr>
          <w:lang w:val="en-GB"/>
        </w:rPr>
        <w:t>T</w:t>
      </w:r>
      <w:r w:rsidR="00146BF2" w:rsidRPr="000343FB">
        <w:rPr>
          <w:lang w:val="en-GB"/>
        </w:rPr>
        <w:t>hey do not have the same presence as TDC</w:t>
      </w:r>
      <w:r w:rsidR="003133BF">
        <w:rPr>
          <w:lang w:val="en-GB"/>
        </w:rPr>
        <w:t>.</w:t>
      </w:r>
      <w:r w:rsidR="00146BF2" w:rsidRPr="000343FB">
        <w:rPr>
          <w:lang w:val="en-GB"/>
        </w:rPr>
        <w:t>”</w:t>
      </w:r>
    </w:p>
    <w:p w14:paraId="3559536D" w14:textId="77777777" w:rsidR="00146BF2" w:rsidRPr="00FD454B" w:rsidRDefault="00146BF2" w:rsidP="00FD454B">
      <w:pPr>
        <w:pStyle w:val="BodyTextMain"/>
      </w:pPr>
    </w:p>
    <w:p w14:paraId="3EE23E89" w14:textId="77777777" w:rsidR="00146BF2" w:rsidRPr="00FD454B" w:rsidRDefault="00146BF2" w:rsidP="00FD454B">
      <w:pPr>
        <w:pStyle w:val="BodyTextMain"/>
      </w:pPr>
    </w:p>
    <w:p w14:paraId="0885E19E" w14:textId="77777777" w:rsidR="00146BF2" w:rsidRPr="000343FB" w:rsidRDefault="00146BF2" w:rsidP="00A855D5">
      <w:pPr>
        <w:pStyle w:val="Casehead2"/>
        <w:keepNext/>
        <w:rPr>
          <w:lang w:val="en-GB"/>
        </w:rPr>
      </w:pPr>
      <w:r w:rsidRPr="000343FB">
        <w:rPr>
          <w:lang w:val="en-GB"/>
        </w:rPr>
        <w:t>Rave Culture: Socio-political Milieu in India</w:t>
      </w:r>
    </w:p>
    <w:p w14:paraId="132D27B1" w14:textId="77777777" w:rsidR="00146BF2" w:rsidRPr="00FD454B" w:rsidRDefault="00146BF2" w:rsidP="00FD454B">
      <w:pPr>
        <w:pStyle w:val="BodyTextMain"/>
      </w:pPr>
    </w:p>
    <w:p w14:paraId="46587B1B" w14:textId="53B2C62C" w:rsidR="00446C44" w:rsidRDefault="00146BF2" w:rsidP="00FD454B">
      <w:pPr>
        <w:pStyle w:val="BodyTextMain"/>
        <w:rPr>
          <w:lang w:val="en-GB"/>
        </w:rPr>
      </w:pPr>
      <w:r w:rsidRPr="000343FB">
        <w:rPr>
          <w:lang w:val="en-GB"/>
        </w:rPr>
        <w:t xml:space="preserve">In 2014, </w:t>
      </w:r>
      <w:r w:rsidR="003133BF">
        <w:rPr>
          <w:lang w:val="en-GB"/>
        </w:rPr>
        <w:t>India’s</w:t>
      </w:r>
      <w:r w:rsidRPr="000343FB">
        <w:rPr>
          <w:lang w:val="en-GB"/>
        </w:rPr>
        <w:t xml:space="preserve"> thriving EDM scene was identified as a global EDM hot</w:t>
      </w:r>
      <w:r w:rsidR="003133BF">
        <w:rPr>
          <w:lang w:val="en-GB"/>
        </w:rPr>
        <w:t xml:space="preserve"> </w:t>
      </w:r>
      <w:r w:rsidRPr="000343FB">
        <w:rPr>
          <w:lang w:val="en-GB"/>
        </w:rPr>
        <w:t xml:space="preserve">spot with the arrival of EDM stalwarts like Steve Aoki, Diplo, Major </w:t>
      </w:r>
      <w:proofErr w:type="spellStart"/>
      <w:r w:rsidRPr="000343FB">
        <w:rPr>
          <w:lang w:val="en-GB"/>
        </w:rPr>
        <w:t>Lazer</w:t>
      </w:r>
      <w:proofErr w:type="spellEnd"/>
      <w:r w:rsidRPr="000343FB">
        <w:rPr>
          <w:lang w:val="en-GB"/>
        </w:rPr>
        <w:t xml:space="preserve">, Carl Cox, Paul </w:t>
      </w:r>
      <w:r w:rsidR="003E09A2">
        <w:rPr>
          <w:lang w:val="en-GB"/>
        </w:rPr>
        <w:t>v</w:t>
      </w:r>
      <w:r w:rsidRPr="000343FB">
        <w:rPr>
          <w:lang w:val="en-GB"/>
        </w:rPr>
        <w:t xml:space="preserve">an </w:t>
      </w:r>
      <w:proofErr w:type="spellStart"/>
      <w:r w:rsidRPr="000343FB">
        <w:rPr>
          <w:lang w:val="en-GB"/>
        </w:rPr>
        <w:t>Dyk</w:t>
      </w:r>
      <w:proofErr w:type="spellEnd"/>
      <w:r w:rsidR="00B679E9">
        <w:rPr>
          <w:lang w:val="en-GB"/>
        </w:rPr>
        <w:t>,</w:t>
      </w:r>
      <w:r w:rsidRPr="000343FB">
        <w:rPr>
          <w:lang w:val="en-GB"/>
        </w:rPr>
        <w:t xml:space="preserve"> and Armin van Buren.</w:t>
      </w:r>
      <w:r w:rsidRPr="000343FB">
        <w:rPr>
          <w:vertAlign w:val="superscript"/>
          <w:lang w:val="en-GB"/>
        </w:rPr>
        <w:endnoteReference w:id="23"/>
      </w:r>
      <w:r w:rsidRPr="000343FB">
        <w:rPr>
          <w:lang w:val="en-GB"/>
        </w:rPr>
        <w:t xml:space="preserve"> Mumbai and Delhi were popular spots</w:t>
      </w:r>
      <w:r w:rsidR="00B679E9">
        <w:rPr>
          <w:lang w:val="en-GB"/>
        </w:rPr>
        <w:t>,</w:t>
      </w:r>
      <w:r w:rsidRPr="000343FB">
        <w:rPr>
          <w:lang w:val="en-GB"/>
        </w:rPr>
        <w:t xml:space="preserve"> but it was </w:t>
      </w:r>
      <w:r w:rsidR="00B679E9">
        <w:rPr>
          <w:lang w:val="en-GB"/>
        </w:rPr>
        <w:t xml:space="preserve">the Indian state of </w:t>
      </w:r>
      <w:r w:rsidRPr="000343FB">
        <w:rPr>
          <w:lang w:val="en-GB"/>
        </w:rPr>
        <w:t>Goa that took centr</w:t>
      </w:r>
      <w:r w:rsidR="00B679E9">
        <w:rPr>
          <w:lang w:val="en-GB"/>
        </w:rPr>
        <w:t>e</w:t>
      </w:r>
      <w:r w:rsidRPr="000343FB">
        <w:rPr>
          <w:lang w:val="en-GB"/>
        </w:rPr>
        <w:t xml:space="preserve"> stage with </w:t>
      </w:r>
      <w:r w:rsidR="00B679E9">
        <w:rPr>
          <w:lang w:val="en-GB"/>
        </w:rPr>
        <w:t xml:space="preserve">its </w:t>
      </w:r>
      <w:r w:rsidRPr="000343FB">
        <w:rPr>
          <w:lang w:val="en-GB"/>
        </w:rPr>
        <w:t>Goa Trance</w:t>
      </w:r>
      <w:r w:rsidR="00B679E9">
        <w:rPr>
          <w:lang w:val="en-GB"/>
        </w:rPr>
        <w:t xml:space="preserve"> music parties that had originated in the 1990s. L</w:t>
      </w:r>
      <w:r w:rsidRPr="000343FB">
        <w:rPr>
          <w:lang w:val="en-GB"/>
        </w:rPr>
        <w:t>ater</w:t>
      </w:r>
      <w:r w:rsidR="00B679E9">
        <w:rPr>
          <w:lang w:val="en-GB"/>
        </w:rPr>
        <w:t>,</w:t>
      </w:r>
      <w:r w:rsidRPr="000343FB">
        <w:rPr>
          <w:lang w:val="en-GB"/>
        </w:rPr>
        <w:t xml:space="preserve"> the </w:t>
      </w:r>
      <w:r w:rsidR="00361166">
        <w:rPr>
          <w:lang w:val="en-GB"/>
        </w:rPr>
        <w:t xml:space="preserve">popular festival </w:t>
      </w:r>
      <w:r w:rsidRPr="000343FB">
        <w:rPr>
          <w:lang w:val="en-GB"/>
        </w:rPr>
        <w:t>Sunburn</w:t>
      </w:r>
      <w:r w:rsidR="00B679E9">
        <w:rPr>
          <w:lang w:val="en-GB"/>
        </w:rPr>
        <w:t>, which had</w:t>
      </w:r>
      <w:r w:rsidRPr="000343FB">
        <w:rPr>
          <w:lang w:val="en-GB"/>
        </w:rPr>
        <w:t xml:space="preserve"> started in 2007</w:t>
      </w:r>
      <w:r w:rsidR="00B679E9">
        <w:rPr>
          <w:lang w:val="en-GB"/>
        </w:rPr>
        <w:t>, evolved</w:t>
      </w:r>
      <w:r w:rsidRPr="000343FB">
        <w:rPr>
          <w:lang w:val="en-GB"/>
        </w:rPr>
        <w:t xml:space="preserve"> into a </w:t>
      </w:r>
      <w:r w:rsidR="003E09A2">
        <w:rPr>
          <w:lang w:val="en-GB"/>
        </w:rPr>
        <w:t>three</w:t>
      </w:r>
      <w:r w:rsidRPr="000343FB">
        <w:rPr>
          <w:lang w:val="en-GB"/>
        </w:rPr>
        <w:t>-day musical extravaganza</w:t>
      </w:r>
      <w:r w:rsidR="00446C44">
        <w:rPr>
          <w:lang w:val="en-GB"/>
        </w:rPr>
        <w:t xml:space="preserve"> with </w:t>
      </w:r>
      <w:r w:rsidR="00446C44" w:rsidRPr="000343FB">
        <w:rPr>
          <w:lang w:val="en-GB"/>
        </w:rPr>
        <w:t>150,000 attendees</w:t>
      </w:r>
      <w:r w:rsidR="00446C44">
        <w:rPr>
          <w:lang w:val="en-GB"/>
        </w:rPr>
        <w:t xml:space="preserve"> and</w:t>
      </w:r>
      <w:r w:rsidR="00446C44" w:rsidRPr="000343FB">
        <w:rPr>
          <w:lang w:val="en-GB"/>
        </w:rPr>
        <w:t xml:space="preserve"> 120 artists</w:t>
      </w:r>
      <w:r w:rsidR="00446C44">
        <w:rPr>
          <w:lang w:val="en-GB"/>
        </w:rPr>
        <w:t>. It was</w:t>
      </w:r>
      <w:r w:rsidRPr="000343FB">
        <w:rPr>
          <w:lang w:val="en-GB"/>
        </w:rPr>
        <w:t xml:space="preserve"> billed as one of the biggest EDM events in South Asia</w:t>
      </w:r>
      <w:r w:rsidR="00446C44">
        <w:rPr>
          <w:lang w:val="en-GB"/>
        </w:rPr>
        <w:t>,</w:t>
      </w:r>
      <w:r w:rsidRPr="000343FB">
        <w:rPr>
          <w:lang w:val="en-GB"/>
        </w:rPr>
        <w:t xml:space="preserve"> winning numerous accolades </w:t>
      </w:r>
      <w:r w:rsidR="00446C44">
        <w:rPr>
          <w:lang w:val="en-GB"/>
        </w:rPr>
        <w:t xml:space="preserve">including 2017 </w:t>
      </w:r>
      <w:r w:rsidRPr="000343FB">
        <w:rPr>
          <w:lang w:val="en-GB"/>
        </w:rPr>
        <w:t xml:space="preserve">BW Applause </w:t>
      </w:r>
      <w:r w:rsidR="00446C44">
        <w:rPr>
          <w:lang w:val="en-GB"/>
        </w:rPr>
        <w:t>a</w:t>
      </w:r>
      <w:r w:rsidRPr="000343FB">
        <w:rPr>
          <w:lang w:val="en-GB"/>
        </w:rPr>
        <w:t>ward</w:t>
      </w:r>
      <w:r w:rsidR="00446C44">
        <w:rPr>
          <w:lang w:val="en-GB"/>
        </w:rPr>
        <w:t>s</w:t>
      </w:r>
      <w:r w:rsidRPr="000343FB">
        <w:rPr>
          <w:lang w:val="en-GB"/>
        </w:rPr>
        <w:t xml:space="preserve"> </w:t>
      </w:r>
      <w:r w:rsidR="00446C44">
        <w:rPr>
          <w:lang w:val="en-GB"/>
        </w:rPr>
        <w:t>for</w:t>
      </w:r>
      <w:r w:rsidRPr="000343FB">
        <w:rPr>
          <w:lang w:val="en-GB"/>
        </w:rPr>
        <w:t xml:space="preserve"> Best Music Event </w:t>
      </w:r>
      <w:r w:rsidR="00446C44">
        <w:rPr>
          <w:lang w:val="en-GB"/>
        </w:rPr>
        <w:t xml:space="preserve">(gold) </w:t>
      </w:r>
      <w:r w:rsidRPr="000343FB">
        <w:rPr>
          <w:lang w:val="en-GB"/>
        </w:rPr>
        <w:t xml:space="preserve">and Best Social Media Amplification </w:t>
      </w:r>
      <w:r w:rsidR="00446C44">
        <w:rPr>
          <w:lang w:val="en-GB"/>
        </w:rPr>
        <w:t>(s</w:t>
      </w:r>
      <w:r w:rsidRPr="000343FB">
        <w:rPr>
          <w:lang w:val="en-GB"/>
        </w:rPr>
        <w:t>ilver</w:t>
      </w:r>
      <w:r w:rsidR="00446C44">
        <w:rPr>
          <w:lang w:val="en-GB"/>
        </w:rPr>
        <w:t>).</w:t>
      </w:r>
      <w:r w:rsidRPr="000343FB">
        <w:rPr>
          <w:vertAlign w:val="superscript"/>
          <w:lang w:val="en-GB"/>
        </w:rPr>
        <w:endnoteReference w:id="24"/>
      </w:r>
      <w:r w:rsidRPr="000343FB">
        <w:rPr>
          <w:lang w:val="en-GB"/>
        </w:rPr>
        <w:t xml:space="preserve"> </w:t>
      </w:r>
    </w:p>
    <w:p w14:paraId="26894CF2" w14:textId="77777777" w:rsidR="00270B29" w:rsidRDefault="00270B29" w:rsidP="00FD454B">
      <w:pPr>
        <w:pStyle w:val="BodyTextMain"/>
        <w:rPr>
          <w:lang w:val="en-GB"/>
        </w:rPr>
      </w:pPr>
    </w:p>
    <w:p w14:paraId="4512DB8A" w14:textId="3154AE34" w:rsidR="00146BF2" w:rsidRPr="007D7BA3" w:rsidRDefault="0011396A" w:rsidP="00FD454B">
      <w:pPr>
        <w:pStyle w:val="BodyTextMain"/>
        <w:rPr>
          <w:spacing w:val="-2"/>
          <w:lang w:val="en-GB"/>
        </w:rPr>
      </w:pPr>
      <w:r w:rsidRPr="007D7BA3">
        <w:rPr>
          <w:spacing w:val="-2"/>
          <w:lang w:val="en-GB"/>
        </w:rPr>
        <w:t>T</w:t>
      </w:r>
      <w:r w:rsidR="00146BF2" w:rsidRPr="007D7BA3">
        <w:rPr>
          <w:spacing w:val="-2"/>
          <w:lang w:val="en-GB"/>
        </w:rPr>
        <w:t>h</w:t>
      </w:r>
      <w:r w:rsidR="00446C44" w:rsidRPr="007D7BA3">
        <w:rPr>
          <w:spacing w:val="-2"/>
          <w:lang w:val="en-GB"/>
        </w:rPr>
        <w:t xml:space="preserve">e </w:t>
      </w:r>
      <w:r w:rsidRPr="007D7BA3">
        <w:rPr>
          <w:spacing w:val="-2"/>
          <w:lang w:val="en-GB"/>
        </w:rPr>
        <w:t xml:space="preserve">EDM </w:t>
      </w:r>
      <w:r w:rsidR="00446C44" w:rsidRPr="007D7BA3">
        <w:rPr>
          <w:spacing w:val="-2"/>
          <w:lang w:val="en-GB"/>
        </w:rPr>
        <w:t>music</w:t>
      </w:r>
      <w:r w:rsidR="00146BF2" w:rsidRPr="007D7BA3">
        <w:rPr>
          <w:spacing w:val="-2"/>
          <w:lang w:val="en-GB"/>
        </w:rPr>
        <w:t xml:space="preserve"> genre </w:t>
      </w:r>
      <w:r w:rsidRPr="007D7BA3">
        <w:rPr>
          <w:spacing w:val="-2"/>
          <w:lang w:val="en-GB"/>
        </w:rPr>
        <w:t>started</w:t>
      </w:r>
      <w:r w:rsidR="00146BF2" w:rsidRPr="007D7BA3">
        <w:rPr>
          <w:spacing w:val="-2"/>
          <w:lang w:val="en-GB"/>
        </w:rPr>
        <w:t xml:space="preserve"> </w:t>
      </w:r>
      <w:r w:rsidR="00F80F08" w:rsidRPr="007D7BA3">
        <w:rPr>
          <w:spacing w:val="-2"/>
          <w:lang w:val="en-GB"/>
        </w:rPr>
        <w:t>ful</w:t>
      </w:r>
      <w:r w:rsidR="00146BF2" w:rsidRPr="007D7BA3">
        <w:rPr>
          <w:spacing w:val="-2"/>
          <w:lang w:val="en-GB"/>
        </w:rPr>
        <w:t xml:space="preserve">ly </w:t>
      </w:r>
      <w:r w:rsidR="00446C44" w:rsidRPr="007D7BA3">
        <w:rPr>
          <w:spacing w:val="-2"/>
          <w:lang w:val="en-GB"/>
        </w:rPr>
        <w:t>blossom</w:t>
      </w:r>
      <w:r w:rsidRPr="007D7BA3">
        <w:rPr>
          <w:spacing w:val="-2"/>
          <w:lang w:val="en-GB"/>
        </w:rPr>
        <w:t>ing</w:t>
      </w:r>
      <w:r w:rsidR="00446C44" w:rsidRPr="007D7BA3">
        <w:rPr>
          <w:spacing w:val="-2"/>
          <w:lang w:val="en-GB"/>
        </w:rPr>
        <w:t xml:space="preserve"> </w:t>
      </w:r>
      <w:r w:rsidRPr="007D7BA3">
        <w:rPr>
          <w:spacing w:val="-2"/>
          <w:lang w:val="en-GB"/>
        </w:rPr>
        <w:t xml:space="preserve">in India from </w:t>
      </w:r>
      <w:r w:rsidR="00146BF2" w:rsidRPr="007D7BA3">
        <w:rPr>
          <w:spacing w:val="-2"/>
          <w:lang w:val="en-GB"/>
        </w:rPr>
        <w:t>2007</w:t>
      </w:r>
      <w:r w:rsidR="00446C44" w:rsidRPr="007D7BA3">
        <w:rPr>
          <w:spacing w:val="-2"/>
          <w:lang w:val="en-GB"/>
        </w:rPr>
        <w:t>,</w:t>
      </w:r>
      <w:r w:rsidR="00146BF2" w:rsidRPr="007D7BA3">
        <w:rPr>
          <w:spacing w:val="-2"/>
          <w:lang w:val="en-GB"/>
        </w:rPr>
        <w:t xml:space="preserve"> when DJ Nikhil </w:t>
      </w:r>
      <w:proofErr w:type="spellStart"/>
      <w:r w:rsidR="00146BF2" w:rsidRPr="007D7BA3">
        <w:rPr>
          <w:spacing w:val="-2"/>
          <w:lang w:val="en-GB"/>
        </w:rPr>
        <w:t>Chinappa</w:t>
      </w:r>
      <w:proofErr w:type="spellEnd"/>
      <w:r w:rsidR="000C3113" w:rsidRPr="007D7BA3">
        <w:rPr>
          <w:spacing w:val="-2"/>
          <w:lang w:val="en-GB"/>
        </w:rPr>
        <w:t>, from the American MTV music channel,</w:t>
      </w:r>
      <w:r w:rsidR="00146BF2" w:rsidRPr="007D7BA3">
        <w:rPr>
          <w:spacing w:val="-2"/>
          <w:lang w:val="en-GB"/>
        </w:rPr>
        <w:t xml:space="preserve"> collaborated with Percept Company’s </w:t>
      </w:r>
      <w:proofErr w:type="spellStart"/>
      <w:r w:rsidR="00146BF2" w:rsidRPr="007D7BA3">
        <w:rPr>
          <w:spacing w:val="-2"/>
          <w:lang w:val="en-GB"/>
        </w:rPr>
        <w:t>Shailendra</w:t>
      </w:r>
      <w:proofErr w:type="spellEnd"/>
      <w:r w:rsidR="00146BF2" w:rsidRPr="007D7BA3">
        <w:rPr>
          <w:spacing w:val="-2"/>
          <w:lang w:val="en-GB"/>
        </w:rPr>
        <w:t xml:space="preserve"> Singh to </w:t>
      </w:r>
      <w:r w:rsidR="000C3113" w:rsidRPr="007D7BA3">
        <w:rPr>
          <w:spacing w:val="-2"/>
          <w:lang w:val="en-GB"/>
        </w:rPr>
        <w:t>launch</w:t>
      </w:r>
      <w:r w:rsidR="00146BF2" w:rsidRPr="007D7BA3">
        <w:rPr>
          <w:spacing w:val="-2"/>
          <w:lang w:val="en-GB"/>
        </w:rPr>
        <w:t xml:space="preserve"> the Sunburn </w:t>
      </w:r>
      <w:r w:rsidR="002F69F4" w:rsidRPr="007D7BA3">
        <w:rPr>
          <w:spacing w:val="-2"/>
          <w:lang w:val="en-GB"/>
        </w:rPr>
        <w:t>f</w:t>
      </w:r>
      <w:r w:rsidR="00146BF2" w:rsidRPr="007D7BA3">
        <w:rPr>
          <w:spacing w:val="-2"/>
          <w:lang w:val="en-GB"/>
        </w:rPr>
        <w:t xml:space="preserve">estival in </w:t>
      </w:r>
      <w:r w:rsidR="000C3113" w:rsidRPr="007D7BA3">
        <w:rPr>
          <w:spacing w:val="-2"/>
          <w:lang w:val="en-GB"/>
        </w:rPr>
        <w:t xml:space="preserve">the </w:t>
      </w:r>
      <w:r w:rsidR="00146BF2" w:rsidRPr="007D7BA3">
        <w:rPr>
          <w:spacing w:val="-2"/>
          <w:lang w:val="en-GB"/>
        </w:rPr>
        <w:t>laid</w:t>
      </w:r>
      <w:r w:rsidR="000C3113" w:rsidRPr="007D7BA3">
        <w:rPr>
          <w:spacing w:val="-2"/>
          <w:lang w:val="en-GB"/>
        </w:rPr>
        <w:t>-</w:t>
      </w:r>
      <w:r w:rsidR="00146BF2" w:rsidRPr="007D7BA3">
        <w:rPr>
          <w:spacing w:val="-2"/>
          <w:lang w:val="en-GB"/>
        </w:rPr>
        <w:t xml:space="preserve">back </w:t>
      </w:r>
      <w:r w:rsidR="000C3113" w:rsidRPr="007D7BA3">
        <w:rPr>
          <w:spacing w:val="-2"/>
          <w:lang w:val="en-GB"/>
        </w:rPr>
        <w:t xml:space="preserve">state of </w:t>
      </w:r>
      <w:r w:rsidR="00146BF2" w:rsidRPr="007D7BA3">
        <w:rPr>
          <w:spacing w:val="-2"/>
          <w:lang w:val="en-GB"/>
        </w:rPr>
        <w:t>Goa, a favo</w:t>
      </w:r>
      <w:r w:rsidR="002F69F4" w:rsidRPr="007D7BA3">
        <w:rPr>
          <w:spacing w:val="-2"/>
          <w:lang w:val="en-GB"/>
        </w:rPr>
        <w:t>u</w:t>
      </w:r>
      <w:r w:rsidR="00146BF2" w:rsidRPr="007D7BA3">
        <w:rPr>
          <w:spacing w:val="-2"/>
          <w:lang w:val="en-GB"/>
        </w:rPr>
        <w:t>rite destination for Indian a</w:t>
      </w:r>
      <w:r w:rsidR="000C3113" w:rsidRPr="007D7BA3">
        <w:rPr>
          <w:spacing w:val="-2"/>
          <w:lang w:val="en-GB"/>
        </w:rPr>
        <w:t>nd</w:t>
      </w:r>
      <w:r w:rsidR="00146BF2" w:rsidRPr="007D7BA3">
        <w:rPr>
          <w:spacing w:val="-2"/>
          <w:lang w:val="en-GB"/>
        </w:rPr>
        <w:t xml:space="preserve"> foreign tourists. </w:t>
      </w:r>
      <w:r w:rsidR="000C3113" w:rsidRPr="007D7BA3">
        <w:rPr>
          <w:spacing w:val="-2"/>
          <w:lang w:val="en-GB"/>
        </w:rPr>
        <w:t>T</w:t>
      </w:r>
      <w:r w:rsidR="00146BF2" w:rsidRPr="007D7BA3">
        <w:rPr>
          <w:spacing w:val="-2"/>
          <w:lang w:val="en-GB"/>
        </w:rPr>
        <w:t xml:space="preserve">he movement </w:t>
      </w:r>
      <w:r w:rsidR="000C3113" w:rsidRPr="007D7BA3">
        <w:rPr>
          <w:spacing w:val="-2"/>
          <w:lang w:val="en-GB"/>
        </w:rPr>
        <w:t xml:space="preserve">quickly </w:t>
      </w:r>
      <w:r w:rsidR="00146BF2" w:rsidRPr="007D7BA3">
        <w:rPr>
          <w:spacing w:val="-2"/>
          <w:lang w:val="en-GB"/>
        </w:rPr>
        <w:t xml:space="preserve">grew </w:t>
      </w:r>
      <w:r w:rsidR="000C3113" w:rsidRPr="007D7BA3">
        <w:rPr>
          <w:spacing w:val="-2"/>
          <w:lang w:val="en-GB"/>
        </w:rPr>
        <w:t>with the meteoric rise of the</w:t>
      </w:r>
      <w:r w:rsidR="00146BF2" w:rsidRPr="007D7BA3">
        <w:rPr>
          <w:spacing w:val="-2"/>
          <w:lang w:val="en-GB"/>
        </w:rPr>
        <w:t xml:space="preserve"> </w:t>
      </w:r>
      <w:r w:rsidR="000C3113" w:rsidRPr="007D7BA3">
        <w:rPr>
          <w:spacing w:val="-2"/>
          <w:lang w:val="en-GB"/>
        </w:rPr>
        <w:t>I</w:t>
      </w:r>
      <w:r w:rsidR="00146BF2" w:rsidRPr="007D7BA3">
        <w:rPr>
          <w:spacing w:val="-2"/>
          <w:lang w:val="en-GB"/>
        </w:rPr>
        <w:t>nternet and burgeoning smart</w:t>
      </w:r>
      <w:r w:rsidR="000C3113" w:rsidRPr="007D7BA3">
        <w:rPr>
          <w:spacing w:val="-2"/>
          <w:lang w:val="en-GB"/>
        </w:rPr>
        <w:t xml:space="preserve"> </w:t>
      </w:r>
      <w:r w:rsidR="00146BF2" w:rsidRPr="007D7BA3">
        <w:rPr>
          <w:spacing w:val="-2"/>
          <w:lang w:val="en-GB"/>
        </w:rPr>
        <w:t>phone sales. From 2012 to 2015, more than 60 of the world’s top 100 DJs performed to sold</w:t>
      </w:r>
      <w:r w:rsidR="003E09A2" w:rsidRPr="007D7BA3">
        <w:rPr>
          <w:spacing w:val="-2"/>
          <w:lang w:val="en-GB"/>
        </w:rPr>
        <w:t>-</w:t>
      </w:r>
      <w:r w:rsidR="00146BF2" w:rsidRPr="007D7BA3">
        <w:rPr>
          <w:spacing w:val="-2"/>
          <w:lang w:val="en-GB"/>
        </w:rPr>
        <w:t xml:space="preserve">out crowds in India, </w:t>
      </w:r>
      <w:r w:rsidR="000C3113" w:rsidRPr="007D7BA3">
        <w:rPr>
          <w:spacing w:val="-2"/>
          <w:lang w:val="en-GB"/>
        </w:rPr>
        <w:t xml:space="preserve">which boasted </w:t>
      </w:r>
      <w:r w:rsidR="00146BF2" w:rsidRPr="007D7BA3">
        <w:rPr>
          <w:spacing w:val="-2"/>
          <w:lang w:val="en-GB"/>
        </w:rPr>
        <w:t xml:space="preserve">a growing </w:t>
      </w:r>
      <w:r w:rsidR="00146BF2" w:rsidRPr="007D7BA3">
        <w:rPr>
          <w:spacing w:val="-2"/>
          <w:lang w:val="en-GB"/>
        </w:rPr>
        <w:lastRenderedPageBreak/>
        <w:t xml:space="preserve">middle class with disposable income and </w:t>
      </w:r>
      <w:r w:rsidR="003E09A2" w:rsidRPr="007D7BA3">
        <w:rPr>
          <w:spacing w:val="-2"/>
          <w:lang w:val="en-GB"/>
        </w:rPr>
        <w:t>where Bollywood (the Indian film industry) was</w:t>
      </w:r>
      <w:r w:rsidR="002F69F4" w:rsidRPr="007D7BA3">
        <w:rPr>
          <w:spacing w:val="-2"/>
          <w:lang w:val="en-GB"/>
        </w:rPr>
        <w:t xml:space="preserve"> extremely</w:t>
      </w:r>
      <w:r w:rsidR="000C3113" w:rsidRPr="007D7BA3">
        <w:rPr>
          <w:spacing w:val="-2"/>
          <w:lang w:val="en-GB"/>
        </w:rPr>
        <w:t xml:space="preserve"> successful</w:t>
      </w:r>
      <w:r w:rsidR="00146BF2" w:rsidRPr="007D7BA3">
        <w:rPr>
          <w:spacing w:val="-2"/>
          <w:lang w:val="en-GB"/>
        </w:rPr>
        <w:t>.</w:t>
      </w:r>
      <w:r w:rsidR="00146BF2" w:rsidRPr="007D7BA3">
        <w:rPr>
          <w:spacing w:val="-2"/>
          <w:vertAlign w:val="superscript"/>
          <w:lang w:val="en-GB"/>
        </w:rPr>
        <w:endnoteReference w:id="25"/>
      </w:r>
      <w:r w:rsidR="00146BF2" w:rsidRPr="007D7BA3">
        <w:rPr>
          <w:spacing w:val="-2"/>
          <w:lang w:val="en-GB"/>
        </w:rPr>
        <w:t xml:space="preserve"> The </w:t>
      </w:r>
      <w:r w:rsidR="00564EA1" w:rsidRPr="007D7BA3">
        <w:rPr>
          <w:spacing w:val="-2"/>
          <w:lang w:val="en-GB"/>
        </w:rPr>
        <w:t xml:space="preserve">new </w:t>
      </w:r>
      <w:r w:rsidR="00146BF2" w:rsidRPr="007D7BA3">
        <w:rPr>
          <w:spacing w:val="-2"/>
          <w:lang w:val="en-GB"/>
        </w:rPr>
        <w:t xml:space="preserve">post-1991 economy and </w:t>
      </w:r>
      <w:r w:rsidR="00564EA1" w:rsidRPr="007D7BA3">
        <w:rPr>
          <w:spacing w:val="-2"/>
          <w:lang w:val="en-GB"/>
        </w:rPr>
        <w:t xml:space="preserve">booming </w:t>
      </w:r>
      <w:r w:rsidR="00146BF2" w:rsidRPr="007D7BA3">
        <w:rPr>
          <w:spacing w:val="-2"/>
          <w:lang w:val="en-GB"/>
        </w:rPr>
        <w:t xml:space="preserve">night life </w:t>
      </w:r>
      <w:r w:rsidR="00564EA1" w:rsidRPr="007D7BA3">
        <w:rPr>
          <w:spacing w:val="-2"/>
          <w:lang w:val="en-GB"/>
        </w:rPr>
        <w:t>of</w:t>
      </w:r>
      <w:r w:rsidR="00146BF2" w:rsidRPr="007D7BA3">
        <w:rPr>
          <w:spacing w:val="-2"/>
          <w:lang w:val="en-GB"/>
        </w:rPr>
        <w:t xml:space="preserve"> metro</w:t>
      </w:r>
      <w:r w:rsidR="00564EA1" w:rsidRPr="007D7BA3">
        <w:rPr>
          <w:spacing w:val="-2"/>
          <w:lang w:val="en-GB"/>
        </w:rPr>
        <w:t>politan citie</w:t>
      </w:r>
      <w:r w:rsidR="00146BF2" w:rsidRPr="007D7BA3">
        <w:rPr>
          <w:spacing w:val="-2"/>
          <w:lang w:val="en-GB"/>
        </w:rPr>
        <w:t>s helped EDM</w:t>
      </w:r>
      <w:r w:rsidR="00564EA1" w:rsidRPr="007D7BA3">
        <w:rPr>
          <w:spacing w:val="-2"/>
          <w:lang w:val="en-GB"/>
        </w:rPr>
        <w:t xml:space="preserve">’s spectacular rise </w:t>
      </w:r>
      <w:r w:rsidR="00146BF2" w:rsidRPr="007D7BA3">
        <w:rPr>
          <w:spacing w:val="-2"/>
          <w:lang w:val="en-GB"/>
        </w:rPr>
        <w:t>in a culturally-conscious country like India</w:t>
      </w:r>
      <w:r w:rsidR="00564EA1" w:rsidRPr="007D7BA3">
        <w:rPr>
          <w:spacing w:val="-2"/>
          <w:lang w:val="en-GB"/>
        </w:rPr>
        <w:t>,</w:t>
      </w:r>
      <w:r w:rsidR="00146BF2" w:rsidRPr="007D7BA3">
        <w:rPr>
          <w:spacing w:val="-2"/>
          <w:lang w:val="en-GB"/>
        </w:rPr>
        <w:t xml:space="preserve"> despite occasional brushes with the law.</w:t>
      </w:r>
      <w:r w:rsidR="00146BF2" w:rsidRPr="007D7BA3">
        <w:rPr>
          <w:spacing w:val="-2"/>
          <w:vertAlign w:val="superscript"/>
          <w:lang w:val="en-GB"/>
        </w:rPr>
        <w:endnoteReference w:id="26"/>
      </w:r>
      <w:r w:rsidR="00146BF2" w:rsidRPr="007D7BA3">
        <w:rPr>
          <w:spacing w:val="-2"/>
          <w:lang w:val="en-GB"/>
        </w:rPr>
        <w:t xml:space="preserve"> </w:t>
      </w:r>
    </w:p>
    <w:p w14:paraId="7F7D07E8" w14:textId="77777777" w:rsidR="00146BF2" w:rsidRPr="00FD454B" w:rsidRDefault="00146BF2" w:rsidP="00146BF2">
      <w:pPr>
        <w:pStyle w:val="BodyTextMain"/>
        <w:rPr>
          <w:sz w:val="18"/>
          <w:szCs w:val="18"/>
          <w:lang w:val="en-GB"/>
        </w:rPr>
      </w:pPr>
    </w:p>
    <w:p w14:paraId="7AA55A1F" w14:textId="2895B4C4" w:rsidR="00146BF2" w:rsidRPr="000343FB" w:rsidRDefault="00146BF2" w:rsidP="00146BF2">
      <w:pPr>
        <w:pStyle w:val="BodyTextMain"/>
        <w:rPr>
          <w:lang w:val="en-GB"/>
        </w:rPr>
      </w:pPr>
      <w:r w:rsidRPr="000343FB">
        <w:rPr>
          <w:lang w:val="en-GB"/>
        </w:rPr>
        <w:t>EDM</w:t>
      </w:r>
      <w:r w:rsidR="00564EA1">
        <w:rPr>
          <w:lang w:val="en-GB"/>
        </w:rPr>
        <w:t>’s</w:t>
      </w:r>
      <w:r w:rsidRPr="000343FB">
        <w:rPr>
          <w:lang w:val="en-GB"/>
        </w:rPr>
        <w:t xml:space="preserve"> popular</w:t>
      </w:r>
      <w:r w:rsidR="00564EA1">
        <w:rPr>
          <w:lang w:val="en-GB"/>
        </w:rPr>
        <w:t>ity</w:t>
      </w:r>
      <w:r w:rsidRPr="000343FB">
        <w:rPr>
          <w:lang w:val="en-GB"/>
        </w:rPr>
        <w:t xml:space="preserve"> in India</w:t>
      </w:r>
      <w:r w:rsidR="00564EA1">
        <w:rPr>
          <w:lang w:val="en-GB"/>
        </w:rPr>
        <w:t xml:space="preserve"> was not without</w:t>
      </w:r>
      <w:r w:rsidRPr="000343FB">
        <w:rPr>
          <w:lang w:val="en-GB"/>
        </w:rPr>
        <w:t xml:space="preserve"> strong voices of dissent</w:t>
      </w:r>
      <w:r w:rsidR="00564EA1">
        <w:rPr>
          <w:lang w:val="en-GB"/>
        </w:rPr>
        <w:t>,</w:t>
      </w:r>
      <w:r w:rsidRPr="000343FB">
        <w:rPr>
          <w:lang w:val="en-GB"/>
        </w:rPr>
        <w:t xml:space="preserve"> which considered it an attack on Indian religion, culture, and values. </w:t>
      </w:r>
      <w:r w:rsidR="00564EA1">
        <w:rPr>
          <w:lang w:val="en-GB"/>
        </w:rPr>
        <w:t>Various</w:t>
      </w:r>
      <w:r w:rsidRPr="000343FB">
        <w:rPr>
          <w:lang w:val="en-GB"/>
        </w:rPr>
        <w:t xml:space="preserve"> right-wing parties and organizations opposed the EDM music wave</w:t>
      </w:r>
      <w:r w:rsidR="00564EA1">
        <w:rPr>
          <w:lang w:val="en-GB"/>
        </w:rPr>
        <w:t>, which they associated with</w:t>
      </w:r>
      <w:r w:rsidRPr="000343FB">
        <w:rPr>
          <w:lang w:val="en-GB"/>
        </w:rPr>
        <w:t xml:space="preserve"> propagating promiscuousness, drugs, and a hedonistic lifestyle among </w:t>
      </w:r>
      <w:r w:rsidR="00564EA1">
        <w:rPr>
          <w:lang w:val="en-GB"/>
        </w:rPr>
        <w:t>India’s</w:t>
      </w:r>
      <w:r w:rsidRPr="000343FB">
        <w:rPr>
          <w:lang w:val="en-GB"/>
        </w:rPr>
        <w:t xml:space="preserve"> youth. In 2016, the popular Sunburn </w:t>
      </w:r>
      <w:r w:rsidR="00770887">
        <w:rPr>
          <w:lang w:val="en-GB"/>
        </w:rPr>
        <w:t>F</w:t>
      </w:r>
      <w:r w:rsidRPr="000343FB">
        <w:rPr>
          <w:lang w:val="en-GB"/>
        </w:rPr>
        <w:t xml:space="preserve">estival had to be moved out of Goa </w:t>
      </w:r>
      <w:r w:rsidR="00564EA1">
        <w:rPr>
          <w:lang w:val="en-GB"/>
        </w:rPr>
        <w:t>for the first time in the 10 years</w:t>
      </w:r>
      <w:r w:rsidRPr="000343FB">
        <w:rPr>
          <w:lang w:val="en-GB"/>
        </w:rPr>
        <w:t xml:space="preserve"> since its inception</w:t>
      </w:r>
      <w:r w:rsidR="00564EA1">
        <w:rPr>
          <w:lang w:val="en-GB"/>
        </w:rPr>
        <w:t xml:space="preserve"> because of</w:t>
      </w:r>
      <w:r w:rsidRPr="000343FB">
        <w:rPr>
          <w:lang w:val="en-GB"/>
        </w:rPr>
        <w:t xml:space="preserve"> police raids and the seizure of banned drugs such as ketamine.</w:t>
      </w:r>
      <w:r w:rsidRPr="000343FB">
        <w:rPr>
          <w:vertAlign w:val="superscript"/>
          <w:lang w:val="en-GB"/>
        </w:rPr>
        <w:endnoteReference w:id="27"/>
      </w:r>
      <w:r w:rsidRPr="000343FB">
        <w:rPr>
          <w:lang w:val="en-GB"/>
        </w:rPr>
        <w:t xml:space="preserve"> When the festival was shifted to Pune, local protests demand</w:t>
      </w:r>
      <w:r w:rsidR="00564EA1">
        <w:rPr>
          <w:lang w:val="en-GB"/>
        </w:rPr>
        <w:t>ed</w:t>
      </w:r>
      <w:r w:rsidRPr="000343FB">
        <w:rPr>
          <w:lang w:val="en-GB"/>
        </w:rPr>
        <w:t xml:space="preserve"> that it be s</w:t>
      </w:r>
      <w:r w:rsidR="00564EA1">
        <w:rPr>
          <w:lang w:val="en-GB"/>
        </w:rPr>
        <w:t>topped for reasons including</w:t>
      </w:r>
      <w:r w:rsidRPr="000343FB">
        <w:rPr>
          <w:lang w:val="en-GB"/>
        </w:rPr>
        <w:t xml:space="preserve"> ecological harm, sound pollution, drug abuse, and vulgarity.</w:t>
      </w:r>
      <w:r w:rsidRPr="000343FB">
        <w:rPr>
          <w:vertAlign w:val="superscript"/>
          <w:lang w:val="en-GB"/>
        </w:rPr>
        <w:endnoteReference w:id="28"/>
      </w:r>
      <w:r w:rsidRPr="000343FB">
        <w:rPr>
          <w:lang w:val="en-GB"/>
        </w:rPr>
        <w:t xml:space="preserve"> </w:t>
      </w:r>
    </w:p>
    <w:p w14:paraId="347F476E" w14:textId="77777777" w:rsidR="00146BF2" w:rsidRPr="00FD454B" w:rsidRDefault="00146BF2" w:rsidP="00146BF2">
      <w:pPr>
        <w:pStyle w:val="BodyTextMain"/>
        <w:rPr>
          <w:sz w:val="18"/>
          <w:szCs w:val="18"/>
          <w:lang w:val="en-GB"/>
        </w:rPr>
      </w:pPr>
    </w:p>
    <w:p w14:paraId="11E41DA8" w14:textId="77777777" w:rsidR="00146BF2" w:rsidRPr="00FD454B" w:rsidRDefault="00146BF2" w:rsidP="00146BF2">
      <w:pPr>
        <w:pStyle w:val="BodyTextMain"/>
        <w:rPr>
          <w:sz w:val="18"/>
          <w:szCs w:val="18"/>
          <w:lang w:val="en-GB"/>
        </w:rPr>
      </w:pPr>
    </w:p>
    <w:p w14:paraId="77526F93" w14:textId="77777777" w:rsidR="00146BF2" w:rsidRPr="000343FB" w:rsidRDefault="00146BF2" w:rsidP="00146BF2">
      <w:pPr>
        <w:pStyle w:val="Casehead1"/>
        <w:rPr>
          <w:lang w:val="en-GB"/>
        </w:rPr>
      </w:pPr>
      <w:r w:rsidRPr="000343FB">
        <w:rPr>
          <w:lang w:val="en-GB"/>
        </w:rPr>
        <w:t>MARKETING AT TDC</w:t>
      </w:r>
    </w:p>
    <w:p w14:paraId="308F476D" w14:textId="77777777" w:rsidR="00146BF2" w:rsidRPr="00FD454B" w:rsidRDefault="00146BF2" w:rsidP="00146BF2">
      <w:pPr>
        <w:pStyle w:val="BodyTextMain"/>
        <w:rPr>
          <w:sz w:val="18"/>
          <w:szCs w:val="18"/>
          <w:lang w:val="en-GB"/>
        </w:rPr>
      </w:pPr>
    </w:p>
    <w:p w14:paraId="03B3DF2B" w14:textId="477629C0" w:rsidR="00146BF2" w:rsidRPr="000343FB" w:rsidRDefault="00146BF2" w:rsidP="00146BF2">
      <w:pPr>
        <w:pStyle w:val="BodyTextMain"/>
        <w:rPr>
          <w:rFonts w:eastAsia="Calibri"/>
          <w:color w:val="000000"/>
          <w:lang w:val="en-GB"/>
        </w:rPr>
      </w:pPr>
      <w:r w:rsidRPr="000343FB">
        <w:rPr>
          <w:rFonts w:eastAsia="Calibri"/>
          <w:color w:val="000000"/>
          <w:lang w:val="en-GB"/>
        </w:rPr>
        <w:t>T</w:t>
      </w:r>
      <w:r w:rsidR="005A2E0E">
        <w:rPr>
          <w:rFonts w:eastAsia="Calibri"/>
          <w:color w:val="000000"/>
          <w:lang w:val="en-GB"/>
        </w:rPr>
        <w:t>DC</w:t>
      </w:r>
      <w:r w:rsidRPr="000343FB">
        <w:rPr>
          <w:rFonts w:eastAsia="Calibri"/>
          <w:color w:val="000000"/>
          <w:lang w:val="en-GB"/>
        </w:rPr>
        <w:t xml:space="preserve"> spent </w:t>
      </w:r>
      <w:r w:rsidR="005A2E0E" w:rsidRPr="007D7BA3">
        <w:rPr>
          <w:rFonts w:ascii="Arial" w:eastAsia="Calibri" w:hAnsi="Arial" w:cs="Arial"/>
          <w:color w:val="000000"/>
          <w:sz w:val="20"/>
          <w:szCs w:val="20"/>
          <w:lang w:val="en-GB"/>
        </w:rPr>
        <w:t>₹</w:t>
      </w:r>
      <w:r w:rsidRPr="000343FB">
        <w:rPr>
          <w:rFonts w:eastAsia="Calibri"/>
          <w:color w:val="000000"/>
          <w:lang w:val="en-GB"/>
        </w:rPr>
        <w:t xml:space="preserve">296.64 million </w:t>
      </w:r>
      <w:r w:rsidR="00E73603">
        <w:rPr>
          <w:rFonts w:eastAsia="Calibri"/>
          <w:color w:val="000000"/>
          <w:lang w:val="en-GB"/>
        </w:rPr>
        <w:t>on</w:t>
      </w:r>
      <w:r w:rsidRPr="000343FB">
        <w:rPr>
          <w:rFonts w:eastAsia="Calibri"/>
          <w:color w:val="000000"/>
          <w:lang w:val="en-GB"/>
        </w:rPr>
        <w:t xml:space="preserve"> marketing activities</w:t>
      </w:r>
      <w:r w:rsidR="00E73603">
        <w:rPr>
          <w:rFonts w:eastAsia="Calibri"/>
          <w:color w:val="000000"/>
          <w:lang w:val="en-GB"/>
        </w:rPr>
        <w:t>,</w:t>
      </w:r>
      <w:r w:rsidRPr="000343FB">
        <w:rPr>
          <w:rFonts w:eastAsia="Calibri"/>
          <w:color w:val="000000"/>
          <w:lang w:val="en-GB"/>
        </w:rPr>
        <w:t xml:space="preserve"> with major expenses on sales force, digital marketing, event sponsorship, and DJ sponsorship (</w:t>
      </w:r>
      <w:r w:rsidR="00E73603">
        <w:rPr>
          <w:rFonts w:eastAsia="Calibri"/>
          <w:color w:val="000000"/>
          <w:lang w:val="en-GB"/>
        </w:rPr>
        <w:t>see</w:t>
      </w:r>
      <w:r w:rsidRPr="000343FB">
        <w:rPr>
          <w:rFonts w:eastAsia="Calibri"/>
          <w:color w:val="000000"/>
          <w:lang w:val="en-GB"/>
        </w:rPr>
        <w:t xml:space="preserve"> Exhibit 4). In October 2016, Singh and his team s</w:t>
      </w:r>
      <w:r w:rsidR="00E73603">
        <w:rPr>
          <w:rFonts w:eastAsia="Calibri"/>
          <w:color w:val="000000"/>
          <w:lang w:val="en-GB"/>
        </w:rPr>
        <w:t>urveyed</w:t>
      </w:r>
      <w:r w:rsidRPr="000343FB">
        <w:rPr>
          <w:rFonts w:eastAsia="Calibri"/>
          <w:color w:val="000000"/>
          <w:lang w:val="en-GB"/>
        </w:rPr>
        <w:t xml:space="preserve"> 75 TDC customers </w:t>
      </w:r>
      <w:r w:rsidR="00E73603">
        <w:rPr>
          <w:rFonts w:eastAsia="Calibri"/>
          <w:color w:val="000000"/>
          <w:lang w:val="en-GB"/>
        </w:rPr>
        <w:t xml:space="preserve">on the </w:t>
      </w:r>
      <w:r w:rsidR="00E73603" w:rsidRPr="000343FB">
        <w:rPr>
          <w:rFonts w:eastAsia="Calibri"/>
          <w:color w:val="000000"/>
          <w:lang w:val="en-GB"/>
        </w:rPr>
        <w:t>perception of its brands</w:t>
      </w:r>
      <w:r w:rsidR="00E73603">
        <w:rPr>
          <w:rFonts w:eastAsia="Calibri"/>
          <w:color w:val="000000"/>
          <w:lang w:val="en-GB"/>
        </w:rPr>
        <w:t xml:space="preserve"> </w:t>
      </w:r>
      <w:r w:rsidRPr="000343FB">
        <w:rPr>
          <w:rFonts w:eastAsia="Calibri"/>
          <w:color w:val="000000"/>
          <w:lang w:val="en-GB"/>
        </w:rPr>
        <w:t xml:space="preserve">(see case Exhibit 5). </w:t>
      </w:r>
      <w:r w:rsidR="00E73603">
        <w:rPr>
          <w:rFonts w:eastAsia="Calibri"/>
          <w:color w:val="000000"/>
          <w:lang w:val="en-GB"/>
        </w:rPr>
        <w:t>The company then produced a</w:t>
      </w:r>
      <w:r w:rsidRPr="000343FB">
        <w:rPr>
          <w:rFonts w:eastAsia="Calibri"/>
          <w:color w:val="000000"/>
          <w:lang w:val="en-GB"/>
        </w:rPr>
        <w:t xml:space="preserve"> basic mapping </w:t>
      </w:r>
      <w:r w:rsidR="00E73603">
        <w:rPr>
          <w:rFonts w:eastAsia="Calibri"/>
          <w:color w:val="000000"/>
          <w:lang w:val="en-GB"/>
        </w:rPr>
        <w:t>study</w:t>
      </w:r>
      <w:r w:rsidRPr="000343FB">
        <w:rPr>
          <w:rFonts w:eastAsia="Calibri"/>
          <w:color w:val="000000"/>
          <w:lang w:val="en-GB"/>
        </w:rPr>
        <w:t xml:space="preserve"> using price and quality as the two parameters.  </w:t>
      </w:r>
    </w:p>
    <w:p w14:paraId="26851B70" w14:textId="77777777" w:rsidR="00146BF2" w:rsidRPr="00FD454B" w:rsidRDefault="00146BF2" w:rsidP="00146BF2">
      <w:pPr>
        <w:pStyle w:val="BodyTextMain"/>
        <w:rPr>
          <w:rFonts w:eastAsia="Calibri"/>
          <w:color w:val="000000"/>
          <w:sz w:val="16"/>
          <w:szCs w:val="16"/>
          <w:lang w:val="en-GB"/>
        </w:rPr>
      </w:pPr>
    </w:p>
    <w:p w14:paraId="5B7A4E9C" w14:textId="77777777" w:rsidR="00146BF2" w:rsidRPr="00FD454B" w:rsidRDefault="00146BF2" w:rsidP="00146BF2">
      <w:pPr>
        <w:pStyle w:val="BodyTextMain"/>
        <w:rPr>
          <w:rFonts w:eastAsia="Calibri"/>
          <w:color w:val="000000"/>
          <w:sz w:val="16"/>
          <w:szCs w:val="16"/>
          <w:lang w:val="en-GB"/>
        </w:rPr>
      </w:pPr>
    </w:p>
    <w:p w14:paraId="7E2695FA" w14:textId="77777777" w:rsidR="00146BF2" w:rsidRPr="000343FB" w:rsidRDefault="00146BF2" w:rsidP="00146BF2">
      <w:pPr>
        <w:pStyle w:val="Casehead2"/>
        <w:rPr>
          <w:lang w:val="en-GB"/>
        </w:rPr>
      </w:pPr>
      <w:r w:rsidRPr="000343FB">
        <w:rPr>
          <w:lang w:val="en-GB"/>
        </w:rPr>
        <w:t>Brands and Product Portfolio</w:t>
      </w:r>
    </w:p>
    <w:p w14:paraId="295499D3" w14:textId="77777777" w:rsidR="00146BF2" w:rsidRPr="00FD454B" w:rsidRDefault="00146BF2" w:rsidP="00146BF2">
      <w:pPr>
        <w:pStyle w:val="BodyTextMain"/>
        <w:rPr>
          <w:sz w:val="16"/>
          <w:szCs w:val="16"/>
          <w:lang w:val="en-GB"/>
        </w:rPr>
      </w:pPr>
    </w:p>
    <w:p w14:paraId="2D9DECD3" w14:textId="0EE905CE" w:rsidR="00146BF2" w:rsidRPr="000343FB" w:rsidRDefault="00146BF2" w:rsidP="00146BF2">
      <w:pPr>
        <w:pStyle w:val="BodyTextMain"/>
        <w:rPr>
          <w:lang w:val="en-GB"/>
        </w:rPr>
      </w:pPr>
      <w:r w:rsidRPr="000343FB">
        <w:rPr>
          <w:lang w:val="en-GB"/>
        </w:rPr>
        <w:t>According to Singh, “</w:t>
      </w:r>
      <w:r w:rsidR="00DD7AC5">
        <w:rPr>
          <w:lang w:val="en-GB"/>
        </w:rPr>
        <w:t>T</w:t>
      </w:r>
      <w:r w:rsidRPr="000343FB">
        <w:rPr>
          <w:lang w:val="en-GB"/>
        </w:rPr>
        <w:t>he various company owned brands of TDC are all well aligned with the company’s vision of 360-degree retail</w:t>
      </w:r>
      <w:r w:rsidR="00E73603">
        <w:rPr>
          <w:lang w:val="en-GB"/>
        </w:rPr>
        <w:t xml:space="preserve"> . . . </w:t>
      </w:r>
      <w:r w:rsidRPr="000343FB">
        <w:rPr>
          <w:lang w:val="en-GB"/>
        </w:rPr>
        <w:t xml:space="preserve">you will see our brands everywhere, we find TDC deep into music, dance and movies.” The </w:t>
      </w:r>
      <w:r w:rsidR="00DE31B8">
        <w:rPr>
          <w:lang w:val="en-GB"/>
        </w:rPr>
        <w:t xml:space="preserve">TDC </w:t>
      </w:r>
      <w:r w:rsidRPr="000343FB">
        <w:rPr>
          <w:lang w:val="en-GB"/>
        </w:rPr>
        <w:t>clothing fashion brand offer</w:t>
      </w:r>
      <w:r w:rsidR="00E73603">
        <w:rPr>
          <w:lang w:val="en-GB"/>
        </w:rPr>
        <w:t>ed</w:t>
      </w:r>
      <w:r w:rsidRPr="000343FB">
        <w:rPr>
          <w:lang w:val="en-GB"/>
        </w:rPr>
        <w:t xml:space="preserve"> a </w:t>
      </w:r>
      <w:r w:rsidR="00E73603">
        <w:rPr>
          <w:lang w:val="en-GB"/>
        </w:rPr>
        <w:t xml:space="preserve">wide </w:t>
      </w:r>
      <w:r w:rsidRPr="000343FB">
        <w:rPr>
          <w:lang w:val="en-GB"/>
        </w:rPr>
        <w:t>range of apparel</w:t>
      </w:r>
      <w:r w:rsidR="00E73603">
        <w:rPr>
          <w:lang w:val="en-GB"/>
        </w:rPr>
        <w:t xml:space="preserve">, including </w:t>
      </w:r>
      <w:r w:rsidR="00DD7AC5">
        <w:rPr>
          <w:lang w:val="en-GB"/>
        </w:rPr>
        <w:t>T-</w:t>
      </w:r>
      <w:r w:rsidRPr="000343FB">
        <w:rPr>
          <w:lang w:val="en-GB"/>
        </w:rPr>
        <w:t>shirts</w:t>
      </w:r>
      <w:r w:rsidR="00E73603">
        <w:rPr>
          <w:lang w:val="en-GB"/>
        </w:rPr>
        <w:t>,</w:t>
      </w:r>
      <w:r w:rsidRPr="000343FB">
        <w:rPr>
          <w:lang w:val="en-GB"/>
        </w:rPr>
        <w:t xml:space="preserve"> vests, shirts, joggers, sweatshirts, shorts, long capes, hoodies, sweatpants</w:t>
      </w:r>
      <w:r w:rsidR="00E73603">
        <w:rPr>
          <w:lang w:val="en-GB"/>
        </w:rPr>
        <w:t>,</w:t>
      </w:r>
      <w:r w:rsidRPr="000343FB">
        <w:rPr>
          <w:lang w:val="en-GB"/>
        </w:rPr>
        <w:t xml:space="preserve"> sneakers</w:t>
      </w:r>
      <w:r w:rsidR="00E73603">
        <w:rPr>
          <w:lang w:val="en-GB"/>
        </w:rPr>
        <w:t>,</w:t>
      </w:r>
      <w:r w:rsidRPr="000343FB">
        <w:rPr>
          <w:lang w:val="en-GB"/>
        </w:rPr>
        <w:t xml:space="preserve"> and </w:t>
      </w:r>
      <w:r w:rsidR="00E73603">
        <w:rPr>
          <w:lang w:val="en-GB"/>
        </w:rPr>
        <w:t>light-emitting diode (</w:t>
      </w:r>
      <w:r w:rsidRPr="000343FB">
        <w:rPr>
          <w:lang w:val="en-GB"/>
        </w:rPr>
        <w:t>LED</w:t>
      </w:r>
      <w:r w:rsidR="00E73603">
        <w:rPr>
          <w:lang w:val="en-GB"/>
        </w:rPr>
        <w:t>)</w:t>
      </w:r>
      <w:r w:rsidRPr="000343FB">
        <w:rPr>
          <w:lang w:val="en-GB"/>
        </w:rPr>
        <w:t xml:space="preserve"> shoes. It </w:t>
      </w:r>
      <w:r w:rsidR="00E73603">
        <w:rPr>
          <w:lang w:val="en-GB"/>
        </w:rPr>
        <w:t>wa</w:t>
      </w:r>
      <w:r w:rsidRPr="000343FB">
        <w:rPr>
          <w:lang w:val="en-GB"/>
        </w:rPr>
        <w:t>s positioned as a super-premium brand</w:t>
      </w:r>
      <w:r w:rsidR="00E73603">
        <w:rPr>
          <w:lang w:val="en-GB"/>
        </w:rPr>
        <w:t>,</w:t>
      </w:r>
      <w:r w:rsidRPr="000343FB">
        <w:rPr>
          <w:lang w:val="en-GB"/>
        </w:rPr>
        <w:t xml:space="preserve"> categorized as party wear, lounge wear</w:t>
      </w:r>
      <w:r w:rsidR="00E73603">
        <w:rPr>
          <w:lang w:val="en-GB"/>
        </w:rPr>
        <w:t>,</w:t>
      </w:r>
      <w:r w:rsidRPr="000343FB">
        <w:rPr>
          <w:lang w:val="en-GB"/>
        </w:rPr>
        <w:t xml:space="preserve"> or simply relaxed wear</w:t>
      </w:r>
      <w:r w:rsidR="00E73603">
        <w:rPr>
          <w:lang w:val="en-GB"/>
        </w:rPr>
        <w:t>,</w:t>
      </w:r>
      <w:r w:rsidRPr="000343FB">
        <w:rPr>
          <w:lang w:val="en-GB"/>
        </w:rPr>
        <w:t xml:space="preserve"> but definitely not “street wear.” TDC footwear included high ankle shoes, gold lace shoes, LED shoes, studded shoes, joggers, and classic gold shoes, among other dance music inspired footwear. Priced between </w:t>
      </w:r>
      <w:r w:rsidR="00D34D1F" w:rsidRPr="00260240">
        <w:rPr>
          <w:rFonts w:ascii="Arial" w:eastAsia="Arial Unicode MS" w:hAnsi="Arial" w:cs="Arial"/>
          <w:sz w:val="20"/>
          <w:szCs w:val="20"/>
          <w:lang w:val="en-GB"/>
        </w:rPr>
        <w:t>₹</w:t>
      </w:r>
      <w:r w:rsidRPr="000343FB">
        <w:rPr>
          <w:lang w:val="en-GB"/>
        </w:rPr>
        <w:t xml:space="preserve">1,999 </w:t>
      </w:r>
      <w:r w:rsidR="00E73603">
        <w:rPr>
          <w:lang w:val="en-GB"/>
        </w:rPr>
        <w:t>and</w:t>
      </w:r>
      <w:r w:rsidRPr="000343FB">
        <w:rPr>
          <w:lang w:val="en-GB"/>
        </w:rPr>
        <w:t xml:space="preserve"> </w:t>
      </w:r>
      <w:r w:rsidR="00D34D1F" w:rsidRPr="00260240">
        <w:rPr>
          <w:rFonts w:ascii="Arial" w:eastAsia="Arial Unicode MS" w:hAnsi="Arial" w:cs="Arial"/>
          <w:sz w:val="20"/>
          <w:szCs w:val="20"/>
          <w:lang w:val="en-GB"/>
        </w:rPr>
        <w:t>₹</w:t>
      </w:r>
      <w:r w:rsidRPr="000343FB">
        <w:rPr>
          <w:lang w:val="en-GB"/>
        </w:rPr>
        <w:t>3,999, TDC footwear truly captured the spirit of hip</w:t>
      </w:r>
      <w:r w:rsidR="00901F18">
        <w:rPr>
          <w:lang w:val="en-GB"/>
        </w:rPr>
        <w:t xml:space="preserve"> </w:t>
      </w:r>
      <w:r w:rsidRPr="000343FB">
        <w:rPr>
          <w:lang w:val="en-GB"/>
        </w:rPr>
        <w:t>hop and EDM with its colo</w:t>
      </w:r>
      <w:r w:rsidR="002F69F4">
        <w:rPr>
          <w:lang w:val="en-GB"/>
        </w:rPr>
        <w:t>u</w:t>
      </w:r>
      <w:r w:rsidRPr="000343FB">
        <w:rPr>
          <w:lang w:val="en-GB"/>
        </w:rPr>
        <w:t xml:space="preserve">r schemes, design elements, and material type. Singh often claimed, “If it’s the EDM spirit you want to feel, you’ve got to slip into TDC shoes and turn up the music to </w:t>
      </w:r>
      <w:r w:rsidR="002F69F4">
        <w:rPr>
          <w:lang w:val="en-GB"/>
        </w:rPr>
        <w:t>‘</w:t>
      </w:r>
      <w:r w:rsidRPr="000343FB">
        <w:rPr>
          <w:lang w:val="en-GB"/>
        </w:rPr>
        <w:t>are-you-crazy?</w:t>
      </w:r>
      <w:r w:rsidR="002F69F4">
        <w:rPr>
          <w:lang w:val="en-GB"/>
        </w:rPr>
        <w:t>’</w:t>
      </w:r>
      <w:r w:rsidRPr="000343FB">
        <w:rPr>
          <w:lang w:val="en-GB"/>
        </w:rPr>
        <w:t xml:space="preserve"> levels!” </w:t>
      </w:r>
    </w:p>
    <w:p w14:paraId="1E9324D5" w14:textId="77777777" w:rsidR="00146BF2" w:rsidRPr="00FD454B" w:rsidRDefault="00146BF2" w:rsidP="00146BF2">
      <w:pPr>
        <w:pStyle w:val="BodyTextMain"/>
        <w:rPr>
          <w:sz w:val="16"/>
          <w:szCs w:val="16"/>
          <w:lang w:val="en-GB"/>
        </w:rPr>
      </w:pPr>
    </w:p>
    <w:p w14:paraId="0DF8D27A" w14:textId="56E4C662" w:rsidR="00146BF2" w:rsidRDefault="00146BF2" w:rsidP="00146BF2">
      <w:pPr>
        <w:pStyle w:val="BodyTextMain"/>
        <w:rPr>
          <w:rFonts w:eastAsia="Calibri"/>
          <w:lang w:val="en-GB"/>
        </w:rPr>
      </w:pPr>
      <w:r w:rsidRPr="000343FB">
        <w:rPr>
          <w:lang w:val="en-GB"/>
        </w:rPr>
        <w:t xml:space="preserve">Under the </w:t>
      </w:r>
      <w:proofErr w:type="spellStart"/>
      <w:r w:rsidRPr="000343FB">
        <w:rPr>
          <w:lang w:val="en-GB"/>
        </w:rPr>
        <w:t>Fieldgear</w:t>
      </w:r>
      <w:proofErr w:type="spellEnd"/>
      <w:r w:rsidRPr="000343FB">
        <w:rPr>
          <w:lang w:val="en-GB"/>
        </w:rPr>
        <w:t xml:space="preserve"> brand name, there were four product categories</w:t>
      </w:r>
      <w:r w:rsidR="00613D7D">
        <w:rPr>
          <w:lang w:val="en-GB"/>
        </w:rPr>
        <w:t>:</w:t>
      </w:r>
      <w:r w:rsidRPr="000343FB">
        <w:rPr>
          <w:lang w:val="en-GB"/>
        </w:rPr>
        <w:t xml:space="preserve"> apparel, footwear, equipment</w:t>
      </w:r>
      <w:r w:rsidR="00613D7D">
        <w:rPr>
          <w:lang w:val="en-GB"/>
        </w:rPr>
        <w:t>,</w:t>
      </w:r>
      <w:r w:rsidRPr="000343FB">
        <w:rPr>
          <w:lang w:val="en-GB"/>
        </w:rPr>
        <w:t xml:space="preserve"> and accessories. According to Singh, </w:t>
      </w:r>
      <w:r w:rsidR="0002226B">
        <w:rPr>
          <w:lang w:val="en-GB"/>
        </w:rPr>
        <w:t xml:space="preserve">the </w:t>
      </w:r>
      <w:proofErr w:type="spellStart"/>
      <w:r w:rsidR="0002226B" w:rsidRPr="000343FB">
        <w:rPr>
          <w:lang w:val="en-GB"/>
        </w:rPr>
        <w:t>Fieldgear</w:t>
      </w:r>
      <w:proofErr w:type="spellEnd"/>
      <w:r w:rsidR="0002226B" w:rsidRPr="000343FB">
        <w:rPr>
          <w:lang w:val="en-GB"/>
        </w:rPr>
        <w:t xml:space="preserve"> brand</w:t>
      </w:r>
      <w:r w:rsidR="0002226B">
        <w:rPr>
          <w:lang w:val="en-GB"/>
        </w:rPr>
        <w:t xml:space="preserve"> was </w:t>
      </w:r>
      <w:r w:rsidRPr="000343FB">
        <w:rPr>
          <w:lang w:val="en-GB"/>
        </w:rPr>
        <w:t xml:space="preserve">positioned as </w:t>
      </w:r>
      <w:r w:rsidR="003F1CB6">
        <w:rPr>
          <w:lang w:val="en-GB"/>
        </w:rPr>
        <w:t>“</w:t>
      </w:r>
      <w:r w:rsidRPr="000343FB">
        <w:rPr>
          <w:lang w:val="en-GB"/>
        </w:rPr>
        <w:t xml:space="preserve">fair price technical sports performance wear.” The equipment category </w:t>
      </w:r>
      <w:r w:rsidR="003F1CB6">
        <w:rPr>
          <w:lang w:val="en-GB"/>
        </w:rPr>
        <w:t>featured</w:t>
      </w:r>
      <w:r w:rsidRPr="000343FB">
        <w:rPr>
          <w:lang w:val="en-GB"/>
        </w:rPr>
        <w:t xml:space="preserve"> </w:t>
      </w:r>
      <w:r w:rsidRPr="000343FB">
        <w:rPr>
          <w:rFonts w:eastAsia="Calibri"/>
          <w:lang w:val="en-GB"/>
        </w:rPr>
        <w:t xml:space="preserve">helmets, gloves, cricket bats, treadmills, and gym cycles. The site </w:t>
      </w:r>
      <w:r w:rsidR="0002226B">
        <w:rPr>
          <w:rFonts w:eastAsia="Calibri"/>
          <w:lang w:val="en-GB"/>
        </w:rPr>
        <w:t>was launched in</w:t>
      </w:r>
      <w:r w:rsidRPr="000343FB">
        <w:rPr>
          <w:rFonts w:eastAsia="Calibri"/>
          <w:lang w:val="en-GB"/>
        </w:rPr>
        <w:t xml:space="preserve"> April 2017. </w:t>
      </w:r>
      <w:proofErr w:type="spellStart"/>
      <w:r w:rsidRPr="000343FB">
        <w:rPr>
          <w:rFonts w:eastAsia="Calibri"/>
          <w:lang w:val="en-GB"/>
        </w:rPr>
        <w:t>Fieldgear</w:t>
      </w:r>
      <w:proofErr w:type="spellEnd"/>
      <w:r w:rsidRPr="000343FB">
        <w:rPr>
          <w:rFonts w:eastAsia="Calibri"/>
          <w:lang w:val="en-GB"/>
        </w:rPr>
        <w:t xml:space="preserve"> had entered the sports apparel business in India by becoming</w:t>
      </w:r>
      <w:r w:rsidR="0002226B">
        <w:rPr>
          <w:rFonts w:eastAsia="Calibri"/>
          <w:lang w:val="en-GB"/>
        </w:rPr>
        <w:t xml:space="preserve"> the</w:t>
      </w:r>
      <w:r w:rsidRPr="000343FB">
        <w:rPr>
          <w:rFonts w:eastAsia="Calibri"/>
          <w:lang w:val="en-GB"/>
        </w:rPr>
        <w:t xml:space="preserve"> official kit supplier to many sports federations and leagues in India</w:t>
      </w:r>
      <w:r w:rsidR="00DE31B8">
        <w:rPr>
          <w:rFonts w:eastAsia="Calibri"/>
          <w:lang w:val="en-GB"/>
        </w:rPr>
        <w:t>, including</w:t>
      </w:r>
      <w:r w:rsidRPr="000343FB">
        <w:rPr>
          <w:rFonts w:eastAsia="Calibri"/>
          <w:lang w:val="en-GB"/>
        </w:rPr>
        <w:t xml:space="preserve"> the </w:t>
      </w:r>
      <w:r w:rsidR="00DE31B8">
        <w:rPr>
          <w:rFonts w:eastAsia="Calibri"/>
          <w:lang w:val="en-GB"/>
        </w:rPr>
        <w:t>Pro</w:t>
      </w:r>
      <w:r w:rsidRPr="000343FB">
        <w:rPr>
          <w:rFonts w:eastAsia="Calibri"/>
          <w:lang w:val="en-GB"/>
        </w:rPr>
        <w:t xml:space="preserve"> Kabaddi League,</w:t>
      </w:r>
      <w:r w:rsidRPr="000343FB">
        <w:rPr>
          <w:rFonts w:eastAsia="Calibri"/>
          <w:vertAlign w:val="superscript"/>
          <w:lang w:val="en-GB"/>
        </w:rPr>
        <w:endnoteReference w:id="29"/>
      </w:r>
      <w:r w:rsidRPr="000343FB">
        <w:rPr>
          <w:rFonts w:eastAsia="Calibri"/>
          <w:lang w:val="en-GB"/>
        </w:rPr>
        <w:t xml:space="preserve"> </w:t>
      </w:r>
      <w:r w:rsidR="003F1CB6">
        <w:rPr>
          <w:rFonts w:eastAsia="Calibri"/>
          <w:lang w:val="en-GB"/>
        </w:rPr>
        <w:t xml:space="preserve">the </w:t>
      </w:r>
      <w:r w:rsidRPr="000343FB">
        <w:rPr>
          <w:rFonts w:eastAsia="Calibri"/>
          <w:lang w:val="en-GB"/>
        </w:rPr>
        <w:t>Hockey India League,</w:t>
      </w:r>
      <w:r w:rsidRPr="000343FB">
        <w:rPr>
          <w:rFonts w:eastAsia="Calibri"/>
          <w:vertAlign w:val="superscript"/>
          <w:lang w:val="en-GB"/>
        </w:rPr>
        <w:endnoteReference w:id="30"/>
      </w:r>
      <w:r w:rsidRPr="000343FB">
        <w:rPr>
          <w:rFonts w:eastAsia="Calibri"/>
          <w:lang w:val="en-GB"/>
        </w:rPr>
        <w:t xml:space="preserve"> and </w:t>
      </w:r>
      <w:r w:rsidR="003F1CB6">
        <w:rPr>
          <w:rFonts w:eastAsia="Calibri"/>
          <w:lang w:val="en-GB"/>
        </w:rPr>
        <w:t xml:space="preserve">the </w:t>
      </w:r>
      <w:r w:rsidRPr="000343FB">
        <w:rPr>
          <w:rFonts w:eastAsia="Calibri"/>
          <w:lang w:val="en-GB"/>
        </w:rPr>
        <w:t>Premier F</w:t>
      </w:r>
      <w:r w:rsidR="00DE31B8">
        <w:rPr>
          <w:rFonts w:eastAsia="Calibri"/>
          <w:lang w:val="en-GB"/>
        </w:rPr>
        <w:t>u</w:t>
      </w:r>
      <w:r w:rsidRPr="000343FB">
        <w:rPr>
          <w:rFonts w:eastAsia="Calibri"/>
          <w:lang w:val="en-GB"/>
        </w:rPr>
        <w:t xml:space="preserve">tsal </w:t>
      </w:r>
      <w:r w:rsidR="00DE31B8">
        <w:rPr>
          <w:rFonts w:eastAsia="Calibri"/>
          <w:lang w:val="en-GB"/>
        </w:rPr>
        <w:t>l</w:t>
      </w:r>
      <w:r w:rsidRPr="000343FB">
        <w:rPr>
          <w:rFonts w:eastAsia="Calibri"/>
          <w:lang w:val="en-GB"/>
        </w:rPr>
        <w:t>eague.</w:t>
      </w:r>
      <w:r w:rsidRPr="000343FB">
        <w:rPr>
          <w:rFonts w:eastAsia="Calibri"/>
          <w:vertAlign w:val="superscript"/>
          <w:lang w:val="en-GB"/>
        </w:rPr>
        <w:endnoteReference w:id="31"/>
      </w:r>
      <w:r w:rsidRPr="000343FB">
        <w:rPr>
          <w:rFonts w:eastAsia="Calibri"/>
          <w:lang w:val="en-GB"/>
        </w:rPr>
        <w:t xml:space="preserve"> </w:t>
      </w:r>
    </w:p>
    <w:p w14:paraId="59AEEA48" w14:textId="77777777" w:rsidR="00B45236" w:rsidRPr="00FD454B" w:rsidRDefault="00B45236" w:rsidP="00146BF2">
      <w:pPr>
        <w:pStyle w:val="BodyTextMain"/>
        <w:rPr>
          <w:rFonts w:eastAsia="Calibri"/>
          <w:sz w:val="16"/>
          <w:szCs w:val="16"/>
          <w:lang w:val="en-GB"/>
        </w:rPr>
      </w:pPr>
    </w:p>
    <w:p w14:paraId="6A9C37AE" w14:textId="67BCF532" w:rsidR="00146BF2" w:rsidRDefault="00146BF2" w:rsidP="00146BF2">
      <w:pPr>
        <w:pStyle w:val="BodyTextMain"/>
        <w:rPr>
          <w:lang w:val="en-GB"/>
        </w:rPr>
      </w:pPr>
      <w:proofErr w:type="spellStart"/>
      <w:r w:rsidRPr="000343FB">
        <w:rPr>
          <w:rFonts w:eastAsia="Calibri"/>
          <w:lang w:val="en-GB"/>
        </w:rPr>
        <w:t>Koolho</w:t>
      </w:r>
      <w:proofErr w:type="spellEnd"/>
      <w:r w:rsidRPr="000343FB">
        <w:rPr>
          <w:rFonts w:eastAsia="Calibri"/>
          <w:lang w:val="en-GB"/>
        </w:rPr>
        <w:t xml:space="preserve"> was a brand conceived by Singh to offer an ambitiously good quality product, “as good as a Louis Philippe</w:t>
      </w:r>
      <w:r w:rsidRPr="000343FB">
        <w:rPr>
          <w:rFonts w:eastAsia="Calibri"/>
          <w:vertAlign w:val="superscript"/>
          <w:lang w:val="en-GB"/>
        </w:rPr>
        <w:endnoteReference w:id="32"/>
      </w:r>
      <w:r w:rsidRPr="000343FB">
        <w:rPr>
          <w:rFonts w:eastAsia="Calibri"/>
          <w:lang w:val="en-GB"/>
        </w:rPr>
        <w:t xml:space="preserve"> but at unbeatably amazing prices.” He proposed to do </w:t>
      </w:r>
      <w:r w:rsidR="00DD7AC5">
        <w:rPr>
          <w:rFonts w:eastAsia="Calibri"/>
          <w:lang w:val="en-GB"/>
        </w:rPr>
        <w:t>this</w:t>
      </w:r>
      <w:r w:rsidRPr="000343FB">
        <w:rPr>
          <w:rFonts w:eastAsia="Calibri"/>
          <w:lang w:val="en-GB"/>
        </w:rPr>
        <w:t xml:space="preserve"> by selling </w:t>
      </w:r>
      <w:proofErr w:type="spellStart"/>
      <w:r w:rsidRPr="000343FB">
        <w:rPr>
          <w:rFonts w:eastAsia="Calibri"/>
          <w:lang w:val="en-GB"/>
        </w:rPr>
        <w:t>Koolho</w:t>
      </w:r>
      <w:proofErr w:type="spellEnd"/>
      <w:r w:rsidRPr="000343FB">
        <w:rPr>
          <w:rFonts w:eastAsia="Calibri"/>
          <w:lang w:val="en-GB"/>
        </w:rPr>
        <w:t xml:space="preserve"> products at a </w:t>
      </w:r>
      <w:r w:rsidR="00FA134A">
        <w:rPr>
          <w:rFonts w:eastAsia="Calibri"/>
          <w:lang w:val="en-GB"/>
        </w:rPr>
        <w:t xml:space="preserve">pricing </w:t>
      </w:r>
      <w:r w:rsidRPr="000343FB">
        <w:rPr>
          <w:rFonts w:eastAsia="Calibri"/>
          <w:lang w:val="en-GB"/>
        </w:rPr>
        <w:t xml:space="preserve">multiple far lower than what the big brands employed (usually </w:t>
      </w:r>
      <w:r w:rsidR="00DD7AC5">
        <w:rPr>
          <w:rFonts w:eastAsia="Calibri"/>
          <w:lang w:val="en-GB"/>
        </w:rPr>
        <w:t>four</w:t>
      </w:r>
      <w:r w:rsidRPr="000343FB">
        <w:rPr>
          <w:rFonts w:eastAsia="Calibri"/>
          <w:lang w:val="en-GB"/>
        </w:rPr>
        <w:t xml:space="preserve"> to </w:t>
      </w:r>
      <w:r w:rsidR="00DD7AC5">
        <w:rPr>
          <w:rFonts w:eastAsia="Calibri"/>
          <w:lang w:val="en-GB"/>
        </w:rPr>
        <w:t>five</w:t>
      </w:r>
      <w:r w:rsidRPr="000343FB">
        <w:rPr>
          <w:rFonts w:eastAsia="Calibri"/>
          <w:lang w:val="en-GB"/>
        </w:rPr>
        <w:t xml:space="preserve"> times the cost of goods sold).</w:t>
      </w:r>
      <w:r w:rsidRPr="000343FB">
        <w:rPr>
          <w:lang w:val="en-GB"/>
        </w:rPr>
        <w:t xml:space="preserve"> The driving value proposition for </w:t>
      </w:r>
      <w:proofErr w:type="spellStart"/>
      <w:r w:rsidRPr="000343FB">
        <w:rPr>
          <w:lang w:val="en-GB"/>
        </w:rPr>
        <w:t>Koolho</w:t>
      </w:r>
      <w:proofErr w:type="spellEnd"/>
      <w:r w:rsidRPr="000343FB">
        <w:rPr>
          <w:lang w:val="en-GB"/>
        </w:rPr>
        <w:t>, as stated by Singh</w:t>
      </w:r>
      <w:r w:rsidR="00DD7AC5">
        <w:rPr>
          <w:lang w:val="en-GB"/>
        </w:rPr>
        <w:t>,</w:t>
      </w:r>
      <w:r w:rsidRPr="000343FB">
        <w:rPr>
          <w:lang w:val="en-GB"/>
        </w:rPr>
        <w:t xml:space="preserve"> was</w:t>
      </w:r>
      <w:r w:rsidR="00FA134A">
        <w:rPr>
          <w:lang w:val="en-GB"/>
        </w:rPr>
        <w:t xml:space="preserve"> captured </w:t>
      </w:r>
      <w:r w:rsidR="002F69F4">
        <w:rPr>
          <w:lang w:val="en-GB"/>
        </w:rPr>
        <w:t>by</w:t>
      </w:r>
      <w:r w:rsidR="00FA134A">
        <w:rPr>
          <w:lang w:val="en-GB"/>
        </w:rPr>
        <w:t xml:space="preserve"> the Indian phrase</w:t>
      </w:r>
      <w:r w:rsidRPr="000343FB">
        <w:rPr>
          <w:lang w:val="en-GB"/>
        </w:rPr>
        <w:t xml:space="preserve"> “</w:t>
      </w:r>
      <w:proofErr w:type="spellStart"/>
      <w:r w:rsidRPr="000343FB">
        <w:rPr>
          <w:i/>
          <w:lang w:val="en-GB"/>
        </w:rPr>
        <w:t>isse</w:t>
      </w:r>
      <w:proofErr w:type="spellEnd"/>
      <w:r w:rsidRPr="000343FB">
        <w:rPr>
          <w:i/>
          <w:lang w:val="en-GB"/>
        </w:rPr>
        <w:t xml:space="preserve"> </w:t>
      </w:r>
      <w:proofErr w:type="spellStart"/>
      <w:r w:rsidRPr="000343FB">
        <w:rPr>
          <w:i/>
          <w:lang w:val="en-GB"/>
        </w:rPr>
        <w:t>sasta</w:t>
      </w:r>
      <w:proofErr w:type="spellEnd"/>
      <w:r w:rsidRPr="000343FB">
        <w:rPr>
          <w:i/>
          <w:lang w:val="en-GB"/>
        </w:rPr>
        <w:t xml:space="preserve"> </w:t>
      </w:r>
      <w:proofErr w:type="spellStart"/>
      <w:r w:rsidRPr="000343FB">
        <w:rPr>
          <w:i/>
          <w:lang w:val="en-GB"/>
        </w:rPr>
        <w:t>aur</w:t>
      </w:r>
      <w:proofErr w:type="spellEnd"/>
      <w:r w:rsidRPr="000343FB">
        <w:rPr>
          <w:i/>
          <w:lang w:val="en-GB"/>
        </w:rPr>
        <w:t xml:space="preserve"> </w:t>
      </w:r>
      <w:proofErr w:type="spellStart"/>
      <w:r w:rsidRPr="000343FB">
        <w:rPr>
          <w:i/>
          <w:lang w:val="en-GB"/>
        </w:rPr>
        <w:t>achcha</w:t>
      </w:r>
      <w:proofErr w:type="spellEnd"/>
      <w:r w:rsidRPr="000343FB">
        <w:rPr>
          <w:i/>
          <w:lang w:val="en-GB"/>
        </w:rPr>
        <w:t xml:space="preserve"> </w:t>
      </w:r>
      <w:proofErr w:type="spellStart"/>
      <w:r w:rsidRPr="000343FB">
        <w:rPr>
          <w:i/>
          <w:lang w:val="en-GB"/>
        </w:rPr>
        <w:t>kahan</w:t>
      </w:r>
      <w:proofErr w:type="spellEnd"/>
      <w:r w:rsidRPr="007D7BA3">
        <w:rPr>
          <w:lang w:val="en-GB"/>
        </w:rPr>
        <w:t>?”</w:t>
      </w:r>
      <w:r w:rsidRPr="000343FB">
        <w:rPr>
          <w:lang w:val="en-GB"/>
        </w:rPr>
        <w:t xml:space="preserve"> (</w:t>
      </w:r>
      <w:proofErr w:type="gramStart"/>
      <w:r w:rsidRPr="000343FB">
        <w:rPr>
          <w:lang w:val="en-GB"/>
        </w:rPr>
        <w:t>where</w:t>
      </w:r>
      <w:proofErr w:type="gramEnd"/>
      <w:r w:rsidRPr="000343FB">
        <w:rPr>
          <w:lang w:val="en-GB"/>
        </w:rPr>
        <w:t xml:space="preserve"> can you get it cheaper and better?)</w:t>
      </w:r>
      <w:r w:rsidR="00FA134A">
        <w:rPr>
          <w:lang w:val="en-GB"/>
        </w:rPr>
        <w:t>.</w:t>
      </w:r>
      <w:r w:rsidRPr="000343FB">
        <w:rPr>
          <w:lang w:val="en-GB"/>
        </w:rPr>
        <w:t xml:space="preserve"> </w:t>
      </w:r>
      <w:r w:rsidR="00FA134A">
        <w:rPr>
          <w:lang w:val="en-GB"/>
        </w:rPr>
        <w:t xml:space="preserve">Singh’s goal was </w:t>
      </w:r>
      <w:r w:rsidRPr="000343FB">
        <w:rPr>
          <w:lang w:val="en-GB"/>
        </w:rPr>
        <w:t xml:space="preserve">to offer “good quality products at very good prices.” </w:t>
      </w:r>
    </w:p>
    <w:p w14:paraId="7C59AAFD" w14:textId="77777777" w:rsidR="00270B29" w:rsidRPr="000343FB" w:rsidRDefault="00270B29" w:rsidP="00146BF2">
      <w:pPr>
        <w:pStyle w:val="BodyTextMain"/>
        <w:rPr>
          <w:lang w:val="en-GB"/>
        </w:rPr>
      </w:pPr>
    </w:p>
    <w:p w14:paraId="56577635" w14:textId="374DDB0F" w:rsidR="00146BF2" w:rsidRPr="000343FB" w:rsidRDefault="00146BF2" w:rsidP="00146BF2">
      <w:pPr>
        <w:pStyle w:val="BodyTextMain"/>
        <w:rPr>
          <w:lang w:val="en-GB"/>
        </w:rPr>
      </w:pPr>
      <w:proofErr w:type="spellStart"/>
      <w:r w:rsidRPr="000343FB">
        <w:rPr>
          <w:lang w:val="en-GB"/>
        </w:rPr>
        <w:t>Tiktauli</w:t>
      </w:r>
      <w:proofErr w:type="spellEnd"/>
      <w:r w:rsidRPr="000343FB">
        <w:rPr>
          <w:lang w:val="en-GB"/>
        </w:rPr>
        <w:t xml:space="preserve"> Air, the music channel, was Singh’s brand pinnacle</w:t>
      </w:r>
      <w:r w:rsidR="009054BD">
        <w:rPr>
          <w:lang w:val="en-GB"/>
        </w:rPr>
        <w:t>,</w:t>
      </w:r>
      <w:r w:rsidRPr="000343FB">
        <w:rPr>
          <w:lang w:val="en-GB"/>
        </w:rPr>
        <w:t xml:space="preserve"> where it would “all come together.” The apparel, the footwear, the </w:t>
      </w:r>
      <w:proofErr w:type="spellStart"/>
      <w:r w:rsidRPr="000343FB">
        <w:rPr>
          <w:lang w:val="en-GB"/>
        </w:rPr>
        <w:t>Fieldgear</w:t>
      </w:r>
      <w:proofErr w:type="spellEnd"/>
      <w:r w:rsidR="009054BD">
        <w:rPr>
          <w:lang w:val="en-GB"/>
        </w:rPr>
        <w:t xml:space="preserve"> products,</w:t>
      </w:r>
      <w:r w:rsidRPr="000343FB">
        <w:rPr>
          <w:lang w:val="en-GB"/>
        </w:rPr>
        <w:t xml:space="preserve"> and the music would make a heady mix. The interactive music radio channel would </w:t>
      </w:r>
      <w:r w:rsidR="001D61C9">
        <w:rPr>
          <w:lang w:val="en-GB"/>
        </w:rPr>
        <w:t>connect</w:t>
      </w:r>
      <w:r w:rsidRPr="000343FB">
        <w:rPr>
          <w:lang w:val="en-GB"/>
        </w:rPr>
        <w:t xml:space="preserve"> millions of TDC’s followers</w:t>
      </w:r>
      <w:r w:rsidR="001D61C9">
        <w:rPr>
          <w:lang w:val="en-GB"/>
        </w:rPr>
        <w:t xml:space="preserve"> with</w:t>
      </w:r>
      <w:r w:rsidRPr="000343FB">
        <w:rPr>
          <w:lang w:val="en-GB"/>
        </w:rPr>
        <w:t xml:space="preserve"> 50 EDM DJs </w:t>
      </w:r>
      <w:r w:rsidR="001D61C9">
        <w:rPr>
          <w:lang w:val="en-GB"/>
        </w:rPr>
        <w:t xml:space="preserve">across the </w:t>
      </w:r>
      <w:r w:rsidRPr="000343FB">
        <w:rPr>
          <w:lang w:val="en-GB"/>
        </w:rPr>
        <w:t>world</w:t>
      </w:r>
      <w:r w:rsidR="001D61C9">
        <w:rPr>
          <w:lang w:val="en-GB"/>
        </w:rPr>
        <w:t>, each of</w:t>
      </w:r>
      <w:r w:rsidRPr="000343FB">
        <w:rPr>
          <w:lang w:val="en-GB"/>
        </w:rPr>
        <w:t xml:space="preserve"> who</w:t>
      </w:r>
      <w:r w:rsidR="001D61C9">
        <w:rPr>
          <w:lang w:val="en-GB"/>
        </w:rPr>
        <w:t>m</w:t>
      </w:r>
      <w:r w:rsidRPr="000343FB">
        <w:rPr>
          <w:lang w:val="en-GB"/>
        </w:rPr>
        <w:t xml:space="preserve"> endorsed the </w:t>
      </w:r>
      <w:proofErr w:type="spellStart"/>
      <w:r w:rsidRPr="000343FB">
        <w:rPr>
          <w:lang w:val="en-GB"/>
        </w:rPr>
        <w:t>Tiktauli</w:t>
      </w:r>
      <w:proofErr w:type="spellEnd"/>
      <w:r w:rsidRPr="000343FB">
        <w:rPr>
          <w:lang w:val="en-GB"/>
        </w:rPr>
        <w:t xml:space="preserve"> brand. The business arrangement was simple</w:t>
      </w:r>
      <w:r w:rsidR="00DD7AC5">
        <w:rPr>
          <w:lang w:val="en-GB"/>
        </w:rPr>
        <w:t>:</w:t>
      </w:r>
      <w:r w:rsidRPr="000343FB">
        <w:rPr>
          <w:lang w:val="en-GB"/>
        </w:rPr>
        <w:t xml:space="preserve"> </w:t>
      </w:r>
      <w:proofErr w:type="spellStart"/>
      <w:r w:rsidRPr="000343FB">
        <w:rPr>
          <w:lang w:val="en-GB"/>
        </w:rPr>
        <w:t>Tiktauli</w:t>
      </w:r>
      <w:proofErr w:type="spellEnd"/>
      <w:r w:rsidRPr="000343FB">
        <w:rPr>
          <w:lang w:val="en-GB"/>
        </w:rPr>
        <w:t xml:space="preserve"> would sponsor the DJs’ </w:t>
      </w:r>
      <w:r w:rsidRPr="000343FB">
        <w:rPr>
          <w:lang w:val="en-GB"/>
        </w:rPr>
        <w:lastRenderedPageBreak/>
        <w:t xml:space="preserve">apparel, footwear, and accessories. In return, the enrolled DJs would endorse the brand and provide music content for airing on </w:t>
      </w:r>
      <w:proofErr w:type="spellStart"/>
      <w:r w:rsidRPr="000343FB">
        <w:rPr>
          <w:lang w:val="en-GB"/>
        </w:rPr>
        <w:t>Tiktauli</w:t>
      </w:r>
      <w:proofErr w:type="spellEnd"/>
      <w:r w:rsidRPr="000343FB">
        <w:rPr>
          <w:lang w:val="en-GB"/>
        </w:rPr>
        <w:t xml:space="preserve"> Air</w:t>
      </w:r>
      <w:r w:rsidR="002F69F4">
        <w:rPr>
          <w:lang w:val="en-GB"/>
        </w:rPr>
        <w:t>, which</w:t>
      </w:r>
      <w:r w:rsidRPr="000343FB">
        <w:rPr>
          <w:lang w:val="en-GB"/>
        </w:rPr>
        <w:t xml:space="preserve"> would become the world’s first EDM Top 20 DJs ranking platform. It also planned to sell EDM concert tickets worldwide. </w:t>
      </w:r>
      <w:proofErr w:type="spellStart"/>
      <w:r w:rsidRPr="000343FB">
        <w:rPr>
          <w:lang w:val="en-GB"/>
        </w:rPr>
        <w:t>Tiktauli</w:t>
      </w:r>
      <w:proofErr w:type="spellEnd"/>
      <w:r w:rsidRPr="000343FB">
        <w:rPr>
          <w:lang w:val="en-GB"/>
        </w:rPr>
        <w:t xml:space="preserve"> Air would be a “plug and play” EDM music listening post for customers</w:t>
      </w:r>
      <w:r w:rsidR="001D61C9">
        <w:rPr>
          <w:lang w:val="en-GB"/>
        </w:rPr>
        <w:t>. B</w:t>
      </w:r>
      <w:r w:rsidRPr="000343FB">
        <w:rPr>
          <w:lang w:val="en-GB"/>
        </w:rPr>
        <w:t>y 2020</w:t>
      </w:r>
      <w:r w:rsidR="001D61C9">
        <w:rPr>
          <w:lang w:val="en-GB"/>
        </w:rPr>
        <w:t>,</w:t>
      </w:r>
      <w:r w:rsidRPr="000343FB">
        <w:rPr>
          <w:lang w:val="en-GB"/>
        </w:rPr>
        <w:t xml:space="preserve"> </w:t>
      </w:r>
      <w:proofErr w:type="spellStart"/>
      <w:r w:rsidRPr="000343FB">
        <w:rPr>
          <w:lang w:val="en-GB"/>
        </w:rPr>
        <w:t>Tiktauli</w:t>
      </w:r>
      <w:proofErr w:type="spellEnd"/>
      <w:r w:rsidRPr="000343FB">
        <w:rPr>
          <w:lang w:val="en-GB"/>
        </w:rPr>
        <w:t xml:space="preserve"> Air would organize electronic music festivals </w:t>
      </w:r>
      <w:r w:rsidR="001D61C9">
        <w:rPr>
          <w:lang w:val="en-GB"/>
        </w:rPr>
        <w:t>on a larger scale</w:t>
      </w:r>
      <w:r w:rsidRPr="000343FB">
        <w:rPr>
          <w:lang w:val="en-GB"/>
        </w:rPr>
        <w:t xml:space="preserve"> than </w:t>
      </w:r>
      <w:r w:rsidR="001D61C9">
        <w:rPr>
          <w:lang w:val="en-GB"/>
        </w:rPr>
        <w:t xml:space="preserve">the </w:t>
      </w:r>
      <w:r w:rsidRPr="000343FB">
        <w:rPr>
          <w:lang w:val="en-GB"/>
        </w:rPr>
        <w:t xml:space="preserve">Sunburn </w:t>
      </w:r>
      <w:r w:rsidR="00770887">
        <w:rPr>
          <w:lang w:val="en-GB"/>
        </w:rPr>
        <w:t>F</w:t>
      </w:r>
      <w:r w:rsidR="001D61C9">
        <w:rPr>
          <w:lang w:val="en-GB"/>
        </w:rPr>
        <w:t xml:space="preserve">estival </w:t>
      </w:r>
      <w:r w:rsidRPr="000343FB">
        <w:rPr>
          <w:lang w:val="en-GB"/>
        </w:rPr>
        <w:t xml:space="preserve">and </w:t>
      </w:r>
      <w:r w:rsidR="001D61C9">
        <w:rPr>
          <w:lang w:val="en-GB"/>
        </w:rPr>
        <w:t xml:space="preserve">the </w:t>
      </w:r>
      <w:r w:rsidRPr="000343FB">
        <w:rPr>
          <w:lang w:val="en-GB"/>
        </w:rPr>
        <w:t xml:space="preserve">Electric Daisy Carnival.  </w:t>
      </w:r>
    </w:p>
    <w:p w14:paraId="745EA844" w14:textId="77777777" w:rsidR="00146BF2" w:rsidRPr="000343FB" w:rsidRDefault="00146BF2" w:rsidP="00146BF2">
      <w:pPr>
        <w:pStyle w:val="BodyTextMain"/>
        <w:rPr>
          <w:lang w:val="en-GB"/>
        </w:rPr>
      </w:pPr>
    </w:p>
    <w:p w14:paraId="6E6A30D0" w14:textId="77777777" w:rsidR="00146BF2" w:rsidRPr="000343FB" w:rsidRDefault="00146BF2" w:rsidP="00146BF2">
      <w:pPr>
        <w:pStyle w:val="BodyTextMain"/>
        <w:rPr>
          <w:lang w:val="en-GB"/>
        </w:rPr>
      </w:pPr>
    </w:p>
    <w:p w14:paraId="7ADF7BFE" w14:textId="77777777" w:rsidR="00146BF2" w:rsidRPr="000343FB" w:rsidRDefault="00146BF2" w:rsidP="00146BF2">
      <w:pPr>
        <w:pStyle w:val="Casehead2"/>
        <w:rPr>
          <w:lang w:val="en-GB"/>
        </w:rPr>
      </w:pPr>
      <w:r w:rsidRPr="000343FB">
        <w:rPr>
          <w:lang w:val="en-GB"/>
        </w:rPr>
        <w:t xml:space="preserve">The Role of Digital Marketing </w:t>
      </w:r>
    </w:p>
    <w:p w14:paraId="6AA4B6C8" w14:textId="77777777" w:rsidR="00146BF2" w:rsidRPr="000343FB" w:rsidRDefault="00146BF2" w:rsidP="00146BF2">
      <w:pPr>
        <w:pStyle w:val="BodyTextMain"/>
        <w:rPr>
          <w:lang w:val="en-GB"/>
        </w:rPr>
      </w:pPr>
    </w:p>
    <w:p w14:paraId="4C050C12" w14:textId="40D9AA76" w:rsidR="00146BF2" w:rsidRPr="007D7BA3" w:rsidRDefault="00146BF2" w:rsidP="00146BF2">
      <w:pPr>
        <w:pStyle w:val="BodyTextMain"/>
        <w:rPr>
          <w:spacing w:val="-2"/>
          <w:lang w:val="en-GB"/>
        </w:rPr>
      </w:pPr>
      <w:r w:rsidRPr="007D7BA3">
        <w:rPr>
          <w:spacing w:val="-2"/>
          <w:lang w:val="en-GB"/>
        </w:rPr>
        <w:t>TDC had been aggressively leveraging digital marketing for its brands. Facebook campaigns had been the mainstay for marketing</w:t>
      </w:r>
      <w:r w:rsidR="00435D64" w:rsidRPr="007D7BA3">
        <w:rPr>
          <w:spacing w:val="-2"/>
          <w:lang w:val="en-GB"/>
        </w:rPr>
        <w:t xml:space="preserve"> company</w:t>
      </w:r>
      <w:r w:rsidR="00F80F08" w:rsidRPr="007D7BA3">
        <w:rPr>
          <w:spacing w:val="-2"/>
          <w:lang w:val="en-GB"/>
        </w:rPr>
        <w:t xml:space="preserve"> </w:t>
      </w:r>
      <w:r w:rsidR="00435D64" w:rsidRPr="007D7BA3">
        <w:rPr>
          <w:spacing w:val="-2"/>
          <w:lang w:val="en-GB"/>
        </w:rPr>
        <w:t>owned brands, although</w:t>
      </w:r>
      <w:r w:rsidRPr="007D7BA3">
        <w:rPr>
          <w:spacing w:val="-2"/>
          <w:lang w:val="en-GB"/>
        </w:rPr>
        <w:t xml:space="preserve"> Twitter, Instagram, and Pinterest </w:t>
      </w:r>
      <w:r w:rsidR="00435D64" w:rsidRPr="007D7BA3">
        <w:rPr>
          <w:spacing w:val="-2"/>
          <w:lang w:val="en-GB"/>
        </w:rPr>
        <w:t>we</w:t>
      </w:r>
      <w:r w:rsidRPr="007D7BA3">
        <w:rPr>
          <w:spacing w:val="-2"/>
          <w:lang w:val="en-GB"/>
        </w:rPr>
        <w:t xml:space="preserve">re </w:t>
      </w:r>
      <w:r w:rsidR="00435D64" w:rsidRPr="007D7BA3">
        <w:rPr>
          <w:spacing w:val="-2"/>
          <w:lang w:val="en-GB"/>
        </w:rPr>
        <w:t>also used</w:t>
      </w:r>
      <w:r w:rsidRPr="007D7BA3">
        <w:rPr>
          <w:spacing w:val="-2"/>
          <w:lang w:val="en-GB"/>
        </w:rPr>
        <w:t xml:space="preserve">. </w:t>
      </w:r>
      <w:r w:rsidR="00435D64" w:rsidRPr="007D7BA3">
        <w:rPr>
          <w:spacing w:val="-2"/>
          <w:lang w:val="en-GB"/>
        </w:rPr>
        <w:t>The marketing c</w:t>
      </w:r>
      <w:r w:rsidRPr="007D7BA3">
        <w:rPr>
          <w:spacing w:val="-2"/>
          <w:lang w:val="en-GB"/>
        </w:rPr>
        <w:t xml:space="preserve">ampaigns </w:t>
      </w:r>
      <w:r w:rsidR="00435D64" w:rsidRPr="007D7BA3">
        <w:rPr>
          <w:spacing w:val="-2"/>
          <w:lang w:val="en-GB"/>
        </w:rPr>
        <w:t>promoted</w:t>
      </w:r>
      <w:r w:rsidRPr="007D7BA3">
        <w:rPr>
          <w:spacing w:val="-2"/>
          <w:lang w:val="en-GB"/>
        </w:rPr>
        <w:t xml:space="preserve"> new product launches, product previews, cross</w:t>
      </w:r>
      <w:r w:rsidR="00435D64" w:rsidRPr="007D7BA3">
        <w:rPr>
          <w:spacing w:val="-2"/>
          <w:lang w:val="en-GB"/>
        </w:rPr>
        <w:t>-</w:t>
      </w:r>
      <w:r w:rsidRPr="007D7BA3">
        <w:rPr>
          <w:spacing w:val="-2"/>
          <w:lang w:val="en-GB"/>
        </w:rPr>
        <w:t>selling, special discounts, countdowns to launches, EDM events, and ensemble creation</w:t>
      </w:r>
      <w:r w:rsidR="00435D64" w:rsidRPr="007D7BA3">
        <w:rPr>
          <w:spacing w:val="-2"/>
          <w:lang w:val="en-GB"/>
        </w:rPr>
        <w:t>s</w:t>
      </w:r>
      <w:r w:rsidRPr="007D7BA3">
        <w:rPr>
          <w:spacing w:val="-2"/>
          <w:lang w:val="en-GB"/>
        </w:rPr>
        <w:t>.</w:t>
      </w:r>
      <w:r w:rsidRPr="007D7BA3">
        <w:rPr>
          <w:spacing w:val="-2"/>
          <w:vertAlign w:val="superscript"/>
          <w:lang w:val="en-GB"/>
        </w:rPr>
        <w:endnoteReference w:id="33"/>
      </w:r>
      <w:r w:rsidRPr="007D7BA3">
        <w:rPr>
          <w:spacing w:val="-2"/>
          <w:lang w:val="en-GB"/>
        </w:rPr>
        <w:t xml:space="preserve"> The two </w:t>
      </w:r>
      <w:r w:rsidR="00435D64" w:rsidRPr="007D7BA3">
        <w:rPr>
          <w:spacing w:val="-2"/>
          <w:lang w:val="en-GB"/>
        </w:rPr>
        <w:t xml:space="preserve">TDC </w:t>
      </w:r>
      <w:r w:rsidRPr="007D7BA3">
        <w:rPr>
          <w:spacing w:val="-2"/>
          <w:lang w:val="en-GB"/>
        </w:rPr>
        <w:t>team members</w:t>
      </w:r>
      <w:r w:rsidR="00435D64" w:rsidRPr="007D7BA3">
        <w:rPr>
          <w:spacing w:val="-2"/>
          <w:lang w:val="en-GB"/>
        </w:rPr>
        <w:t xml:space="preserve"> responsible for digital marketing activities were</w:t>
      </w:r>
      <w:r w:rsidRPr="007D7BA3">
        <w:rPr>
          <w:spacing w:val="-2"/>
          <w:lang w:val="en-GB"/>
        </w:rPr>
        <w:t xml:space="preserve"> </w:t>
      </w:r>
      <w:proofErr w:type="spellStart"/>
      <w:r w:rsidRPr="007D7BA3">
        <w:rPr>
          <w:spacing w:val="-2"/>
          <w:lang w:val="en-GB"/>
        </w:rPr>
        <w:t>Akhil</w:t>
      </w:r>
      <w:proofErr w:type="spellEnd"/>
      <w:r w:rsidRPr="007D7BA3">
        <w:rPr>
          <w:spacing w:val="-2"/>
          <w:lang w:val="en-GB"/>
        </w:rPr>
        <w:t xml:space="preserve"> Sharma and </w:t>
      </w:r>
      <w:proofErr w:type="spellStart"/>
      <w:r w:rsidRPr="007D7BA3">
        <w:rPr>
          <w:spacing w:val="-2"/>
          <w:lang w:val="en-GB"/>
        </w:rPr>
        <w:t>Puneet</w:t>
      </w:r>
      <w:proofErr w:type="spellEnd"/>
      <w:r w:rsidRPr="007D7BA3">
        <w:rPr>
          <w:spacing w:val="-2"/>
          <w:lang w:val="en-GB"/>
        </w:rPr>
        <w:t xml:space="preserve"> Chauhan. Singh </w:t>
      </w:r>
      <w:r w:rsidR="00094A84" w:rsidRPr="007D7BA3">
        <w:rPr>
          <w:spacing w:val="-2"/>
          <w:lang w:val="en-GB"/>
        </w:rPr>
        <w:t>used</w:t>
      </w:r>
      <w:r w:rsidRPr="007D7BA3">
        <w:rPr>
          <w:spacing w:val="-2"/>
          <w:lang w:val="en-GB"/>
        </w:rPr>
        <w:t xml:space="preserve"> social media platforms </w:t>
      </w:r>
      <w:r w:rsidR="00094A84" w:rsidRPr="007D7BA3">
        <w:rPr>
          <w:spacing w:val="-2"/>
          <w:lang w:val="en-GB"/>
        </w:rPr>
        <w:t xml:space="preserve">regularly </w:t>
      </w:r>
      <w:r w:rsidRPr="007D7BA3">
        <w:rPr>
          <w:spacing w:val="-2"/>
          <w:lang w:val="en-GB"/>
        </w:rPr>
        <w:t>to keep in touch with customers</w:t>
      </w:r>
      <w:r w:rsidR="00094A84" w:rsidRPr="007D7BA3">
        <w:rPr>
          <w:spacing w:val="-2"/>
          <w:lang w:val="en-GB"/>
        </w:rPr>
        <w:t xml:space="preserve"> and</w:t>
      </w:r>
      <w:r w:rsidRPr="007D7BA3">
        <w:rPr>
          <w:spacing w:val="-2"/>
          <w:lang w:val="en-GB"/>
        </w:rPr>
        <w:t xml:space="preserve"> ensur</w:t>
      </w:r>
      <w:r w:rsidR="00094A84" w:rsidRPr="007D7BA3">
        <w:rPr>
          <w:spacing w:val="-2"/>
          <w:lang w:val="en-GB"/>
        </w:rPr>
        <w:t>e</w:t>
      </w:r>
      <w:r w:rsidRPr="007D7BA3">
        <w:rPr>
          <w:spacing w:val="-2"/>
          <w:lang w:val="en-GB"/>
        </w:rPr>
        <w:t xml:space="preserve"> that product and service grievances were expeditiously addressed. </w:t>
      </w:r>
      <w:r w:rsidR="00094A84" w:rsidRPr="007D7BA3">
        <w:rPr>
          <w:spacing w:val="-2"/>
          <w:lang w:val="en-GB"/>
        </w:rPr>
        <w:t>Effective use of s</w:t>
      </w:r>
      <w:r w:rsidRPr="007D7BA3">
        <w:rPr>
          <w:spacing w:val="-2"/>
          <w:lang w:val="en-GB"/>
        </w:rPr>
        <w:t xml:space="preserve">earch engine marketing and search engine optimization ensured that </w:t>
      </w:r>
      <w:r w:rsidR="00094A84" w:rsidRPr="007D7BA3">
        <w:rPr>
          <w:spacing w:val="-2"/>
          <w:lang w:val="en-GB"/>
        </w:rPr>
        <w:t>TDC</w:t>
      </w:r>
      <w:r w:rsidRPr="007D7BA3">
        <w:rPr>
          <w:spacing w:val="-2"/>
          <w:lang w:val="en-GB"/>
        </w:rPr>
        <w:t xml:space="preserve">’s web pages loaded in less than </w:t>
      </w:r>
      <w:r w:rsidR="00094A84" w:rsidRPr="007D7BA3">
        <w:rPr>
          <w:spacing w:val="-2"/>
          <w:lang w:val="en-GB"/>
        </w:rPr>
        <w:t>three</w:t>
      </w:r>
      <w:r w:rsidRPr="007D7BA3">
        <w:rPr>
          <w:spacing w:val="-2"/>
          <w:lang w:val="en-GB"/>
        </w:rPr>
        <w:t xml:space="preserve"> seconds</w:t>
      </w:r>
      <w:r w:rsidR="000730FA" w:rsidRPr="007D7BA3">
        <w:rPr>
          <w:spacing w:val="-2"/>
          <w:lang w:val="en-GB"/>
        </w:rPr>
        <w:t>,</w:t>
      </w:r>
      <w:r w:rsidRPr="007D7BA3">
        <w:rPr>
          <w:spacing w:val="-2"/>
          <w:lang w:val="en-GB"/>
        </w:rPr>
        <w:t xml:space="preserve"> to reduce </w:t>
      </w:r>
      <w:r w:rsidR="000730FA" w:rsidRPr="007D7BA3">
        <w:rPr>
          <w:spacing w:val="-2"/>
          <w:lang w:val="en-GB"/>
        </w:rPr>
        <w:t xml:space="preserve">the </w:t>
      </w:r>
      <w:r w:rsidRPr="007D7BA3">
        <w:rPr>
          <w:spacing w:val="-2"/>
          <w:lang w:val="en-GB"/>
        </w:rPr>
        <w:t xml:space="preserve">bounce rate as much as possible. Separate </w:t>
      </w:r>
      <w:r w:rsidR="00094A84" w:rsidRPr="007D7BA3">
        <w:rPr>
          <w:spacing w:val="-2"/>
          <w:lang w:val="en-GB"/>
        </w:rPr>
        <w:t>search engine optimization</w:t>
      </w:r>
      <w:r w:rsidRPr="007D7BA3">
        <w:rPr>
          <w:spacing w:val="-2"/>
          <w:lang w:val="en-GB"/>
        </w:rPr>
        <w:t xml:space="preserve"> strategies were created for desktops and mobile</w:t>
      </w:r>
      <w:r w:rsidR="00094A84" w:rsidRPr="007D7BA3">
        <w:rPr>
          <w:spacing w:val="-2"/>
          <w:lang w:val="en-GB"/>
        </w:rPr>
        <w:t xml:space="preserve"> device</w:t>
      </w:r>
      <w:r w:rsidRPr="007D7BA3">
        <w:rPr>
          <w:spacing w:val="-2"/>
          <w:lang w:val="en-GB"/>
        </w:rPr>
        <w:t xml:space="preserve">s. The entire team provided input for content creation, which was the most important factor for customer stickiness. </w:t>
      </w:r>
    </w:p>
    <w:p w14:paraId="78ACDA37" w14:textId="77777777" w:rsidR="00146BF2" w:rsidRPr="000343FB" w:rsidRDefault="00146BF2" w:rsidP="00146BF2">
      <w:pPr>
        <w:pStyle w:val="BodyTextMain"/>
        <w:rPr>
          <w:lang w:val="en-GB"/>
        </w:rPr>
      </w:pPr>
    </w:p>
    <w:p w14:paraId="1A3C5B5B" w14:textId="796D4CCD" w:rsidR="00146BF2" w:rsidRPr="000343FB" w:rsidRDefault="00146BF2" w:rsidP="00146BF2">
      <w:pPr>
        <w:pStyle w:val="BodyTextMain"/>
        <w:rPr>
          <w:lang w:val="en-GB"/>
        </w:rPr>
      </w:pPr>
      <w:r w:rsidRPr="000343FB">
        <w:rPr>
          <w:lang w:val="en-GB"/>
        </w:rPr>
        <w:t>All members of the TDC team were deeply committed to a digital thrust in their business’s marketing strategy. Singh had decided to spend approximately 50 per</w:t>
      </w:r>
      <w:r w:rsidR="00094A84">
        <w:rPr>
          <w:lang w:val="en-GB"/>
        </w:rPr>
        <w:t xml:space="preserve"> </w:t>
      </w:r>
      <w:r w:rsidRPr="000343FB">
        <w:rPr>
          <w:lang w:val="en-GB"/>
        </w:rPr>
        <w:t xml:space="preserve">cent of TDC’s digital marketing budget of </w:t>
      </w:r>
      <w:r w:rsidR="00D34D1F" w:rsidRPr="00260240">
        <w:rPr>
          <w:rFonts w:ascii="Arial" w:eastAsia="Arial Unicode MS" w:hAnsi="Arial" w:cs="Arial"/>
          <w:sz w:val="20"/>
          <w:szCs w:val="20"/>
          <w:lang w:val="en-GB"/>
        </w:rPr>
        <w:t>₹</w:t>
      </w:r>
      <w:r w:rsidRPr="000343FB">
        <w:rPr>
          <w:lang w:val="en-GB"/>
        </w:rPr>
        <w:t xml:space="preserve">10 million on content marketing alone. </w:t>
      </w:r>
      <w:r w:rsidR="00094A84">
        <w:rPr>
          <w:lang w:val="en-GB"/>
        </w:rPr>
        <w:t>Of this amount</w:t>
      </w:r>
      <w:r w:rsidR="00F80F08">
        <w:rPr>
          <w:lang w:val="en-GB"/>
        </w:rPr>
        <w:t>,</w:t>
      </w:r>
      <w:r w:rsidRPr="000343FB">
        <w:rPr>
          <w:lang w:val="en-GB"/>
        </w:rPr>
        <w:t xml:space="preserve"> 60 per</w:t>
      </w:r>
      <w:r w:rsidR="00094A84">
        <w:rPr>
          <w:lang w:val="en-GB"/>
        </w:rPr>
        <w:t xml:space="preserve"> </w:t>
      </w:r>
      <w:r w:rsidRPr="000343FB">
        <w:rPr>
          <w:lang w:val="en-GB"/>
        </w:rPr>
        <w:t xml:space="preserve">cent was spent on mobile video content. </w:t>
      </w:r>
      <w:r w:rsidR="00094A84">
        <w:rPr>
          <w:lang w:val="en-GB"/>
        </w:rPr>
        <w:t xml:space="preserve">Convinced that </w:t>
      </w:r>
      <w:r w:rsidR="00ED38B4" w:rsidRPr="000343FB">
        <w:rPr>
          <w:lang w:val="en-GB"/>
        </w:rPr>
        <w:t xml:space="preserve">digital </w:t>
      </w:r>
      <w:r w:rsidR="00ED38B4">
        <w:rPr>
          <w:lang w:val="en-GB"/>
        </w:rPr>
        <w:t xml:space="preserve">services </w:t>
      </w:r>
      <w:r w:rsidR="00ED38B4" w:rsidRPr="000343FB">
        <w:rPr>
          <w:lang w:val="en-GB"/>
        </w:rPr>
        <w:t>on mobile</w:t>
      </w:r>
      <w:r w:rsidR="00ED38B4">
        <w:rPr>
          <w:lang w:val="en-GB"/>
        </w:rPr>
        <w:t xml:space="preserve"> devices were the way of the future, Singh concentrated TDC</w:t>
      </w:r>
      <w:r w:rsidR="00F80F08">
        <w:rPr>
          <w:lang w:val="en-GB"/>
        </w:rPr>
        <w:t>’s</w:t>
      </w:r>
      <w:r w:rsidR="00ED38B4">
        <w:rPr>
          <w:lang w:val="en-GB"/>
        </w:rPr>
        <w:t xml:space="preserve"> efforts on</w:t>
      </w:r>
      <w:r w:rsidRPr="000343FB">
        <w:rPr>
          <w:lang w:val="en-GB"/>
        </w:rPr>
        <w:t xml:space="preserve"> marketing activities such as experiential events and </w:t>
      </w:r>
      <w:r w:rsidR="00ED38B4">
        <w:rPr>
          <w:lang w:val="en-GB"/>
        </w:rPr>
        <w:t>business-to-consumer</w:t>
      </w:r>
      <w:r w:rsidRPr="000343FB">
        <w:rPr>
          <w:lang w:val="en-GB"/>
        </w:rPr>
        <w:t xml:space="preserve"> activations. </w:t>
      </w:r>
    </w:p>
    <w:p w14:paraId="188970C7" w14:textId="77777777" w:rsidR="00146BF2" w:rsidRPr="000343FB" w:rsidRDefault="00146BF2" w:rsidP="00146BF2">
      <w:pPr>
        <w:pStyle w:val="BodyTextMain"/>
        <w:rPr>
          <w:lang w:val="en-GB"/>
        </w:rPr>
      </w:pPr>
    </w:p>
    <w:p w14:paraId="6BB8370A" w14:textId="603A8891" w:rsidR="00146BF2" w:rsidRPr="000343FB" w:rsidRDefault="00146BF2" w:rsidP="00146BF2">
      <w:pPr>
        <w:pStyle w:val="BodyTextMain"/>
        <w:rPr>
          <w:lang w:val="en-GB"/>
        </w:rPr>
      </w:pPr>
      <w:r w:rsidRPr="000343FB">
        <w:rPr>
          <w:lang w:val="en-GB"/>
        </w:rPr>
        <w:t xml:space="preserve">Despite </w:t>
      </w:r>
      <w:r w:rsidR="000730FA">
        <w:rPr>
          <w:lang w:val="en-GB"/>
        </w:rPr>
        <w:t xml:space="preserve">the </w:t>
      </w:r>
      <w:r w:rsidRPr="000343FB">
        <w:rPr>
          <w:lang w:val="en-GB"/>
        </w:rPr>
        <w:t>industry-wide lacklustr</w:t>
      </w:r>
      <w:r w:rsidR="00F80F08">
        <w:rPr>
          <w:lang w:val="en-GB"/>
        </w:rPr>
        <w:t>e</w:t>
      </w:r>
      <w:r w:rsidRPr="000343FB">
        <w:rPr>
          <w:lang w:val="en-GB"/>
        </w:rPr>
        <w:t xml:space="preserve"> performance of influencer marketing on social media,</w:t>
      </w:r>
      <w:r w:rsidRPr="000343FB">
        <w:rPr>
          <w:vertAlign w:val="superscript"/>
          <w:lang w:val="en-GB"/>
        </w:rPr>
        <w:endnoteReference w:id="34"/>
      </w:r>
      <w:r w:rsidRPr="000343FB">
        <w:rPr>
          <w:lang w:val="en-GB"/>
        </w:rPr>
        <w:t xml:space="preserve"> Singh was proud </w:t>
      </w:r>
      <w:r w:rsidR="00ED38B4">
        <w:rPr>
          <w:lang w:val="en-GB"/>
        </w:rPr>
        <w:t>of the high level of</w:t>
      </w:r>
      <w:r w:rsidRPr="000343FB">
        <w:rPr>
          <w:lang w:val="en-GB"/>
        </w:rPr>
        <w:t xml:space="preserve"> customer engagement and business growth</w:t>
      </w:r>
      <w:r w:rsidR="00ED38B4">
        <w:rPr>
          <w:lang w:val="en-GB"/>
        </w:rPr>
        <w:t xml:space="preserve"> resulting from EDM DJs’</w:t>
      </w:r>
      <w:r w:rsidRPr="000343FB">
        <w:rPr>
          <w:lang w:val="en-GB"/>
        </w:rPr>
        <w:t xml:space="preserve"> influence</w:t>
      </w:r>
      <w:r w:rsidR="00ED38B4">
        <w:rPr>
          <w:lang w:val="en-GB"/>
        </w:rPr>
        <w:t>, which extended beyond the</w:t>
      </w:r>
      <w:r w:rsidRPr="000343FB">
        <w:rPr>
          <w:lang w:val="en-GB"/>
        </w:rPr>
        <w:t xml:space="preserve"> launch </w:t>
      </w:r>
      <w:r w:rsidR="00ED38B4">
        <w:rPr>
          <w:lang w:val="en-GB"/>
        </w:rPr>
        <w:t xml:space="preserve">and </w:t>
      </w:r>
      <w:r w:rsidRPr="000343FB">
        <w:rPr>
          <w:lang w:val="en-GB"/>
        </w:rPr>
        <w:t xml:space="preserve">throughout the life of a product line. Singh claimed </w:t>
      </w:r>
      <w:r w:rsidR="00ED38B4">
        <w:rPr>
          <w:lang w:val="en-GB"/>
        </w:rPr>
        <w:t xml:space="preserve">that </w:t>
      </w:r>
      <w:r w:rsidRPr="000343FB">
        <w:rPr>
          <w:lang w:val="en-GB"/>
        </w:rPr>
        <w:t>almost 25 per</w:t>
      </w:r>
      <w:r w:rsidR="00ED38B4">
        <w:rPr>
          <w:lang w:val="en-GB"/>
        </w:rPr>
        <w:t xml:space="preserve"> </w:t>
      </w:r>
      <w:r w:rsidRPr="000343FB">
        <w:rPr>
          <w:lang w:val="en-GB"/>
        </w:rPr>
        <w:t xml:space="preserve">cent of TDC’s incremental business flowed from influencer marketing.  </w:t>
      </w:r>
    </w:p>
    <w:p w14:paraId="1524760B" w14:textId="77777777" w:rsidR="00A855D5" w:rsidRPr="00B45236" w:rsidRDefault="00A855D5" w:rsidP="00146BF2">
      <w:pPr>
        <w:pStyle w:val="BodyTextMain"/>
        <w:rPr>
          <w:sz w:val="18"/>
          <w:szCs w:val="18"/>
          <w:lang w:val="en-GB"/>
        </w:rPr>
      </w:pPr>
    </w:p>
    <w:p w14:paraId="32D13DC4" w14:textId="77777777" w:rsidR="00A855D5" w:rsidRPr="00B45236" w:rsidRDefault="00A855D5" w:rsidP="00146BF2">
      <w:pPr>
        <w:pStyle w:val="BodyTextMain"/>
        <w:rPr>
          <w:sz w:val="18"/>
          <w:szCs w:val="18"/>
          <w:lang w:val="en-GB"/>
        </w:rPr>
      </w:pPr>
    </w:p>
    <w:p w14:paraId="203B63C5" w14:textId="295036F3" w:rsidR="00146BF2" w:rsidRPr="000343FB" w:rsidRDefault="00146BF2" w:rsidP="00146BF2">
      <w:pPr>
        <w:pStyle w:val="Casehead2"/>
        <w:rPr>
          <w:lang w:val="en-GB"/>
        </w:rPr>
      </w:pPr>
      <w:r w:rsidRPr="000343FB">
        <w:rPr>
          <w:lang w:val="en-GB"/>
        </w:rPr>
        <w:t>Leveraging Events and Sponsorships</w:t>
      </w:r>
    </w:p>
    <w:p w14:paraId="216F2EB2" w14:textId="77777777" w:rsidR="00146BF2" w:rsidRPr="00B45236" w:rsidRDefault="00146BF2" w:rsidP="00146BF2">
      <w:pPr>
        <w:pStyle w:val="BodyTextMain"/>
        <w:rPr>
          <w:sz w:val="18"/>
          <w:szCs w:val="18"/>
          <w:lang w:val="en-GB"/>
        </w:rPr>
      </w:pPr>
    </w:p>
    <w:p w14:paraId="415F29FF" w14:textId="033A9EA2" w:rsidR="00146BF2" w:rsidRPr="000343FB" w:rsidRDefault="000730FA" w:rsidP="00060D6A">
      <w:pPr>
        <w:pStyle w:val="BodyTextMain"/>
        <w:rPr>
          <w:b/>
          <w:lang w:val="en-GB"/>
        </w:rPr>
      </w:pPr>
      <w:r w:rsidRPr="00060D6A">
        <w:rPr>
          <w:rFonts w:eastAsia="Calibri"/>
          <w:lang w:val="en-GB"/>
        </w:rPr>
        <w:t>T</w:t>
      </w:r>
      <w:r w:rsidR="00146BF2" w:rsidRPr="00060D6A">
        <w:rPr>
          <w:rFonts w:eastAsia="Calibri"/>
          <w:lang w:val="en-GB"/>
        </w:rPr>
        <w:t xml:space="preserve">o deepen the company’s relationships with its target customers, TDC had </w:t>
      </w:r>
      <w:r w:rsidR="00ED38B4" w:rsidRPr="00060D6A">
        <w:rPr>
          <w:rFonts w:eastAsia="Calibri"/>
          <w:lang w:val="en-GB"/>
        </w:rPr>
        <w:t>chosen to</w:t>
      </w:r>
      <w:r w:rsidR="00146BF2" w:rsidRPr="00060D6A">
        <w:rPr>
          <w:rFonts w:eastAsia="Calibri"/>
          <w:lang w:val="en-GB"/>
        </w:rPr>
        <w:t xml:space="preserve"> sponsor events</w:t>
      </w:r>
      <w:r w:rsidR="00471C5D" w:rsidRPr="00060D6A">
        <w:rPr>
          <w:rFonts w:eastAsia="Calibri"/>
          <w:lang w:val="en-GB"/>
        </w:rPr>
        <w:t xml:space="preserve"> involving celebrities, college festivals, and</w:t>
      </w:r>
      <w:r w:rsidR="00146BF2" w:rsidRPr="00060D6A">
        <w:rPr>
          <w:rFonts w:eastAsia="Calibri"/>
          <w:lang w:val="en-GB"/>
        </w:rPr>
        <w:t xml:space="preserve"> collaborations with DJs and choreographers.</w:t>
      </w:r>
      <w:r w:rsidR="00146BF2" w:rsidRPr="00060D6A">
        <w:rPr>
          <w:rFonts w:eastAsia="Calibri"/>
          <w:vertAlign w:val="superscript"/>
          <w:lang w:val="en-GB"/>
        </w:rPr>
        <w:endnoteReference w:id="35"/>
      </w:r>
      <w:r w:rsidR="00146BF2" w:rsidRPr="00060D6A">
        <w:rPr>
          <w:rFonts w:eastAsia="Calibri"/>
          <w:lang w:val="en-GB"/>
        </w:rPr>
        <w:t xml:space="preserve"> </w:t>
      </w:r>
      <w:r w:rsidR="00471C5D" w:rsidRPr="00060D6A">
        <w:rPr>
          <w:rFonts w:eastAsia="Calibri"/>
          <w:lang w:val="en-GB"/>
        </w:rPr>
        <w:t xml:space="preserve">To strengthen the </w:t>
      </w:r>
      <w:proofErr w:type="spellStart"/>
      <w:r w:rsidR="00471C5D" w:rsidRPr="00060D6A">
        <w:rPr>
          <w:rFonts w:eastAsia="Calibri"/>
          <w:lang w:val="en-GB"/>
        </w:rPr>
        <w:t>Fieldgear</w:t>
      </w:r>
      <w:proofErr w:type="spellEnd"/>
      <w:r w:rsidR="00471C5D" w:rsidRPr="00060D6A">
        <w:rPr>
          <w:rFonts w:eastAsia="Calibri"/>
          <w:lang w:val="en-GB"/>
        </w:rPr>
        <w:t xml:space="preserve"> sports brand, TDC pursued</w:t>
      </w:r>
      <w:r w:rsidR="00146BF2" w:rsidRPr="00060D6A">
        <w:rPr>
          <w:rFonts w:eastAsia="Calibri"/>
          <w:lang w:val="en-GB"/>
        </w:rPr>
        <w:t xml:space="preserve"> associations with league controlling bodies and participating teams</w:t>
      </w:r>
      <w:r w:rsidR="00471C5D" w:rsidRPr="00060D6A">
        <w:rPr>
          <w:rFonts w:eastAsia="Calibri"/>
          <w:lang w:val="en-GB"/>
        </w:rPr>
        <w:t>,</w:t>
      </w:r>
      <w:r w:rsidR="00146BF2" w:rsidRPr="00060D6A">
        <w:rPr>
          <w:rFonts w:eastAsia="Calibri"/>
          <w:lang w:val="en-GB"/>
        </w:rPr>
        <w:t> </w:t>
      </w:r>
      <w:r w:rsidR="00471C5D" w:rsidRPr="00060D6A">
        <w:rPr>
          <w:rFonts w:eastAsia="Calibri"/>
          <w:lang w:val="en-GB"/>
        </w:rPr>
        <w:t xml:space="preserve">managing to </w:t>
      </w:r>
      <w:r w:rsidR="00146BF2" w:rsidRPr="00060D6A">
        <w:rPr>
          <w:rFonts w:eastAsia="Calibri"/>
          <w:lang w:val="en-GB"/>
        </w:rPr>
        <w:t>sign</w:t>
      </w:r>
      <w:r w:rsidR="00471C5D" w:rsidRPr="00060D6A">
        <w:rPr>
          <w:rFonts w:eastAsia="Calibri"/>
          <w:lang w:val="en-GB"/>
        </w:rPr>
        <w:t xml:space="preserve"> contracts with</w:t>
      </w:r>
      <w:r w:rsidR="00A57398" w:rsidRPr="00060D6A">
        <w:rPr>
          <w:rFonts w:eastAsia="Calibri"/>
          <w:lang w:val="en-GB"/>
        </w:rPr>
        <w:t xml:space="preserve"> all teams of the Central Reserve Police Force as well as various</w:t>
      </w:r>
      <w:r w:rsidR="00146BF2" w:rsidRPr="00060D6A">
        <w:rPr>
          <w:rFonts w:eastAsia="Calibri"/>
          <w:lang w:val="en-GB"/>
        </w:rPr>
        <w:t xml:space="preserve"> leagues in sports such as kabaddi</w:t>
      </w:r>
      <w:r w:rsidR="00471C5D" w:rsidRPr="00060D6A">
        <w:rPr>
          <w:rFonts w:eastAsia="Calibri"/>
          <w:lang w:val="en-GB"/>
        </w:rPr>
        <w:t>,</w:t>
      </w:r>
      <w:r w:rsidR="00146BF2" w:rsidRPr="00060D6A">
        <w:rPr>
          <w:rFonts w:eastAsia="Calibri"/>
          <w:vertAlign w:val="superscript"/>
          <w:lang w:val="en-GB"/>
        </w:rPr>
        <w:endnoteReference w:id="36"/>
      </w:r>
      <w:r w:rsidR="00146BF2" w:rsidRPr="00060D6A">
        <w:rPr>
          <w:rFonts w:eastAsia="Calibri"/>
          <w:lang w:val="en-GB"/>
        </w:rPr>
        <w:t xml:space="preserve"> hockey, table tennis</w:t>
      </w:r>
      <w:r w:rsidR="00471C5D" w:rsidRPr="00060D6A">
        <w:rPr>
          <w:rFonts w:eastAsia="Calibri"/>
          <w:lang w:val="en-GB"/>
        </w:rPr>
        <w:t>,</w:t>
      </w:r>
      <w:r w:rsidR="00146BF2" w:rsidRPr="00060D6A">
        <w:rPr>
          <w:rFonts w:eastAsia="Calibri"/>
          <w:lang w:val="en-GB"/>
        </w:rPr>
        <w:t xml:space="preserve"> and futsal. </w:t>
      </w:r>
      <w:r w:rsidR="00471C5D" w:rsidRPr="00060D6A">
        <w:rPr>
          <w:rFonts w:eastAsia="Calibri"/>
          <w:lang w:val="en-GB"/>
        </w:rPr>
        <w:t>S</w:t>
      </w:r>
      <w:r w:rsidR="00146BF2" w:rsidRPr="00060D6A">
        <w:rPr>
          <w:rFonts w:eastAsia="Calibri"/>
          <w:lang w:val="en-GB"/>
        </w:rPr>
        <w:t>ponsor</w:t>
      </w:r>
      <w:r w:rsidR="00471C5D" w:rsidRPr="00060D6A">
        <w:rPr>
          <w:rFonts w:eastAsia="Calibri"/>
          <w:lang w:val="en-GB"/>
        </w:rPr>
        <w:t>ships included</w:t>
      </w:r>
      <w:r w:rsidR="00146BF2" w:rsidRPr="00060D6A">
        <w:rPr>
          <w:rFonts w:eastAsia="Calibri"/>
          <w:lang w:val="en-GB"/>
        </w:rPr>
        <w:t xml:space="preserve"> a wheelchair cricket tournament in Bangalore</w:t>
      </w:r>
      <w:r w:rsidR="00471C5D" w:rsidRPr="00060D6A">
        <w:rPr>
          <w:rFonts w:eastAsia="Calibri"/>
          <w:lang w:val="en-GB"/>
        </w:rPr>
        <w:t>,</w:t>
      </w:r>
      <w:r w:rsidR="00146BF2" w:rsidRPr="00060D6A">
        <w:rPr>
          <w:rFonts w:eastAsia="Calibri"/>
          <w:lang w:val="en-GB"/>
        </w:rPr>
        <w:t xml:space="preserve"> the Chennai half marathon (Happy Runners)</w:t>
      </w:r>
      <w:r w:rsidR="00A57398" w:rsidRPr="00060D6A">
        <w:rPr>
          <w:rFonts w:eastAsia="Calibri"/>
          <w:lang w:val="en-GB"/>
        </w:rPr>
        <w:t>,</w:t>
      </w:r>
      <w:r w:rsidR="00146BF2" w:rsidRPr="00060D6A">
        <w:rPr>
          <w:rFonts w:eastAsia="Calibri"/>
          <w:lang w:val="en-GB"/>
        </w:rPr>
        <w:t xml:space="preserve"> </w:t>
      </w:r>
      <w:r w:rsidR="00A57398" w:rsidRPr="00060D6A">
        <w:rPr>
          <w:rFonts w:eastAsia="Calibri"/>
          <w:lang w:val="en-GB"/>
        </w:rPr>
        <w:t xml:space="preserve">and </w:t>
      </w:r>
      <w:r w:rsidR="00146BF2" w:rsidRPr="00060D6A">
        <w:rPr>
          <w:rFonts w:eastAsia="Calibri"/>
          <w:lang w:val="en-GB"/>
        </w:rPr>
        <w:t>the Pro Kabaddi League</w:t>
      </w:r>
      <w:r w:rsidR="00A57398" w:rsidRPr="00060D6A">
        <w:rPr>
          <w:rFonts w:eastAsia="Calibri"/>
          <w:lang w:val="en-GB"/>
        </w:rPr>
        <w:t>.</w:t>
      </w:r>
      <w:r w:rsidR="00A57398">
        <w:rPr>
          <w:rFonts w:eastAsia="Calibri"/>
          <w:shd w:val="clear" w:color="auto" w:fill="FFFFFF"/>
          <w:lang w:val="en-GB"/>
        </w:rPr>
        <w:t xml:space="preserve"> </w:t>
      </w:r>
      <w:r w:rsidR="00A57398" w:rsidRPr="00060D6A">
        <w:rPr>
          <w:rFonts w:eastAsia="Calibri"/>
          <w:lang w:val="en-GB"/>
        </w:rPr>
        <w:t>Other</w:t>
      </w:r>
      <w:r w:rsidR="00146BF2" w:rsidRPr="00060D6A">
        <w:rPr>
          <w:rFonts w:eastAsia="Calibri"/>
          <w:lang w:val="en-GB"/>
        </w:rPr>
        <w:t xml:space="preserve"> agreements </w:t>
      </w:r>
      <w:r w:rsidR="00A57398" w:rsidRPr="00060D6A">
        <w:rPr>
          <w:rFonts w:eastAsia="Calibri"/>
          <w:lang w:val="en-GB"/>
        </w:rPr>
        <w:t xml:space="preserve">were planned </w:t>
      </w:r>
      <w:r w:rsidR="00146BF2" w:rsidRPr="00060D6A">
        <w:rPr>
          <w:rFonts w:eastAsia="Calibri"/>
          <w:lang w:val="en-GB"/>
        </w:rPr>
        <w:t>with te</w:t>
      </w:r>
      <w:r w:rsidR="00A57398" w:rsidRPr="00060D6A">
        <w:rPr>
          <w:rFonts w:eastAsia="Calibri"/>
          <w:lang w:val="en-GB"/>
        </w:rPr>
        <w:t>ams from</w:t>
      </w:r>
      <w:r w:rsidR="00146BF2" w:rsidRPr="00060D6A">
        <w:rPr>
          <w:rFonts w:eastAsia="Calibri"/>
          <w:lang w:val="en-GB"/>
        </w:rPr>
        <w:t xml:space="preserve"> Kenya</w:t>
      </w:r>
      <w:r w:rsidRPr="00060D6A">
        <w:rPr>
          <w:rFonts w:eastAsia="Calibri"/>
          <w:lang w:val="en-GB"/>
        </w:rPr>
        <w:t xml:space="preserve"> and</w:t>
      </w:r>
      <w:r w:rsidR="00146BF2" w:rsidRPr="00060D6A">
        <w:rPr>
          <w:rFonts w:eastAsia="Calibri"/>
          <w:lang w:val="en-GB"/>
        </w:rPr>
        <w:t xml:space="preserve"> Iran, and </w:t>
      </w:r>
      <w:r w:rsidR="00A57398" w:rsidRPr="00060D6A">
        <w:rPr>
          <w:rFonts w:eastAsia="Calibri"/>
          <w:lang w:val="en-GB"/>
        </w:rPr>
        <w:t xml:space="preserve">with </w:t>
      </w:r>
      <w:r w:rsidR="002237BB" w:rsidRPr="00060D6A">
        <w:rPr>
          <w:rFonts w:eastAsia="Calibri"/>
          <w:lang w:val="en-GB"/>
        </w:rPr>
        <w:t>American</w:t>
      </w:r>
      <w:r w:rsidR="00146BF2" w:rsidRPr="00060D6A">
        <w:rPr>
          <w:rFonts w:eastAsia="Calibri"/>
          <w:lang w:val="en-GB"/>
        </w:rPr>
        <w:t xml:space="preserve"> Kabaddi teams.</w:t>
      </w:r>
    </w:p>
    <w:p w14:paraId="7ADAF27A" w14:textId="77777777" w:rsidR="00146BF2" w:rsidRPr="00B45236" w:rsidRDefault="00146BF2" w:rsidP="00060D6A">
      <w:pPr>
        <w:pStyle w:val="BodyTextMain"/>
        <w:rPr>
          <w:sz w:val="18"/>
          <w:szCs w:val="18"/>
          <w:lang w:val="en-GB"/>
        </w:rPr>
      </w:pPr>
    </w:p>
    <w:p w14:paraId="3C95202A" w14:textId="77777777" w:rsidR="00146BF2" w:rsidRPr="00B45236" w:rsidRDefault="00146BF2" w:rsidP="00060D6A">
      <w:pPr>
        <w:pStyle w:val="BodyTextMain"/>
        <w:rPr>
          <w:sz w:val="18"/>
          <w:szCs w:val="18"/>
          <w:lang w:val="en-GB"/>
        </w:rPr>
      </w:pPr>
    </w:p>
    <w:p w14:paraId="3FFFD030" w14:textId="77777777" w:rsidR="00146BF2" w:rsidRPr="000343FB" w:rsidRDefault="00146BF2" w:rsidP="00060D6A">
      <w:pPr>
        <w:pStyle w:val="Casehead1"/>
        <w:rPr>
          <w:lang w:val="en-GB"/>
        </w:rPr>
      </w:pPr>
      <w:r w:rsidRPr="000343FB">
        <w:rPr>
          <w:lang w:val="en-GB"/>
        </w:rPr>
        <w:t>CHANGES IN INDIA’S PAYMENT ECOSYSTEM</w:t>
      </w:r>
    </w:p>
    <w:p w14:paraId="53E28E9D" w14:textId="77777777" w:rsidR="00146BF2" w:rsidRPr="00B45236" w:rsidRDefault="00146BF2" w:rsidP="00060D6A">
      <w:pPr>
        <w:pStyle w:val="BodyTextMain"/>
        <w:rPr>
          <w:sz w:val="18"/>
          <w:szCs w:val="18"/>
          <w:lang w:val="en-GB"/>
        </w:rPr>
      </w:pPr>
    </w:p>
    <w:p w14:paraId="203D7A06" w14:textId="670E7E30" w:rsidR="0057757A" w:rsidRDefault="00146BF2" w:rsidP="00060D6A">
      <w:pPr>
        <w:pStyle w:val="BodyTextMain"/>
        <w:rPr>
          <w:lang w:val="en-GB"/>
        </w:rPr>
      </w:pPr>
      <w:r w:rsidRPr="000343FB">
        <w:rPr>
          <w:lang w:val="en-GB"/>
        </w:rPr>
        <w:t xml:space="preserve">On November 8, 2016, the </w:t>
      </w:r>
      <w:r w:rsidR="000730FA">
        <w:rPr>
          <w:lang w:val="en-GB"/>
        </w:rPr>
        <w:t>g</w:t>
      </w:r>
      <w:r w:rsidRPr="000343FB">
        <w:rPr>
          <w:lang w:val="en-GB"/>
        </w:rPr>
        <w:t xml:space="preserve">overnment of India announced </w:t>
      </w:r>
      <w:r w:rsidR="003D2461">
        <w:rPr>
          <w:lang w:val="en-GB"/>
        </w:rPr>
        <w:t>a</w:t>
      </w:r>
      <w:r w:rsidRPr="000343FB">
        <w:rPr>
          <w:lang w:val="en-GB"/>
        </w:rPr>
        <w:t xml:space="preserve"> demonetization</w:t>
      </w:r>
      <w:r w:rsidR="00E000F4">
        <w:rPr>
          <w:lang w:val="en-GB"/>
        </w:rPr>
        <w:t xml:space="preserve"> </w:t>
      </w:r>
      <w:r w:rsidR="0057757A">
        <w:rPr>
          <w:lang w:val="en-GB"/>
        </w:rPr>
        <w:t>policy</w:t>
      </w:r>
      <w:r w:rsidRPr="000343FB">
        <w:rPr>
          <w:vertAlign w:val="superscript"/>
          <w:lang w:val="en-GB"/>
        </w:rPr>
        <w:endnoteReference w:id="37"/>
      </w:r>
      <w:r w:rsidRPr="000343FB">
        <w:rPr>
          <w:lang w:val="en-GB"/>
        </w:rPr>
        <w:t xml:space="preserve"> and </w:t>
      </w:r>
      <w:r w:rsidR="00E000F4">
        <w:rPr>
          <w:lang w:val="en-GB"/>
        </w:rPr>
        <w:t>the</w:t>
      </w:r>
      <w:r w:rsidRPr="000343FB">
        <w:rPr>
          <w:lang w:val="en-GB"/>
        </w:rPr>
        <w:t xml:space="preserve"> Digital India </w:t>
      </w:r>
      <w:r w:rsidR="00E000F4">
        <w:rPr>
          <w:lang w:val="en-GB"/>
        </w:rPr>
        <w:t>initiative</w:t>
      </w:r>
      <w:r w:rsidR="0057757A">
        <w:rPr>
          <w:lang w:val="en-GB"/>
        </w:rPr>
        <w:t>. Until this time,</w:t>
      </w:r>
      <w:r w:rsidR="00E000F4">
        <w:rPr>
          <w:lang w:val="en-GB"/>
        </w:rPr>
        <w:t xml:space="preserve"> a</w:t>
      </w:r>
      <w:r w:rsidRPr="000343FB">
        <w:rPr>
          <w:lang w:val="en-GB"/>
        </w:rPr>
        <w:t>lmost 65 per</w:t>
      </w:r>
      <w:r w:rsidR="00E000F4">
        <w:rPr>
          <w:lang w:val="en-GB"/>
        </w:rPr>
        <w:t xml:space="preserve"> </w:t>
      </w:r>
      <w:r w:rsidRPr="000343FB">
        <w:rPr>
          <w:lang w:val="en-GB"/>
        </w:rPr>
        <w:t xml:space="preserve">cent of transacted business </w:t>
      </w:r>
      <w:r w:rsidR="00330063">
        <w:rPr>
          <w:lang w:val="en-GB"/>
        </w:rPr>
        <w:t>had been</w:t>
      </w:r>
      <w:r w:rsidRPr="000343FB">
        <w:rPr>
          <w:lang w:val="en-GB"/>
        </w:rPr>
        <w:t xml:space="preserve"> based on </w:t>
      </w:r>
      <w:r w:rsidR="0057757A">
        <w:rPr>
          <w:lang w:val="en-GB"/>
        </w:rPr>
        <w:t xml:space="preserve">a </w:t>
      </w:r>
      <w:r w:rsidRPr="000343FB">
        <w:rPr>
          <w:lang w:val="en-GB"/>
        </w:rPr>
        <w:t>cash</w:t>
      </w:r>
      <w:r w:rsidR="002B2FDF">
        <w:rPr>
          <w:lang w:val="en-GB"/>
        </w:rPr>
        <w:t>-</w:t>
      </w:r>
      <w:r w:rsidRPr="000343FB">
        <w:rPr>
          <w:lang w:val="en-GB"/>
        </w:rPr>
        <w:t>on</w:t>
      </w:r>
      <w:r w:rsidR="002B2FDF">
        <w:rPr>
          <w:lang w:val="en-GB"/>
        </w:rPr>
        <w:t>-</w:t>
      </w:r>
      <w:r w:rsidRPr="000343FB">
        <w:rPr>
          <w:lang w:val="en-GB"/>
        </w:rPr>
        <w:t xml:space="preserve">delivery </w:t>
      </w:r>
      <w:r w:rsidR="0057757A">
        <w:rPr>
          <w:lang w:val="en-GB"/>
        </w:rPr>
        <w:t>system</w:t>
      </w:r>
      <w:r w:rsidR="002B2FDF">
        <w:rPr>
          <w:lang w:val="en-GB"/>
        </w:rPr>
        <w:t xml:space="preserve"> </w:t>
      </w:r>
      <w:r w:rsidRPr="000343FB">
        <w:rPr>
          <w:lang w:val="en-GB"/>
        </w:rPr>
        <w:t>(COD)</w:t>
      </w:r>
      <w:r w:rsidR="0057757A">
        <w:rPr>
          <w:lang w:val="en-GB"/>
        </w:rPr>
        <w:t>.</w:t>
      </w:r>
      <w:r w:rsidRPr="000343FB">
        <w:rPr>
          <w:vertAlign w:val="superscript"/>
          <w:lang w:val="en-GB"/>
        </w:rPr>
        <w:endnoteReference w:id="38"/>
      </w:r>
      <w:r w:rsidRPr="000343FB">
        <w:rPr>
          <w:lang w:val="en-GB"/>
        </w:rPr>
        <w:t xml:space="preserve"> </w:t>
      </w:r>
      <w:r w:rsidR="002237BB">
        <w:rPr>
          <w:lang w:val="en-GB"/>
        </w:rPr>
        <w:t>T</w:t>
      </w:r>
      <w:r w:rsidRPr="000343FB">
        <w:rPr>
          <w:lang w:val="en-GB"/>
        </w:rPr>
        <w:t>he</w:t>
      </w:r>
      <w:r w:rsidR="0057757A">
        <w:rPr>
          <w:lang w:val="en-GB"/>
        </w:rPr>
        <w:t>refore, the new government initiatives dealt</w:t>
      </w:r>
      <w:r w:rsidRPr="000343FB">
        <w:rPr>
          <w:lang w:val="en-GB"/>
        </w:rPr>
        <w:t xml:space="preserve"> </w:t>
      </w:r>
      <w:r w:rsidR="00E000F4">
        <w:rPr>
          <w:lang w:val="en-GB"/>
        </w:rPr>
        <w:t xml:space="preserve">a </w:t>
      </w:r>
      <w:r w:rsidRPr="000343FB">
        <w:rPr>
          <w:lang w:val="en-GB"/>
        </w:rPr>
        <w:t xml:space="preserve">severe </w:t>
      </w:r>
      <w:r w:rsidR="00E000F4">
        <w:rPr>
          <w:lang w:val="en-GB"/>
        </w:rPr>
        <w:t xml:space="preserve">blow </w:t>
      </w:r>
      <w:r w:rsidR="00330063">
        <w:rPr>
          <w:lang w:val="en-GB"/>
        </w:rPr>
        <w:t>to</w:t>
      </w:r>
      <w:r w:rsidRPr="000343FB">
        <w:rPr>
          <w:lang w:val="en-GB"/>
        </w:rPr>
        <w:t xml:space="preserve"> the </w:t>
      </w:r>
      <w:r w:rsidR="0057757A">
        <w:rPr>
          <w:lang w:val="en-GB"/>
        </w:rPr>
        <w:t xml:space="preserve">e-commerce </w:t>
      </w:r>
      <w:r w:rsidR="00E000F4">
        <w:rPr>
          <w:lang w:val="en-GB"/>
        </w:rPr>
        <w:t xml:space="preserve">apparel </w:t>
      </w:r>
      <w:r w:rsidRPr="000343FB">
        <w:rPr>
          <w:lang w:val="en-GB"/>
        </w:rPr>
        <w:t xml:space="preserve">industry, </w:t>
      </w:r>
      <w:r w:rsidR="0057757A">
        <w:rPr>
          <w:lang w:val="en-GB"/>
        </w:rPr>
        <w:t>including TDC</w:t>
      </w:r>
      <w:r w:rsidRPr="000343FB">
        <w:rPr>
          <w:lang w:val="en-GB"/>
        </w:rPr>
        <w:t xml:space="preserve"> to some extent</w:t>
      </w:r>
      <w:r w:rsidR="0057757A">
        <w:rPr>
          <w:lang w:val="en-GB"/>
        </w:rPr>
        <w:t>, as</w:t>
      </w:r>
      <w:r w:rsidRPr="000343FB">
        <w:rPr>
          <w:lang w:val="en-GB"/>
        </w:rPr>
        <w:t xml:space="preserve"> Singh </w:t>
      </w:r>
      <w:r w:rsidR="0057757A">
        <w:rPr>
          <w:lang w:val="en-GB"/>
        </w:rPr>
        <w:t>explained:</w:t>
      </w:r>
    </w:p>
    <w:p w14:paraId="20873F31" w14:textId="77777777" w:rsidR="00FD454B" w:rsidRDefault="00FD454B" w:rsidP="00146BF2">
      <w:pPr>
        <w:pStyle w:val="BodyTextMain"/>
        <w:rPr>
          <w:lang w:val="en-GB"/>
        </w:rPr>
      </w:pPr>
    </w:p>
    <w:p w14:paraId="48D23B87" w14:textId="65AC0296" w:rsidR="0057757A" w:rsidRDefault="00146BF2" w:rsidP="00412C0E">
      <w:pPr>
        <w:pStyle w:val="BodyTextMain"/>
        <w:ind w:left="720"/>
        <w:rPr>
          <w:lang w:val="en-GB"/>
        </w:rPr>
      </w:pPr>
      <w:r w:rsidRPr="000343FB">
        <w:rPr>
          <w:lang w:val="en-GB"/>
        </w:rPr>
        <w:lastRenderedPageBreak/>
        <w:t>After the drop</w:t>
      </w:r>
      <w:r w:rsidR="0057757A">
        <w:rPr>
          <w:lang w:val="en-GB"/>
        </w:rPr>
        <w:t xml:space="preserve"> </w:t>
      </w:r>
      <w:r w:rsidRPr="000343FB">
        <w:rPr>
          <w:lang w:val="en-GB"/>
        </w:rPr>
        <w:t>in business</w:t>
      </w:r>
      <w:r w:rsidR="0057757A">
        <w:rPr>
          <w:lang w:val="en-GB"/>
        </w:rPr>
        <w:t>,</w:t>
      </w:r>
      <w:r w:rsidRPr="000343FB">
        <w:rPr>
          <w:lang w:val="en-GB"/>
        </w:rPr>
        <w:t xml:space="preserve"> owing to government-curtailed cash transactions, we decided that the business model needed to be changed immediately. Even if customers regained their confidence, I as a manufacturer-marketer</w:t>
      </w:r>
      <w:r w:rsidR="0057757A">
        <w:rPr>
          <w:lang w:val="en-GB"/>
        </w:rPr>
        <w:t>,</w:t>
      </w:r>
      <w:r w:rsidRPr="000343FB">
        <w:rPr>
          <w:lang w:val="en-GB"/>
        </w:rPr>
        <w:t xml:space="preserve"> could not take a chance on what might happen again in the future. As a result of digitization of business transactions, the Indian e</w:t>
      </w:r>
      <w:r w:rsidR="00D16CF6">
        <w:rPr>
          <w:lang w:val="en-GB"/>
        </w:rPr>
        <w:t>-</w:t>
      </w:r>
      <w:r w:rsidRPr="000343FB">
        <w:rPr>
          <w:lang w:val="en-GB"/>
        </w:rPr>
        <w:t>commerce space saw a shift away from COD as a payment option.</w:t>
      </w:r>
    </w:p>
    <w:p w14:paraId="45F87037" w14:textId="77777777" w:rsidR="0057757A" w:rsidRDefault="0057757A" w:rsidP="00146BF2">
      <w:pPr>
        <w:pStyle w:val="BodyTextMain"/>
        <w:rPr>
          <w:lang w:val="en-GB"/>
        </w:rPr>
      </w:pPr>
    </w:p>
    <w:p w14:paraId="3585FA52" w14:textId="34A1DE38" w:rsidR="00146BF2" w:rsidRPr="000343FB" w:rsidRDefault="00146BF2" w:rsidP="00146BF2">
      <w:pPr>
        <w:pStyle w:val="BodyTextMain"/>
        <w:rPr>
          <w:lang w:val="en-GB"/>
        </w:rPr>
      </w:pPr>
      <w:r w:rsidRPr="000343FB">
        <w:rPr>
          <w:lang w:val="en-GB"/>
        </w:rPr>
        <w:t xml:space="preserve">Within </w:t>
      </w:r>
      <w:r w:rsidR="006B28C1">
        <w:rPr>
          <w:lang w:val="en-GB"/>
        </w:rPr>
        <w:t>five</w:t>
      </w:r>
      <w:r w:rsidRPr="000343FB">
        <w:rPr>
          <w:lang w:val="en-GB"/>
        </w:rPr>
        <w:t xml:space="preserve"> months</w:t>
      </w:r>
      <w:r w:rsidR="006B28C1">
        <w:rPr>
          <w:lang w:val="en-GB"/>
        </w:rPr>
        <w:t>,</w:t>
      </w:r>
      <w:r w:rsidRPr="000343FB">
        <w:rPr>
          <w:lang w:val="en-GB"/>
        </w:rPr>
        <w:t xml:space="preserve"> re-monetization </w:t>
      </w:r>
      <w:r w:rsidR="006B28C1">
        <w:rPr>
          <w:lang w:val="en-GB"/>
        </w:rPr>
        <w:t>occurred</w:t>
      </w:r>
      <w:r w:rsidRPr="000343FB">
        <w:rPr>
          <w:lang w:val="en-GB"/>
        </w:rPr>
        <w:t xml:space="preserve"> and consumers </w:t>
      </w:r>
      <w:r w:rsidR="006B28C1">
        <w:rPr>
          <w:lang w:val="en-GB"/>
        </w:rPr>
        <w:t>resumed</w:t>
      </w:r>
      <w:r w:rsidRPr="000343FB">
        <w:rPr>
          <w:lang w:val="en-GB"/>
        </w:rPr>
        <w:t xml:space="preserve"> using cash, </w:t>
      </w:r>
      <w:r w:rsidR="006B28C1">
        <w:rPr>
          <w:lang w:val="en-GB"/>
        </w:rPr>
        <w:t>which had the effect of considerably lowering the level of business</w:t>
      </w:r>
      <w:r w:rsidRPr="000343FB">
        <w:rPr>
          <w:lang w:val="en-GB"/>
        </w:rPr>
        <w:t xml:space="preserve"> confiden</w:t>
      </w:r>
      <w:r w:rsidR="006B28C1">
        <w:rPr>
          <w:lang w:val="en-GB"/>
        </w:rPr>
        <w:t>ce in the system</w:t>
      </w:r>
      <w:r w:rsidRPr="000343FB">
        <w:rPr>
          <w:lang w:val="en-GB"/>
        </w:rPr>
        <w:t xml:space="preserve">. For TDC, </w:t>
      </w:r>
      <w:r w:rsidR="006B28C1">
        <w:rPr>
          <w:lang w:val="en-GB"/>
        </w:rPr>
        <w:t xml:space="preserve">however, </w:t>
      </w:r>
      <w:r w:rsidRPr="000343FB">
        <w:rPr>
          <w:lang w:val="en-GB"/>
        </w:rPr>
        <w:t xml:space="preserve">the impact was </w:t>
      </w:r>
      <w:r w:rsidR="006B28C1">
        <w:rPr>
          <w:lang w:val="en-GB"/>
        </w:rPr>
        <w:t>less pronounced because</w:t>
      </w:r>
      <w:r w:rsidRPr="000343FB">
        <w:rPr>
          <w:lang w:val="en-GB"/>
        </w:rPr>
        <w:t xml:space="preserve"> almost 90 per</w:t>
      </w:r>
      <w:r w:rsidR="006B28C1">
        <w:rPr>
          <w:lang w:val="en-GB"/>
        </w:rPr>
        <w:t xml:space="preserve"> </w:t>
      </w:r>
      <w:r w:rsidRPr="000343FB">
        <w:rPr>
          <w:lang w:val="en-GB"/>
        </w:rPr>
        <w:t>cent of its offerings were purchased by customers using mobile phones</w:t>
      </w:r>
      <w:r w:rsidR="006B28C1">
        <w:rPr>
          <w:lang w:val="en-GB"/>
        </w:rPr>
        <w:t>,</w:t>
      </w:r>
      <w:r w:rsidRPr="000343FB">
        <w:rPr>
          <w:lang w:val="en-GB"/>
        </w:rPr>
        <w:t xml:space="preserve"> who were already comfortable with </w:t>
      </w:r>
      <w:r w:rsidR="006B28C1">
        <w:rPr>
          <w:lang w:val="en-GB"/>
        </w:rPr>
        <w:t>online transactions</w:t>
      </w:r>
      <w:r w:rsidRPr="000343FB">
        <w:rPr>
          <w:lang w:val="en-GB"/>
        </w:rPr>
        <w:t xml:space="preserve">. </w:t>
      </w:r>
      <w:r w:rsidR="006B28C1">
        <w:rPr>
          <w:lang w:val="en-GB"/>
        </w:rPr>
        <w:t>Most</w:t>
      </w:r>
      <w:r w:rsidR="002B2FDF">
        <w:rPr>
          <w:lang w:val="en-GB"/>
        </w:rPr>
        <w:t xml:space="preserve"> TDC mobile customers used </w:t>
      </w:r>
      <w:r w:rsidR="002237BB">
        <w:rPr>
          <w:lang w:val="en-GB"/>
        </w:rPr>
        <w:t>Apple’s</w:t>
      </w:r>
      <w:r w:rsidRPr="000343FB">
        <w:rPr>
          <w:lang w:val="en-GB"/>
        </w:rPr>
        <w:t xml:space="preserve"> iOS </w:t>
      </w:r>
      <w:r w:rsidR="002B2FDF">
        <w:rPr>
          <w:lang w:val="en-GB"/>
        </w:rPr>
        <w:t>operating system, which was an indication of the company’s</w:t>
      </w:r>
      <w:r w:rsidRPr="000343FB">
        <w:rPr>
          <w:lang w:val="en-GB"/>
        </w:rPr>
        <w:t xml:space="preserve"> high</w:t>
      </w:r>
      <w:r w:rsidR="002237BB">
        <w:rPr>
          <w:lang w:val="en-GB"/>
        </w:rPr>
        <w:t>-</w:t>
      </w:r>
      <w:r w:rsidRPr="000343FB">
        <w:rPr>
          <w:lang w:val="en-GB"/>
        </w:rPr>
        <w:t>end customer base</w:t>
      </w:r>
      <w:r w:rsidR="002237BB">
        <w:rPr>
          <w:lang w:val="en-GB"/>
        </w:rPr>
        <w:t>. This fact</w:t>
      </w:r>
      <w:r w:rsidR="002B2FDF">
        <w:rPr>
          <w:lang w:val="en-GB"/>
        </w:rPr>
        <w:t xml:space="preserve"> further confirmed the relatively low effect of the</w:t>
      </w:r>
      <w:r w:rsidRPr="000343FB">
        <w:rPr>
          <w:lang w:val="en-GB"/>
        </w:rPr>
        <w:t xml:space="preserve"> demonetization </w:t>
      </w:r>
      <w:r w:rsidR="002B2FDF">
        <w:rPr>
          <w:lang w:val="en-GB"/>
        </w:rPr>
        <w:t>initiative</w:t>
      </w:r>
      <w:r w:rsidRPr="000343FB">
        <w:rPr>
          <w:lang w:val="en-GB"/>
        </w:rPr>
        <w:t xml:space="preserve">. Nevertheless, </w:t>
      </w:r>
      <w:r w:rsidR="002B2FDF">
        <w:rPr>
          <w:lang w:val="en-GB"/>
        </w:rPr>
        <w:t>TDC</w:t>
      </w:r>
      <w:r w:rsidRPr="000343FB">
        <w:rPr>
          <w:lang w:val="en-GB"/>
        </w:rPr>
        <w:t xml:space="preserve"> decided to move </w:t>
      </w:r>
      <w:r w:rsidR="002B2FDF">
        <w:rPr>
          <w:lang w:val="en-GB"/>
        </w:rPr>
        <w:t>i</w:t>
      </w:r>
      <w:r w:rsidRPr="000343FB">
        <w:rPr>
          <w:lang w:val="en-GB"/>
        </w:rPr>
        <w:t>t</w:t>
      </w:r>
      <w:r w:rsidR="002B2FDF">
        <w:rPr>
          <w:lang w:val="en-GB"/>
        </w:rPr>
        <w:t>s</w:t>
      </w:r>
      <w:r w:rsidRPr="000343FB">
        <w:rPr>
          <w:lang w:val="en-GB"/>
        </w:rPr>
        <w:t xml:space="preserve"> brands entirely away from </w:t>
      </w:r>
      <w:r w:rsidR="002B2FDF">
        <w:rPr>
          <w:lang w:val="en-GB"/>
        </w:rPr>
        <w:t xml:space="preserve">the </w:t>
      </w:r>
      <w:r w:rsidRPr="000343FB">
        <w:rPr>
          <w:lang w:val="en-GB"/>
        </w:rPr>
        <w:t>COD</w:t>
      </w:r>
      <w:r w:rsidR="002B2FDF">
        <w:rPr>
          <w:lang w:val="en-GB"/>
        </w:rPr>
        <w:t xml:space="preserve"> system</w:t>
      </w:r>
      <w:r w:rsidRPr="000343FB">
        <w:rPr>
          <w:lang w:val="en-GB"/>
        </w:rPr>
        <w:t xml:space="preserve">.    </w:t>
      </w:r>
    </w:p>
    <w:p w14:paraId="6FE0FB18" w14:textId="77777777" w:rsidR="00146BF2" w:rsidRPr="000343FB" w:rsidRDefault="00146BF2" w:rsidP="00146BF2">
      <w:pPr>
        <w:pStyle w:val="BodyTextMain"/>
        <w:rPr>
          <w:lang w:val="en-GB"/>
        </w:rPr>
      </w:pPr>
    </w:p>
    <w:p w14:paraId="250DC9B9" w14:textId="1CD02C49" w:rsidR="00146BF2" w:rsidRPr="000343FB" w:rsidRDefault="002B2FDF" w:rsidP="00146BF2">
      <w:pPr>
        <w:pStyle w:val="BodyTextMain"/>
        <w:rPr>
          <w:lang w:val="en-GB"/>
        </w:rPr>
      </w:pPr>
      <w:r>
        <w:rPr>
          <w:lang w:val="en-GB"/>
        </w:rPr>
        <w:t>T</w:t>
      </w:r>
      <w:r w:rsidR="00146BF2" w:rsidRPr="000343FB">
        <w:rPr>
          <w:lang w:val="en-GB"/>
        </w:rPr>
        <w:t xml:space="preserve">he </w:t>
      </w:r>
      <w:r>
        <w:rPr>
          <w:lang w:val="en-GB"/>
        </w:rPr>
        <w:t xml:space="preserve">company’s </w:t>
      </w:r>
      <w:r w:rsidR="00146BF2" w:rsidRPr="000343FB">
        <w:rPr>
          <w:lang w:val="en-GB"/>
        </w:rPr>
        <w:t>shift away from cash-based transactions</w:t>
      </w:r>
      <w:r>
        <w:rPr>
          <w:lang w:val="en-GB"/>
        </w:rPr>
        <w:t xml:space="preserve"> was expected to have negative results for the</w:t>
      </w:r>
      <w:r w:rsidR="00146BF2" w:rsidRPr="000343FB">
        <w:rPr>
          <w:lang w:val="en-GB"/>
        </w:rPr>
        <w:t xml:space="preserve"> </w:t>
      </w:r>
      <w:proofErr w:type="spellStart"/>
      <w:r w:rsidR="00146BF2" w:rsidRPr="000343FB">
        <w:rPr>
          <w:lang w:val="en-GB"/>
        </w:rPr>
        <w:t>Koolho</w:t>
      </w:r>
      <w:proofErr w:type="spellEnd"/>
      <w:r w:rsidR="00146BF2" w:rsidRPr="000343FB">
        <w:rPr>
          <w:lang w:val="en-GB"/>
        </w:rPr>
        <w:t xml:space="preserve"> </w:t>
      </w:r>
      <w:r>
        <w:rPr>
          <w:lang w:val="en-GB"/>
        </w:rPr>
        <w:t>brand, which</w:t>
      </w:r>
      <w:r w:rsidR="00146BF2" w:rsidRPr="000343FB">
        <w:rPr>
          <w:lang w:val="en-GB"/>
        </w:rPr>
        <w:t xml:space="preserve"> was </w:t>
      </w:r>
      <w:r>
        <w:rPr>
          <w:lang w:val="en-GB"/>
        </w:rPr>
        <w:t xml:space="preserve">considered </w:t>
      </w:r>
      <w:r w:rsidR="00146BF2" w:rsidRPr="000343FB">
        <w:rPr>
          <w:lang w:val="en-GB"/>
        </w:rPr>
        <w:t>a value</w:t>
      </w:r>
      <w:r>
        <w:rPr>
          <w:lang w:val="en-GB"/>
        </w:rPr>
        <w:t>-</w:t>
      </w:r>
      <w:r w:rsidR="00146BF2" w:rsidRPr="000343FB">
        <w:rPr>
          <w:lang w:val="en-GB"/>
        </w:rPr>
        <w:t>for</w:t>
      </w:r>
      <w:r>
        <w:rPr>
          <w:lang w:val="en-GB"/>
        </w:rPr>
        <w:t>-</w:t>
      </w:r>
      <w:r w:rsidR="00146BF2" w:rsidRPr="000343FB">
        <w:rPr>
          <w:lang w:val="en-GB"/>
        </w:rPr>
        <w:t xml:space="preserve">money offering. </w:t>
      </w:r>
      <w:r w:rsidR="002237BB">
        <w:rPr>
          <w:lang w:val="en-GB"/>
        </w:rPr>
        <w:t>Singh worried that t</w:t>
      </w:r>
      <w:r w:rsidR="00146BF2" w:rsidRPr="000343FB">
        <w:rPr>
          <w:lang w:val="en-GB"/>
        </w:rPr>
        <w:t xml:space="preserve">he </w:t>
      </w:r>
      <w:r>
        <w:rPr>
          <w:lang w:val="en-GB"/>
        </w:rPr>
        <w:t xml:space="preserve">brand’s </w:t>
      </w:r>
      <w:r w:rsidR="00146BF2" w:rsidRPr="000343FB">
        <w:rPr>
          <w:lang w:val="en-GB"/>
        </w:rPr>
        <w:t xml:space="preserve">largely COD-friendly clientele </w:t>
      </w:r>
      <w:r w:rsidR="002237BB">
        <w:rPr>
          <w:lang w:val="en-GB"/>
        </w:rPr>
        <w:t>might</w:t>
      </w:r>
      <w:r w:rsidR="00146BF2" w:rsidRPr="000343FB">
        <w:rPr>
          <w:lang w:val="en-GB"/>
        </w:rPr>
        <w:t xml:space="preserve"> abandon the brand</w:t>
      </w:r>
      <w:r>
        <w:rPr>
          <w:lang w:val="en-GB"/>
        </w:rPr>
        <w:t xml:space="preserve"> altogether</w:t>
      </w:r>
      <w:r w:rsidR="00146BF2" w:rsidRPr="000343FB">
        <w:rPr>
          <w:lang w:val="en-GB"/>
        </w:rPr>
        <w:t xml:space="preserve">, </w:t>
      </w:r>
      <w:r>
        <w:rPr>
          <w:lang w:val="en-GB"/>
        </w:rPr>
        <w:t xml:space="preserve">but </w:t>
      </w:r>
      <w:r w:rsidR="002237BB">
        <w:rPr>
          <w:lang w:val="en-GB"/>
        </w:rPr>
        <w:t>he managed to</w:t>
      </w:r>
      <w:r>
        <w:rPr>
          <w:lang w:val="en-GB"/>
        </w:rPr>
        <w:t xml:space="preserve"> avoid negative effects:</w:t>
      </w:r>
      <w:r w:rsidR="00146BF2" w:rsidRPr="000343FB">
        <w:rPr>
          <w:lang w:val="en-GB"/>
        </w:rPr>
        <w:t xml:space="preserve"> </w:t>
      </w:r>
    </w:p>
    <w:p w14:paraId="1D007761" w14:textId="77777777" w:rsidR="00146BF2" w:rsidRPr="000343FB" w:rsidRDefault="00146BF2" w:rsidP="00146BF2">
      <w:pPr>
        <w:pStyle w:val="BodyTextMain"/>
        <w:rPr>
          <w:lang w:val="en-GB"/>
        </w:rPr>
      </w:pPr>
    </w:p>
    <w:p w14:paraId="35F08E6B" w14:textId="0DE65A3F" w:rsidR="00146BF2" w:rsidRPr="000343FB" w:rsidRDefault="00146BF2" w:rsidP="00412C0E">
      <w:pPr>
        <w:pStyle w:val="BodyTextMain"/>
        <w:ind w:left="720"/>
        <w:rPr>
          <w:rFonts w:eastAsia="Calibri"/>
          <w:lang w:val="en-GB"/>
        </w:rPr>
      </w:pPr>
      <w:r w:rsidRPr="000343FB">
        <w:rPr>
          <w:rFonts w:eastAsia="Calibri"/>
          <w:lang w:val="en-GB"/>
        </w:rPr>
        <w:t>Here our strategy was very different</w:t>
      </w:r>
      <w:r w:rsidR="002B2FDF">
        <w:rPr>
          <w:rFonts w:eastAsia="Calibri"/>
          <w:lang w:val="en-GB"/>
        </w:rPr>
        <w:t>,</w:t>
      </w:r>
      <w:r w:rsidRPr="000343FB">
        <w:rPr>
          <w:rFonts w:eastAsia="Calibri"/>
          <w:lang w:val="en-GB"/>
        </w:rPr>
        <w:t xml:space="preserve"> as the prices that we offered were low. We did not offer a free</w:t>
      </w:r>
      <w:r w:rsidR="002B2FDF">
        <w:rPr>
          <w:rFonts w:eastAsia="Calibri"/>
          <w:lang w:val="en-GB"/>
        </w:rPr>
        <w:t>-</w:t>
      </w:r>
      <w:r w:rsidRPr="000343FB">
        <w:rPr>
          <w:rFonts w:eastAsia="Calibri"/>
          <w:lang w:val="en-GB"/>
        </w:rPr>
        <w:t>return pick</w:t>
      </w:r>
      <w:r w:rsidR="002B2FDF">
        <w:rPr>
          <w:rFonts w:eastAsia="Calibri"/>
          <w:lang w:val="en-GB"/>
        </w:rPr>
        <w:t>-</w:t>
      </w:r>
      <w:r w:rsidRPr="000343FB">
        <w:rPr>
          <w:rFonts w:eastAsia="Calibri"/>
          <w:lang w:val="en-GB"/>
        </w:rPr>
        <w:t>up facility for COD customers. If we did that, we would have been at a loss</w:t>
      </w:r>
      <w:r w:rsidR="002B2FDF">
        <w:rPr>
          <w:rFonts w:eastAsia="Calibri"/>
          <w:lang w:val="en-GB"/>
        </w:rPr>
        <w:t>,</w:t>
      </w:r>
      <w:r w:rsidRPr="000343FB">
        <w:rPr>
          <w:rFonts w:eastAsia="Calibri"/>
          <w:lang w:val="en-GB"/>
        </w:rPr>
        <w:t xml:space="preserve"> since the volume for </w:t>
      </w:r>
      <w:proofErr w:type="spellStart"/>
      <w:r w:rsidRPr="000343FB">
        <w:rPr>
          <w:rFonts w:eastAsia="Calibri"/>
          <w:lang w:val="en-GB"/>
        </w:rPr>
        <w:t>Koolho</w:t>
      </w:r>
      <w:proofErr w:type="spellEnd"/>
      <w:r w:rsidRPr="000343FB">
        <w:rPr>
          <w:rFonts w:eastAsia="Calibri"/>
          <w:lang w:val="en-GB"/>
        </w:rPr>
        <w:t xml:space="preserve"> was very high</w:t>
      </w:r>
      <w:r w:rsidR="002B2FDF">
        <w:rPr>
          <w:rFonts w:eastAsia="Calibri"/>
          <w:lang w:val="en-GB"/>
        </w:rPr>
        <w:t>,</w:t>
      </w:r>
      <w:r w:rsidRPr="000343FB">
        <w:rPr>
          <w:rFonts w:eastAsia="Calibri"/>
          <w:lang w:val="en-GB"/>
        </w:rPr>
        <w:t xml:space="preserve"> and therefore returns were proportionately high too. </w:t>
      </w:r>
      <w:proofErr w:type="spellStart"/>
      <w:r w:rsidRPr="000343FB">
        <w:rPr>
          <w:rFonts w:eastAsia="Calibri"/>
          <w:lang w:val="en-GB"/>
        </w:rPr>
        <w:t>Koolho</w:t>
      </w:r>
      <w:proofErr w:type="spellEnd"/>
      <w:r w:rsidRPr="000343FB">
        <w:rPr>
          <w:rFonts w:eastAsia="Calibri"/>
          <w:lang w:val="en-GB"/>
        </w:rPr>
        <w:t xml:space="preserve"> customers were required to pay through any online mode of payment</w:t>
      </w:r>
      <w:r w:rsidR="002B2FDF">
        <w:rPr>
          <w:rFonts w:eastAsia="Calibri"/>
          <w:lang w:val="en-GB"/>
        </w:rPr>
        <w:t>,</w:t>
      </w:r>
      <w:r w:rsidRPr="000343FB">
        <w:rPr>
          <w:rFonts w:eastAsia="Calibri"/>
          <w:lang w:val="en-GB"/>
        </w:rPr>
        <w:t xml:space="preserve"> such as credit cards, debit cards, electronic payment wallets</w:t>
      </w:r>
      <w:r w:rsidR="002B2FDF">
        <w:rPr>
          <w:rFonts w:eastAsia="Calibri"/>
          <w:lang w:val="en-GB"/>
        </w:rPr>
        <w:t>,</w:t>
      </w:r>
      <w:r w:rsidRPr="000343FB">
        <w:rPr>
          <w:rFonts w:eastAsia="Calibri"/>
          <w:lang w:val="en-GB"/>
        </w:rPr>
        <w:t xml:space="preserve"> or net banking. However, this did not mean that we wouldn’t accept any returns. We have a very good return policy in effect. However, our belief has been that when somebody receives a pre-paid shipment, it resulted in an almost 90 per</w:t>
      </w:r>
      <w:r w:rsidR="002B2FDF">
        <w:rPr>
          <w:rFonts w:eastAsia="Calibri"/>
          <w:lang w:val="en-GB"/>
        </w:rPr>
        <w:t xml:space="preserve"> </w:t>
      </w:r>
      <w:r w:rsidRPr="000343FB">
        <w:rPr>
          <w:rFonts w:eastAsia="Calibri"/>
          <w:lang w:val="en-GB"/>
        </w:rPr>
        <w:t>cent acceptance, whereas with a COD facility</w:t>
      </w:r>
      <w:r w:rsidR="002B2FDF">
        <w:rPr>
          <w:rFonts w:eastAsia="Calibri"/>
          <w:lang w:val="en-GB"/>
        </w:rPr>
        <w:t>,</w:t>
      </w:r>
      <w:r w:rsidRPr="000343FB">
        <w:rPr>
          <w:rFonts w:eastAsia="Calibri"/>
          <w:lang w:val="en-GB"/>
        </w:rPr>
        <w:t xml:space="preserve"> there was a </w:t>
      </w:r>
      <w:r w:rsidR="002B2FDF">
        <w:rPr>
          <w:rFonts w:eastAsia="Calibri"/>
          <w:lang w:val="en-GB"/>
        </w:rPr>
        <w:t>fifty</w:t>
      </w:r>
      <w:r w:rsidR="00330063">
        <w:rPr>
          <w:rFonts w:eastAsia="Calibri"/>
          <w:lang w:val="en-GB"/>
        </w:rPr>
        <w:t>–</w:t>
      </w:r>
      <w:r w:rsidR="002B2FDF">
        <w:rPr>
          <w:rFonts w:eastAsia="Calibri"/>
          <w:lang w:val="en-GB"/>
        </w:rPr>
        <w:t>fifty</w:t>
      </w:r>
      <w:r w:rsidRPr="000343FB">
        <w:rPr>
          <w:rFonts w:eastAsia="Calibri"/>
          <w:lang w:val="en-GB"/>
        </w:rPr>
        <w:t xml:space="preserve"> chance of the product being returned, often on insufficient grounds. So</w:t>
      </w:r>
      <w:r w:rsidR="002B2FDF">
        <w:rPr>
          <w:rFonts w:eastAsia="Calibri"/>
          <w:lang w:val="en-GB"/>
        </w:rPr>
        <w:t>,</w:t>
      </w:r>
      <w:r w:rsidRPr="000343FB">
        <w:rPr>
          <w:rFonts w:eastAsia="Calibri"/>
          <w:lang w:val="en-GB"/>
        </w:rPr>
        <w:t xml:space="preserve"> we were not going to sell through COD. Our exciting prices and excellent quality were strong enough incentives for our customers to buy by paying up</w:t>
      </w:r>
      <w:r w:rsidR="002B2FDF">
        <w:rPr>
          <w:rFonts w:eastAsia="Calibri"/>
          <w:lang w:val="en-GB"/>
        </w:rPr>
        <w:t xml:space="preserve"> </w:t>
      </w:r>
      <w:r w:rsidRPr="000343FB">
        <w:rPr>
          <w:rFonts w:eastAsia="Calibri"/>
          <w:lang w:val="en-GB"/>
        </w:rPr>
        <w:t>front.</w:t>
      </w:r>
    </w:p>
    <w:p w14:paraId="689471F7" w14:textId="043BF671" w:rsidR="00146BF2" w:rsidRDefault="00146BF2" w:rsidP="00146BF2">
      <w:pPr>
        <w:pStyle w:val="BodyTextMain"/>
        <w:rPr>
          <w:rFonts w:eastAsia="Calibri"/>
          <w:lang w:val="en-GB"/>
        </w:rPr>
      </w:pPr>
    </w:p>
    <w:p w14:paraId="0B69F1D8" w14:textId="77777777" w:rsidR="002B2FDF" w:rsidRPr="000343FB" w:rsidRDefault="002B2FDF" w:rsidP="00146BF2">
      <w:pPr>
        <w:pStyle w:val="BodyTextMain"/>
        <w:rPr>
          <w:rFonts w:eastAsia="Calibri"/>
          <w:lang w:val="en-GB"/>
        </w:rPr>
      </w:pPr>
    </w:p>
    <w:p w14:paraId="21E4FB6E" w14:textId="77777777" w:rsidR="00146BF2" w:rsidRPr="000343FB" w:rsidRDefault="00146BF2" w:rsidP="00146BF2">
      <w:pPr>
        <w:pStyle w:val="Casehead1"/>
        <w:rPr>
          <w:lang w:val="en-GB"/>
        </w:rPr>
      </w:pPr>
      <w:r w:rsidRPr="000343FB">
        <w:rPr>
          <w:lang w:val="en-GB"/>
        </w:rPr>
        <w:t>THE CUSTOMER PERSONA</w:t>
      </w:r>
    </w:p>
    <w:p w14:paraId="688E779C" w14:textId="77777777" w:rsidR="00146BF2" w:rsidRPr="000343FB" w:rsidRDefault="00146BF2" w:rsidP="00146BF2">
      <w:pPr>
        <w:pStyle w:val="BodyTextMain"/>
        <w:rPr>
          <w:lang w:val="en-GB"/>
        </w:rPr>
      </w:pPr>
    </w:p>
    <w:p w14:paraId="1EC350C7" w14:textId="5920EC9D" w:rsidR="007778F8" w:rsidRDefault="00146BF2" w:rsidP="00146BF2">
      <w:pPr>
        <w:pStyle w:val="BodyTextMain"/>
        <w:rPr>
          <w:rFonts w:eastAsia="Calibri"/>
          <w:lang w:val="en-GB"/>
        </w:rPr>
      </w:pPr>
      <w:r w:rsidRPr="000343FB">
        <w:rPr>
          <w:rFonts w:eastAsia="Calibri"/>
          <w:lang w:val="en-GB"/>
        </w:rPr>
        <w:t>True to its music-inspired philosophy, TDC offered trend-setting fashion apparel, footwear</w:t>
      </w:r>
      <w:r w:rsidR="007778F8">
        <w:rPr>
          <w:rFonts w:eastAsia="Calibri"/>
          <w:lang w:val="en-GB"/>
        </w:rPr>
        <w:t>,</w:t>
      </w:r>
      <w:r w:rsidRPr="000343FB">
        <w:rPr>
          <w:rFonts w:eastAsia="Calibri"/>
          <w:lang w:val="en-GB"/>
        </w:rPr>
        <w:t xml:space="preserve"> and accessories that catered to the unique requirements of its core consumer groups, a niche group of music enthusiasts (particularly</w:t>
      </w:r>
      <w:r w:rsidR="007778F8">
        <w:rPr>
          <w:rFonts w:eastAsia="Calibri"/>
          <w:lang w:val="en-GB"/>
        </w:rPr>
        <w:t>,</w:t>
      </w:r>
      <w:r w:rsidRPr="000343FB">
        <w:rPr>
          <w:rFonts w:eastAsia="Calibri"/>
          <w:lang w:val="en-GB"/>
        </w:rPr>
        <w:t xml:space="preserve"> hip</w:t>
      </w:r>
      <w:r w:rsidR="00901F18">
        <w:rPr>
          <w:rFonts w:eastAsia="Calibri"/>
          <w:lang w:val="en-GB"/>
        </w:rPr>
        <w:t xml:space="preserve"> </w:t>
      </w:r>
      <w:r w:rsidRPr="000343FB">
        <w:rPr>
          <w:rFonts w:eastAsia="Calibri"/>
          <w:lang w:val="en-GB"/>
        </w:rPr>
        <w:t xml:space="preserve">hop and EDM </w:t>
      </w:r>
      <w:r w:rsidR="007778F8">
        <w:rPr>
          <w:rFonts w:eastAsia="Calibri"/>
          <w:lang w:val="en-GB"/>
        </w:rPr>
        <w:t>listeners</w:t>
      </w:r>
      <w:r w:rsidRPr="000343FB">
        <w:rPr>
          <w:rFonts w:eastAsia="Calibri"/>
          <w:lang w:val="en-GB"/>
        </w:rPr>
        <w:t xml:space="preserve">) who believed in making a statement with their appearance. </w:t>
      </w:r>
      <w:r w:rsidR="007778F8">
        <w:rPr>
          <w:rFonts w:eastAsia="Calibri"/>
          <w:lang w:val="en-GB"/>
        </w:rPr>
        <w:t>These consumers</w:t>
      </w:r>
      <w:r w:rsidRPr="000343FB">
        <w:rPr>
          <w:rFonts w:eastAsia="Calibri"/>
          <w:lang w:val="en-GB"/>
        </w:rPr>
        <w:t xml:space="preserve"> identified strongly with like-minded people and were motivated by a desire to belong to the community of </w:t>
      </w:r>
      <w:r w:rsidR="00C162DC">
        <w:rPr>
          <w:rFonts w:eastAsia="Calibri"/>
          <w:lang w:val="en-GB"/>
        </w:rPr>
        <w:t>so-called “</w:t>
      </w:r>
      <w:r w:rsidRPr="000343FB">
        <w:rPr>
          <w:rFonts w:eastAsia="Calibri"/>
          <w:lang w:val="en-GB"/>
        </w:rPr>
        <w:t>swaggers.</w:t>
      </w:r>
      <w:r w:rsidR="00C162DC">
        <w:rPr>
          <w:rFonts w:eastAsia="Calibri"/>
          <w:lang w:val="en-GB"/>
        </w:rPr>
        <w:t>”</w:t>
      </w:r>
      <w:r w:rsidRPr="000343FB">
        <w:rPr>
          <w:rFonts w:eastAsia="Calibri"/>
          <w:lang w:val="en-GB"/>
        </w:rPr>
        <w:t xml:space="preserve"> Singh </w:t>
      </w:r>
      <w:r w:rsidR="007778F8">
        <w:rPr>
          <w:rFonts w:eastAsia="Calibri"/>
          <w:lang w:val="en-GB"/>
        </w:rPr>
        <w:t>had a clear vision of</w:t>
      </w:r>
      <w:r w:rsidRPr="000343FB">
        <w:rPr>
          <w:rFonts w:eastAsia="Calibri"/>
          <w:lang w:val="en-GB"/>
        </w:rPr>
        <w:t xml:space="preserve"> his target customer (</w:t>
      </w:r>
      <w:r w:rsidR="007778F8">
        <w:rPr>
          <w:rFonts w:eastAsia="Calibri"/>
          <w:lang w:val="en-GB"/>
        </w:rPr>
        <w:t>see</w:t>
      </w:r>
      <w:r w:rsidRPr="000343FB">
        <w:rPr>
          <w:rFonts w:eastAsia="Calibri"/>
          <w:lang w:val="en-GB"/>
        </w:rPr>
        <w:t xml:space="preserve"> Exhibit 6)</w:t>
      </w:r>
      <w:r w:rsidR="007778F8">
        <w:rPr>
          <w:rFonts w:eastAsia="Calibri"/>
          <w:lang w:val="en-GB"/>
        </w:rPr>
        <w:t>:</w:t>
      </w:r>
    </w:p>
    <w:p w14:paraId="53FAEA45" w14:textId="77777777" w:rsidR="007778F8" w:rsidRDefault="007778F8" w:rsidP="00146BF2">
      <w:pPr>
        <w:pStyle w:val="BodyTextMain"/>
        <w:rPr>
          <w:rFonts w:eastAsia="Calibri"/>
          <w:lang w:val="en-GB"/>
        </w:rPr>
      </w:pPr>
    </w:p>
    <w:p w14:paraId="3C8F94E8" w14:textId="74EAF242" w:rsidR="00146BF2" w:rsidRPr="000343FB" w:rsidRDefault="00C162DC" w:rsidP="00412C0E">
      <w:pPr>
        <w:pStyle w:val="BodyTextMain"/>
        <w:ind w:left="720"/>
        <w:rPr>
          <w:rFonts w:eastAsia="Calibri"/>
          <w:lang w:val="en-GB"/>
        </w:rPr>
      </w:pPr>
      <w:r>
        <w:rPr>
          <w:rFonts w:eastAsia="Calibri"/>
          <w:lang w:val="en-GB"/>
        </w:rPr>
        <w:t>[The target is] y</w:t>
      </w:r>
      <w:r w:rsidR="00146BF2" w:rsidRPr="000343FB">
        <w:rPr>
          <w:rFonts w:eastAsia="Calibri"/>
          <w:lang w:val="en-GB"/>
        </w:rPr>
        <w:t>outh in the age group of 14</w:t>
      </w:r>
      <w:r w:rsidR="007778F8">
        <w:rPr>
          <w:rFonts w:eastAsia="Calibri"/>
          <w:lang w:val="en-GB"/>
        </w:rPr>
        <w:t>–</w:t>
      </w:r>
      <w:r w:rsidR="00146BF2" w:rsidRPr="000343FB">
        <w:rPr>
          <w:rFonts w:eastAsia="Calibri"/>
          <w:lang w:val="en-GB"/>
        </w:rPr>
        <w:t>24 years</w:t>
      </w:r>
      <w:r w:rsidR="007778F8">
        <w:rPr>
          <w:rFonts w:eastAsia="Calibri"/>
          <w:lang w:val="en-GB"/>
        </w:rPr>
        <w:t>. W</w:t>
      </w:r>
      <w:r w:rsidR="00146BF2" w:rsidRPr="000343FB">
        <w:rPr>
          <w:rFonts w:eastAsia="Calibri"/>
          <w:lang w:val="en-GB"/>
        </w:rPr>
        <w:t>hen you find someone wearing earphones and listening to some music constantly, they usually listen to hip</w:t>
      </w:r>
      <w:r w:rsidR="00330063">
        <w:rPr>
          <w:rFonts w:eastAsia="Calibri"/>
          <w:lang w:val="en-GB"/>
        </w:rPr>
        <w:t xml:space="preserve"> </w:t>
      </w:r>
      <w:r w:rsidR="00146BF2" w:rsidRPr="000343FB">
        <w:rPr>
          <w:rFonts w:eastAsia="Calibri"/>
          <w:lang w:val="en-GB"/>
        </w:rPr>
        <w:t>hop</w:t>
      </w:r>
      <w:r w:rsidR="007778F8">
        <w:rPr>
          <w:rFonts w:eastAsia="Calibri"/>
          <w:lang w:val="en-GB"/>
        </w:rPr>
        <w:t>. Y</w:t>
      </w:r>
      <w:r w:rsidR="00146BF2" w:rsidRPr="000343FB">
        <w:rPr>
          <w:rFonts w:eastAsia="Calibri"/>
          <w:lang w:val="en-GB"/>
        </w:rPr>
        <w:t>ou see them in tight, brightly colo</w:t>
      </w:r>
      <w:r>
        <w:rPr>
          <w:rFonts w:eastAsia="Calibri"/>
          <w:lang w:val="en-GB"/>
        </w:rPr>
        <w:t>u</w:t>
      </w:r>
      <w:r w:rsidR="00146BF2" w:rsidRPr="000343FB">
        <w:rPr>
          <w:rFonts w:eastAsia="Calibri"/>
          <w:lang w:val="en-GB"/>
        </w:rPr>
        <w:t>red clothes with matching accessories</w:t>
      </w:r>
      <w:r w:rsidR="007778F8">
        <w:rPr>
          <w:rFonts w:eastAsia="Calibri"/>
          <w:lang w:val="en-GB"/>
        </w:rPr>
        <w:t>. T</w:t>
      </w:r>
      <w:r w:rsidR="00146BF2" w:rsidRPr="000343FB">
        <w:rPr>
          <w:rFonts w:eastAsia="Calibri"/>
          <w:lang w:val="en-GB"/>
        </w:rPr>
        <w:t>hey are our target</w:t>
      </w:r>
      <w:r w:rsidR="007778F8">
        <w:rPr>
          <w:rFonts w:eastAsia="Calibri"/>
          <w:lang w:val="en-GB"/>
        </w:rPr>
        <w:t>. T</w:t>
      </w:r>
      <w:r w:rsidR="00146BF2" w:rsidRPr="000343FB">
        <w:rPr>
          <w:rFonts w:eastAsia="Calibri"/>
          <w:lang w:val="en-GB"/>
        </w:rPr>
        <w:t>hey could be anybody</w:t>
      </w:r>
      <w:r w:rsidR="007778F8">
        <w:rPr>
          <w:rFonts w:eastAsia="Calibri"/>
          <w:lang w:val="en-GB"/>
        </w:rPr>
        <w:t>. W</w:t>
      </w:r>
      <w:r w:rsidR="00146BF2" w:rsidRPr="000343FB">
        <w:rPr>
          <w:rFonts w:eastAsia="Calibri"/>
          <w:lang w:val="en-GB"/>
        </w:rPr>
        <w:t>hatever they do, after work or when they take a break, they listen to music</w:t>
      </w:r>
      <w:r w:rsidR="007778F8">
        <w:rPr>
          <w:rFonts w:eastAsia="Calibri"/>
          <w:lang w:val="en-GB"/>
        </w:rPr>
        <w:t xml:space="preserve">, </w:t>
      </w:r>
      <w:r w:rsidR="00146BF2" w:rsidRPr="000343FB">
        <w:rPr>
          <w:rFonts w:eastAsia="Calibri"/>
          <w:lang w:val="en-GB"/>
        </w:rPr>
        <w:t>mainly hip</w:t>
      </w:r>
      <w:r w:rsidR="00330063">
        <w:rPr>
          <w:rFonts w:eastAsia="Calibri"/>
          <w:lang w:val="en-GB"/>
        </w:rPr>
        <w:t xml:space="preserve"> </w:t>
      </w:r>
      <w:r w:rsidR="00146BF2" w:rsidRPr="000343FB">
        <w:rPr>
          <w:rFonts w:eastAsia="Calibri"/>
          <w:lang w:val="en-GB"/>
        </w:rPr>
        <w:t>hop. Certainly, the young are our potential target</w:t>
      </w:r>
      <w:r w:rsidR="007778F8">
        <w:rPr>
          <w:rFonts w:eastAsia="Calibri"/>
          <w:lang w:val="en-GB"/>
        </w:rPr>
        <w:t xml:space="preserve">, </w:t>
      </w:r>
      <w:r w:rsidR="00146BF2" w:rsidRPr="000343FB">
        <w:rPr>
          <w:rFonts w:eastAsia="Calibri"/>
          <w:lang w:val="en-GB"/>
        </w:rPr>
        <w:t>even a boy of 13 years who listens to Justin B</w:t>
      </w:r>
      <w:r w:rsidR="00330063">
        <w:rPr>
          <w:rFonts w:eastAsia="Calibri"/>
          <w:lang w:val="en-GB"/>
        </w:rPr>
        <w:t>i</w:t>
      </w:r>
      <w:r w:rsidR="00146BF2" w:rsidRPr="000343FB">
        <w:rPr>
          <w:rFonts w:eastAsia="Calibri"/>
          <w:lang w:val="en-GB"/>
        </w:rPr>
        <w:t>eber, Meg</w:t>
      </w:r>
      <w:r w:rsidR="00330063">
        <w:rPr>
          <w:rFonts w:eastAsia="Calibri"/>
          <w:lang w:val="en-GB"/>
        </w:rPr>
        <w:t>h</w:t>
      </w:r>
      <w:r w:rsidR="00146BF2" w:rsidRPr="000343FB">
        <w:rPr>
          <w:rFonts w:eastAsia="Calibri"/>
          <w:lang w:val="en-GB"/>
        </w:rPr>
        <w:t xml:space="preserve">an </w:t>
      </w:r>
      <w:r w:rsidR="0011396A">
        <w:rPr>
          <w:rFonts w:eastAsia="Calibri"/>
          <w:lang w:val="en-GB"/>
        </w:rPr>
        <w:t>Trainor</w:t>
      </w:r>
      <w:r w:rsidR="007778F8">
        <w:rPr>
          <w:rFonts w:eastAsia="Calibri"/>
          <w:lang w:val="en-GB"/>
        </w:rPr>
        <w:t>,</w:t>
      </w:r>
      <w:r w:rsidR="008C0CEB">
        <w:rPr>
          <w:rFonts w:eastAsia="Calibri"/>
          <w:lang w:val="en-GB"/>
        </w:rPr>
        <w:t xml:space="preserve"> or Kanye West.</w:t>
      </w:r>
    </w:p>
    <w:p w14:paraId="6B505E12" w14:textId="77777777" w:rsidR="00146BF2" w:rsidRPr="000343FB" w:rsidRDefault="00146BF2" w:rsidP="00146BF2">
      <w:pPr>
        <w:pStyle w:val="BodyTextMain"/>
        <w:rPr>
          <w:rFonts w:eastAsia="Calibri"/>
          <w:lang w:val="en-GB"/>
        </w:rPr>
      </w:pPr>
    </w:p>
    <w:p w14:paraId="0535D7EC" w14:textId="5A03780B" w:rsidR="00146BF2" w:rsidRPr="000343FB" w:rsidRDefault="00146BF2" w:rsidP="00146BF2">
      <w:pPr>
        <w:pStyle w:val="BodyTextMain"/>
        <w:rPr>
          <w:rFonts w:eastAsia="Calibri"/>
          <w:shd w:val="clear" w:color="auto" w:fill="FFFFFF"/>
          <w:lang w:val="en-GB"/>
        </w:rPr>
      </w:pPr>
      <w:r w:rsidRPr="000343FB">
        <w:rPr>
          <w:rFonts w:eastAsia="Calibri"/>
          <w:lang w:val="en-GB"/>
        </w:rPr>
        <w:t>Globally</w:t>
      </w:r>
      <w:r w:rsidR="005D40C1">
        <w:rPr>
          <w:rFonts w:eastAsia="Calibri"/>
          <w:lang w:val="en-GB"/>
        </w:rPr>
        <w:t>,</w:t>
      </w:r>
      <w:r w:rsidRPr="000343FB">
        <w:rPr>
          <w:rFonts w:eastAsia="Calibri"/>
          <w:lang w:val="en-GB"/>
        </w:rPr>
        <w:t xml:space="preserve"> EDM listeners ha</w:t>
      </w:r>
      <w:r w:rsidR="008A6692">
        <w:rPr>
          <w:rFonts w:eastAsia="Calibri"/>
          <w:lang w:val="en-GB"/>
        </w:rPr>
        <w:t>d</w:t>
      </w:r>
      <w:r w:rsidR="005D40C1">
        <w:rPr>
          <w:rFonts w:eastAsia="Calibri"/>
          <w:lang w:val="en-GB"/>
        </w:rPr>
        <w:t xml:space="preserve"> specific</w:t>
      </w:r>
      <w:r w:rsidR="00330063">
        <w:rPr>
          <w:rFonts w:eastAsia="Calibri"/>
          <w:lang w:val="en-GB"/>
        </w:rPr>
        <w:t>,</w:t>
      </w:r>
      <w:r w:rsidRPr="000343FB">
        <w:rPr>
          <w:rFonts w:eastAsia="Calibri"/>
          <w:lang w:val="en-GB"/>
        </w:rPr>
        <w:t xml:space="preserve"> easily identifiable demographic characteristics. They </w:t>
      </w:r>
      <w:r w:rsidR="005D40C1">
        <w:rPr>
          <w:rFonts w:eastAsia="Calibri"/>
          <w:lang w:val="en-GB"/>
        </w:rPr>
        <w:t>could be</w:t>
      </w:r>
      <w:r w:rsidRPr="000343FB">
        <w:rPr>
          <w:rFonts w:eastAsia="Calibri"/>
          <w:lang w:val="en-GB"/>
        </w:rPr>
        <w:t xml:space="preserve"> almost equally male </w:t>
      </w:r>
      <w:r w:rsidR="005D40C1">
        <w:rPr>
          <w:rFonts w:eastAsia="Calibri"/>
          <w:lang w:val="en-GB"/>
        </w:rPr>
        <w:t>or</w:t>
      </w:r>
      <w:r w:rsidRPr="000343FB">
        <w:rPr>
          <w:rFonts w:eastAsia="Calibri"/>
          <w:lang w:val="en-GB"/>
        </w:rPr>
        <w:t xml:space="preserve"> female</w:t>
      </w:r>
      <w:r w:rsidR="00330063">
        <w:rPr>
          <w:rFonts w:eastAsia="Calibri"/>
          <w:lang w:val="en-GB"/>
        </w:rPr>
        <w:t>;</w:t>
      </w:r>
      <w:r w:rsidRPr="000343FB">
        <w:rPr>
          <w:rFonts w:eastAsia="Calibri"/>
          <w:lang w:val="en-GB"/>
        </w:rPr>
        <w:t xml:space="preserve"> </w:t>
      </w:r>
      <w:r w:rsidR="00330063">
        <w:rPr>
          <w:rFonts w:eastAsia="Calibri"/>
          <w:lang w:val="en-GB"/>
        </w:rPr>
        <w:t xml:space="preserve">were </w:t>
      </w:r>
      <w:r w:rsidR="005D40C1">
        <w:rPr>
          <w:rFonts w:eastAsia="Calibri"/>
          <w:lang w:val="en-GB"/>
        </w:rPr>
        <w:t>mostly</w:t>
      </w:r>
      <w:r w:rsidRPr="000343FB">
        <w:rPr>
          <w:rFonts w:eastAsia="Calibri"/>
          <w:lang w:val="en-GB"/>
        </w:rPr>
        <w:t xml:space="preserve"> white, African-American, </w:t>
      </w:r>
      <w:r w:rsidR="005D40C1">
        <w:rPr>
          <w:rFonts w:eastAsia="Calibri"/>
          <w:lang w:val="en-GB"/>
        </w:rPr>
        <w:t>or</w:t>
      </w:r>
      <w:r w:rsidRPr="000343FB">
        <w:rPr>
          <w:rFonts w:eastAsia="Calibri"/>
          <w:lang w:val="en-GB"/>
        </w:rPr>
        <w:t xml:space="preserve"> Hispanic</w:t>
      </w:r>
      <w:r w:rsidR="00330063">
        <w:rPr>
          <w:rFonts w:eastAsia="Calibri"/>
          <w:lang w:val="en-GB"/>
        </w:rPr>
        <w:t>;</w:t>
      </w:r>
      <w:r w:rsidRPr="000343FB">
        <w:rPr>
          <w:rFonts w:eastAsia="Calibri"/>
          <w:lang w:val="en-GB"/>
        </w:rPr>
        <w:t xml:space="preserve"> </w:t>
      </w:r>
      <w:r w:rsidR="00330063">
        <w:rPr>
          <w:rFonts w:eastAsia="Calibri"/>
          <w:lang w:val="en-GB"/>
        </w:rPr>
        <w:t>had</w:t>
      </w:r>
      <w:r w:rsidRPr="000343FB">
        <w:rPr>
          <w:rFonts w:eastAsia="Calibri"/>
          <w:lang w:val="en-GB"/>
        </w:rPr>
        <w:t xml:space="preserve"> high school and some college education</w:t>
      </w:r>
      <w:r w:rsidR="00330063">
        <w:rPr>
          <w:rFonts w:eastAsia="Calibri"/>
          <w:lang w:val="en-GB"/>
        </w:rPr>
        <w:t>;</w:t>
      </w:r>
      <w:r w:rsidRPr="000343FB">
        <w:rPr>
          <w:rFonts w:eastAsia="Calibri"/>
          <w:lang w:val="en-GB"/>
        </w:rPr>
        <w:t xml:space="preserve"> </w:t>
      </w:r>
      <w:r w:rsidR="00330063">
        <w:rPr>
          <w:rFonts w:eastAsia="Calibri"/>
          <w:lang w:val="en-GB"/>
        </w:rPr>
        <w:t xml:space="preserve">were </w:t>
      </w:r>
      <w:r w:rsidR="005D40C1">
        <w:rPr>
          <w:rFonts w:eastAsia="Calibri"/>
          <w:lang w:val="en-GB"/>
        </w:rPr>
        <w:t>between</w:t>
      </w:r>
      <w:r w:rsidRPr="000343FB">
        <w:rPr>
          <w:rFonts w:eastAsia="Calibri"/>
          <w:lang w:val="en-GB"/>
        </w:rPr>
        <w:t xml:space="preserve"> 14 </w:t>
      </w:r>
      <w:r w:rsidR="005D40C1">
        <w:rPr>
          <w:rFonts w:eastAsia="Calibri"/>
          <w:lang w:val="en-GB"/>
        </w:rPr>
        <w:t xml:space="preserve">and </w:t>
      </w:r>
      <w:r w:rsidRPr="000343FB">
        <w:rPr>
          <w:rFonts w:eastAsia="Calibri"/>
          <w:lang w:val="en-GB"/>
        </w:rPr>
        <w:t>24</w:t>
      </w:r>
      <w:r w:rsidR="005D40C1">
        <w:rPr>
          <w:rFonts w:eastAsia="Calibri"/>
          <w:lang w:val="en-GB"/>
        </w:rPr>
        <w:t xml:space="preserve"> years of age</w:t>
      </w:r>
      <w:r w:rsidR="00330063">
        <w:rPr>
          <w:rFonts w:eastAsia="Calibri"/>
          <w:lang w:val="en-GB"/>
        </w:rPr>
        <w:t>;</w:t>
      </w:r>
      <w:r w:rsidRPr="000343FB">
        <w:rPr>
          <w:rFonts w:eastAsia="Calibri"/>
          <w:lang w:val="en-GB"/>
        </w:rPr>
        <w:t xml:space="preserve"> and </w:t>
      </w:r>
      <w:r w:rsidR="00330063">
        <w:rPr>
          <w:rFonts w:eastAsia="Calibri"/>
          <w:lang w:val="en-GB"/>
        </w:rPr>
        <w:t>had</w:t>
      </w:r>
      <w:r w:rsidR="005D40C1">
        <w:rPr>
          <w:rFonts w:eastAsia="Calibri"/>
          <w:lang w:val="en-GB"/>
        </w:rPr>
        <w:t xml:space="preserve"> </w:t>
      </w:r>
      <w:r w:rsidRPr="000343FB">
        <w:rPr>
          <w:rFonts w:eastAsia="Calibri"/>
          <w:lang w:val="en-GB"/>
        </w:rPr>
        <w:t>a</w:t>
      </w:r>
      <w:r w:rsidR="005D40C1">
        <w:rPr>
          <w:rFonts w:eastAsia="Calibri"/>
          <w:lang w:val="en-GB"/>
        </w:rPr>
        <w:t>n annual</w:t>
      </w:r>
      <w:r w:rsidRPr="000343FB">
        <w:rPr>
          <w:rFonts w:eastAsia="Calibri"/>
          <w:lang w:val="en-GB"/>
        </w:rPr>
        <w:t xml:space="preserve"> household income </w:t>
      </w:r>
      <w:r w:rsidR="005D40C1">
        <w:rPr>
          <w:rFonts w:eastAsia="Calibri"/>
          <w:lang w:val="en-GB"/>
        </w:rPr>
        <w:t>between</w:t>
      </w:r>
      <w:r w:rsidRPr="000343FB">
        <w:rPr>
          <w:rFonts w:eastAsia="Calibri"/>
          <w:lang w:val="en-GB"/>
        </w:rPr>
        <w:t xml:space="preserve"> </w:t>
      </w:r>
      <w:r w:rsidR="005D40C1">
        <w:rPr>
          <w:rFonts w:eastAsia="Calibri"/>
          <w:lang w:val="en-GB"/>
        </w:rPr>
        <w:lastRenderedPageBreak/>
        <w:t>US</w:t>
      </w:r>
      <w:r w:rsidRPr="000343FB">
        <w:rPr>
          <w:rFonts w:eastAsia="Calibri"/>
          <w:lang w:val="en-GB"/>
        </w:rPr>
        <w:t xml:space="preserve">$25,000 </w:t>
      </w:r>
      <w:r w:rsidR="005D40C1">
        <w:rPr>
          <w:rFonts w:eastAsia="Calibri"/>
          <w:lang w:val="en-GB"/>
        </w:rPr>
        <w:t>and US</w:t>
      </w:r>
      <w:r w:rsidRPr="000343FB">
        <w:rPr>
          <w:rFonts w:eastAsia="Calibri"/>
          <w:lang w:val="en-GB"/>
        </w:rPr>
        <w:t>$74,000.</w:t>
      </w:r>
      <w:r w:rsidRPr="000343FB">
        <w:rPr>
          <w:rFonts w:eastAsia="Calibri"/>
          <w:vertAlign w:val="superscript"/>
          <w:lang w:val="en-GB"/>
        </w:rPr>
        <w:endnoteReference w:id="39"/>
      </w:r>
      <w:r w:rsidRPr="000343FB">
        <w:rPr>
          <w:rFonts w:eastAsia="Calibri"/>
          <w:lang w:val="en-GB"/>
        </w:rPr>
        <w:t xml:space="preserve"> In India, </w:t>
      </w:r>
      <w:r w:rsidRPr="000343FB">
        <w:rPr>
          <w:rFonts w:eastAsia="Calibri"/>
          <w:shd w:val="clear" w:color="auto" w:fill="FFFFFF"/>
          <w:lang w:val="en-GB"/>
        </w:rPr>
        <w:t>EDM’s explosi</w:t>
      </w:r>
      <w:r w:rsidR="005D40C1">
        <w:rPr>
          <w:rFonts w:eastAsia="Calibri"/>
          <w:shd w:val="clear" w:color="auto" w:fill="FFFFFF"/>
          <w:lang w:val="en-GB"/>
        </w:rPr>
        <w:t>ve growth</w:t>
      </w:r>
      <w:r w:rsidRPr="000343FB">
        <w:rPr>
          <w:rFonts w:eastAsia="Calibri"/>
          <w:shd w:val="clear" w:color="auto" w:fill="FFFFFF"/>
          <w:lang w:val="en-GB"/>
        </w:rPr>
        <w:t xml:space="preserve"> coincided with the </w:t>
      </w:r>
      <w:r w:rsidR="005D40C1">
        <w:rPr>
          <w:rFonts w:eastAsia="Calibri"/>
          <w:shd w:val="clear" w:color="auto" w:fill="FFFFFF"/>
          <w:lang w:val="en-GB"/>
        </w:rPr>
        <w:t>rise</w:t>
      </w:r>
      <w:r w:rsidRPr="000343FB">
        <w:rPr>
          <w:rFonts w:eastAsia="Calibri"/>
          <w:shd w:val="clear" w:color="auto" w:fill="FFFFFF"/>
          <w:lang w:val="en-GB"/>
        </w:rPr>
        <w:t xml:space="preserve"> of the Indian middle class and one of the world’s youngest populations.</w:t>
      </w:r>
      <w:r w:rsidRPr="000343FB">
        <w:rPr>
          <w:rFonts w:eastAsia="Calibri"/>
          <w:shd w:val="clear" w:color="auto" w:fill="FFFFFF"/>
          <w:vertAlign w:val="superscript"/>
          <w:lang w:val="en-GB"/>
        </w:rPr>
        <w:endnoteReference w:id="40"/>
      </w:r>
    </w:p>
    <w:p w14:paraId="7DA9241D" w14:textId="77777777" w:rsidR="00146BF2" w:rsidRPr="000343FB" w:rsidRDefault="00146BF2" w:rsidP="00146BF2">
      <w:pPr>
        <w:pStyle w:val="BodyTextMain"/>
        <w:rPr>
          <w:rFonts w:eastAsia="Calibri"/>
          <w:lang w:val="en-GB"/>
        </w:rPr>
      </w:pPr>
    </w:p>
    <w:p w14:paraId="5CDB7341" w14:textId="2315B5FE" w:rsidR="00146BF2" w:rsidRPr="000343FB" w:rsidRDefault="00146BF2" w:rsidP="00146BF2">
      <w:pPr>
        <w:pStyle w:val="BodyTextMain"/>
        <w:rPr>
          <w:lang w:val="en-GB"/>
        </w:rPr>
      </w:pPr>
      <w:r w:rsidRPr="000343FB">
        <w:rPr>
          <w:lang w:val="en-GB"/>
        </w:rPr>
        <w:t xml:space="preserve">Singh had a non-traditional approach </w:t>
      </w:r>
      <w:r w:rsidR="00671503">
        <w:rPr>
          <w:lang w:val="en-GB"/>
        </w:rPr>
        <w:t>t</w:t>
      </w:r>
      <w:r w:rsidRPr="000343FB">
        <w:rPr>
          <w:lang w:val="en-GB"/>
        </w:rPr>
        <w:t>o determining customer needs. He believed market research was for those who did not understand the</w:t>
      </w:r>
      <w:r w:rsidR="00671503">
        <w:rPr>
          <w:lang w:val="en-GB"/>
        </w:rPr>
        <w:t>ir</w:t>
      </w:r>
      <w:r w:rsidRPr="000343FB">
        <w:rPr>
          <w:lang w:val="en-GB"/>
        </w:rPr>
        <w:t xml:space="preserve"> market. For </w:t>
      </w:r>
      <w:r w:rsidR="00671503">
        <w:rPr>
          <w:lang w:val="en-GB"/>
        </w:rPr>
        <w:t>business leaders</w:t>
      </w:r>
      <w:r w:rsidRPr="000343FB">
        <w:rPr>
          <w:lang w:val="en-GB"/>
        </w:rPr>
        <w:t xml:space="preserve"> who worked very closely with musicians, music producers, DJs, apparel designers, and customers on the street</w:t>
      </w:r>
      <w:r w:rsidR="008A6692">
        <w:rPr>
          <w:lang w:val="en-GB"/>
        </w:rPr>
        <w:t>—</w:t>
      </w:r>
      <w:r w:rsidR="00671503">
        <w:rPr>
          <w:lang w:val="en-GB"/>
        </w:rPr>
        <w:t>as he did</w:t>
      </w:r>
      <w:r w:rsidR="008A6692">
        <w:rPr>
          <w:lang w:val="en-GB"/>
        </w:rPr>
        <w:t>—</w:t>
      </w:r>
      <w:r w:rsidRPr="000343FB">
        <w:rPr>
          <w:lang w:val="en-GB"/>
        </w:rPr>
        <w:t xml:space="preserve">market research was an </w:t>
      </w:r>
      <w:r w:rsidR="00671503">
        <w:rPr>
          <w:lang w:val="en-GB"/>
        </w:rPr>
        <w:t>“</w:t>
      </w:r>
      <w:r w:rsidRPr="000343FB">
        <w:rPr>
          <w:lang w:val="en-GB"/>
        </w:rPr>
        <w:t xml:space="preserve">unnecessary expense with doubtful usefulness.” He did not use big data or analytics to mine information or glean insights. He </w:t>
      </w:r>
      <w:r w:rsidR="00671503">
        <w:rPr>
          <w:lang w:val="en-GB"/>
        </w:rPr>
        <w:t>usually followed his</w:t>
      </w:r>
      <w:r w:rsidRPr="000343FB">
        <w:rPr>
          <w:lang w:val="en-GB"/>
        </w:rPr>
        <w:t xml:space="preserve"> instinct</w:t>
      </w:r>
      <w:r w:rsidR="004E7D6D">
        <w:rPr>
          <w:lang w:val="en-GB"/>
        </w:rPr>
        <w:t xml:space="preserve">, which had </w:t>
      </w:r>
      <w:r w:rsidR="00330063">
        <w:rPr>
          <w:lang w:val="en-GB"/>
        </w:rPr>
        <w:t>led to</w:t>
      </w:r>
      <w:r w:rsidRPr="000343FB">
        <w:rPr>
          <w:lang w:val="en-GB"/>
        </w:rPr>
        <w:t xml:space="preserve"> a turnover of </w:t>
      </w:r>
      <w:r w:rsidR="00D34D1F" w:rsidRPr="00260240">
        <w:rPr>
          <w:rFonts w:ascii="Arial" w:eastAsia="Arial Unicode MS" w:hAnsi="Arial" w:cs="Arial"/>
          <w:sz w:val="20"/>
          <w:szCs w:val="20"/>
          <w:lang w:val="en-GB"/>
        </w:rPr>
        <w:t>₹</w:t>
      </w:r>
      <w:r w:rsidRPr="000343FB">
        <w:rPr>
          <w:lang w:val="en-GB"/>
        </w:rPr>
        <w:t>1</w:t>
      </w:r>
      <w:r w:rsidR="004E7D6D">
        <w:rPr>
          <w:lang w:val="en-GB"/>
        </w:rPr>
        <w:t>.</w:t>
      </w:r>
      <w:r w:rsidRPr="000343FB">
        <w:rPr>
          <w:lang w:val="en-GB"/>
        </w:rPr>
        <w:t xml:space="preserve">18 </w:t>
      </w:r>
      <w:r w:rsidR="004E7D6D">
        <w:rPr>
          <w:lang w:val="en-GB"/>
        </w:rPr>
        <w:t>b</w:t>
      </w:r>
      <w:r w:rsidRPr="000343FB">
        <w:rPr>
          <w:lang w:val="en-GB"/>
        </w:rPr>
        <w:t xml:space="preserve">illion and </w:t>
      </w:r>
      <w:r w:rsidR="004E7D6D">
        <w:rPr>
          <w:lang w:val="en-GB"/>
        </w:rPr>
        <w:t xml:space="preserve">had </w:t>
      </w:r>
      <w:r w:rsidRPr="000343FB">
        <w:rPr>
          <w:lang w:val="en-GB"/>
        </w:rPr>
        <w:t>commanded a significant brand followership on Facebook</w:t>
      </w:r>
      <w:r w:rsidR="004E7D6D">
        <w:rPr>
          <w:lang w:val="en-GB"/>
        </w:rPr>
        <w:t>—</w:t>
      </w:r>
      <w:r w:rsidRPr="000343FB">
        <w:rPr>
          <w:lang w:val="en-GB"/>
        </w:rPr>
        <w:t xml:space="preserve">for a niche brand. </w:t>
      </w:r>
    </w:p>
    <w:p w14:paraId="69E1753A" w14:textId="77777777" w:rsidR="00146BF2" w:rsidRPr="000343FB" w:rsidRDefault="00146BF2" w:rsidP="00146BF2">
      <w:pPr>
        <w:pStyle w:val="BodyTextMain"/>
        <w:rPr>
          <w:lang w:val="en-GB"/>
        </w:rPr>
      </w:pPr>
    </w:p>
    <w:p w14:paraId="095B3280" w14:textId="77777777" w:rsidR="00146BF2" w:rsidRPr="000343FB" w:rsidRDefault="00146BF2" w:rsidP="00146BF2">
      <w:pPr>
        <w:pStyle w:val="BodyTextMain"/>
        <w:rPr>
          <w:lang w:val="en-GB"/>
        </w:rPr>
      </w:pPr>
    </w:p>
    <w:p w14:paraId="0AAD18B8" w14:textId="77777777" w:rsidR="00146BF2" w:rsidRPr="000343FB" w:rsidRDefault="00146BF2" w:rsidP="00146BF2">
      <w:pPr>
        <w:pStyle w:val="Casehead2"/>
        <w:rPr>
          <w:lang w:val="en-GB"/>
        </w:rPr>
      </w:pPr>
      <w:r w:rsidRPr="000343FB">
        <w:rPr>
          <w:lang w:val="en-GB"/>
        </w:rPr>
        <w:t>Target Customer Behaviour</w:t>
      </w:r>
    </w:p>
    <w:p w14:paraId="2D99F182" w14:textId="77777777" w:rsidR="00146BF2" w:rsidRPr="000343FB" w:rsidRDefault="00146BF2" w:rsidP="00146BF2">
      <w:pPr>
        <w:pStyle w:val="BodyTextMain"/>
        <w:rPr>
          <w:lang w:val="en-GB"/>
        </w:rPr>
      </w:pPr>
    </w:p>
    <w:p w14:paraId="05D2D794" w14:textId="4474773A" w:rsidR="00146BF2" w:rsidRPr="000343FB" w:rsidRDefault="00146BF2" w:rsidP="00146BF2">
      <w:pPr>
        <w:pStyle w:val="BodyTextMain"/>
        <w:rPr>
          <w:lang w:val="en-GB"/>
        </w:rPr>
      </w:pPr>
      <w:r w:rsidRPr="000343FB">
        <w:rPr>
          <w:lang w:val="en-GB"/>
        </w:rPr>
        <w:t xml:space="preserve">EDM fans </w:t>
      </w:r>
      <w:r w:rsidR="00230F4A">
        <w:rPr>
          <w:lang w:val="en-GB"/>
        </w:rPr>
        <w:t>had a great</w:t>
      </w:r>
      <w:r w:rsidRPr="000343FB">
        <w:rPr>
          <w:lang w:val="en-GB"/>
        </w:rPr>
        <w:t xml:space="preserve"> need for uniqueness</w:t>
      </w:r>
      <w:r w:rsidR="00230F4A">
        <w:rPr>
          <w:lang w:val="en-GB"/>
        </w:rPr>
        <w:t>,</w:t>
      </w:r>
      <w:r w:rsidRPr="000343FB">
        <w:rPr>
          <w:lang w:val="en-GB"/>
        </w:rPr>
        <w:t xml:space="preserve"> a personality trait that </w:t>
      </w:r>
      <w:r w:rsidR="00230F4A">
        <w:rPr>
          <w:lang w:val="en-GB"/>
        </w:rPr>
        <w:t>valued being</w:t>
      </w:r>
      <w:r w:rsidRPr="000343FB">
        <w:rPr>
          <w:lang w:val="en-GB"/>
        </w:rPr>
        <w:t xml:space="preserve"> different from others</w:t>
      </w:r>
      <w:r w:rsidR="00230F4A">
        <w:rPr>
          <w:lang w:val="en-GB"/>
        </w:rPr>
        <w:t xml:space="preserve"> and that was more </w:t>
      </w:r>
      <w:r w:rsidR="00EA45DE">
        <w:rPr>
          <w:lang w:val="en-GB"/>
        </w:rPr>
        <w:t>accentuated among</w:t>
      </w:r>
      <w:r w:rsidRPr="000343FB">
        <w:rPr>
          <w:lang w:val="en-GB"/>
        </w:rPr>
        <w:t xml:space="preserve"> adolescents.</w:t>
      </w:r>
      <w:r w:rsidRPr="000343FB">
        <w:rPr>
          <w:vertAlign w:val="superscript"/>
          <w:lang w:val="en-GB"/>
        </w:rPr>
        <w:endnoteReference w:id="41"/>
      </w:r>
      <w:r w:rsidRPr="000343FB">
        <w:rPr>
          <w:lang w:val="en-GB"/>
        </w:rPr>
        <w:t xml:space="preserve"> The EDM genre differe</w:t>
      </w:r>
      <w:r w:rsidR="00230F4A">
        <w:rPr>
          <w:lang w:val="en-GB"/>
        </w:rPr>
        <w:t>d</w:t>
      </w:r>
      <w:r w:rsidRPr="000343FB">
        <w:rPr>
          <w:lang w:val="en-GB"/>
        </w:rPr>
        <w:t xml:space="preserve"> from </w:t>
      </w:r>
      <w:r w:rsidR="00230F4A">
        <w:rPr>
          <w:lang w:val="en-GB"/>
        </w:rPr>
        <w:t xml:space="preserve">the </w:t>
      </w:r>
      <w:r w:rsidRPr="000343FB">
        <w:rPr>
          <w:lang w:val="en-GB"/>
        </w:rPr>
        <w:t>music</w:t>
      </w:r>
      <w:r w:rsidR="00230F4A">
        <w:rPr>
          <w:lang w:val="en-GB"/>
        </w:rPr>
        <w:t xml:space="preserve"> styles that were</w:t>
      </w:r>
      <w:r w:rsidRPr="000343FB">
        <w:rPr>
          <w:lang w:val="en-GB"/>
        </w:rPr>
        <w:t xml:space="preserve"> generally popular with Indian youth. The EDM fan base </w:t>
      </w:r>
      <w:r w:rsidR="00230F4A">
        <w:rPr>
          <w:lang w:val="en-GB"/>
        </w:rPr>
        <w:t>wa</w:t>
      </w:r>
      <w:r w:rsidRPr="000343FB">
        <w:rPr>
          <w:lang w:val="en-GB"/>
        </w:rPr>
        <w:t>s a subset of the Indian youth</w:t>
      </w:r>
      <w:r w:rsidR="00230F4A">
        <w:rPr>
          <w:lang w:val="en-GB"/>
        </w:rPr>
        <w:t xml:space="preserve"> </w:t>
      </w:r>
      <w:r w:rsidR="00330063">
        <w:rPr>
          <w:lang w:val="en-GB"/>
        </w:rPr>
        <w:t>that</w:t>
      </w:r>
      <w:r w:rsidR="00230F4A">
        <w:rPr>
          <w:lang w:val="en-GB"/>
        </w:rPr>
        <w:t xml:space="preserve"> was</w:t>
      </w:r>
      <w:r w:rsidRPr="000343FB">
        <w:rPr>
          <w:lang w:val="en-GB"/>
        </w:rPr>
        <w:t xml:space="preserve"> willing to pay </w:t>
      </w:r>
      <w:r w:rsidR="00D34D1F" w:rsidRPr="00260240">
        <w:rPr>
          <w:rFonts w:ascii="Arial" w:eastAsia="Arial Unicode MS" w:hAnsi="Arial" w:cs="Arial"/>
          <w:sz w:val="20"/>
          <w:szCs w:val="20"/>
          <w:lang w:val="en-GB"/>
        </w:rPr>
        <w:t>₹</w:t>
      </w:r>
      <w:r w:rsidRPr="000343FB">
        <w:rPr>
          <w:lang w:val="en-GB"/>
        </w:rPr>
        <w:t xml:space="preserve">4,000 </w:t>
      </w:r>
      <w:r w:rsidR="00230F4A">
        <w:rPr>
          <w:lang w:val="en-GB"/>
        </w:rPr>
        <w:t>to</w:t>
      </w:r>
      <w:r w:rsidRPr="000343FB">
        <w:rPr>
          <w:lang w:val="en-GB"/>
        </w:rPr>
        <w:t xml:space="preserve"> </w:t>
      </w:r>
      <w:r w:rsidR="00D34D1F" w:rsidRPr="00260240">
        <w:rPr>
          <w:rFonts w:ascii="Arial" w:eastAsia="Arial Unicode MS" w:hAnsi="Arial" w:cs="Arial"/>
          <w:sz w:val="20"/>
          <w:szCs w:val="20"/>
          <w:lang w:val="en-GB"/>
        </w:rPr>
        <w:t>₹</w:t>
      </w:r>
      <w:r w:rsidRPr="000343FB">
        <w:rPr>
          <w:lang w:val="en-GB"/>
        </w:rPr>
        <w:t>15,000 for an EDM festival ticket</w:t>
      </w:r>
      <w:r w:rsidR="00330063">
        <w:rPr>
          <w:lang w:val="en-GB"/>
        </w:rPr>
        <w:t xml:space="preserve"> and</w:t>
      </w:r>
      <w:r w:rsidRPr="000343FB">
        <w:rPr>
          <w:lang w:val="en-GB"/>
        </w:rPr>
        <w:t xml:space="preserve"> dress as if </w:t>
      </w:r>
      <w:r w:rsidR="00230F4A">
        <w:rPr>
          <w:lang w:val="en-GB"/>
        </w:rPr>
        <w:t>disinterested in the opinion of</w:t>
      </w:r>
      <w:r w:rsidRPr="000343FB">
        <w:rPr>
          <w:lang w:val="en-GB"/>
        </w:rPr>
        <w:t xml:space="preserve"> others</w:t>
      </w:r>
      <w:r w:rsidR="00230F4A">
        <w:rPr>
          <w:lang w:val="en-GB"/>
        </w:rPr>
        <w:t>, wearing</w:t>
      </w:r>
      <w:r w:rsidRPr="000343FB">
        <w:rPr>
          <w:lang w:val="en-GB"/>
        </w:rPr>
        <w:t xml:space="preserve"> tight clothes</w:t>
      </w:r>
      <w:r w:rsidR="00230F4A">
        <w:rPr>
          <w:lang w:val="en-GB"/>
        </w:rPr>
        <w:t>,</w:t>
      </w:r>
      <w:r w:rsidRPr="000343FB">
        <w:rPr>
          <w:lang w:val="en-GB"/>
        </w:rPr>
        <w:t xml:space="preserve"> LED shoes</w:t>
      </w:r>
      <w:r w:rsidR="00230F4A">
        <w:rPr>
          <w:lang w:val="en-GB"/>
        </w:rPr>
        <w:t>,</w:t>
      </w:r>
      <w:r w:rsidRPr="000343FB">
        <w:rPr>
          <w:lang w:val="en-GB"/>
        </w:rPr>
        <w:t xml:space="preserve"> and “bling</w:t>
      </w:r>
      <w:r w:rsidR="00230F4A">
        <w:rPr>
          <w:lang w:val="en-GB"/>
        </w:rPr>
        <w:t>-infused</w:t>
      </w:r>
      <w:r w:rsidRPr="000343FB">
        <w:rPr>
          <w:lang w:val="en-GB"/>
        </w:rPr>
        <w:t xml:space="preserve">” accessories. TDC </w:t>
      </w:r>
      <w:r w:rsidR="00230F4A">
        <w:rPr>
          <w:lang w:val="en-GB"/>
        </w:rPr>
        <w:t>remained</w:t>
      </w:r>
      <w:r w:rsidRPr="000343FB">
        <w:rPr>
          <w:lang w:val="en-GB"/>
        </w:rPr>
        <w:t xml:space="preserve"> cautious </w:t>
      </w:r>
      <w:r w:rsidR="00230F4A">
        <w:rPr>
          <w:lang w:val="en-GB"/>
        </w:rPr>
        <w:t>to</w:t>
      </w:r>
      <w:r w:rsidRPr="000343FB">
        <w:rPr>
          <w:lang w:val="en-GB"/>
        </w:rPr>
        <w:t xml:space="preserve"> ensur</w:t>
      </w:r>
      <w:r w:rsidR="00230F4A">
        <w:rPr>
          <w:lang w:val="en-GB"/>
        </w:rPr>
        <w:t>e</w:t>
      </w:r>
      <w:r w:rsidRPr="000343FB">
        <w:rPr>
          <w:lang w:val="en-GB"/>
        </w:rPr>
        <w:t xml:space="preserve"> that design and pricing </w:t>
      </w:r>
      <w:r w:rsidR="00230F4A">
        <w:rPr>
          <w:lang w:val="en-GB"/>
        </w:rPr>
        <w:t>fit perfectly</w:t>
      </w:r>
      <w:r w:rsidRPr="000343FB">
        <w:rPr>
          <w:lang w:val="en-GB"/>
        </w:rPr>
        <w:t xml:space="preserve"> within this youth subset’s zone of acceptance.       </w:t>
      </w:r>
    </w:p>
    <w:p w14:paraId="04A509F5" w14:textId="77777777" w:rsidR="00146BF2" w:rsidRPr="000343FB" w:rsidRDefault="00146BF2" w:rsidP="00146BF2">
      <w:pPr>
        <w:pStyle w:val="BodyTextMain"/>
        <w:rPr>
          <w:lang w:val="en-GB"/>
        </w:rPr>
      </w:pPr>
    </w:p>
    <w:p w14:paraId="4A7BB087" w14:textId="77777777" w:rsidR="00146BF2" w:rsidRPr="000343FB" w:rsidRDefault="00146BF2" w:rsidP="00146BF2">
      <w:pPr>
        <w:pStyle w:val="BodyTextMain"/>
        <w:rPr>
          <w:lang w:val="en-GB"/>
        </w:rPr>
      </w:pPr>
    </w:p>
    <w:p w14:paraId="0630118C" w14:textId="77777777" w:rsidR="00146BF2" w:rsidRPr="000343FB" w:rsidRDefault="00146BF2" w:rsidP="00146BF2">
      <w:pPr>
        <w:pStyle w:val="Casehead1"/>
        <w:rPr>
          <w:lang w:val="en-GB"/>
        </w:rPr>
      </w:pPr>
      <w:r w:rsidRPr="000343FB">
        <w:rPr>
          <w:lang w:val="en-GB"/>
        </w:rPr>
        <w:t>THE DILEMMA</w:t>
      </w:r>
    </w:p>
    <w:p w14:paraId="7D1DEDEA" w14:textId="77777777" w:rsidR="00146BF2" w:rsidRPr="000343FB" w:rsidRDefault="00146BF2" w:rsidP="00146BF2">
      <w:pPr>
        <w:pStyle w:val="BodyTextMain"/>
        <w:rPr>
          <w:lang w:val="en-GB"/>
        </w:rPr>
      </w:pPr>
    </w:p>
    <w:p w14:paraId="003D23D8" w14:textId="4BBCE754" w:rsidR="00146BF2" w:rsidRPr="000343FB" w:rsidRDefault="008C0CEB" w:rsidP="00A855D5">
      <w:pPr>
        <w:pStyle w:val="BodyTextMain"/>
        <w:rPr>
          <w:rFonts w:eastAsia="Calibri"/>
          <w:lang w:val="en-GB"/>
        </w:rPr>
      </w:pPr>
      <w:r w:rsidRPr="008C0CEB">
        <w:rPr>
          <w:rFonts w:eastAsia="Calibri"/>
          <w:noProof/>
        </w:rPr>
        <mc:AlternateContent>
          <mc:Choice Requires="wps">
            <w:drawing>
              <wp:anchor distT="45720" distB="45720" distL="114300" distR="114300" simplePos="0" relativeHeight="251698176" behindDoc="0" locked="0" layoutInCell="1" allowOverlap="1" wp14:anchorId="7DD05006" wp14:editId="2874790B">
                <wp:simplePos x="0" y="0"/>
                <wp:positionH relativeFrom="column">
                  <wp:posOffset>511861</wp:posOffset>
                </wp:positionH>
                <wp:positionV relativeFrom="paragraph">
                  <wp:posOffset>1797050</wp:posOffset>
                </wp:positionV>
                <wp:extent cx="5090795" cy="1404620"/>
                <wp:effectExtent l="0" t="0" r="1460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1404620"/>
                        </a:xfrm>
                        <a:prstGeom prst="rect">
                          <a:avLst/>
                        </a:prstGeom>
                        <a:solidFill>
                          <a:srgbClr val="FFFFFF"/>
                        </a:solidFill>
                        <a:ln w="9525">
                          <a:solidFill>
                            <a:srgbClr val="000000"/>
                          </a:solidFill>
                          <a:miter lim="800000"/>
                          <a:headEnd/>
                          <a:tailEnd/>
                        </a:ln>
                      </wps:spPr>
                      <wps:txbx>
                        <w:txbxContent>
                          <w:p w14:paraId="6E4287A6" w14:textId="77777777" w:rsidR="008C0CEB" w:rsidRDefault="008C0CEB" w:rsidP="008C0CEB">
                            <w:pPr>
                              <w:pStyle w:val="Footnote"/>
                              <w:jc w:val="center"/>
                            </w:pPr>
                            <w:r w:rsidRPr="008C0CEB">
                              <w:t>J</w:t>
                            </w:r>
                            <w:r>
                              <w:t xml:space="preserve">ones Mathew is a Professor at </w:t>
                            </w:r>
                            <w:r w:rsidRPr="008C0CEB">
                              <w:t>Great Lakes Institute of Management, Gurgaon, India</w:t>
                            </w:r>
                            <w:r>
                              <w:t xml:space="preserve">; </w:t>
                            </w:r>
                          </w:p>
                          <w:p w14:paraId="61219A8C" w14:textId="095AD110" w:rsidR="008C0CEB" w:rsidRDefault="008C0CEB" w:rsidP="008C0CEB">
                            <w:pPr>
                              <w:pStyle w:val="Footnote"/>
                              <w:jc w:val="center"/>
                            </w:pPr>
                            <w:proofErr w:type="spellStart"/>
                            <w:r>
                              <w:t>Banasree</w:t>
                            </w:r>
                            <w:proofErr w:type="spellEnd"/>
                            <w:r>
                              <w:t xml:space="preserve"> </w:t>
                            </w:r>
                            <w:proofErr w:type="spellStart"/>
                            <w:r>
                              <w:t>Dey</w:t>
                            </w:r>
                            <w:proofErr w:type="spellEnd"/>
                            <w:r>
                              <w:t xml:space="preserve"> is an Assistant Professor at </w:t>
                            </w:r>
                            <w:proofErr w:type="spellStart"/>
                            <w:r w:rsidRPr="008C0CEB">
                              <w:t>Jaipuria</w:t>
                            </w:r>
                            <w:proofErr w:type="spellEnd"/>
                            <w:r w:rsidRPr="008C0CEB">
                              <w:t xml:space="preserve"> Institute of Management, NOIDA, </w:t>
                            </w:r>
                            <w:proofErr w:type="gramStart"/>
                            <w:r w:rsidRPr="008C0CEB">
                              <w:t>India</w:t>
                            </w:r>
                            <w:proofErr w:type="gramEnd"/>
                            <w:r>
                              <w:t xml:space="preserve">; </w:t>
                            </w:r>
                          </w:p>
                          <w:p w14:paraId="1091DE3B" w14:textId="6132C7D2" w:rsidR="008C0CEB" w:rsidRDefault="008C0CEB" w:rsidP="008C0CEB">
                            <w:pPr>
                              <w:pStyle w:val="Footnote"/>
                              <w:jc w:val="center"/>
                            </w:pPr>
                            <w:proofErr w:type="gramStart"/>
                            <w:r>
                              <w:t>and</w:t>
                            </w:r>
                            <w:proofErr w:type="gramEnd"/>
                            <w:r>
                              <w:t xml:space="preserve"> Sandeep </w:t>
                            </w:r>
                            <w:proofErr w:type="spellStart"/>
                            <w:r>
                              <w:t>Puri</w:t>
                            </w:r>
                            <w:proofErr w:type="spellEnd"/>
                            <w:r>
                              <w:t xml:space="preserve"> is an Associate Professor at the </w:t>
                            </w:r>
                            <w:r w:rsidRPr="008C0CEB">
                              <w:t>Asian Institute of Management, Manila, Philippines</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7DD05006" id="_x0000_t202" coordsize="21600,21600" o:spt="202" path="m,l,21600r21600,l21600,xe">
                <v:stroke joinstyle="miter"/>
                <v:path gradientshapeok="t" o:connecttype="rect"/>
              </v:shapetype>
              <v:shape id="Text Box 2" o:spid="_x0000_s1026" type="#_x0000_t202" style="position:absolute;left:0;text-align:left;margin-left:40.3pt;margin-top:141.5pt;width:400.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7KQ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f5Ml8s55Rw9BWzfHYzTeplrDxft86H9wI0iZuKOhQ/&#10;wbPDow8xHVaeQ+JrHpRstlKpZLhdvVGOHBg2yjZ9qYIXYcqQvqLL+XQ+MvBXiDx9f4LQMmDHK6kr&#10;ensJYmXk7Z1pUj8GJtW4x5SVOREZuRtZDEM9JM0WZ31qaI7IrIOxwXEgcdOB+0FJj81dUf99z5yg&#10;RH0wqM6ymM3iNCRjNl8glcRde+prDzMcoSoaKBm3m5AmKPFm71HFrUz8RrnHTE4pY9Mm2k8DFqfi&#10;2k5Rv34D658AAAD//wMAUEsDBBQABgAIAAAAIQCdOfDS3gAAAAoBAAAPAAAAZHJzL2Rvd25yZXYu&#10;eG1sTI/BTsMwEETvSPyDtUhcKmqTkMgKcSqo1BOnhnJ3Y5NExOtgu2369ywnOK72aeZNvVncxM42&#10;xNGjgse1AGax82bEXsHhffcggcWk0ejJo1VwtRE2ze1NrSvjL7i35zb1jEIwVlrBkNJccR67wTod&#10;1362SL9PH5xOdIaem6AvFO4mnglRcqdHpIZBz3Y72O6rPTkF5Xebr94+zAr3191r6FxhtodCqfu7&#10;5eUZWLJL+oPhV5/UoSGnoz+hiWxSIEVJpIJM5rSJACmzHNhRQSGeMuBNzf9PaH4AAAD//wMAUEsB&#10;Ai0AFAAGAAgAAAAhALaDOJL+AAAA4QEAABMAAAAAAAAAAAAAAAAAAAAAAFtDb250ZW50X1R5cGVz&#10;XS54bWxQSwECLQAUAAYACAAAACEAOP0h/9YAAACUAQAACwAAAAAAAAAAAAAAAAAvAQAAX3JlbHMv&#10;LnJlbHNQSwECLQAUAAYACAAAACEAwPgl+ykCAABOBAAADgAAAAAAAAAAAAAAAAAuAgAAZHJzL2Uy&#10;b0RvYy54bWxQSwECLQAUAAYACAAAACEAnTnw0t4AAAAKAQAADwAAAAAAAAAAAAAAAACDBAAAZHJz&#10;L2Rvd25yZXYueG1sUEsFBgAAAAAEAAQA8wAAAI4FAAAAAA==&#10;">
                <v:textbox style="mso-fit-shape-to-text:t">
                  <w:txbxContent>
                    <w:p w14:paraId="6E4287A6" w14:textId="77777777" w:rsidR="008C0CEB" w:rsidRDefault="008C0CEB" w:rsidP="008C0CEB">
                      <w:pPr>
                        <w:pStyle w:val="Footnote"/>
                        <w:jc w:val="center"/>
                      </w:pPr>
                      <w:r w:rsidRPr="008C0CEB">
                        <w:t>J</w:t>
                      </w:r>
                      <w:r>
                        <w:t xml:space="preserve">ones Mathew is a Professor at </w:t>
                      </w:r>
                      <w:r w:rsidRPr="008C0CEB">
                        <w:t>Great Lakes Institute of Management, Gurgaon, India</w:t>
                      </w:r>
                      <w:r>
                        <w:t xml:space="preserve">; </w:t>
                      </w:r>
                    </w:p>
                    <w:p w14:paraId="61219A8C" w14:textId="095AD110" w:rsidR="008C0CEB" w:rsidRDefault="008C0CEB" w:rsidP="008C0CEB">
                      <w:pPr>
                        <w:pStyle w:val="Footnote"/>
                        <w:jc w:val="center"/>
                      </w:pPr>
                      <w:r>
                        <w:t xml:space="preserve">Banasree Dey is an Assistant Professor at </w:t>
                      </w:r>
                      <w:r w:rsidRPr="008C0CEB">
                        <w:t>Jaipuria Institute of Management, NOIDA, India</w:t>
                      </w:r>
                      <w:r>
                        <w:t xml:space="preserve">; </w:t>
                      </w:r>
                    </w:p>
                    <w:p w14:paraId="1091DE3B" w14:textId="6132C7D2" w:rsidR="008C0CEB" w:rsidRDefault="008C0CEB" w:rsidP="008C0CEB">
                      <w:pPr>
                        <w:pStyle w:val="Footnote"/>
                        <w:jc w:val="center"/>
                      </w:pPr>
                      <w:r>
                        <w:t xml:space="preserve">and Sandeep Puri is an Associate Professor at the </w:t>
                      </w:r>
                      <w:r w:rsidRPr="008C0CEB">
                        <w:t>Asian Institute of Management, Manila, Philippines</w:t>
                      </w:r>
                      <w:r>
                        <w:t>.</w:t>
                      </w:r>
                    </w:p>
                  </w:txbxContent>
                </v:textbox>
                <w10:wrap type="square"/>
              </v:shape>
            </w:pict>
          </mc:Fallback>
        </mc:AlternateContent>
      </w:r>
      <w:r w:rsidR="006D2302">
        <w:rPr>
          <w:rFonts w:eastAsia="Calibri"/>
          <w:lang w:val="en-GB"/>
        </w:rPr>
        <w:t>TDC</w:t>
      </w:r>
      <w:r w:rsidR="00146BF2" w:rsidRPr="000343FB">
        <w:rPr>
          <w:rFonts w:eastAsia="Calibri"/>
          <w:lang w:val="en-GB"/>
        </w:rPr>
        <w:t xml:space="preserve"> had been </w:t>
      </w:r>
      <w:r w:rsidR="006D2302">
        <w:rPr>
          <w:rFonts w:eastAsia="Calibri"/>
          <w:lang w:val="en-GB"/>
        </w:rPr>
        <w:t>successful in</w:t>
      </w:r>
      <w:r w:rsidR="00146BF2" w:rsidRPr="000343FB">
        <w:rPr>
          <w:rFonts w:eastAsia="Calibri"/>
          <w:lang w:val="en-GB"/>
        </w:rPr>
        <w:t xml:space="preserve"> 2016 </w:t>
      </w:r>
      <w:r w:rsidR="006D2302">
        <w:rPr>
          <w:rFonts w:eastAsia="Calibri"/>
          <w:lang w:val="en-GB"/>
        </w:rPr>
        <w:t>and</w:t>
      </w:r>
      <w:r w:rsidR="00146BF2" w:rsidRPr="000343FB">
        <w:rPr>
          <w:rFonts w:eastAsia="Calibri"/>
          <w:lang w:val="en-GB"/>
        </w:rPr>
        <w:t xml:space="preserve"> 2017</w:t>
      </w:r>
      <w:r w:rsidR="006D2302">
        <w:rPr>
          <w:rFonts w:eastAsia="Calibri"/>
          <w:lang w:val="en-GB"/>
        </w:rPr>
        <w:t>, with s</w:t>
      </w:r>
      <w:r w:rsidR="00146BF2" w:rsidRPr="000343FB">
        <w:rPr>
          <w:rFonts w:eastAsia="Calibri"/>
          <w:lang w:val="en-GB"/>
        </w:rPr>
        <w:t xml:space="preserve">ales figures </w:t>
      </w:r>
      <w:r w:rsidR="006D2302">
        <w:rPr>
          <w:rFonts w:eastAsia="Calibri"/>
          <w:lang w:val="en-GB"/>
        </w:rPr>
        <w:t>matching</w:t>
      </w:r>
      <w:r w:rsidR="00146BF2" w:rsidRPr="000343FB">
        <w:rPr>
          <w:rFonts w:eastAsia="Calibri"/>
          <w:lang w:val="en-GB"/>
        </w:rPr>
        <w:t xml:space="preserve"> Singh</w:t>
      </w:r>
      <w:r w:rsidR="006D2302">
        <w:rPr>
          <w:rFonts w:eastAsia="Calibri"/>
          <w:lang w:val="en-GB"/>
        </w:rPr>
        <w:t>’s expectations</w:t>
      </w:r>
      <w:r w:rsidR="00146BF2" w:rsidRPr="000343FB">
        <w:rPr>
          <w:rFonts w:eastAsia="Calibri"/>
          <w:lang w:val="en-GB"/>
        </w:rPr>
        <w:t xml:space="preserve"> and employees keen on getting </w:t>
      </w:r>
      <w:r w:rsidR="006D2302">
        <w:rPr>
          <w:rFonts w:eastAsia="Calibri"/>
          <w:lang w:val="en-GB"/>
        </w:rPr>
        <w:t>work</w:t>
      </w:r>
      <w:r w:rsidR="00146BF2" w:rsidRPr="000343FB">
        <w:rPr>
          <w:rFonts w:eastAsia="Calibri"/>
          <w:lang w:val="en-GB"/>
        </w:rPr>
        <w:t xml:space="preserve"> done</w:t>
      </w:r>
      <w:r w:rsidR="006D2302">
        <w:rPr>
          <w:rFonts w:eastAsia="Calibri"/>
          <w:lang w:val="en-GB"/>
        </w:rPr>
        <w:t>.</w:t>
      </w:r>
      <w:r w:rsidR="00146BF2" w:rsidRPr="000343FB">
        <w:rPr>
          <w:rFonts w:eastAsia="Calibri"/>
          <w:lang w:val="en-GB"/>
        </w:rPr>
        <w:t xml:space="preserve"> Singh’s informal and friendly </w:t>
      </w:r>
      <w:r w:rsidR="006D2302">
        <w:rPr>
          <w:rFonts w:eastAsia="Calibri"/>
          <w:lang w:val="en-GB"/>
        </w:rPr>
        <w:t xml:space="preserve">leadership </w:t>
      </w:r>
      <w:r w:rsidR="00146BF2" w:rsidRPr="000343FB">
        <w:rPr>
          <w:rFonts w:eastAsia="Calibri"/>
          <w:lang w:val="en-GB"/>
        </w:rPr>
        <w:t xml:space="preserve">approach </w:t>
      </w:r>
      <w:r w:rsidR="006D2302">
        <w:rPr>
          <w:rFonts w:eastAsia="Calibri"/>
          <w:lang w:val="en-GB"/>
        </w:rPr>
        <w:t>was well received by</w:t>
      </w:r>
      <w:r w:rsidR="00146BF2" w:rsidRPr="000343FB">
        <w:rPr>
          <w:rFonts w:eastAsia="Calibri"/>
          <w:lang w:val="en-GB"/>
        </w:rPr>
        <w:t xml:space="preserve"> employees. However, Singh </w:t>
      </w:r>
      <w:r w:rsidR="006D2302">
        <w:rPr>
          <w:rFonts w:eastAsia="Calibri"/>
          <w:lang w:val="en-GB"/>
        </w:rPr>
        <w:t xml:space="preserve">could not help </w:t>
      </w:r>
      <w:r w:rsidR="00146BF2" w:rsidRPr="000343FB">
        <w:rPr>
          <w:rFonts w:eastAsia="Calibri"/>
          <w:lang w:val="en-GB"/>
        </w:rPr>
        <w:t xml:space="preserve">but </w:t>
      </w:r>
      <w:r w:rsidR="006D2302">
        <w:rPr>
          <w:rFonts w:eastAsia="Calibri"/>
          <w:lang w:val="en-GB"/>
        </w:rPr>
        <w:t>worry that</w:t>
      </w:r>
      <w:r w:rsidR="00146BF2" w:rsidRPr="000343FB">
        <w:rPr>
          <w:rFonts w:eastAsia="Calibri"/>
          <w:lang w:val="en-GB"/>
        </w:rPr>
        <w:t xml:space="preserve"> TDC </w:t>
      </w:r>
      <w:r w:rsidR="00FD25A6">
        <w:rPr>
          <w:rFonts w:eastAsia="Calibri"/>
          <w:lang w:val="en-GB"/>
        </w:rPr>
        <w:t>might not improve by</w:t>
      </w:r>
      <w:r w:rsidR="00146BF2" w:rsidRPr="000343FB">
        <w:rPr>
          <w:rFonts w:eastAsia="Calibri"/>
          <w:lang w:val="en-GB"/>
        </w:rPr>
        <w:t xml:space="preserve"> continu</w:t>
      </w:r>
      <w:r w:rsidR="00FD25A6">
        <w:rPr>
          <w:rFonts w:eastAsia="Calibri"/>
          <w:lang w:val="en-GB"/>
        </w:rPr>
        <w:t>ing</w:t>
      </w:r>
      <w:r w:rsidR="00146BF2" w:rsidRPr="000343FB">
        <w:rPr>
          <w:rFonts w:eastAsia="Calibri"/>
          <w:lang w:val="en-GB"/>
        </w:rPr>
        <w:t xml:space="preserve"> to </w:t>
      </w:r>
      <w:r w:rsidR="00FD25A6">
        <w:rPr>
          <w:rFonts w:eastAsia="Calibri"/>
          <w:lang w:val="en-GB"/>
        </w:rPr>
        <w:t xml:space="preserve">lead by instinct and without a </w:t>
      </w:r>
      <w:r w:rsidR="00146BF2" w:rsidRPr="000343FB">
        <w:rPr>
          <w:rFonts w:eastAsia="Calibri"/>
          <w:lang w:val="en-GB"/>
        </w:rPr>
        <w:t>plan</w:t>
      </w:r>
      <w:r w:rsidR="00FD25A6">
        <w:rPr>
          <w:rFonts w:eastAsia="Calibri"/>
          <w:lang w:val="en-GB"/>
        </w:rPr>
        <w:t>, despite his ability</w:t>
      </w:r>
      <w:r w:rsidR="00146BF2" w:rsidRPr="000343FB">
        <w:rPr>
          <w:rFonts w:eastAsia="Calibri"/>
          <w:lang w:val="en-GB"/>
        </w:rPr>
        <w:t xml:space="preserve"> to </w:t>
      </w:r>
      <w:r w:rsidR="00FD25A6">
        <w:rPr>
          <w:rFonts w:eastAsia="Calibri"/>
          <w:lang w:val="en-GB"/>
        </w:rPr>
        <w:t>remain</w:t>
      </w:r>
      <w:r w:rsidR="00146BF2" w:rsidRPr="000343FB">
        <w:rPr>
          <w:rFonts w:eastAsia="Calibri"/>
          <w:lang w:val="en-GB"/>
        </w:rPr>
        <w:t xml:space="preserve"> know</w:t>
      </w:r>
      <w:r w:rsidR="00FD25A6">
        <w:rPr>
          <w:rFonts w:eastAsia="Calibri"/>
          <w:lang w:val="en-GB"/>
        </w:rPr>
        <w:t>ledgeable</w:t>
      </w:r>
      <w:r w:rsidR="00146BF2" w:rsidRPr="000343FB">
        <w:rPr>
          <w:rFonts w:eastAsia="Calibri"/>
          <w:lang w:val="en-GB"/>
        </w:rPr>
        <w:t xml:space="preserve"> of marketplace </w:t>
      </w:r>
      <w:r w:rsidR="00FD25A6">
        <w:rPr>
          <w:rFonts w:eastAsia="Calibri"/>
          <w:lang w:val="en-GB"/>
        </w:rPr>
        <w:t xml:space="preserve">trends </w:t>
      </w:r>
      <w:r w:rsidR="00146BF2" w:rsidRPr="000343FB">
        <w:rPr>
          <w:rFonts w:eastAsia="Calibri"/>
          <w:lang w:val="en-GB"/>
        </w:rPr>
        <w:t xml:space="preserve">without formal market research. A bigger issue that bothered Singh was the question of what brand strategy to follow. </w:t>
      </w:r>
      <w:r w:rsidR="008A6692">
        <w:rPr>
          <w:rFonts w:eastAsia="Calibri"/>
          <w:lang w:val="en-GB"/>
        </w:rPr>
        <w:t>He wondered if he s</w:t>
      </w:r>
      <w:r w:rsidR="00146BF2" w:rsidRPr="000343FB">
        <w:rPr>
          <w:rFonts w:eastAsia="Calibri"/>
          <w:lang w:val="en-GB"/>
        </w:rPr>
        <w:t xml:space="preserve">hould continue </w:t>
      </w:r>
      <w:r w:rsidR="00FD25A6">
        <w:rPr>
          <w:rFonts w:eastAsia="Calibri"/>
          <w:lang w:val="en-GB"/>
        </w:rPr>
        <w:t>promoting a</w:t>
      </w:r>
      <w:r w:rsidR="00146BF2" w:rsidRPr="000343FB">
        <w:rPr>
          <w:rFonts w:eastAsia="Calibri"/>
          <w:lang w:val="en-GB"/>
        </w:rPr>
        <w:t xml:space="preserve"> house of brands strategy or </w:t>
      </w:r>
      <w:r w:rsidR="008A6692">
        <w:rPr>
          <w:rFonts w:eastAsia="Calibri"/>
          <w:lang w:val="en-GB"/>
        </w:rPr>
        <w:t xml:space="preserve">if he should instead </w:t>
      </w:r>
      <w:r w:rsidR="00146BF2" w:rsidRPr="000343FB">
        <w:rPr>
          <w:rFonts w:eastAsia="Calibri"/>
          <w:lang w:val="en-GB"/>
        </w:rPr>
        <w:t>switch to a branded house plan</w:t>
      </w:r>
      <w:r w:rsidR="008A6692">
        <w:rPr>
          <w:rFonts w:eastAsia="Calibri"/>
          <w:lang w:val="en-GB"/>
        </w:rPr>
        <w:t>.</w:t>
      </w:r>
      <w:r w:rsidR="00146BF2" w:rsidRPr="000343FB">
        <w:rPr>
          <w:rFonts w:eastAsia="Calibri"/>
          <w:lang w:val="en-GB"/>
        </w:rPr>
        <w:t xml:space="preserve"> What would </w:t>
      </w:r>
      <w:r w:rsidR="00FD25A6">
        <w:rPr>
          <w:rFonts w:eastAsia="Calibri"/>
          <w:lang w:val="en-GB"/>
        </w:rPr>
        <w:t xml:space="preserve">be </w:t>
      </w:r>
      <w:r w:rsidR="00146BF2" w:rsidRPr="000343FB">
        <w:rPr>
          <w:rFonts w:eastAsia="Calibri"/>
          <w:lang w:val="en-GB"/>
        </w:rPr>
        <w:t xml:space="preserve">the implications in terms of funding one </w:t>
      </w:r>
      <w:r w:rsidR="00FD25A6">
        <w:rPr>
          <w:rFonts w:eastAsia="Calibri"/>
          <w:lang w:val="en-GB"/>
        </w:rPr>
        <w:t>strategy ver</w:t>
      </w:r>
      <w:r w:rsidR="008A6692">
        <w:rPr>
          <w:rFonts w:eastAsia="Calibri"/>
          <w:lang w:val="en-GB"/>
        </w:rPr>
        <w:t>s</w:t>
      </w:r>
      <w:r w:rsidR="00FD25A6">
        <w:rPr>
          <w:rFonts w:eastAsia="Calibri"/>
          <w:lang w:val="en-GB"/>
        </w:rPr>
        <w:t>us</w:t>
      </w:r>
      <w:r w:rsidR="00146BF2" w:rsidRPr="000343FB">
        <w:rPr>
          <w:rFonts w:eastAsia="Calibri"/>
          <w:lang w:val="en-GB"/>
        </w:rPr>
        <w:t xml:space="preserve"> the other? With TDC as the </w:t>
      </w:r>
      <w:r w:rsidR="00FD25A6">
        <w:rPr>
          <w:rFonts w:eastAsia="Calibri"/>
          <w:lang w:val="en-GB"/>
        </w:rPr>
        <w:t>umbrella</w:t>
      </w:r>
      <w:r w:rsidR="00146BF2" w:rsidRPr="000343FB">
        <w:rPr>
          <w:rFonts w:eastAsia="Calibri"/>
          <w:lang w:val="en-GB"/>
        </w:rPr>
        <w:t xml:space="preserve"> brand, </w:t>
      </w:r>
      <w:r w:rsidR="008A6692">
        <w:rPr>
          <w:rFonts w:eastAsia="Calibri"/>
          <w:lang w:val="en-GB"/>
        </w:rPr>
        <w:t>he also wondered if</w:t>
      </w:r>
      <w:r w:rsidR="00146BF2" w:rsidRPr="000343FB">
        <w:rPr>
          <w:rFonts w:eastAsia="Calibri"/>
          <w:lang w:val="en-GB"/>
        </w:rPr>
        <w:t xml:space="preserve"> the </w:t>
      </w:r>
      <w:proofErr w:type="spellStart"/>
      <w:r w:rsidR="00146BF2" w:rsidRPr="000343FB">
        <w:rPr>
          <w:rFonts w:eastAsia="Calibri"/>
          <w:lang w:val="en-GB"/>
        </w:rPr>
        <w:t>Fieldgear</w:t>
      </w:r>
      <w:proofErr w:type="spellEnd"/>
      <w:r w:rsidR="00146BF2" w:rsidRPr="000343FB">
        <w:rPr>
          <w:rFonts w:eastAsia="Calibri"/>
          <w:lang w:val="en-GB"/>
        </w:rPr>
        <w:t xml:space="preserve"> brand </w:t>
      </w:r>
      <w:r w:rsidR="008A6692">
        <w:rPr>
          <w:rFonts w:eastAsia="Calibri"/>
          <w:lang w:val="en-GB"/>
        </w:rPr>
        <w:t xml:space="preserve">should </w:t>
      </w:r>
      <w:r w:rsidR="00146BF2" w:rsidRPr="000343FB">
        <w:rPr>
          <w:rFonts w:eastAsia="Calibri"/>
          <w:lang w:val="en-GB"/>
        </w:rPr>
        <w:t xml:space="preserve">be renamed TDC Sports and </w:t>
      </w:r>
      <w:r w:rsidR="00330063">
        <w:rPr>
          <w:rFonts w:eastAsia="Calibri"/>
          <w:lang w:val="en-GB"/>
        </w:rPr>
        <w:t xml:space="preserve">if </w:t>
      </w:r>
      <w:r w:rsidR="00146BF2" w:rsidRPr="000343FB">
        <w:rPr>
          <w:rFonts w:eastAsia="Calibri"/>
          <w:lang w:val="en-GB"/>
        </w:rPr>
        <w:t xml:space="preserve">the </w:t>
      </w:r>
      <w:proofErr w:type="spellStart"/>
      <w:r w:rsidR="00146BF2" w:rsidRPr="000343FB">
        <w:rPr>
          <w:rFonts w:eastAsia="Calibri"/>
          <w:lang w:val="en-GB"/>
        </w:rPr>
        <w:t>Koolho</w:t>
      </w:r>
      <w:proofErr w:type="spellEnd"/>
      <w:r w:rsidR="00146BF2" w:rsidRPr="000343FB">
        <w:rPr>
          <w:rFonts w:eastAsia="Calibri"/>
          <w:lang w:val="en-GB"/>
        </w:rPr>
        <w:t xml:space="preserve"> brand </w:t>
      </w:r>
      <w:r w:rsidR="00330063">
        <w:rPr>
          <w:rFonts w:eastAsia="Calibri"/>
          <w:lang w:val="en-GB"/>
        </w:rPr>
        <w:t xml:space="preserve">should </w:t>
      </w:r>
      <w:r w:rsidR="008A6692">
        <w:rPr>
          <w:rFonts w:eastAsia="Calibri"/>
          <w:lang w:val="en-GB"/>
        </w:rPr>
        <w:t xml:space="preserve">become </w:t>
      </w:r>
      <w:r w:rsidR="00146BF2" w:rsidRPr="000343FB">
        <w:rPr>
          <w:rFonts w:eastAsia="Calibri"/>
          <w:lang w:val="en-GB"/>
        </w:rPr>
        <w:t>TDC Lifestyle</w:t>
      </w:r>
      <w:r w:rsidR="008A6692">
        <w:rPr>
          <w:rFonts w:eastAsia="Calibri"/>
          <w:lang w:val="en-GB"/>
        </w:rPr>
        <w:t>.</w:t>
      </w:r>
      <w:r w:rsidR="00146BF2" w:rsidRPr="000343FB">
        <w:rPr>
          <w:rFonts w:eastAsia="Calibri"/>
          <w:lang w:val="en-GB"/>
        </w:rPr>
        <w:t xml:space="preserve"> What would be the long-term implications of </w:t>
      </w:r>
      <w:r w:rsidR="00FD25A6">
        <w:rPr>
          <w:rFonts w:eastAsia="Calibri"/>
          <w:lang w:val="en-GB"/>
        </w:rPr>
        <w:t>any of these</w:t>
      </w:r>
      <w:r w:rsidR="00146BF2" w:rsidRPr="000343FB">
        <w:rPr>
          <w:rFonts w:eastAsia="Calibri"/>
          <w:lang w:val="en-GB"/>
        </w:rPr>
        <w:t xml:space="preserve"> branding </w:t>
      </w:r>
      <w:r w:rsidR="00FD25A6">
        <w:rPr>
          <w:rFonts w:eastAsia="Calibri"/>
          <w:lang w:val="en-GB"/>
        </w:rPr>
        <w:t>decisions</w:t>
      </w:r>
      <w:r w:rsidR="00146BF2" w:rsidRPr="000343FB">
        <w:rPr>
          <w:rFonts w:eastAsia="Calibri"/>
          <w:lang w:val="en-GB"/>
        </w:rPr>
        <w:t>?</w:t>
      </w:r>
      <w:r w:rsidR="00146BF2" w:rsidRPr="000343FB">
        <w:rPr>
          <w:lang w:val="en-GB"/>
        </w:rPr>
        <w:br w:type="page"/>
      </w:r>
    </w:p>
    <w:p w14:paraId="4494D66E" w14:textId="660006CD" w:rsidR="00146BF2" w:rsidRPr="000343FB" w:rsidRDefault="00146BF2" w:rsidP="00146BF2">
      <w:pPr>
        <w:pStyle w:val="ExhibitHeading"/>
        <w:rPr>
          <w:color w:val="000000"/>
          <w:lang w:val="en-GB"/>
        </w:rPr>
      </w:pPr>
      <w:r w:rsidRPr="000343FB">
        <w:rPr>
          <w:lang w:val="en-GB"/>
        </w:rPr>
        <w:lastRenderedPageBreak/>
        <w:t>EXHIBIT 1: T</w:t>
      </w:r>
      <w:r w:rsidR="008A6692" w:rsidRPr="008A6692">
        <w:rPr>
          <w:lang w:val="en-GB"/>
        </w:rPr>
        <w:t>iktauli De Corps</w:t>
      </w:r>
      <w:r w:rsidRPr="000343FB">
        <w:rPr>
          <w:lang w:val="en-GB"/>
        </w:rPr>
        <w:t xml:space="preserve"> BRANDS SALES FIGURES </w:t>
      </w:r>
      <w:r w:rsidRPr="000343FB">
        <w:rPr>
          <w:color w:val="000000"/>
          <w:lang w:val="en-GB"/>
        </w:rPr>
        <w:t>(</w:t>
      </w:r>
      <w:r w:rsidR="008A6692">
        <w:rPr>
          <w:color w:val="000000"/>
          <w:lang w:val="en-GB"/>
        </w:rPr>
        <w:t xml:space="preserve">in </w:t>
      </w:r>
      <w:r w:rsidRPr="000343FB">
        <w:rPr>
          <w:rFonts w:eastAsia="Arial Unicode MS"/>
          <w:color w:val="000000"/>
          <w:lang w:val="en-GB"/>
        </w:rPr>
        <w:t>₹ million</w:t>
      </w:r>
      <w:r w:rsidRPr="000343FB">
        <w:rPr>
          <w:color w:val="000000"/>
          <w:lang w:val="en-GB"/>
        </w:rPr>
        <w:t>)</w:t>
      </w:r>
    </w:p>
    <w:p w14:paraId="1CF32650" w14:textId="77777777" w:rsidR="00146BF2" w:rsidRPr="00FD454B" w:rsidRDefault="00146BF2" w:rsidP="00146BF2">
      <w:pPr>
        <w:pStyle w:val="ExhibitText"/>
        <w:rPr>
          <w:sz w:val="16"/>
          <w:szCs w:val="16"/>
          <w:lang w:val="en-GB"/>
        </w:rPr>
      </w:pPr>
    </w:p>
    <w:tbl>
      <w:tblPr>
        <w:tblW w:w="8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900"/>
        <w:gridCol w:w="1080"/>
        <w:gridCol w:w="1080"/>
        <w:gridCol w:w="1080"/>
        <w:gridCol w:w="1080"/>
        <w:gridCol w:w="939"/>
      </w:tblGrid>
      <w:tr w:rsidR="00237A7B" w:rsidRPr="000343FB" w14:paraId="3E47B0A7" w14:textId="77777777" w:rsidTr="00237A7B">
        <w:trPr>
          <w:trHeight w:val="340"/>
          <w:jc w:val="center"/>
        </w:trPr>
        <w:tc>
          <w:tcPr>
            <w:tcW w:w="2160" w:type="dxa"/>
            <w:shd w:val="clear" w:color="auto" w:fill="auto"/>
            <w:noWrap/>
            <w:vAlign w:val="center"/>
            <w:hideMark/>
          </w:tcPr>
          <w:p w14:paraId="37117F97" w14:textId="77777777" w:rsidR="00146BF2" w:rsidRPr="000343FB" w:rsidRDefault="00146BF2" w:rsidP="00237A7B">
            <w:pPr>
              <w:pStyle w:val="ExhibitText"/>
              <w:jc w:val="center"/>
              <w:rPr>
                <w:b/>
                <w:lang w:val="en-GB"/>
              </w:rPr>
            </w:pPr>
            <w:r w:rsidRPr="000343FB">
              <w:rPr>
                <w:b/>
                <w:lang w:val="en-GB"/>
              </w:rPr>
              <w:t>SALES</w:t>
            </w:r>
          </w:p>
        </w:tc>
        <w:tc>
          <w:tcPr>
            <w:tcW w:w="900" w:type="dxa"/>
            <w:shd w:val="clear" w:color="auto" w:fill="auto"/>
            <w:noWrap/>
            <w:vAlign w:val="center"/>
            <w:hideMark/>
          </w:tcPr>
          <w:p w14:paraId="355883FF" w14:textId="77777777" w:rsidR="00146BF2" w:rsidRPr="000343FB" w:rsidRDefault="00146BF2" w:rsidP="00237A7B">
            <w:pPr>
              <w:pStyle w:val="ExhibitText"/>
              <w:jc w:val="center"/>
              <w:rPr>
                <w:b/>
                <w:lang w:val="en-GB"/>
              </w:rPr>
            </w:pPr>
            <w:r w:rsidRPr="000343FB">
              <w:rPr>
                <w:b/>
                <w:lang w:val="en-GB"/>
              </w:rPr>
              <w:t>2012</w:t>
            </w:r>
          </w:p>
        </w:tc>
        <w:tc>
          <w:tcPr>
            <w:tcW w:w="1080" w:type="dxa"/>
            <w:shd w:val="clear" w:color="auto" w:fill="auto"/>
            <w:noWrap/>
            <w:vAlign w:val="center"/>
            <w:hideMark/>
          </w:tcPr>
          <w:p w14:paraId="1FCC93B2" w14:textId="77777777" w:rsidR="00146BF2" w:rsidRPr="000343FB" w:rsidRDefault="00146BF2" w:rsidP="00237A7B">
            <w:pPr>
              <w:pStyle w:val="ExhibitText"/>
              <w:jc w:val="center"/>
              <w:rPr>
                <w:b/>
                <w:lang w:val="en-GB"/>
              </w:rPr>
            </w:pPr>
            <w:r w:rsidRPr="000343FB">
              <w:rPr>
                <w:b/>
                <w:lang w:val="en-GB"/>
              </w:rPr>
              <w:t>2013</w:t>
            </w:r>
          </w:p>
        </w:tc>
        <w:tc>
          <w:tcPr>
            <w:tcW w:w="1080" w:type="dxa"/>
            <w:shd w:val="clear" w:color="auto" w:fill="auto"/>
            <w:noWrap/>
            <w:vAlign w:val="center"/>
            <w:hideMark/>
          </w:tcPr>
          <w:p w14:paraId="064AE723" w14:textId="77777777" w:rsidR="00146BF2" w:rsidRPr="000343FB" w:rsidRDefault="00146BF2" w:rsidP="00237A7B">
            <w:pPr>
              <w:pStyle w:val="ExhibitText"/>
              <w:jc w:val="center"/>
              <w:rPr>
                <w:b/>
                <w:lang w:val="en-GB"/>
              </w:rPr>
            </w:pPr>
            <w:r w:rsidRPr="000343FB">
              <w:rPr>
                <w:b/>
                <w:lang w:val="en-GB"/>
              </w:rPr>
              <w:t>2014</w:t>
            </w:r>
          </w:p>
        </w:tc>
        <w:tc>
          <w:tcPr>
            <w:tcW w:w="1080" w:type="dxa"/>
            <w:shd w:val="clear" w:color="auto" w:fill="auto"/>
            <w:noWrap/>
            <w:vAlign w:val="center"/>
            <w:hideMark/>
          </w:tcPr>
          <w:p w14:paraId="0291EA88" w14:textId="77777777" w:rsidR="00146BF2" w:rsidRPr="000343FB" w:rsidRDefault="00146BF2" w:rsidP="00237A7B">
            <w:pPr>
              <w:pStyle w:val="ExhibitText"/>
              <w:jc w:val="center"/>
              <w:rPr>
                <w:b/>
                <w:lang w:val="en-GB"/>
              </w:rPr>
            </w:pPr>
            <w:r w:rsidRPr="000343FB">
              <w:rPr>
                <w:b/>
                <w:lang w:val="en-GB"/>
              </w:rPr>
              <w:t>2015</w:t>
            </w:r>
          </w:p>
        </w:tc>
        <w:tc>
          <w:tcPr>
            <w:tcW w:w="1080" w:type="dxa"/>
            <w:shd w:val="clear" w:color="auto" w:fill="auto"/>
            <w:noWrap/>
            <w:vAlign w:val="center"/>
            <w:hideMark/>
          </w:tcPr>
          <w:p w14:paraId="32DF1B74" w14:textId="77777777" w:rsidR="00146BF2" w:rsidRPr="000343FB" w:rsidRDefault="00146BF2" w:rsidP="00237A7B">
            <w:pPr>
              <w:pStyle w:val="ExhibitText"/>
              <w:jc w:val="center"/>
              <w:rPr>
                <w:b/>
                <w:lang w:val="en-GB"/>
              </w:rPr>
            </w:pPr>
            <w:r w:rsidRPr="000343FB">
              <w:rPr>
                <w:b/>
                <w:lang w:val="en-GB"/>
              </w:rPr>
              <w:t>2016</w:t>
            </w:r>
          </w:p>
        </w:tc>
        <w:tc>
          <w:tcPr>
            <w:tcW w:w="939" w:type="dxa"/>
            <w:shd w:val="clear" w:color="auto" w:fill="auto"/>
            <w:vAlign w:val="center"/>
            <w:hideMark/>
          </w:tcPr>
          <w:p w14:paraId="342D05E3" w14:textId="77777777" w:rsidR="00146BF2" w:rsidRPr="000343FB" w:rsidRDefault="00146BF2" w:rsidP="00237A7B">
            <w:pPr>
              <w:pStyle w:val="ExhibitText"/>
              <w:jc w:val="center"/>
              <w:rPr>
                <w:b/>
                <w:lang w:val="en-GB"/>
              </w:rPr>
            </w:pPr>
            <w:r w:rsidRPr="000343FB">
              <w:rPr>
                <w:b/>
                <w:lang w:val="en-GB"/>
              </w:rPr>
              <w:t>2017</w:t>
            </w:r>
          </w:p>
        </w:tc>
      </w:tr>
      <w:tr w:rsidR="00237A7B" w:rsidRPr="000343FB" w14:paraId="32FC4D0B" w14:textId="77777777" w:rsidTr="00237A7B">
        <w:trPr>
          <w:trHeight w:val="340"/>
          <w:jc w:val="center"/>
        </w:trPr>
        <w:tc>
          <w:tcPr>
            <w:tcW w:w="2160" w:type="dxa"/>
            <w:shd w:val="clear" w:color="auto" w:fill="auto"/>
            <w:noWrap/>
            <w:vAlign w:val="center"/>
            <w:hideMark/>
          </w:tcPr>
          <w:p w14:paraId="5F50D2AE" w14:textId="77777777" w:rsidR="00146BF2" w:rsidRPr="000343FB" w:rsidRDefault="00146BF2" w:rsidP="00237A7B">
            <w:pPr>
              <w:pStyle w:val="ExhibitText"/>
              <w:jc w:val="left"/>
              <w:rPr>
                <w:lang w:val="en-GB"/>
              </w:rPr>
            </w:pPr>
            <w:r w:rsidRPr="000343FB">
              <w:rPr>
                <w:lang w:val="en-GB"/>
              </w:rPr>
              <w:t>TDC</w:t>
            </w:r>
          </w:p>
        </w:tc>
        <w:tc>
          <w:tcPr>
            <w:tcW w:w="900" w:type="dxa"/>
            <w:shd w:val="clear" w:color="auto" w:fill="auto"/>
            <w:noWrap/>
            <w:vAlign w:val="center"/>
            <w:hideMark/>
          </w:tcPr>
          <w:p w14:paraId="3AAF3926" w14:textId="77777777" w:rsidR="00146BF2" w:rsidRPr="000343FB" w:rsidRDefault="00146BF2" w:rsidP="00237A7B">
            <w:pPr>
              <w:pStyle w:val="ExhibitText"/>
              <w:jc w:val="right"/>
              <w:rPr>
                <w:lang w:val="en-GB"/>
              </w:rPr>
            </w:pPr>
            <w:r w:rsidRPr="000343FB">
              <w:rPr>
                <w:lang w:val="en-GB"/>
              </w:rPr>
              <w:t>3.22</w:t>
            </w:r>
          </w:p>
        </w:tc>
        <w:tc>
          <w:tcPr>
            <w:tcW w:w="1080" w:type="dxa"/>
            <w:shd w:val="clear" w:color="auto" w:fill="auto"/>
            <w:noWrap/>
            <w:vAlign w:val="center"/>
            <w:hideMark/>
          </w:tcPr>
          <w:p w14:paraId="6F303BC5" w14:textId="3443C293" w:rsidR="00146BF2" w:rsidRPr="000343FB" w:rsidRDefault="00146BF2" w:rsidP="00237A7B">
            <w:pPr>
              <w:pStyle w:val="ExhibitText"/>
              <w:jc w:val="right"/>
              <w:rPr>
                <w:lang w:val="en-GB"/>
              </w:rPr>
            </w:pPr>
            <w:r w:rsidRPr="000343FB">
              <w:rPr>
                <w:lang w:val="en-GB"/>
              </w:rPr>
              <w:t>12.9</w:t>
            </w:r>
            <w:r w:rsidR="005D346C">
              <w:rPr>
                <w:lang w:val="en-GB"/>
              </w:rPr>
              <w:t>0</w:t>
            </w:r>
          </w:p>
        </w:tc>
        <w:tc>
          <w:tcPr>
            <w:tcW w:w="1080" w:type="dxa"/>
            <w:shd w:val="clear" w:color="auto" w:fill="auto"/>
            <w:noWrap/>
            <w:vAlign w:val="center"/>
            <w:hideMark/>
          </w:tcPr>
          <w:p w14:paraId="2871F405" w14:textId="77777777" w:rsidR="00146BF2" w:rsidRPr="000343FB" w:rsidRDefault="00146BF2" w:rsidP="00237A7B">
            <w:pPr>
              <w:pStyle w:val="ExhibitText"/>
              <w:jc w:val="right"/>
              <w:rPr>
                <w:lang w:val="en-GB"/>
              </w:rPr>
            </w:pPr>
            <w:r w:rsidRPr="000343FB">
              <w:rPr>
                <w:lang w:val="en-GB"/>
              </w:rPr>
              <w:t>38.71</w:t>
            </w:r>
          </w:p>
        </w:tc>
        <w:tc>
          <w:tcPr>
            <w:tcW w:w="1080" w:type="dxa"/>
            <w:shd w:val="clear" w:color="auto" w:fill="auto"/>
            <w:noWrap/>
            <w:vAlign w:val="center"/>
            <w:hideMark/>
          </w:tcPr>
          <w:p w14:paraId="36AB3C9B" w14:textId="77777777" w:rsidR="00146BF2" w:rsidRPr="000343FB" w:rsidRDefault="00146BF2" w:rsidP="00237A7B">
            <w:pPr>
              <w:pStyle w:val="ExhibitText"/>
              <w:jc w:val="right"/>
              <w:rPr>
                <w:lang w:val="en-GB"/>
              </w:rPr>
            </w:pPr>
            <w:r w:rsidRPr="000343FB">
              <w:rPr>
                <w:lang w:val="en-GB"/>
              </w:rPr>
              <w:t>77.42</w:t>
            </w:r>
          </w:p>
        </w:tc>
        <w:tc>
          <w:tcPr>
            <w:tcW w:w="1080" w:type="dxa"/>
            <w:shd w:val="clear" w:color="auto" w:fill="auto"/>
            <w:noWrap/>
            <w:vAlign w:val="center"/>
            <w:hideMark/>
          </w:tcPr>
          <w:p w14:paraId="6240E983" w14:textId="77777777" w:rsidR="00146BF2" w:rsidRPr="000343FB" w:rsidRDefault="00146BF2" w:rsidP="00237A7B">
            <w:pPr>
              <w:pStyle w:val="ExhibitText"/>
              <w:jc w:val="right"/>
              <w:rPr>
                <w:lang w:val="en-GB"/>
              </w:rPr>
            </w:pPr>
            <w:r w:rsidRPr="000343FB">
              <w:rPr>
                <w:lang w:val="en-GB"/>
              </w:rPr>
              <w:t>122.59</w:t>
            </w:r>
          </w:p>
        </w:tc>
        <w:tc>
          <w:tcPr>
            <w:tcW w:w="939" w:type="dxa"/>
            <w:shd w:val="clear" w:color="auto" w:fill="auto"/>
            <w:vAlign w:val="center"/>
            <w:hideMark/>
          </w:tcPr>
          <w:p w14:paraId="6F4B334F" w14:textId="496E31E2" w:rsidR="00146BF2" w:rsidRPr="000343FB" w:rsidRDefault="00146BF2" w:rsidP="00237A7B">
            <w:pPr>
              <w:pStyle w:val="ExhibitText"/>
              <w:jc w:val="right"/>
              <w:rPr>
                <w:lang w:val="en-GB"/>
              </w:rPr>
            </w:pPr>
            <w:r w:rsidRPr="000343FB">
              <w:rPr>
                <w:lang w:val="en-GB"/>
              </w:rPr>
              <w:t>128</w:t>
            </w:r>
            <w:r w:rsidR="005D346C">
              <w:rPr>
                <w:lang w:val="en-GB"/>
              </w:rPr>
              <w:t>.00</w:t>
            </w:r>
          </w:p>
        </w:tc>
      </w:tr>
      <w:tr w:rsidR="00237A7B" w:rsidRPr="000343FB" w14:paraId="38C51C1D" w14:textId="77777777" w:rsidTr="00237A7B">
        <w:trPr>
          <w:trHeight w:val="340"/>
          <w:jc w:val="center"/>
        </w:trPr>
        <w:tc>
          <w:tcPr>
            <w:tcW w:w="2160" w:type="dxa"/>
            <w:shd w:val="clear" w:color="auto" w:fill="auto"/>
            <w:noWrap/>
            <w:vAlign w:val="center"/>
            <w:hideMark/>
          </w:tcPr>
          <w:p w14:paraId="142475D7" w14:textId="77777777" w:rsidR="00146BF2" w:rsidRPr="000343FB" w:rsidRDefault="00146BF2" w:rsidP="00237A7B">
            <w:pPr>
              <w:pStyle w:val="ExhibitText"/>
              <w:jc w:val="left"/>
              <w:rPr>
                <w:lang w:val="en-GB"/>
              </w:rPr>
            </w:pPr>
            <w:proofErr w:type="spellStart"/>
            <w:r w:rsidRPr="000343FB">
              <w:rPr>
                <w:lang w:val="en-GB"/>
              </w:rPr>
              <w:t>Koolho</w:t>
            </w:r>
            <w:proofErr w:type="spellEnd"/>
          </w:p>
        </w:tc>
        <w:tc>
          <w:tcPr>
            <w:tcW w:w="900" w:type="dxa"/>
            <w:shd w:val="clear" w:color="auto" w:fill="auto"/>
            <w:noWrap/>
            <w:vAlign w:val="center"/>
            <w:hideMark/>
          </w:tcPr>
          <w:p w14:paraId="55C98096"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2E56DF46"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55C03FAB"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4B5768A6"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735686DD" w14:textId="77777777" w:rsidR="00146BF2" w:rsidRPr="000343FB" w:rsidRDefault="00146BF2" w:rsidP="00237A7B">
            <w:pPr>
              <w:pStyle w:val="ExhibitText"/>
              <w:jc w:val="right"/>
              <w:rPr>
                <w:lang w:val="en-GB"/>
              </w:rPr>
            </w:pPr>
            <w:r w:rsidRPr="000343FB">
              <w:rPr>
                <w:lang w:val="en-GB"/>
              </w:rPr>
              <w:t>77.42</w:t>
            </w:r>
          </w:p>
        </w:tc>
        <w:tc>
          <w:tcPr>
            <w:tcW w:w="939" w:type="dxa"/>
            <w:shd w:val="clear" w:color="auto" w:fill="auto"/>
            <w:vAlign w:val="center"/>
            <w:hideMark/>
          </w:tcPr>
          <w:p w14:paraId="5980AEF7" w14:textId="77777777" w:rsidR="00146BF2" w:rsidRPr="000343FB" w:rsidRDefault="00146BF2" w:rsidP="00237A7B">
            <w:pPr>
              <w:pStyle w:val="ExhibitText"/>
              <w:jc w:val="right"/>
              <w:rPr>
                <w:lang w:val="en-GB"/>
              </w:rPr>
            </w:pPr>
            <w:r w:rsidRPr="000343FB">
              <w:rPr>
                <w:lang w:val="en-GB"/>
              </w:rPr>
              <w:t>55.56</w:t>
            </w:r>
          </w:p>
        </w:tc>
      </w:tr>
      <w:tr w:rsidR="00237A7B" w:rsidRPr="000343FB" w14:paraId="0EA6B27A" w14:textId="77777777" w:rsidTr="00237A7B">
        <w:trPr>
          <w:trHeight w:val="340"/>
          <w:jc w:val="center"/>
        </w:trPr>
        <w:tc>
          <w:tcPr>
            <w:tcW w:w="2160" w:type="dxa"/>
            <w:shd w:val="clear" w:color="auto" w:fill="auto"/>
            <w:noWrap/>
            <w:vAlign w:val="center"/>
            <w:hideMark/>
          </w:tcPr>
          <w:p w14:paraId="7CD44AF7" w14:textId="77777777" w:rsidR="00146BF2" w:rsidRPr="000343FB" w:rsidRDefault="00146BF2" w:rsidP="00237A7B">
            <w:pPr>
              <w:pStyle w:val="ExhibitText"/>
              <w:jc w:val="left"/>
              <w:rPr>
                <w:lang w:val="en-GB"/>
              </w:rPr>
            </w:pPr>
            <w:proofErr w:type="spellStart"/>
            <w:r w:rsidRPr="000343FB">
              <w:rPr>
                <w:lang w:val="en-GB"/>
              </w:rPr>
              <w:t>Fieldgear</w:t>
            </w:r>
            <w:proofErr w:type="spellEnd"/>
          </w:p>
        </w:tc>
        <w:tc>
          <w:tcPr>
            <w:tcW w:w="900" w:type="dxa"/>
            <w:shd w:val="clear" w:color="auto" w:fill="auto"/>
            <w:noWrap/>
            <w:vAlign w:val="center"/>
            <w:hideMark/>
          </w:tcPr>
          <w:p w14:paraId="774CDC0A"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5AA264A4"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22FBCEE8" w14:textId="77777777" w:rsidR="00146BF2" w:rsidRPr="000343FB" w:rsidRDefault="00146BF2" w:rsidP="00237A7B">
            <w:pPr>
              <w:pStyle w:val="ExhibitText"/>
              <w:jc w:val="right"/>
              <w:rPr>
                <w:lang w:val="en-GB"/>
              </w:rPr>
            </w:pPr>
            <w:r w:rsidRPr="000343FB">
              <w:rPr>
                <w:lang w:val="en-GB"/>
              </w:rPr>
              <w:t>NA</w:t>
            </w:r>
          </w:p>
        </w:tc>
        <w:tc>
          <w:tcPr>
            <w:tcW w:w="1080" w:type="dxa"/>
            <w:shd w:val="clear" w:color="auto" w:fill="auto"/>
            <w:noWrap/>
            <w:vAlign w:val="center"/>
            <w:hideMark/>
          </w:tcPr>
          <w:p w14:paraId="313D6044" w14:textId="77777777" w:rsidR="00146BF2" w:rsidRPr="000343FB" w:rsidRDefault="00146BF2" w:rsidP="00237A7B">
            <w:pPr>
              <w:pStyle w:val="ExhibitText"/>
              <w:jc w:val="right"/>
              <w:rPr>
                <w:lang w:val="en-GB"/>
              </w:rPr>
            </w:pPr>
            <w:r w:rsidRPr="000343FB">
              <w:rPr>
                <w:lang w:val="en-GB"/>
              </w:rPr>
              <w:t>25.81</w:t>
            </w:r>
          </w:p>
        </w:tc>
        <w:tc>
          <w:tcPr>
            <w:tcW w:w="1080" w:type="dxa"/>
            <w:shd w:val="clear" w:color="auto" w:fill="auto"/>
            <w:noWrap/>
            <w:vAlign w:val="center"/>
            <w:hideMark/>
          </w:tcPr>
          <w:p w14:paraId="1AA2DD35" w14:textId="77777777" w:rsidR="00146BF2" w:rsidRPr="000343FB" w:rsidRDefault="00146BF2" w:rsidP="00237A7B">
            <w:pPr>
              <w:pStyle w:val="ExhibitText"/>
              <w:jc w:val="right"/>
              <w:rPr>
                <w:lang w:val="en-GB"/>
              </w:rPr>
            </w:pPr>
            <w:r w:rsidRPr="000343FB">
              <w:rPr>
                <w:lang w:val="en-GB"/>
              </w:rPr>
              <w:t>187.11</w:t>
            </w:r>
          </w:p>
        </w:tc>
        <w:tc>
          <w:tcPr>
            <w:tcW w:w="939" w:type="dxa"/>
            <w:shd w:val="clear" w:color="auto" w:fill="auto"/>
            <w:vAlign w:val="center"/>
            <w:hideMark/>
          </w:tcPr>
          <w:p w14:paraId="750CFF2F" w14:textId="553EC15E" w:rsidR="00146BF2" w:rsidRPr="000343FB" w:rsidRDefault="00146BF2" w:rsidP="00237A7B">
            <w:pPr>
              <w:pStyle w:val="ExhibitText"/>
              <w:jc w:val="right"/>
              <w:rPr>
                <w:lang w:val="en-GB"/>
              </w:rPr>
            </w:pPr>
            <w:r w:rsidRPr="000343FB">
              <w:rPr>
                <w:lang w:val="en-GB"/>
              </w:rPr>
              <w:t>192.2</w:t>
            </w:r>
            <w:r w:rsidR="005D346C">
              <w:rPr>
                <w:lang w:val="en-GB"/>
              </w:rPr>
              <w:t>0</w:t>
            </w:r>
          </w:p>
        </w:tc>
      </w:tr>
      <w:tr w:rsidR="00237A7B" w:rsidRPr="000343FB" w14:paraId="20E86041" w14:textId="77777777" w:rsidTr="00237A7B">
        <w:trPr>
          <w:trHeight w:val="340"/>
          <w:jc w:val="center"/>
        </w:trPr>
        <w:tc>
          <w:tcPr>
            <w:tcW w:w="2160" w:type="dxa"/>
            <w:shd w:val="clear" w:color="auto" w:fill="auto"/>
            <w:noWrap/>
            <w:vAlign w:val="center"/>
            <w:hideMark/>
          </w:tcPr>
          <w:p w14:paraId="2C19A44D" w14:textId="75B72D21" w:rsidR="00146BF2" w:rsidRPr="000343FB" w:rsidRDefault="00146BF2" w:rsidP="00237A7B">
            <w:pPr>
              <w:pStyle w:val="ExhibitText"/>
              <w:jc w:val="left"/>
              <w:rPr>
                <w:lang w:val="en-GB"/>
              </w:rPr>
            </w:pPr>
            <w:r w:rsidRPr="000343FB">
              <w:rPr>
                <w:lang w:val="en-GB"/>
              </w:rPr>
              <w:t xml:space="preserve">B2B </w:t>
            </w:r>
            <w:proofErr w:type="spellStart"/>
            <w:r w:rsidRPr="000343FB">
              <w:rPr>
                <w:lang w:val="en-GB"/>
              </w:rPr>
              <w:t>fulfil</w:t>
            </w:r>
            <w:r w:rsidR="00161C92">
              <w:rPr>
                <w:lang w:val="en-GB"/>
              </w:rPr>
              <w:t>l</w:t>
            </w:r>
            <w:r w:rsidRPr="000343FB">
              <w:rPr>
                <w:lang w:val="en-GB"/>
              </w:rPr>
              <w:t>ment</w:t>
            </w:r>
            <w:proofErr w:type="spellEnd"/>
            <w:r w:rsidRPr="000343FB">
              <w:rPr>
                <w:lang w:val="en-GB"/>
              </w:rPr>
              <w:t xml:space="preserve"> (online supplies in bulk)</w:t>
            </w:r>
          </w:p>
        </w:tc>
        <w:tc>
          <w:tcPr>
            <w:tcW w:w="900" w:type="dxa"/>
            <w:shd w:val="clear" w:color="auto" w:fill="auto"/>
            <w:noWrap/>
            <w:vAlign w:val="center"/>
            <w:hideMark/>
          </w:tcPr>
          <w:p w14:paraId="6EC0D75D" w14:textId="77777777" w:rsidR="00146BF2" w:rsidRPr="000343FB" w:rsidRDefault="00146BF2" w:rsidP="00237A7B">
            <w:pPr>
              <w:pStyle w:val="ExhibitText"/>
              <w:jc w:val="right"/>
              <w:rPr>
                <w:lang w:val="en-GB"/>
              </w:rPr>
            </w:pPr>
            <w:r w:rsidRPr="000343FB">
              <w:rPr>
                <w:lang w:val="en-GB"/>
              </w:rPr>
              <w:t>32.26</w:t>
            </w:r>
          </w:p>
        </w:tc>
        <w:tc>
          <w:tcPr>
            <w:tcW w:w="1080" w:type="dxa"/>
            <w:shd w:val="clear" w:color="auto" w:fill="auto"/>
            <w:noWrap/>
            <w:vAlign w:val="center"/>
            <w:hideMark/>
          </w:tcPr>
          <w:p w14:paraId="7713103B" w14:textId="77777777" w:rsidR="00146BF2" w:rsidRPr="000343FB" w:rsidRDefault="00146BF2" w:rsidP="00237A7B">
            <w:pPr>
              <w:pStyle w:val="ExhibitText"/>
              <w:jc w:val="right"/>
              <w:rPr>
                <w:lang w:val="en-GB"/>
              </w:rPr>
            </w:pPr>
            <w:r w:rsidRPr="000343FB">
              <w:rPr>
                <w:lang w:val="en-GB"/>
              </w:rPr>
              <w:t>290.34</w:t>
            </w:r>
          </w:p>
        </w:tc>
        <w:tc>
          <w:tcPr>
            <w:tcW w:w="1080" w:type="dxa"/>
            <w:shd w:val="clear" w:color="auto" w:fill="auto"/>
            <w:noWrap/>
            <w:vAlign w:val="center"/>
            <w:hideMark/>
          </w:tcPr>
          <w:p w14:paraId="3162949B" w14:textId="77777777" w:rsidR="00146BF2" w:rsidRPr="000343FB" w:rsidRDefault="00146BF2" w:rsidP="00237A7B">
            <w:pPr>
              <w:pStyle w:val="ExhibitText"/>
              <w:jc w:val="right"/>
              <w:rPr>
                <w:lang w:val="en-GB"/>
              </w:rPr>
            </w:pPr>
            <w:r w:rsidRPr="000343FB">
              <w:rPr>
                <w:lang w:val="en-GB"/>
              </w:rPr>
              <w:t>516.16</w:t>
            </w:r>
          </w:p>
        </w:tc>
        <w:tc>
          <w:tcPr>
            <w:tcW w:w="1080" w:type="dxa"/>
            <w:shd w:val="clear" w:color="auto" w:fill="auto"/>
            <w:noWrap/>
            <w:vAlign w:val="center"/>
            <w:hideMark/>
          </w:tcPr>
          <w:p w14:paraId="2DEBCAD0" w14:textId="7071B4F3" w:rsidR="00146BF2" w:rsidRPr="000343FB" w:rsidRDefault="00146BF2" w:rsidP="00237A7B">
            <w:pPr>
              <w:pStyle w:val="ExhibitText"/>
              <w:jc w:val="right"/>
              <w:rPr>
                <w:lang w:val="en-GB"/>
              </w:rPr>
            </w:pPr>
            <w:r w:rsidRPr="000343FB">
              <w:rPr>
                <w:lang w:val="en-GB"/>
              </w:rPr>
              <w:t>658.1</w:t>
            </w:r>
            <w:r w:rsidR="005D346C">
              <w:rPr>
                <w:lang w:val="en-GB"/>
              </w:rPr>
              <w:t>0</w:t>
            </w:r>
          </w:p>
        </w:tc>
        <w:tc>
          <w:tcPr>
            <w:tcW w:w="1080" w:type="dxa"/>
            <w:shd w:val="clear" w:color="auto" w:fill="auto"/>
            <w:noWrap/>
            <w:vAlign w:val="center"/>
            <w:hideMark/>
          </w:tcPr>
          <w:p w14:paraId="49D0527F" w14:textId="5537B59A" w:rsidR="00146BF2" w:rsidRPr="000343FB" w:rsidRDefault="00146BF2" w:rsidP="00237A7B">
            <w:pPr>
              <w:pStyle w:val="ExhibitText"/>
              <w:jc w:val="right"/>
              <w:rPr>
                <w:lang w:val="en-GB"/>
              </w:rPr>
            </w:pPr>
            <w:r w:rsidRPr="000343FB">
              <w:rPr>
                <w:lang w:val="en-GB"/>
              </w:rPr>
              <w:t>793.6</w:t>
            </w:r>
            <w:r w:rsidR="005D346C">
              <w:rPr>
                <w:lang w:val="en-GB"/>
              </w:rPr>
              <w:t>0</w:t>
            </w:r>
          </w:p>
        </w:tc>
        <w:tc>
          <w:tcPr>
            <w:tcW w:w="939" w:type="dxa"/>
            <w:shd w:val="clear" w:color="auto" w:fill="auto"/>
            <w:vAlign w:val="center"/>
            <w:hideMark/>
          </w:tcPr>
          <w:p w14:paraId="57F9B02C" w14:textId="638D069E" w:rsidR="00146BF2" w:rsidRPr="000343FB" w:rsidRDefault="00146BF2" w:rsidP="00237A7B">
            <w:pPr>
              <w:pStyle w:val="ExhibitText"/>
              <w:jc w:val="right"/>
              <w:rPr>
                <w:lang w:val="en-GB"/>
              </w:rPr>
            </w:pPr>
            <w:r w:rsidRPr="000343FB">
              <w:rPr>
                <w:lang w:val="en-GB"/>
              </w:rPr>
              <w:t>947.3</w:t>
            </w:r>
            <w:r w:rsidR="005D346C">
              <w:rPr>
                <w:lang w:val="en-GB"/>
              </w:rPr>
              <w:t>0</w:t>
            </w:r>
          </w:p>
        </w:tc>
      </w:tr>
      <w:tr w:rsidR="00237A7B" w:rsidRPr="000343FB" w14:paraId="4276785F" w14:textId="77777777" w:rsidTr="00237A7B">
        <w:trPr>
          <w:trHeight w:val="340"/>
          <w:jc w:val="center"/>
        </w:trPr>
        <w:tc>
          <w:tcPr>
            <w:tcW w:w="2160" w:type="dxa"/>
            <w:shd w:val="clear" w:color="auto" w:fill="auto"/>
            <w:noWrap/>
            <w:vAlign w:val="center"/>
            <w:hideMark/>
          </w:tcPr>
          <w:p w14:paraId="0DC1500B" w14:textId="2A11DA50" w:rsidR="00146BF2" w:rsidRPr="000343FB" w:rsidRDefault="00146BF2" w:rsidP="00237A7B">
            <w:pPr>
              <w:pStyle w:val="ExhibitText"/>
              <w:jc w:val="left"/>
              <w:rPr>
                <w:lang w:val="en-GB"/>
              </w:rPr>
            </w:pPr>
            <w:r w:rsidRPr="000343FB">
              <w:rPr>
                <w:lang w:val="en-GB"/>
              </w:rPr>
              <w:t xml:space="preserve">Total </w:t>
            </w:r>
            <w:r w:rsidR="005D346C">
              <w:rPr>
                <w:lang w:val="en-GB"/>
              </w:rPr>
              <w:t>s</w:t>
            </w:r>
            <w:r w:rsidRPr="000343FB">
              <w:rPr>
                <w:lang w:val="en-GB"/>
              </w:rPr>
              <w:t>ales</w:t>
            </w:r>
          </w:p>
        </w:tc>
        <w:tc>
          <w:tcPr>
            <w:tcW w:w="900" w:type="dxa"/>
            <w:shd w:val="clear" w:color="auto" w:fill="auto"/>
            <w:noWrap/>
            <w:vAlign w:val="center"/>
            <w:hideMark/>
          </w:tcPr>
          <w:p w14:paraId="4C2872D6" w14:textId="77777777" w:rsidR="00146BF2" w:rsidRPr="000343FB" w:rsidRDefault="00146BF2" w:rsidP="00237A7B">
            <w:pPr>
              <w:pStyle w:val="ExhibitText"/>
              <w:jc w:val="right"/>
              <w:rPr>
                <w:lang w:val="en-GB"/>
              </w:rPr>
            </w:pPr>
            <w:r w:rsidRPr="000343FB">
              <w:rPr>
                <w:lang w:val="en-GB"/>
              </w:rPr>
              <w:t>35.48</w:t>
            </w:r>
          </w:p>
        </w:tc>
        <w:tc>
          <w:tcPr>
            <w:tcW w:w="1080" w:type="dxa"/>
            <w:shd w:val="clear" w:color="auto" w:fill="auto"/>
            <w:noWrap/>
            <w:vAlign w:val="center"/>
            <w:hideMark/>
          </w:tcPr>
          <w:p w14:paraId="46CA6877" w14:textId="77777777" w:rsidR="00146BF2" w:rsidRPr="000343FB" w:rsidRDefault="00146BF2" w:rsidP="00237A7B">
            <w:pPr>
              <w:pStyle w:val="ExhibitText"/>
              <w:jc w:val="right"/>
              <w:rPr>
                <w:lang w:val="en-GB"/>
              </w:rPr>
            </w:pPr>
            <w:r w:rsidRPr="000343FB">
              <w:rPr>
                <w:lang w:val="en-GB"/>
              </w:rPr>
              <w:t>303.24</w:t>
            </w:r>
          </w:p>
        </w:tc>
        <w:tc>
          <w:tcPr>
            <w:tcW w:w="1080" w:type="dxa"/>
            <w:shd w:val="clear" w:color="auto" w:fill="auto"/>
            <w:noWrap/>
            <w:vAlign w:val="center"/>
            <w:hideMark/>
          </w:tcPr>
          <w:p w14:paraId="5E166636" w14:textId="77777777" w:rsidR="00146BF2" w:rsidRPr="000343FB" w:rsidRDefault="00146BF2" w:rsidP="00237A7B">
            <w:pPr>
              <w:pStyle w:val="ExhibitText"/>
              <w:jc w:val="right"/>
              <w:rPr>
                <w:lang w:val="en-GB"/>
              </w:rPr>
            </w:pPr>
            <w:r w:rsidRPr="000343FB">
              <w:rPr>
                <w:lang w:val="en-GB"/>
              </w:rPr>
              <w:t>554.87</w:t>
            </w:r>
          </w:p>
        </w:tc>
        <w:tc>
          <w:tcPr>
            <w:tcW w:w="1080" w:type="dxa"/>
            <w:shd w:val="clear" w:color="auto" w:fill="auto"/>
            <w:noWrap/>
            <w:vAlign w:val="center"/>
            <w:hideMark/>
          </w:tcPr>
          <w:p w14:paraId="1C5BFC50" w14:textId="77777777" w:rsidR="00146BF2" w:rsidRPr="000343FB" w:rsidRDefault="00146BF2" w:rsidP="00237A7B">
            <w:pPr>
              <w:pStyle w:val="ExhibitText"/>
              <w:jc w:val="right"/>
              <w:rPr>
                <w:lang w:val="en-GB"/>
              </w:rPr>
            </w:pPr>
            <w:r w:rsidRPr="000343FB">
              <w:rPr>
                <w:lang w:val="en-GB"/>
              </w:rPr>
              <w:t>761.33</w:t>
            </w:r>
          </w:p>
        </w:tc>
        <w:tc>
          <w:tcPr>
            <w:tcW w:w="1080" w:type="dxa"/>
            <w:shd w:val="clear" w:color="auto" w:fill="auto"/>
            <w:noWrap/>
            <w:vAlign w:val="center"/>
            <w:hideMark/>
          </w:tcPr>
          <w:p w14:paraId="0FEB429C" w14:textId="77777777" w:rsidR="00146BF2" w:rsidRPr="000343FB" w:rsidRDefault="00146BF2" w:rsidP="00237A7B">
            <w:pPr>
              <w:pStyle w:val="ExhibitText"/>
              <w:jc w:val="right"/>
              <w:rPr>
                <w:lang w:val="en-GB"/>
              </w:rPr>
            </w:pPr>
            <w:r w:rsidRPr="000343FB">
              <w:rPr>
                <w:lang w:val="en-GB"/>
              </w:rPr>
              <w:t>1180.72</w:t>
            </w:r>
          </w:p>
        </w:tc>
        <w:tc>
          <w:tcPr>
            <w:tcW w:w="939" w:type="dxa"/>
            <w:shd w:val="clear" w:color="auto" w:fill="auto"/>
            <w:vAlign w:val="center"/>
            <w:hideMark/>
          </w:tcPr>
          <w:p w14:paraId="4F672154" w14:textId="77777777" w:rsidR="00146BF2" w:rsidRPr="000343FB" w:rsidRDefault="00146BF2" w:rsidP="00237A7B">
            <w:pPr>
              <w:pStyle w:val="ExhibitText"/>
              <w:jc w:val="right"/>
              <w:rPr>
                <w:lang w:val="en-GB"/>
              </w:rPr>
            </w:pPr>
            <w:r w:rsidRPr="000343FB">
              <w:rPr>
                <w:lang w:val="en-GB"/>
              </w:rPr>
              <w:t>1323.06</w:t>
            </w:r>
          </w:p>
        </w:tc>
      </w:tr>
    </w:tbl>
    <w:p w14:paraId="55F49AB8" w14:textId="77777777" w:rsidR="00237A7B" w:rsidRPr="00FD454B" w:rsidRDefault="00237A7B" w:rsidP="00237A7B">
      <w:pPr>
        <w:pStyle w:val="ExhibitText"/>
        <w:rPr>
          <w:sz w:val="16"/>
          <w:szCs w:val="16"/>
          <w:lang w:val="en-GB"/>
        </w:rPr>
      </w:pPr>
    </w:p>
    <w:p w14:paraId="7DD77A6E" w14:textId="4E50E085" w:rsidR="005D346C" w:rsidRPr="00270B29" w:rsidRDefault="005D346C" w:rsidP="00237A7B">
      <w:pPr>
        <w:pStyle w:val="Footnote"/>
        <w:rPr>
          <w:spacing w:val="-6"/>
          <w:kern w:val="17"/>
          <w:lang w:val="en-GB"/>
        </w:rPr>
      </w:pPr>
      <w:r w:rsidRPr="00270B29">
        <w:rPr>
          <w:spacing w:val="-6"/>
          <w:kern w:val="17"/>
          <w:lang w:val="en-GB"/>
        </w:rPr>
        <w:t>Note: ₹ = INR = Indian</w:t>
      </w:r>
      <w:r w:rsidR="00270B29" w:rsidRPr="00270B29">
        <w:rPr>
          <w:spacing w:val="-6"/>
          <w:kern w:val="17"/>
          <w:lang w:val="en-GB"/>
        </w:rPr>
        <w:t xml:space="preserve"> rupee; </w:t>
      </w:r>
      <w:r w:rsidR="00270B29" w:rsidRPr="00270B29">
        <w:rPr>
          <w:spacing w:val="-6"/>
          <w:kern w:val="17"/>
          <w:lang w:val="en-GB"/>
        </w:rPr>
        <w:t>₹</w:t>
      </w:r>
      <w:r w:rsidRPr="00270B29">
        <w:rPr>
          <w:spacing w:val="-6"/>
          <w:kern w:val="17"/>
          <w:lang w:val="en-GB"/>
        </w:rPr>
        <w:t xml:space="preserve">1 = </w:t>
      </w:r>
      <w:r w:rsidR="00270B29" w:rsidRPr="00270B29">
        <w:rPr>
          <w:spacing w:val="-6"/>
          <w:kern w:val="17"/>
          <w:lang w:val="en-GB"/>
        </w:rPr>
        <w:t>US$0.02</w:t>
      </w:r>
      <w:r w:rsidRPr="00270B29">
        <w:rPr>
          <w:spacing w:val="-6"/>
          <w:kern w:val="17"/>
          <w:lang w:val="en-GB"/>
        </w:rPr>
        <w:t xml:space="preserve"> on July 1, 2018</w:t>
      </w:r>
      <w:r w:rsidR="006E3FA2" w:rsidRPr="00270B29">
        <w:rPr>
          <w:spacing w:val="-6"/>
          <w:kern w:val="17"/>
          <w:lang w:val="en-GB"/>
        </w:rPr>
        <w:t xml:space="preserve">; TDC = </w:t>
      </w:r>
      <w:proofErr w:type="spellStart"/>
      <w:r w:rsidR="006E3FA2" w:rsidRPr="00270B29">
        <w:rPr>
          <w:spacing w:val="-6"/>
          <w:kern w:val="17"/>
          <w:lang w:val="en-GB"/>
        </w:rPr>
        <w:t>Tiktauli</w:t>
      </w:r>
      <w:proofErr w:type="spellEnd"/>
      <w:r w:rsidR="006E3FA2" w:rsidRPr="00270B29">
        <w:rPr>
          <w:spacing w:val="-6"/>
          <w:kern w:val="17"/>
          <w:lang w:val="en-GB"/>
        </w:rPr>
        <w:t xml:space="preserve"> De Corps; B2B = business-to-business; NA = not available</w:t>
      </w:r>
      <w:r w:rsidR="00FD454B" w:rsidRPr="00270B29">
        <w:rPr>
          <w:spacing w:val="-6"/>
          <w:kern w:val="17"/>
          <w:lang w:val="en-GB"/>
        </w:rPr>
        <w:t>.</w:t>
      </w:r>
    </w:p>
    <w:p w14:paraId="23E06641" w14:textId="3A4ED894" w:rsidR="00146BF2" w:rsidRPr="000343FB" w:rsidRDefault="00146BF2" w:rsidP="00237A7B">
      <w:pPr>
        <w:pStyle w:val="Footnote"/>
        <w:rPr>
          <w:lang w:val="en-GB"/>
        </w:rPr>
      </w:pPr>
      <w:r w:rsidRPr="000343FB">
        <w:rPr>
          <w:lang w:val="en-GB"/>
        </w:rPr>
        <w:t>Source: Company documents.</w:t>
      </w:r>
    </w:p>
    <w:p w14:paraId="72BF842E" w14:textId="77777777" w:rsidR="00237A7B" w:rsidRPr="00FD454B" w:rsidRDefault="00237A7B" w:rsidP="00237A7B">
      <w:pPr>
        <w:pStyle w:val="ExhibitText"/>
        <w:rPr>
          <w:rFonts w:eastAsia="Calibri"/>
          <w:sz w:val="16"/>
          <w:szCs w:val="16"/>
          <w:lang w:val="en-GB"/>
        </w:rPr>
      </w:pPr>
      <w:bookmarkStart w:id="0" w:name="_GoBack"/>
      <w:bookmarkEnd w:id="0"/>
    </w:p>
    <w:p w14:paraId="383EDE3C" w14:textId="77777777" w:rsidR="00237A7B" w:rsidRPr="00FD454B" w:rsidRDefault="00237A7B" w:rsidP="00237A7B">
      <w:pPr>
        <w:pStyle w:val="ExhibitText"/>
        <w:rPr>
          <w:rFonts w:eastAsia="Calibri"/>
          <w:sz w:val="16"/>
          <w:szCs w:val="16"/>
          <w:lang w:val="en-GB"/>
        </w:rPr>
      </w:pPr>
    </w:p>
    <w:p w14:paraId="5EE071A5" w14:textId="41253386" w:rsidR="00146BF2" w:rsidRPr="000343FB" w:rsidRDefault="00146BF2" w:rsidP="00237A7B">
      <w:pPr>
        <w:pStyle w:val="ExhibitHeading"/>
        <w:rPr>
          <w:lang w:val="en-GB"/>
        </w:rPr>
      </w:pPr>
      <w:r w:rsidRPr="000343FB">
        <w:rPr>
          <w:lang w:val="en-GB"/>
        </w:rPr>
        <w:t>EXHIBIT 2: T</w:t>
      </w:r>
      <w:r w:rsidR="005D346C" w:rsidRPr="005D346C">
        <w:rPr>
          <w:lang w:val="en-GB"/>
        </w:rPr>
        <w:t>iktauli De Corps</w:t>
      </w:r>
      <w:r w:rsidRPr="000343FB">
        <w:rPr>
          <w:lang w:val="en-GB"/>
        </w:rPr>
        <w:t xml:space="preserve"> BRAND </w:t>
      </w:r>
      <w:r w:rsidR="005D346C">
        <w:rPr>
          <w:lang w:val="en-GB"/>
        </w:rPr>
        <w:t>and</w:t>
      </w:r>
      <w:r w:rsidRPr="000343FB">
        <w:rPr>
          <w:lang w:val="en-GB"/>
        </w:rPr>
        <w:t xml:space="preserve"> BUSINESS PROFITABLITY (</w:t>
      </w:r>
      <w:r w:rsidR="005D346C">
        <w:rPr>
          <w:lang w:val="en-GB"/>
        </w:rPr>
        <w:t xml:space="preserve">in </w:t>
      </w:r>
      <w:r w:rsidRPr="000343FB">
        <w:rPr>
          <w:lang w:val="en-GB"/>
        </w:rPr>
        <w:t>₹</w:t>
      </w:r>
      <w:r w:rsidRPr="000343FB">
        <w:rPr>
          <w:rFonts w:eastAsia="Arial Unicode MS"/>
          <w:lang w:val="en-GB"/>
        </w:rPr>
        <w:t xml:space="preserve"> million</w:t>
      </w:r>
      <w:r w:rsidRPr="000343FB">
        <w:rPr>
          <w:lang w:val="en-GB"/>
        </w:rPr>
        <w:t>)</w:t>
      </w:r>
    </w:p>
    <w:p w14:paraId="6374BC94" w14:textId="77777777" w:rsidR="00237A7B" w:rsidRPr="00FD454B" w:rsidRDefault="00237A7B" w:rsidP="00237A7B">
      <w:pPr>
        <w:pStyle w:val="ExhibitText"/>
        <w:rPr>
          <w:sz w:val="16"/>
          <w:szCs w:val="16"/>
          <w:lang w:val="en-GB"/>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20"/>
        <w:gridCol w:w="1170"/>
        <w:gridCol w:w="1080"/>
        <w:gridCol w:w="900"/>
        <w:gridCol w:w="1170"/>
        <w:gridCol w:w="1080"/>
        <w:gridCol w:w="1170"/>
        <w:gridCol w:w="990"/>
      </w:tblGrid>
      <w:tr w:rsidR="00237A7B" w:rsidRPr="000343FB" w14:paraId="7BABCA94" w14:textId="77777777" w:rsidTr="00237A7B">
        <w:trPr>
          <w:trHeight w:val="540"/>
          <w:jc w:val="center"/>
        </w:trPr>
        <w:tc>
          <w:tcPr>
            <w:tcW w:w="1620" w:type="dxa"/>
          </w:tcPr>
          <w:p w14:paraId="10735A5A"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Business Vertical</w:t>
            </w:r>
          </w:p>
        </w:tc>
        <w:tc>
          <w:tcPr>
            <w:tcW w:w="1170" w:type="dxa"/>
          </w:tcPr>
          <w:p w14:paraId="345DE758" w14:textId="4B366D20"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 xml:space="preserve">Brand </w:t>
            </w:r>
            <w:r w:rsidR="007D2BA4">
              <w:rPr>
                <w:rFonts w:ascii="Arial" w:eastAsia="Calibri" w:hAnsi="Arial" w:cs="Arial"/>
                <w:b/>
                <w:bCs/>
                <w:color w:val="000000"/>
                <w:lang w:val="en-GB"/>
              </w:rPr>
              <w:t>or</w:t>
            </w:r>
            <w:r w:rsidRPr="000343FB">
              <w:rPr>
                <w:rFonts w:ascii="Arial" w:eastAsia="Calibri" w:hAnsi="Arial" w:cs="Arial"/>
                <w:b/>
                <w:bCs/>
                <w:color w:val="000000"/>
                <w:lang w:val="en-GB"/>
              </w:rPr>
              <w:t xml:space="preserve"> Business</w:t>
            </w:r>
          </w:p>
        </w:tc>
        <w:tc>
          <w:tcPr>
            <w:tcW w:w="1080" w:type="dxa"/>
          </w:tcPr>
          <w:p w14:paraId="1180DABC"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2017 Turnover</w:t>
            </w:r>
          </w:p>
        </w:tc>
        <w:tc>
          <w:tcPr>
            <w:tcW w:w="900" w:type="dxa"/>
          </w:tcPr>
          <w:p w14:paraId="175427E1"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Profit</w:t>
            </w:r>
          </w:p>
        </w:tc>
        <w:tc>
          <w:tcPr>
            <w:tcW w:w="1170" w:type="dxa"/>
          </w:tcPr>
          <w:p w14:paraId="128AA474"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2016 Turnover</w:t>
            </w:r>
          </w:p>
        </w:tc>
        <w:tc>
          <w:tcPr>
            <w:tcW w:w="1080" w:type="dxa"/>
          </w:tcPr>
          <w:p w14:paraId="6BD3B514"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Profit</w:t>
            </w:r>
          </w:p>
        </w:tc>
        <w:tc>
          <w:tcPr>
            <w:tcW w:w="1170" w:type="dxa"/>
          </w:tcPr>
          <w:p w14:paraId="33D6B049"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2015 Turnover</w:t>
            </w:r>
          </w:p>
        </w:tc>
        <w:tc>
          <w:tcPr>
            <w:tcW w:w="990" w:type="dxa"/>
          </w:tcPr>
          <w:p w14:paraId="4E35A946" w14:textId="77777777" w:rsidR="00146BF2" w:rsidRPr="000343FB" w:rsidRDefault="00146BF2" w:rsidP="00146BF2">
            <w:pPr>
              <w:autoSpaceDE w:val="0"/>
              <w:autoSpaceDN w:val="0"/>
              <w:adjustRightInd w:val="0"/>
              <w:jc w:val="center"/>
              <w:rPr>
                <w:rFonts w:ascii="Arial" w:eastAsia="Calibri" w:hAnsi="Arial" w:cs="Arial"/>
                <w:b/>
                <w:bCs/>
                <w:color w:val="000000"/>
                <w:lang w:val="en-GB"/>
              </w:rPr>
            </w:pPr>
            <w:r w:rsidRPr="000343FB">
              <w:rPr>
                <w:rFonts w:ascii="Arial" w:eastAsia="Calibri" w:hAnsi="Arial" w:cs="Arial"/>
                <w:b/>
                <w:bCs/>
                <w:color w:val="000000"/>
                <w:lang w:val="en-GB"/>
              </w:rPr>
              <w:t>Profit</w:t>
            </w:r>
          </w:p>
        </w:tc>
      </w:tr>
      <w:tr w:rsidR="00237A7B" w:rsidRPr="000343FB" w14:paraId="2ACFBFEE" w14:textId="77777777" w:rsidTr="00237A7B">
        <w:trPr>
          <w:trHeight w:val="320"/>
          <w:jc w:val="center"/>
        </w:trPr>
        <w:tc>
          <w:tcPr>
            <w:tcW w:w="1620" w:type="dxa"/>
            <w:vAlign w:val="center"/>
          </w:tcPr>
          <w:p w14:paraId="08877C0A" w14:textId="20C6AF8C"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 xml:space="preserve">Company </w:t>
            </w:r>
            <w:r w:rsidR="007D2BA4">
              <w:rPr>
                <w:rFonts w:ascii="Arial" w:eastAsia="Calibri" w:hAnsi="Arial" w:cs="Arial"/>
                <w:color w:val="000000"/>
                <w:lang w:val="en-GB"/>
              </w:rPr>
              <w:t>o</w:t>
            </w:r>
            <w:r w:rsidRPr="000343FB">
              <w:rPr>
                <w:rFonts w:ascii="Arial" w:eastAsia="Calibri" w:hAnsi="Arial" w:cs="Arial"/>
                <w:color w:val="000000"/>
                <w:lang w:val="en-GB"/>
              </w:rPr>
              <w:t xml:space="preserve">wned </w:t>
            </w:r>
            <w:r w:rsidR="007D2BA4">
              <w:rPr>
                <w:rFonts w:ascii="Arial" w:eastAsia="Calibri" w:hAnsi="Arial" w:cs="Arial"/>
                <w:color w:val="000000"/>
                <w:lang w:val="en-GB"/>
              </w:rPr>
              <w:t>b</w:t>
            </w:r>
            <w:r w:rsidRPr="000343FB">
              <w:rPr>
                <w:rFonts w:ascii="Arial" w:eastAsia="Calibri" w:hAnsi="Arial" w:cs="Arial"/>
                <w:color w:val="000000"/>
                <w:lang w:val="en-GB"/>
              </w:rPr>
              <w:t>rand</w:t>
            </w:r>
          </w:p>
        </w:tc>
        <w:tc>
          <w:tcPr>
            <w:tcW w:w="1170" w:type="dxa"/>
            <w:vAlign w:val="center"/>
          </w:tcPr>
          <w:p w14:paraId="50AE513E" w14:textId="77777777"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TDC</w:t>
            </w:r>
          </w:p>
        </w:tc>
        <w:tc>
          <w:tcPr>
            <w:tcW w:w="1080" w:type="dxa"/>
            <w:vAlign w:val="center"/>
          </w:tcPr>
          <w:p w14:paraId="4A6F878C" w14:textId="0AC6918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128</w:t>
            </w:r>
            <w:r w:rsidR="007D2BA4">
              <w:rPr>
                <w:rFonts w:ascii="Arial" w:eastAsia="Calibri" w:hAnsi="Arial" w:cs="Arial"/>
                <w:color w:val="000000"/>
                <w:lang w:val="en-GB"/>
              </w:rPr>
              <w:t>.00</w:t>
            </w:r>
          </w:p>
        </w:tc>
        <w:tc>
          <w:tcPr>
            <w:tcW w:w="900" w:type="dxa"/>
            <w:vAlign w:val="center"/>
          </w:tcPr>
          <w:p w14:paraId="33AFDF66"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37.15</w:t>
            </w:r>
          </w:p>
        </w:tc>
        <w:tc>
          <w:tcPr>
            <w:tcW w:w="1170" w:type="dxa"/>
            <w:vAlign w:val="center"/>
          </w:tcPr>
          <w:p w14:paraId="7D1A2837"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122.59</w:t>
            </w:r>
          </w:p>
        </w:tc>
        <w:tc>
          <w:tcPr>
            <w:tcW w:w="1080" w:type="dxa"/>
            <w:vAlign w:val="center"/>
          </w:tcPr>
          <w:p w14:paraId="6F85AFDA" w14:textId="1AB8A874"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36.8</w:t>
            </w:r>
            <w:r w:rsidR="007D2BA4">
              <w:rPr>
                <w:rFonts w:ascii="Arial" w:eastAsia="Calibri" w:hAnsi="Arial" w:cs="Arial"/>
                <w:color w:val="000000"/>
                <w:lang w:val="en-GB"/>
              </w:rPr>
              <w:t>0</w:t>
            </w:r>
          </w:p>
        </w:tc>
        <w:tc>
          <w:tcPr>
            <w:tcW w:w="1170" w:type="dxa"/>
            <w:vAlign w:val="center"/>
          </w:tcPr>
          <w:p w14:paraId="76B8315B"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77.42</w:t>
            </w:r>
          </w:p>
        </w:tc>
        <w:tc>
          <w:tcPr>
            <w:tcW w:w="990" w:type="dxa"/>
            <w:vAlign w:val="center"/>
          </w:tcPr>
          <w:p w14:paraId="134A774F"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23.23</w:t>
            </w:r>
          </w:p>
        </w:tc>
      </w:tr>
      <w:tr w:rsidR="00237A7B" w:rsidRPr="000343FB" w14:paraId="7F4E2A85" w14:textId="77777777" w:rsidTr="00237A7B">
        <w:trPr>
          <w:trHeight w:val="320"/>
          <w:jc w:val="center"/>
        </w:trPr>
        <w:tc>
          <w:tcPr>
            <w:tcW w:w="1620" w:type="dxa"/>
            <w:vAlign w:val="center"/>
          </w:tcPr>
          <w:p w14:paraId="7F02EA12" w14:textId="0149587F"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C</w:t>
            </w:r>
            <w:r w:rsidR="007D2BA4" w:rsidRPr="000343FB">
              <w:rPr>
                <w:rFonts w:ascii="Arial" w:eastAsia="Calibri" w:hAnsi="Arial" w:cs="Arial"/>
                <w:color w:val="000000"/>
                <w:lang w:val="en-GB"/>
              </w:rPr>
              <w:t xml:space="preserve">ompany </w:t>
            </w:r>
            <w:r w:rsidR="007D2BA4">
              <w:rPr>
                <w:rFonts w:ascii="Arial" w:eastAsia="Calibri" w:hAnsi="Arial" w:cs="Arial"/>
                <w:color w:val="000000"/>
                <w:lang w:val="en-GB"/>
              </w:rPr>
              <w:t>o</w:t>
            </w:r>
            <w:r w:rsidR="007D2BA4" w:rsidRPr="000343FB">
              <w:rPr>
                <w:rFonts w:ascii="Arial" w:eastAsia="Calibri" w:hAnsi="Arial" w:cs="Arial"/>
                <w:color w:val="000000"/>
                <w:lang w:val="en-GB"/>
              </w:rPr>
              <w:t xml:space="preserve">wned </w:t>
            </w:r>
            <w:r w:rsidR="007D2BA4">
              <w:rPr>
                <w:rFonts w:ascii="Arial" w:eastAsia="Calibri" w:hAnsi="Arial" w:cs="Arial"/>
                <w:color w:val="000000"/>
                <w:lang w:val="en-GB"/>
              </w:rPr>
              <w:t>b</w:t>
            </w:r>
            <w:r w:rsidR="007D2BA4" w:rsidRPr="000343FB">
              <w:rPr>
                <w:rFonts w:ascii="Arial" w:eastAsia="Calibri" w:hAnsi="Arial" w:cs="Arial"/>
                <w:color w:val="000000"/>
                <w:lang w:val="en-GB"/>
              </w:rPr>
              <w:t>rand</w:t>
            </w:r>
          </w:p>
        </w:tc>
        <w:tc>
          <w:tcPr>
            <w:tcW w:w="1170" w:type="dxa"/>
            <w:vAlign w:val="center"/>
          </w:tcPr>
          <w:p w14:paraId="2DDAA1DC" w14:textId="77777777" w:rsidR="00146BF2" w:rsidRPr="000343FB" w:rsidRDefault="00146BF2" w:rsidP="00237A7B">
            <w:pPr>
              <w:autoSpaceDE w:val="0"/>
              <w:autoSpaceDN w:val="0"/>
              <w:adjustRightInd w:val="0"/>
              <w:rPr>
                <w:rFonts w:ascii="Arial" w:eastAsia="Calibri" w:hAnsi="Arial" w:cs="Arial"/>
                <w:color w:val="000000"/>
                <w:lang w:val="en-GB"/>
              </w:rPr>
            </w:pPr>
            <w:proofErr w:type="spellStart"/>
            <w:r w:rsidRPr="000343FB">
              <w:rPr>
                <w:rFonts w:ascii="Arial" w:eastAsia="Calibri" w:hAnsi="Arial" w:cs="Arial"/>
                <w:color w:val="000000"/>
                <w:lang w:val="en-GB"/>
              </w:rPr>
              <w:t>Koolho</w:t>
            </w:r>
            <w:proofErr w:type="spellEnd"/>
          </w:p>
        </w:tc>
        <w:tc>
          <w:tcPr>
            <w:tcW w:w="1080" w:type="dxa"/>
            <w:vAlign w:val="center"/>
          </w:tcPr>
          <w:p w14:paraId="37804F5C"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55.56</w:t>
            </w:r>
          </w:p>
        </w:tc>
        <w:tc>
          <w:tcPr>
            <w:tcW w:w="900" w:type="dxa"/>
            <w:vAlign w:val="center"/>
          </w:tcPr>
          <w:p w14:paraId="50715F7A"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7.55</w:t>
            </w:r>
          </w:p>
        </w:tc>
        <w:tc>
          <w:tcPr>
            <w:tcW w:w="1170" w:type="dxa"/>
            <w:vAlign w:val="center"/>
          </w:tcPr>
          <w:p w14:paraId="2868AA1B"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77.42</w:t>
            </w:r>
          </w:p>
        </w:tc>
        <w:tc>
          <w:tcPr>
            <w:tcW w:w="1080" w:type="dxa"/>
            <w:vAlign w:val="center"/>
          </w:tcPr>
          <w:p w14:paraId="52529F08" w14:textId="39231CB8"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7.7</w:t>
            </w:r>
            <w:r w:rsidR="007D2BA4">
              <w:rPr>
                <w:rFonts w:ascii="Arial" w:eastAsia="Calibri" w:hAnsi="Arial" w:cs="Arial"/>
                <w:color w:val="000000"/>
                <w:lang w:val="en-GB"/>
              </w:rPr>
              <w:t>0</w:t>
            </w:r>
          </w:p>
        </w:tc>
        <w:tc>
          <w:tcPr>
            <w:tcW w:w="1170" w:type="dxa"/>
            <w:vAlign w:val="center"/>
          </w:tcPr>
          <w:p w14:paraId="46ABCBD9" w14:textId="47B0EF38"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0</w:t>
            </w:r>
            <w:r w:rsidR="007D2BA4">
              <w:rPr>
                <w:rFonts w:ascii="Arial" w:eastAsia="Calibri" w:hAnsi="Arial" w:cs="Arial"/>
                <w:color w:val="000000"/>
                <w:lang w:val="en-GB"/>
              </w:rPr>
              <w:t>.00</w:t>
            </w:r>
          </w:p>
        </w:tc>
        <w:tc>
          <w:tcPr>
            <w:tcW w:w="990" w:type="dxa"/>
            <w:vAlign w:val="center"/>
          </w:tcPr>
          <w:p w14:paraId="47B82AC9" w14:textId="4AA68F45"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0</w:t>
            </w:r>
            <w:r w:rsidR="007D2BA4">
              <w:rPr>
                <w:rFonts w:ascii="Arial" w:eastAsia="Calibri" w:hAnsi="Arial" w:cs="Arial"/>
                <w:color w:val="000000"/>
                <w:lang w:val="en-GB"/>
              </w:rPr>
              <w:t>.00</w:t>
            </w:r>
          </w:p>
        </w:tc>
      </w:tr>
      <w:tr w:rsidR="00237A7B" w:rsidRPr="000343FB" w14:paraId="71E20159" w14:textId="77777777" w:rsidTr="00237A7B">
        <w:trPr>
          <w:trHeight w:val="320"/>
          <w:jc w:val="center"/>
        </w:trPr>
        <w:tc>
          <w:tcPr>
            <w:tcW w:w="1620" w:type="dxa"/>
            <w:vAlign w:val="center"/>
          </w:tcPr>
          <w:p w14:paraId="74C237C9" w14:textId="75D4A0F4"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C</w:t>
            </w:r>
            <w:r w:rsidR="007D2BA4" w:rsidRPr="000343FB">
              <w:rPr>
                <w:rFonts w:ascii="Arial" w:eastAsia="Calibri" w:hAnsi="Arial" w:cs="Arial"/>
                <w:color w:val="000000"/>
                <w:lang w:val="en-GB"/>
              </w:rPr>
              <w:t xml:space="preserve">ompany </w:t>
            </w:r>
            <w:r w:rsidR="007D2BA4">
              <w:rPr>
                <w:rFonts w:ascii="Arial" w:eastAsia="Calibri" w:hAnsi="Arial" w:cs="Arial"/>
                <w:color w:val="000000"/>
                <w:lang w:val="en-GB"/>
              </w:rPr>
              <w:t>o</w:t>
            </w:r>
            <w:r w:rsidR="007D2BA4" w:rsidRPr="000343FB">
              <w:rPr>
                <w:rFonts w:ascii="Arial" w:eastAsia="Calibri" w:hAnsi="Arial" w:cs="Arial"/>
                <w:color w:val="000000"/>
                <w:lang w:val="en-GB"/>
              </w:rPr>
              <w:t xml:space="preserve">wned </w:t>
            </w:r>
            <w:r w:rsidR="007D2BA4">
              <w:rPr>
                <w:rFonts w:ascii="Arial" w:eastAsia="Calibri" w:hAnsi="Arial" w:cs="Arial"/>
                <w:color w:val="000000"/>
                <w:lang w:val="en-GB"/>
              </w:rPr>
              <w:t>b</w:t>
            </w:r>
            <w:r w:rsidR="007D2BA4" w:rsidRPr="000343FB">
              <w:rPr>
                <w:rFonts w:ascii="Arial" w:eastAsia="Calibri" w:hAnsi="Arial" w:cs="Arial"/>
                <w:color w:val="000000"/>
                <w:lang w:val="en-GB"/>
              </w:rPr>
              <w:t>rand</w:t>
            </w:r>
          </w:p>
        </w:tc>
        <w:tc>
          <w:tcPr>
            <w:tcW w:w="1170" w:type="dxa"/>
            <w:vAlign w:val="center"/>
          </w:tcPr>
          <w:p w14:paraId="59E30371" w14:textId="77777777" w:rsidR="00146BF2" w:rsidRPr="000343FB" w:rsidRDefault="00146BF2" w:rsidP="00237A7B">
            <w:pPr>
              <w:autoSpaceDE w:val="0"/>
              <w:autoSpaceDN w:val="0"/>
              <w:adjustRightInd w:val="0"/>
              <w:rPr>
                <w:rFonts w:ascii="Arial" w:eastAsia="Calibri" w:hAnsi="Arial" w:cs="Arial"/>
                <w:color w:val="000000"/>
                <w:lang w:val="en-GB"/>
              </w:rPr>
            </w:pPr>
            <w:proofErr w:type="spellStart"/>
            <w:r w:rsidRPr="000343FB">
              <w:rPr>
                <w:rFonts w:ascii="Arial" w:eastAsia="Calibri" w:hAnsi="Arial" w:cs="Arial"/>
                <w:color w:val="000000"/>
                <w:lang w:val="en-GB"/>
              </w:rPr>
              <w:t>Fieldgear</w:t>
            </w:r>
            <w:proofErr w:type="spellEnd"/>
          </w:p>
        </w:tc>
        <w:tc>
          <w:tcPr>
            <w:tcW w:w="1080" w:type="dxa"/>
            <w:vAlign w:val="center"/>
          </w:tcPr>
          <w:p w14:paraId="7507F5C4" w14:textId="282A138E"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192.2</w:t>
            </w:r>
            <w:r w:rsidR="007D2BA4">
              <w:rPr>
                <w:rFonts w:ascii="Arial" w:eastAsia="Calibri" w:hAnsi="Arial" w:cs="Arial"/>
                <w:color w:val="000000"/>
                <w:lang w:val="en-GB"/>
              </w:rPr>
              <w:t>0</w:t>
            </w:r>
          </w:p>
        </w:tc>
        <w:tc>
          <w:tcPr>
            <w:tcW w:w="900" w:type="dxa"/>
            <w:vAlign w:val="center"/>
          </w:tcPr>
          <w:p w14:paraId="4D6C59BD"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39.14</w:t>
            </w:r>
          </w:p>
        </w:tc>
        <w:tc>
          <w:tcPr>
            <w:tcW w:w="1170" w:type="dxa"/>
            <w:vAlign w:val="center"/>
          </w:tcPr>
          <w:p w14:paraId="50BB731D"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187.11</w:t>
            </w:r>
          </w:p>
        </w:tc>
        <w:tc>
          <w:tcPr>
            <w:tcW w:w="1080" w:type="dxa"/>
            <w:vAlign w:val="center"/>
          </w:tcPr>
          <w:p w14:paraId="423BF601" w14:textId="131189A0"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35.6</w:t>
            </w:r>
            <w:r w:rsidR="007D2BA4">
              <w:rPr>
                <w:rFonts w:ascii="Arial" w:eastAsia="Calibri" w:hAnsi="Arial" w:cs="Arial"/>
                <w:color w:val="000000"/>
                <w:lang w:val="en-GB"/>
              </w:rPr>
              <w:t>0</w:t>
            </w:r>
          </w:p>
        </w:tc>
        <w:tc>
          <w:tcPr>
            <w:tcW w:w="1170" w:type="dxa"/>
            <w:vAlign w:val="center"/>
          </w:tcPr>
          <w:p w14:paraId="11594F5F" w14:textId="67374566"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25.81</w:t>
            </w:r>
            <w:r w:rsidR="007D2BA4">
              <w:rPr>
                <w:rFonts w:ascii="Arial" w:eastAsia="Calibri" w:hAnsi="Arial" w:cs="Arial"/>
                <w:color w:val="000000"/>
                <w:lang w:val="en-GB"/>
              </w:rPr>
              <w:t>0</w:t>
            </w:r>
          </w:p>
        </w:tc>
        <w:tc>
          <w:tcPr>
            <w:tcW w:w="990" w:type="dxa"/>
            <w:vAlign w:val="center"/>
          </w:tcPr>
          <w:p w14:paraId="2A469C2C" w14:textId="72D32913"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4.9</w:t>
            </w:r>
            <w:r w:rsidR="007D2BA4">
              <w:rPr>
                <w:rFonts w:ascii="Arial" w:eastAsia="Calibri" w:hAnsi="Arial" w:cs="Arial"/>
                <w:color w:val="000000"/>
                <w:lang w:val="en-GB"/>
              </w:rPr>
              <w:t>0</w:t>
            </w:r>
          </w:p>
        </w:tc>
      </w:tr>
      <w:tr w:rsidR="00237A7B" w:rsidRPr="000343FB" w14:paraId="08691049" w14:textId="77777777" w:rsidTr="00237A7B">
        <w:trPr>
          <w:trHeight w:val="320"/>
          <w:jc w:val="center"/>
        </w:trPr>
        <w:tc>
          <w:tcPr>
            <w:tcW w:w="1620" w:type="dxa"/>
            <w:vAlign w:val="center"/>
          </w:tcPr>
          <w:p w14:paraId="065AAA79" w14:textId="77777777"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B2B</w:t>
            </w:r>
          </w:p>
        </w:tc>
        <w:tc>
          <w:tcPr>
            <w:tcW w:w="1170" w:type="dxa"/>
            <w:vAlign w:val="center"/>
          </w:tcPr>
          <w:p w14:paraId="5F4A903D" w14:textId="0F4B4F64" w:rsidR="00146BF2" w:rsidRPr="000343FB" w:rsidRDefault="00146BF2" w:rsidP="00237A7B">
            <w:pPr>
              <w:autoSpaceDE w:val="0"/>
              <w:autoSpaceDN w:val="0"/>
              <w:adjustRightInd w:val="0"/>
              <w:rPr>
                <w:rFonts w:ascii="Arial" w:eastAsia="Calibri" w:hAnsi="Arial" w:cs="Arial"/>
                <w:color w:val="000000"/>
                <w:lang w:val="en-GB"/>
              </w:rPr>
            </w:pPr>
            <w:r w:rsidRPr="000343FB">
              <w:rPr>
                <w:rFonts w:ascii="Arial" w:eastAsia="Calibri" w:hAnsi="Arial" w:cs="Arial"/>
                <w:color w:val="000000"/>
                <w:lang w:val="en-GB"/>
              </w:rPr>
              <w:t xml:space="preserve">B2B </w:t>
            </w:r>
            <w:proofErr w:type="spellStart"/>
            <w:r w:rsidR="00EA45DE">
              <w:rPr>
                <w:rFonts w:ascii="Arial" w:eastAsia="Calibri" w:hAnsi="Arial" w:cs="Arial"/>
                <w:color w:val="000000"/>
                <w:lang w:val="en-GB"/>
              </w:rPr>
              <w:t>f</w:t>
            </w:r>
            <w:r w:rsidR="00EA45DE" w:rsidRPr="000343FB">
              <w:rPr>
                <w:rFonts w:ascii="Arial" w:eastAsia="Calibri" w:hAnsi="Arial" w:cs="Arial"/>
                <w:color w:val="000000"/>
                <w:lang w:val="en-GB"/>
              </w:rPr>
              <w:t>ulfil</w:t>
            </w:r>
            <w:r w:rsidR="00161C92">
              <w:rPr>
                <w:rFonts w:ascii="Arial" w:eastAsia="Calibri" w:hAnsi="Arial" w:cs="Arial"/>
                <w:color w:val="000000"/>
                <w:lang w:val="en-GB"/>
              </w:rPr>
              <w:t>l</w:t>
            </w:r>
            <w:r w:rsidR="00EA45DE">
              <w:rPr>
                <w:rFonts w:ascii="Arial" w:eastAsia="Calibri" w:hAnsi="Arial" w:cs="Arial"/>
                <w:color w:val="000000"/>
                <w:lang w:val="en-GB"/>
              </w:rPr>
              <w:t>m</w:t>
            </w:r>
            <w:r w:rsidR="00EA45DE" w:rsidRPr="000343FB">
              <w:rPr>
                <w:rFonts w:ascii="Arial" w:eastAsia="Calibri" w:hAnsi="Arial" w:cs="Arial"/>
                <w:color w:val="000000"/>
                <w:lang w:val="en-GB"/>
              </w:rPr>
              <w:t>ent</w:t>
            </w:r>
            <w:proofErr w:type="spellEnd"/>
          </w:p>
        </w:tc>
        <w:tc>
          <w:tcPr>
            <w:tcW w:w="1080" w:type="dxa"/>
            <w:vAlign w:val="center"/>
          </w:tcPr>
          <w:p w14:paraId="4A8C5B69" w14:textId="713D09EC"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947.3</w:t>
            </w:r>
            <w:r w:rsidR="007D2BA4">
              <w:rPr>
                <w:rFonts w:ascii="Arial" w:eastAsia="Calibri" w:hAnsi="Arial" w:cs="Arial"/>
                <w:color w:val="000000"/>
                <w:lang w:val="en-GB"/>
              </w:rPr>
              <w:t>0</w:t>
            </w:r>
          </w:p>
        </w:tc>
        <w:tc>
          <w:tcPr>
            <w:tcW w:w="900" w:type="dxa"/>
            <w:vAlign w:val="center"/>
          </w:tcPr>
          <w:p w14:paraId="059BB087"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67.12</w:t>
            </w:r>
          </w:p>
        </w:tc>
        <w:tc>
          <w:tcPr>
            <w:tcW w:w="1170" w:type="dxa"/>
            <w:vAlign w:val="center"/>
          </w:tcPr>
          <w:p w14:paraId="40CFD54E" w14:textId="7EC9B1D8"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793.6</w:t>
            </w:r>
            <w:r w:rsidR="007D2BA4">
              <w:rPr>
                <w:rFonts w:ascii="Arial" w:eastAsia="Calibri" w:hAnsi="Arial" w:cs="Arial"/>
                <w:color w:val="000000"/>
                <w:lang w:val="en-GB"/>
              </w:rPr>
              <w:t>0</w:t>
            </w:r>
          </w:p>
        </w:tc>
        <w:tc>
          <w:tcPr>
            <w:tcW w:w="1080" w:type="dxa"/>
            <w:vAlign w:val="center"/>
          </w:tcPr>
          <w:p w14:paraId="0036D5E6" w14:textId="22D97D3E"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63.5</w:t>
            </w:r>
            <w:r w:rsidR="007D2BA4">
              <w:rPr>
                <w:rFonts w:ascii="Arial" w:eastAsia="Calibri" w:hAnsi="Arial" w:cs="Arial"/>
                <w:color w:val="000000"/>
                <w:lang w:val="en-GB"/>
              </w:rPr>
              <w:t>0</w:t>
            </w:r>
          </w:p>
        </w:tc>
        <w:tc>
          <w:tcPr>
            <w:tcW w:w="1170" w:type="dxa"/>
            <w:vAlign w:val="center"/>
          </w:tcPr>
          <w:p w14:paraId="52B893BF" w14:textId="6A1FF643"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658.1</w:t>
            </w:r>
            <w:r w:rsidR="007D2BA4">
              <w:rPr>
                <w:rFonts w:ascii="Arial" w:eastAsia="Calibri" w:hAnsi="Arial" w:cs="Arial"/>
                <w:color w:val="000000"/>
                <w:lang w:val="en-GB"/>
              </w:rPr>
              <w:t>0</w:t>
            </w:r>
          </w:p>
        </w:tc>
        <w:tc>
          <w:tcPr>
            <w:tcW w:w="990" w:type="dxa"/>
            <w:vAlign w:val="center"/>
          </w:tcPr>
          <w:p w14:paraId="0E08F343" w14:textId="77777777" w:rsidR="00146BF2" w:rsidRPr="000343FB" w:rsidRDefault="00146BF2" w:rsidP="00237A7B">
            <w:pPr>
              <w:autoSpaceDE w:val="0"/>
              <w:autoSpaceDN w:val="0"/>
              <w:adjustRightInd w:val="0"/>
              <w:jc w:val="right"/>
              <w:rPr>
                <w:rFonts w:ascii="Arial" w:eastAsia="Calibri" w:hAnsi="Arial" w:cs="Arial"/>
                <w:color w:val="000000"/>
                <w:lang w:val="en-GB"/>
              </w:rPr>
            </w:pPr>
            <w:r w:rsidRPr="000343FB">
              <w:rPr>
                <w:rFonts w:ascii="Arial" w:eastAsia="Calibri" w:hAnsi="Arial" w:cs="Arial"/>
                <w:color w:val="000000"/>
                <w:lang w:val="en-GB"/>
              </w:rPr>
              <w:t>63.49</w:t>
            </w:r>
          </w:p>
        </w:tc>
      </w:tr>
      <w:tr w:rsidR="00237A7B" w:rsidRPr="000343FB" w14:paraId="6D5CDB55" w14:textId="77777777" w:rsidTr="00237A7B">
        <w:trPr>
          <w:trHeight w:val="320"/>
          <w:jc w:val="center"/>
        </w:trPr>
        <w:tc>
          <w:tcPr>
            <w:tcW w:w="1620" w:type="dxa"/>
            <w:vAlign w:val="center"/>
          </w:tcPr>
          <w:p w14:paraId="41A263D0" w14:textId="77777777" w:rsidR="00146BF2" w:rsidRPr="000343FB" w:rsidRDefault="00146BF2" w:rsidP="00237A7B">
            <w:pPr>
              <w:autoSpaceDE w:val="0"/>
              <w:autoSpaceDN w:val="0"/>
              <w:adjustRightInd w:val="0"/>
              <w:rPr>
                <w:rFonts w:ascii="Arial" w:eastAsia="Calibri" w:hAnsi="Arial" w:cs="Arial"/>
                <w:b/>
                <w:bCs/>
                <w:color w:val="000000"/>
                <w:lang w:val="en-GB"/>
              </w:rPr>
            </w:pPr>
          </w:p>
        </w:tc>
        <w:tc>
          <w:tcPr>
            <w:tcW w:w="1170" w:type="dxa"/>
            <w:vAlign w:val="center"/>
          </w:tcPr>
          <w:p w14:paraId="0DDBEB3F" w14:textId="77777777" w:rsidR="00146BF2" w:rsidRPr="000343FB" w:rsidRDefault="00146BF2" w:rsidP="00237A7B">
            <w:pPr>
              <w:autoSpaceDE w:val="0"/>
              <w:autoSpaceDN w:val="0"/>
              <w:adjustRightInd w:val="0"/>
              <w:rPr>
                <w:rFonts w:ascii="Arial" w:eastAsia="Calibri" w:hAnsi="Arial" w:cs="Arial"/>
                <w:b/>
                <w:bCs/>
                <w:color w:val="000000"/>
                <w:lang w:val="en-GB"/>
              </w:rPr>
            </w:pPr>
            <w:r w:rsidRPr="000343FB">
              <w:rPr>
                <w:rFonts w:ascii="Arial" w:eastAsia="Calibri" w:hAnsi="Arial" w:cs="Arial"/>
                <w:b/>
                <w:bCs/>
                <w:color w:val="000000"/>
                <w:lang w:val="en-GB"/>
              </w:rPr>
              <w:t>Total</w:t>
            </w:r>
          </w:p>
        </w:tc>
        <w:tc>
          <w:tcPr>
            <w:tcW w:w="1080" w:type="dxa"/>
            <w:vAlign w:val="center"/>
          </w:tcPr>
          <w:p w14:paraId="48DC8AB5" w14:textId="77777777"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1323.06</w:t>
            </w:r>
          </w:p>
        </w:tc>
        <w:tc>
          <w:tcPr>
            <w:tcW w:w="900" w:type="dxa"/>
            <w:vAlign w:val="center"/>
          </w:tcPr>
          <w:p w14:paraId="4FC20BC8" w14:textId="77777777"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150.96</w:t>
            </w:r>
          </w:p>
        </w:tc>
        <w:tc>
          <w:tcPr>
            <w:tcW w:w="1170" w:type="dxa"/>
            <w:vAlign w:val="center"/>
          </w:tcPr>
          <w:p w14:paraId="624AE32D" w14:textId="77777777"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1180.72</w:t>
            </w:r>
          </w:p>
        </w:tc>
        <w:tc>
          <w:tcPr>
            <w:tcW w:w="1080" w:type="dxa"/>
            <w:vAlign w:val="center"/>
          </w:tcPr>
          <w:p w14:paraId="6DFA2849" w14:textId="0CA67D42"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143.6</w:t>
            </w:r>
            <w:r w:rsidR="007D2BA4">
              <w:rPr>
                <w:rFonts w:ascii="Arial" w:eastAsia="Calibri" w:hAnsi="Arial" w:cs="Arial"/>
                <w:b/>
                <w:bCs/>
                <w:color w:val="000000"/>
                <w:lang w:val="en-GB"/>
              </w:rPr>
              <w:t>0</w:t>
            </w:r>
          </w:p>
        </w:tc>
        <w:tc>
          <w:tcPr>
            <w:tcW w:w="1170" w:type="dxa"/>
            <w:vAlign w:val="center"/>
          </w:tcPr>
          <w:p w14:paraId="30E86AC9" w14:textId="77777777"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761.33</w:t>
            </w:r>
          </w:p>
        </w:tc>
        <w:tc>
          <w:tcPr>
            <w:tcW w:w="990" w:type="dxa"/>
            <w:vAlign w:val="center"/>
          </w:tcPr>
          <w:p w14:paraId="5F557B02" w14:textId="77777777" w:rsidR="00146BF2" w:rsidRPr="000343FB" w:rsidRDefault="00146BF2" w:rsidP="00237A7B">
            <w:pPr>
              <w:autoSpaceDE w:val="0"/>
              <w:autoSpaceDN w:val="0"/>
              <w:adjustRightInd w:val="0"/>
              <w:jc w:val="right"/>
              <w:rPr>
                <w:rFonts w:ascii="Arial" w:eastAsia="Calibri" w:hAnsi="Arial" w:cs="Arial"/>
                <w:b/>
                <w:bCs/>
                <w:color w:val="000000"/>
                <w:lang w:val="en-GB"/>
              </w:rPr>
            </w:pPr>
            <w:r w:rsidRPr="000343FB">
              <w:rPr>
                <w:rFonts w:ascii="Arial" w:eastAsia="Calibri" w:hAnsi="Arial" w:cs="Arial"/>
                <w:b/>
                <w:bCs/>
                <w:color w:val="000000"/>
                <w:lang w:val="en-GB"/>
              </w:rPr>
              <w:t>91.62</w:t>
            </w:r>
          </w:p>
        </w:tc>
      </w:tr>
    </w:tbl>
    <w:p w14:paraId="1E574364" w14:textId="77777777" w:rsidR="00237A7B" w:rsidRPr="00FD454B" w:rsidRDefault="00237A7B" w:rsidP="00237A7B">
      <w:pPr>
        <w:pStyle w:val="ExhibitText"/>
        <w:rPr>
          <w:sz w:val="16"/>
          <w:szCs w:val="16"/>
          <w:lang w:val="en-GB"/>
        </w:rPr>
      </w:pPr>
    </w:p>
    <w:p w14:paraId="6AE6C988" w14:textId="2D8129E1" w:rsidR="007D2BA4" w:rsidRDefault="007D2BA4" w:rsidP="007D2BA4">
      <w:pPr>
        <w:pStyle w:val="Footnote"/>
        <w:rPr>
          <w:lang w:val="en-GB"/>
        </w:rPr>
      </w:pPr>
      <w:r>
        <w:rPr>
          <w:lang w:val="en-GB"/>
        </w:rPr>
        <w:t xml:space="preserve">Note: </w:t>
      </w:r>
      <w:r w:rsidR="006E3FA2">
        <w:rPr>
          <w:lang w:val="en-GB"/>
        </w:rPr>
        <w:t xml:space="preserve">₹ = INR = Indian rupee; </w:t>
      </w:r>
      <w:r w:rsidR="00270B29" w:rsidRPr="00FD454B">
        <w:rPr>
          <w:spacing w:val="-4"/>
          <w:kern w:val="17"/>
          <w:lang w:val="en-GB"/>
        </w:rPr>
        <w:t xml:space="preserve">₹1 = </w:t>
      </w:r>
      <w:r w:rsidR="00270B29">
        <w:rPr>
          <w:spacing w:val="-4"/>
          <w:kern w:val="17"/>
          <w:lang w:val="en-GB"/>
        </w:rPr>
        <w:t>US$0.02</w:t>
      </w:r>
      <w:r w:rsidR="00270B29" w:rsidRPr="00FD454B">
        <w:rPr>
          <w:spacing w:val="-4"/>
          <w:kern w:val="17"/>
          <w:lang w:val="en-GB"/>
        </w:rPr>
        <w:t xml:space="preserve"> </w:t>
      </w:r>
      <w:r w:rsidR="006E3FA2">
        <w:rPr>
          <w:lang w:val="en-GB"/>
        </w:rPr>
        <w:t xml:space="preserve">on July 1, 2018; </w:t>
      </w:r>
      <w:r>
        <w:rPr>
          <w:lang w:val="en-GB"/>
        </w:rPr>
        <w:t xml:space="preserve">TDC = </w:t>
      </w:r>
      <w:proofErr w:type="spellStart"/>
      <w:r w:rsidRPr="005D346C">
        <w:rPr>
          <w:lang w:val="en-GB"/>
        </w:rPr>
        <w:t>Tiktauli</w:t>
      </w:r>
      <w:proofErr w:type="spellEnd"/>
      <w:r w:rsidRPr="005D346C">
        <w:rPr>
          <w:lang w:val="en-GB"/>
        </w:rPr>
        <w:t xml:space="preserve"> De Corps</w:t>
      </w:r>
      <w:r>
        <w:rPr>
          <w:lang w:val="en-GB"/>
        </w:rPr>
        <w:t xml:space="preserve">; B2B = business-to-business </w:t>
      </w:r>
    </w:p>
    <w:p w14:paraId="14C12261" w14:textId="77777777" w:rsidR="00146BF2" w:rsidRPr="000343FB" w:rsidRDefault="00146BF2" w:rsidP="00237A7B">
      <w:pPr>
        <w:pStyle w:val="Footnote"/>
        <w:rPr>
          <w:lang w:val="en-GB"/>
        </w:rPr>
      </w:pPr>
      <w:r w:rsidRPr="000343FB">
        <w:rPr>
          <w:lang w:val="en-GB"/>
        </w:rPr>
        <w:t>Source: Company documents.</w:t>
      </w:r>
    </w:p>
    <w:p w14:paraId="42533261" w14:textId="77777777" w:rsidR="00237A7B" w:rsidRPr="00FD454B" w:rsidRDefault="00237A7B" w:rsidP="00FD454B">
      <w:pPr>
        <w:pStyle w:val="ExhibitText"/>
        <w:rPr>
          <w:rFonts w:eastAsia="Calibri"/>
          <w:sz w:val="16"/>
          <w:szCs w:val="16"/>
          <w:lang w:val="en-GB"/>
        </w:rPr>
      </w:pPr>
    </w:p>
    <w:p w14:paraId="0FBEEB89" w14:textId="529D69F8" w:rsidR="007D2BA4" w:rsidRPr="00FD454B" w:rsidRDefault="007D2BA4" w:rsidP="00FD454B">
      <w:pPr>
        <w:pStyle w:val="ExhibitText"/>
        <w:rPr>
          <w:b/>
          <w:caps/>
          <w:sz w:val="16"/>
          <w:szCs w:val="16"/>
          <w:lang w:val="en-GB"/>
        </w:rPr>
      </w:pPr>
    </w:p>
    <w:p w14:paraId="0CC0983F" w14:textId="331688FC" w:rsidR="00146BF2" w:rsidRPr="000343FB" w:rsidRDefault="00146BF2" w:rsidP="00237A7B">
      <w:pPr>
        <w:pStyle w:val="ExhibitHeading"/>
        <w:rPr>
          <w:lang w:val="en-GB"/>
        </w:rPr>
      </w:pPr>
      <w:r w:rsidRPr="000343FB">
        <w:rPr>
          <w:lang w:val="en-GB"/>
        </w:rPr>
        <w:t>EXHIBIT 3: T</w:t>
      </w:r>
      <w:r w:rsidR="007D2BA4" w:rsidRPr="005D346C">
        <w:rPr>
          <w:lang w:val="en-GB"/>
        </w:rPr>
        <w:t>iktauli De Corps</w:t>
      </w:r>
      <w:r w:rsidRPr="000343FB">
        <w:rPr>
          <w:lang w:val="en-GB"/>
        </w:rPr>
        <w:t xml:space="preserve"> ORGANIZATION</w:t>
      </w:r>
      <w:r w:rsidR="007D2BA4">
        <w:rPr>
          <w:lang w:val="en-GB"/>
        </w:rPr>
        <w:t>al</w:t>
      </w:r>
      <w:r w:rsidRPr="000343FB">
        <w:rPr>
          <w:lang w:val="en-GB"/>
        </w:rPr>
        <w:t xml:space="preserve"> CHART</w:t>
      </w:r>
    </w:p>
    <w:p w14:paraId="539D56AB" w14:textId="77777777" w:rsidR="00237A7B" w:rsidRPr="00FD454B" w:rsidRDefault="00237A7B" w:rsidP="00237A7B">
      <w:pPr>
        <w:pStyle w:val="ExhibitHeading"/>
        <w:rPr>
          <w:sz w:val="16"/>
          <w:szCs w:val="16"/>
          <w:lang w:val="en-GB"/>
        </w:rPr>
      </w:pPr>
    </w:p>
    <w:p w14:paraId="5612B749" w14:textId="77777777" w:rsidR="00237A7B" w:rsidRPr="000343FB" w:rsidRDefault="00237A7B" w:rsidP="00237A7B">
      <w:pPr>
        <w:pStyle w:val="ExhibitHeading"/>
        <w:rPr>
          <w:lang w:val="en-GB"/>
        </w:rPr>
      </w:pPr>
      <w:r w:rsidRPr="000343FB">
        <w:rPr>
          <w:noProof/>
        </w:rPr>
        <w:drawing>
          <wp:inline distT="0" distB="0" distL="0" distR="0" wp14:anchorId="7DFC8D23" wp14:editId="0551F4E6">
            <wp:extent cx="4830304" cy="2589581"/>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3411" cy="2634136"/>
                    </a:xfrm>
                    <a:prstGeom prst="rect">
                      <a:avLst/>
                    </a:prstGeom>
                  </pic:spPr>
                </pic:pic>
              </a:graphicData>
            </a:graphic>
          </wp:inline>
        </w:drawing>
      </w:r>
    </w:p>
    <w:p w14:paraId="270E4B34" w14:textId="77777777" w:rsidR="00237A7B" w:rsidRPr="00FD454B" w:rsidRDefault="00237A7B" w:rsidP="00237A7B">
      <w:pPr>
        <w:pStyle w:val="Footnote"/>
        <w:rPr>
          <w:sz w:val="16"/>
          <w:szCs w:val="16"/>
          <w:lang w:val="en-GB"/>
        </w:rPr>
      </w:pPr>
    </w:p>
    <w:p w14:paraId="6A67E201" w14:textId="77777777" w:rsidR="00237A7B" w:rsidRPr="000343FB" w:rsidRDefault="00237A7B" w:rsidP="00237A7B">
      <w:pPr>
        <w:pStyle w:val="Footnote"/>
        <w:rPr>
          <w:rFonts w:eastAsia="Calibri"/>
          <w:i/>
          <w:lang w:val="en-GB"/>
        </w:rPr>
      </w:pPr>
      <w:r w:rsidRPr="000343FB">
        <w:rPr>
          <w:lang w:val="en-GB"/>
        </w:rPr>
        <w:t>Source: Company documents.</w:t>
      </w:r>
    </w:p>
    <w:p w14:paraId="2E563195" w14:textId="33929EEB" w:rsidR="00146BF2" w:rsidRPr="000343FB" w:rsidRDefault="00146BF2" w:rsidP="00237A7B">
      <w:pPr>
        <w:pStyle w:val="ExhibitHeading"/>
        <w:rPr>
          <w:color w:val="000000"/>
          <w:lang w:val="en-GB"/>
        </w:rPr>
      </w:pPr>
      <w:r w:rsidRPr="000343FB">
        <w:rPr>
          <w:lang w:val="en-GB"/>
        </w:rPr>
        <w:lastRenderedPageBreak/>
        <w:t>EXHIBIT 4: T</w:t>
      </w:r>
      <w:r w:rsidR="007D2BA4" w:rsidRPr="005D346C">
        <w:rPr>
          <w:lang w:val="en-GB"/>
        </w:rPr>
        <w:t>iktauli De Corps</w:t>
      </w:r>
      <w:r w:rsidRPr="000343FB">
        <w:rPr>
          <w:lang w:val="en-GB"/>
        </w:rPr>
        <w:t xml:space="preserve"> MARKETING SPEND ACROSS ALL CHANNELS </w:t>
      </w:r>
      <w:r w:rsidRPr="000343FB">
        <w:rPr>
          <w:color w:val="000000"/>
          <w:lang w:val="en-GB"/>
        </w:rPr>
        <w:t>(</w:t>
      </w:r>
      <w:r w:rsidR="007D2BA4">
        <w:rPr>
          <w:color w:val="000000"/>
          <w:lang w:val="en-GB"/>
        </w:rPr>
        <w:t xml:space="preserve">in </w:t>
      </w:r>
      <w:r w:rsidRPr="000343FB">
        <w:rPr>
          <w:color w:val="000000"/>
          <w:lang w:val="en-GB"/>
        </w:rPr>
        <w:t>₹</w:t>
      </w:r>
      <w:r w:rsidRPr="000343FB">
        <w:rPr>
          <w:rFonts w:eastAsia="Arial Unicode MS"/>
          <w:color w:val="000000"/>
          <w:lang w:val="en-GB"/>
        </w:rPr>
        <w:t xml:space="preserve"> million</w:t>
      </w:r>
      <w:r w:rsidRPr="000343FB">
        <w:rPr>
          <w:color w:val="000000"/>
          <w:lang w:val="en-GB"/>
        </w:rPr>
        <w:t>)</w:t>
      </w:r>
    </w:p>
    <w:p w14:paraId="3BB8E637" w14:textId="77777777" w:rsidR="00945B21" w:rsidRPr="000343FB" w:rsidRDefault="00945B21" w:rsidP="00945B21">
      <w:pPr>
        <w:pStyle w:val="ExhibitText"/>
        <w:rPr>
          <w:lang w:val="en-GB"/>
        </w:rPr>
      </w:pPr>
    </w:p>
    <w:tbl>
      <w:tblPr>
        <w:tblStyle w:val="TableGrid"/>
        <w:tblW w:w="0" w:type="auto"/>
        <w:jc w:val="center"/>
        <w:tblLook w:val="04A0" w:firstRow="1" w:lastRow="0" w:firstColumn="1" w:lastColumn="0" w:noHBand="0" w:noVBand="1"/>
      </w:tblPr>
      <w:tblGrid>
        <w:gridCol w:w="3150"/>
        <w:gridCol w:w="2160"/>
        <w:gridCol w:w="900"/>
        <w:gridCol w:w="900"/>
        <w:gridCol w:w="895"/>
      </w:tblGrid>
      <w:tr w:rsidR="00945B21" w:rsidRPr="000343FB" w14:paraId="2236DF6C" w14:textId="77777777" w:rsidTr="00945B21">
        <w:trPr>
          <w:jc w:val="center"/>
        </w:trPr>
        <w:tc>
          <w:tcPr>
            <w:tcW w:w="3150" w:type="dxa"/>
            <w:vAlign w:val="center"/>
          </w:tcPr>
          <w:p w14:paraId="3F649197" w14:textId="3FDA773B" w:rsidR="00945B21" w:rsidRPr="000343FB" w:rsidRDefault="00945B21" w:rsidP="00945B21">
            <w:pPr>
              <w:pStyle w:val="ExhibitText"/>
              <w:jc w:val="center"/>
              <w:rPr>
                <w:b/>
                <w:lang w:val="en-GB"/>
              </w:rPr>
            </w:pPr>
            <w:r w:rsidRPr="000343FB">
              <w:rPr>
                <w:b/>
                <w:lang w:val="en-GB"/>
              </w:rPr>
              <w:t>Marketing Spend Head</w:t>
            </w:r>
          </w:p>
        </w:tc>
        <w:tc>
          <w:tcPr>
            <w:tcW w:w="2160" w:type="dxa"/>
            <w:vAlign w:val="center"/>
          </w:tcPr>
          <w:p w14:paraId="10321DE2" w14:textId="7E56CB4E" w:rsidR="00945B21" w:rsidRPr="000343FB" w:rsidRDefault="00945B21" w:rsidP="00945B21">
            <w:pPr>
              <w:pStyle w:val="ExhibitText"/>
              <w:jc w:val="center"/>
              <w:rPr>
                <w:b/>
                <w:lang w:val="en-GB"/>
              </w:rPr>
            </w:pPr>
            <w:r w:rsidRPr="000343FB">
              <w:rPr>
                <w:b/>
                <w:lang w:val="en-GB"/>
              </w:rPr>
              <w:t>Share of Spend</w:t>
            </w:r>
            <w:r w:rsidR="007D2BA4">
              <w:rPr>
                <w:b/>
                <w:lang w:val="en-GB"/>
              </w:rPr>
              <w:t>ing</w:t>
            </w:r>
            <w:r w:rsidRPr="000343FB">
              <w:rPr>
                <w:b/>
                <w:lang w:val="en-GB"/>
              </w:rPr>
              <w:t xml:space="preserve"> of Profits in 2017 (%)</w:t>
            </w:r>
          </w:p>
        </w:tc>
        <w:tc>
          <w:tcPr>
            <w:tcW w:w="900" w:type="dxa"/>
            <w:vAlign w:val="center"/>
          </w:tcPr>
          <w:p w14:paraId="6DB11A46" w14:textId="77777777" w:rsidR="00945B21" w:rsidRPr="000343FB" w:rsidRDefault="00945B21" w:rsidP="00945B21">
            <w:pPr>
              <w:pStyle w:val="ExhibitText"/>
              <w:jc w:val="center"/>
              <w:rPr>
                <w:b/>
                <w:lang w:val="en-GB"/>
              </w:rPr>
            </w:pPr>
            <w:r w:rsidRPr="000343FB">
              <w:rPr>
                <w:b/>
                <w:lang w:val="en-GB"/>
              </w:rPr>
              <w:t>2015</w:t>
            </w:r>
          </w:p>
        </w:tc>
        <w:tc>
          <w:tcPr>
            <w:tcW w:w="900" w:type="dxa"/>
            <w:vAlign w:val="center"/>
          </w:tcPr>
          <w:p w14:paraId="3E49F1F5" w14:textId="77777777" w:rsidR="00945B21" w:rsidRPr="000343FB" w:rsidRDefault="00945B21" w:rsidP="00945B21">
            <w:pPr>
              <w:pStyle w:val="ExhibitText"/>
              <w:jc w:val="center"/>
              <w:rPr>
                <w:b/>
                <w:lang w:val="en-GB"/>
              </w:rPr>
            </w:pPr>
            <w:r w:rsidRPr="000343FB">
              <w:rPr>
                <w:b/>
                <w:lang w:val="en-GB"/>
              </w:rPr>
              <w:t>2016</w:t>
            </w:r>
          </w:p>
        </w:tc>
        <w:tc>
          <w:tcPr>
            <w:tcW w:w="895" w:type="dxa"/>
            <w:vAlign w:val="center"/>
          </w:tcPr>
          <w:p w14:paraId="35D407AA" w14:textId="77777777" w:rsidR="00945B21" w:rsidRPr="000343FB" w:rsidRDefault="00945B21" w:rsidP="00945B21">
            <w:pPr>
              <w:pStyle w:val="ExhibitText"/>
              <w:jc w:val="center"/>
              <w:rPr>
                <w:b/>
                <w:lang w:val="en-GB"/>
              </w:rPr>
            </w:pPr>
            <w:r w:rsidRPr="000343FB">
              <w:rPr>
                <w:b/>
                <w:lang w:val="en-GB"/>
              </w:rPr>
              <w:t>2017</w:t>
            </w:r>
          </w:p>
        </w:tc>
      </w:tr>
      <w:tr w:rsidR="00945B21" w:rsidRPr="000343FB" w14:paraId="736C56E2" w14:textId="77777777" w:rsidTr="00945B21">
        <w:trPr>
          <w:jc w:val="center"/>
        </w:trPr>
        <w:tc>
          <w:tcPr>
            <w:tcW w:w="3150" w:type="dxa"/>
            <w:vAlign w:val="center"/>
          </w:tcPr>
          <w:p w14:paraId="2E2603D5" w14:textId="1AE76EF9" w:rsidR="00945B21" w:rsidRPr="000343FB" w:rsidRDefault="00945B21" w:rsidP="00945B21">
            <w:pPr>
              <w:pStyle w:val="ExhibitText"/>
              <w:jc w:val="left"/>
              <w:rPr>
                <w:lang w:val="en-GB"/>
              </w:rPr>
            </w:pPr>
            <w:r w:rsidRPr="000343FB">
              <w:rPr>
                <w:lang w:val="en-GB"/>
              </w:rPr>
              <w:t xml:space="preserve">Digital </w:t>
            </w:r>
            <w:r w:rsidR="007D2BA4">
              <w:rPr>
                <w:lang w:val="en-GB"/>
              </w:rPr>
              <w:t>m</w:t>
            </w:r>
            <w:r w:rsidRPr="000343FB">
              <w:rPr>
                <w:lang w:val="en-GB"/>
              </w:rPr>
              <w:t>arketing</w:t>
            </w:r>
          </w:p>
        </w:tc>
        <w:tc>
          <w:tcPr>
            <w:tcW w:w="2160" w:type="dxa"/>
            <w:vAlign w:val="center"/>
          </w:tcPr>
          <w:p w14:paraId="036DD4CE" w14:textId="77777777" w:rsidR="00945B21" w:rsidRPr="000343FB" w:rsidRDefault="00945B21" w:rsidP="00945B21">
            <w:pPr>
              <w:pStyle w:val="ExhibitText"/>
              <w:jc w:val="right"/>
              <w:rPr>
                <w:lang w:val="en-GB"/>
              </w:rPr>
            </w:pPr>
            <w:r w:rsidRPr="000343FB">
              <w:rPr>
                <w:lang w:val="en-GB"/>
              </w:rPr>
              <w:t>6.08</w:t>
            </w:r>
          </w:p>
        </w:tc>
        <w:tc>
          <w:tcPr>
            <w:tcW w:w="900" w:type="dxa"/>
            <w:vAlign w:val="center"/>
          </w:tcPr>
          <w:p w14:paraId="27898ED2" w14:textId="77777777" w:rsidR="00945B21" w:rsidRPr="000343FB" w:rsidRDefault="00945B21" w:rsidP="00945B21">
            <w:pPr>
              <w:pStyle w:val="ExhibitText"/>
              <w:jc w:val="right"/>
              <w:rPr>
                <w:lang w:val="en-GB"/>
              </w:rPr>
            </w:pPr>
            <w:r w:rsidRPr="000343FB">
              <w:rPr>
                <w:lang w:val="en-GB"/>
              </w:rPr>
              <w:t>9.16</w:t>
            </w:r>
          </w:p>
        </w:tc>
        <w:tc>
          <w:tcPr>
            <w:tcW w:w="900" w:type="dxa"/>
            <w:vAlign w:val="center"/>
          </w:tcPr>
          <w:p w14:paraId="6338D9AA" w14:textId="77777777" w:rsidR="00945B21" w:rsidRPr="000343FB" w:rsidRDefault="00945B21" w:rsidP="00945B21">
            <w:pPr>
              <w:pStyle w:val="ExhibitText"/>
              <w:jc w:val="right"/>
              <w:rPr>
                <w:lang w:val="en-GB"/>
              </w:rPr>
            </w:pPr>
            <w:r w:rsidRPr="000343FB">
              <w:rPr>
                <w:lang w:val="en-GB"/>
              </w:rPr>
              <w:t>14.36</w:t>
            </w:r>
          </w:p>
        </w:tc>
        <w:tc>
          <w:tcPr>
            <w:tcW w:w="895" w:type="dxa"/>
            <w:vAlign w:val="center"/>
          </w:tcPr>
          <w:p w14:paraId="1703449F" w14:textId="77777777" w:rsidR="00945B21" w:rsidRPr="000343FB" w:rsidRDefault="00945B21" w:rsidP="00945B21">
            <w:pPr>
              <w:pStyle w:val="ExhibitText"/>
              <w:jc w:val="right"/>
              <w:rPr>
                <w:lang w:val="en-GB"/>
              </w:rPr>
            </w:pPr>
            <w:r w:rsidRPr="000343FB">
              <w:rPr>
                <w:lang w:val="en-GB"/>
              </w:rPr>
              <w:t>18.05</w:t>
            </w:r>
          </w:p>
        </w:tc>
      </w:tr>
      <w:tr w:rsidR="00945B21" w:rsidRPr="000343FB" w14:paraId="33C13191" w14:textId="77777777" w:rsidTr="00945B21">
        <w:trPr>
          <w:jc w:val="center"/>
        </w:trPr>
        <w:tc>
          <w:tcPr>
            <w:tcW w:w="3150" w:type="dxa"/>
            <w:vAlign w:val="center"/>
          </w:tcPr>
          <w:p w14:paraId="1E4E151D" w14:textId="3B990985" w:rsidR="00945B21" w:rsidRPr="000343FB" w:rsidRDefault="00945B21" w:rsidP="00945B21">
            <w:pPr>
              <w:pStyle w:val="ExhibitText"/>
              <w:jc w:val="left"/>
              <w:rPr>
                <w:lang w:val="en-GB"/>
              </w:rPr>
            </w:pPr>
            <w:r w:rsidRPr="000343FB">
              <w:rPr>
                <w:lang w:val="en-GB"/>
              </w:rPr>
              <w:t xml:space="preserve">Event </w:t>
            </w:r>
            <w:r w:rsidR="007D2BA4">
              <w:rPr>
                <w:lang w:val="en-GB"/>
              </w:rPr>
              <w:t>s</w:t>
            </w:r>
            <w:r w:rsidRPr="000343FB">
              <w:rPr>
                <w:lang w:val="en-GB"/>
              </w:rPr>
              <w:t>ponsorship</w:t>
            </w:r>
          </w:p>
        </w:tc>
        <w:tc>
          <w:tcPr>
            <w:tcW w:w="2160" w:type="dxa"/>
            <w:vAlign w:val="center"/>
          </w:tcPr>
          <w:p w14:paraId="348CBA80" w14:textId="77777777" w:rsidR="00945B21" w:rsidRPr="000343FB" w:rsidRDefault="00945B21" w:rsidP="00945B21">
            <w:pPr>
              <w:pStyle w:val="ExhibitText"/>
              <w:jc w:val="right"/>
              <w:rPr>
                <w:lang w:val="en-GB"/>
              </w:rPr>
            </w:pPr>
            <w:r w:rsidRPr="000343FB">
              <w:rPr>
                <w:lang w:val="en-GB"/>
              </w:rPr>
              <w:t>10.19</w:t>
            </w:r>
          </w:p>
        </w:tc>
        <w:tc>
          <w:tcPr>
            <w:tcW w:w="900" w:type="dxa"/>
            <w:vAlign w:val="center"/>
          </w:tcPr>
          <w:p w14:paraId="15DB867C" w14:textId="77777777" w:rsidR="00945B21" w:rsidRPr="000343FB" w:rsidRDefault="00945B21" w:rsidP="00945B21">
            <w:pPr>
              <w:pStyle w:val="ExhibitText"/>
              <w:jc w:val="right"/>
              <w:rPr>
                <w:lang w:val="en-GB"/>
              </w:rPr>
            </w:pPr>
            <w:r w:rsidRPr="000343FB">
              <w:rPr>
                <w:lang w:val="en-GB"/>
              </w:rPr>
              <w:t>18.32</w:t>
            </w:r>
          </w:p>
        </w:tc>
        <w:tc>
          <w:tcPr>
            <w:tcW w:w="900" w:type="dxa"/>
            <w:vAlign w:val="center"/>
          </w:tcPr>
          <w:p w14:paraId="21C30F8D" w14:textId="77777777" w:rsidR="00945B21" w:rsidRPr="000343FB" w:rsidRDefault="00945B21" w:rsidP="00945B21">
            <w:pPr>
              <w:pStyle w:val="ExhibitText"/>
              <w:jc w:val="right"/>
              <w:rPr>
                <w:lang w:val="en-GB"/>
              </w:rPr>
            </w:pPr>
            <w:r w:rsidRPr="000343FB">
              <w:rPr>
                <w:lang w:val="en-GB"/>
              </w:rPr>
              <w:t>28.72</w:t>
            </w:r>
          </w:p>
        </w:tc>
        <w:tc>
          <w:tcPr>
            <w:tcW w:w="895" w:type="dxa"/>
            <w:vAlign w:val="center"/>
          </w:tcPr>
          <w:p w14:paraId="53385928" w14:textId="77777777" w:rsidR="00945B21" w:rsidRPr="000343FB" w:rsidRDefault="00945B21" w:rsidP="00945B21">
            <w:pPr>
              <w:pStyle w:val="ExhibitText"/>
              <w:jc w:val="right"/>
              <w:rPr>
                <w:lang w:val="en-GB"/>
              </w:rPr>
            </w:pPr>
            <w:r w:rsidRPr="000343FB">
              <w:rPr>
                <w:lang w:val="en-GB"/>
              </w:rPr>
              <w:t>30.22</w:t>
            </w:r>
          </w:p>
        </w:tc>
      </w:tr>
      <w:tr w:rsidR="00945B21" w:rsidRPr="000343FB" w14:paraId="6172AF2C" w14:textId="77777777" w:rsidTr="00945B21">
        <w:trPr>
          <w:jc w:val="center"/>
        </w:trPr>
        <w:tc>
          <w:tcPr>
            <w:tcW w:w="3150" w:type="dxa"/>
            <w:vAlign w:val="center"/>
          </w:tcPr>
          <w:p w14:paraId="15975FF2" w14:textId="790EFC98" w:rsidR="00945B21" w:rsidRPr="000343FB" w:rsidRDefault="00945B21" w:rsidP="00945B21">
            <w:pPr>
              <w:pStyle w:val="ExhibitText"/>
              <w:jc w:val="left"/>
              <w:rPr>
                <w:lang w:val="en-GB"/>
              </w:rPr>
            </w:pPr>
            <w:r w:rsidRPr="000343FB">
              <w:rPr>
                <w:lang w:val="en-GB"/>
              </w:rPr>
              <w:t xml:space="preserve">Sales </w:t>
            </w:r>
            <w:r w:rsidR="007D2BA4">
              <w:rPr>
                <w:lang w:val="en-GB"/>
              </w:rPr>
              <w:t>p</w:t>
            </w:r>
            <w:r w:rsidRPr="000343FB">
              <w:rPr>
                <w:lang w:val="en-GB"/>
              </w:rPr>
              <w:t>romotions</w:t>
            </w:r>
          </w:p>
        </w:tc>
        <w:tc>
          <w:tcPr>
            <w:tcW w:w="2160" w:type="dxa"/>
            <w:vAlign w:val="center"/>
          </w:tcPr>
          <w:p w14:paraId="6B487957" w14:textId="77777777" w:rsidR="00945B21" w:rsidRPr="000343FB" w:rsidRDefault="00945B21" w:rsidP="00945B21">
            <w:pPr>
              <w:pStyle w:val="ExhibitText"/>
              <w:jc w:val="right"/>
              <w:rPr>
                <w:lang w:val="en-GB"/>
              </w:rPr>
            </w:pPr>
            <w:r w:rsidRPr="000343FB">
              <w:rPr>
                <w:lang w:val="en-GB"/>
              </w:rPr>
              <w:t>3.19</w:t>
            </w:r>
          </w:p>
        </w:tc>
        <w:tc>
          <w:tcPr>
            <w:tcW w:w="900" w:type="dxa"/>
            <w:vAlign w:val="center"/>
          </w:tcPr>
          <w:p w14:paraId="5663E1CF" w14:textId="77777777" w:rsidR="00945B21" w:rsidRPr="000343FB" w:rsidRDefault="00945B21" w:rsidP="00945B21">
            <w:pPr>
              <w:pStyle w:val="ExhibitText"/>
              <w:jc w:val="right"/>
              <w:rPr>
                <w:lang w:val="en-GB"/>
              </w:rPr>
            </w:pPr>
            <w:r w:rsidRPr="000343FB">
              <w:rPr>
                <w:lang w:val="en-GB"/>
              </w:rPr>
              <w:t>4.58</w:t>
            </w:r>
          </w:p>
        </w:tc>
        <w:tc>
          <w:tcPr>
            <w:tcW w:w="900" w:type="dxa"/>
            <w:vAlign w:val="center"/>
          </w:tcPr>
          <w:p w14:paraId="50DAAEEB" w14:textId="77777777" w:rsidR="00945B21" w:rsidRPr="000343FB" w:rsidRDefault="00945B21" w:rsidP="00945B21">
            <w:pPr>
              <w:pStyle w:val="ExhibitText"/>
              <w:jc w:val="right"/>
              <w:rPr>
                <w:lang w:val="en-GB"/>
              </w:rPr>
            </w:pPr>
            <w:r w:rsidRPr="000343FB">
              <w:rPr>
                <w:lang w:val="en-GB"/>
              </w:rPr>
              <w:t>7.18</w:t>
            </w:r>
          </w:p>
        </w:tc>
        <w:tc>
          <w:tcPr>
            <w:tcW w:w="895" w:type="dxa"/>
            <w:vAlign w:val="center"/>
          </w:tcPr>
          <w:p w14:paraId="70755CB6" w14:textId="77777777" w:rsidR="00945B21" w:rsidRPr="000343FB" w:rsidRDefault="00945B21" w:rsidP="00945B21">
            <w:pPr>
              <w:pStyle w:val="ExhibitText"/>
              <w:jc w:val="right"/>
              <w:rPr>
                <w:lang w:val="en-GB"/>
              </w:rPr>
            </w:pPr>
            <w:r w:rsidRPr="000343FB">
              <w:rPr>
                <w:lang w:val="en-GB"/>
              </w:rPr>
              <w:t>9.45</w:t>
            </w:r>
          </w:p>
        </w:tc>
      </w:tr>
      <w:tr w:rsidR="00945B21" w:rsidRPr="000343FB" w14:paraId="7481CEAB" w14:textId="77777777" w:rsidTr="00945B21">
        <w:trPr>
          <w:jc w:val="center"/>
        </w:trPr>
        <w:tc>
          <w:tcPr>
            <w:tcW w:w="3150" w:type="dxa"/>
            <w:vAlign w:val="center"/>
          </w:tcPr>
          <w:p w14:paraId="07B70AF9" w14:textId="656AFF84" w:rsidR="00945B21" w:rsidRPr="000343FB" w:rsidRDefault="00945B21" w:rsidP="00945B21">
            <w:pPr>
              <w:pStyle w:val="ExhibitText"/>
              <w:jc w:val="left"/>
              <w:rPr>
                <w:lang w:val="en-GB"/>
              </w:rPr>
            </w:pPr>
            <w:r w:rsidRPr="000343FB">
              <w:rPr>
                <w:lang w:val="en-GB"/>
              </w:rPr>
              <w:t xml:space="preserve">Sales </w:t>
            </w:r>
            <w:r w:rsidR="007D2BA4">
              <w:rPr>
                <w:lang w:val="en-GB"/>
              </w:rPr>
              <w:t>f</w:t>
            </w:r>
            <w:r w:rsidRPr="000343FB">
              <w:rPr>
                <w:lang w:val="en-GB"/>
              </w:rPr>
              <w:t xml:space="preserve">orce </w:t>
            </w:r>
            <w:r w:rsidR="007D2BA4">
              <w:rPr>
                <w:lang w:val="en-GB"/>
              </w:rPr>
              <w:t>e</w:t>
            </w:r>
            <w:r w:rsidRPr="000343FB">
              <w:rPr>
                <w:lang w:val="en-GB"/>
              </w:rPr>
              <w:t>xpenses</w:t>
            </w:r>
          </w:p>
        </w:tc>
        <w:tc>
          <w:tcPr>
            <w:tcW w:w="2160" w:type="dxa"/>
            <w:vAlign w:val="center"/>
          </w:tcPr>
          <w:p w14:paraId="142C99B9" w14:textId="52D76C99" w:rsidR="00945B21" w:rsidRPr="000343FB" w:rsidRDefault="00945B21" w:rsidP="00945B21">
            <w:pPr>
              <w:pStyle w:val="ExhibitText"/>
              <w:jc w:val="right"/>
              <w:rPr>
                <w:lang w:val="en-GB"/>
              </w:rPr>
            </w:pPr>
            <w:r w:rsidRPr="000343FB">
              <w:rPr>
                <w:lang w:val="en-GB"/>
              </w:rPr>
              <w:t>58.1</w:t>
            </w:r>
            <w:r w:rsidR="007D2BA4">
              <w:rPr>
                <w:lang w:val="en-GB"/>
              </w:rPr>
              <w:t>0</w:t>
            </w:r>
          </w:p>
        </w:tc>
        <w:tc>
          <w:tcPr>
            <w:tcW w:w="900" w:type="dxa"/>
            <w:vAlign w:val="center"/>
          </w:tcPr>
          <w:p w14:paraId="0E120894" w14:textId="77777777" w:rsidR="00945B21" w:rsidRPr="000343FB" w:rsidRDefault="00945B21" w:rsidP="00945B21">
            <w:pPr>
              <w:pStyle w:val="ExhibitText"/>
              <w:jc w:val="right"/>
              <w:rPr>
                <w:lang w:val="en-GB"/>
              </w:rPr>
            </w:pPr>
            <w:r w:rsidRPr="000343FB">
              <w:rPr>
                <w:lang w:val="en-GB"/>
              </w:rPr>
              <w:t>2.29</w:t>
            </w:r>
          </w:p>
        </w:tc>
        <w:tc>
          <w:tcPr>
            <w:tcW w:w="900" w:type="dxa"/>
            <w:vAlign w:val="center"/>
          </w:tcPr>
          <w:p w14:paraId="64DFDC59" w14:textId="77777777" w:rsidR="00945B21" w:rsidRPr="000343FB" w:rsidRDefault="00945B21" w:rsidP="00945B21">
            <w:pPr>
              <w:pStyle w:val="ExhibitText"/>
              <w:jc w:val="right"/>
              <w:rPr>
                <w:lang w:val="en-GB"/>
              </w:rPr>
            </w:pPr>
            <w:r w:rsidRPr="000343FB">
              <w:rPr>
                <w:lang w:val="en-GB"/>
              </w:rPr>
              <w:t>160.72</w:t>
            </w:r>
          </w:p>
        </w:tc>
        <w:tc>
          <w:tcPr>
            <w:tcW w:w="895" w:type="dxa"/>
            <w:vAlign w:val="center"/>
          </w:tcPr>
          <w:p w14:paraId="7B152037" w14:textId="77777777" w:rsidR="00945B21" w:rsidRPr="000343FB" w:rsidRDefault="00945B21" w:rsidP="00945B21">
            <w:pPr>
              <w:pStyle w:val="ExhibitText"/>
              <w:jc w:val="right"/>
              <w:rPr>
                <w:lang w:val="en-GB"/>
              </w:rPr>
            </w:pPr>
            <w:r w:rsidRPr="000343FB">
              <w:rPr>
                <w:lang w:val="en-GB"/>
              </w:rPr>
              <w:t>172.35</w:t>
            </w:r>
          </w:p>
        </w:tc>
      </w:tr>
      <w:tr w:rsidR="00945B21" w:rsidRPr="000343FB" w14:paraId="744C623B" w14:textId="77777777" w:rsidTr="00945B21">
        <w:trPr>
          <w:jc w:val="center"/>
        </w:trPr>
        <w:tc>
          <w:tcPr>
            <w:tcW w:w="3150" w:type="dxa"/>
            <w:vAlign w:val="center"/>
          </w:tcPr>
          <w:p w14:paraId="32E27D85" w14:textId="54D96071" w:rsidR="00945B21" w:rsidRPr="000343FB" w:rsidRDefault="00945B21" w:rsidP="00945B21">
            <w:pPr>
              <w:pStyle w:val="ExhibitText"/>
              <w:jc w:val="left"/>
              <w:rPr>
                <w:lang w:val="en-GB"/>
              </w:rPr>
            </w:pPr>
            <w:r w:rsidRPr="000343FB">
              <w:rPr>
                <w:lang w:val="en-GB"/>
              </w:rPr>
              <w:t xml:space="preserve">Loyalty </w:t>
            </w:r>
            <w:r w:rsidR="007D2BA4">
              <w:rPr>
                <w:lang w:val="en-GB"/>
              </w:rPr>
              <w:t>p</w:t>
            </w:r>
            <w:r w:rsidRPr="000343FB">
              <w:rPr>
                <w:lang w:val="en-GB"/>
              </w:rPr>
              <w:t>rograms</w:t>
            </w:r>
          </w:p>
        </w:tc>
        <w:tc>
          <w:tcPr>
            <w:tcW w:w="2160" w:type="dxa"/>
            <w:vAlign w:val="center"/>
          </w:tcPr>
          <w:p w14:paraId="35F6137C" w14:textId="14519B8E" w:rsidR="00945B21" w:rsidRPr="000343FB" w:rsidRDefault="00945B21" w:rsidP="00945B21">
            <w:pPr>
              <w:pStyle w:val="ExhibitText"/>
              <w:jc w:val="right"/>
              <w:rPr>
                <w:lang w:val="en-GB"/>
              </w:rPr>
            </w:pPr>
            <w:r w:rsidRPr="000343FB">
              <w:rPr>
                <w:lang w:val="en-GB"/>
              </w:rPr>
              <w:t>0</w:t>
            </w:r>
            <w:r w:rsidR="007D2BA4">
              <w:rPr>
                <w:lang w:val="en-GB"/>
              </w:rPr>
              <w:t>.00</w:t>
            </w:r>
          </w:p>
        </w:tc>
        <w:tc>
          <w:tcPr>
            <w:tcW w:w="900" w:type="dxa"/>
            <w:vAlign w:val="center"/>
          </w:tcPr>
          <w:p w14:paraId="3C56506B" w14:textId="545636A7" w:rsidR="00945B21" w:rsidRPr="000343FB" w:rsidRDefault="00945B21" w:rsidP="00945B21">
            <w:pPr>
              <w:pStyle w:val="ExhibitText"/>
              <w:jc w:val="right"/>
              <w:rPr>
                <w:lang w:val="en-GB"/>
              </w:rPr>
            </w:pPr>
            <w:r w:rsidRPr="000343FB">
              <w:rPr>
                <w:lang w:val="en-GB"/>
              </w:rPr>
              <w:t>0</w:t>
            </w:r>
            <w:r w:rsidR="007D2BA4">
              <w:rPr>
                <w:lang w:val="en-GB"/>
              </w:rPr>
              <w:t>.00</w:t>
            </w:r>
          </w:p>
        </w:tc>
        <w:tc>
          <w:tcPr>
            <w:tcW w:w="900" w:type="dxa"/>
            <w:vAlign w:val="center"/>
          </w:tcPr>
          <w:p w14:paraId="5657E094" w14:textId="63BC99D4" w:rsidR="00945B21" w:rsidRPr="000343FB" w:rsidRDefault="00945B21" w:rsidP="00945B21">
            <w:pPr>
              <w:pStyle w:val="ExhibitText"/>
              <w:jc w:val="right"/>
              <w:rPr>
                <w:lang w:val="en-GB"/>
              </w:rPr>
            </w:pPr>
            <w:r w:rsidRPr="000343FB">
              <w:rPr>
                <w:lang w:val="en-GB"/>
              </w:rPr>
              <w:t>0</w:t>
            </w:r>
            <w:r w:rsidR="007D2BA4">
              <w:rPr>
                <w:lang w:val="en-GB"/>
              </w:rPr>
              <w:t>.00</w:t>
            </w:r>
          </w:p>
        </w:tc>
        <w:tc>
          <w:tcPr>
            <w:tcW w:w="895" w:type="dxa"/>
            <w:vAlign w:val="center"/>
          </w:tcPr>
          <w:p w14:paraId="044F6117" w14:textId="037140BA" w:rsidR="00945B21" w:rsidRPr="000343FB" w:rsidRDefault="00945B21" w:rsidP="00945B21">
            <w:pPr>
              <w:pStyle w:val="ExhibitText"/>
              <w:jc w:val="right"/>
              <w:rPr>
                <w:lang w:val="en-GB"/>
              </w:rPr>
            </w:pPr>
            <w:r w:rsidRPr="000343FB">
              <w:rPr>
                <w:lang w:val="en-GB"/>
              </w:rPr>
              <w:t>0</w:t>
            </w:r>
            <w:r w:rsidR="007D2BA4">
              <w:rPr>
                <w:lang w:val="en-GB"/>
              </w:rPr>
              <w:t>.00</w:t>
            </w:r>
          </w:p>
        </w:tc>
      </w:tr>
      <w:tr w:rsidR="00945B21" w:rsidRPr="000343FB" w14:paraId="3D674055" w14:textId="77777777" w:rsidTr="00945B21">
        <w:trPr>
          <w:jc w:val="center"/>
        </w:trPr>
        <w:tc>
          <w:tcPr>
            <w:tcW w:w="3150" w:type="dxa"/>
            <w:vAlign w:val="center"/>
          </w:tcPr>
          <w:p w14:paraId="31615816" w14:textId="3255A1B3" w:rsidR="00945B21" w:rsidRPr="000343FB" w:rsidRDefault="00945B21" w:rsidP="00945B21">
            <w:pPr>
              <w:pStyle w:val="ExhibitText"/>
              <w:jc w:val="left"/>
              <w:rPr>
                <w:lang w:val="en-GB"/>
              </w:rPr>
            </w:pPr>
            <w:r w:rsidRPr="000343FB">
              <w:rPr>
                <w:lang w:val="en-GB"/>
              </w:rPr>
              <w:t xml:space="preserve">DJ </w:t>
            </w:r>
            <w:r w:rsidR="007D2BA4">
              <w:rPr>
                <w:lang w:val="en-GB"/>
              </w:rPr>
              <w:t>s</w:t>
            </w:r>
            <w:r w:rsidRPr="000343FB">
              <w:rPr>
                <w:lang w:val="en-GB"/>
              </w:rPr>
              <w:t>ponsorship</w:t>
            </w:r>
          </w:p>
        </w:tc>
        <w:tc>
          <w:tcPr>
            <w:tcW w:w="2160" w:type="dxa"/>
            <w:vAlign w:val="center"/>
          </w:tcPr>
          <w:p w14:paraId="7E7D1822" w14:textId="77777777" w:rsidR="00945B21" w:rsidRPr="000343FB" w:rsidRDefault="00945B21" w:rsidP="00945B21">
            <w:pPr>
              <w:pStyle w:val="ExhibitText"/>
              <w:jc w:val="right"/>
              <w:rPr>
                <w:lang w:val="en-GB"/>
              </w:rPr>
            </w:pPr>
            <w:r w:rsidRPr="000343FB">
              <w:rPr>
                <w:lang w:val="en-GB"/>
              </w:rPr>
              <w:t>13.34</w:t>
            </w:r>
          </w:p>
        </w:tc>
        <w:tc>
          <w:tcPr>
            <w:tcW w:w="900" w:type="dxa"/>
            <w:vAlign w:val="center"/>
          </w:tcPr>
          <w:p w14:paraId="2013CFE2" w14:textId="77777777" w:rsidR="00945B21" w:rsidRPr="000343FB" w:rsidRDefault="00945B21" w:rsidP="00945B21">
            <w:pPr>
              <w:pStyle w:val="ExhibitText"/>
              <w:jc w:val="right"/>
              <w:rPr>
                <w:lang w:val="en-GB"/>
              </w:rPr>
            </w:pPr>
            <w:r w:rsidRPr="000343FB">
              <w:rPr>
                <w:lang w:val="en-GB"/>
              </w:rPr>
              <w:t>22.91</w:t>
            </w:r>
          </w:p>
        </w:tc>
        <w:tc>
          <w:tcPr>
            <w:tcW w:w="900" w:type="dxa"/>
            <w:vAlign w:val="center"/>
          </w:tcPr>
          <w:p w14:paraId="331ACA93" w14:textId="77777777" w:rsidR="00945B21" w:rsidRPr="000343FB" w:rsidRDefault="00945B21" w:rsidP="00945B21">
            <w:pPr>
              <w:pStyle w:val="ExhibitText"/>
              <w:jc w:val="right"/>
              <w:rPr>
                <w:lang w:val="en-GB"/>
              </w:rPr>
            </w:pPr>
            <w:r w:rsidRPr="000343FB">
              <w:rPr>
                <w:lang w:val="en-GB"/>
              </w:rPr>
              <w:t>35.90</w:t>
            </w:r>
          </w:p>
        </w:tc>
        <w:tc>
          <w:tcPr>
            <w:tcW w:w="895" w:type="dxa"/>
            <w:vAlign w:val="center"/>
          </w:tcPr>
          <w:p w14:paraId="25DA2918" w14:textId="77777777" w:rsidR="00945B21" w:rsidRPr="000343FB" w:rsidRDefault="00945B21" w:rsidP="00945B21">
            <w:pPr>
              <w:pStyle w:val="ExhibitText"/>
              <w:jc w:val="right"/>
              <w:rPr>
                <w:lang w:val="en-GB"/>
              </w:rPr>
            </w:pPr>
            <w:r w:rsidRPr="000343FB">
              <w:rPr>
                <w:lang w:val="en-GB"/>
              </w:rPr>
              <w:t>39.57</w:t>
            </w:r>
          </w:p>
        </w:tc>
      </w:tr>
      <w:tr w:rsidR="00945B21" w:rsidRPr="000343FB" w14:paraId="64C5E942" w14:textId="77777777" w:rsidTr="00945B21">
        <w:trPr>
          <w:jc w:val="center"/>
        </w:trPr>
        <w:tc>
          <w:tcPr>
            <w:tcW w:w="3150" w:type="dxa"/>
            <w:vAlign w:val="center"/>
          </w:tcPr>
          <w:p w14:paraId="3D1BC2B6" w14:textId="2166296B" w:rsidR="00945B21" w:rsidRPr="000343FB" w:rsidRDefault="00945B21" w:rsidP="00945B21">
            <w:pPr>
              <w:pStyle w:val="ExhibitText"/>
              <w:jc w:val="left"/>
              <w:rPr>
                <w:lang w:val="en-GB"/>
              </w:rPr>
            </w:pPr>
            <w:r w:rsidRPr="000343FB">
              <w:rPr>
                <w:lang w:val="en-GB"/>
              </w:rPr>
              <w:t xml:space="preserve">Retail </w:t>
            </w:r>
            <w:r w:rsidR="007D2BA4">
              <w:rPr>
                <w:lang w:val="en-GB"/>
              </w:rPr>
              <w:t>a</w:t>
            </w:r>
            <w:r w:rsidRPr="000343FB">
              <w:rPr>
                <w:lang w:val="en-GB"/>
              </w:rPr>
              <w:t xml:space="preserve">ctivation </w:t>
            </w:r>
            <w:r w:rsidR="007D2BA4">
              <w:rPr>
                <w:lang w:val="en-GB"/>
              </w:rPr>
              <w:t>(e.g., k</w:t>
            </w:r>
            <w:r w:rsidRPr="000343FB">
              <w:rPr>
                <w:lang w:val="en-GB"/>
              </w:rPr>
              <w:t>iosks</w:t>
            </w:r>
            <w:r w:rsidR="007D2BA4">
              <w:rPr>
                <w:lang w:val="en-GB"/>
              </w:rPr>
              <w:t>)</w:t>
            </w:r>
          </w:p>
        </w:tc>
        <w:tc>
          <w:tcPr>
            <w:tcW w:w="2160" w:type="dxa"/>
            <w:vAlign w:val="center"/>
          </w:tcPr>
          <w:p w14:paraId="6D09A50B" w14:textId="77777777" w:rsidR="00945B21" w:rsidRPr="000343FB" w:rsidRDefault="00945B21" w:rsidP="00945B21">
            <w:pPr>
              <w:pStyle w:val="ExhibitText"/>
              <w:jc w:val="right"/>
              <w:rPr>
                <w:lang w:val="en-GB"/>
              </w:rPr>
            </w:pPr>
            <w:r w:rsidRPr="000343FB">
              <w:rPr>
                <w:lang w:val="en-GB"/>
              </w:rPr>
              <w:t>3.15</w:t>
            </w:r>
          </w:p>
        </w:tc>
        <w:tc>
          <w:tcPr>
            <w:tcW w:w="900" w:type="dxa"/>
            <w:vAlign w:val="center"/>
          </w:tcPr>
          <w:p w14:paraId="260D8A8A" w14:textId="4B9C05FE" w:rsidR="00945B21" w:rsidRPr="000343FB" w:rsidRDefault="00945B21" w:rsidP="00945B21">
            <w:pPr>
              <w:pStyle w:val="ExhibitText"/>
              <w:jc w:val="right"/>
              <w:rPr>
                <w:lang w:val="en-GB"/>
              </w:rPr>
            </w:pPr>
            <w:r w:rsidRPr="000343FB">
              <w:rPr>
                <w:lang w:val="en-GB"/>
              </w:rPr>
              <w:t>0</w:t>
            </w:r>
            <w:r w:rsidR="007D2BA4">
              <w:rPr>
                <w:lang w:val="en-GB"/>
              </w:rPr>
              <w:t>.00</w:t>
            </w:r>
          </w:p>
        </w:tc>
        <w:tc>
          <w:tcPr>
            <w:tcW w:w="900" w:type="dxa"/>
            <w:vAlign w:val="center"/>
          </w:tcPr>
          <w:p w14:paraId="70888734" w14:textId="77777777" w:rsidR="00945B21" w:rsidRPr="000343FB" w:rsidRDefault="00945B21" w:rsidP="00945B21">
            <w:pPr>
              <w:pStyle w:val="ExhibitText"/>
              <w:jc w:val="right"/>
              <w:rPr>
                <w:lang w:val="en-GB"/>
              </w:rPr>
            </w:pPr>
            <w:r w:rsidRPr="000343FB">
              <w:rPr>
                <w:lang w:val="en-GB"/>
              </w:rPr>
              <w:t>7.18</w:t>
            </w:r>
          </w:p>
        </w:tc>
        <w:tc>
          <w:tcPr>
            <w:tcW w:w="895" w:type="dxa"/>
            <w:vAlign w:val="center"/>
          </w:tcPr>
          <w:p w14:paraId="40B7C323" w14:textId="77777777" w:rsidR="00945B21" w:rsidRPr="000343FB" w:rsidRDefault="00945B21" w:rsidP="00945B21">
            <w:pPr>
              <w:pStyle w:val="ExhibitText"/>
              <w:jc w:val="right"/>
              <w:rPr>
                <w:lang w:val="en-GB"/>
              </w:rPr>
            </w:pPr>
            <w:r w:rsidRPr="000343FB">
              <w:rPr>
                <w:lang w:val="en-GB"/>
              </w:rPr>
              <w:t>9.35</w:t>
            </w:r>
          </w:p>
        </w:tc>
      </w:tr>
      <w:tr w:rsidR="00945B21" w:rsidRPr="000343FB" w14:paraId="0FC4A003" w14:textId="77777777" w:rsidTr="00945B21">
        <w:trPr>
          <w:jc w:val="center"/>
        </w:trPr>
        <w:tc>
          <w:tcPr>
            <w:tcW w:w="3150" w:type="dxa"/>
            <w:vAlign w:val="center"/>
          </w:tcPr>
          <w:p w14:paraId="17927720" w14:textId="7615B7AE" w:rsidR="00945B21" w:rsidRPr="000343FB" w:rsidRDefault="00945B21" w:rsidP="00945B21">
            <w:pPr>
              <w:pStyle w:val="ExhibitText"/>
              <w:jc w:val="left"/>
              <w:rPr>
                <w:lang w:val="en-GB"/>
              </w:rPr>
            </w:pPr>
            <w:r w:rsidRPr="000343FB">
              <w:rPr>
                <w:lang w:val="en-GB"/>
              </w:rPr>
              <w:t>Other</w:t>
            </w:r>
            <w:r w:rsidR="007D2BA4">
              <w:rPr>
                <w:lang w:val="en-GB"/>
              </w:rPr>
              <w:t>s</w:t>
            </w:r>
          </w:p>
        </w:tc>
        <w:tc>
          <w:tcPr>
            <w:tcW w:w="2160" w:type="dxa"/>
            <w:vAlign w:val="center"/>
          </w:tcPr>
          <w:p w14:paraId="68F0BA8C" w14:textId="77777777" w:rsidR="00945B21" w:rsidRPr="000343FB" w:rsidRDefault="00945B21" w:rsidP="00945B21">
            <w:pPr>
              <w:pStyle w:val="ExhibitText"/>
              <w:jc w:val="right"/>
              <w:rPr>
                <w:lang w:val="en-GB"/>
              </w:rPr>
            </w:pPr>
            <w:r w:rsidRPr="000343FB">
              <w:rPr>
                <w:lang w:val="en-GB"/>
              </w:rPr>
              <w:t>5.94</w:t>
            </w:r>
          </w:p>
        </w:tc>
        <w:tc>
          <w:tcPr>
            <w:tcW w:w="900" w:type="dxa"/>
            <w:vAlign w:val="center"/>
          </w:tcPr>
          <w:p w14:paraId="76318857" w14:textId="77777777" w:rsidR="00945B21" w:rsidRPr="000343FB" w:rsidRDefault="00945B21" w:rsidP="00945B21">
            <w:pPr>
              <w:pStyle w:val="ExhibitText"/>
              <w:jc w:val="right"/>
              <w:rPr>
                <w:lang w:val="en-GB"/>
              </w:rPr>
            </w:pPr>
            <w:r w:rsidRPr="000343FB">
              <w:rPr>
                <w:lang w:val="en-GB"/>
              </w:rPr>
              <w:t>9.16</w:t>
            </w:r>
          </w:p>
        </w:tc>
        <w:tc>
          <w:tcPr>
            <w:tcW w:w="900" w:type="dxa"/>
            <w:vAlign w:val="center"/>
          </w:tcPr>
          <w:p w14:paraId="654858A1" w14:textId="77777777" w:rsidR="00945B21" w:rsidRPr="000343FB" w:rsidRDefault="00945B21" w:rsidP="00945B21">
            <w:pPr>
              <w:pStyle w:val="ExhibitText"/>
              <w:jc w:val="right"/>
              <w:rPr>
                <w:lang w:val="en-GB"/>
              </w:rPr>
            </w:pPr>
            <w:r w:rsidRPr="000343FB">
              <w:rPr>
                <w:lang w:val="en-GB"/>
              </w:rPr>
              <w:t>14.36</w:t>
            </w:r>
          </w:p>
        </w:tc>
        <w:tc>
          <w:tcPr>
            <w:tcW w:w="895" w:type="dxa"/>
            <w:vAlign w:val="center"/>
          </w:tcPr>
          <w:p w14:paraId="237D0F67" w14:textId="77777777" w:rsidR="00945B21" w:rsidRPr="000343FB" w:rsidRDefault="00945B21" w:rsidP="00945B21">
            <w:pPr>
              <w:pStyle w:val="ExhibitText"/>
              <w:jc w:val="right"/>
              <w:rPr>
                <w:lang w:val="en-GB"/>
              </w:rPr>
            </w:pPr>
            <w:r w:rsidRPr="000343FB">
              <w:rPr>
                <w:lang w:val="en-GB"/>
              </w:rPr>
              <w:t>17.65</w:t>
            </w:r>
          </w:p>
        </w:tc>
      </w:tr>
      <w:tr w:rsidR="00945B21" w:rsidRPr="000343FB" w14:paraId="33BA1076" w14:textId="77777777" w:rsidTr="00945B21">
        <w:trPr>
          <w:jc w:val="center"/>
        </w:trPr>
        <w:tc>
          <w:tcPr>
            <w:tcW w:w="3150" w:type="dxa"/>
            <w:vAlign w:val="center"/>
          </w:tcPr>
          <w:p w14:paraId="053B5268" w14:textId="796C8280" w:rsidR="00945B21" w:rsidRPr="000343FB" w:rsidRDefault="00945B21" w:rsidP="00945B21">
            <w:pPr>
              <w:pStyle w:val="ExhibitText"/>
              <w:jc w:val="left"/>
              <w:rPr>
                <w:lang w:val="en-GB"/>
              </w:rPr>
            </w:pPr>
            <w:r w:rsidRPr="000343FB">
              <w:rPr>
                <w:lang w:val="en-GB"/>
              </w:rPr>
              <w:t>Total Spend</w:t>
            </w:r>
            <w:r w:rsidR="007D2BA4">
              <w:rPr>
                <w:lang w:val="en-GB"/>
              </w:rPr>
              <w:t>ing</w:t>
            </w:r>
          </w:p>
        </w:tc>
        <w:tc>
          <w:tcPr>
            <w:tcW w:w="2160" w:type="dxa"/>
            <w:vAlign w:val="center"/>
          </w:tcPr>
          <w:p w14:paraId="4FD525EA" w14:textId="77777777" w:rsidR="00945B21" w:rsidRPr="000343FB" w:rsidRDefault="00945B21" w:rsidP="00945B21">
            <w:pPr>
              <w:pStyle w:val="ExhibitText"/>
              <w:jc w:val="right"/>
              <w:rPr>
                <w:lang w:val="en-GB"/>
              </w:rPr>
            </w:pPr>
            <w:r w:rsidRPr="000343FB">
              <w:rPr>
                <w:lang w:val="en-GB"/>
              </w:rPr>
              <w:t>100.00</w:t>
            </w:r>
          </w:p>
        </w:tc>
        <w:tc>
          <w:tcPr>
            <w:tcW w:w="900" w:type="dxa"/>
            <w:vAlign w:val="center"/>
          </w:tcPr>
          <w:p w14:paraId="3F1C5C72" w14:textId="77777777" w:rsidR="00945B21" w:rsidRPr="000343FB" w:rsidRDefault="00945B21" w:rsidP="00945B21">
            <w:pPr>
              <w:pStyle w:val="ExhibitText"/>
              <w:jc w:val="right"/>
              <w:rPr>
                <w:lang w:val="en-GB"/>
              </w:rPr>
            </w:pPr>
            <w:r w:rsidRPr="000343FB">
              <w:rPr>
                <w:lang w:val="en-GB"/>
              </w:rPr>
              <w:t>66.42</w:t>
            </w:r>
          </w:p>
        </w:tc>
        <w:tc>
          <w:tcPr>
            <w:tcW w:w="900" w:type="dxa"/>
            <w:vAlign w:val="center"/>
          </w:tcPr>
          <w:p w14:paraId="3E136478" w14:textId="77777777" w:rsidR="00945B21" w:rsidRPr="000343FB" w:rsidRDefault="00945B21" w:rsidP="00945B21">
            <w:pPr>
              <w:pStyle w:val="ExhibitText"/>
              <w:jc w:val="right"/>
              <w:rPr>
                <w:lang w:val="en-GB"/>
              </w:rPr>
            </w:pPr>
            <w:r w:rsidRPr="000343FB">
              <w:rPr>
                <w:lang w:val="en-GB"/>
              </w:rPr>
              <w:t>268.42</w:t>
            </w:r>
          </w:p>
        </w:tc>
        <w:tc>
          <w:tcPr>
            <w:tcW w:w="895" w:type="dxa"/>
            <w:vAlign w:val="center"/>
          </w:tcPr>
          <w:p w14:paraId="09022E62" w14:textId="77777777" w:rsidR="00945B21" w:rsidRPr="000343FB" w:rsidRDefault="00945B21" w:rsidP="00945B21">
            <w:pPr>
              <w:pStyle w:val="ExhibitText"/>
              <w:jc w:val="right"/>
              <w:rPr>
                <w:lang w:val="en-GB"/>
              </w:rPr>
            </w:pPr>
            <w:r w:rsidRPr="000343FB">
              <w:rPr>
                <w:lang w:val="en-GB"/>
              </w:rPr>
              <w:t>296.64</w:t>
            </w:r>
          </w:p>
        </w:tc>
      </w:tr>
    </w:tbl>
    <w:p w14:paraId="041654D0" w14:textId="77777777" w:rsidR="00945B21" w:rsidRPr="000343FB" w:rsidRDefault="00945B21" w:rsidP="00945B21">
      <w:pPr>
        <w:pStyle w:val="ExhibitText"/>
        <w:rPr>
          <w:lang w:val="en-GB"/>
        </w:rPr>
      </w:pPr>
    </w:p>
    <w:p w14:paraId="5B94ECA5" w14:textId="0C5C95D4" w:rsidR="007D2BA4" w:rsidRDefault="007D2BA4" w:rsidP="007D2BA4">
      <w:pPr>
        <w:pStyle w:val="Footnote"/>
        <w:rPr>
          <w:lang w:val="en-GB"/>
        </w:rPr>
      </w:pPr>
      <w:r>
        <w:rPr>
          <w:lang w:val="en-GB"/>
        </w:rPr>
        <w:t xml:space="preserve">Note: ₹ = INR = Indian rupee; </w:t>
      </w:r>
      <w:r w:rsidR="00270B29" w:rsidRPr="00FD454B">
        <w:rPr>
          <w:spacing w:val="-4"/>
          <w:kern w:val="17"/>
          <w:lang w:val="en-GB"/>
        </w:rPr>
        <w:t xml:space="preserve">₹1 = </w:t>
      </w:r>
      <w:r w:rsidR="00270B29">
        <w:rPr>
          <w:spacing w:val="-4"/>
          <w:kern w:val="17"/>
          <w:lang w:val="en-GB"/>
        </w:rPr>
        <w:t>US$0.02</w:t>
      </w:r>
      <w:r w:rsidR="00270B29" w:rsidRPr="00FD454B">
        <w:rPr>
          <w:spacing w:val="-4"/>
          <w:kern w:val="17"/>
          <w:lang w:val="en-GB"/>
        </w:rPr>
        <w:t xml:space="preserve"> </w:t>
      </w:r>
      <w:r>
        <w:rPr>
          <w:lang w:val="en-GB"/>
        </w:rPr>
        <w:t>on July 1, 2018</w:t>
      </w:r>
      <w:r w:rsidR="006E3FA2">
        <w:rPr>
          <w:lang w:val="en-GB"/>
        </w:rPr>
        <w:t>;</w:t>
      </w:r>
      <w:r w:rsidR="006E3FA2" w:rsidRPr="006E3FA2">
        <w:rPr>
          <w:lang w:val="en-GB"/>
        </w:rPr>
        <w:t xml:space="preserve"> </w:t>
      </w:r>
      <w:r w:rsidR="006E3FA2">
        <w:rPr>
          <w:lang w:val="en-GB"/>
        </w:rPr>
        <w:t>DJ = disk jockey</w:t>
      </w:r>
    </w:p>
    <w:p w14:paraId="67C07026" w14:textId="77777777" w:rsidR="00146BF2" w:rsidRPr="000343FB" w:rsidRDefault="00146BF2" w:rsidP="00945B21">
      <w:pPr>
        <w:pStyle w:val="Footnote"/>
        <w:rPr>
          <w:lang w:val="en-GB"/>
        </w:rPr>
      </w:pPr>
      <w:r w:rsidRPr="000343FB">
        <w:rPr>
          <w:lang w:val="en-GB"/>
        </w:rPr>
        <w:t>Source: Company documents.</w:t>
      </w:r>
    </w:p>
    <w:p w14:paraId="4D991497" w14:textId="77777777" w:rsidR="00945B21" w:rsidRPr="000343FB" w:rsidRDefault="00945B21" w:rsidP="00FD454B">
      <w:pPr>
        <w:pStyle w:val="ExhibitText"/>
        <w:rPr>
          <w:lang w:val="en-GB"/>
        </w:rPr>
      </w:pPr>
    </w:p>
    <w:p w14:paraId="1C39C656" w14:textId="342CD926" w:rsidR="007D2BA4" w:rsidRDefault="007D2BA4" w:rsidP="00FD454B">
      <w:pPr>
        <w:pStyle w:val="ExhibitText"/>
        <w:rPr>
          <w:b/>
          <w:caps/>
          <w:lang w:val="en-GB"/>
        </w:rPr>
      </w:pPr>
    </w:p>
    <w:p w14:paraId="04B7CE49" w14:textId="3A348B7E" w:rsidR="00146BF2" w:rsidRPr="000343FB" w:rsidRDefault="00146BF2" w:rsidP="00945B21">
      <w:pPr>
        <w:pStyle w:val="ExhibitHeading"/>
        <w:rPr>
          <w:lang w:val="en-GB"/>
        </w:rPr>
      </w:pPr>
      <w:r w:rsidRPr="000343FB">
        <w:rPr>
          <w:lang w:val="en-GB"/>
        </w:rPr>
        <w:t>EXHIBIT 5: PERCEPTUAL MAP OF T</w:t>
      </w:r>
      <w:r w:rsidR="007D2BA4" w:rsidRPr="005D346C">
        <w:rPr>
          <w:lang w:val="en-GB"/>
        </w:rPr>
        <w:t>iktauli De Corps</w:t>
      </w:r>
      <w:r w:rsidRPr="000343FB">
        <w:rPr>
          <w:lang w:val="en-GB"/>
        </w:rPr>
        <w:t xml:space="preserve"> BRANDS</w:t>
      </w:r>
    </w:p>
    <w:p w14:paraId="1A716970" w14:textId="77777777" w:rsidR="00146BF2" w:rsidRPr="000343FB" w:rsidRDefault="00146BF2" w:rsidP="007D7BA3">
      <w:pPr>
        <w:pStyle w:val="Footnote"/>
        <w:rPr>
          <w:lang w:val="en-GB"/>
        </w:rPr>
      </w:pPr>
    </w:p>
    <w:p w14:paraId="2D762F41" w14:textId="77777777" w:rsidR="00146BF2" w:rsidRPr="000343FB" w:rsidRDefault="00146BF2"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Arial" w:hAnsi="Arial" w:cs="Arial"/>
          <w:noProof/>
          <w:sz w:val="17"/>
          <w:szCs w:val="17"/>
        </w:rPr>
        <mc:AlternateContent>
          <mc:Choice Requires="wps">
            <w:drawing>
              <wp:anchor distT="0" distB="0" distL="114300" distR="114300" simplePos="0" relativeHeight="251687936" behindDoc="0" locked="0" layoutInCell="1" allowOverlap="1" wp14:anchorId="35BF02D8" wp14:editId="09A4A241">
                <wp:simplePos x="0" y="0"/>
                <wp:positionH relativeFrom="column">
                  <wp:posOffset>2860243</wp:posOffset>
                </wp:positionH>
                <wp:positionV relativeFrom="paragraph">
                  <wp:posOffset>38608</wp:posOffset>
                </wp:positionV>
                <wp:extent cx="0" cy="2114093"/>
                <wp:effectExtent l="0" t="0" r="19050" b="19685"/>
                <wp:wrapNone/>
                <wp:docPr id="313" name="Straight Connector 313"/>
                <wp:cNvGraphicFramePr/>
                <a:graphic xmlns:a="http://schemas.openxmlformats.org/drawingml/2006/main">
                  <a:graphicData uri="http://schemas.microsoft.com/office/word/2010/wordprocessingShape">
                    <wps:wsp>
                      <wps:cNvCnPr/>
                      <wps:spPr>
                        <a:xfrm flipH="1">
                          <a:off x="0" y="0"/>
                          <a:ext cx="0" cy="211409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805D94" id="Straight Connector 31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pt,3.05pt" to="225.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AjxQEAAMwDAAAOAAAAZHJzL2Uyb0RvYy54bWysU01v2zAMvQ/YfxB0b2ynw7AZcXpIsfYw&#10;bMG6/QBVlmJhkihQWuz8+1Fy4g77AIaiF0Ei+R75nunNzeQsOyqMBnzHm1XNmfISeuMPHf/29cPV&#10;O85iEr4XFrzq+ElFfrN9/WozhlatYQDbK2RE4mM7ho4PKYW2qqIclBNxBUF5SmpAJxI98VD1KEZi&#10;d7Za1/XbagTsA4JUMVL0dk7ybeHXWsn0WeuoErMdp9lSObGcj/msthvRHlCEwcjzGOIZUzhhPDVd&#10;qG5FEuwHmj+onJEIEXRaSXAVaG2kKhpITVP/puZhEEEVLWRODItN8eVo5afjHpnpO37dXHPmhaOP&#10;9JBQmMOQ2A68JwsBWc6SV2OILUF2fo/nVwx7zMInjY5pa8I9rUGxgsSxqTh9WpxWU2JyDkqKrpvm&#10;Tf2+MFczRaYKGNOdAsfypePW+GyCaMXxY0zUlkovJTlsfY7lyeZZyi2drJqTX5QmfdRznqpsltpZ&#10;ZEdBO9F/b7IuorSeKjNEG2sXUF06/xN0rs0wVbbtf4FLdekIPi1AZzzg37qm6TKqnusvqmetWfYj&#10;9KfyZYodtDJF2Xm9807++i7wp59w+xMAAP//AwBQSwMEFAAGAAgAAAAhAOxsmgPdAAAACQEAAA8A&#10;AABkcnMvZG93bnJldi54bWxMj8tOwzAURPdI/IN1kdhU1O4rlJCbClViA4tC2w9w4ksS4UeI3dT9&#10;e4xYwHI0o5kzxSYazUYafOcswmwqgJGtnepsg3A8PN+tgfkgrZLaWUK4kIdNeX1VyFy5s32ncR8a&#10;lkqszyVCG0Kfc+7rloz0U9eTTd6HG4wMSQ4NV4M8p3Kj+VyIjBvZ2bTQyp62LdWf+5NBeNm9TS7z&#10;mE2+7lfVNo5rHV+9Rry9iU+PwALF8BeGH/yEDmViqtzJKs80wnIllimKkM2AJf9XVwiLxYMAXhb8&#10;/4PyGwAA//8DAFBLAQItABQABgAIAAAAIQC2gziS/gAAAOEBAAATAAAAAAAAAAAAAAAAAAAAAABb&#10;Q29udGVudF9UeXBlc10ueG1sUEsBAi0AFAAGAAgAAAAhADj9If/WAAAAlAEAAAsAAAAAAAAAAAAA&#10;AAAALwEAAF9yZWxzLy5yZWxzUEsBAi0AFAAGAAgAAAAhAMclACPFAQAAzAMAAA4AAAAAAAAAAAAA&#10;AAAALgIAAGRycy9lMm9Eb2MueG1sUEsBAi0AFAAGAAgAAAAhAOxsmgPdAAAACQEAAA8AAAAAAAAA&#10;AAAAAAAAHwQAAGRycy9kb3ducmV2LnhtbFBLBQYAAAAABAAEAPMAAAApBQAAAAA=&#10;" strokecolor="black [3040]"/>
            </w:pict>
          </mc:Fallback>
        </mc:AlternateContent>
      </w:r>
      <w:r w:rsidRPr="000343FB">
        <w:rPr>
          <w:rFonts w:ascii="Arial" w:hAnsi="Arial" w:cs="Arial"/>
          <w:noProof/>
          <w:sz w:val="17"/>
          <w:szCs w:val="17"/>
        </w:rPr>
        <mc:AlternateContent>
          <mc:Choice Requires="wps">
            <w:drawing>
              <wp:anchor distT="0" distB="0" distL="114300" distR="114300" simplePos="0" relativeHeight="251689984" behindDoc="0" locked="0" layoutInCell="1" allowOverlap="1" wp14:anchorId="6531BEEA" wp14:editId="40760095">
                <wp:simplePos x="0" y="0"/>
                <wp:positionH relativeFrom="column">
                  <wp:posOffset>2308762</wp:posOffset>
                </wp:positionH>
                <wp:positionV relativeFrom="paragraph">
                  <wp:posOffset>41910</wp:posOffset>
                </wp:positionV>
                <wp:extent cx="1153551" cy="1403985"/>
                <wp:effectExtent l="0" t="0" r="27940" b="2413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551" cy="1403985"/>
                        </a:xfrm>
                        <a:prstGeom prst="rect">
                          <a:avLst/>
                        </a:prstGeom>
                        <a:solidFill>
                          <a:srgbClr val="FFFFFF"/>
                        </a:solidFill>
                        <a:ln w="9525">
                          <a:solidFill>
                            <a:srgbClr val="000000"/>
                          </a:solidFill>
                          <a:miter lim="800000"/>
                          <a:headEnd/>
                          <a:tailEnd/>
                        </a:ln>
                      </wps:spPr>
                      <wps:txbx>
                        <w:txbxContent>
                          <w:p w14:paraId="1C18E93E" w14:textId="77777777" w:rsidR="00444FF0" w:rsidRPr="00EB7DEF" w:rsidRDefault="00444FF0" w:rsidP="00146BF2">
                            <w:pPr>
                              <w:rPr>
                                <w:rFonts w:ascii="Arial" w:hAnsi="Arial" w:cs="Arial"/>
                              </w:rPr>
                            </w:pPr>
                            <w:r w:rsidRPr="00EB7DEF">
                              <w:rPr>
                                <w:rFonts w:ascii="Arial" w:hAnsi="Arial" w:cs="Arial"/>
                              </w:rPr>
                              <w:t>HIGH QUALITY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6531BEEA" id="_x0000_t202" coordsize="21600,21600" o:spt="202" path="m,l,21600r21600,l21600,xe">
                <v:stroke joinstyle="miter"/>
                <v:path gradientshapeok="t" o:connecttype="rect"/>
              </v:shapetype>
              <v:shape id="Text Box 2" o:spid="_x0000_s1026" type="#_x0000_t202" style="position:absolute;margin-left:181.8pt;margin-top:3.3pt;width:90.8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Tt7JAIAAEcEAAAOAAAAZHJzL2Uyb0RvYy54bWysU9uO0zAQfUfiHyy/0yRtA23UdLV0KUJa&#10;LtIuHzBxnMbCsY3tNilfz9jJlnJ7QeTB8mTGZ86cmdncDJ0kJ26d0Kqk2SylhCuma6EOJf38uH+x&#10;osR5UDVIrXhJz9zRm+3zZ5veFHyuWy1rbgmCKFf0pqSt96ZIEsda3oGbacMVOhttO/Bo2kNSW+gR&#10;vZPJPE1fJr22tbGacefw793opNuI3zSc+Y9N47gnsqTIzcfTxrMKZ7LdQHGwYFrBJhrwDyw6EAqT&#10;XqDuwAM5WvEbVCeY1U43fsZ0l+imEYzHGrCaLP2lmocWDI+1oDjOXGRy/w+WfTh9skTUJV1kOSUK&#10;OmzSIx88ea0HMg/69MYVGPZgMNAP+Bv7HGt15l6zL44ovWtBHfittbpvOdTILwsvk6unI44LIFX/&#10;XteYBo5eR6ChsV0QD+UgiI59Ol96E6iwkDLLF3meUcLQly3TxXqVxxxQPD031vm3XHckXEpqsfkR&#10;Hk73zgc6UDyFhGxOS1HvhZTRsIdqJy05AQ7KPn4T+k9hUpG+pOt8no8K/BUijd+fIDrhceKl6Eq6&#10;ugRBEXR7o+o4jx6EHO9IWapJyKDdqKIfqmFqTKXrM0pq9TjZuIl4abX9RkmPU11S9/UIllMi3yls&#10;yzpbLsMaRGOZv5qjYa891bUHFEOoknpKxuvOx9WJgplbbN9eRGFDn0cmE1ec1qj3tFlhHa7tGPVj&#10;/7ffAQAA//8DAFBLAwQUAAYACAAAACEAFc3wYt0AAAAJAQAADwAAAGRycy9kb3ducmV2LnhtbEyP&#10;wU7DMAyG70i8Q2QkLhNLaWmHStMJJu3EaWXcs8a0FY1Tkmzr3h5zYifL+n99/lytZzuKE/owOFLw&#10;uExAILXODNQp2H9sH55BhKjJ6NERKrhggHV9e1Pp0rgz7fDUxE4whEKpFfQxTqWUoe3R6rB0ExJn&#10;X85bHXn1nTRenxluR5kmSSGtHogv9HrCTY/td3O0CoqfJlu8f5oF7S7bN9/a3Gz2uVL3d/PrC4iI&#10;c/wvw58+q0PNTgd3JBPEqCArsoKrDOPBef6UZyAOCtJ0tQJZV/L6g/oXAAD//wMAUEsBAi0AFAAG&#10;AAgAAAAhALaDOJL+AAAA4QEAABMAAAAAAAAAAAAAAAAAAAAAAFtDb250ZW50X1R5cGVzXS54bWxQ&#10;SwECLQAUAAYACAAAACEAOP0h/9YAAACUAQAACwAAAAAAAAAAAAAAAAAvAQAAX3JlbHMvLnJlbHNQ&#10;SwECLQAUAAYACAAAACEAzeE7eyQCAABHBAAADgAAAAAAAAAAAAAAAAAuAgAAZHJzL2Uyb0RvYy54&#10;bWxQSwECLQAUAAYACAAAACEAFc3wYt0AAAAJAQAADwAAAAAAAAAAAAAAAAB+BAAAZHJzL2Rvd25y&#10;ZXYueG1sUEsFBgAAAAAEAAQA8wAAAIgFAAAAAA==&#10;">
                <v:textbox style="mso-fit-shape-to-text:t">
                  <w:txbxContent>
                    <w:p w14:paraId="1C18E93E" w14:textId="77777777" w:rsidR="00444FF0" w:rsidRPr="00EB7DEF" w:rsidRDefault="00444FF0" w:rsidP="00146BF2">
                      <w:pPr>
                        <w:rPr>
                          <w:rFonts w:ascii="Arial" w:hAnsi="Arial" w:cs="Arial"/>
                        </w:rPr>
                      </w:pPr>
                      <w:r w:rsidRPr="00EB7DEF">
                        <w:rPr>
                          <w:rFonts w:ascii="Arial" w:hAnsi="Arial" w:cs="Arial"/>
                        </w:rPr>
                        <w:t>HIGH QUALITY</w:t>
                      </w:r>
                    </w:p>
                  </w:txbxContent>
                </v:textbox>
              </v:shape>
            </w:pict>
          </mc:Fallback>
        </mc:AlternateContent>
      </w:r>
    </w:p>
    <w:p w14:paraId="29FF98C5" w14:textId="12321772" w:rsidR="00146BF2" w:rsidRPr="000343FB" w:rsidRDefault="00C27334"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Arial" w:hAnsi="Arial" w:cs="Arial"/>
          <w:noProof/>
          <w:sz w:val="17"/>
          <w:szCs w:val="17"/>
        </w:rPr>
        <mc:AlternateContent>
          <mc:Choice Requires="wps">
            <w:drawing>
              <wp:anchor distT="0" distB="0" distL="114300" distR="114300" simplePos="0" relativeHeight="251692032" behindDoc="0" locked="0" layoutInCell="1" allowOverlap="1" wp14:anchorId="57CC2C40" wp14:editId="7A6037FC">
                <wp:simplePos x="0" y="0"/>
                <wp:positionH relativeFrom="column">
                  <wp:posOffset>5124768</wp:posOffset>
                </wp:positionH>
                <wp:positionV relativeFrom="paragraph">
                  <wp:posOffset>195897</wp:posOffset>
                </wp:positionV>
                <wp:extent cx="1153160" cy="1403985"/>
                <wp:effectExtent l="0" t="3810" r="24130" b="2413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3160" cy="1403985"/>
                        </a:xfrm>
                        <a:prstGeom prst="rect">
                          <a:avLst/>
                        </a:prstGeom>
                        <a:solidFill>
                          <a:srgbClr val="FFFFFF"/>
                        </a:solidFill>
                        <a:ln w="9525">
                          <a:solidFill>
                            <a:srgbClr val="000000"/>
                          </a:solidFill>
                          <a:miter lim="800000"/>
                          <a:headEnd/>
                          <a:tailEnd/>
                        </a:ln>
                      </wps:spPr>
                      <wps:txbx>
                        <w:txbxContent>
                          <w:p w14:paraId="13777EC0" w14:textId="77777777" w:rsidR="00444FF0" w:rsidRPr="00EB7DEF" w:rsidRDefault="00444FF0" w:rsidP="00146BF2">
                            <w:pPr>
                              <w:rPr>
                                <w:rFonts w:ascii="Arial" w:hAnsi="Arial" w:cs="Arial"/>
                              </w:rPr>
                            </w:pPr>
                            <w:r>
                              <w:rPr>
                                <w:rFonts w:ascii="Arial" w:hAnsi="Arial" w:cs="Arial"/>
                              </w:rPr>
                              <w:t>LOW PRICE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CC2C40" id="_x0000_t202" coordsize="21600,21600" o:spt="202" path="m,l,21600r21600,l21600,xe">
                <v:stroke joinstyle="miter"/>
                <v:path gradientshapeok="t" o:connecttype="rect"/>
              </v:shapetype>
              <v:shape id="_x0000_s1028" type="#_x0000_t202" style="position:absolute;margin-left:403.55pt;margin-top:15.4pt;width:90.8pt;height:110.55pt;rotation:-90;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6sAMgIAAF0EAAAOAAAAZHJzL2Uyb0RvYy54bWysVNtu2zAMfR+wfxD0vjjOrYkRp+jSZRjQ&#10;XYB2HyDLcixMt0lK7OzrS9FBmm7YyzA/CJJIHZLnkF7f9lqRo/BBWlPSfDSmRBhua2n2Jf3+tHu3&#10;pCREZmqmrBElPYlAbzdv36w7V4iJba2qhScAYkLRuZK2MboiywJvhWZhZJ0wYGys1yzC0e+z2rMO&#10;0LXKJuPxIuusr523XIQAt/eDkW4Qv2kEj1+bJohIVEkht4irx7VKa7ZZs2LvmWslP6fB/iELzaSB&#10;oBeoexYZOXj5B5SW3NtgmzjiVme2aSQXWANUk49/q+axZU5gLUBOcBeawv+D5V+O3zyRdUmn+Q0l&#10;hmkQ6Un0kby3PZkkfjoXCnB7dOAYe7gGnbHW4B4s/xGIsduWmb248952rWA15Jenl9nV0wEnJJCq&#10;+2xrCMMO0SJQ33hNvAVx8gWICh9eAzsEgoFsp4tUKTOeMsjn03wBJg62fDaerpZzDMmKhJakcD7E&#10;j8JqkjYl9dALCMuODyGm7F5cknuwStY7qRQe/L7aKk+ODPpmh98Z/ZWbMqQr6Wo+mQ+E/BUCi8Ju&#10;g6ivILSMMABK6pIuh9KxJRONH0yN+8ikGvbwWJkzr4nKgdTYVz1KeJGrsvUJiEZKgSOYTyCgtf4X&#10;JR30eknDzwPzghL1yYBYq3w2S8OBh9n8ZgIHf22pri3McIAqaaRk2G4jDhTy5u5A1J1EfpP6Qybn&#10;lKGHkfbzvKUhuT6j18tfYfMMAAD//wMAUEsDBBQABgAIAAAAIQA+EkNt4gAAAAsBAAAPAAAAZHJz&#10;L2Rvd25yZXYueG1sTI/LTsMwEEX3SPyDNUhsELVJoI1CJhVCsGCBEKUVdOfGk4eIx1HstuHvcVew&#10;HN2je88Uy8n24kCj7xwj3MwUCOLKmY4bhPXH83UGwgfNRveOCeGHPCzL87NC58Yd+Z0Oq9CIWMI+&#10;1whtCEMupa9astrP3EAcs9qNVod4jo00oz7GctvLRKm5tLrjuNDqgR5bqr5Xe4vw1Gy2vrZfVzUP&#10;b1WShvD5sn1FvLyYHu5BBJrCHwwn/agOZXTauT0bL3qERbZII4pwp+YgToBS2S2IHUKSJgnIspD/&#10;fyh/AQAA//8DAFBLAQItABQABgAIAAAAIQC2gziS/gAAAOEBAAATAAAAAAAAAAAAAAAAAAAAAABb&#10;Q29udGVudF9UeXBlc10ueG1sUEsBAi0AFAAGAAgAAAAhADj9If/WAAAAlAEAAAsAAAAAAAAAAAAA&#10;AAAALwEAAF9yZWxzLy5yZWxzUEsBAi0AFAAGAAgAAAAhAFOHqwAyAgAAXQQAAA4AAAAAAAAAAAAA&#10;AAAALgIAAGRycy9lMm9Eb2MueG1sUEsBAi0AFAAGAAgAAAAhAD4SQ23iAAAACwEAAA8AAAAAAAAA&#10;AAAAAAAAjAQAAGRycy9kb3ducmV2LnhtbFBLBQYAAAAABAAEAPMAAACbBQAAAAA=&#10;">
                <v:textbox style="mso-fit-shape-to-text:t">
                  <w:txbxContent>
                    <w:p w14:paraId="13777EC0" w14:textId="77777777" w:rsidR="00444FF0" w:rsidRPr="00EB7DEF" w:rsidRDefault="00444FF0" w:rsidP="00146BF2">
                      <w:pPr>
                        <w:rPr>
                          <w:rFonts w:ascii="Arial" w:hAnsi="Arial" w:cs="Arial"/>
                        </w:rPr>
                      </w:pPr>
                      <w:r>
                        <w:rPr>
                          <w:rFonts w:ascii="Arial" w:hAnsi="Arial" w:cs="Arial"/>
                        </w:rPr>
                        <w:t>LOW PRICE</w:t>
                      </w:r>
                    </w:p>
                  </w:txbxContent>
                </v:textbox>
              </v:shape>
            </w:pict>
          </mc:Fallback>
        </mc:AlternateContent>
      </w:r>
      <w:r w:rsidRPr="000343FB">
        <w:rPr>
          <w:rFonts w:ascii="Calibri" w:eastAsia="Calibri" w:hAnsi="Calibri"/>
          <w:noProof/>
          <w:sz w:val="22"/>
          <w:szCs w:val="22"/>
        </w:rPr>
        <mc:AlternateContent>
          <mc:Choice Requires="wps">
            <w:drawing>
              <wp:anchor distT="0" distB="0" distL="114300" distR="114300" simplePos="0" relativeHeight="251694080" behindDoc="0" locked="0" layoutInCell="1" allowOverlap="1" wp14:anchorId="0A012B59" wp14:editId="2B8A5A32">
                <wp:simplePos x="0" y="0"/>
                <wp:positionH relativeFrom="column">
                  <wp:posOffset>3140355</wp:posOffset>
                </wp:positionH>
                <wp:positionV relativeFrom="paragraph">
                  <wp:posOffset>85725</wp:posOffset>
                </wp:positionV>
                <wp:extent cx="448945" cy="245745"/>
                <wp:effectExtent l="0" t="0" r="0" b="0"/>
                <wp:wrapNone/>
                <wp:docPr id="319" name="TextBox 11"/>
                <wp:cNvGraphicFramePr/>
                <a:graphic xmlns:a="http://schemas.openxmlformats.org/drawingml/2006/main">
                  <a:graphicData uri="http://schemas.microsoft.com/office/word/2010/wordprocessingShape">
                    <wps:wsp>
                      <wps:cNvSpPr txBox="1"/>
                      <wps:spPr>
                        <a:xfrm>
                          <a:off x="0" y="0"/>
                          <a:ext cx="448945" cy="245745"/>
                        </a:xfrm>
                        <a:prstGeom prst="rect">
                          <a:avLst/>
                        </a:prstGeom>
                        <a:noFill/>
                      </wps:spPr>
                      <wps:txbx>
                        <w:txbxContent>
                          <w:p w14:paraId="01E47692"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TDC</w:t>
                            </w:r>
                          </w:p>
                        </w:txbxContent>
                      </wps:txbx>
                      <wps:bodyPr wrap="none" rtlCol="0">
                        <a:spAutoFit/>
                      </wps:bodyPr>
                    </wps:wsp>
                  </a:graphicData>
                </a:graphic>
              </wp:anchor>
            </w:drawing>
          </mc:Choice>
          <mc:Fallback xmlns:w16se="http://schemas.microsoft.com/office/word/2015/wordml/symex" xmlns:cx="http://schemas.microsoft.com/office/drawing/2014/chartex">
            <w:pict>
              <v:shape w14:anchorId="0A012B59" id="TextBox 11" o:spid="_x0000_s1028" type="#_x0000_t202" style="position:absolute;margin-left:247.25pt;margin-top:6.75pt;width:35.35pt;height:19.3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2TulAEAABQDAAAOAAAAZHJzL2Uyb0RvYy54bWysUstOwzAQvCPxD5bvNE0pUKKmiIfgggAJ&#10;+ADXsRtLsdfymib9e9buAwQ3xMWP3fV4ZnbnV4Pt2FoFNOBqXo7GnCknoTFuVfP3t/uTGWcYhWtE&#10;B07VfKOQXy2Oj+a9r9QEWugaFRiBOKx6X/M2Rl8VBcpWWYEj8MpRUkOwItI1rIomiJ7QbVdMxuPz&#10;oofQ+ABSIVL0bpvki4yvtZLxWWtUkXU1J24xryGvy7QWi7moVkH41sgdDfEHFlYYR58eoO5EFOwj&#10;mF9Q1sgACDqOJNgCtDZSZQ2kphz/UPPaCq+yFjIH/cEm/D9Y+bR+Ccw0NT8tLzlzwlKT3tQQb2Bg&#10;ZZn86T1WVPbqqTAOFKc+7+NIwSR70MGmnQQxypPTm4O7BMYkBafT2eX0jDNJqcn07ILOhF58PfYB&#10;44MCy9Kh5oGalz0V60eM29J9SfrLwb3puhRPDLdM0ikOyyErmuxZLqHZEPme2lxzR3PIWYjdLeSZ&#10;SFDorz8iweVfEsb2xQ6arM88d2OSevv9nqu+hnnxCQAA//8DAFBLAwQUAAYACAAAACEAF+0ab9wA&#10;AAAJAQAADwAAAGRycy9kb3ducmV2LnhtbEyPwU7DMBBE70j8g7VI3KhTk1RtiFOhAmeg8AFuvMQh&#10;8TqK3Tbw9SwnOO2uZjT7ptrOfhAnnGIXSMNykYFAaoLtqNXw/vZ0swYRkyFrhkCo4QsjbOvLi8qU&#10;NpzpFU/71AoOoVgaDS6lsZQyNg69iYswIrH2ESZvEp9TK+1kzhzuB6mybCW96Yg/ODPizmHT749e&#10;wzrzz32/US/R59/Lwu0ewuP4qfX11Xx/ByLhnP7M8IvP6FAz0yEcyUYxaMg3ecFWFm55sqFYFQrE&#10;gRelQNaV/N+g/gEAAP//AwBQSwECLQAUAAYACAAAACEAtoM4kv4AAADhAQAAEwAAAAAAAAAAAAAA&#10;AAAAAAAAW0NvbnRlbnRfVHlwZXNdLnhtbFBLAQItABQABgAIAAAAIQA4/SH/1gAAAJQBAAALAAAA&#10;AAAAAAAAAAAAAC8BAABfcmVscy8ucmVsc1BLAQItABQABgAIAAAAIQD1h2TulAEAABQDAAAOAAAA&#10;AAAAAAAAAAAAAC4CAABkcnMvZTJvRG9jLnhtbFBLAQItABQABgAIAAAAIQAX7Rpv3AAAAAkBAAAP&#10;AAAAAAAAAAAAAAAAAO4DAABkcnMvZG93bnJldi54bWxQSwUGAAAAAAQABADzAAAA9wQAAAAA&#10;" filled="f" stroked="f">
                <v:textbox style="mso-fit-shape-to-text:t">
                  <w:txbxContent>
                    <w:p w14:paraId="01E47692"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TDC</w:t>
                      </w:r>
                    </w:p>
                  </w:txbxContent>
                </v:textbox>
              </v:shape>
            </w:pict>
          </mc:Fallback>
        </mc:AlternateContent>
      </w:r>
    </w:p>
    <w:p w14:paraId="4D949455" w14:textId="719C3F37" w:rsidR="00146BF2" w:rsidRPr="000343FB" w:rsidRDefault="00C27334"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Calibri" w:eastAsia="Calibri" w:hAnsi="Calibri"/>
          <w:noProof/>
          <w:sz w:val="22"/>
          <w:szCs w:val="22"/>
        </w:rPr>
        <mc:AlternateContent>
          <mc:Choice Requires="wps">
            <w:drawing>
              <wp:anchor distT="0" distB="0" distL="114300" distR="114300" simplePos="0" relativeHeight="251695104" behindDoc="0" locked="0" layoutInCell="1" allowOverlap="1" wp14:anchorId="2019426C" wp14:editId="7FC0C7A6">
                <wp:simplePos x="0" y="0"/>
                <wp:positionH relativeFrom="column">
                  <wp:posOffset>3376041</wp:posOffset>
                </wp:positionH>
                <wp:positionV relativeFrom="paragraph">
                  <wp:posOffset>134747</wp:posOffset>
                </wp:positionV>
                <wp:extent cx="925253" cy="246221"/>
                <wp:effectExtent l="0" t="0" r="0" b="0"/>
                <wp:wrapNone/>
                <wp:docPr id="320" name="TextBox 13"/>
                <wp:cNvGraphicFramePr/>
                <a:graphic xmlns:a="http://schemas.openxmlformats.org/drawingml/2006/main">
                  <a:graphicData uri="http://schemas.microsoft.com/office/word/2010/wordprocessingShape">
                    <wps:wsp>
                      <wps:cNvSpPr txBox="1"/>
                      <wps:spPr>
                        <a:xfrm>
                          <a:off x="0" y="0"/>
                          <a:ext cx="925253" cy="246221"/>
                        </a:xfrm>
                        <a:prstGeom prst="rect">
                          <a:avLst/>
                        </a:prstGeom>
                        <a:noFill/>
                      </wps:spPr>
                      <wps:txbx>
                        <w:txbxContent>
                          <w:p w14:paraId="49DC5DFC"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FIELDGEAR</w:t>
                            </w:r>
                          </w:p>
                        </w:txbxContent>
                      </wps:txbx>
                      <wps:bodyPr wrap="none" rtlCol="0">
                        <a:spAutoFit/>
                      </wps:bodyPr>
                    </wps:wsp>
                  </a:graphicData>
                </a:graphic>
              </wp:anchor>
            </w:drawing>
          </mc:Choice>
          <mc:Fallback xmlns:w16se="http://schemas.microsoft.com/office/word/2015/wordml/symex" xmlns:cx="http://schemas.microsoft.com/office/drawing/2014/chartex">
            <w:pict>
              <v:shape w14:anchorId="2019426C" id="TextBox 13" o:spid="_x0000_s1029" type="#_x0000_t202" style="position:absolute;margin-left:265.85pt;margin-top:10.6pt;width:72.85pt;height:19.4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2tkwEAABQDAAAOAAAAZHJzL2Uyb0RvYy54bWysUk1PwzAMvSPxH6LcWbcOEFTrEDDBBQES&#10;8AOyNFkjNXEUh7X79zjZF4Ib4pI2tvP83rNnN4Pt2FoFNOBqPhmNOVNOQmPcquYf7w9nV5xhFK4R&#10;HThV841CfjM/PZn1vlIltNA1KjACcVj1vuZtjL4qCpStsgJH4JWjpIZgRaRrWBVNED2h264ox+PL&#10;oofQ+ABSIVJ0sU3yecbXWsn4ojWqyLqaE7eYz5DPZTqL+UxUqyB8a+SOhvgDCyuMo6YHqIWIgn0G&#10;8wvKGhkAQceRBFuA1kaqrIHUTMY/1Ly1wqushcxBf7AJ/w9WPq9fAzNNzacl+eOEpSG9qyHewcAm&#10;0+RP77GisjdPhXGgOM15H0cKJtmDDjZ9SRCjPCFtDu4SGJMUvC4vyospZ5JS5fllWWaU4vjYB4yP&#10;CixLPzUPNLzsqVg/YSQiVLovSb0cPJiuS/HEcMsk/cVhOWwV7VkuodkQ+Z7GXHNHe8hZiN095J1I&#10;UOhvPyPB5S4JY/tiB03W5+a7NUmz/X7PVcdlnn8BAAD//wMAUEsDBBQABgAIAAAAIQAbUGoz3QAA&#10;AAkBAAAPAAAAZHJzL2Rvd25yZXYueG1sTI/BTsMwDIbvSLxDZCRuLGnZ1q00ndCAM2PwAFnrNaWN&#10;UzXZVnh6zAlutvzp9/cXm8n14oxjaD1pSGYKBFLl65YaDR/vL3crECEaqk3vCTV8YYBNeX1VmLz2&#10;F3rD8z42gkMo5EaDjXHIpQyVRWfCzA9IfDv60ZnI69jIejQXDne9TJVaSmda4g/WDLi1WHX7k9Ow&#10;Uu6169bpLrj5d7Kw2yf/PHxqfXszPT6AiDjFPxh+9VkdSnY6+BPVQfQaFvdJxqiGNElBMLDMsjmI&#10;Aw9KgSwL+b9B+QMAAP//AwBQSwECLQAUAAYACAAAACEAtoM4kv4AAADhAQAAEwAAAAAAAAAAAAAA&#10;AAAAAAAAW0NvbnRlbnRfVHlwZXNdLnhtbFBLAQItABQABgAIAAAAIQA4/SH/1gAAAJQBAAALAAAA&#10;AAAAAAAAAAAAAC8BAABfcmVscy8ucmVsc1BLAQItABQABgAIAAAAIQCoD02tkwEAABQDAAAOAAAA&#10;AAAAAAAAAAAAAC4CAABkcnMvZTJvRG9jLnhtbFBLAQItABQABgAIAAAAIQAbUGoz3QAAAAkBAAAP&#10;AAAAAAAAAAAAAAAAAO0DAABkcnMvZG93bnJldi54bWxQSwUGAAAAAAQABADzAAAA9wQAAAAA&#10;" filled="f" stroked="f">
                <v:textbox style="mso-fit-shape-to-text:t">
                  <w:txbxContent>
                    <w:p w14:paraId="49DC5DFC"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FIELDGEAR</w:t>
                      </w:r>
                    </w:p>
                  </w:txbxContent>
                </v:textbox>
              </v:shape>
            </w:pict>
          </mc:Fallback>
        </mc:AlternateContent>
      </w:r>
    </w:p>
    <w:p w14:paraId="580B67C1" w14:textId="442097A7" w:rsidR="00146BF2" w:rsidRPr="000343FB" w:rsidRDefault="00C27334"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Calibri" w:eastAsia="Calibri" w:hAnsi="Calibri"/>
          <w:noProof/>
          <w:sz w:val="22"/>
          <w:szCs w:val="22"/>
        </w:rPr>
        <mc:AlternateContent>
          <mc:Choice Requires="wps">
            <w:drawing>
              <wp:anchor distT="0" distB="0" distL="114300" distR="114300" simplePos="0" relativeHeight="251696128" behindDoc="0" locked="0" layoutInCell="1" allowOverlap="1" wp14:anchorId="494BC00F" wp14:editId="51AFAB6A">
                <wp:simplePos x="0" y="0"/>
                <wp:positionH relativeFrom="column">
                  <wp:posOffset>3735527</wp:posOffset>
                </wp:positionH>
                <wp:positionV relativeFrom="paragraph">
                  <wp:posOffset>102895</wp:posOffset>
                </wp:positionV>
                <wp:extent cx="746760" cy="245745"/>
                <wp:effectExtent l="0" t="0" r="0" b="0"/>
                <wp:wrapNone/>
                <wp:docPr id="321" name="TextBox 12"/>
                <wp:cNvGraphicFramePr/>
                <a:graphic xmlns:a="http://schemas.openxmlformats.org/drawingml/2006/main">
                  <a:graphicData uri="http://schemas.microsoft.com/office/word/2010/wordprocessingShape">
                    <wps:wsp>
                      <wps:cNvSpPr txBox="1"/>
                      <wps:spPr>
                        <a:xfrm>
                          <a:off x="0" y="0"/>
                          <a:ext cx="746760" cy="245745"/>
                        </a:xfrm>
                        <a:prstGeom prst="rect">
                          <a:avLst/>
                        </a:prstGeom>
                        <a:noFill/>
                      </wps:spPr>
                      <wps:txbx>
                        <w:txbxContent>
                          <w:p w14:paraId="23CF076D"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KOOLHO</w:t>
                            </w:r>
                          </w:p>
                        </w:txbxContent>
                      </wps:txbx>
                      <wps:bodyPr wrap="none" rtlCol="0">
                        <a:spAutoFit/>
                      </wps:bodyPr>
                    </wps:wsp>
                  </a:graphicData>
                </a:graphic>
              </wp:anchor>
            </w:drawing>
          </mc:Choice>
          <mc:Fallback xmlns:w16se="http://schemas.microsoft.com/office/word/2015/wordml/symex" xmlns:cx="http://schemas.microsoft.com/office/drawing/2014/chartex">
            <w:pict>
              <v:shape w14:anchorId="494BC00F" id="TextBox 12" o:spid="_x0000_s1030" type="#_x0000_t202" style="position:absolute;margin-left:294.15pt;margin-top:8.1pt;width:58.8pt;height:19.3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RGlAEAABQDAAAOAAAAZHJzL2Uyb0RvYy54bWysUstOwzAQvCPxD5bvNG0oLYqaIh6CCwIk&#10;4ANcx24sxV7La5r071m7DxDcEBc/dtfjmdldXA22YxsV0ICr+WQ05kw5CY1x65q/v92fXXKGUbhG&#10;dOBUzbcK+dXy9GTR+0qV0ELXqMAIxGHV+5q3MfqqKFC2ygocgVeOkhqCFZGuYV00QfSEbruiHI9n&#10;RQ+h8QGkQqTo3S7JlxlfayXjs9aoIutqTtxiXkNeV2ktlgtRrYPwrZF7GuIPLKwwjj49Qt2JKNhH&#10;ML+grJEBEHQcSbAFaG2kyhpIzWT8Q81rK7zKWsgc9Eeb8P9g5dPmJTDT1Py8nHDmhKUmvakh3sDA&#10;JmXyp/dYUdmrp8I4UJz6fIgjBZPsQQebdhLEKE9Ob4/uEhiTFJxPZ/MZZSSlyunFfHqRUIqvxz5g&#10;fFBgWTrUPFDzsqdi84hxV3ooSX85uDddl+KJ4Y5JOsVhNWRF0wPLFTRbIt9Tm2vuaA45C7G7hTwT&#10;CQr99UckuPxLwti92EOT9ZnnfkxSb7/fc9XXMC8/AQAA//8DAFBLAwQUAAYACAAAACEACZ8GftwA&#10;AAAJAQAADwAAAGRycy9kb3ducmV2LnhtbEyPQU7DMBBF90jcwRokdtRpaEoS4lSowJpSOIAbD3FI&#10;PI5itw2cnmEFy9H7+v9NtZndIE44hc6TguUiAYHUeNNRq+D97fkmBxGiJqMHT6jgCwNs6suLSpfG&#10;n+kVT/vYCi6hUGoFNsaxlDI0Fp0OCz8iMfvwk9ORz6mVZtJnLneDTJNkLZ3uiBesHnFrsen3R6cg&#10;T9xL3xfpLrjV9zKz20f/NH4qdX01P9yDiDjHvzD86rM61Ox08EcyQQwKsjy/5SiDdQqCA3dJVoA4&#10;MFkVIOtK/v+g/gEAAP//AwBQSwECLQAUAAYACAAAACEAtoM4kv4AAADhAQAAEwAAAAAAAAAAAAAA&#10;AAAAAAAAW0NvbnRlbnRfVHlwZXNdLnhtbFBLAQItABQABgAIAAAAIQA4/SH/1gAAAJQBAAALAAAA&#10;AAAAAAAAAAAAAC8BAABfcmVscy8ucmVsc1BLAQItABQABgAIAAAAIQCwiNRGlAEAABQDAAAOAAAA&#10;AAAAAAAAAAAAAC4CAABkcnMvZTJvRG9jLnhtbFBLAQItABQABgAIAAAAIQAJnwZ+3AAAAAkBAAAP&#10;AAAAAAAAAAAAAAAAAO4DAABkcnMvZG93bnJldi54bWxQSwUGAAAAAAQABADzAAAA9wQAAAAA&#10;" filled="f" stroked="f">
                <v:textbox style="mso-fit-shape-to-text:t">
                  <w:txbxContent>
                    <w:p w14:paraId="23CF076D" w14:textId="77777777" w:rsidR="00444FF0" w:rsidRDefault="00444FF0" w:rsidP="00146BF2">
                      <w:pPr>
                        <w:pStyle w:val="NormalWeb"/>
                        <w:spacing w:before="0" w:beforeAutospacing="0" w:after="0" w:afterAutospacing="0"/>
                      </w:pPr>
                      <w:r w:rsidRPr="00146BF2">
                        <w:rPr>
                          <w:rFonts w:ascii="Arial" w:hAnsi="Arial" w:cs="Arial"/>
                          <w:b/>
                          <w:bCs/>
                          <w:color w:val="000000"/>
                          <w:kern w:val="24"/>
                          <w:sz w:val="20"/>
                          <w:szCs w:val="20"/>
                        </w:rPr>
                        <w:t>KOOLHO</w:t>
                      </w:r>
                    </w:p>
                  </w:txbxContent>
                </v:textbox>
              </v:shape>
            </w:pict>
          </mc:Fallback>
        </mc:AlternateContent>
      </w:r>
      <w:r w:rsidRPr="000343FB">
        <w:rPr>
          <w:rFonts w:ascii="Arial" w:hAnsi="Arial" w:cs="Arial"/>
          <w:noProof/>
          <w:sz w:val="17"/>
          <w:szCs w:val="17"/>
        </w:rPr>
        <mc:AlternateContent>
          <mc:Choice Requires="wps">
            <w:drawing>
              <wp:anchor distT="0" distB="0" distL="114300" distR="114300" simplePos="0" relativeHeight="251693056" behindDoc="0" locked="0" layoutInCell="1" allowOverlap="1" wp14:anchorId="66168278" wp14:editId="12103DAD">
                <wp:simplePos x="0" y="0"/>
                <wp:positionH relativeFrom="column">
                  <wp:posOffset>-36486</wp:posOffset>
                </wp:positionH>
                <wp:positionV relativeFrom="paragraph">
                  <wp:posOffset>65582</wp:posOffset>
                </wp:positionV>
                <wp:extent cx="1153160" cy="591185"/>
                <wp:effectExtent l="0" t="4763" r="23178" b="23177"/>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3160" cy="591185"/>
                        </a:xfrm>
                        <a:prstGeom prst="rect">
                          <a:avLst/>
                        </a:prstGeom>
                        <a:solidFill>
                          <a:srgbClr val="FFFFFF"/>
                        </a:solidFill>
                        <a:ln w="9525">
                          <a:solidFill>
                            <a:srgbClr val="000000"/>
                          </a:solidFill>
                          <a:miter lim="800000"/>
                          <a:headEnd/>
                          <a:tailEnd/>
                        </a:ln>
                      </wps:spPr>
                      <wps:txbx>
                        <w:txbxContent>
                          <w:p w14:paraId="74DFB518" w14:textId="77777777" w:rsidR="00444FF0" w:rsidRPr="00EB7DEF" w:rsidRDefault="00444FF0" w:rsidP="00146BF2">
                            <w:pPr>
                              <w:rPr>
                                <w:rFonts w:ascii="Arial" w:hAnsi="Arial" w:cs="Arial"/>
                              </w:rPr>
                            </w:pPr>
                            <w:r>
                              <w:rPr>
                                <w:rFonts w:ascii="Arial" w:hAnsi="Arial" w:cs="Arial"/>
                              </w:rPr>
                              <w:t>HIGH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6168278" id="_x0000_s1031" type="#_x0000_t202" style="position:absolute;margin-left:-2.85pt;margin-top:5.15pt;width:90.8pt;height:46.5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1MgIAAFwEAAAOAAAAZHJzL2Uyb0RvYy54bWysVNuO2yAQfa/Uf0C8N46zcZpYcVbbbFNV&#10;2l6k3X4AxjhGBYYCib39+g44SrKt+lLVDwiY4czMOTNe3w5akaNwXoKpaD6ZUiIMh0aafUW/Pe3e&#10;LCnxgZmGKTCios/C09vN61fr3pZiBh2oRjiCIMaXva1oF4Its8zzTmjmJ2CFQWMLTrOAR7fPGsd6&#10;RNcqm02ni6wH11gHXHiPt/ejkW4SftsKHr60rReBqIpibiGtLq11XLPNmpV7x2wn+SkN9g9ZaCYN&#10;Bj1D3bPAyMHJP6C05A48tGHCQWfQtpKLVANWk09/q+axY1akWpAcb880+f8Hyz8fvzoim4re5CiV&#10;YRpFehJDIO9gILPIT299iW6PFh3DgNeoc6rV2wfg3z0xsO2Y2Ys756DvBGswvzy+zK6ejjg+gtT9&#10;J2gwDDsESEBD6zRxgOLkCxQVv3SN7BAMhrI9n6WKmfGYQV7c5As0cbQVqzxfFikiKyNYVMI6Hz4I&#10;0CRuKuqwFRIqOz74EJO7uER3D0o2O6lUOrh9vVWOHBm2zS59J/QXbsqQvqKrYlaMfPwVItWUmg2j&#10;voDQMmD/K6kruhwrTx0ZWXxvmrQPTKpxj4+VOdEamRw5DUM9JAUTA5HyGppn5DkxihTheCIBHbif&#10;lPTY6hX1Pw7MCUrUR4NarfL5PM5GOsyLtzM8uGtLfW1hhiNURQMl43Yb0jxF3gzcoaatTPxeMjml&#10;jC2caD+NW5yR63PyuvwUNr8AAAD//wMAUEsDBBQABgAIAAAAIQB4E01G4QAAAAoBAAAPAAAAZHJz&#10;L2Rvd25yZXYueG1sTI9NT8MwDIbvSPyHyEjctnQU1lGaTgiJjx0mxOAAN68xbbXGiZJsK/+e7AQ3&#10;W370+nmr5WgGcSAfessKZtMMBHFjdc+tgo/3x8kCRIjIGgfLpOCHAizr87MKS22P/EaHTWxFCuFQ&#10;ooIuRldKGZqODIapdcTp9m29wZhW30rt8ZjCzSCvsmwuDfacPnTo6KGjZrfZGwWv/nPd7MaXL3ZF&#10;i/zknFw/r5S6vBjv70BEGuMfDCf9pA51ctraPesgBgX54iaRCiZ5fgviBOSzOYhtGq6LAmRdyf8V&#10;6l8AAAD//wMAUEsBAi0AFAAGAAgAAAAhALaDOJL+AAAA4QEAABMAAAAAAAAAAAAAAAAAAAAAAFtD&#10;b250ZW50X1R5cGVzXS54bWxQSwECLQAUAAYACAAAACEAOP0h/9YAAACUAQAACwAAAAAAAAAAAAAA&#10;AAAvAQAAX3JlbHMvLnJlbHNQSwECLQAUAAYACAAAACEA1WvoNTICAABcBAAADgAAAAAAAAAAAAAA&#10;AAAuAgAAZHJzL2Uyb0RvYy54bWxQSwECLQAUAAYACAAAACEAeBNNRuEAAAAKAQAADwAAAAAAAAAA&#10;AAAAAACMBAAAZHJzL2Rvd25yZXYueG1sUEsFBgAAAAAEAAQA8wAAAJoFAAAAAA==&#10;">
                <v:textbox>
                  <w:txbxContent>
                    <w:p w14:paraId="74DFB518" w14:textId="77777777" w:rsidR="00444FF0" w:rsidRPr="00EB7DEF" w:rsidRDefault="00444FF0" w:rsidP="00146BF2">
                      <w:pPr>
                        <w:rPr>
                          <w:rFonts w:ascii="Arial" w:hAnsi="Arial" w:cs="Arial"/>
                        </w:rPr>
                      </w:pPr>
                      <w:r>
                        <w:rPr>
                          <w:rFonts w:ascii="Arial" w:hAnsi="Arial" w:cs="Arial"/>
                        </w:rPr>
                        <w:t>HIGH PRICE</w:t>
                      </w:r>
                    </w:p>
                  </w:txbxContent>
                </v:textbox>
              </v:shape>
            </w:pict>
          </mc:Fallback>
        </mc:AlternateContent>
      </w:r>
    </w:p>
    <w:p w14:paraId="48984003" w14:textId="26BEF43C" w:rsidR="00146BF2" w:rsidRPr="000343FB" w:rsidRDefault="00C27334"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Arial" w:hAnsi="Arial" w:cs="Arial"/>
          <w:noProof/>
          <w:sz w:val="17"/>
          <w:szCs w:val="17"/>
        </w:rPr>
        <mc:AlternateContent>
          <mc:Choice Requires="wps">
            <w:drawing>
              <wp:anchor distT="0" distB="0" distL="114300" distR="114300" simplePos="0" relativeHeight="251688960" behindDoc="0" locked="0" layoutInCell="1" allowOverlap="1" wp14:anchorId="4CFC6257" wp14:editId="2E6363F0">
                <wp:simplePos x="0" y="0"/>
                <wp:positionH relativeFrom="column">
                  <wp:posOffset>320701</wp:posOffset>
                </wp:positionH>
                <wp:positionV relativeFrom="paragraph">
                  <wp:posOffset>117526</wp:posOffset>
                </wp:positionV>
                <wp:extent cx="4923644" cy="0"/>
                <wp:effectExtent l="0" t="0" r="10795" b="19050"/>
                <wp:wrapNone/>
                <wp:docPr id="314" name="Straight Connector 314"/>
                <wp:cNvGraphicFramePr/>
                <a:graphic xmlns:a="http://schemas.openxmlformats.org/drawingml/2006/main">
                  <a:graphicData uri="http://schemas.microsoft.com/office/word/2010/wordprocessingShape">
                    <wps:wsp>
                      <wps:cNvCnPr/>
                      <wps:spPr>
                        <a:xfrm flipH="1">
                          <a:off x="0" y="0"/>
                          <a:ext cx="4923644"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273850" id="Straight Connector 31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9.25pt" to="412.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DqxgEAAMwDAAAOAAAAZHJzL2Uyb0RvYy54bWysU8Fu2zAMvQ/oPwi6N3bSoNiMOD2kWHcY&#10;tmDdPkCVpViYJAqUFjt/P0pOvGHdgKHoRZBIvke+Z3pzNzrLjgqjAd/y5aLmTHkJnfGHln/7+v76&#10;LWcxCd8JC161/KQiv9tevdkMoVEr6MF2ChmR+NgMoeV9SqGpqih75URcQFCekhrQiURPPFQdioHY&#10;na1WdX1bDYBdQJAqRoreT0m+LfxaK5k+ax1VYrblNFsqJ5bzKZ/VdiOaA4rQG3keQ7xgCieMp6Yz&#10;1b1Igv1A84zKGYkQQaeFBFeB1kaqooHULOs/1Dz2IqiihcyJYbYpvh6t/HTcIzNdy2+Wa868cPSR&#10;HhMKc+gT24H3ZCEgy1nyagixIcjO7/H8imGPWfio0TFtTfhAa1CsIHFsLE6fZqfVmJik4Prd6uZ2&#10;TQ3lJVdNFJkqYEwPChzLl5Zb47MJohHHjzFRWyq9lOSw9TmWJ5tmKbd0smpKflGa9FHPaaqyWWpn&#10;kR0F7UT3fZl1EaX1VJkh2lg7g+rS+Z+gc22GqbJt/wucq0tH8GkGOuMB/9Y1jZdR9VR/UT1pzbKf&#10;oDuVL1PsoJUpys7rnXfy93eB//oJtz8BAAD//wMAUEsDBBQABgAIAAAAIQAnG5g43AAAAAgBAAAP&#10;AAAAZHJzL2Rvd25yZXYueG1sTI/BTsMwEETvSPyDtUhcKuoQKSWEOBWqxAUOQOEDnHhJIux1iN3U&#10;/XsWcYDTamdGs2/rbXJWLDiH0ZOC63UGAqnzZqRewfvbw1UJIkRNRltPqOCEAbbN+VmtK+OP9IrL&#10;PvaCSyhUWsEQ41RJGboBnQ5rPyGx9+FnpyOvcy/NrI9c7qzMs2wjnR6JLwx6wt2A3ef+4BQ8Pr+s&#10;TnnarL5uinaXltKmp2CVurxI93cgIqb4F4YffEaHhplafyAThFVQZAUnWS95sl/mxS2I9leQTS3/&#10;P9B8AwAA//8DAFBLAQItABQABgAIAAAAIQC2gziS/gAAAOEBAAATAAAAAAAAAAAAAAAAAAAAAABb&#10;Q29udGVudF9UeXBlc10ueG1sUEsBAi0AFAAGAAgAAAAhADj9If/WAAAAlAEAAAsAAAAAAAAAAAAA&#10;AAAALwEAAF9yZWxzLy5yZWxzUEsBAi0AFAAGAAgAAAAhAAA60OrGAQAAzAMAAA4AAAAAAAAAAAAA&#10;AAAALgIAAGRycy9lMm9Eb2MueG1sUEsBAi0AFAAGAAgAAAAhACcbmDjcAAAACAEAAA8AAAAAAAAA&#10;AAAAAAAAIAQAAGRycy9kb3ducmV2LnhtbFBLBQYAAAAABAAEAPMAAAApBQAAAAA=&#10;" strokecolor="black [3040]"/>
            </w:pict>
          </mc:Fallback>
        </mc:AlternateContent>
      </w:r>
    </w:p>
    <w:p w14:paraId="13DC9852" w14:textId="04A41B7B" w:rsidR="00146BF2" w:rsidRPr="000343FB" w:rsidRDefault="00146BF2"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p>
    <w:p w14:paraId="10CC447A" w14:textId="5398FCA9" w:rsidR="00146BF2" w:rsidRPr="000343FB" w:rsidRDefault="00146BF2"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p>
    <w:p w14:paraId="076BC920" w14:textId="0E8FB3B4" w:rsidR="00146BF2" w:rsidRPr="000343FB" w:rsidRDefault="00146BF2"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p>
    <w:p w14:paraId="4D0F8B12" w14:textId="2D59D07B" w:rsidR="00146BF2" w:rsidRPr="000343FB" w:rsidRDefault="00C27334"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r w:rsidRPr="000343FB">
        <w:rPr>
          <w:rFonts w:ascii="Arial" w:hAnsi="Arial" w:cs="Arial"/>
          <w:noProof/>
          <w:sz w:val="17"/>
          <w:szCs w:val="17"/>
        </w:rPr>
        <mc:AlternateContent>
          <mc:Choice Requires="wps">
            <w:drawing>
              <wp:anchor distT="0" distB="0" distL="114300" distR="114300" simplePos="0" relativeHeight="251691008" behindDoc="0" locked="0" layoutInCell="1" allowOverlap="1" wp14:anchorId="306C8812" wp14:editId="09E22CB0">
                <wp:simplePos x="0" y="0"/>
                <wp:positionH relativeFrom="column">
                  <wp:posOffset>2308377</wp:posOffset>
                </wp:positionH>
                <wp:positionV relativeFrom="paragraph">
                  <wp:posOffset>124206</wp:posOffset>
                </wp:positionV>
                <wp:extent cx="1153160" cy="1403985"/>
                <wp:effectExtent l="0" t="0" r="27940" b="2413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solidFill>
                          <a:srgbClr val="FFFFFF"/>
                        </a:solidFill>
                        <a:ln w="9525">
                          <a:solidFill>
                            <a:srgbClr val="000000"/>
                          </a:solidFill>
                          <a:miter lim="800000"/>
                          <a:headEnd/>
                          <a:tailEnd/>
                        </a:ln>
                      </wps:spPr>
                      <wps:txbx>
                        <w:txbxContent>
                          <w:p w14:paraId="5D0DB011" w14:textId="77777777" w:rsidR="00444FF0" w:rsidRPr="00EB7DEF" w:rsidRDefault="00444FF0" w:rsidP="00146BF2">
                            <w:pPr>
                              <w:rPr>
                                <w:rFonts w:ascii="Arial" w:hAnsi="Arial" w:cs="Arial"/>
                              </w:rPr>
                            </w:pPr>
                            <w:r>
                              <w:rPr>
                                <w:rFonts w:ascii="Arial" w:hAnsi="Arial" w:cs="Arial"/>
                              </w:rPr>
                              <w:t xml:space="preserve">LOW </w:t>
                            </w:r>
                            <w:r w:rsidRPr="00EB7DEF">
                              <w:rPr>
                                <w:rFonts w:ascii="Arial" w:hAnsi="Arial" w:cs="Arial"/>
                              </w:rPr>
                              <w:t>QUALITY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06C8812" id="_x0000_s1032" type="#_x0000_t202" style="position:absolute;margin-left:181.75pt;margin-top:9.8pt;width:90.8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z+JgIAAE4EAAAOAAAAZHJzL2Uyb0RvYy54bWysVNtu2zAMfR+wfxD0vthOkywx4hRdugwD&#10;ugvQ7gNoWY6F6TZJid19/Sg5TbPbyzA/CKJIHR4dkl5fD0qSI3deGF3RYpJTwjUzjdD7in552L1a&#10;UuID6Aak0byij9zT683LF+velnxqOiMb7giCaF/2tqJdCLbMMs86rsBPjOUana1xCgKabp81DnpE&#10;VzKb5vki641rrDOMe4+nt6OTbhJ+23IWPrWt54HIiiK3kFaX1jqu2WYN5d6B7QQ70YB/YKFAaEx6&#10;hrqFAOTgxG9QSjBnvGnDhBmVmbYVjKc34GuK/JfX3HdgeXoLiuPtWSb//2DZx+NnR0RT0atiQYkG&#10;hUV64EMgb8xAplGf3voSw+4tBoYBj7HO6a3e3hn21RNtth3oPb9xzvQdhwb5FfFmdnF1xPERpO4/&#10;mAbTwCGYBDS0TkXxUA6C6Finx3NtIhUWUxZzZIguhr5ill+tlvOUA8qn69b58I4bReKmog6Ln+Dh&#10;eOdDpAPlU0jM5o0UzU5ImQy3r7fSkSNgo+zSd0L/KUxq0ld0NZ/ORwX+CpGn708QSgTseClURZfn&#10;ICijbm91k/oxgJDjHilLfRIyajeqGIZ6SDVbxARR5No0j6isM2OD40DipjPuOyU9NndF/bcDOE6J&#10;fK+xOqtiNovTkIzZ/PUUDXfpqS89oBlCVTRQMm63IU1Q0s3eYBV3Iun7zOREGZs2yX4asDgVl3aK&#10;ev4NbH4AAAD//wMAUEsDBBQABgAIAAAAIQBIv+E33wAAAAoBAAAPAAAAZHJzL2Rvd25yZXYueG1s&#10;TI/BTsMwEETvSPyDtUhcKuq0qQOEOBVU6olTQ7m78ZJExOsQu2369yynclzN08zbYj25XpxwDJ0n&#10;DYt5AgKp9rajRsP+Y/vwBCJEQ9b0nlDDBQOsy9ubwuTWn2mHpyo2gkso5EZDG+OQSxnqFp0Jcz8g&#10;cfblR2cin2Mj7WjOXO56uUySTDrTES+0ZsBNi/V3dXQasp8qnb1/2hntLtu3sXbKbvZK6/u76fUF&#10;RMQpXmH402d1KNnp4I9kg+g1pFmqGOXgOQPBgFqpBYiDhuUqeQRZFvL/C+UvAAAA//8DAFBLAQIt&#10;ABQABgAIAAAAIQC2gziS/gAAAOEBAAATAAAAAAAAAAAAAAAAAAAAAABbQ29udGVudF9UeXBlc10u&#10;eG1sUEsBAi0AFAAGAAgAAAAhADj9If/WAAAAlAEAAAsAAAAAAAAAAAAAAAAALwEAAF9yZWxzLy5y&#10;ZWxzUEsBAi0AFAAGAAgAAAAhANqwPP4mAgAATgQAAA4AAAAAAAAAAAAAAAAALgIAAGRycy9lMm9E&#10;b2MueG1sUEsBAi0AFAAGAAgAAAAhAEi/4TffAAAACgEAAA8AAAAAAAAAAAAAAAAAgAQAAGRycy9k&#10;b3ducmV2LnhtbFBLBQYAAAAABAAEAPMAAACMBQAAAAA=&#10;">
                <v:textbox style="mso-fit-shape-to-text:t">
                  <w:txbxContent>
                    <w:p w14:paraId="5D0DB011" w14:textId="77777777" w:rsidR="00444FF0" w:rsidRPr="00EB7DEF" w:rsidRDefault="00444FF0" w:rsidP="00146BF2">
                      <w:pPr>
                        <w:rPr>
                          <w:rFonts w:ascii="Arial" w:hAnsi="Arial" w:cs="Arial"/>
                        </w:rPr>
                      </w:pPr>
                      <w:r>
                        <w:rPr>
                          <w:rFonts w:ascii="Arial" w:hAnsi="Arial" w:cs="Arial"/>
                        </w:rPr>
                        <w:t xml:space="preserve">LOW </w:t>
                      </w:r>
                      <w:r w:rsidRPr="00EB7DEF">
                        <w:rPr>
                          <w:rFonts w:ascii="Arial" w:hAnsi="Arial" w:cs="Arial"/>
                        </w:rPr>
                        <w:t>QUALITY</w:t>
                      </w:r>
                    </w:p>
                  </w:txbxContent>
                </v:textbox>
              </v:shape>
            </w:pict>
          </mc:Fallback>
        </mc:AlternateContent>
      </w:r>
    </w:p>
    <w:p w14:paraId="6FAD1B57" w14:textId="6D77C46D" w:rsidR="00146BF2" w:rsidRPr="000343FB" w:rsidRDefault="00146BF2" w:rsidP="00B45236">
      <w:pPr>
        <w:pBdr>
          <w:top w:val="single" w:sz="4" w:space="1" w:color="auto"/>
          <w:left w:val="single" w:sz="4" w:space="4" w:color="auto"/>
          <w:bottom w:val="single" w:sz="4" w:space="1" w:color="auto"/>
          <w:right w:val="single" w:sz="4" w:space="1" w:color="auto"/>
        </w:pBdr>
        <w:spacing w:after="200" w:line="276" w:lineRule="auto"/>
        <w:rPr>
          <w:rFonts w:ascii="Arial" w:hAnsi="Arial" w:cs="Arial"/>
          <w:sz w:val="17"/>
          <w:szCs w:val="17"/>
          <w:lang w:val="en-GB"/>
        </w:rPr>
      </w:pPr>
    </w:p>
    <w:p w14:paraId="359AF31D" w14:textId="146D61B3" w:rsidR="006E3FA2" w:rsidRDefault="006E3FA2" w:rsidP="00945B21">
      <w:pPr>
        <w:pStyle w:val="Footnote"/>
        <w:rPr>
          <w:lang w:val="en-GB"/>
        </w:rPr>
      </w:pPr>
      <w:r>
        <w:rPr>
          <w:lang w:val="en-GB"/>
        </w:rPr>
        <w:t xml:space="preserve">Note: TDC = </w:t>
      </w:r>
      <w:proofErr w:type="spellStart"/>
      <w:r>
        <w:rPr>
          <w:lang w:val="en-GB"/>
        </w:rPr>
        <w:t>Tiktauli</w:t>
      </w:r>
      <w:proofErr w:type="spellEnd"/>
      <w:r>
        <w:rPr>
          <w:lang w:val="en-GB"/>
        </w:rPr>
        <w:t xml:space="preserve"> De Corps</w:t>
      </w:r>
    </w:p>
    <w:p w14:paraId="70941D2B" w14:textId="6C41DBD2" w:rsidR="00146BF2" w:rsidRPr="000343FB" w:rsidRDefault="00945B21" w:rsidP="00945B21">
      <w:pPr>
        <w:pStyle w:val="Footnote"/>
        <w:rPr>
          <w:lang w:val="en-GB"/>
        </w:rPr>
      </w:pPr>
      <w:r w:rsidRPr="000343FB">
        <w:rPr>
          <w:lang w:val="en-GB"/>
        </w:rPr>
        <w:t>Source: Company d</w:t>
      </w:r>
      <w:r w:rsidR="00146BF2" w:rsidRPr="000343FB">
        <w:rPr>
          <w:lang w:val="en-GB"/>
        </w:rPr>
        <w:t>ocuments</w:t>
      </w:r>
      <w:r w:rsidR="006E3FA2">
        <w:rPr>
          <w:lang w:val="en-GB"/>
        </w:rPr>
        <w:t>.</w:t>
      </w:r>
    </w:p>
    <w:p w14:paraId="6D26CC2A" w14:textId="44D923F2" w:rsidR="007D2BA4" w:rsidRDefault="007D2BA4" w:rsidP="007D7BA3">
      <w:pPr>
        <w:pStyle w:val="Footnote"/>
        <w:rPr>
          <w:lang w:val="en-GB"/>
        </w:rPr>
      </w:pPr>
    </w:p>
    <w:p w14:paraId="5944C3BE" w14:textId="3793461F" w:rsidR="00FD454B" w:rsidRDefault="00FD454B">
      <w:pPr>
        <w:spacing w:after="200" w:line="276" w:lineRule="auto"/>
        <w:rPr>
          <w:rFonts w:ascii="Arial" w:hAnsi="Arial" w:cs="Arial"/>
          <w:sz w:val="17"/>
          <w:szCs w:val="17"/>
          <w:lang w:val="en-GB"/>
        </w:rPr>
      </w:pPr>
      <w:r>
        <w:rPr>
          <w:lang w:val="en-GB"/>
        </w:rPr>
        <w:br w:type="page"/>
      </w:r>
    </w:p>
    <w:p w14:paraId="7D2FFA4C" w14:textId="3BF97C6A" w:rsidR="00146BF2" w:rsidRPr="000343FB" w:rsidRDefault="00146BF2" w:rsidP="00D459B1">
      <w:pPr>
        <w:pStyle w:val="ExhibitHeading"/>
        <w:rPr>
          <w:lang w:val="en-GB"/>
        </w:rPr>
      </w:pPr>
      <w:r w:rsidRPr="000343FB">
        <w:rPr>
          <w:lang w:val="en-GB"/>
        </w:rPr>
        <w:lastRenderedPageBreak/>
        <w:t>EXHIBIT 6: TARGET CUSTOMER PROFILE</w:t>
      </w:r>
    </w:p>
    <w:p w14:paraId="34A2233B" w14:textId="77777777" w:rsidR="00D459B1" w:rsidRPr="000343FB" w:rsidRDefault="00D459B1" w:rsidP="00D459B1">
      <w:pPr>
        <w:pStyle w:val="ExhibitText"/>
        <w:rPr>
          <w:lang w:val="en-GB"/>
        </w:rPr>
      </w:pPr>
    </w:p>
    <w:p w14:paraId="4B2E5E62" w14:textId="77777777" w:rsidR="00146BF2" w:rsidRPr="000343FB" w:rsidRDefault="00146BF2" w:rsidP="00146BF2">
      <w:pPr>
        <w:spacing w:after="200" w:line="276" w:lineRule="auto"/>
        <w:jc w:val="center"/>
        <w:rPr>
          <w:rFonts w:ascii="Arial" w:hAnsi="Arial" w:cs="Arial"/>
          <w:b/>
          <w:lang w:val="en-GB"/>
        </w:rPr>
      </w:pPr>
      <w:r w:rsidRPr="000343FB">
        <w:rPr>
          <w:rFonts w:ascii="Arial" w:hAnsi="Arial" w:cs="Arial"/>
          <w:b/>
          <w:noProof/>
        </w:rPr>
        <w:drawing>
          <wp:inline distT="0" distB="0" distL="0" distR="0" wp14:anchorId="584B2B66" wp14:editId="56CCBFA5">
            <wp:extent cx="3664585" cy="3819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vector-urban-male-hoodie-model-vector-illustration-of-a-young-urban-male-model-posing-in-a-gray-hoodie-112448603 New.jpg"/>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3750462" cy="3908882"/>
                    </a:xfrm>
                    <a:prstGeom prst="rect">
                      <a:avLst/>
                    </a:prstGeom>
                  </pic:spPr>
                </pic:pic>
              </a:graphicData>
            </a:graphic>
          </wp:inline>
        </w:drawing>
      </w:r>
    </w:p>
    <w:p w14:paraId="4CE7A82C" w14:textId="003EC7C9" w:rsidR="00FD454B" w:rsidRDefault="00146BF2" w:rsidP="00D459B1">
      <w:pPr>
        <w:pStyle w:val="Footnote"/>
        <w:rPr>
          <w:lang w:val="en-GB"/>
        </w:rPr>
      </w:pPr>
      <w:r w:rsidRPr="000343FB">
        <w:rPr>
          <w:lang w:val="en-GB"/>
        </w:rPr>
        <w:t>Source: Company documents.</w:t>
      </w:r>
    </w:p>
    <w:p w14:paraId="038314E2" w14:textId="77777777" w:rsidR="00FD454B" w:rsidRDefault="00FD454B">
      <w:pPr>
        <w:spacing w:after="200" w:line="276" w:lineRule="auto"/>
        <w:rPr>
          <w:rFonts w:ascii="Arial" w:hAnsi="Arial" w:cs="Arial"/>
          <w:sz w:val="17"/>
          <w:szCs w:val="17"/>
          <w:lang w:val="en-GB"/>
        </w:rPr>
      </w:pPr>
      <w:r>
        <w:rPr>
          <w:lang w:val="en-GB"/>
        </w:rPr>
        <w:br w:type="page"/>
      </w:r>
    </w:p>
    <w:p w14:paraId="15E49A34" w14:textId="77777777" w:rsidR="00465348" w:rsidRPr="000343FB" w:rsidRDefault="00146BF2" w:rsidP="00D459B1">
      <w:pPr>
        <w:pStyle w:val="ExhibitHeading"/>
        <w:jc w:val="left"/>
        <w:rPr>
          <w:lang w:val="en-GB"/>
        </w:rPr>
      </w:pPr>
      <w:r w:rsidRPr="000343FB">
        <w:rPr>
          <w:lang w:val="en-GB"/>
        </w:rPr>
        <w:lastRenderedPageBreak/>
        <w:t>ENDNOTES</w:t>
      </w:r>
    </w:p>
    <w:sectPr w:rsidR="00465348" w:rsidRPr="000343FB" w:rsidSect="00D459B1">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9E29D" w16cid:durableId="1F9041CF"/>
  <w16cid:commentId w16cid:paraId="2A2C3C55" w16cid:durableId="1F9041ED"/>
  <w16cid:commentId w16cid:paraId="1433C8DA" w16cid:durableId="1F9041D0"/>
  <w16cid:commentId w16cid:paraId="664FB650" w16cid:durableId="1F9041FE"/>
  <w16cid:commentId w16cid:paraId="73C50C1E" w16cid:durableId="1F9041D1"/>
  <w16cid:commentId w16cid:paraId="6AF83C6B" w16cid:durableId="1F904236"/>
  <w16cid:commentId w16cid:paraId="53976D4B" w16cid:durableId="1F9041D2"/>
  <w16cid:commentId w16cid:paraId="759ACDB7" w16cid:durableId="1F904243"/>
  <w16cid:commentId w16cid:paraId="31F6973B" w16cid:durableId="1F9041D3"/>
  <w16cid:commentId w16cid:paraId="706A81CC" w16cid:durableId="1F90425A"/>
  <w16cid:commentId w16cid:paraId="44A375BC" w16cid:durableId="1F9041D4"/>
  <w16cid:commentId w16cid:paraId="25991F12" w16cid:durableId="1F90426E"/>
  <w16cid:commentId w16cid:paraId="61E32344" w16cid:durableId="1F9041D5"/>
  <w16cid:commentId w16cid:paraId="442BA156" w16cid:durableId="1F904275"/>
  <w16cid:commentId w16cid:paraId="1B4A1763" w16cid:durableId="1F8B2A48"/>
  <w16cid:commentId w16cid:paraId="269D1358" w16cid:durableId="1F90428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36D44" w14:textId="77777777" w:rsidR="00EC4D30" w:rsidRDefault="00EC4D30" w:rsidP="00D75295">
      <w:r>
        <w:separator/>
      </w:r>
    </w:p>
  </w:endnote>
  <w:endnote w:type="continuationSeparator" w:id="0">
    <w:p w14:paraId="6815880C" w14:textId="77777777" w:rsidR="00EC4D30" w:rsidRDefault="00EC4D30" w:rsidP="00D75295">
      <w:r>
        <w:continuationSeparator/>
      </w:r>
    </w:p>
  </w:endnote>
  <w:endnote w:id="1">
    <w:p w14:paraId="597BEA95" w14:textId="14D447D1" w:rsidR="00444FF0" w:rsidRPr="009377DC" w:rsidRDefault="00444FF0" w:rsidP="00D459B1">
      <w:pPr>
        <w:pStyle w:val="Footnote"/>
      </w:pPr>
      <w:r>
        <w:rPr>
          <w:rStyle w:val="EndnoteReference"/>
        </w:rPr>
        <w:endnoteRef/>
      </w:r>
      <w:r>
        <w:t xml:space="preserve"> “About </w:t>
      </w:r>
      <w:proofErr w:type="gramStart"/>
      <w:r>
        <w:t>Us</w:t>
      </w:r>
      <w:proofErr w:type="gramEnd"/>
      <w:r>
        <w:t xml:space="preserve">,” </w:t>
      </w:r>
      <w:proofErr w:type="spellStart"/>
      <w:r w:rsidRPr="009377DC">
        <w:t>Tiktauli</w:t>
      </w:r>
      <w:proofErr w:type="spellEnd"/>
      <w:r w:rsidRPr="009377DC">
        <w:t xml:space="preserve"> </w:t>
      </w:r>
      <w:r>
        <w:t>De Corps</w:t>
      </w:r>
      <w:r w:rsidRPr="009377DC">
        <w:t>, accessed July</w:t>
      </w:r>
      <w:r>
        <w:t xml:space="preserve"> 24</w:t>
      </w:r>
      <w:r w:rsidRPr="009377DC">
        <w:t>, 2018, www.tiktauli.com/about-us</w:t>
      </w:r>
      <w:r>
        <w:t>.</w:t>
      </w:r>
      <w:r w:rsidRPr="009377DC">
        <w:t xml:space="preserve"> </w:t>
      </w:r>
    </w:p>
  </w:endnote>
  <w:endnote w:id="2">
    <w:p w14:paraId="01E34CF8" w14:textId="03F4C2FA" w:rsidR="00444FF0" w:rsidRPr="00E259C6" w:rsidRDefault="00444FF0" w:rsidP="00D459B1">
      <w:pPr>
        <w:pStyle w:val="Footnote"/>
      </w:pPr>
      <w:r w:rsidRPr="009377DC">
        <w:rPr>
          <w:rStyle w:val="EndnoteReference"/>
        </w:rPr>
        <w:endnoteRef/>
      </w:r>
      <w:r w:rsidRPr="009377DC">
        <w:t xml:space="preserve"> </w:t>
      </w:r>
      <w:r>
        <w:t>“</w:t>
      </w:r>
      <w:proofErr w:type="spellStart"/>
      <w:r w:rsidRPr="00E259C6">
        <w:t>Tiktauli</w:t>
      </w:r>
      <w:proofErr w:type="spellEnd"/>
      <w:r w:rsidRPr="00E259C6">
        <w:t>,</w:t>
      </w:r>
      <w:r>
        <w:t>”</w:t>
      </w:r>
      <w:r w:rsidRPr="00E259C6">
        <w:t xml:space="preserve"> Facebook, accessed July </w:t>
      </w:r>
      <w:r>
        <w:t xml:space="preserve">19, </w:t>
      </w:r>
      <w:r w:rsidRPr="00E259C6">
        <w:t>2018, www.facebook.com/tiktauli</w:t>
      </w:r>
      <w:r>
        <w:t>.</w:t>
      </w:r>
    </w:p>
  </w:endnote>
  <w:endnote w:id="3">
    <w:p w14:paraId="080C7CB8" w14:textId="7B7DC312" w:rsidR="00444FF0" w:rsidRPr="00B45CF1" w:rsidRDefault="00444FF0" w:rsidP="00D459B1">
      <w:pPr>
        <w:pStyle w:val="Footnote"/>
        <w:rPr>
          <w:lang w:val="en-PH"/>
        </w:rPr>
      </w:pPr>
      <w:r>
        <w:rPr>
          <w:rStyle w:val="EndnoteReference"/>
        </w:rPr>
        <w:endnoteRef/>
      </w:r>
      <w:r>
        <w:t xml:space="preserve"> The </w:t>
      </w:r>
      <w:r w:rsidRPr="00B45CF1">
        <w:rPr>
          <w:shd w:val="clear" w:color="auto" w:fill="FFFFFF"/>
          <w:lang w:val="en-PH"/>
        </w:rPr>
        <w:t>Commonwealth of Independent States</w:t>
      </w:r>
      <w:r>
        <w:rPr>
          <w:shd w:val="clear" w:color="auto" w:fill="FFFFFF"/>
          <w:lang w:val="en-PH"/>
        </w:rPr>
        <w:t xml:space="preserve"> was</w:t>
      </w:r>
      <w:r w:rsidRPr="00B45CF1">
        <w:rPr>
          <w:shd w:val="clear" w:color="auto" w:fill="FFFFFF"/>
          <w:lang w:val="en-PH"/>
        </w:rPr>
        <w:t xml:space="preserve"> an alliance of former Soviet republics formed in December 1991, including Armenia, Azerbaijan, Belarus, Georgia, Kazakhstan, Kyrgyzstan, Moldova, Russian Federation, Tajikistan, Turkmenistan, Ukraine, and Uzbekistan</w:t>
      </w:r>
      <w:r>
        <w:rPr>
          <w:shd w:val="clear" w:color="auto" w:fill="FFFFFF"/>
          <w:lang w:val="en-PH"/>
        </w:rPr>
        <w:t>.</w:t>
      </w:r>
    </w:p>
  </w:endnote>
  <w:endnote w:id="4">
    <w:p w14:paraId="62196248" w14:textId="449F80A2" w:rsidR="00444FF0" w:rsidRPr="00B45CF1" w:rsidRDefault="00444FF0" w:rsidP="00D459B1">
      <w:pPr>
        <w:pStyle w:val="Footnote"/>
      </w:pPr>
      <w:r w:rsidRPr="00B45CF1">
        <w:rPr>
          <w:rStyle w:val="EndnoteReference"/>
        </w:rPr>
        <w:endnoteRef/>
      </w:r>
      <w:r w:rsidRPr="00B45CF1">
        <w:t xml:space="preserve"> Translated from </w:t>
      </w:r>
      <w:r>
        <w:t xml:space="preserve">the </w:t>
      </w:r>
      <w:r w:rsidRPr="00B45CF1">
        <w:t>Hindi language as “You are cool</w:t>
      </w:r>
      <w:r>
        <w:t>.</w:t>
      </w:r>
      <w:r w:rsidRPr="00B45CF1">
        <w:t>”</w:t>
      </w:r>
    </w:p>
  </w:endnote>
  <w:endnote w:id="5">
    <w:p w14:paraId="02DC40EA" w14:textId="15084655" w:rsidR="00444FF0" w:rsidRPr="00194559" w:rsidRDefault="00444FF0" w:rsidP="00D459B1">
      <w:pPr>
        <w:pStyle w:val="Footnote"/>
      </w:pPr>
      <w:r w:rsidRPr="00194559">
        <w:rPr>
          <w:rStyle w:val="EndnoteReference"/>
        </w:rPr>
        <w:endnoteRef/>
      </w:r>
      <w:r w:rsidRPr="00194559">
        <w:t xml:space="preserve"> </w:t>
      </w:r>
      <w:r>
        <w:t>The term “s</w:t>
      </w:r>
      <w:r w:rsidRPr="00194559">
        <w:t>wag</w:t>
      </w:r>
      <w:r>
        <w:t>”</w:t>
      </w:r>
      <w:r w:rsidRPr="00194559">
        <w:t xml:space="preserve"> </w:t>
      </w:r>
      <w:r>
        <w:t>had various different meanings, depending on context, but was commonly used in a slang or informal context to mean “b</w:t>
      </w:r>
      <w:r w:rsidRPr="003A02CB">
        <w:t>old self-assurance of style or manner</w:t>
      </w:r>
      <w:r>
        <w:t>,</w:t>
      </w:r>
      <w:r w:rsidRPr="00194559">
        <w:t>”</w:t>
      </w:r>
      <w:r>
        <w:t xml:space="preserve"> loosely derived from the term “swagger”; “swag,” English Oxford Dictionary, accessed November 1, 2018, </w:t>
      </w:r>
      <w:r w:rsidRPr="003A02CB">
        <w:t>https://en.oxforddictionaries.com/definition/swag</w:t>
      </w:r>
      <w:r>
        <w:t>.</w:t>
      </w:r>
    </w:p>
  </w:endnote>
  <w:endnote w:id="6">
    <w:p w14:paraId="56B2F040" w14:textId="75256C28" w:rsidR="00444FF0" w:rsidRPr="0095401A" w:rsidRDefault="00444FF0" w:rsidP="0095401A">
      <w:pPr>
        <w:pStyle w:val="Footnote"/>
        <w:rPr>
          <w:lang w:val="en-CA"/>
        </w:rPr>
      </w:pPr>
      <w:r>
        <w:rPr>
          <w:rStyle w:val="EndnoteReference"/>
        </w:rPr>
        <w:endnoteRef/>
      </w:r>
      <w:r>
        <w:t xml:space="preserve"> ₹ = INR = Indian rupee; all currency amounts are in ₹ unless otherwise specified; </w:t>
      </w:r>
      <w:r w:rsidR="00270B29" w:rsidRPr="00FD454B">
        <w:rPr>
          <w:spacing w:val="-4"/>
          <w:kern w:val="17"/>
          <w:lang w:val="en-GB"/>
        </w:rPr>
        <w:t xml:space="preserve">₹1 = </w:t>
      </w:r>
      <w:r w:rsidR="00270B29">
        <w:rPr>
          <w:spacing w:val="-4"/>
          <w:kern w:val="17"/>
          <w:lang w:val="en-GB"/>
        </w:rPr>
        <w:t>US$0.02</w:t>
      </w:r>
      <w:r>
        <w:t xml:space="preserve"> on July 1, 2018.</w:t>
      </w:r>
    </w:p>
  </w:endnote>
  <w:endnote w:id="7">
    <w:p w14:paraId="29B7BDA4" w14:textId="11B52B4A" w:rsidR="00444FF0" w:rsidRPr="00E259C6" w:rsidRDefault="00444FF0" w:rsidP="00D459B1">
      <w:pPr>
        <w:pStyle w:val="Footnote"/>
      </w:pPr>
      <w:r w:rsidRPr="009C02CF">
        <w:rPr>
          <w:rStyle w:val="EndnoteReference"/>
        </w:rPr>
        <w:endnoteRef/>
      </w:r>
      <w:r w:rsidRPr="009C02CF">
        <w:t xml:space="preserve"> </w:t>
      </w:r>
      <w:proofErr w:type="spellStart"/>
      <w:r w:rsidRPr="00E259C6">
        <w:t>Raghavendra</w:t>
      </w:r>
      <w:proofErr w:type="spellEnd"/>
      <w:r w:rsidRPr="00E259C6">
        <w:t xml:space="preserve"> Kamath, “Retailers </w:t>
      </w:r>
      <w:r>
        <w:t>S</w:t>
      </w:r>
      <w:r w:rsidRPr="00E259C6">
        <w:t xml:space="preserve">ee Future in Shop-in-Shops,” </w:t>
      </w:r>
      <w:r w:rsidRPr="00412C0E">
        <w:rPr>
          <w:i/>
        </w:rPr>
        <w:t>Business Standard</w:t>
      </w:r>
      <w:r w:rsidRPr="00E259C6">
        <w:t xml:space="preserve">, June 23, 2009, accessed June 14, 2018, </w:t>
      </w:r>
      <w:r w:rsidRPr="0082677C">
        <w:t>www.business-standard.com/article/companies/retailers-see-future-in-shop-in-shops-109062300029_1.html</w:t>
      </w:r>
      <w:r w:rsidRPr="00E259C6">
        <w:t xml:space="preserve">  </w:t>
      </w:r>
    </w:p>
  </w:endnote>
  <w:endnote w:id="8">
    <w:p w14:paraId="08F306C3" w14:textId="12B1C5C5" w:rsidR="00444FF0" w:rsidRPr="00E259C6" w:rsidRDefault="00444FF0" w:rsidP="00D459B1">
      <w:pPr>
        <w:pStyle w:val="Footnote"/>
      </w:pPr>
      <w:r>
        <w:rPr>
          <w:rStyle w:val="EndnoteReference"/>
        </w:rPr>
        <w:endnoteRef/>
      </w:r>
      <w:r>
        <w:t xml:space="preserve"> Jeff </w:t>
      </w:r>
      <w:r w:rsidRPr="00E259C6">
        <w:t>Chang</w:t>
      </w:r>
      <w:r>
        <w:t>,</w:t>
      </w:r>
      <w:r w:rsidRPr="00B45CF1">
        <w:t> </w:t>
      </w:r>
      <w:r w:rsidRPr="007D7BA3">
        <w:rPr>
          <w:i/>
        </w:rPr>
        <w:t>Can’t Stop Won’t Stop: A History of the Hip-Hop Generation</w:t>
      </w:r>
      <w:r>
        <w:t>,</w:t>
      </w:r>
      <w:r w:rsidRPr="00E259C6">
        <w:t xml:space="preserve"> </w:t>
      </w:r>
      <w:r>
        <w:t xml:space="preserve">(New York, NY: Picador, </w:t>
      </w:r>
      <w:r w:rsidRPr="00B45CF1">
        <w:t>2005)</w:t>
      </w:r>
      <w:r w:rsidRPr="00E259C6">
        <w:t>.</w:t>
      </w:r>
    </w:p>
  </w:endnote>
  <w:endnote w:id="9">
    <w:p w14:paraId="6E571392" w14:textId="4378A612" w:rsidR="00444FF0" w:rsidRPr="00E259C6" w:rsidRDefault="00444FF0" w:rsidP="00D459B1">
      <w:pPr>
        <w:pStyle w:val="Footnote"/>
      </w:pPr>
      <w:r w:rsidRPr="00590556">
        <w:rPr>
          <w:rStyle w:val="EndnoteReference"/>
        </w:rPr>
        <w:endnoteRef/>
      </w:r>
      <w:r>
        <w:t xml:space="preserve"> Lauren Brown, </w:t>
      </w:r>
      <w:r w:rsidRPr="00590556">
        <w:t>“Hip to the Game</w:t>
      </w:r>
      <w:r>
        <w:t>—</w:t>
      </w:r>
      <w:r w:rsidRPr="00E259C6">
        <w:t>Dance World vs</w:t>
      </w:r>
      <w:r w:rsidR="006D3EB5">
        <w:t>.</w:t>
      </w:r>
      <w:r w:rsidRPr="00E259C6">
        <w:t xml:space="preserve"> Music Industry, the Battle for Hip Hop’s Legacy</w:t>
      </w:r>
      <w:r>
        <w:t>,</w:t>
      </w:r>
      <w:r w:rsidRPr="00E259C6">
        <w:t xml:space="preserve">” </w:t>
      </w:r>
      <w:proofErr w:type="spellStart"/>
      <w:r w:rsidRPr="00412C0E">
        <w:rPr>
          <w:i/>
        </w:rPr>
        <w:t>Movmnt</w:t>
      </w:r>
      <w:proofErr w:type="spellEnd"/>
      <w:r w:rsidRPr="00412C0E">
        <w:rPr>
          <w:i/>
        </w:rPr>
        <w:t xml:space="preserve"> Magazine</w:t>
      </w:r>
      <w:r>
        <w:t>,</w:t>
      </w:r>
      <w:r w:rsidRPr="00E259C6">
        <w:t xml:space="preserve"> February 18, 2009, accessed June 26, 2018, www.movmnt.com/monsters-of-hip-hop-2_003332.html</w:t>
      </w:r>
      <w:r>
        <w:t>.</w:t>
      </w:r>
    </w:p>
  </w:endnote>
  <w:endnote w:id="10">
    <w:p w14:paraId="1D96B2BD" w14:textId="2EC19956" w:rsidR="00444FF0" w:rsidRPr="005E57A4" w:rsidRDefault="00444FF0" w:rsidP="00D459B1">
      <w:pPr>
        <w:pStyle w:val="Footnote"/>
      </w:pPr>
      <w:r w:rsidRPr="005E57A4">
        <w:rPr>
          <w:rStyle w:val="EndnoteReference"/>
        </w:rPr>
        <w:endnoteRef/>
      </w:r>
      <w:r w:rsidRPr="005E57A4">
        <w:t xml:space="preserve"> </w:t>
      </w:r>
      <w:r>
        <w:t>“</w:t>
      </w:r>
      <w:r w:rsidRPr="005E57A4">
        <w:t>EDM History,</w:t>
      </w:r>
      <w:r>
        <w:t>”</w:t>
      </w:r>
      <w:r w:rsidRPr="005E57A4">
        <w:t xml:space="preserve"> </w:t>
      </w:r>
      <w:r>
        <w:t xml:space="preserve">EDM Music Junkies, </w:t>
      </w:r>
      <w:r w:rsidRPr="005E57A4">
        <w:t>accessed July 25, 2018, http://edmmusicjunkies.com/?page_id=31.</w:t>
      </w:r>
    </w:p>
  </w:endnote>
  <w:endnote w:id="11">
    <w:p w14:paraId="3953C950" w14:textId="253E9B2F" w:rsidR="00444FF0" w:rsidRPr="005E57A4" w:rsidRDefault="00444FF0" w:rsidP="00D459B1">
      <w:pPr>
        <w:pStyle w:val="Footnote"/>
      </w:pPr>
      <w:r w:rsidRPr="005E57A4">
        <w:rPr>
          <w:rStyle w:val="EndnoteReference"/>
        </w:rPr>
        <w:endnoteRef/>
      </w:r>
      <w:r w:rsidRPr="005E57A4">
        <w:t xml:space="preserve"> Mark Jonathan</w:t>
      </w:r>
      <w:r>
        <w:t xml:space="preserve"> Butler</w:t>
      </w:r>
      <w:r w:rsidRPr="005E57A4">
        <w:t xml:space="preserve">, </w:t>
      </w:r>
      <w:r w:rsidRPr="00412C0E">
        <w:rPr>
          <w:i/>
        </w:rPr>
        <w:t>Unlocking the Groove: Rhythm, Meter, and Musical Design in Electronic Dance Music</w:t>
      </w:r>
      <w:r w:rsidRPr="005E57A4">
        <w:t xml:space="preserve"> </w:t>
      </w:r>
      <w:r>
        <w:t>(</w:t>
      </w:r>
      <w:r w:rsidRPr="004245E3">
        <w:t>Bloomington, IN</w:t>
      </w:r>
      <w:r>
        <w:t xml:space="preserve">: </w:t>
      </w:r>
      <w:r w:rsidRPr="005E57A4">
        <w:t>Indiana University Press</w:t>
      </w:r>
      <w:r>
        <w:t>, 2006).</w:t>
      </w:r>
      <w:r w:rsidRPr="005E57A4">
        <w:t xml:space="preserve"> </w:t>
      </w:r>
    </w:p>
  </w:endnote>
  <w:endnote w:id="12">
    <w:p w14:paraId="5E5ED4EF" w14:textId="610A0ABE" w:rsidR="00444FF0" w:rsidRPr="00E259C6" w:rsidRDefault="00444FF0" w:rsidP="00E259C6">
      <w:pPr>
        <w:pStyle w:val="Footnote"/>
      </w:pPr>
      <w:r w:rsidRPr="005E57A4">
        <w:rPr>
          <w:rStyle w:val="EndnoteReference"/>
        </w:rPr>
        <w:endnoteRef/>
      </w:r>
      <w:r w:rsidRPr="005E57A4">
        <w:t xml:space="preserve"> </w:t>
      </w:r>
      <w:r>
        <w:t xml:space="preserve">Simon </w:t>
      </w:r>
      <w:r w:rsidRPr="005E57A4">
        <w:t xml:space="preserve">Reynolds, “How </w:t>
      </w:r>
      <w:r>
        <w:t>R</w:t>
      </w:r>
      <w:r w:rsidRPr="005E57A4">
        <w:t xml:space="preserve">ave </w:t>
      </w:r>
      <w:r>
        <w:t>M</w:t>
      </w:r>
      <w:r w:rsidRPr="005E57A4">
        <w:t xml:space="preserve">usic </w:t>
      </w:r>
      <w:r>
        <w:t>C</w:t>
      </w:r>
      <w:r w:rsidRPr="00E259C6">
        <w:t>onquered America</w:t>
      </w:r>
      <w:r>
        <w:t>,</w:t>
      </w:r>
      <w:r w:rsidRPr="00E259C6">
        <w:t xml:space="preserve">” </w:t>
      </w:r>
      <w:r w:rsidRPr="00412C0E">
        <w:rPr>
          <w:i/>
        </w:rPr>
        <w:t>The Guardian</w:t>
      </w:r>
      <w:r w:rsidRPr="00E259C6">
        <w:t>, August 2, 2012</w:t>
      </w:r>
      <w:r>
        <w:t>,</w:t>
      </w:r>
      <w:r w:rsidRPr="00E259C6">
        <w:t xml:space="preserve"> accessed June 9, 2018</w:t>
      </w:r>
      <w:r>
        <w:t>,</w:t>
      </w:r>
    </w:p>
    <w:p w14:paraId="771BAA9D" w14:textId="594B0485" w:rsidR="00444FF0" w:rsidRPr="00E259C6" w:rsidRDefault="00444FF0" w:rsidP="00E259C6">
      <w:pPr>
        <w:pStyle w:val="Footnote"/>
      </w:pPr>
      <w:r w:rsidRPr="0082677C">
        <w:rPr>
          <w:rStyle w:val="Hyperlink"/>
          <w:color w:val="auto"/>
          <w:u w:val="none"/>
        </w:rPr>
        <w:t>www.theguardian.com/music/2012/aug/02/how-rave-music-conquered-america</w:t>
      </w:r>
      <w:r>
        <w:rPr>
          <w:rStyle w:val="Hyperlink"/>
          <w:color w:val="auto"/>
          <w:u w:val="none"/>
        </w:rPr>
        <w:t>.</w:t>
      </w:r>
    </w:p>
  </w:endnote>
  <w:endnote w:id="13">
    <w:p w14:paraId="7B6D4869" w14:textId="6CB4E919" w:rsidR="00444FF0" w:rsidRPr="005E57A4" w:rsidRDefault="00444FF0" w:rsidP="00D459B1">
      <w:pPr>
        <w:pStyle w:val="Footnote"/>
      </w:pPr>
      <w:r w:rsidRPr="005E57A4">
        <w:rPr>
          <w:rStyle w:val="EndnoteReference"/>
        </w:rPr>
        <w:endnoteRef/>
      </w:r>
      <w:r w:rsidRPr="005E57A4">
        <w:t xml:space="preserve"> </w:t>
      </w:r>
      <w:r>
        <w:t xml:space="preserve">Ibid. </w:t>
      </w:r>
    </w:p>
  </w:endnote>
  <w:endnote w:id="14">
    <w:p w14:paraId="2A7FDC42" w14:textId="5A7AF63E" w:rsidR="00444FF0" w:rsidRPr="00E259C6" w:rsidRDefault="00444FF0" w:rsidP="00D459B1">
      <w:pPr>
        <w:pStyle w:val="Footnote"/>
      </w:pPr>
      <w:r w:rsidRPr="005E57A4">
        <w:rPr>
          <w:rStyle w:val="EndnoteReference"/>
        </w:rPr>
        <w:endnoteRef/>
      </w:r>
      <w:r w:rsidRPr="005E57A4">
        <w:t xml:space="preserve"> </w:t>
      </w:r>
      <w:r>
        <w:t>“</w:t>
      </w:r>
      <w:r w:rsidRPr="005E57A4">
        <w:t>RA Roundtable: EDM in America,</w:t>
      </w:r>
      <w:r>
        <w:t>”</w:t>
      </w:r>
      <w:r w:rsidRPr="005E57A4">
        <w:t xml:space="preserve"> </w:t>
      </w:r>
      <w:r>
        <w:t xml:space="preserve">Resident Advisor, </w:t>
      </w:r>
      <w:r w:rsidRPr="005E57A4">
        <w:t xml:space="preserve">accessed June 17, </w:t>
      </w:r>
      <w:r w:rsidRPr="00E259C6">
        <w:t>2018, www.residentadvisor.net/features/1709</w:t>
      </w:r>
      <w:r>
        <w:t>.</w:t>
      </w:r>
    </w:p>
  </w:endnote>
  <w:endnote w:id="15">
    <w:p w14:paraId="06318A0D" w14:textId="69F2A376" w:rsidR="00444FF0" w:rsidRPr="00E259C6" w:rsidRDefault="00444FF0" w:rsidP="00D459B1">
      <w:pPr>
        <w:pStyle w:val="Footnote"/>
      </w:pPr>
      <w:r w:rsidRPr="005E57A4">
        <w:rPr>
          <w:rStyle w:val="EndnoteReference"/>
        </w:rPr>
        <w:endnoteRef/>
      </w:r>
      <w:r w:rsidRPr="005E57A4">
        <w:t xml:space="preserve"> Michelle </w:t>
      </w:r>
      <w:proofErr w:type="spellStart"/>
      <w:r w:rsidRPr="005E57A4">
        <w:t>Grojean</w:t>
      </w:r>
      <w:proofErr w:type="spellEnd"/>
      <w:r w:rsidRPr="005E57A4">
        <w:t xml:space="preserve">, </w:t>
      </w:r>
      <w:r>
        <w:t>“</w:t>
      </w:r>
      <w:r w:rsidRPr="005E57A4">
        <w:t>10 Stylish Electronic Dance Music Clothing Lines,</w:t>
      </w:r>
      <w:r>
        <w:t xml:space="preserve">” </w:t>
      </w:r>
      <w:proofErr w:type="spellStart"/>
      <w:r>
        <w:t>ThatDrop</w:t>
      </w:r>
      <w:proofErr w:type="spellEnd"/>
      <w:r>
        <w:t>,</w:t>
      </w:r>
      <w:r w:rsidRPr="005E57A4">
        <w:t xml:space="preserve"> </w:t>
      </w:r>
      <w:r w:rsidRPr="00E259C6">
        <w:t>Sep</w:t>
      </w:r>
      <w:r>
        <w:t>tember</w:t>
      </w:r>
      <w:r w:rsidRPr="00E259C6">
        <w:t xml:space="preserve"> 23, 2014</w:t>
      </w:r>
      <w:r>
        <w:t xml:space="preserve">, </w:t>
      </w:r>
      <w:r w:rsidRPr="005E57A4">
        <w:t xml:space="preserve">accessed June 17, </w:t>
      </w:r>
      <w:r w:rsidRPr="00E259C6">
        <w:t>2018, http</w:t>
      </w:r>
      <w:r>
        <w:t>s</w:t>
      </w:r>
      <w:r w:rsidRPr="00E259C6">
        <w:t>://thatdrop.com/10-stylish-electronic-dance-music-clothing-lines</w:t>
      </w:r>
      <w:r>
        <w:t>.</w:t>
      </w:r>
    </w:p>
  </w:endnote>
  <w:endnote w:id="16">
    <w:p w14:paraId="3589BF6F" w14:textId="3BEF7592" w:rsidR="00444FF0" w:rsidRPr="00E259C6" w:rsidRDefault="00444FF0" w:rsidP="00D459B1">
      <w:pPr>
        <w:pStyle w:val="Footnote"/>
      </w:pPr>
      <w:r w:rsidRPr="005E57A4">
        <w:rPr>
          <w:rStyle w:val="EndnoteReference"/>
        </w:rPr>
        <w:endnoteRef/>
      </w:r>
      <w:r w:rsidRPr="005E57A4">
        <w:t xml:space="preserve"> </w:t>
      </w:r>
      <w:r>
        <w:t xml:space="preserve">Ibid. </w:t>
      </w:r>
    </w:p>
  </w:endnote>
  <w:endnote w:id="17">
    <w:p w14:paraId="0081CD56" w14:textId="52C21412" w:rsidR="00444FF0" w:rsidRPr="00E259C6" w:rsidRDefault="00444FF0" w:rsidP="00D459B1">
      <w:pPr>
        <w:pStyle w:val="Footnote"/>
      </w:pPr>
      <w:r w:rsidRPr="005E57A4">
        <w:rPr>
          <w:rStyle w:val="EndnoteReference"/>
        </w:rPr>
        <w:endnoteRef/>
      </w:r>
      <w:r w:rsidRPr="005E57A4">
        <w:t xml:space="preserve"> </w:t>
      </w:r>
      <w:r w:rsidRPr="004807E0">
        <w:t>Ravi in DJ's, EDM News</w:t>
      </w:r>
      <w:r>
        <w:t xml:space="preserve">, </w:t>
      </w:r>
      <w:r w:rsidRPr="005E57A4">
        <w:t>“</w:t>
      </w:r>
      <w:proofErr w:type="spellStart"/>
      <w:r w:rsidRPr="005E57A4">
        <w:t>Tiesto’s</w:t>
      </w:r>
      <w:proofErr w:type="spellEnd"/>
      <w:r w:rsidRPr="005E57A4">
        <w:t xml:space="preserve"> Clothing Line, CLVB LIFE </w:t>
      </w:r>
      <w:r>
        <w:t>L</w:t>
      </w:r>
      <w:r w:rsidRPr="005E57A4">
        <w:t>aunched</w:t>
      </w:r>
      <w:r>
        <w:t>,</w:t>
      </w:r>
      <w:r w:rsidRPr="005E57A4">
        <w:t>” Glow Washington D</w:t>
      </w:r>
      <w:r w:rsidRPr="00E259C6">
        <w:t>.C., accessed July 24, 2018, www.clubglow.com/djs/tiestos-clothing-line-clvb-life-launched</w:t>
      </w:r>
      <w:r>
        <w:t>.</w:t>
      </w:r>
    </w:p>
  </w:endnote>
  <w:endnote w:id="18">
    <w:p w14:paraId="0EAEFEB6" w14:textId="61EBB488" w:rsidR="00444FF0" w:rsidRPr="00B45236" w:rsidRDefault="00444FF0" w:rsidP="00D459B1">
      <w:pPr>
        <w:pStyle w:val="Footnote"/>
        <w:rPr>
          <w:spacing w:val="-4"/>
          <w:kern w:val="17"/>
        </w:rPr>
      </w:pPr>
      <w:r w:rsidRPr="00B45236">
        <w:rPr>
          <w:rStyle w:val="EndnoteReference"/>
          <w:spacing w:val="-4"/>
          <w:kern w:val="17"/>
        </w:rPr>
        <w:endnoteRef/>
      </w:r>
      <w:r w:rsidRPr="00B45236">
        <w:rPr>
          <w:spacing w:val="-4"/>
          <w:kern w:val="17"/>
        </w:rPr>
        <w:t xml:space="preserve"> </w:t>
      </w:r>
      <w:proofErr w:type="spellStart"/>
      <w:r w:rsidRPr="00B45236">
        <w:rPr>
          <w:spacing w:val="-4"/>
          <w:kern w:val="17"/>
        </w:rPr>
        <w:t>Tijs</w:t>
      </w:r>
      <w:proofErr w:type="spellEnd"/>
      <w:r w:rsidRPr="00B45236">
        <w:rPr>
          <w:spacing w:val="-4"/>
          <w:kern w:val="17"/>
        </w:rPr>
        <w:t xml:space="preserve"> </w:t>
      </w:r>
      <w:proofErr w:type="spellStart"/>
      <w:r w:rsidRPr="00B45236">
        <w:rPr>
          <w:spacing w:val="-4"/>
          <w:kern w:val="17"/>
        </w:rPr>
        <w:t>Michiel</w:t>
      </w:r>
      <w:proofErr w:type="spellEnd"/>
      <w:r w:rsidRPr="00B45236">
        <w:rPr>
          <w:spacing w:val="-4"/>
          <w:kern w:val="17"/>
        </w:rPr>
        <w:t xml:space="preserve"> </w:t>
      </w:r>
      <w:proofErr w:type="spellStart"/>
      <w:r w:rsidRPr="00B45236">
        <w:rPr>
          <w:spacing w:val="-4"/>
          <w:kern w:val="17"/>
        </w:rPr>
        <w:t>Verwest</w:t>
      </w:r>
      <w:proofErr w:type="spellEnd"/>
      <w:r w:rsidRPr="00B45236">
        <w:rPr>
          <w:spacing w:val="-4"/>
          <w:kern w:val="17"/>
        </w:rPr>
        <w:t xml:space="preserve"> (also known as </w:t>
      </w:r>
      <w:proofErr w:type="spellStart"/>
      <w:r w:rsidRPr="00B45236">
        <w:rPr>
          <w:spacing w:val="-4"/>
          <w:kern w:val="17"/>
        </w:rPr>
        <w:t>Tiesto</w:t>
      </w:r>
      <w:proofErr w:type="spellEnd"/>
      <w:r w:rsidRPr="00B45236">
        <w:rPr>
          <w:spacing w:val="-4"/>
          <w:kern w:val="17"/>
        </w:rPr>
        <w:t>) was a Dutch DJ and record producer, popularly known as the “Godfather of EDM.”</w:t>
      </w:r>
    </w:p>
  </w:endnote>
  <w:endnote w:id="19">
    <w:p w14:paraId="6A6E54DF" w14:textId="48FCCA1E" w:rsidR="00444FF0" w:rsidRPr="005E57A4" w:rsidRDefault="00444FF0" w:rsidP="00D459B1">
      <w:pPr>
        <w:pStyle w:val="Footnote"/>
      </w:pPr>
      <w:r w:rsidRPr="005E57A4">
        <w:rPr>
          <w:rStyle w:val="EndnoteReference"/>
        </w:rPr>
        <w:endnoteRef/>
      </w:r>
      <w:r w:rsidRPr="005E57A4">
        <w:t xml:space="preserve"> Born Daniel </w:t>
      </w:r>
      <w:proofErr w:type="spellStart"/>
      <w:r w:rsidRPr="005E57A4">
        <w:t>Wherrett</w:t>
      </w:r>
      <w:proofErr w:type="spellEnd"/>
      <w:r w:rsidRPr="005E57A4">
        <w:t xml:space="preserve">, DJ Dan </w:t>
      </w:r>
      <w:r>
        <w:t>wa</w:t>
      </w:r>
      <w:r w:rsidRPr="005E57A4">
        <w:t>s an American DJ and music producer who massively influenced the West Coast Funky Beats movement.</w:t>
      </w:r>
    </w:p>
  </w:endnote>
  <w:endnote w:id="20">
    <w:p w14:paraId="25BAE2AA" w14:textId="5AF21E9B" w:rsidR="00444FF0" w:rsidRPr="00B45236" w:rsidRDefault="00444FF0" w:rsidP="00D459B1">
      <w:pPr>
        <w:pStyle w:val="Footnote"/>
        <w:rPr>
          <w:spacing w:val="-6"/>
          <w:kern w:val="17"/>
        </w:rPr>
      </w:pPr>
      <w:r w:rsidRPr="00B45236">
        <w:rPr>
          <w:rStyle w:val="EndnoteReference"/>
          <w:spacing w:val="-6"/>
          <w:kern w:val="17"/>
        </w:rPr>
        <w:endnoteRef/>
      </w:r>
      <w:r w:rsidRPr="00B45236">
        <w:rPr>
          <w:spacing w:val="-6"/>
          <w:kern w:val="17"/>
        </w:rPr>
        <w:t xml:space="preserve"> Deadmau5</w:t>
      </w:r>
      <w:r w:rsidR="00DE7E4D">
        <w:rPr>
          <w:spacing w:val="-6"/>
          <w:kern w:val="17"/>
        </w:rPr>
        <w:t>,</w:t>
      </w:r>
      <w:r w:rsidRPr="00B45236">
        <w:rPr>
          <w:spacing w:val="-6"/>
          <w:kern w:val="17"/>
        </w:rPr>
        <w:t xml:space="preserve"> whose real name was Joel Thomas Zimmerman, was a Canadian electronic music producer, DJ, musician, and composer.</w:t>
      </w:r>
    </w:p>
  </w:endnote>
  <w:endnote w:id="21">
    <w:p w14:paraId="0D966848" w14:textId="10E418B1" w:rsidR="00444FF0" w:rsidRPr="00B45236" w:rsidRDefault="00444FF0" w:rsidP="00D459B1">
      <w:pPr>
        <w:pStyle w:val="Footnote"/>
        <w:rPr>
          <w:spacing w:val="-4"/>
          <w:kern w:val="17"/>
        </w:rPr>
      </w:pPr>
      <w:r w:rsidRPr="00B45236">
        <w:rPr>
          <w:rStyle w:val="EndnoteReference"/>
          <w:spacing w:val="-4"/>
          <w:kern w:val="17"/>
        </w:rPr>
        <w:endnoteRef/>
      </w:r>
      <w:r w:rsidRPr="00B45236">
        <w:rPr>
          <w:spacing w:val="-4"/>
          <w:kern w:val="17"/>
        </w:rPr>
        <w:t xml:space="preserve"> A “raver” was a person who regularly attended raves, which were</w:t>
      </w:r>
      <w:r w:rsidRPr="00B45236">
        <w:rPr>
          <w:color w:val="222222"/>
          <w:spacing w:val="-4"/>
          <w:kern w:val="17"/>
          <w:shd w:val="clear" w:color="auto" w:fill="FFFFFF"/>
        </w:rPr>
        <w:t xml:space="preserve"> large dance parties at nightclubs, dance clubs, or festival venues, featuring performances by DJs, who selected and mixed a seamless flow of loud electronic dance music songs and tracks.</w:t>
      </w:r>
    </w:p>
  </w:endnote>
  <w:endnote w:id="22">
    <w:p w14:paraId="5E2B416F" w14:textId="24E2B98A" w:rsidR="00444FF0" w:rsidRPr="00E259C6" w:rsidRDefault="00444FF0" w:rsidP="00D459B1">
      <w:pPr>
        <w:pStyle w:val="Footnote"/>
      </w:pPr>
      <w:r w:rsidRPr="005E57A4">
        <w:rPr>
          <w:rStyle w:val="EndnoteReference"/>
        </w:rPr>
        <w:endnoteRef/>
      </w:r>
      <w:r>
        <w:t> </w:t>
      </w:r>
      <w:r w:rsidRPr="005E57A4">
        <w:t>Androids, “The 10 Best EDM Clothing Brands</w:t>
      </w:r>
      <w:r w:rsidR="00DE7E4D">
        <w:t>,</w:t>
      </w:r>
      <w:r w:rsidRPr="005E57A4">
        <w:t xml:space="preserve">” </w:t>
      </w:r>
      <w:r>
        <w:t xml:space="preserve">Complex, </w:t>
      </w:r>
      <w:r w:rsidRPr="005E57A4">
        <w:t xml:space="preserve">February 5, </w:t>
      </w:r>
      <w:r w:rsidRPr="00E259C6">
        <w:t>2013, accessed June 17, 2018, www.complex.com/music/2013/02/the-10-best-edm-clothing-brands</w:t>
      </w:r>
      <w:r>
        <w:t>.</w:t>
      </w:r>
    </w:p>
  </w:endnote>
  <w:endnote w:id="23">
    <w:p w14:paraId="36ADA931" w14:textId="4F531604" w:rsidR="00444FF0" w:rsidRDefault="00444FF0" w:rsidP="00D459B1">
      <w:pPr>
        <w:pStyle w:val="Footnote"/>
      </w:pPr>
      <w:r>
        <w:rPr>
          <w:rStyle w:val="EndnoteReference"/>
        </w:rPr>
        <w:endnoteRef/>
      </w:r>
      <w:r>
        <w:t xml:space="preserve"> </w:t>
      </w:r>
      <w:r w:rsidRPr="00A85709">
        <w:t xml:space="preserve">Kevin E G Perry, “EDM </w:t>
      </w:r>
      <w:r w:rsidR="00DE7E4D">
        <w:t>M</w:t>
      </w:r>
      <w:r w:rsidRPr="00A85709">
        <w:t xml:space="preserve">ania </w:t>
      </w:r>
      <w:r w:rsidR="00DE7E4D">
        <w:t>H</w:t>
      </w:r>
      <w:r w:rsidRPr="00A85709">
        <w:t xml:space="preserve">its India,” </w:t>
      </w:r>
      <w:r w:rsidRPr="00412C0E">
        <w:rPr>
          <w:i/>
        </w:rPr>
        <w:t>The Guardian</w:t>
      </w:r>
      <w:r w:rsidRPr="00A85709">
        <w:t>, November 22, 2014, accessed on July 24, 2018, www.theguardian.com/music/2014/nov/22/edm-india-goa-sunburn-festival</w:t>
      </w:r>
      <w:r>
        <w:t>.</w:t>
      </w:r>
    </w:p>
  </w:endnote>
  <w:endnote w:id="24">
    <w:p w14:paraId="3F409C69" w14:textId="52B50B2F" w:rsidR="00444FF0" w:rsidRPr="00072122" w:rsidRDefault="00444FF0" w:rsidP="00D459B1">
      <w:pPr>
        <w:pStyle w:val="Footnote"/>
      </w:pPr>
      <w:r w:rsidRPr="00072122">
        <w:rPr>
          <w:rStyle w:val="EndnoteReference"/>
        </w:rPr>
        <w:endnoteRef/>
      </w:r>
      <w:r w:rsidRPr="00072122">
        <w:t xml:space="preserve"> </w:t>
      </w:r>
      <w:r>
        <w:t>“</w:t>
      </w:r>
      <w:r w:rsidRPr="00072122">
        <w:t>Sunburn</w:t>
      </w:r>
      <w:r>
        <w:t>,”</w:t>
      </w:r>
      <w:r w:rsidRPr="00072122">
        <w:t xml:space="preserve"> Percept</w:t>
      </w:r>
      <w:r>
        <w:t>,</w:t>
      </w:r>
      <w:r w:rsidRPr="00072122">
        <w:t xml:space="preserve"> accessed July 19, </w:t>
      </w:r>
      <w:r w:rsidRPr="00E259C6">
        <w:t>2018, www.perceptindia.in/sunburn.html</w:t>
      </w:r>
      <w:r>
        <w:t>.</w:t>
      </w:r>
    </w:p>
  </w:endnote>
  <w:endnote w:id="25">
    <w:p w14:paraId="5F406C6A" w14:textId="4180860C" w:rsidR="00444FF0" w:rsidRPr="00E259C6" w:rsidRDefault="00444FF0" w:rsidP="00E259C6">
      <w:pPr>
        <w:pStyle w:val="Footnote"/>
      </w:pPr>
      <w:r w:rsidRPr="00590556">
        <w:rPr>
          <w:rStyle w:val="EndnoteReference"/>
        </w:rPr>
        <w:endnoteRef/>
      </w:r>
      <w:r w:rsidRPr="00590556">
        <w:t xml:space="preserve"> Kenneth Lobo, “EDM Nation: How India Stopped Worrying </w:t>
      </w:r>
      <w:r>
        <w:t>a</w:t>
      </w:r>
      <w:r w:rsidRPr="00590556">
        <w:t xml:space="preserve">bout the Riff and Fell in Love </w:t>
      </w:r>
      <w:r w:rsidR="00DE7E4D">
        <w:t>w</w:t>
      </w:r>
      <w:r w:rsidRPr="00590556">
        <w:t>ith the Beat</w:t>
      </w:r>
      <w:r>
        <w:t>,</w:t>
      </w:r>
      <w:r w:rsidRPr="00590556">
        <w:t>”</w:t>
      </w:r>
      <w:r>
        <w:t xml:space="preserve"> </w:t>
      </w:r>
      <w:r w:rsidRPr="00412C0E">
        <w:rPr>
          <w:i/>
        </w:rPr>
        <w:t>Rolling Stone India</w:t>
      </w:r>
      <w:r w:rsidRPr="00590556">
        <w:t>, Decem</w:t>
      </w:r>
      <w:r>
        <w:t xml:space="preserve">ber 20, 2015, accessed May 30, </w:t>
      </w:r>
      <w:r w:rsidRPr="00E259C6">
        <w:t xml:space="preserve">2018, </w:t>
      </w:r>
      <w:r w:rsidRPr="0082677C">
        <w:rPr>
          <w:rStyle w:val="Hyperlink"/>
          <w:color w:val="auto"/>
          <w:u w:val="none"/>
        </w:rPr>
        <w:t>http://rollingstoneindia.com/edm-nation</w:t>
      </w:r>
      <w:r>
        <w:rPr>
          <w:rStyle w:val="Hyperlink"/>
          <w:color w:val="auto"/>
          <w:u w:val="none"/>
        </w:rPr>
        <w:t>.</w:t>
      </w:r>
      <w:r w:rsidRPr="00E259C6">
        <w:t xml:space="preserve"> </w:t>
      </w:r>
    </w:p>
  </w:endnote>
  <w:endnote w:id="26">
    <w:p w14:paraId="458C0E13" w14:textId="226F2CAC" w:rsidR="00444FF0" w:rsidRPr="00E259C6" w:rsidRDefault="00444FF0" w:rsidP="00D459B1">
      <w:pPr>
        <w:pStyle w:val="Footnote"/>
      </w:pPr>
      <w:r w:rsidRPr="007223AF">
        <w:rPr>
          <w:rStyle w:val="EndnoteReference"/>
        </w:rPr>
        <w:endnoteRef/>
      </w:r>
      <w:r w:rsidRPr="007223AF">
        <w:t xml:space="preserve"> </w:t>
      </w:r>
      <w:proofErr w:type="spellStart"/>
      <w:r w:rsidRPr="007223AF">
        <w:t>Preetam</w:t>
      </w:r>
      <w:proofErr w:type="spellEnd"/>
      <w:r w:rsidRPr="007223AF">
        <w:t xml:space="preserve"> Kaushik, “India Promises to </w:t>
      </w:r>
      <w:r>
        <w:t>G</w:t>
      </w:r>
      <w:r w:rsidRPr="007223AF">
        <w:t xml:space="preserve">row </w:t>
      </w:r>
      <w:r>
        <w:t>B</w:t>
      </w:r>
      <w:r w:rsidRPr="007223AF">
        <w:t xml:space="preserve">ig on EDM, </w:t>
      </w:r>
      <w:r>
        <w:t>E</w:t>
      </w:r>
      <w:r w:rsidRPr="007223AF">
        <w:t>ntertainment</w:t>
      </w:r>
      <w:proofErr w:type="gramStart"/>
      <w:r w:rsidRPr="007223AF">
        <w:t>!</w:t>
      </w:r>
      <w:r w:rsidR="00DE7E4D">
        <w:t>,</w:t>
      </w:r>
      <w:proofErr w:type="gramEnd"/>
      <w:r w:rsidRPr="007223AF">
        <w:t xml:space="preserve">” Business </w:t>
      </w:r>
      <w:r w:rsidRPr="00E259C6">
        <w:t>Insider India, June 20, 2015, accessed May 30, 2018, www.businessinsider.in/India-promises-to-grow-big-on-EDM-entertainment/articleshow/47881629.cms</w:t>
      </w:r>
      <w:r>
        <w:t>.</w:t>
      </w:r>
      <w:r w:rsidRPr="00E259C6">
        <w:tab/>
        <w:t xml:space="preserve"> </w:t>
      </w:r>
    </w:p>
  </w:endnote>
  <w:endnote w:id="27">
    <w:p w14:paraId="3A3F340C" w14:textId="4096F784" w:rsidR="00444FF0" w:rsidRPr="00E259C6" w:rsidRDefault="00444FF0" w:rsidP="00E259C6">
      <w:pPr>
        <w:pStyle w:val="Footnote"/>
      </w:pPr>
      <w:r>
        <w:rPr>
          <w:rStyle w:val="EndnoteReference"/>
        </w:rPr>
        <w:endnoteRef/>
      </w:r>
      <w:r>
        <w:t xml:space="preserve"> </w:t>
      </w:r>
      <w:proofErr w:type="spellStart"/>
      <w:r w:rsidRPr="007223AF">
        <w:t>Varsha</w:t>
      </w:r>
      <w:proofErr w:type="spellEnd"/>
      <w:r w:rsidRPr="007223AF">
        <w:t xml:space="preserve"> </w:t>
      </w:r>
      <w:proofErr w:type="spellStart"/>
      <w:r w:rsidRPr="007223AF">
        <w:t>Torgalkar</w:t>
      </w:r>
      <w:proofErr w:type="spellEnd"/>
      <w:r w:rsidRPr="007223AF">
        <w:t>, “Trouble for Sunburn Festival as Right-</w:t>
      </w:r>
      <w:r>
        <w:t>W</w:t>
      </w:r>
      <w:r w:rsidRPr="007223AF">
        <w:t xml:space="preserve">ing Groups in Pune Demand Event </w:t>
      </w:r>
      <w:r>
        <w:t xml:space="preserve">Be Cancelled,” </w:t>
      </w:r>
      <w:r w:rsidRPr="00412C0E">
        <w:rPr>
          <w:i/>
        </w:rPr>
        <w:t>The Wire</w:t>
      </w:r>
      <w:r>
        <w:t xml:space="preserve">, December 16, 2016, accessed May 30, </w:t>
      </w:r>
      <w:r w:rsidRPr="00E259C6">
        <w:t xml:space="preserve">2018, </w:t>
      </w:r>
      <w:r w:rsidRPr="0082677C">
        <w:rPr>
          <w:rStyle w:val="Hyperlink"/>
          <w:color w:val="auto"/>
          <w:u w:val="none"/>
        </w:rPr>
        <w:t>https://thewire.in/87306/sunburn-pune-right-wing-groups</w:t>
      </w:r>
      <w:r>
        <w:rPr>
          <w:rStyle w:val="Hyperlink"/>
          <w:color w:val="auto"/>
          <w:u w:val="none"/>
        </w:rPr>
        <w:t>.</w:t>
      </w:r>
    </w:p>
  </w:endnote>
  <w:endnote w:id="28">
    <w:p w14:paraId="4A59D75E" w14:textId="22221096" w:rsidR="00444FF0" w:rsidRPr="00E259C6" w:rsidRDefault="00444FF0" w:rsidP="00E259C6">
      <w:pPr>
        <w:pStyle w:val="Footnote"/>
      </w:pPr>
      <w:r w:rsidRPr="007223AF">
        <w:rPr>
          <w:rStyle w:val="EndnoteReference"/>
        </w:rPr>
        <w:endnoteRef/>
      </w:r>
      <w:r w:rsidRPr="007223AF">
        <w:t xml:space="preserve"> </w:t>
      </w:r>
      <w:r>
        <w:t xml:space="preserve">Ibid. </w:t>
      </w:r>
    </w:p>
  </w:endnote>
  <w:endnote w:id="29">
    <w:p w14:paraId="100545BC" w14:textId="4D3DD032" w:rsidR="00444FF0" w:rsidRPr="00194559" w:rsidRDefault="00444FF0" w:rsidP="00D459B1">
      <w:pPr>
        <w:pStyle w:val="Footnote"/>
      </w:pPr>
      <w:r w:rsidRPr="00194559">
        <w:rPr>
          <w:rStyle w:val="EndnoteReference"/>
        </w:rPr>
        <w:endnoteRef/>
      </w:r>
      <w:r w:rsidRPr="00194559">
        <w:t xml:space="preserve"> Ravi </w:t>
      </w:r>
      <w:proofErr w:type="spellStart"/>
      <w:r w:rsidRPr="00194559">
        <w:t>Teja</w:t>
      </w:r>
      <w:proofErr w:type="spellEnd"/>
      <w:r w:rsidRPr="00194559">
        <w:t xml:space="preserve"> Sharma, </w:t>
      </w:r>
      <w:r>
        <w:t>“</w:t>
      </w:r>
      <w:r w:rsidRPr="00194559">
        <w:t xml:space="preserve">Brands </w:t>
      </w:r>
      <w:r>
        <w:t>L</w:t>
      </w:r>
      <w:r w:rsidRPr="00194559">
        <w:t xml:space="preserve">ook beyond </w:t>
      </w:r>
      <w:r>
        <w:t>C</w:t>
      </w:r>
      <w:r w:rsidRPr="00194559">
        <w:t xml:space="preserve">ricket, Pro Kabaddi League </w:t>
      </w:r>
      <w:r>
        <w:t>W</w:t>
      </w:r>
      <w:r w:rsidRPr="00194559">
        <w:t xml:space="preserve">ins </w:t>
      </w:r>
      <w:r>
        <w:t>M</w:t>
      </w:r>
      <w:r w:rsidRPr="00194559">
        <w:t xml:space="preserve">ore </w:t>
      </w:r>
      <w:r>
        <w:t>S</w:t>
      </w:r>
      <w:r w:rsidRPr="00194559">
        <w:t>ponsorships,” ET Bureau, January 25, 2016, accessed June 20, 2017, https://brandequity.economictimes.indiatimes.com/news/advertising/brands-look-beyond-cricket-pro-kabaddi-league-wins-more-sponsorships/50712419</w:t>
      </w:r>
      <w:r>
        <w:t>.</w:t>
      </w:r>
    </w:p>
  </w:endnote>
  <w:endnote w:id="30">
    <w:p w14:paraId="3550E77C" w14:textId="1E117CDB" w:rsidR="00444FF0" w:rsidRPr="00194559" w:rsidRDefault="00444FF0" w:rsidP="00D459B1">
      <w:pPr>
        <w:pStyle w:val="Footnote"/>
      </w:pPr>
      <w:r w:rsidRPr="00194559">
        <w:rPr>
          <w:rStyle w:val="EndnoteReference"/>
        </w:rPr>
        <w:endnoteRef/>
      </w:r>
      <w:r w:rsidRPr="00194559">
        <w:t xml:space="preserve"> Started in 2013, the Hockey India League was a platform for Indian and foreign players to make a name in a competitive league format. The flagship event of Hockey India was cancelled in the 2018 calendar year</w:t>
      </w:r>
      <w:r>
        <w:t xml:space="preserve">; </w:t>
      </w:r>
      <w:proofErr w:type="spellStart"/>
      <w:r w:rsidRPr="00194559">
        <w:t>Swaroop</w:t>
      </w:r>
      <w:proofErr w:type="spellEnd"/>
      <w:r w:rsidRPr="00194559">
        <w:t xml:space="preserve"> </w:t>
      </w:r>
      <w:proofErr w:type="spellStart"/>
      <w:r w:rsidRPr="00194559">
        <w:t>Swminathan</w:t>
      </w:r>
      <w:proofErr w:type="spellEnd"/>
      <w:r>
        <w:t>,</w:t>
      </w:r>
      <w:r w:rsidRPr="00194559">
        <w:t xml:space="preserve"> “Hockey India League: Gone </w:t>
      </w:r>
      <w:r>
        <w:t>T</w:t>
      </w:r>
      <w:r w:rsidRPr="00194559">
        <w:t>oo Soon</w:t>
      </w:r>
      <w:proofErr w:type="gramStart"/>
      <w:r w:rsidRPr="00194559">
        <w:t>?</w:t>
      </w:r>
      <w:r w:rsidR="00DE7E4D">
        <w:t>,</w:t>
      </w:r>
      <w:proofErr w:type="gramEnd"/>
      <w:r w:rsidRPr="00194559">
        <w:t xml:space="preserve">” </w:t>
      </w:r>
      <w:r w:rsidRPr="003B44D2">
        <w:rPr>
          <w:i/>
        </w:rPr>
        <w:t>The New Indian Express</w:t>
      </w:r>
      <w:r>
        <w:t>,</w:t>
      </w:r>
      <w:r w:rsidRPr="00E259C6">
        <w:t xml:space="preserve"> www.newindianexpress.com/sport/other/2017/dec/10/hockey-india-league-gone-too-soon-1723122.html</w:t>
      </w:r>
      <w:r w:rsidRPr="00194559">
        <w:t xml:space="preserve">. </w:t>
      </w:r>
    </w:p>
  </w:endnote>
  <w:endnote w:id="31">
    <w:p w14:paraId="7BCD3DA2" w14:textId="1FEFA425" w:rsidR="00444FF0" w:rsidRPr="00194559" w:rsidRDefault="00444FF0" w:rsidP="00D459B1">
      <w:pPr>
        <w:pStyle w:val="Footnote"/>
      </w:pPr>
      <w:r w:rsidRPr="00194559">
        <w:rPr>
          <w:rStyle w:val="EndnoteReference"/>
        </w:rPr>
        <w:endnoteRef/>
      </w:r>
      <w:r w:rsidRPr="00194559">
        <w:t xml:space="preserve"> Premier Futsal was started in 2015 by three sports entrepreneurs and </w:t>
      </w:r>
      <w:r>
        <w:t>wa</w:t>
      </w:r>
      <w:r w:rsidRPr="00194559">
        <w:t>s headquartered in Chennai, India</w:t>
      </w:r>
      <w:r>
        <w:t xml:space="preserve">; </w:t>
      </w:r>
      <w:proofErr w:type="spellStart"/>
      <w:r w:rsidRPr="00194559">
        <w:t>Tanvi</w:t>
      </w:r>
      <w:proofErr w:type="spellEnd"/>
      <w:r w:rsidRPr="00194559">
        <w:t xml:space="preserve"> Dubey</w:t>
      </w:r>
      <w:r>
        <w:t>,</w:t>
      </w:r>
      <w:r w:rsidRPr="00194559">
        <w:t xml:space="preserve"> “Hustling </w:t>
      </w:r>
      <w:r>
        <w:t>L</w:t>
      </w:r>
      <w:r w:rsidRPr="00194559">
        <w:t xml:space="preserve">ike a </w:t>
      </w:r>
      <w:r>
        <w:t>S</w:t>
      </w:r>
      <w:r w:rsidRPr="00194559">
        <w:t xml:space="preserve">tartup, Premier Futsal </w:t>
      </w:r>
      <w:r>
        <w:t>S</w:t>
      </w:r>
      <w:r w:rsidRPr="00194559">
        <w:t xml:space="preserve">ets the </w:t>
      </w:r>
      <w:r>
        <w:t>B</w:t>
      </w:r>
      <w:r w:rsidRPr="00194559">
        <w:t xml:space="preserve">all </w:t>
      </w:r>
      <w:r>
        <w:t>R</w:t>
      </w:r>
      <w:r w:rsidRPr="00194559">
        <w:t xml:space="preserve">olling on </w:t>
      </w:r>
      <w:r>
        <w:t>K</w:t>
      </w:r>
      <w:r w:rsidRPr="00194559">
        <w:t xml:space="preserve">indling </w:t>
      </w:r>
      <w:r>
        <w:t>F</w:t>
      </w:r>
      <w:r w:rsidRPr="00194559">
        <w:t xml:space="preserve">utsal </w:t>
      </w:r>
      <w:r>
        <w:t>F</w:t>
      </w:r>
      <w:r w:rsidRPr="00194559">
        <w:t>ever in India</w:t>
      </w:r>
      <w:r>
        <w:t>,</w:t>
      </w:r>
      <w:r w:rsidRPr="00194559">
        <w:t xml:space="preserve">” </w:t>
      </w:r>
      <w:proofErr w:type="spellStart"/>
      <w:r w:rsidRPr="00194559">
        <w:t>Your</w:t>
      </w:r>
      <w:r>
        <w:t>S</w:t>
      </w:r>
      <w:r w:rsidRPr="00194559">
        <w:t>tory</w:t>
      </w:r>
      <w:proofErr w:type="spellEnd"/>
      <w:r w:rsidRPr="00194559">
        <w:t xml:space="preserve">, </w:t>
      </w:r>
      <w:r>
        <w:t>July 23, 2016,</w:t>
      </w:r>
      <w:r w:rsidRPr="00194559">
        <w:t xml:space="preserve"> accessed Aug</w:t>
      </w:r>
      <w:r w:rsidR="00DE7E4D">
        <w:t>ust</w:t>
      </w:r>
      <w:r w:rsidRPr="00194559">
        <w:t xml:space="preserve"> 14, 2018</w:t>
      </w:r>
      <w:r>
        <w:t xml:space="preserve">, </w:t>
      </w:r>
      <w:r w:rsidRPr="00194559">
        <w:t xml:space="preserve">https://yourstory.com/2016/07/premier-futsal-india. </w:t>
      </w:r>
    </w:p>
  </w:endnote>
  <w:endnote w:id="32">
    <w:p w14:paraId="3F17C666" w14:textId="089D7BC2" w:rsidR="00444FF0" w:rsidRPr="00E259C6" w:rsidRDefault="00444FF0" w:rsidP="00E259C6">
      <w:pPr>
        <w:pStyle w:val="Footnote"/>
      </w:pPr>
      <w:r w:rsidRPr="00194559">
        <w:rPr>
          <w:rStyle w:val="EndnoteReference"/>
        </w:rPr>
        <w:endnoteRef/>
      </w:r>
      <w:r w:rsidRPr="00194559">
        <w:t xml:space="preserve"> Louis Philippe </w:t>
      </w:r>
      <w:r>
        <w:t>wa</w:t>
      </w:r>
      <w:r w:rsidRPr="00194559">
        <w:t xml:space="preserve">s a premium formal wear Indian brand owned by Madura Fashion &amp; Lifestyle, a division of Aditya Birla Fashion and Lifestyle, and </w:t>
      </w:r>
      <w:r>
        <w:t>wa</w:t>
      </w:r>
      <w:r w:rsidRPr="00194559">
        <w:t xml:space="preserve">s India’s </w:t>
      </w:r>
      <w:r w:rsidRPr="00E259C6">
        <w:t xml:space="preserve">largest premium lifestyle retail player; </w:t>
      </w:r>
      <w:r>
        <w:t xml:space="preserve">“About Us,” The House of Louis Philippe, </w:t>
      </w:r>
      <w:r w:rsidRPr="00E259C6">
        <w:t>accessed June 8, 2018</w:t>
      </w:r>
      <w:r>
        <w:t>,</w:t>
      </w:r>
      <w:r w:rsidRPr="00E259C6">
        <w:t xml:space="preserve"> </w:t>
      </w:r>
      <w:r w:rsidRPr="0082677C">
        <w:rPr>
          <w:rStyle w:val="Hyperlink"/>
          <w:color w:val="auto"/>
          <w:u w:val="none"/>
        </w:rPr>
        <w:t>www.louisphilippe.com/content/about-us-4</w:t>
      </w:r>
      <w:r>
        <w:rPr>
          <w:rStyle w:val="Hyperlink"/>
          <w:color w:val="auto"/>
          <w:u w:val="none"/>
        </w:rPr>
        <w:t>.</w:t>
      </w:r>
    </w:p>
  </w:endnote>
  <w:endnote w:id="33">
    <w:p w14:paraId="736E45CC" w14:textId="16A281D2" w:rsidR="00444FF0" w:rsidRPr="00E259C6" w:rsidRDefault="00444FF0" w:rsidP="00D459B1">
      <w:pPr>
        <w:pStyle w:val="Footnote"/>
      </w:pPr>
      <w:r w:rsidRPr="00FF64BE">
        <w:rPr>
          <w:rStyle w:val="EndnoteReference"/>
        </w:rPr>
        <w:endnoteRef/>
      </w:r>
      <w:r w:rsidRPr="00FF64BE">
        <w:t xml:space="preserve"> Culled by </w:t>
      </w:r>
      <w:r>
        <w:t xml:space="preserve">the </w:t>
      </w:r>
      <w:r w:rsidRPr="00FF64BE">
        <w:t xml:space="preserve">authors from </w:t>
      </w:r>
      <w:r>
        <w:t>the following sources: “</w:t>
      </w:r>
      <w:proofErr w:type="spellStart"/>
      <w:r w:rsidRPr="00FF64BE">
        <w:t>Tiktauli</w:t>
      </w:r>
      <w:proofErr w:type="spellEnd"/>
      <w:r>
        <w:t>,”</w:t>
      </w:r>
      <w:r w:rsidRPr="00FF64BE">
        <w:t xml:space="preserve"> Facebook</w:t>
      </w:r>
      <w:r>
        <w:t xml:space="preserve">, accessed </w:t>
      </w:r>
      <w:r w:rsidRPr="00E259C6">
        <w:t xml:space="preserve">July </w:t>
      </w:r>
      <w:r>
        <w:t xml:space="preserve">19, </w:t>
      </w:r>
      <w:r w:rsidRPr="00E259C6">
        <w:t>2018</w:t>
      </w:r>
      <w:r>
        <w:t xml:space="preserve">; </w:t>
      </w:r>
      <w:r w:rsidRPr="00FF64BE">
        <w:t>www.</w:t>
      </w:r>
      <w:r w:rsidRPr="00E259C6">
        <w:t>facebook.com/tiktauli</w:t>
      </w:r>
      <w:r>
        <w:t>;</w:t>
      </w:r>
      <w:r w:rsidRPr="00E259C6">
        <w:t xml:space="preserve"> </w:t>
      </w:r>
      <w:r>
        <w:t>“</w:t>
      </w:r>
      <w:proofErr w:type="spellStart"/>
      <w:r>
        <w:t>T</w:t>
      </w:r>
      <w:r w:rsidRPr="00E259C6">
        <w:t>iktauli</w:t>
      </w:r>
      <w:proofErr w:type="spellEnd"/>
      <w:r>
        <w:t xml:space="preserve"> </w:t>
      </w:r>
      <w:r w:rsidRPr="00E259C6">
        <w:t>de</w:t>
      </w:r>
      <w:r>
        <w:t xml:space="preserve">. </w:t>
      </w:r>
      <w:proofErr w:type="gramStart"/>
      <w:r>
        <w:t>C</w:t>
      </w:r>
      <w:r w:rsidRPr="00E259C6">
        <w:t>orps</w:t>
      </w:r>
      <w:r>
        <w:t>.,</w:t>
      </w:r>
      <w:proofErr w:type="gramEnd"/>
      <w:r>
        <w:t xml:space="preserve">” </w:t>
      </w:r>
      <w:r w:rsidRPr="00E259C6">
        <w:t>Pinterest</w:t>
      </w:r>
      <w:r>
        <w:t xml:space="preserve">, accessed </w:t>
      </w:r>
      <w:r w:rsidRPr="00E259C6">
        <w:t xml:space="preserve">July </w:t>
      </w:r>
      <w:r>
        <w:t xml:space="preserve">19, </w:t>
      </w:r>
      <w:r w:rsidRPr="00E259C6">
        <w:t>2018</w:t>
      </w:r>
      <w:r>
        <w:t xml:space="preserve">, </w:t>
      </w:r>
      <w:r w:rsidRPr="006D0F46">
        <w:t>https://in.pinterest.com/tiktaulidecorps</w:t>
      </w:r>
      <w:r>
        <w:t>;</w:t>
      </w:r>
      <w:r w:rsidRPr="00E259C6">
        <w:t xml:space="preserve"> and </w:t>
      </w:r>
      <w:r>
        <w:t>“</w:t>
      </w:r>
      <w:proofErr w:type="spellStart"/>
      <w:r w:rsidRPr="00FF64BE">
        <w:t>Tiktauli</w:t>
      </w:r>
      <w:proofErr w:type="spellEnd"/>
      <w:r>
        <w:t>,”</w:t>
      </w:r>
      <w:r w:rsidRPr="00FF64BE">
        <w:t xml:space="preserve"> </w:t>
      </w:r>
      <w:r w:rsidRPr="00E259C6">
        <w:t>Twitter</w:t>
      </w:r>
      <w:r>
        <w:t xml:space="preserve">, accessed </w:t>
      </w:r>
      <w:r w:rsidRPr="00E259C6">
        <w:t xml:space="preserve">July </w:t>
      </w:r>
      <w:r>
        <w:t xml:space="preserve">19, </w:t>
      </w:r>
      <w:r w:rsidRPr="00E259C6">
        <w:t>2018</w:t>
      </w:r>
      <w:r>
        <w:t xml:space="preserve">, </w:t>
      </w:r>
      <w:r w:rsidRPr="00E259C6">
        <w:t>https://twitter.com/tiktauli?lang=en</w:t>
      </w:r>
      <w:r>
        <w:t>.</w:t>
      </w:r>
    </w:p>
  </w:endnote>
  <w:endnote w:id="34">
    <w:p w14:paraId="6878A8A1" w14:textId="7AA35817" w:rsidR="00444FF0" w:rsidRPr="00E259C6" w:rsidRDefault="00444FF0" w:rsidP="00D459B1">
      <w:pPr>
        <w:pStyle w:val="Footnote"/>
      </w:pPr>
      <w:r w:rsidRPr="00FF64BE">
        <w:rPr>
          <w:rStyle w:val="EndnoteReference"/>
        </w:rPr>
        <w:endnoteRef/>
      </w:r>
      <w:r w:rsidRPr="00FF64BE">
        <w:t xml:space="preserve"> “The State of Indian Digital Marketing: A CMO Perspective 2016-17</w:t>
      </w:r>
      <w:r w:rsidR="00DE7E4D">
        <w:t>,</w:t>
      </w:r>
      <w:r w:rsidRPr="00FF64BE">
        <w:t xml:space="preserve">” Times Internet and </w:t>
      </w:r>
      <w:proofErr w:type="spellStart"/>
      <w:r w:rsidRPr="00FF64BE">
        <w:t>DMAasia</w:t>
      </w:r>
      <w:proofErr w:type="spellEnd"/>
      <w:r w:rsidRPr="00FF64BE">
        <w:t xml:space="preserve"> </w:t>
      </w:r>
      <w:r w:rsidRPr="00E259C6">
        <w:t>CMO Survey Results, accessed July 21, 2018, http://static.bestmediainfo.com/wp-content/uploads/2017/03/Times-Internet-DMAasia-report.pdf</w:t>
      </w:r>
      <w:r>
        <w:t>.</w:t>
      </w:r>
    </w:p>
  </w:endnote>
  <w:endnote w:id="35">
    <w:p w14:paraId="6B5BF4AA" w14:textId="007C1CD3" w:rsidR="00444FF0" w:rsidRPr="00E259C6" w:rsidRDefault="00444FF0" w:rsidP="00E259C6">
      <w:pPr>
        <w:pStyle w:val="Footnote"/>
      </w:pPr>
      <w:r w:rsidRPr="00A61395">
        <w:rPr>
          <w:rStyle w:val="EndnoteReference"/>
        </w:rPr>
        <w:endnoteRef/>
      </w:r>
      <w:r>
        <w:rPr>
          <w:rStyle w:val="Hyperlink"/>
          <w:color w:val="auto"/>
          <w:u w:val="none"/>
        </w:rPr>
        <w:t xml:space="preserve"> “A</w:t>
      </w:r>
      <w:r w:rsidRPr="0082677C">
        <w:rPr>
          <w:rStyle w:val="Hyperlink"/>
          <w:color w:val="auto"/>
          <w:u w:val="none"/>
        </w:rPr>
        <w:t>lisha</w:t>
      </w:r>
      <w:r>
        <w:rPr>
          <w:rStyle w:val="Hyperlink"/>
          <w:color w:val="auto"/>
          <w:u w:val="none"/>
        </w:rPr>
        <w:t xml:space="preserve"> S</w:t>
      </w:r>
      <w:r w:rsidRPr="0082677C">
        <w:rPr>
          <w:rStyle w:val="Hyperlink"/>
          <w:color w:val="auto"/>
          <w:u w:val="none"/>
        </w:rPr>
        <w:t>ingh</w:t>
      </w:r>
      <w:r>
        <w:rPr>
          <w:rStyle w:val="Hyperlink"/>
          <w:color w:val="auto"/>
          <w:u w:val="none"/>
        </w:rPr>
        <w:t xml:space="preserve">,” </w:t>
      </w:r>
      <w:proofErr w:type="spellStart"/>
      <w:r>
        <w:rPr>
          <w:rStyle w:val="Hyperlink"/>
          <w:color w:val="auto"/>
          <w:u w:val="none"/>
        </w:rPr>
        <w:t>Tiktauli</w:t>
      </w:r>
      <w:proofErr w:type="spellEnd"/>
      <w:r>
        <w:rPr>
          <w:rStyle w:val="Hyperlink"/>
          <w:color w:val="auto"/>
          <w:u w:val="none"/>
        </w:rPr>
        <w:t xml:space="preserve"> de. </w:t>
      </w:r>
      <w:proofErr w:type="gramStart"/>
      <w:r>
        <w:rPr>
          <w:rStyle w:val="Hyperlink"/>
          <w:color w:val="auto"/>
          <w:u w:val="none"/>
        </w:rPr>
        <w:t>Corps.,</w:t>
      </w:r>
      <w:proofErr w:type="gramEnd"/>
      <w:r>
        <w:rPr>
          <w:rStyle w:val="Hyperlink"/>
          <w:color w:val="auto"/>
          <w:u w:val="none"/>
        </w:rPr>
        <w:t xml:space="preserve"> accessed November 1, 2018, </w:t>
      </w:r>
      <w:r w:rsidRPr="0082677C">
        <w:rPr>
          <w:rStyle w:val="Hyperlink"/>
          <w:color w:val="auto"/>
          <w:u w:val="none"/>
        </w:rPr>
        <w:t>www.tiktauli.com/choreographer/alisha-singh</w:t>
      </w:r>
      <w:r>
        <w:rPr>
          <w:rStyle w:val="Hyperlink"/>
          <w:color w:val="auto"/>
          <w:u w:val="none"/>
        </w:rPr>
        <w:t>;</w:t>
      </w:r>
      <w:r w:rsidRPr="00E259C6">
        <w:t xml:space="preserve"> </w:t>
      </w:r>
      <w:r>
        <w:t>“P</w:t>
      </w:r>
      <w:r w:rsidRPr="0082677C">
        <w:rPr>
          <w:rStyle w:val="Hyperlink"/>
          <w:color w:val="auto"/>
          <w:u w:val="none"/>
        </w:rPr>
        <w:t>aresh</w:t>
      </w:r>
      <w:r>
        <w:rPr>
          <w:rStyle w:val="Hyperlink"/>
          <w:color w:val="auto"/>
          <w:u w:val="none"/>
        </w:rPr>
        <w:t xml:space="preserve"> </w:t>
      </w:r>
      <w:proofErr w:type="spellStart"/>
      <w:r>
        <w:rPr>
          <w:rStyle w:val="Hyperlink"/>
          <w:color w:val="auto"/>
          <w:u w:val="none"/>
        </w:rPr>
        <w:t>S</w:t>
      </w:r>
      <w:r w:rsidRPr="0082677C">
        <w:rPr>
          <w:rStyle w:val="Hyperlink"/>
          <w:color w:val="auto"/>
          <w:u w:val="none"/>
        </w:rPr>
        <w:t>hirodkar</w:t>
      </w:r>
      <w:proofErr w:type="spellEnd"/>
      <w:r>
        <w:rPr>
          <w:rStyle w:val="Hyperlink"/>
          <w:color w:val="auto"/>
          <w:u w:val="none"/>
        </w:rPr>
        <w:t xml:space="preserve">,” </w:t>
      </w:r>
      <w:proofErr w:type="spellStart"/>
      <w:r>
        <w:rPr>
          <w:rStyle w:val="Hyperlink"/>
          <w:color w:val="auto"/>
          <w:u w:val="none"/>
        </w:rPr>
        <w:t>Tiktauli</w:t>
      </w:r>
      <w:proofErr w:type="spellEnd"/>
      <w:r>
        <w:rPr>
          <w:rStyle w:val="Hyperlink"/>
          <w:color w:val="auto"/>
          <w:u w:val="none"/>
        </w:rPr>
        <w:t xml:space="preserve"> de. </w:t>
      </w:r>
      <w:proofErr w:type="gramStart"/>
      <w:r>
        <w:rPr>
          <w:rStyle w:val="Hyperlink"/>
          <w:color w:val="auto"/>
          <w:u w:val="none"/>
        </w:rPr>
        <w:t>Corps.,</w:t>
      </w:r>
      <w:proofErr w:type="gramEnd"/>
      <w:r>
        <w:rPr>
          <w:rStyle w:val="Hyperlink"/>
          <w:color w:val="auto"/>
          <w:u w:val="none"/>
        </w:rPr>
        <w:t xml:space="preserve"> accessed November 1, 2018, </w:t>
      </w:r>
      <w:r w:rsidRPr="0082677C">
        <w:rPr>
          <w:rStyle w:val="Hyperlink"/>
          <w:color w:val="auto"/>
          <w:u w:val="none"/>
        </w:rPr>
        <w:t>www.tiktauli.com/choreographer/paresh-shirodkar</w:t>
      </w:r>
      <w:r>
        <w:rPr>
          <w:rStyle w:val="Hyperlink"/>
          <w:color w:val="auto"/>
          <w:u w:val="none"/>
        </w:rPr>
        <w:t>.</w:t>
      </w:r>
    </w:p>
  </w:endnote>
  <w:endnote w:id="36">
    <w:p w14:paraId="41C5FE7E" w14:textId="67777379" w:rsidR="00444FF0" w:rsidRPr="00A61395" w:rsidRDefault="00444FF0" w:rsidP="00D459B1">
      <w:pPr>
        <w:pStyle w:val="Footnote"/>
      </w:pPr>
      <w:r w:rsidRPr="00A61395">
        <w:rPr>
          <w:rStyle w:val="EndnoteReference"/>
        </w:rPr>
        <w:endnoteRef/>
      </w:r>
      <w:r w:rsidRPr="00A61395">
        <w:t xml:space="preserve"> Kabaddi </w:t>
      </w:r>
      <w:r>
        <w:t>wa</w:t>
      </w:r>
      <w:r w:rsidRPr="00A61395">
        <w:t xml:space="preserve">s a contact team sport popular in the Indian subcontinent </w:t>
      </w:r>
      <w:r>
        <w:t>that</w:t>
      </w:r>
      <w:r w:rsidRPr="00A61395">
        <w:t xml:space="preserve"> require</w:t>
      </w:r>
      <w:r>
        <w:t>d</w:t>
      </w:r>
      <w:r w:rsidRPr="00A61395">
        <w:t xml:space="preserve"> one team </w:t>
      </w:r>
      <w:r>
        <w:t xml:space="preserve">to </w:t>
      </w:r>
      <w:r w:rsidRPr="00A61395">
        <w:t>send a member into the opposing team’s half and com</w:t>
      </w:r>
      <w:r>
        <w:t>e</w:t>
      </w:r>
      <w:r w:rsidRPr="00A61395">
        <w:t xml:space="preserve"> back un</w:t>
      </w:r>
      <w:r w:rsidR="00DE7E4D">
        <w:t>-</w:t>
      </w:r>
      <w:r w:rsidRPr="00A61395">
        <w:t>tackled after touching any member of the opposing team.</w:t>
      </w:r>
    </w:p>
  </w:endnote>
  <w:endnote w:id="37">
    <w:p w14:paraId="63C0EE6E" w14:textId="20696BAC" w:rsidR="00444FF0" w:rsidRPr="00E259C6" w:rsidRDefault="00444FF0" w:rsidP="00D459B1">
      <w:pPr>
        <w:pStyle w:val="Footnote"/>
      </w:pPr>
      <w:r w:rsidRPr="009C02CF">
        <w:rPr>
          <w:rStyle w:val="EndnoteReference"/>
        </w:rPr>
        <w:endnoteRef/>
      </w:r>
      <w:r w:rsidRPr="009C02CF">
        <w:t xml:space="preserve"> Demonetization </w:t>
      </w:r>
      <w:r>
        <w:t>wa</w:t>
      </w:r>
      <w:r w:rsidRPr="009C02CF">
        <w:t>s the act of stripping a currency unit of its legal tender status. It c</w:t>
      </w:r>
      <w:r>
        <w:t>ould</w:t>
      </w:r>
      <w:r w:rsidRPr="009C02CF">
        <w:t xml:space="preserve"> be done by governments to combat inflation, corruption</w:t>
      </w:r>
      <w:r>
        <w:t>,</w:t>
      </w:r>
      <w:r w:rsidRPr="009C02CF">
        <w:t xml:space="preserve"> and counterfeiting</w:t>
      </w:r>
      <w:r>
        <w:t>.</w:t>
      </w:r>
      <w:r w:rsidRPr="009C02CF">
        <w:t xml:space="preserve"> </w:t>
      </w:r>
      <w:r>
        <w:t xml:space="preserve">It </w:t>
      </w:r>
      <w:r w:rsidRPr="009C02CF">
        <w:t>encourage</w:t>
      </w:r>
      <w:r>
        <w:t>d</w:t>
      </w:r>
      <w:r w:rsidRPr="009C02CF">
        <w:t xml:space="preserve"> a cashless </w:t>
      </w:r>
      <w:r w:rsidRPr="00E259C6">
        <w:t>economy and facilitate</w:t>
      </w:r>
      <w:r>
        <w:t>d</w:t>
      </w:r>
      <w:r w:rsidRPr="00E259C6">
        <w:t xml:space="preserve"> trade; </w:t>
      </w:r>
      <w:r>
        <w:t xml:space="preserve">“Demonetization,” </w:t>
      </w:r>
      <w:r w:rsidRPr="00E259C6">
        <w:t>Investopedia, accessed June 14, 2018, www.investopedia.com/terms/d/demonetization.asp.</w:t>
      </w:r>
    </w:p>
  </w:endnote>
  <w:endnote w:id="38">
    <w:p w14:paraId="7B87D6D0" w14:textId="0C8C73F5" w:rsidR="00444FF0" w:rsidRDefault="00444FF0" w:rsidP="00D459B1">
      <w:pPr>
        <w:pStyle w:val="Footnote"/>
      </w:pPr>
      <w:r w:rsidRPr="00870FB4">
        <w:rPr>
          <w:rStyle w:val="EndnoteReference"/>
        </w:rPr>
        <w:endnoteRef/>
      </w:r>
      <w:r w:rsidRPr="00870FB4">
        <w:t xml:space="preserve"> </w:t>
      </w:r>
      <w:proofErr w:type="spellStart"/>
      <w:r w:rsidRPr="00194559">
        <w:t>Shrutika</w:t>
      </w:r>
      <w:proofErr w:type="spellEnd"/>
      <w:r w:rsidRPr="00194559">
        <w:t xml:space="preserve"> </w:t>
      </w:r>
      <w:proofErr w:type="spellStart"/>
      <w:r w:rsidRPr="00194559">
        <w:t>Verma</w:t>
      </w:r>
      <w:proofErr w:type="spellEnd"/>
      <w:r w:rsidRPr="00194559">
        <w:t xml:space="preserve"> and </w:t>
      </w:r>
      <w:proofErr w:type="spellStart"/>
      <w:r w:rsidRPr="00194559">
        <w:t>Mihir</w:t>
      </w:r>
      <w:proofErr w:type="spellEnd"/>
      <w:r w:rsidRPr="00194559">
        <w:t xml:space="preserve"> </w:t>
      </w:r>
      <w:proofErr w:type="spellStart"/>
      <w:r w:rsidRPr="00194559">
        <w:t>Dalal</w:t>
      </w:r>
      <w:proofErr w:type="spellEnd"/>
      <w:r w:rsidRPr="00194559">
        <w:t xml:space="preserve">, “COD </w:t>
      </w:r>
      <w:r>
        <w:t>P</w:t>
      </w:r>
      <w:r w:rsidRPr="00194559">
        <w:t xml:space="preserve">ayments at </w:t>
      </w:r>
      <w:r>
        <w:t>E</w:t>
      </w:r>
      <w:r w:rsidRPr="00194559">
        <w:t xml:space="preserve">-commerce </w:t>
      </w:r>
      <w:r>
        <w:t>F</w:t>
      </w:r>
      <w:r w:rsidRPr="00194559">
        <w:t xml:space="preserve">irms </w:t>
      </w:r>
      <w:r>
        <w:t>B</w:t>
      </w:r>
      <w:r w:rsidRPr="00194559">
        <w:t xml:space="preserve">ack to </w:t>
      </w:r>
      <w:r>
        <w:t>P</w:t>
      </w:r>
      <w:r w:rsidRPr="00194559">
        <w:t>re-</w:t>
      </w:r>
      <w:proofErr w:type="spellStart"/>
      <w:r w:rsidRPr="00194559">
        <w:t>demonetisation</w:t>
      </w:r>
      <w:proofErr w:type="spellEnd"/>
      <w:r w:rsidRPr="00194559">
        <w:t xml:space="preserve"> </w:t>
      </w:r>
      <w:r>
        <w:t>L</w:t>
      </w:r>
      <w:r w:rsidRPr="00194559">
        <w:t>evels,</w:t>
      </w:r>
      <w:r>
        <w:t xml:space="preserve">” </w:t>
      </w:r>
      <w:proofErr w:type="spellStart"/>
      <w:r w:rsidRPr="00194559">
        <w:t>Livemint</w:t>
      </w:r>
      <w:proofErr w:type="spellEnd"/>
      <w:r w:rsidRPr="00194559">
        <w:t>, November 16, 201</w:t>
      </w:r>
      <w:r>
        <w:t xml:space="preserve">7, accessed </w:t>
      </w:r>
      <w:r w:rsidRPr="00194559">
        <w:t>July</w:t>
      </w:r>
      <w:r>
        <w:t xml:space="preserve"> 25</w:t>
      </w:r>
      <w:r w:rsidRPr="00194559">
        <w:t>, 2018, www.livemint.com/Industry/VgOTW8ZS4RaHA5gd7iwM4N/COD-payments-at-ecommerce-firms-back-to-pre-demonetisation.html.</w:t>
      </w:r>
    </w:p>
  </w:endnote>
  <w:endnote w:id="39">
    <w:p w14:paraId="37B32169" w14:textId="4939874F" w:rsidR="00270B29" w:rsidRDefault="00444FF0" w:rsidP="00D459B1">
      <w:pPr>
        <w:pStyle w:val="Footnote"/>
        <w:rPr>
          <w:spacing w:val="-2"/>
        </w:rPr>
      </w:pPr>
      <w:r w:rsidRPr="007D7BA3">
        <w:rPr>
          <w:rStyle w:val="EndnoteReference"/>
          <w:spacing w:val="-2"/>
        </w:rPr>
        <w:endnoteRef/>
      </w:r>
      <w:r w:rsidRPr="007D7BA3">
        <w:rPr>
          <w:spacing w:val="-2"/>
        </w:rPr>
        <w:t> “Who Is the Electronic Music Listener?</w:t>
      </w:r>
      <w:r w:rsidR="00DE7E4D" w:rsidRPr="007D7BA3">
        <w:rPr>
          <w:spacing w:val="-2"/>
        </w:rPr>
        <w:t>,</w:t>
      </w:r>
      <w:r w:rsidRPr="007D7BA3">
        <w:rPr>
          <w:spacing w:val="-2"/>
        </w:rPr>
        <w:t>” </w:t>
      </w:r>
      <w:r w:rsidR="00DE7E4D" w:rsidRPr="007D7BA3">
        <w:rPr>
          <w:spacing w:val="-2"/>
        </w:rPr>
        <w:t>Nielsen,</w:t>
      </w:r>
      <w:r w:rsidR="00270B29">
        <w:rPr>
          <w:spacing w:val="-2"/>
        </w:rPr>
        <w:t xml:space="preserve"> July 10, 2014, accessed June 14, 2018, www.nielsen.com/us/en/insights/new</w:t>
      </w:r>
    </w:p>
    <w:p w14:paraId="2548D623" w14:textId="56B9134E" w:rsidR="00444FF0" w:rsidRPr="007D7BA3" w:rsidRDefault="00444FF0" w:rsidP="00D459B1">
      <w:pPr>
        <w:pStyle w:val="Footnote"/>
        <w:rPr>
          <w:spacing w:val="-2"/>
        </w:rPr>
      </w:pPr>
      <w:r w:rsidRPr="007D7BA3">
        <w:rPr>
          <w:spacing w:val="-2"/>
        </w:rPr>
        <w:t>s/2014/who-is-the-electronic-music-listener.html.</w:t>
      </w:r>
    </w:p>
  </w:endnote>
  <w:endnote w:id="40">
    <w:p w14:paraId="764BB7D5" w14:textId="6791AE4D" w:rsidR="00444FF0" w:rsidRPr="00E259C6" w:rsidRDefault="00444FF0" w:rsidP="00D459B1">
      <w:pPr>
        <w:pStyle w:val="Footnote"/>
      </w:pPr>
      <w:r w:rsidRPr="00F173FC">
        <w:rPr>
          <w:rStyle w:val="EndnoteReference"/>
        </w:rPr>
        <w:endnoteRef/>
      </w:r>
      <w:r w:rsidRPr="00F173FC">
        <w:t xml:space="preserve"> Kenneth Lobo, </w:t>
      </w:r>
      <w:r>
        <w:t xml:space="preserve">op. cit. </w:t>
      </w:r>
    </w:p>
  </w:endnote>
  <w:endnote w:id="41">
    <w:p w14:paraId="51D84C48" w14:textId="435F481F" w:rsidR="00444FF0" w:rsidRPr="00FF64BE" w:rsidRDefault="00444FF0" w:rsidP="00D459B1">
      <w:pPr>
        <w:pStyle w:val="Footnote"/>
      </w:pPr>
      <w:r w:rsidRPr="00FF64BE">
        <w:rPr>
          <w:rStyle w:val="EndnoteReference"/>
        </w:rPr>
        <w:endnoteRef/>
      </w:r>
      <w:r w:rsidRPr="00FF64BE">
        <w:t xml:space="preserve"> </w:t>
      </w:r>
      <w:r>
        <w:t xml:space="preserve">Jones </w:t>
      </w:r>
      <w:r w:rsidRPr="00B537A9">
        <w:t xml:space="preserve">Mathew and </w:t>
      </w:r>
      <w:r w:rsidRPr="00AB289E">
        <w:t>Rakesh Mohan</w:t>
      </w:r>
      <w:r>
        <w:t xml:space="preserve"> </w:t>
      </w:r>
      <w:r w:rsidRPr="00B537A9">
        <w:t xml:space="preserve">Joshi, </w:t>
      </w:r>
      <w:proofErr w:type="gramStart"/>
      <w:r w:rsidRPr="00412C0E">
        <w:rPr>
          <w:i/>
        </w:rPr>
        <w:t>An</w:t>
      </w:r>
      <w:proofErr w:type="gramEnd"/>
      <w:r w:rsidRPr="00412C0E">
        <w:rPr>
          <w:i/>
        </w:rPr>
        <w:t xml:space="preserve"> Exploratory Research into the Antecedents of the Need for Uniqueness Motivation among Adolescents in India</w:t>
      </w:r>
      <w:r w:rsidRPr="00B537A9">
        <w:t xml:space="preserve"> </w:t>
      </w:r>
      <w:r>
        <w:t xml:space="preserve">(New Delhi, India: </w:t>
      </w:r>
      <w:r w:rsidRPr="00B537A9">
        <w:t xml:space="preserve">Regal Publications, </w:t>
      </w:r>
      <w:r>
        <w:t>2016), 133–143.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334B1" w14:textId="77777777" w:rsidR="00EC4D30" w:rsidRDefault="00EC4D30" w:rsidP="00D75295">
      <w:r>
        <w:separator/>
      </w:r>
    </w:p>
  </w:footnote>
  <w:footnote w:type="continuationSeparator" w:id="0">
    <w:p w14:paraId="2EE2356A" w14:textId="77777777" w:rsidR="00EC4D30" w:rsidRDefault="00EC4D3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C4F1" w14:textId="682F4721" w:rsidR="00444FF0" w:rsidRPr="00C92CC4" w:rsidRDefault="00444FF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0B29">
      <w:rPr>
        <w:rFonts w:ascii="Arial" w:hAnsi="Arial"/>
        <w:b/>
        <w:noProof/>
      </w:rPr>
      <w:t>13</w:t>
    </w:r>
    <w:r>
      <w:rPr>
        <w:rFonts w:ascii="Arial" w:hAnsi="Arial"/>
        <w:b/>
      </w:rPr>
      <w:fldChar w:fldCharType="end"/>
    </w:r>
    <w:r w:rsidR="00FD454B">
      <w:rPr>
        <w:rFonts w:ascii="Arial" w:hAnsi="Arial"/>
        <w:b/>
      </w:rPr>
      <w:tab/>
      <w:t>9B18A066</w:t>
    </w:r>
  </w:p>
  <w:p w14:paraId="7A851C07" w14:textId="77777777" w:rsidR="00444FF0" w:rsidRDefault="00444FF0" w:rsidP="00D13667">
    <w:pPr>
      <w:pStyle w:val="Header"/>
      <w:tabs>
        <w:tab w:val="clear" w:pos="4680"/>
      </w:tabs>
      <w:rPr>
        <w:sz w:val="18"/>
        <w:szCs w:val="18"/>
      </w:rPr>
    </w:pPr>
  </w:p>
  <w:p w14:paraId="5F912783" w14:textId="77777777" w:rsidR="00444FF0" w:rsidRPr="00C92CC4" w:rsidRDefault="00444FF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226B"/>
    <w:rsid w:val="00024ED4"/>
    <w:rsid w:val="00025DC7"/>
    <w:rsid w:val="000343FB"/>
    <w:rsid w:val="00035F09"/>
    <w:rsid w:val="00040268"/>
    <w:rsid w:val="00044ECC"/>
    <w:rsid w:val="000531D3"/>
    <w:rsid w:val="0005646B"/>
    <w:rsid w:val="00060D6A"/>
    <w:rsid w:val="00071DFA"/>
    <w:rsid w:val="000730FA"/>
    <w:rsid w:val="0008102D"/>
    <w:rsid w:val="00081F97"/>
    <w:rsid w:val="00094A84"/>
    <w:rsid w:val="00094C0E"/>
    <w:rsid w:val="000C3113"/>
    <w:rsid w:val="000D3813"/>
    <w:rsid w:val="000D7091"/>
    <w:rsid w:val="000F0C22"/>
    <w:rsid w:val="000F6B09"/>
    <w:rsid w:val="000F6FDC"/>
    <w:rsid w:val="00104567"/>
    <w:rsid w:val="00104916"/>
    <w:rsid w:val="00104AA7"/>
    <w:rsid w:val="0011396A"/>
    <w:rsid w:val="0012732D"/>
    <w:rsid w:val="00142B06"/>
    <w:rsid w:val="00143F25"/>
    <w:rsid w:val="00146BF2"/>
    <w:rsid w:val="001515C0"/>
    <w:rsid w:val="00152682"/>
    <w:rsid w:val="00154951"/>
    <w:rsid w:val="00154FC9"/>
    <w:rsid w:val="00161C92"/>
    <w:rsid w:val="0019241A"/>
    <w:rsid w:val="001A22D1"/>
    <w:rsid w:val="001A752D"/>
    <w:rsid w:val="001A757E"/>
    <w:rsid w:val="001B5032"/>
    <w:rsid w:val="001B7567"/>
    <w:rsid w:val="001C7777"/>
    <w:rsid w:val="001D6146"/>
    <w:rsid w:val="001D61C9"/>
    <w:rsid w:val="001E146D"/>
    <w:rsid w:val="001E364F"/>
    <w:rsid w:val="001E58AC"/>
    <w:rsid w:val="001F4222"/>
    <w:rsid w:val="00203AA1"/>
    <w:rsid w:val="00213E98"/>
    <w:rsid w:val="002237BB"/>
    <w:rsid w:val="0023081A"/>
    <w:rsid w:val="00230F4A"/>
    <w:rsid w:val="00237A7B"/>
    <w:rsid w:val="00270B29"/>
    <w:rsid w:val="00291295"/>
    <w:rsid w:val="002A586D"/>
    <w:rsid w:val="002B2A63"/>
    <w:rsid w:val="002B2FDF"/>
    <w:rsid w:val="002D744C"/>
    <w:rsid w:val="002F31C4"/>
    <w:rsid w:val="002F460C"/>
    <w:rsid w:val="002F48D6"/>
    <w:rsid w:val="002F69F4"/>
    <w:rsid w:val="003133BF"/>
    <w:rsid w:val="00317391"/>
    <w:rsid w:val="00321761"/>
    <w:rsid w:val="00326216"/>
    <w:rsid w:val="00330063"/>
    <w:rsid w:val="00336580"/>
    <w:rsid w:val="00336D85"/>
    <w:rsid w:val="00354899"/>
    <w:rsid w:val="00355FD6"/>
    <w:rsid w:val="00361166"/>
    <w:rsid w:val="00364A5C"/>
    <w:rsid w:val="00373FB1"/>
    <w:rsid w:val="00383023"/>
    <w:rsid w:val="003907F6"/>
    <w:rsid w:val="00390DDE"/>
    <w:rsid w:val="00393A8B"/>
    <w:rsid w:val="00396C76"/>
    <w:rsid w:val="003A02CB"/>
    <w:rsid w:val="003B14F0"/>
    <w:rsid w:val="003B30D8"/>
    <w:rsid w:val="003B7EF2"/>
    <w:rsid w:val="003C3FA4"/>
    <w:rsid w:val="003D0BA1"/>
    <w:rsid w:val="003D2461"/>
    <w:rsid w:val="003D6552"/>
    <w:rsid w:val="003E09A2"/>
    <w:rsid w:val="003F1CB6"/>
    <w:rsid w:val="003F2B0C"/>
    <w:rsid w:val="00406814"/>
    <w:rsid w:val="004105B2"/>
    <w:rsid w:val="00412900"/>
    <w:rsid w:val="00412C0E"/>
    <w:rsid w:val="004221E4"/>
    <w:rsid w:val="004245E3"/>
    <w:rsid w:val="00424E88"/>
    <w:rsid w:val="004273F8"/>
    <w:rsid w:val="004355A3"/>
    <w:rsid w:val="00435D64"/>
    <w:rsid w:val="00436F0D"/>
    <w:rsid w:val="00444FF0"/>
    <w:rsid w:val="00446546"/>
    <w:rsid w:val="00446C44"/>
    <w:rsid w:val="00452769"/>
    <w:rsid w:val="00465348"/>
    <w:rsid w:val="00471C5D"/>
    <w:rsid w:val="004807E0"/>
    <w:rsid w:val="00490B38"/>
    <w:rsid w:val="004B1CCB"/>
    <w:rsid w:val="004B632F"/>
    <w:rsid w:val="004D182E"/>
    <w:rsid w:val="004D3FB1"/>
    <w:rsid w:val="004D6F21"/>
    <w:rsid w:val="004D73A5"/>
    <w:rsid w:val="004E7D6D"/>
    <w:rsid w:val="004F26FB"/>
    <w:rsid w:val="005160F1"/>
    <w:rsid w:val="0052150F"/>
    <w:rsid w:val="00524F2F"/>
    <w:rsid w:val="00527E5C"/>
    <w:rsid w:val="00532CF5"/>
    <w:rsid w:val="005528CB"/>
    <w:rsid w:val="005576C7"/>
    <w:rsid w:val="00564EA1"/>
    <w:rsid w:val="00566771"/>
    <w:rsid w:val="0057757A"/>
    <w:rsid w:val="00577E7D"/>
    <w:rsid w:val="00581E2E"/>
    <w:rsid w:val="00584F15"/>
    <w:rsid w:val="0058502D"/>
    <w:rsid w:val="0059514B"/>
    <w:rsid w:val="005968C7"/>
    <w:rsid w:val="005A1B0F"/>
    <w:rsid w:val="005A2E0E"/>
    <w:rsid w:val="005C128E"/>
    <w:rsid w:val="005D1935"/>
    <w:rsid w:val="005D1A0D"/>
    <w:rsid w:val="005D346C"/>
    <w:rsid w:val="005D40C1"/>
    <w:rsid w:val="005D7503"/>
    <w:rsid w:val="005E043F"/>
    <w:rsid w:val="005F343B"/>
    <w:rsid w:val="00613D7D"/>
    <w:rsid w:val="006163F7"/>
    <w:rsid w:val="00627C63"/>
    <w:rsid w:val="0063350B"/>
    <w:rsid w:val="00652606"/>
    <w:rsid w:val="006623E7"/>
    <w:rsid w:val="00671503"/>
    <w:rsid w:val="006946EE"/>
    <w:rsid w:val="006A58A9"/>
    <w:rsid w:val="006A606D"/>
    <w:rsid w:val="006B28C1"/>
    <w:rsid w:val="006B5025"/>
    <w:rsid w:val="006C0371"/>
    <w:rsid w:val="006C08B6"/>
    <w:rsid w:val="006C0B1A"/>
    <w:rsid w:val="006C6065"/>
    <w:rsid w:val="006C7F9F"/>
    <w:rsid w:val="006D0F46"/>
    <w:rsid w:val="006D2302"/>
    <w:rsid w:val="006D3EB5"/>
    <w:rsid w:val="006E2F6D"/>
    <w:rsid w:val="006E3FA2"/>
    <w:rsid w:val="006E58F6"/>
    <w:rsid w:val="006E77E1"/>
    <w:rsid w:val="006F131D"/>
    <w:rsid w:val="00711642"/>
    <w:rsid w:val="00715B57"/>
    <w:rsid w:val="007507C6"/>
    <w:rsid w:val="00751E0B"/>
    <w:rsid w:val="00752BCD"/>
    <w:rsid w:val="00757CA1"/>
    <w:rsid w:val="00766DA1"/>
    <w:rsid w:val="00770887"/>
    <w:rsid w:val="007778F8"/>
    <w:rsid w:val="00780D94"/>
    <w:rsid w:val="00782044"/>
    <w:rsid w:val="007866A6"/>
    <w:rsid w:val="007A130D"/>
    <w:rsid w:val="007D1A2D"/>
    <w:rsid w:val="007D2BA4"/>
    <w:rsid w:val="007D3040"/>
    <w:rsid w:val="007D4102"/>
    <w:rsid w:val="007D7BA3"/>
    <w:rsid w:val="007F43B7"/>
    <w:rsid w:val="007F5817"/>
    <w:rsid w:val="0081051C"/>
    <w:rsid w:val="0081742B"/>
    <w:rsid w:val="00821FFC"/>
    <w:rsid w:val="0082677C"/>
    <w:rsid w:val="008271CA"/>
    <w:rsid w:val="0083766B"/>
    <w:rsid w:val="008467D5"/>
    <w:rsid w:val="008A4DC4"/>
    <w:rsid w:val="008A6692"/>
    <w:rsid w:val="008B438C"/>
    <w:rsid w:val="008C0CEB"/>
    <w:rsid w:val="008D06CA"/>
    <w:rsid w:val="008D3A46"/>
    <w:rsid w:val="008F14D0"/>
    <w:rsid w:val="00901F18"/>
    <w:rsid w:val="009054BD"/>
    <w:rsid w:val="009067A4"/>
    <w:rsid w:val="00930885"/>
    <w:rsid w:val="00933D68"/>
    <w:rsid w:val="009340DB"/>
    <w:rsid w:val="0094143D"/>
    <w:rsid w:val="00945B21"/>
    <w:rsid w:val="0094618C"/>
    <w:rsid w:val="0095401A"/>
    <w:rsid w:val="0095684B"/>
    <w:rsid w:val="00972498"/>
    <w:rsid w:val="0097481F"/>
    <w:rsid w:val="00974CC6"/>
    <w:rsid w:val="00976AD4"/>
    <w:rsid w:val="009927A2"/>
    <w:rsid w:val="00995547"/>
    <w:rsid w:val="009A12D3"/>
    <w:rsid w:val="009A3037"/>
    <w:rsid w:val="009A312F"/>
    <w:rsid w:val="009A5348"/>
    <w:rsid w:val="009B03E3"/>
    <w:rsid w:val="009B0AB7"/>
    <w:rsid w:val="009C76D5"/>
    <w:rsid w:val="009E7F46"/>
    <w:rsid w:val="009F7AA4"/>
    <w:rsid w:val="00A10AD7"/>
    <w:rsid w:val="00A13E08"/>
    <w:rsid w:val="00A3714E"/>
    <w:rsid w:val="00A53280"/>
    <w:rsid w:val="00A559DB"/>
    <w:rsid w:val="00A569EA"/>
    <w:rsid w:val="00A57398"/>
    <w:rsid w:val="00A7518D"/>
    <w:rsid w:val="00A855D5"/>
    <w:rsid w:val="00AB289E"/>
    <w:rsid w:val="00AF35FC"/>
    <w:rsid w:val="00AF5556"/>
    <w:rsid w:val="00B03639"/>
    <w:rsid w:val="00B0652A"/>
    <w:rsid w:val="00B40937"/>
    <w:rsid w:val="00B423EF"/>
    <w:rsid w:val="00B45236"/>
    <w:rsid w:val="00B453DE"/>
    <w:rsid w:val="00B6594E"/>
    <w:rsid w:val="00B679E9"/>
    <w:rsid w:val="00B72597"/>
    <w:rsid w:val="00B901F9"/>
    <w:rsid w:val="00B95013"/>
    <w:rsid w:val="00BB5EC0"/>
    <w:rsid w:val="00BC41DE"/>
    <w:rsid w:val="00BD6EFB"/>
    <w:rsid w:val="00BE4A0C"/>
    <w:rsid w:val="00BF7F3A"/>
    <w:rsid w:val="00C1584D"/>
    <w:rsid w:val="00C15BE2"/>
    <w:rsid w:val="00C162DC"/>
    <w:rsid w:val="00C27334"/>
    <w:rsid w:val="00C3447F"/>
    <w:rsid w:val="00C37C6F"/>
    <w:rsid w:val="00C547ED"/>
    <w:rsid w:val="00C60FC1"/>
    <w:rsid w:val="00C67102"/>
    <w:rsid w:val="00C67AF9"/>
    <w:rsid w:val="00C81491"/>
    <w:rsid w:val="00C81676"/>
    <w:rsid w:val="00C85C5D"/>
    <w:rsid w:val="00C92CC4"/>
    <w:rsid w:val="00CA04B8"/>
    <w:rsid w:val="00CA0AFB"/>
    <w:rsid w:val="00CA2CE1"/>
    <w:rsid w:val="00CA3976"/>
    <w:rsid w:val="00CA50E3"/>
    <w:rsid w:val="00CA757B"/>
    <w:rsid w:val="00CB4EF4"/>
    <w:rsid w:val="00CC1130"/>
    <w:rsid w:val="00CC1787"/>
    <w:rsid w:val="00CC182C"/>
    <w:rsid w:val="00CC2BAA"/>
    <w:rsid w:val="00CD0824"/>
    <w:rsid w:val="00CD2908"/>
    <w:rsid w:val="00CE1A09"/>
    <w:rsid w:val="00D03A82"/>
    <w:rsid w:val="00D13667"/>
    <w:rsid w:val="00D15344"/>
    <w:rsid w:val="00D16642"/>
    <w:rsid w:val="00D16CF6"/>
    <w:rsid w:val="00D23F57"/>
    <w:rsid w:val="00D2778C"/>
    <w:rsid w:val="00D31BEC"/>
    <w:rsid w:val="00D34D1F"/>
    <w:rsid w:val="00D459B1"/>
    <w:rsid w:val="00D63150"/>
    <w:rsid w:val="00D636BA"/>
    <w:rsid w:val="00D64A32"/>
    <w:rsid w:val="00D64EFC"/>
    <w:rsid w:val="00D75295"/>
    <w:rsid w:val="00D76CE9"/>
    <w:rsid w:val="00D82E4C"/>
    <w:rsid w:val="00D84BF8"/>
    <w:rsid w:val="00D97F12"/>
    <w:rsid w:val="00DA6095"/>
    <w:rsid w:val="00DB42E7"/>
    <w:rsid w:val="00DD7AC5"/>
    <w:rsid w:val="00DE01A6"/>
    <w:rsid w:val="00DE31B8"/>
    <w:rsid w:val="00DE7A98"/>
    <w:rsid w:val="00DE7E4D"/>
    <w:rsid w:val="00DF32C2"/>
    <w:rsid w:val="00E000F4"/>
    <w:rsid w:val="00E126E9"/>
    <w:rsid w:val="00E259C6"/>
    <w:rsid w:val="00E41A38"/>
    <w:rsid w:val="00E471A7"/>
    <w:rsid w:val="00E56996"/>
    <w:rsid w:val="00E635CF"/>
    <w:rsid w:val="00E73603"/>
    <w:rsid w:val="00E8749A"/>
    <w:rsid w:val="00EA45DE"/>
    <w:rsid w:val="00EC4D30"/>
    <w:rsid w:val="00EC6E0A"/>
    <w:rsid w:val="00ED38B4"/>
    <w:rsid w:val="00ED4D9E"/>
    <w:rsid w:val="00ED4E18"/>
    <w:rsid w:val="00EE1F37"/>
    <w:rsid w:val="00F0159C"/>
    <w:rsid w:val="00F075A8"/>
    <w:rsid w:val="00F105B7"/>
    <w:rsid w:val="00F13220"/>
    <w:rsid w:val="00F17A21"/>
    <w:rsid w:val="00F37B27"/>
    <w:rsid w:val="00F46556"/>
    <w:rsid w:val="00F50E91"/>
    <w:rsid w:val="00F57D29"/>
    <w:rsid w:val="00F80F08"/>
    <w:rsid w:val="00F96201"/>
    <w:rsid w:val="00FA134A"/>
    <w:rsid w:val="00FB0A4C"/>
    <w:rsid w:val="00FD0B18"/>
    <w:rsid w:val="00FD25A6"/>
    <w:rsid w:val="00FD2FAD"/>
    <w:rsid w:val="00FD454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985D91"/>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521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2079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YMY"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iveypubs.my.salesforce.com/003A000001p0EOT" TargetMode="External"/><Relationship Id="rId4" Type="http://schemas.openxmlformats.org/officeDocument/2006/relationships/settings" Target="settings.xml"/><Relationship Id="rId9" Type="http://schemas.openxmlformats.org/officeDocument/2006/relationships/hyperlink" Target="https://iveypubs.my.salesforce.com/003A000001EUF8V" TargetMode="Externa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8FD1-04E1-4D4A-AE7A-F538AF27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4564</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2018-11-28T20:55:00Z</cp:lastPrinted>
  <dcterms:created xsi:type="dcterms:W3CDTF">2018-11-28T20:55:00Z</dcterms:created>
  <dcterms:modified xsi:type="dcterms:W3CDTF">2018-12-07T19:12:00Z</dcterms:modified>
</cp:coreProperties>
</file>