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E0144" w14:textId="77777777" w:rsidR="00853D12" w:rsidRDefault="00853D12" w:rsidP="00853D12">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7F1BE57" wp14:editId="1020070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F6384FE" w14:textId="099B22ED" w:rsidR="00853D12" w:rsidRDefault="008F0F21" w:rsidP="00853D12">
      <w:pPr>
        <w:pStyle w:val="ProductNumber"/>
      </w:pPr>
      <w:r>
        <w:t>9B18A067</w:t>
      </w:r>
    </w:p>
    <w:p w14:paraId="4E057522" w14:textId="77777777" w:rsidR="00D75295" w:rsidRPr="00A662B2" w:rsidRDefault="00D75295" w:rsidP="00D75295">
      <w:pPr>
        <w:jc w:val="right"/>
        <w:rPr>
          <w:rFonts w:ascii="Arial" w:hAnsi="Arial"/>
          <w:b/>
          <w:sz w:val="28"/>
          <w:szCs w:val="28"/>
        </w:rPr>
      </w:pPr>
    </w:p>
    <w:p w14:paraId="426B7211" w14:textId="77777777" w:rsidR="00013360" w:rsidRPr="00A662B2" w:rsidRDefault="00013360" w:rsidP="00D75295">
      <w:pPr>
        <w:jc w:val="right"/>
        <w:rPr>
          <w:rFonts w:ascii="Arial" w:hAnsi="Arial"/>
          <w:b/>
          <w:sz w:val="28"/>
          <w:szCs w:val="28"/>
        </w:rPr>
      </w:pPr>
    </w:p>
    <w:p w14:paraId="2F03D26A" w14:textId="67910863" w:rsidR="00013360" w:rsidRPr="00A662B2" w:rsidRDefault="005A0486" w:rsidP="00013360">
      <w:pPr>
        <w:pStyle w:val="CaseTitle"/>
        <w:spacing w:after="0" w:line="240" w:lineRule="auto"/>
        <w:rPr>
          <w:sz w:val="20"/>
          <w:szCs w:val="20"/>
        </w:rPr>
      </w:pPr>
      <w:r w:rsidRPr="00A662B2">
        <w:rPr>
          <w:rFonts w:eastAsia="Arial"/>
        </w:rPr>
        <w:t>INTELLIGENT AVIONICS</w:t>
      </w:r>
      <w:r w:rsidR="00EE3B9C">
        <w:rPr>
          <w:rFonts w:eastAsia="Arial"/>
        </w:rPr>
        <w:t xml:space="preserve">: </w:t>
      </w:r>
      <w:bookmarkStart w:id="0" w:name="_Hlk525393992"/>
      <w:r w:rsidR="00DD03F6">
        <w:rPr>
          <w:rFonts w:eastAsia="Arial"/>
        </w:rPr>
        <w:t>Breaking into the Inflight</w:t>
      </w:r>
      <w:r w:rsidR="004B295D">
        <w:rPr>
          <w:rFonts w:eastAsia="Arial"/>
        </w:rPr>
        <w:t xml:space="preserve"> </w:t>
      </w:r>
      <w:r w:rsidR="00EE3B9C">
        <w:rPr>
          <w:rFonts w:eastAsia="Arial"/>
        </w:rPr>
        <w:t>Entertainment industry</w:t>
      </w:r>
      <w:r w:rsidR="00396F37">
        <w:rPr>
          <w:rFonts w:eastAsia="Arial"/>
        </w:rPr>
        <w:t xml:space="preserve"> </w:t>
      </w:r>
      <w:bookmarkEnd w:id="0"/>
    </w:p>
    <w:p w14:paraId="40ABF6FD" w14:textId="77777777" w:rsidR="00CA3976" w:rsidRPr="00A662B2" w:rsidRDefault="00CA3976" w:rsidP="00013360">
      <w:pPr>
        <w:pStyle w:val="CaseTitle"/>
        <w:spacing w:after="0" w:line="240" w:lineRule="auto"/>
        <w:rPr>
          <w:sz w:val="20"/>
          <w:szCs w:val="20"/>
        </w:rPr>
      </w:pPr>
    </w:p>
    <w:p w14:paraId="202F1085" w14:textId="77777777" w:rsidR="00013360" w:rsidRPr="00A662B2" w:rsidRDefault="00013360" w:rsidP="00013360">
      <w:pPr>
        <w:pStyle w:val="CaseTitle"/>
        <w:spacing w:after="0" w:line="240" w:lineRule="auto"/>
        <w:rPr>
          <w:sz w:val="20"/>
          <w:szCs w:val="20"/>
        </w:rPr>
      </w:pPr>
    </w:p>
    <w:p w14:paraId="58B0C73F" w14:textId="59B9FA8D" w:rsidR="00086B26" w:rsidRPr="00A662B2" w:rsidRDefault="005A0486" w:rsidP="00086B26">
      <w:pPr>
        <w:pStyle w:val="StyleCopyrightStatementAfter0ptBottomSinglesolidline1"/>
      </w:pPr>
      <w:r w:rsidRPr="00A662B2">
        <w:rPr>
          <w:rFonts w:eastAsiaTheme="minorHAnsi" w:cs="Arial"/>
          <w:szCs w:val="16"/>
        </w:rPr>
        <w:t xml:space="preserve">Rob Britton, Robert Mackalski, Mary </w:t>
      </w:r>
      <w:proofErr w:type="spellStart"/>
      <w:r w:rsidRPr="00A662B2">
        <w:rPr>
          <w:rFonts w:eastAsiaTheme="minorHAnsi" w:cs="Arial"/>
          <w:szCs w:val="16"/>
        </w:rPr>
        <w:t>Dellar</w:t>
      </w:r>
      <w:proofErr w:type="spellEnd"/>
      <w:r w:rsidRPr="00A662B2">
        <w:rPr>
          <w:rFonts w:eastAsiaTheme="minorHAnsi" w:cs="Arial"/>
          <w:szCs w:val="16"/>
        </w:rPr>
        <w:t>, and Mary Tower</w:t>
      </w:r>
      <w:r w:rsidR="0064217E">
        <w:rPr>
          <w:rFonts w:eastAsiaTheme="minorHAnsi" w:cs="Arial"/>
          <w:szCs w:val="16"/>
        </w:rPr>
        <w:t>s</w:t>
      </w:r>
      <w:r w:rsidRPr="00A662B2">
        <w:rPr>
          <w:rFonts w:eastAsiaTheme="minorHAnsi" w:cs="Arial"/>
          <w:szCs w:val="16"/>
        </w:rPr>
        <w:t xml:space="preserve"> </w:t>
      </w:r>
      <w:r w:rsidR="00086B26" w:rsidRPr="00A662B2">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A662B2" w:rsidRDefault="00086B26" w:rsidP="00086B26">
      <w:pPr>
        <w:pStyle w:val="StyleCopyrightStatementAfter0ptBottomSinglesolidline1"/>
      </w:pPr>
    </w:p>
    <w:p w14:paraId="47F4B290" w14:textId="10F6238F" w:rsidR="00853D12" w:rsidRPr="00C02410" w:rsidRDefault="00853D12" w:rsidP="00853D12">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1731B01" w14:textId="77777777" w:rsidR="00853D12" w:rsidRPr="00C02410" w:rsidRDefault="00853D12" w:rsidP="00853D12">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01E4D592" w:rsidR="00751E0B" w:rsidRPr="00A662B2" w:rsidRDefault="00853D12" w:rsidP="00853D12">
      <w:pPr>
        <w:pStyle w:val="StyleStyleCopyrightStatementAfter0ptBottomSinglesolid"/>
        <w:rPr>
          <w:rFonts w:cs="Arial"/>
          <w:szCs w:val="16"/>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sidR="00CD2A9D">
        <w:rPr>
          <w:rFonts w:cs="Arial"/>
          <w:iCs w:val="0"/>
          <w:color w:val="auto"/>
          <w:szCs w:val="16"/>
        </w:rPr>
        <w:t>2020-01-27</w:t>
      </w:r>
      <w:bookmarkStart w:id="1" w:name="_GoBack"/>
      <w:bookmarkEnd w:id="1"/>
    </w:p>
    <w:p w14:paraId="0A2A54E4" w14:textId="77777777" w:rsidR="00751E0B" w:rsidRPr="00A662B2" w:rsidRDefault="00751E0B" w:rsidP="00751E0B">
      <w:pPr>
        <w:pStyle w:val="StyleCopyrightStatementAfter0ptBottomSinglesolidline1"/>
        <w:rPr>
          <w:rFonts w:ascii="Times New Roman" w:hAnsi="Times New Roman"/>
          <w:sz w:val="20"/>
        </w:rPr>
      </w:pPr>
    </w:p>
    <w:p w14:paraId="2C183161" w14:textId="77777777" w:rsidR="00B87DC0" w:rsidRPr="00A662B2" w:rsidRDefault="00B87DC0" w:rsidP="005A0486">
      <w:pPr>
        <w:pStyle w:val="BodyTextMain"/>
      </w:pPr>
    </w:p>
    <w:p w14:paraId="32A80C3A" w14:textId="41FBB2C7" w:rsidR="00471F3B" w:rsidRDefault="005A0486" w:rsidP="005A0486">
      <w:pPr>
        <w:pStyle w:val="BodyTextMain"/>
        <w:rPr>
          <w:color w:val="000000" w:themeColor="text1"/>
          <w:spacing w:val="-2"/>
        </w:rPr>
      </w:pPr>
      <w:r w:rsidRPr="006E3E4E">
        <w:rPr>
          <w:color w:val="000000" w:themeColor="text1"/>
          <w:spacing w:val="-2"/>
        </w:rPr>
        <w:t xml:space="preserve">As his laptop screen went momentarily dark in the glare of the sun, </w:t>
      </w:r>
      <w:proofErr w:type="spellStart"/>
      <w:r w:rsidRPr="006E3E4E">
        <w:rPr>
          <w:color w:val="000000" w:themeColor="text1"/>
          <w:spacing w:val="-2"/>
        </w:rPr>
        <w:t>Dr.</w:t>
      </w:r>
      <w:proofErr w:type="spellEnd"/>
      <w:r w:rsidRPr="006E3E4E">
        <w:rPr>
          <w:color w:val="000000" w:themeColor="text1"/>
          <w:spacing w:val="-2"/>
        </w:rPr>
        <w:t xml:space="preserve"> Rob Britton paused from his work to peer out the small, oblong window to his right. On this April evening in 2012, an indigo expanse flecked with downy strokes of white met his gaze. Britton was a seasoned </w:t>
      </w:r>
      <w:r w:rsidR="00222980" w:rsidRPr="006E3E4E">
        <w:rPr>
          <w:color w:val="000000" w:themeColor="text1"/>
          <w:spacing w:val="-2"/>
        </w:rPr>
        <w:t>traveller</w:t>
      </w:r>
      <w:r w:rsidRPr="006E3E4E">
        <w:rPr>
          <w:color w:val="000000" w:themeColor="text1"/>
          <w:spacing w:val="-2"/>
        </w:rPr>
        <w:t xml:space="preserve">, yet the sight of the North Atlantic </w:t>
      </w:r>
      <w:proofErr w:type="gramStart"/>
      <w:r w:rsidR="00C3128B" w:rsidRPr="006E3E4E">
        <w:rPr>
          <w:color w:val="000000" w:themeColor="text1"/>
          <w:spacing w:val="-2"/>
        </w:rPr>
        <w:t>ocean</w:t>
      </w:r>
      <w:proofErr w:type="gramEnd"/>
      <w:r w:rsidR="00C3128B" w:rsidRPr="006E3E4E">
        <w:rPr>
          <w:color w:val="000000" w:themeColor="text1"/>
          <w:spacing w:val="-2"/>
        </w:rPr>
        <w:t xml:space="preserve"> </w:t>
      </w:r>
      <w:r w:rsidRPr="006E3E4E">
        <w:rPr>
          <w:color w:val="000000" w:themeColor="text1"/>
          <w:spacing w:val="-2"/>
        </w:rPr>
        <w:t>at 35,000 feet</w:t>
      </w:r>
      <w:r w:rsidR="00C3128B" w:rsidRPr="006E3E4E">
        <w:rPr>
          <w:color w:val="000000" w:themeColor="text1"/>
          <w:spacing w:val="-2"/>
        </w:rPr>
        <w:t xml:space="preserve"> </w:t>
      </w:r>
      <w:r w:rsidRPr="006E3E4E">
        <w:rPr>
          <w:color w:val="000000" w:themeColor="text1"/>
          <w:spacing w:val="-2"/>
        </w:rPr>
        <w:t>never grew old. His lifelong wanderlust had inspired a rich and fulfilling career. Having worked in the travel and airline industries for more than 40 years, Britton could unequivocally say that he loved his job</w:t>
      </w:r>
      <w:r w:rsidR="00C3128B" w:rsidRPr="006E3E4E">
        <w:rPr>
          <w:color w:val="000000" w:themeColor="text1"/>
          <w:spacing w:val="-2"/>
        </w:rPr>
        <w:t>—</w:t>
      </w:r>
      <w:r w:rsidRPr="006E3E4E">
        <w:rPr>
          <w:color w:val="000000" w:themeColor="text1"/>
          <w:spacing w:val="-2"/>
        </w:rPr>
        <w:t xml:space="preserve">although he was “officially” retired. </w:t>
      </w:r>
    </w:p>
    <w:p w14:paraId="6C6C6B6C" w14:textId="77777777" w:rsidR="00471F3B" w:rsidRDefault="00471F3B" w:rsidP="005A0486">
      <w:pPr>
        <w:pStyle w:val="BodyTextMain"/>
        <w:rPr>
          <w:color w:val="000000" w:themeColor="text1"/>
          <w:spacing w:val="-2"/>
        </w:rPr>
      </w:pPr>
    </w:p>
    <w:p w14:paraId="1D5677FF" w14:textId="3F28BC41" w:rsidR="005A0486" w:rsidRPr="00FA6BBF" w:rsidRDefault="005A0486" w:rsidP="005A0486">
      <w:pPr>
        <w:pStyle w:val="BodyTextMain"/>
        <w:rPr>
          <w:color w:val="000000" w:themeColor="text1"/>
          <w:spacing w:val="-4"/>
        </w:rPr>
      </w:pPr>
      <w:r w:rsidRPr="00FA6BBF">
        <w:rPr>
          <w:color w:val="000000" w:themeColor="text1"/>
          <w:spacing w:val="-4"/>
        </w:rPr>
        <w:t xml:space="preserve">Retirement had come after </w:t>
      </w:r>
      <w:r w:rsidR="00C3128B" w:rsidRPr="00FA6BBF">
        <w:rPr>
          <w:color w:val="000000" w:themeColor="text1"/>
          <w:spacing w:val="-4"/>
        </w:rPr>
        <w:t>22</w:t>
      </w:r>
      <w:r w:rsidRPr="00FA6BBF">
        <w:rPr>
          <w:color w:val="000000" w:themeColor="text1"/>
          <w:spacing w:val="-4"/>
        </w:rPr>
        <w:t xml:space="preserve"> years with American Airlines</w:t>
      </w:r>
      <w:r w:rsidR="00C3128B" w:rsidRPr="00FA6BBF">
        <w:rPr>
          <w:color w:val="000000" w:themeColor="text1"/>
          <w:spacing w:val="-4"/>
        </w:rPr>
        <w:t>, Inc.</w:t>
      </w:r>
      <w:r w:rsidR="00F459D0" w:rsidRPr="00FA6BBF">
        <w:rPr>
          <w:color w:val="000000" w:themeColor="text1"/>
          <w:spacing w:val="-4"/>
        </w:rPr>
        <w:t>,</w:t>
      </w:r>
      <w:r w:rsidRPr="00FA6BBF">
        <w:rPr>
          <w:color w:val="000000" w:themeColor="text1"/>
          <w:spacing w:val="-4"/>
        </w:rPr>
        <w:t xml:space="preserve"> in a range of leadership roles, including corporate communications, </w:t>
      </w:r>
      <w:r w:rsidR="00C3128B" w:rsidRPr="00FA6BBF">
        <w:rPr>
          <w:color w:val="000000" w:themeColor="text1"/>
          <w:spacing w:val="-4"/>
        </w:rPr>
        <w:t>food</w:t>
      </w:r>
      <w:r w:rsidR="004B295D" w:rsidRPr="00FA6BBF">
        <w:rPr>
          <w:color w:val="000000" w:themeColor="text1"/>
          <w:spacing w:val="-4"/>
        </w:rPr>
        <w:t xml:space="preserve"> </w:t>
      </w:r>
      <w:r w:rsidR="00C3128B" w:rsidRPr="00FA6BBF">
        <w:rPr>
          <w:color w:val="000000" w:themeColor="text1"/>
          <w:spacing w:val="-4"/>
        </w:rPr>
        <w:t>and</w:t>
      </w:r>
      <w:r w:rsidR="004B295D" w:rsidRPr="00FA6BBF">
        <w:rPr>
          <w:color w:val="000000" w:themeColor="text1"/>
          <w:spacing w:val="-4"/>
        </w:rPr>
        <w:t xml:space="preserve"> </w:t>
      </w:r>
      <w:r w:rsidR="00C3128B" w:rsidRPr="00FA6BBF">
        <w:rPr>
          <w:color w:val="000000" w:themeColor="text1"/>
          <w:spacing w:val="-4"/>
        </w:rPr>
        <w:t>beverage</w:t>
      </w:r>
      <w:r w:rsidRPr="00FA6BBF">
        <w:rPr>
          <w:color w:val="000000" w:themeColor="text1"/>
          <w:spacing w:val="-4"/>
        </w:rPr>
        <w:t xml:space="preserve"> services, advertising and marketing planning, and inflight service. Unsurprisingly, Britton’s years of experience made him an invaluable asset to Intelligent Avionics Ltd. (IA), an entrepreneurial company </w:t>
      </w:r>
      <w:r w:rsidR="00213FC8" w:rsidRPr="00FA6BBF">
        <w:rPr>
          <w:color w:val="000000" w:themeColor="text1"/>
          <w:spacing w:val="-4"/>
        </w:rPr>
        <w:t xml:space="preserve">that </w:t>
      </w:r>
      <w:r w:rsidRPr="00FA6BBF">
        <w:rPr>
          <w:color w:val="000000" w:themeColor="text1"/>
          <w:spacing w:val="-4"/>
        </w:rPr>
        <w:t>hop</w:t>
      </w:r>
      <w:r w:rsidR="00213FC8" w:rsidRPr="00FA6BBF">
        <w:rPr>
          <w:color w:val="000000" w:themeColor="text1"/>
          <w:spacing w:val="-4"/>
        </w:rPr>
        <w:t>ed</w:t>
      </w:r>
      <w:r w:rsidRPr="00FA6BBF">
        <w:rPr>
          <w:color w:val="000000" w:themeColor="text1"/>
          <w:spacing w:val="-4"/>
        </w:rPr>
        <w:t xml:space="preserve"> to break into the inflight entertainment (IFE) industry under its own brand name: AURA. </w:t>
      </w:r>
      <w:r w:rsidR="006E676D" w:rsidRPr="00FA6BBF">
        <w:rPr>
          <w:color w:val="000000" w:themeColor="text1"/>
          <w:spacing w:val="-4"/>
        </w:rPr>
        <w:t xml:space="preserve">According to </w:t>
      </w:r>
      <w:r w:rsidRPr="00FA6BBF">
        <w:rPr>
          <w:color w:val="000000" w:themeColor="text1"/>
          <w:spacing w:val="-4"/>
        </w:rPr>
        <w:t>Britton</w:t>
      </w:r>
      <w:r w:rsidR="006E676D" w:rsidRPr="00FA6BBF">
        <w:rPr>
          <w:color w:val="000000" w:themeColor="text1"/>
          <w:spacing w:val="-4"/>
        </w:rPr>
        <w:t>, he</w:t>
      </w:r>
      <w:r w:rsidRPr="00FA6BBF">
        <w:rPr>
          <w:color w:val="000000" w:themeColor="text1"/>
          <w:spacing w:val="-4"/>
        </w:rPr>
        <w:t xml:space="preserve"> enthusiastically joined IA’s team </w:t>
      </w:r>
      <w:r w:rsidR="00213FC8" w:rsidRPr="00FA6BBF">
        <w:rPr>
          <w:color w:val="000000" w:themeColor="text1"/>
          <w:spacing w:val="-4"/>
        </w:rPr>
        <w:t>in 2010 because</w:t>
      </w:r>
      <w:r w:rsidRPr="00FA6BBF">
        <w:rPr>
          <w:color w:val="000000" w:themeColor="text1"/>
          <w:spacing w:val="-4"/>
        </w:rPr>
        <w:t xml:space="preserve"> “working for a small, nimble start-up after years with large and often slow-moving companies was appealing, as was the prospect of selling a tangible product”</w:t>
      </w:r>
      <w:r w:rsidR="00F459D0" w:rsidRPr="00FA6BBF">
        <w:rPr>
          <w:color w:val="000000" w:themeColor="text1"/>
          <w:spacing w:val="-4"/>
        </w:rPr>
        <w:t xml:space="preserve"> (see Exhibit 1). </w:t>
      </w:r>
      <w:r w:rsidR="006E676D" w:rsidRPr="00FA6BBF">
        <w:rPr>
          <w:color w:val="000000" w:themeColor="text1"/>
          <w:spacing w:val="-4"/>
        </w:rPr>
        <w:t xml:space="preserve">Britton served as IA’s </w:t>
      </w:r>
      <w:r w:rsidR="00F459D0" w:rsidRPr="00FA6BBF">
        <w:rPr>
          <w:color w:val="000000" w:themeColor="text1"/>
          <w:spacing w:val="-4"/>
        </w:rPr>
        <w:t>vice-president</w:t>
      </w:r>
      <w:r w:rsidR="006E676D" w:rsidRPr="00FA6BBF">
        <w:rPr>
          <w:color w:val="000000" w:themeColor="text1"/>
          <w:spacing w:val="-4"/>
        </w:rPr>
        <w:t xml:space="preserve"> of marketing on</w:t>
      </w:r>
      <w:r w:rsidRPr="00FA6BBF">
        <w:rPr>
          <w:color w:val="000000" w:themeColor="text1"/>
          <w:spacing w:val="-4"/>
        </w:rPr>
        <w:t xml:space="preserve"> a consulting basis. He was responsible for marketing communications worldwide and sales in the </w:t>
      </w:r>
      <w:r w:rsidR="006E676D" w:rsidRPr="00FA6BBF">
        <w:rPr>
          <w:color w:val="000000" w:themeColor="text1"/>
          <w:spacing w:val="-4"/>
        </w:rPr>
        <w:t>western hemisphere</w:t>
      </w:r>
      <w:r w:rsidRPr="00FA6BBF">
        <w:rPr>
          <w:color w:val="000000" w:themeColor="text1"/>
          <w:spacing w:val="-4"/>
        </w:rPr>
        <w:t xml:space="preserve">. </w:t>
      </w:r>
    </w:p>
    <w:p w14:paraId="19462650" w14:textId="77777777" w:rsidR="005A0486" w:rsidRPr="00EB1809" w:rsidRDefault="005A0486" w:rsidP="006E3E4E">
      <w:pPr>
        <w:pStyle w:val="BodyTextMain"/>
        <w:rPr>
          <w:sz w:val="20"/>
        </w:rPr>
      </w:pPr>
    </w:p>
    <w:p w14:paraId="47E5520F" w14:textId="77777777" w:rsidR="00471F3B" w:rsidRDefault="005A0486" w:rsidP="005A0486">
      <w:pPr>
        <w:pStyle w:val="BodyTextMain"/>
        <w:rPr>
          <w:spacing w:val="-2"/>
        </w:rPr>
      </w:pPr>
      <w:r w:rsidRPr="00853D12">
        <w:rPr>
          <w:color w:val="000000" w:themeColor="text1"/>
          <w:spacing w:val="-2"/>
        </w:rPr>
        <w:t>Diverting his gaze from the window, Britton returned to his notes detailing the past few days. He and half a dozen IA team members had promoted AURA at the Aircraft Interiors Expo (AIX), an industry trade show held annually in Hamburg</w:t>
      </w:r>
      <w:r w:rsidR="009B43AE" w:rsidRPr="00853D12">
        <w:rPr>
          <w:color w:val="000000" w:themeColor="text1"/>
          <w:spacing w:val="-2"/>
        </w:rPr>
        <w:t>, Germany</w:t>
      </w:r>
      <w:r w:rsidRPr="00853D12">
        <w:rPr>
          <w:color w:val="000000" w:themeColor="text1"/>
          <w:spacing w:val="-2"/>
        </w:rPr>
        <w:t xml:space="preserve">. AIX had been disappointing, and Britton wanted to help devise a concrete plan for moving forward. Although AURA had many interested prospects worldwide, it had no launch customer. Britton knew that in order to secure a customer base, IA first needed to decide </w:t>
      </w:r>
      <w:r w:rsidR="006C3C0B" w:rsidRPr="00853D12">
        <w:rPr>
          <w:color w:val="000000" w:themeColor="text1"/>
          <w:spacing w:val="-2"/>
        </w:rPr>
        <w:t>which</w:t>
      </w:r>
      <w:r w:rsidRPr="00853D12">
        <w:rPr>
          <w:color w:val="000000" w:themeColor="text1"/>
          <w:spacing w:val="-2"/>
        </w:rPr>
        <w:t xml:space="preserve"> product line it was going </w:t>
      </w:r>
      <w:r w:rsidR="006C3C0B" w:rsidRPr="00853D12">
        <w:rPr>
          <w:color w:val="000000" w:themeColor="text1"/>
          <w:spacing w:val="-2"/>
        </w:rPr>
        <w:t xml:space="preserve">to </w:t>
      </w:r>
      <w:r w:rsidRPr="00853D12">
        <w:rPr>
          <w:color w:val="000000" w:themeColor="text1"/>
          <w:spacing w:val="-2"/>
        </w:rPr>
        <w:t xml:space="preserve">market. </w:t>
      </w:r>
      <w:r w:rsidRPr="00853D12">
        <w:rPr>
          <w:spacing w:val="-2"/>
        </w:rPr>
        <w:t xml:space="preserve">Initially, AURA was to be a next-generation, </w:t>
      </w:r>
      <w:r w:rsidR="006C3C0B" w:rsidRPr="00853D12">
        <w:rPr>
          <w:spacing w:val="-2"/>
        </w:rPr>
        <w:t xml:space="preserve">seat-centric </w:t>
      </w:r>
      <w:r w:rsidRPr="00853D12">
        <w:rPr>
          <w:spacing w:val="-2"/>
        </w:rPr>
        <w:t xml:space="preserve">system. This inaugural system was branded AURA Works midway through the development phase, when IA chose to offer customers two additional options: AURA One and AURA Connected. </w:t>
      </w:r>
      <w:bookmarkStart w:id="2" w:name="_Hlk525394331"/>
    </w:p>
    <w:p w14:paraId="1C73F8F6" w14:textId="77777777" w:rsidR="00471F3B" w:rsidRDefault="00471F3B" w:rsidP="005A0486">
      <w:pPr>
        <w:pStyle w:val="BodyTextMain"/>
        <w:rPr>
          <w:spacing w:val="-2"/>
        </w:rPr>
      </w:pPr>
    </w:p>
    <w:p w14:paraId="33389924" w14:textId="4389E71C" w:rsidR="005A0486" w:rsidRPr="00853D12" w:rsidRDefault="005A0486" w:rsidP="005A0486">
      <w:pPr>
        <w:pStyle w:val="BodyTextMain"/>
        <w:rPr>
          <w:color w:val="000000" w:themeColor="text1"/>
          <w:spacing w:val="-2"/>
        </w:rPr>
      </w:pPr>
      <w:r w:rsidRPr="00853D12">
        <w:rPr>
          <w:color w:val="000000" w:themeColor="text1"/>
          <w:spacing w:val="-2"/>
        </w:rPr>
        <w:t xml:space="preserve">With a small development team working on three IFE system designs, the time had come to meet with IA’s leaders to determine where the company should focus its efforts. </w:t>
      </w:r>
      <w:bookmarkStart w:id="3" w:name="_Hlk525394382"/>
      <w:bookmarkEnd w:id="2"/>
      <w:r w:rsidRPr="00853D12">
        <w:rPr>
          <w:color w:val="000000" w:themeColor="text1"/>
          <w:spacing w:val="-2"/>
        </w:rPr>
        <w:t xml:space="preserve">How should IA market and launch its offerings? In addition to contemplating which lines IA should bring to market, organizational and locational issues gnawed at Britton. He struggled with the company’s virtual structure, given that IA was </w:t>
      </w:r>
      <w:r w:rsidR="006C3C0B" w:rsidRPr="00853D12">
        <w:rPr>
          <w:color w:val="000000" w:themeColor="text1"/>
          <w:spacing w:val="-2"/>
        </w:rPr>
        <w:t xml:space="preserve">composed </w:t>
      </w:r>
      <w:r w:rsidRPr="00853D12">
        <w:rPr>
          <w:color w:val="000000" w:themeColor="text1"/>
          <w:spacing w:val="-2"/>
        </w:rPr>
        <w:t xml:space="preserve">of fewer than 15 staff </w:t>
      </w:r>
      <w:r w:rsidR="001A10A9" w:rsidRPr="00853D12">
        <w:rPr>
          <w:color w:val="000000" w:themeColor="text1"/>
          <w:spacing w:val="-2"/>
        </w:rPr>
        <w:t xml:space="preserve">members </w:t>
      </w:r>
      <w:r w:rsidRPr="00853D12">
        <w:rPr>
          <w:color w:val="000000" w:themeColor="text1"/>
          <w:spacing w:val="-2"/>
        </w:rPr>
        <w:t>living in five different countries (</w:t>
      </w:r>
      <w:r w:rsidR="004545F8" w:rsidRPr="00853D12">
        <w:rPr>
          <w:color w:val="000000" w:themeColor="text1"/>
          <w:spacing w:val="-2"/>
        </w:rPr>
        <w:t xml:space="preserve">see </w:t>
      </w:r>
      <w:r w:rsidRPr="00853D12">
        <w:rPr>
          <w:color w:val="000000" w:themeColor="text1"/>
          <w:spacing w:val="-2"/>
        </w:rPr>
        <w:t xml:space="preserve">Exhibit 2). Britton contemplated how the structure was </w:t>
      </w:r>
      <w:r w:rsidR="004545F8" w:rsidRPr="00853D12">
        <w:rPr>
          <w:color w:val="000000" w:themeColor="text1"/>
          <w:spacing w:val="-2"/>
        </w:rPr>
        <w:t xml:space="preserve">affecting </w:t>
      </w:r>
      <w:r w:rsidRPr="00853D12">
        <w:rPr>
          <w:color w:val="000000" w:themeColor="text1"/>
          <w:spacing w:val="-2"/>
        </w:rPr>
        <w:t xml:space="preserve">IA’s effectiveness. </w:t>
      </w:r>
    </w:p>
    <w:bookmarkEnd w:id="3"/>
    <w:p w14:paraId="4936A069" w14:textId="005C86D2" w:rsidR="005A0486" w:rsidRPr="00A662B2" w:rsidRDefault="00BA21FC" w:rsidP="005A0486">
      <w:pPr>
        <w:pStyle w:val="Casehead1"/>
      </w:pPr>
      <w:r>
        <w:lastRenderedPageBreak/>
        <w:t xml:space="preserve">The </w:t>
      </w:r>
      <w:r w:rsidR="005A0486" w:rsidRPr="00A662B2">
        <w:t xml:space="preserve">History of </w:t>
      </w:r>
      <w:r>
        <w:t>Inflight Entertainment</w:t>
      </w:r>
    </w:p>
    <w:p w14:paraId="72546AFB" w14:textId="77777777" w:rsidR="005A0486" w:rsidRPr="00EB1809" w:rsidRDefault="005A0486" w:rsidP="005A0486">
      <w:pPr>
        <w:pStyle w:val="BodyTextMain"/>
        <w:keepNext/>
        <w:rPr>
          <w:color w:val="000000" w:themeColor="text1"/>
          <w:sz w:val="20"/>
        </w:rPr>
      </w:pPr>
    </w:p>
    <w:p w14:paraId="57A27663" w14:textId="77777777" w:rsidR="00471F3B" w:rsidRDefault="005A0486" w:rsidP="0064217E">
      <w:pPr>
        <w:pStyle w:val="BodyTextMain"/>
      </w:pPr>
      <w:r w:rsidRPr="00A662B2">
        <w:t xml:space="preserve">The </w:t>
      </w:r>
      <w:r w:rsidR="006E676D">
        <w:t>IFE</w:t>
      </w:r>
      <w:r w:rsidRPr="00A662B2">
        <w:t xml:space="preserve"> industry was nearly as old as commercial aviation itself. In the 1920s</w:t>
      </w:r>
      <w:r w:rsidR="007037EF">
        <w:t>—</w:t>
      </w:r>
      <w:r w:rsidRPr="00A662B2">
        <w:t xml:space="preserve">Hollywood’s </w:t>
      </w:r>
      <w:r w:rsidR="007037EF">
        <w:t>silent era—</w:t>
      </w:r>
      <w:r w:rsidRPr="00A662B2">
        <w:t xml:space="preserve">movie projectors and screens were installed on a few passenger aircraft. </w:t>
      </w:r>
      <w:r w:rsidR="007037EF">
        <w:t>However, it was not</w:t>
      </w:r>
      <w:r w:rsidRPr="00A662B2">
        <w:t xml:space="preserve"> until the 1960s that IFE technology really began. During this time, celluloid film looped through a series of projectors throughout the cabin; each projector sent sound to tiny speakers in armrests, which passengers listened to through soft plastic tubes and earpieces resembling toy stethoscopes. Although crude by today’s standards, such technology was a step toward individualizing passengers’ viewing experience. </w:t>
      </w:r>
    </w:p>
    <w:p w14:paraId="59990CBD" w14:textId="77777777" w:rsidR="00471F3B" w:rsidRDefault="00471F3B" w:rsidP="0064217E">
      <w:pPr>
        <w:pStyle w:val="BodyTextMain"/>
      </w:pPr>
    </w:p>
    <w:p w14:paraId="64831B8D" w14:textId="77777777" w:rsidR="00471F3B" w:rsidRDefault="005A0486" w:rsidP="0064217E">
      <w:pPr>
        <w:pStyle w:val="BodyTextMain"/>
      </w:pPr>
      <w:r w:rsidRPr="00A662B2">
        <w:t xml:space="preserve">IFE technology remained relatively unchanged for two decades. By the 1980s, it mirrored tape-based technologies found in homes. Multiple </w:t>
      </w:r>
      <w:r w:rsidR="007037EF">
        <w:t>videocassette (</w:t>
      </w:r>
      <w:r w:rsidRPr="00A662B2">
        <w:t>VHS</w:t>
      </w:r>
      <w:r w:rsidR="007037EF">
        <w:t>)</w:t>
      </w:r>
      <w:r w:rsidRPr="00A662B2">
        <w:t xml:space="preserve"> tapes were sequentially loaded into a single video player, and the signal </w:t>
      </w:r>
      <w:r w:rsidR="00C3200E">
        <w:t>travelled</w:t>
      </w:r>
      <w:r w:rsidR="00C3200E" w:rsidRPr="00A662B2">
        <w:t xml:space="preserve"> </w:t>
      </w:r>
      <w:r w:rsidRPr="00A662B2">
        <w:t xml:space="preserve">via cable to projectors throughout the cabin. One of the drawbacks of this system was that every passenger had to watch the same video channel at the same time. </w:t>
      </w:r>
    </w:p>
    <w:p w14:paraId="61DDFC0E" w14:textId="77777777" w:rsidR="00471F3B" w:rsidRDefault="00471F3B" w:rsidP="0064217E">
      <w:pPr>
        <w:pStyle w:val="BodyTextMain"/>
      </w:pPr>
    </w:p>
    <w:p w14:paraId="4FB4BC47" w14:textId="18CAEBB2" w:rsidR="005A0486" w:rsidRPr="00A662B2" w:rsidRDefault="005A0486" w:rsidP="0064217E">
      <w:pPr>
        <w:pStyle w:val="BodyTextMain"/>
      </w:pPr>
      <w:r w:rsidRPr="00A662B2">
        <w:t xml:space="preserve">The </w:t>
      </w:r>
      <w:r w:rsidR="00C3200E">
        <w:t>1990s</w:t>
      </w:r>
      <w:r w:rsidRPr="00A662B2">
        <w:t xml:space="preserve"> saw the development of </w:t>
      </w:r>
      <w:proofErr w:type="spellStart"/>
      <w:r w:rsidR="00C3200E">
        <w:t>audiovisual</w:t>
      </w:r>
      <w:proofErr w:type="spellEnd"/>
      <w:r w:rsidRPr="00A662B2">
        <w:t xml:space="preserve"> on demand (AVOD), which enabled passengers to choose what they wanted to watch and when they wanted to watch it, rather than viewing a single movie chosen by the airline and begun at the convenience of the cabin crew. As with its predecessors, AVOD was not without problems</w:t>
      </w:r>
      <w:r w:rsidR="00657CD4">
        <w:t>; in this case</w:t>
      </w:r>
      <w:r w:rsidRPr="00A662B2">
        <w:t xml:space="preserve">, </w:t>
      </w:r>
      <w:r w:rsidR="001A10A9">
        <w:t>its servers</w:t>
      </w:r>
      <w:r w:rsidR="00BB1A2F">
        <w:t xml:space="preserve"> </w:t>
      </w:r>
      <w:r w:rsidRPr="00A662B2">
        <w:t xml:space="preserve">were heavy and unreliable. </w:t>
      </w:r>
    </w:p>
    <w:p w14:paraId="63A7CB5A" w14:textId="77777777" w:rsidR="005A0486" w:rsidRPr="00EB1809" w:rsidRDefault="005A0486" w:rsidP="005A0486">
      <w:pPr>
        <w:pStyle w:val="BodyTextMain"/>
        <w:rPr>
          <w:color w:val="000000" w:themeColor="text1"/>
          <w:sz w:val="20"/>
        </w:rPr>
      </w:pPr>
    </w:p>
    <w:p w14:paraId="37313A8D" w14:textId="1D7B0CBA" w:rsidR="005A0486" w:rsidRPr="00EB1809" w:rsidRDefault="005A0486" w:rsidP="005A0486">
      <w:pPr>
        <w:pStyle w:val="BodyTextMain"/>
        <w:rPr>
          <w:color w:val="000000" w:themeColor="text1"/>
        </w:rPr>
      </w:pPr>
      <w:r w:rsidRPr="00EB1809">
        <w:rPr>
          <w:color w:val="000000" w:themeColor="text1"/>
        </w:rPr>
        <w:t xml:space="preserve">The first decade of the </w:t>
      </w:r>
      <w:r w:rsidR="00445317" w:rsidRPr="00EB1809">
        <w:rPr>
          <w:color w:val="000000" w:themeColor="text1"/>
        </w:rPr>
        <w:t>twenty-first century</w:t>
      </w:r>
      <w:r w:rsidRPr="00EB1809">
        <w:rPr>
          <w:color w:val="000000" w:themeColor="text1"/>
        </w:rPr>
        <w:t xml:space="preserve"> saw rapid technological advancements that led to the development of </w:t>
      </w:r>
      <w:r w:rsidR="00445317" w:rsidRPr="00EB1809">
        <w:rPr>
          <w:color w:val="000000" w:themeColor="text1"/>
        </w:rPr>
        <w:t xml:space="preserve">free-standing </w:t>
      </w:r>
      <w:r w:rsidRPr="00EB1809">
        <w:rPr>
          <w:color w:val="000000" w:themeColor="text1"/>
        </w:rPr>
        <w:t>(</w:t>
      </w:r>
      <w:r w:rsidR="00445317" w:rsidRPr="00EB1809">
        <w:rPr>
          <w:color w:val="000000" w:themeColor="text1"/>
        </w:rPr>
        <w:t>i.e., hand-held</w:t>
      </w:r>
      <w:r w:rsidRPr="00EB1809">
        <w:rPr>
          <w:color w:val="000000" w:themeColor="text1"/>
        </w:rPr>
        <w:t>) devices with preloaded content; seat-centric systems that eliminated the server and put content and processing power at each seat; and wireless streaming, either to passengers’ own devices or to airline-supplied tablets. Such advancements greatly changed how passengers interacted with IFE.</w:t>
      </w:r>
    </w:p>
    <w:p w14:paraId="11998785" w14:textId="77777777" w:rsidR="005A0486" w:rsidRPr="00EB1809" w:rsidRDefault="005A0486" w:rsidP="005A0486">
      <w:pPr>
        <w:pStyle w:val="BodyTextMain"/>
        <w:rPr>
          <w:color w:val="000000" w:themeColor="text1"/>
          <w:sz w:val="20"/>
        </w:rPr>
      </w:pPr>
    </w:p>
    <w:p w14:paraId="769FFA8D" w14:textId="45886ADC" w:rsidR="005A0486" w:rsidRPr="00A662B2" w:rsidRDefault="005A0486" w:rsidP="005A0486">
      <w:pPr>
        <w:pStyle w:val="BodyTextMain"/>
        <w:rPr>
          <w:color w:val="000000" w:themeColor="text1"/>
        </w:rPr>
      </w:pPr>
      <w:r w:rsidRPr="00A662B2">
        <w:rPr>
          <w:color w:val="000000" w:themeColor="text1"/>
        </w:rPr>
        <w:t xml:space="preserve">At IA’s inception in 2010, three factors were raising the stakes in </w:t>
      </w:r>
      <w:r w:rsidR="00CC7A84">
        <w:rPr>
          <w:color w:val="000000" w:themeColor="text1"/>
        </w:rPr>
        <w:t>IFE</w:t>
      </w:r>
      <w:r w:rsidRPr="00A662B2">
        <w:rPr>
          <w:color w:val="000000" w:themeColor="text1"/>
        </w:rPr>
        <w:t xml:space="preserve">: </w:t>
      </w:r>
      <w:r w:rsidR="00445317">
        <w:rPr>
          <w:color w:val="000000" w:themeColor="text1"/>
        </w:rPr>
        <w:t>(1)</w:t>
      </w:r>
      <w:r w:rsidRPr="00A662B2">
        <w:rPr>
          <w:color w:val="000000" w:themeColor="text1"/>
        </w:rPr>
        <w:t xml:space="preserve"> </w:t>
      </w:r>
      <w:r w:rsidR="00445317">
        <w:rPr>
          <w:color w:val="000000" w:themeColor="text1"/>
        </w:rPr>
        <w:t>twenty-first century</w:t>
      </w:r>
      <w:r w:rsidRPr="00A662B2">
        <w:rPr>
          <w:color w:val="000000" w:themeColor="text1"/>
        </w:rPr>
        <w:t xml:space="preserve"> technological improvements;</w:t>
      </w:r>
      <w:r w:rsidR="00445317">
        <w:rPr>
          <w:color w:val="000000" w:themeColor="text1"/>
        </w:rPr>
        <w:t xml:space="preserve"> (2)</w:t>
      </w:r>
      <w:r w:rsidRPr="00A662B2">
        <w:rPr>
          <w:color w:val="000000" w:themeColor="text1"/>
        </w:rPr>
        <w:t xml:space="preserve"> heightened airline focus on customer experience; and </w:t>
      </w:r>
      <w:r w:rsidR="00445317">
        <w:rPr>
          <w:color w:val="000000" w:themeColor="text1"/>
        </w:rPr>
        <w:t>(3)</w:t>
      </w:r>
      <w:r w:rsidRPr="00A662B2">
        <w:rPr>
          <w:color w:val="000000" w:themeColor="text1"/>
        </w:rPr>
        <w:t xml:space="preserve"> rising passenger expectations as a consequence of the innovative services offered by Asian airlines and some new U.S. domestic carriers like </w:t>
      </w:r>
      <w:r w:rsidR="00445317">
        <w:rPr>
          <w:color w:val="000000" w:themeColor="text1"/>
        </w:rPr>
        <w:t>JetBlue Airways Corporation</w:t>
      </w:r>
      <w:r w:rsidRPr="00A662B2">
        <w:rPr>
          <w:color w:val="000000" w:themeColor="text1"/>
        </w:rPr>
        <w:t>.</w:t>
      </w:r>
      <w:r w:rsidRPr="00B068EF">
        <w:rPr>
          <w:rStyle w:val="FootnoteReference"/>
        </w:rPr>
        <w:footnoteReference w:id="1"/>
      </w:r>
      <w:r w:rsidRPr="00A662B2">
        <w:rPr>
          <w:color w:val="000000" w:themeColor="text1"/>
        </w:rPr>
        <w:t xml:space="preserve"> </w:t>
      </w:r>
    </w:p>
    <w:p w14:paraId="725BF06D" w14:textId="77777777" w:rsidR="005A0486" w:rsidRPr="00EB1809" w:rsidRDefault="005A0486" w:rsidP="005A0486">
      <w:pPr>
        <w:pStyle w:val="BodyTextMain"/>
        <w:rPr>
          <w:sz w:val="20"/>
        </w:rPr>
      </w:pPr>
    </w:p>
    <w:p w14:paraId="349431B7" w14:textId="77777777" w:rsidR="005A0486" w:rsidRPr="00EB1809" w:rsidRDefault="005A0486" w:rsidP="005A0486">
      <w:pPr>
        <w:pStyle w:val="BodyTextMain"/>
        <w:rPr>
          <w:sz w:val="20"/>
        </w:rPr>
      </w:pPr>
    </w:p>
    <w:p w14:paraId="4C237384" w14:textId="3BC0DC96" w:rsidR="005A0486" w:rsidRPr="00A662B2" w:rsidRDefault="004D76E9" w:rsidP="005A0486">
      <w:pPr>
        <w:pStyle w:val="Casehead1"/>
      </w:pPr>
      <w:r>
        <w:t>inflight</w:t>
      </w:r>
      <w:r w:rsidR="00657CD4">
        <w:t xml:space="preserve"> </w:t>
      </w:r>
      <w:r w:rsidR="00445317">
        <w:t>entertainment</w:t>
      </w:r>
      <w:r w:rsidR="00445317" w:rsidRPr="00A662B2">
        <w:t xml:space="preserve"> </w:t>
      </w:r>
      <w:r w:rsidR="005A0486" w:rsidRPr="00A662B2">
        <w:t>Market and Structure</w:t>
      </w:r>
    </w:p>
    <w:p w14:paraId="344413B2" w14:textId="77777777" w:rsidR="005A0486" w:rsidRPr="00EB1809" w:rsidRDefault="005A0486" w:rsidP="005A0486">
      <w:pPr>
        <w:pStyle w:val="BodyTextMain"/>
        <w:rPr>
          <w:sz w:val="20"/>
        </w:rPr>
      </w:pPr>
    </w:p>
    <w:p w14:paraId="1ACC7AB0" w14:textId="77777777" w:rsidR="00657CD4" w:rsidRDefault="005A0486" w:rsidP="005A0486">
      <w:pPr>
        <w:pStyle w:val="BodyTextMain"/>
        <w:rPr>
          <w:spacing w:val="-2"/>
        </w:rPr>
      </w:pPr>
      <w:r w:rsidRPr="006E3E4E">
        <w:rPr>
          <w:spacing w:val="-2"/>
        </w:rPr>
        <w:t>Trends within commercial aviation and IFE markets had always been inseparable. Although commercial aviation had matured in industrial countries across North America and Europe</w:t>
      </w:r>
      <w:r w:rsidR="004D76E9" w:rsidRPr="006E3E4E">
        <w:rPr>
          <w:spacing w:val="-2"/>
        </w:rPr>
        <w:t>,</w:t>
      </w:r>
      <w:r w:rsidRPr="006E3E4E">
        <w:rPr>
          <w:spacing w:val="-2"/>
        </w:rPr>
        <w:t xml:space="preserve"> where large incumbents dominated the space (</w:t>
      </w:r>
      <w:r w:rsidR="004D76E9" w:rsidRPr="006E3E4E">
        <w:rPr>
          <w:spacing w:val="-2"/>
        </w:rPr>
        <w:t xml:space="preserve">see </w:t>
      </w:r>
      <w:r w:rsidRPr="006E3E4E">
        <w:rPr>
          <w:spacing w:val="-2"/>
        </w:rPr>
        <w:t>Exhibits 3</w:t>
      </w:r>
      <w:r w:rsidR="004D76E9" w:rsidRPr="006E3E4E">
        <w:rPr>
          <w:spacing w:val="-2"/>
        </w:rPr>
        <w:t xml:space="preserve"> and </w:t>
      </w:r>
      <w:r w:rsidRPr="006E3E4E">
        <w:rPr>
          <w:spacing w:val="-2"/>
        </w:rPr>
        <w:t xml:space="preserve">4), countries like China, India, Turkey, and Indonesia were growing rapidly. In fact, the </w:t>
      </w:r>
      <w:r w:rsidR="004D76E9" w:rsidRPr="006E3E4E">
        <w:rPr>
          <w:spacing w:val="-2"/>
        </w:rPr>
        <w:t xml:space="preserve">Federal Aviation Administration of the United States (FAA) </w:t>
      </w:r>
      <w:r w:rsidRPr="006E3E4E">
        <w:rPr>
          <w:spacing w:val="-2"/>
        </w:rPr>
        <w:t xml:space="preserve">forecasted a fivefold expansion in passenger volume by 2050. </w:t>
      </w:r>
    </w:p>
    <w:p w14:paraId="4D95CFF8" w14:textId="77777777" w:rsidR="00657CD4" w:rsidRDefault="00657CD4" w:rsidP="005A0486">
      <w:pPr>
        <w:pStyle w:val="BodyTextMain"/>
        <w:rPr>
          <w:spacing w:val="-2"/>
        </w:rPr>
      </w:pPr>
    </w:p>
    <w:p w14:paraId="07137AC7" w14:textId="61183723" w:rsidR="005A0486" w:rsidRPr="006E3E4E" w:rsidRDefault="005A0486" w:rsidP="005A0486">
      <w:pPr>
        <w:pStyle w:val="BodyTextMain"/>
        <w:rPr>
          <w:spacing w:val="-2"/>
        </w:rPr>
      </w:pPr>
      <w:r w:rsidRPr="006E3E4E">
        <w:rPr>
          <w:spacing w:val="-2"/>
        </w:rPr>
        <w:t xml:space="preserve">Such an expansion meant that the IFE market, estimated at </w:t>
      </w:r>
      <w:r w:rsidR="004D76E9" w:rsidRPr="006E3E4E">
        <w:rPr>
          <w:spacing w:val="-2"/>
        </w:rPr>
        <w:t>US</w:t>
      </w:r>
      <w:r w:rsidR="004F11A5" w:rsidRPr="006E3E4E">
        <w:rPr>
          <w:spacing w:val="-2"/>
        </w:rPr>
        <w:t>$</w:t>
      </w:r>
      <w:r w:rsidRPr="006E3E4E">
        <w:rPr>
          <w:spacing w:val="-2"/>
        </w:rPr>
        <w:t>3</w:t>
      </w:r>
      <w:r w:rsidR="00657CD4">
        <w:rPr>
          <w:spacing w:val="-2"/>
        </w:rPr>
        <w:t> </w:t>
      </w:r>
      <w:r w:rsidRPr="006E3E4E">
        <w:rPr>
          <w:spacing w:val="-2"/>
        </w:rPr>
        <w:t>billion</w:t>
      </w:r>
      <w:r w:rsidR="00EA1A5D" w:rsidRPr="00B068EF">
        <w:rPr>
          <w:rStyle w:val="FootnoteReference"/>
        </w:rPr>
        <w:footnoteReference w:id="2"/>
      </w:r>
      <w:r w:rsidRPr="006E3E4E">
        <w:rPr>
          <w:spacing w:val="-2"/>
        </w:rPr>
        <w:t xml:space="preserve"> annually</w:t>
      </w:r>
      <w:r w:rsidR="004D76E9" w:rsidRPr="006E3E4E">
        <w:rPr>
          <w:spacing w:val="-2"/>
        </w:rPr>
        <w:t>,</w:t>
      </w:r>
      <w:r w:rsidRPr="006E3E4E">
        <w:rPr>
          <w:spacing w:val="-2"/>
        </w:rPr>
        <w:t xml:space="preserve"> was also growing.</w:t>
      </w:r>
      <w:r w:rsidR="00B068EF">
        <w:rPr>
          <w:rStyle w:val="CommentReference"/>
          <w:spacing w:val="-2"/>
        </w:rPr>
        <w:t xml:space="preserve"> </w:t>
      </w:r>
      <w:r w:rsidRPr="006E3E4E">
        <w:rPr>
          <w:spacing w:val="-2"/>
        </w:rPr>
        <w:t>This market had two categories: retrofit, which modernized older aircraft with new systems</w:t>
      </w:r>
      <w:r w:rsidR="00793CBA" w:rsidRPr="006E3E4E">
        <w:rPr>
          <w:spacing w:val="-2"/>
        </w:rPr>
        <w:t>,</w:t>
      </w:r>
      <w:r w:rsidRPr="006E3E4E">
        <w:rPr>
          <w:spacing w:val="-2"/>
        </w:rPr>
        <w:t xml:space="preserve"> and </w:t>
      </w:r>
      <w:proofErr w:type="spellStart"/>
      <w:r w:rsidRPr="006E3E4E">
        <w:rPr>
          <w:spacing w:val="-2"/>
        </w:rPr>
        <w:t>linefit</w:t>
      </w:r>
      <w:proofErr w:type="spellEnd"/>
      <w:r w:rsidRPr="006E3E4E">
        <w:rPr>
          <w:spacing w:val="-2"/>
        </w:rPr>
        <w:t xml:space="preserve">, </w:t>
      </w:r>
      <w:r w:rsidR="004F11A5" w:rsidRPr="006E3E4E">
        <w:rPr>
          <w:spacing w:val="-2"/>
        </w:rPr>
        <w:t>which installed</w:t>
      </w:r>
      <w:r w:rsidRPr="006E3E4E">
        <w:rPr>
          <w:spacing w:val="-2"/>
        </w:rPr>
        <w:t xml:space="preserve"> IFE in </w:t>
      </w:r>
      <w:r w:rsidR="004F11A5" w:rsidRPr="006E3E4E">
        <w:rPr>
          <w:spacing w:val="-2"/>
        </w:rPr>
        <w:t>brand new</w:t>
      </w:r>
      <w:r w:rsidRPr="006E3E4E">
        <w:rPr>
          <w:spacing w:val="-2"/>
        </w:rPr>
        <w:t xml:space="preserve"> </w:t>
      </w:r>
      <w:r w:rsidR="00611626" w:rsidRPr="006E3E4E">
        <w:rPr>
          <w:spacing w:val="-2"/>
        </w:rPr>
        <w:t>aircraft</w:t>
      </w:r>
      <w:r w:rsidRPr="006E3E4E">
        <w:rPr>
          <w:spacing w:val="-2"/>
        </w:rPr>
        <w:t xml:space="preserve">. Retrofitting meant dealing first and foremost with airlines, and </w:t>
      </w:r>
      <w:proofErr w:type="spellStart"/>
      <w:r w:rsidRPr="006E3E4E">
        <w:rPr>
          <w:spacing w:val="-2"/>
        </w:rPr>
        <w:t>linefitting</w:t>
      </w:r>
      <w:proofErr w:type="spellEnd"/>
      <w:r w:rsidRPr="006E3E4E">
        <w:rPr>
          <w:spacing w:val="-2"/>
        </w:rPr>
        <w:t xml:space="preserve"> engaged both manufacturers and airlines (the actual end customer). </w:t>
      </w:r>
    </w:p>
    <w:p w14:paraId="1159E662" w14:textId="77777777" w:rsidR="005A0486" w:rsidRPr="00EB1809" w:rsidRDefault="005A0486" w:rsidP="005A0486">
      <w:pPr>
        <w:pStyle w:val="BodyTextMain"/>
        <w:rPr>
          <w:sz w:val="20"/>
        </w:rPr>
      </w:pPr>
    </w:p>
    <w:p w14:paraId="40E7F905" w14:textId="58BD1050" w:rsidR="005A0486" w:rsidRPr="00A662B2" w:rsidRDefault="005A0486" w:rsidP="005A0486">
      <w:pPr>
        <w:pStyle w:val="BodyTextMain"/>
      </w:pPr>
      <w:r w:rsidRPr="00A662B2">
        <w:lastRenderedPageBreak/>
        <w:t xml:space="preserve">Both </w:t>
      </w:r>
      <w:r w:rsidR="00734D8C">
        <w:t xml:space="preserve">the </w:t>
      </w:r>
      <w:r w:rsidRPr="00A662B2">
        <w:t xml:space="preserve">Boeing </w:t>
      </w:r>
      <w:r w:rsidR="00734D8C">
        <w:t xml:space="preserve">Company </w:t>
      </w:r>
      <w:r w:rsidR="00173343">
        <w:t xml:space="preserve">(Boeing) </w:t>
      </w:r>
      <w:r w:rsidRPr="00A662B2">
        <w:t>and Airbus</w:t>
      </w:r>
      <w:r w:rsidR="00734D8C">
        <w:t xml:space="preserve"> SE</w:t>
      </w:r>
      <w:r w:rsidRPr="00A662B2">
        <w:t xml:space="preserve"> </w:t>
      </w:r>
      <w:r w:rsidR="00173343">
        <w:t xml:space="preserve">(Airbus) </w:t>
      </w:r>
      <w:r w:rsidRPr="00A662B2">
        <w:t>had massive orders for new aircraft (</w:t>
      </w:r>
      <w:r w:rsidR="00734D8C">
        <w:t xml:space="preserve">see </w:t>
      </w:r>
      <w:r w:rsidRPr="00A662B2">
        <w:t>Exhibits 5</w:t>
      </w:r>
      <w:r w:rsidR="00734D8C">
        <w:t xml:space="preserve"> and </w:t>
      </w:r>
      <w:r w:rsidRPr="00A662B2">
        <w:t>6)</w:t>
      </w:r>
      <w:r w:rsidR="00734D8C">
        <w:t>,</w:t>
      </w:r>
      <w:r w:rsidRPr="00B068EF">
        <w:rPr>
          <w:rStyle w:val="FootnoteReference"/>
        </w:rPr>
        <w:footnoteReference w:id="3"/>
      </w:r>
      <w:r w:rsidRPr="00A662B2">
        <w:t xml:space="preserve"> and sales of the smaller, more fuel-efficient regional jets looked promising (</w:t>
      </w:r>
      <w:r w:rsidR="00F156C2">
        <w:t xml:space="preserve">see </w:t>
      </w:r>
      <w:r w:rsidRPr="00A662B2">
        <w:t>Exhibits 7</w:t>
      </w:r>
      <w:r w:rsidR="00F156C2">
        <w:t xml:space="preserve"> and </w:t>
      </w:r>
      <w:r w:rsidRPr="00A662B2">
        <w:t>8) given the industry’s belief that fuel prices would continue to rise. But IA was also considering retrofitting existing aircraft because installing a new system on new aircraft required more government approval</w:t>
      </w:r>
      <w:r w:rsidRPr="00B068EF">
        <w:rPr>
          <w:rStyle w:val="FootnoteReference"/>
        </w:rPr>
        <w:footnoteReference w:id="4"/>
      </w:r>
      <w:r w:rsidRPr="00A662B2">
        <w:t xml:space="preserve"> </w:t>
      </w:r>
      <w:r w:rsidR="003757A6">
        <w:t xml:space="preserve">and </w:t>
      </w:r>
      <w:r w:rsidRPr="00A662B2">
        <w:t xml:space="preserve">more negotiation with aircraft and seat manufacturers and </w:t>
      </w:r>
      <w:r w:rsidR="003757A6">
        <w:t xml:space="preserve">with </w:t>
      </w:r>
      <w:r w:rsidRPr="00A662B2">
        <w:t xml:space="preserve">other suppliers. Retrofitting aircraft still involved a lot of regulatory compliance, but mostly with the airline itself. Britton estimated that nearly </w:t>
      </w:r>
      <w:r w:rsidR="00F156C2">
        <w:t>15 per cent</w:t>
      </w:r>
      <w:r w:rsidRPr="00A662B2">
        <w:t xml:space="preserve"> of the world’s wide-body fleet (approximately 800 aircraft) was being retrofitted with new IFE systems each year. In addition, thousands of single-aisle aircraft had older systems or did not have IFE systems at all. </w:t>
      </w:r>
      <w:r w:rsidR="003757A6">
        <w:t>A</w:t>
      </w:r>
      <w:r w:rsidRPr="00A662B2">
        <w:t xml:space="preserve"> potentially smaller business jet market was also an option (</w:t>
      </w:r>
      <w:r w:rsidR="00F156C2">
        <w:t xml:space="preserve">see </w:t>
      </w:r>
      <w:r w:rsidRPr="00A662B2">
        <w:t>Exhibit 9).</w:t>
      </w:r>
    </w:p>
    <w:p w14:paraId="1E49103B" w14:textId="77777777" w:rsidR="005A0486" w:rsidRPr="00EB1809" w:rsidRDefault="005A0486" w:rsidP="005A0486">
      <w:pPr>
        <w:pStyle w:val="BodyTextMain"/>
        <w:rPr>
          <w:sz w:val="20"/>
        </w:rPr>
      </w:pPr>
    </w:p>
    <w:p w14:paraId="740071FC" w14:textId="5814B13B" w:rsidR="005A0486" w:rsidRPr="00FA6BBF" w:rsidRDefault="00814080" w:rsidP="005A0486">
      <w:pPr>
        <w:pStyle w:val="BodyTextMain"/>
        <w:rPr>
          <w:spacing w:val="-4"/>
        </w:rPr>
      </w:pPr>
      <w:r w:rsidRPr="00FA6BBF">
        <w:rPr>
          <w:spacing w:val="-4"/>
        </w:rPr>
        <w:t xml:space="preserve">In large domestic markets, </w:t>
      </w:r>
      <w:r w:rsidR="002538F4" w:rsidRPr="00FA6BBF">
        <w:rPr>
          <w:spacing w:val="-4"/>
        </w:rPr>
        <w:t xml:space="preserve">like the United States and </w:t>
      </w:r>
      <w:r w:rsidR="00CC3EEB" w:rsidRPr="00FA6BBF">
        <w:rPr>
          <w:spacing w:val="-4"/>
        </w:rPr>
        <w:t xml:space="preserve">the </w:t>
      </w:r>
      <w:r w:rsidR="00331537" w:rsidRPr="00FA6BBF">
        <w:rPr>
          <w:spacing w:val="-4"/>
        </w:rPr>
        <w:t>European Union</w:t>
      </w:r>
      <w:r w:rsidR="002538F4" w:rsidRPr="00FA6BBF">
        <w:rPr>
          <w:spacing w:val="-4"/>
        </w:rPr>
        <w:t>, the</w:t>
      </w:r>
      <w:r w:rsidR="005A0486" w:rsidRPr="00FA6BBF">
        <w:rPr>
          <w:spacing w:val="-4"/>
        </w:rPr>
        <w:t xml:space="preserve"> airline industry </w:t>
      </w:r>
      <w:r w:rsidR="002538F4" w:rsidRPr="00FA6BBF">
        <w:rPr>
          <w:spacing w:val="-4"/>
        </w:rPr>
        <w:t xml:space="preserve">had </w:t>
      </w:r>
      <w:r w:rsidR="005A0486" w:rsidRPr="00FA6BBF">
        <w:rPr>
          <w:spacing w:val="-4"/>
        </w:rPr>
        <w:t>become highly competitive in the wake of government policies that had economically deregulated and privatized carriers</w:t>
      </w:r>
      <w:r w:rsidR="002538F4" w:rsidRPr="00FA6BBF">
        <w:rPr>
          <w:spacing w:val="-4"/>
        </w:rPr>
        <w:t xml:space="preserve"> over the </w:t>
      </w:r>
      <w:r w:rsidR="003757A6" w:rsidRPr="00FA6BBF">
        <w:rPr>
          <w:spacing w:val="-4"/>
        </w:rPr>
        <w:t xml:space="preserve">previous </w:t>
      </w:r>
      <w:r w:rsidR="002538F4" w:rsidRPr="00FA6BBF">
        <w:rPr>
          <w:spacing w:val="-4"/>
        </w:rPr>
        <w:t>four decades</w:t>
      </w:r>
      <w:r w:rsidR="005A0486" w:rsidRPr="00FA6BBF">
        <w:rPr>
          <w:spacing w:val="-4"/>
        </w:rPr>
        <w:t xml:space="preserve">. In these places, competition had driven down prices, making flying cheaper than ever before. This competitive output market contrasted significantly with the imperfect input markets for </w:t>
      </w:r>
      <w:r w:rsidR="002538F4" w:rsidRPr="00FA6BBF">
        <w:rPr>
          <w:spacing w:val="-4"/>
        </w:rPr>
        <w:t>labour</w:t>
      </w:r>
      <w:r w:rsidR="005A0486" w:rsidRPr="00FA6BBF">
        <w:rPr>
          <w:spacing w:val="-4"/>
        </w:rPr>
        <w:t xml:space="preserve">, infrastructure, fuel, and hardware. </w:t>
      </w:r>
      <w:r w:rsidR="002538F4" w:rsidRPr="00FA6BBF">
        <w:rPr>
          <w:spacing w:val="-4"/>
        </w:rPr>
        <w:t>Trade union</w:t>
      </w:r>
      <w:r w:rsidR="005A0486" w:rsidRPr="00FA6BBF">
        <w:rPr>
          <w:spacing w:val="-4"/>
        </w:rPr>
        <w:t xml:space="preserve"> monopolies supplied airline </w:t>
      </w:r>
      <w:r w:rsidR="002538F4" w:rsidRPr="00FA6BBF">
        <w:rPr>
          <w:spacing w:val="-4"/>
        </w:rPr>
        <w:t>labour</w:t>
      </w:r>
      <w:r w:rsidR="005A0486" w:rsidRPr="00FA6BBF">
        <w:rPr>
          <w:spacing w:val="-4"/>
        </w:rPr>
        <w:t xml:space="preserve">, metropolitan markets were served by single airports, </w:t>
      </w:r>
      <w:r w:rsidR="00331537" w:rsidRPr="00FA6BBF">
        <w:rPr>
          <w:spacing w:val="-4"/>
        </w:rPr>
        <w:t xml:space="preserve">the </w:t>
      </w:r>
      <w:r w:rsidR="002538F4" w:rsidRPr="00FA6BBF">
        <w:rPr>
          <w:spacing w:val="-4"/>
        </w:rPr>
        <w:t>Organization of th</w:t>
      </w:r>
      <w:r w:rsidR="00331537" w:rsidRPr="00FA6BBF">
        <w:rPr>
          <w:spacing w:val="-4"/>
        </w:rPr>
        <w:t>e Petroleum Exporting Countries</w:t>
      </w:r>
      <w:r w:rsidR="003757A6" w:rsidRPr="00FA6BBF">
        <w:rPr>
          <w:spacing w:val="-4"/>
        </w:rPr>
        <w:t xml:space="preserve"> (OPEC)</w:t>
      </w:r>
      <w:r w:rsidR="002538F4" w:rsidRPr="00FA6BBF">
        <w:rPr>
          <w:spacing w:val="-4"/>
        </w:rPr>
        <w:t xml:space="preserve"> </w:t>
      </w:r>
      <w:r w:rsidR="005A0486" w:rsidRPr="00FA6BBF">
        <w:rPr>
          <w:spacing w:val="-4"/>
        </w:rPr>
        <w:t xml:space="preserve">and </w:t>
      </w:r>
      <w:proofErr w:type="spellStart"/>
      <w:r w:rsidR="002538F4" w:rsidRPr="00FA6BBF">
        <w:rPr>
          <w:spacing w:val="-4"/>
        </w:rPr>
        <w:t>megaproducers</w:t>
      </w:r>
      <w:proofErr w:type="spellEnd"/>
      <w:r w:rsidR="005A0486" w:rsidRPr="00FA6BBF">
        <w:rPr>
          <w:spacing w:val="-4"/>
        </w:rPr>
        <w:t xml:space="preserve"> determined fuel prices, and little competition existed among the companies that manufactured equipment</w:t>
      </w:r>
      <w:r w:rsidR="00173343" w:rsidRPr="00FA6BBF">
        <w:rPr>
          <w:spacing w:val="-4"/>
        </w:rPr>
        <w:t>—</w:t>
      </w:r>
      <w:r w:rsidR="005A0486" w:rsidRPr="00FA6BBF">
        <w:rPr>
          <w:spacing w:val="-4"/>
        </w:rPr>
        <w:t xml:space="preserve">from entire aircraft down to subsystems such as seats, software controls, and cockpit hardware. </w:t>
      </w:r>
    </w:p>
    <w:p w14:paraId="5021C67C" w14:textId="77777777" w:rsidR="005A0486" w:rsidRPr="00EB1809" w:rsidRDefault="005A0486" w:rsidP="005A0486">
      <w:pPr>
        <w:pStyle w:val="BodyTextMain"/>
        <w:rPr>
          <w:sz w:val="20"/>
        </w:rPr>
      </w:pPr>
    </w:p>
    <w:p w14:paraId="3AC8594A" w14:textId="2CE003BE" w:rsidR="005A0486" w:rsidRPr="00A662B2" w:rsidRDefault="005A0486" w:rsidP="005A0486">
      <w:pPr>
        <w:pStyle w:val="BodyTextMain"/>
      </w:pPr>
      <w:r w:rsidRPr="00A662B2">
        <w:t>Just as the large aircraft</w:t>
      </w:r>
      <w:r w:rsidR="00173343">
        <w:t xml:space="preserve"> </w:t>
      </w:r>
      <w:r w:rsidRPr="00A662B2">
        <w:t>market</w:t>
      </w:r>
      <w:r w:rsidR="00173343" w:rsidRPr="00B068EF">
        <w:rPr>
          <w:rStyle w:val="FootnoteReference"/>
        </w:rPr>
        <w:footnoteReference w:id="5"/>
      </w:r>
      <w:r w:rsidRPr="00A662B2">
        <w:t xml:space="preserve"> had been governed by a </w:t>
      </w:r>
      <w:r w:rsidR="00173343">
        <w:t>Boeing–Airbus</w:t>
      </w:r>
      <w:r w:rsidRPr="00A662B2">
        <w:t xml:space="preserve"> duopoly for decades,</w:t>
      </w:r>
      <w:r w:rsidRPr="00B068EF">
        <w:rPr>
          <w:rStyle w:val="FootnoteReference"/>
        </w:rPr>
        <w:footnoteReference w:id="6"/>
      </w:r>
      <w:r w:rsidRPr="00A662B2">
        <w:t xml:space="preserve"> two companies dominated the IFE market</w:t>
      </w:r>
      <w:r w:rsidR="00331537">
        <w:t>:</w:t>
      </w:r>
      <w:r w:rsidRPr="00A662B2">
        <w:t xml:space="preserve"> </w:t>
      </w:r>
      <w:r w:rsidR="003757A6">
        <w:t>t</w:t>
      </w:r>
      <w:r w:rsidRPr="00A662B2">
        <w:t xml:space="preserve">he Japanese giant Panasonic </w:t>
      </w:r>
      <w:r w:rsidR="00173343">
        <w:t xml:space="preserve">Corporation (Panasonic) </w:t>
      </w:r>
      <w:r w:rsidRPr="00A662B2">
        <w:t xml:space="preserve">and the French </w:t>
      </w:r>
      <w:r w:rsidR="00173343">
        <w:t>defence</w:t>
      </w:r>
      <w:r w:rsidR="00173343" w:rsidRPr="00A662B2">
        <w:t xml:space="preserve"> </w:t>
      </w:r>
      <w:r w:rsidRPr="00A662B2">
        <w:t xml:space="preserve">and aerospace firm Thales </w:t>
      </w:r>
      <w:r w:rsidR="00173343">
        <w:t xml:space="preserve">Group (Thales) </w:t>
      </w:r>
      <w:r w:rsidRPr="00A662B2">
        <w:t xml:space="preserve">held </w:t>
      </w:r>
      <w:r w:rsidR="00173343">
        <w:t>90 per cent</w:t>
      </w:r>
      <w:r w:rsidRPr="00A662B2">
        <w:t xml:space="preserve"> global market share. Panasonic and Thales had grown steadily, and their continued success was largely dependent on the power of incumbency and costly service contracts. Service contracts for installed systems were extremely profitable</w:t>
      </w:r>
      <w:r w:rsidR="00173343">
        <w:t>—</w:t>
      </w:r>
      <w:r w:rsidRPr="00A662B2">
        <w:t xml:space="preserve">especially for older, failure-prone systems that left airlines with no choice but to buy a service contract for repair. In the absence of competition, Panasonic and Thales had little incentive to invest in new technologies. By ignoring the potential of innovative technology, Panasonic and Thales </w:t>
      </w:r>
      <w:r w:rsidR="000A745F">
        <w:t xml:space="preserve">had </w:t>
      </w:r>
      <w:r w:rsidRPr="00A662B2">
        <w:t>actually created an opportunity for a number of aspiring firms to enter the IFE market.</w:t>
      </w:r>
      <w:r w:rsidRPr="00B068EF">
        <w:rPr>
          <w:rStyle w:val="FootnoteReference"/>
        </w:rPr>
        <w:footnoteReference w:id="7"/>
      </w:r>
      <w:r w:rsidRPr="00A662B2">
        <w:t xml:space="preserve"> </w:t>
      </w:r>
    </w:p>
    <w:p w14:paraId="33164858" w14:textId="77777777" w:rsidR="005A0486" w:rsidRPr="00EB1809" w:rsidRDefault="005A0486" w:rsidP="005A0486">
      <w:pPr>
        <w:pStyle w:val="BodyTextMain"/>
        <w:rPr>
          <w:sz w:val="20"/>
          <w:szCs w:val="20"/>
        </w:rPr>
      </w:pPr>
    </w:p>
    <w:p w14:paraId="4D1953B6" w14:textId="77777777" w:rsidR="005A0486" w:rsidRPr="00EB1809" w:rsidRDefault="005A0486" w:rsidP="005A0486">
      <w:pPr>
        <w:pStyle w:val="BodyTextMain"/>
        <w:rPr>
          <w:sz w:val="20"/>
          <w:szCs w:val="20"/>
        </w:rPr>
      </w:pPr>
    </w:p>
    <w:p w14:paraId="78E23759" w14:textId="28FC6BAA" w:rsidR="005A0486" w:rsidRPr="00A662B2" w:rsidRDefault="005A0486" w:rsidP="005A0486">
      <w:pPr>
        <w:pStyle w:val="Casehead1"/>
      </w:pPr>
      <w:r w:rsidRPr="00A662B2">
        <w:t>An Opportunity in the</w:t>
      </w:r>
      <w:r w:rsidR="000A745F">
        <w:t xml:space="preserve"> inflight</w:t>
      </w:r>
      <w:r w:rsidR="00172674">
        <w:t xml:space="preserve"> </w:t>
      </w:r>
      <w:r w:rsidR="000A745F">
        <w:t>entertainment</w:t>
      </w:r>
      <w:r w:rsidRPr="00A662B2">
        <w:t xml:space="preserve"> Market</w:t>
      </w:r>
    </w:p>
    <w:p w14:paraId="5FAD3D37" w14:textId="77777777" w:rsidR="005A0486" w:rsidRPr="00EB1809" w:rsidRDefault="005A0486" w:rsidP="005A0486">
      <w:pPr>
        <w:pStyle w:val="BodyTextMain"/>
        <w:rPr>
          <w:sz w:val="20"/>
        </w:rPr>
      </w:pPr>
    </w:p>
    <w:p w14:paraId="57165F96" w14:textId="421E79DC" w:rsidR="00E00DAC" w:rsidRDefault="005A0486" w:rsidP="005A0486">
      <w:pPr>
        <w:pStyle w:val="BodyTextMain"/>
        <w:rPr>
          <w:color w:val="000000" w:themeColor="text1"/>
        </w:rPr>
      </w:pPr>
      <w:r w:rsidRPr="00A662B2">
        <w:t xml:space="preserve">With </w:t>
      </w:r>
      <w:r w:rsidR="000A745F">
        <w:t>90 per cent</w:t>
      </w:r>
      <w:r w:rsidRPr="00A662B2">
        <w:t xml:space="preserve"> of the </w:t>
      </w:r>
      <w:r w:rsidR="00E00DAC">
        <w:t xml:space="preserve">IFE </w:t>
      </w:r>
      <w:r w:rsidRPr="00A662B2">
        <w:t xml:space="preserve">market controlled by two giants seemingly disinterested in exploiting new technologies, </w:t>
      </w:r>
      <w:r w:rsidR="000A745F">
        <w:t xml:space="preserve">the </w:t>
      </w:r>
      <w:r w:rsidR="0061066D">
        <w:t>English</w:t>
      </w:r>
      <w:r w:rsidRPr="00A662B2">
        <w:t xml:space="preserve"> </w:t>
      </w:r>
      <w:r w:rsidRPr="00A662B2">
        <w:rPr>
          <w:color w:val="000000" w:themeColor="text1"/>
        </w:rPr>
        <w:t xml:space="preserve">serial entrepreneur Clark Stevens and young visionary Connor Martins saw an opportunity to carve out a niche in the </w:t>
      </w:r>
      <w:r w:rsidR="00CC7A84">
        <w:rPr>
          <w:color w:val="000000" w:themeColor="text1"/>
        </w:rPr>
        <w:t>IFE</w:t>
      </w:r>
      <w:r w:rsidRPr="00A662B2">
        <w:rPr>
          <w:color w:val="000000" w:themeColor="text1"/>
        </w:rPr>
        <w:t xml:space="preserve"> industry by designing an original, </w:t>
      </w:r>
      <w:r w:rsidR="000A745F">
        <w:rPr>
          <w:color w:val="000000" w:themeColor="text1"/>
        </w:rPr>
        <w:t>state-of-the-art</w:t>
      </w:r>
      <w:r w:rsidRPr="00A662B2">
        <w:rPr>
          <w:color w:val="000000" w:themeColor="text1"/>
        </w:rPr>
        <w:t xml:space="preserve"> IFE system with the best of new technology. </w:t>
      </w:r>
      <w:r w:rsidR="00E00DAC">
        <w:rPr>
          <w:color w:val="000000" w:themeColor="text1"/>
        </w:rPr>
        <w:t>In 2010,</w:t>
      </w:r>
      <w:r w:rsidR="00E00DAC" w:rsidRPr="00A662B2">
        <w:rPr>
          <w:color w:val="000000" w:themeColor="text1"/>
        </w:rPr>
        <w:t xml:space="preserve"> </w:t>
      </w:r>
      <w:r w:rsidR="00E00DAC">
        <w:rPr>
          <w:color w:val="000000" w:themeColor="text1"/>
        </w:rPr>
        <w:t>i</w:t>
      </w:r>
      <w:r w:rsidRPr="00A662B2">
        <w:rPr>
          <w:color w:val="000000" w:themeColor="text1"/>
        </w:rPr>
        <w:t>nspired by fresh approaches and attentive to industry trends,</w:t>
      </w:r>
      <w:r w:rsidR="00D43EFD">
        <w:rPr>
          <w:color w:val="000000" w:themeColor="text1"/>
        </w:rPr>
        <w:t xml:space="preserve"> </w:t>
      </w:r>
      <w:r w:rsidRPr="00A662B2">
        <w:rPr>
          <w:color w:val="000000" w:themeColor="text1"/>
        </w:rPr>
        <w:t xml:space="preserve">they formed Intelligent Avionics Ltd. </w:t>
      </w:r>
    </w:p>
    <w:p w14:paraId="7A3D5381" w14:textId="77777777" w:rsidR="00E00DAC" w:rsidRPr="00FA6BBF" w:rsidRDefault="00E00DAC" w:rsidP="005A0486">
      <w:pPr>
        <w:pStyle w:val="BodyTextMain"/>
        <w:rPr>
          <w:color w:val="000000" w:themeColor="text1"/>
          <w:sz w:val="20"/>
        </w:rPr>
      </w:pPr>
    </w:p>
    <w:p w14:paraId="7157B8A5" w14:textId="77777777" w:rsidR="00E00DAC" w:rsidRPr="00FA6BBF" w:rsidRDefault="005A0486" w:rsidP="005A0486">
      <w:pPr>
        <w:pStyle w:val="BodyTextMain"/>
        <w:rPr>
          <w:color w:val="000000" w:themeColor="text1"/>
          <w:spacing w:val="-4"/>
        </w:rPr>
      </w:pPr>
      <w:r w:rsidRPr="00FA6BBF">
        <w:rPr>
          <w:color w:val="000000" w:themeColor="text1"/>
          <w:spacing w:val="-4"/>
        </w:rPr>
        <w:t xml:space="preserve">Stevens, the </w:t>
      </w:r>
      <w:r w:rsidR="0061066D" w:rsidRPr="00FA6BBF">
        <w:rPr>
          <w:color w:val="000000" w:themeColor="text1"/>
          <w:spacing w:val="-4"/>
        </w:rPr>
        <w:t>angel investor</w:t>
      </w:r>
      <w:r w:rsidRPr="00FA6BBF">
        <w:rPr>
          <w:color w:val="000000" w:themeColor="text1"/>
          <w:spacing w:val="-4"/>
        </w:rPr>
        <w:t xml:space="preserve">, knew aircraft interiors and IFE systems well, having founded Aero Technics Ltd., a successful company that provided interior contract maintenance and engineering to several large, highly regarded airlines, including Virgin Atlantic </w:t>
      </w:r>
      <w:r w:rsidR="00D43EFD" w:rsidRPr="00FA6BBF">
        <w:rPr>
          <w:color w:val="000000" w:themeColor="text1"/>
          <w:spacing w:val="-4"/>
        </w:rPr>
        <w:t xml:space="preserve">Airways Limited </w:t>
      </w:r>
      <w:r w:rsidRPr="00FA6BBF">
        <w:rPr>
          <w:color w:val="000000" w:themeColor="text1"/>
          <w:spacing w:val="-4"/>
        </w:rPr>
        <w:t xml:space="preserve">and Emirates. Martins had a proven record for </w:t>
      </w:r>
      <w:r w:rsidRPr="00FA6BBF">
        <w:rPr>
          <w:color w:val="000000" w:themeColor="text1"/>
          <w:spacing w:val="-4"/>
        </w:rPr>
        <w:lastRenderedPageBreak/>
        <w:t>high-tech innovation, having helped Tesco</w:t>
      </w:r>
      <w:r w:rsidR="00704C8E" w:rsidRPr="00FA6BBF">
        <w:rPr>
          <w:color w:val="000000" w:themeColor="text1"/>
          <w:spacing w:val="-4"/>
        </w:rPr>
        <w:t xml:space="preserve"> </w:t>
      </w:r>
      <w:proofErr w:type="gramStart"/>
      <w:r w:rsidR="00704C8E" w:rsidRPr="00FA6BBF">
        <w:rPr>
          <w:color w:val="000000" w:themeColor="text1"/>
          <w:spacing w:val="-4"/>
        </w:rPr>
        <w:t xml:space="preserve">PLC </w:t>
      </w:r>
      <w:r w:rsidRPr="00FA6BBF">
        <w:rPr>
          <w:color w:val="000000" w:themeColor="text1"/>
          <w:spacing w:val="-4"/>
        </w:rPr>
        <w:t>,</w:t>
      </w:r>
      <w:proofErr w:type="gramEnd"/>
      <w:r w:rsidRPr="00FA6BBF">
        <w:rPr>
          <w:color w:val="000000" w:themeColor="text1"/>
          <w:spacing w:val="-4"/>
        </w:rPr>
        <w:t xml:space="preserve"> a large U.K. grocery retailer, pioneer its online presence. He was also responsible for the growth of Mezzo Movies Ltd., a company that made </w:t>
      </w:r>
      <w:r w:rsidR="00704C8E" w:rsidRPr="00FA6BBF">
        <w:rPr>
          <w:color w:val="000000" w:themeColor="text1"/>
          <w:spacing w:val="-4"/>
        </w:rPr>
        <w:t xml:space="preserve">free-standing </w:t>
      </w:r>
      <w:r w:rsidRPr="00FA6BBF">
        <w:rPr>
          <w:color w:val="000000" w:themeColor="text1"/>
          <w:spacing w:val="-4"/>
        </w:rPr>
        <w:t xml:space="preserve">IFE devices. </w:t>
      </w:r>
    </w:p>
    <w:p w14:paraId="18629B0D" w14:textId="77777777" w:rsidR="00E00DAC" w:rsidRPr="00FA6BBF" w:rsidRDefault="00E00DAC" w:rsidP="005A0486">
      <w:pPr>
        <w:pStyle w:val="BodyTextMain"/>
        <w:rPr>
          <w:color w:val="000000" w:themeColor="text1"/>
          <w:sz w:val="20"/>
        </w:rPr>
      </w:pPr>
    </w:p>
    <w:p w14:paraId="03C9D67E" w14:textId="2635B7DA" w:rsidR="00CC3A92" w:rsidRDefault="005A0486" w:rsidP="005A0486">
      <w:pPr>
        <w:pStyle w:val="BodyTextMain"/>
        <w:rPr>
          <w:color w:val="000000" w:themeColor="text1"/>
        </w:rPr>
      </w:pPr>
      <w:r w:rsidRPr="00A662B2">
        <w:t xml:space="preserve">Believing they were on to something big, Stevens and Martins enlisted other creative thinkers with experience in the airline industry to help them get IA off the ground. Britton was approached to provide marketing and North American depth. And although </w:t>
      </w:r>
      <w:r w:rsidRPr="00A662B2">
        <w:rPr>
          <w:color w:val="000000" w:themeColor="text1"/>
        </w:rPr>
        <w:t xml:space="preserve">Britton knew that succeeding in a concentrated market characterized by conservative airline </w:t>
      </w:r>
      <w:r w:rsidR="00704C8E">
        <w:rPr>
          <w:color w:val="000000" w:themeColor="text1"/>
        </w:rPr>
        <w:t>decision</w:t>
      </w:r>
      <w:r w:rsidR="00E00DAC">
        <w:rPr>
          <w:color w:val="000000" w:themeColor="text1"/>
        </w:rPr>
        <w:t>-</w:t>
      </w:r>
      <w:r w:rsidR="00704C8E">
        <w:rPr>
          <w:color w:val="000000" w:themeColor="text1"/>
        </w:rPr>
        <w:t>making</w:t>
      </w:r>
      <w:r w:rsidRPr="00A662B2">
        <w:rPr>
          <w:color w:val="000000" w:themeColor="text1"/>
        </w:rPr>
        <w:t xml:space="preserve"> and high development costs would be challenging, he also believed IA was capable of developing an IFE system more responsive to market needs than anything </w:t>
      </w:r>
      <w:r w:rsidR="005B202C">
        <w:rPr>
          <w:color w:val="000000" w:themeColor="text1"/>
        </w:rPr>
        <w:t xml:space="preserve">that was </w:t>
      </w:r>
      <w:r w:rsidRPr="00A662B2">
        <w:rPr>
          <w:color w:val="000000" w:themeColor="text1"/>
        </w:rPr>
        <w:t>currently available.</w:t>
      </w:r>
    </w:p>
    <w:p w14:paraId="4C63CD14" w14:textId="77777777" w:rsidR="00CC3A92" w:rsidRPr="00FA6BBF" w:rsidRDefault="00CC3A92" w:rsidP="005A0486">
      <w:pPr>
        <w:pStyle w:val="BodyTextMain"/>
        <w:rPr>
          <w:color w:val="000000" w:themeColor="text1"/>
          <w:sz w:val="20"/>
        </w:rPr>
      </w:pPr>
    </w:p>
    <w:p w14:paraId="19725A4E" w14:textId="75DAFDB5" w:rsidR="005A0486" w:rsidRPr="00FA6BBF" w:rsidRDefault="005A0486" w:rsidP="005A0486">
      <w:pPr>
        <w:pStyle w:val="BodyTextMain"/>
        <w:rPr>
          <w:sz w:val="20"/>
        </w:rPr>
      </w:pPr>
    </w:p>
    <w:p w14:paraId="1F2E1BA6" w14:textId="77777777" w:rsidR="005A0486" w:rsidRPr="00A662B2" w:rsidRDefault="005A0486" w:rsidP="005A0486">
      <w:pPr>
        <w:pStyle w:val="Casehead1"/>
      </w:pPr>
      <w:r w:rsidRPr="00A662B2">
        <w:t>The Intelligent Avionics Approach: A Trio of AURA Solutions</w:t>
      </w:r>
    </w:p>
    <w:p w14:paraId="1C4D5E74" w14:textId="77777777" w:rsidR="005A0486" w:rsidRPr="00EB1809" w:rsidRDefault="005A0486" w:rsidP="005A0486">
      <w:pPr>
        <w:pStyle w:val="BodyTextMain"/>
        <w:rPr>
          <w:sz w:val="20"/>
        </w:rPr>
      </w:pPr>
    </w:p>
    <w:p w14:paraId="44215786" w14:textId="227C4599" w:rsidR="00CC3A92" w:rsidRDefault="005A0486" w:rsidP="005A0486">
      <w:pPr>
        <w:pStyle w:val="BodyTextMain"/>
      </w:pPr>
      <w:r w:rsidRPr="006E3E4E">
        <w:t xml:space="preserve">The entire </w:t>
      </w:r>
      <w:r w:rsidR="00CC3A92">
        <w:t xml:space="preserve">IA </w:t>
      </w:r>
      <w:r w:rsidRPr="006E3E4E">
        <w:t xml:space="preserve">team believed </w:t>
      </w:r>
      <w:r w:rsidR="00A9689D" w:rsidRPr="006E3E4E">
        <w:t xml:space="preserve">that </w:t>
      </w:r>
      <w:r w:rsidRPr="006E3E4E">
        <w:t xml:space="preserve">a new approach to the IFE market was necessary. While Panasonic and Thales continued to offer rigid, expensive hardware and proprietary software, IA chose to manufacture using readily available </w:t>
      </w:r>
      <w:r w:rsidR="004840B3" w:rsidRPr="006E3E4E">
        <w:t>personal computer (</w:t>
      </w:r>
      <w:r w:rsidRPr="006E3E4E">
        <w:t>PC</w:t>
      </w:r>
      <w:r w:rsidR="004840B3" w:rsidRPr="006E3E4E">
        <w:t xml:space="preserve">) </w:t>
      </w:r>
      <w:r w:rsidRPr="006E3E4E">
        <w:t xml:space="preserve">components and </w:t>
      </w:r>
      <w:r w:rsidR="005B202C" w:rsidRPr="006E3E4E">
        <w:t xml:space="preserve">the </w:t>
      </w:r>
      <w:r w:rsidRPr="006E3E4E">
        <w:t>Microsoft Windows 7 operating system</w:t>
      </w:r>
      <w:r w:rsidR="004840B3" w:rsidRPr="006E3E4E">
        <w:t xml:space="preserve"> (OS)</w:t>
      </w:r>
      <w:r w:rsidRPr="006E3E4E">
        <w:t xml:space="preserve">. By leveraging the economies of commodity components and the large community of Windows OS developers, IA sought to establish target prices </w:t>
      </w:r>
      <w:r w:rsidR="004840B3" w:rsidRPr="006E3E4E">
        <w:t>30–50 per cent</w:t>
      </w:r>
      <w:r w:rsidRPr="006E3E4E">
        <w:t xml:space="preserve"> below those of incumbents. IA believed that their approach would deliver cost savings and ensure greater reliability</w:t>
      </w:r>
      <w:r w:rsidR="004840B3" w:rsidRPr="006E3E4E">
        <w:t xml:space="preserve"> </w:t>
      </w:r>
      <w:r w:rsidRPr="006E3E4E">
        <w:t>and improved flexibility.</w:t>
      </w:r>
    </w:p>
    <w:p w14:paraId="1486B9C7" w14:textId="77777777" w:rsidR="0064217E" w:rsidRDefault="0064217E" w:rsidP="005A0486">
      <w:pPr>
        <w:pStyle w:val="BodyTextMain"/>
      </w:pPr>
    </w:p>
    <w:p w14:paraId="46E78300" w14:textId="3A6EB4F8" w:rsidR="005A0486" w:rsidRPr="006E3E4E" w:rsidRDefault="005A0486" w:rsidP="005A0486">
      <w:pPr>
        <w:pStyle w:val="BodyTextMain"/>
      </w:pPr>
      <w:r w:rsidRPr="006E3E4E">
        <w:t xml:space="preserve">IA began to develop three related but distinct systems that they viewed as solutions to the problem of technological stagnancy in the IFE industry. </w:t>
      </w:r>
    </w:p>
    <w:p w14:paraId="3A996CB8" w14:textId="77777777" w:rsidR="005A0486" w:rsidRPr="00EB1809" w:rsidRDefault="005A0486" w:rsidP="005A0486">
      <w:pPr>
        <w:pStyle w:val="BodyTextMain"/>
        <w:rPr>
          <w:sz w:val="20"/>
        </w:rPr>
      </w:pPr>
    </w:p>
    <w:p w14:paraId="3372D3AA" w14:textId="77777777" w:rsidR="00ED5A56" w:rsidRDefault="005A0486" w:rsidP="005A0486">
      <w:pPr>
        <w:pStyle w:val="BodyTextMain"/>
      </w:pPr>
      <w:r w:rsidRPr="00A662B2">
        <w:t>The first IA solution was AURA Works, which included seatback</w:t>
      </w:r>
      <w:r w:rsidR="004840B3">
        <w:t xml:space="preserve"> touch screen</w:t>
      </w:r>
      <w:r w:rsidRPr="00A662B2">
        <w:t xml:space="preserve"> devices that were linked, via Ethernet, to an </w:t>
      </w:r>
      <w:proofErr w:type="spellStart"/>
      <w:r w:rsidRPr="00A662B2">
        <w:t>onboard</w:t>
      </w:r>
      <w:proofErr w:type="spellEnd"/>
      <w:r w:rsidRPr="00A662B2">
        <w:t xml:space="preserve"> hard disk of stock content (i.e., movies, music, and e-books). Such content could be refreshed at a desired interval, typically monthly. Using a wireless connection or </w:t>
      </w:r>
      <w:r w:rsidR="00EA42B7">
        <w:t>universal serial bus</w:t>
      </w:r>
      <w:r w:rsidR="009E00F4">
        <w:t xml:space="preserve"> (USB)</w:t>
      </w:r>
      <w:r w:rsidRPr="00A662B2">
        <w:t xml:space="preserve"> stick, daily updates, such as news programs, could be loaded to the main disk and then distributed to each seat. Flight-specific content, including customer information and individualized greetings (e.g., “Welcome aboard, Mr. Gonzalez”), could be similarly refreshed. AURA Works provided several screen sizes and mounting options. While larger screens were typically reserved for first and business classes, screens in any class might be mounted on seatbacks or armrests. </w:t>
      </w:r>
    </w:p>
    <w:p w14:paraId="3C17C1E2" w14:textId="77777777" w:rsidR="00ED5A56" w:rsidRDefault="00ED5A56" w:rsidP="005A0486">
      <w:pPr>
        <w:pStyle w:val="BodyTextMain"/>
      </w:pPr>
    </w:p>
    <w:p w14:paraId="2AECA0E4" w14:textId="66FE6667" w:rsidR="005A0486" w:rsidRPr="00A662B2" w:rsidRDefault="005A0486" w:rsidP="005A0486">
      <w:pPr>
        <w:pStyle w:val="BodyTextMain"/>
      </w:pPr>
      <w:r w:rsidRPr="00A662B2">
        <w:t>Regardless of screen size or location, AURA Works</w:t>
      </w:r>
      <w:r w:rsidRPr="00A662B2" w:rsidDel="00D850A2">
        <w:t xml:space="preserve"> </w:t>
      </w:r>
      <w:r w:rsidRPr="00A662B2">
        <w:t>abolished the need for enormously heavy servers, thus reducing aircraft weight by as much as 1</w:t>
      </w:r>
      <w:r w:rsidR="009E00F4">
        <w:t>,</w:t>
      </w:r>
      <w:r w:rsidRPr="00A662B2">
        <w:t>000</w:t>
      </w:r>
      <w:r w:rsidR="00EA42B7">
        <w:t xml:space="preserve"> kilograms</w:t>
      </w:r>
      <w:r w:rsidR="00EA42B7" w:rsidRPr="00A662B2">
        <w:t xml:space="preserve"> </w:t>
      </w:r>
      <w:r w:rsidRPr="00A662B2">
        <w:t xml:space="preserve">and eliminating the risk of server failure. Server malfunction was the single point of failure that </w:t>
      </w:r>
      <w:r w:rsidR="00736B40">
        <w:t>could cause</w:t>
      </w:r>
      <w:r w:rsidR="00EA42B7" w:rsidRPr="00A662B2">
        <w:t xml:space="preserve"> </w:t>
      </w:r>
      <w:r w:rsidRPr="00A662B2">
        <w:t>every screen on an aircraft to “go dark.” Frequent flyers were all too familiar with this problem, which required the crew to reboot the entire system, sometimes unsuccessfully</w:t>
      </w:r>
      <w:r w:rsidR="00ED5A56">
        <w:t>.</w:t>
      </w:r>
      <w:r w:rsidRPr="00A662B2">
        <w:t xml:space="preserve"> </w:t>
      </w:r>
      <w:r w:rsidR="00ED5A56">
        <w:t>E</w:t>
      </w:r>
      <w:r w:rsidRPr="00A662B2">
        <w:t>ven if the system could be restarted, customers often could not resume watching a movie from where they left off</w:t>
      </w:r>
      <w:r w:rsidR="009E00F4">
        <w:t xml:space="preserve">; </w:t>
      </w:r>
      <w:r w:rsidR="00736B40">
        <w:t>instead</w:t>
      </w:r>
      <w:r w:rsidR="009E00F4">
        <w:t>, they</w:t>
      </w:r>
      <w:r w:rsidR="00736B40">
        <w:t xml:space="preserve"> </w:t>
      </w:r>
      <w:r w:rsidRPr="00A662B2">
        <w:t xml:space="preserve">had to start at the beginning. AURA Works aimed to enhance passengers’ experience by ensuring that they would never face a dark screen. </w:t>
      </w:r>
    </w:p>
    <w:p w14:paraId="52E520B2" w14:textId="77777777" w:rsidR="005A0486" w:rsidRPr="00EB1809" w:rsidRDefault="005A0486" w:rsidP="005A0486">
      <w:pPr>
        <w:pStyle w:val="BodyTextMain"/>
        <w:rPr>
          <w:sz w:val="20"/>
        </w:rPr>
      </w:pPr>
    </w:p>
    <w:p w14:paraId="3B242CA6" w14:textId="47413747" w:rsidR="005A0486" w:rsidRPr="00A662B2" w:rsidRDefault="005A0486" w:rsidP="005A0486">
      <w:pPr>
        <w:pStyle w:val="BodyTextMain"/>
        <w:rPr>
          <w:spacing w:val="-2"/>
        </w:rPr>
      </w:pPr>
      <w:r w:rsidRPr="00A662B2">
        <w:rPr>
          <w:spacing w:val="-2"/>
        </w:rPr>
        <w:t>Midway through the development phase of AURA Works, IA chose to broaden its product line</w:t>
      </w:r>
      <w:r w:rsidR="00736B40">
        <w:rPr>
          <w:spacing w:val="-2"/>
        </w:rPr>
        <w:t>—</w:t>
      </w:r>
      <w:r w:rsidRPr="00A662B2">
        <w:rPr>
          <w:spacing w:val="-2"/>
        </w:rPr>
        <w:t xml:space="preserve">a decision based on sales calls, industry trends, and technological change. Early sales experience revealed that smaller carriers needed a less-expensive, </w:t>
      </w:r>
      <w:r w:rsidR="00736B40">
        <w:rPr>
          <w:spacing w:val="-2"/>
        </w:rPr>
        <w:t>entry-level</w:t>
      </w:r>
      <w:r w:rsidRPr="00A662B2">
        <w:rPr>
          <w:spacing w:val="-2"/>
        </w:rPr>
        <w:t xml:space="preserve"> solution, and a handful of forward-thinking airlines told IA that any installed system would soon be obsolete </w:t>
      </w:r>
      <w:r w:rsidR="00736B40">
        <w:rPr>
          <w:spacing w:val="-2"/>
        </w:rPr>
        <w:t>due to</w:t>
      </w:r>
      <w:r w:rsidRPr="00A662B2">
        <w:rPr>
          <w:spacing w:val="-2"/>
        </w:rPr>
        <w:t xml:space="preserve"> the rise of wireless streaming. While they continued to develop AURA Works, IA added two product lines: AURA One and AURA Connected. </w:t>
      </w:r>
    </w:p>
    <w:p w14:paraId="75D1A9ED" w14:textId="77777777" w:rsidR="005A0486" w:rsidRPr="00EB1809" w:rsidRDefault="005A0486" w:rsidP="005A0486">
      <w:pPr>
        <w:pStyle w:val="BodyTextMain"/>
        <w:rPr>
          <w:sz w:val="20"/>
        </w:rPr>
      </w:pPr>
    </w:p>
    <w:p w14:paraId="0770F032" w14:textId="2BF273D7" w:rsidR="005A0486" w:rsidRPr="00A662B2" w:rsidRDefault="005A0486" w:rsidP="005A0486">
      <w:pPr>
        <w:pStyle w:val="BodyTextMain"/>
      </w:pPr>
      <w:r w:rsidRPr="00A662B2">
        <w:t xml:space="preserve">As an entry-level system, AURA One offered a low-cost means of replacing older, videotape-based overhead systems (i.e., drop-down screens every several rows) with digital content. Capable of being installed overnight for about $15,000, this system improved video and sound quality and removed the hassle of managing multiple videotapes and a failure-prone </w:t>
      </w:r>
      <w:bookmarkStart w:id="4" w:name="_Hlk525297886"/>
      <w:r w:rsidRPr="00A662B2">
        <w:t>electromechanical</w:t>
      </w:r>
      <w:bookmarkEnd w:id="4"/>
      <w:r w:rsidRPr="00A662B2">
        <w:t xml:space="preserve"> tape player. AURA One’s target </w:t>
      </w:r>
      <w:r w:rsidRPr="00A662B2">
        <w:lastRenderedPageBreak/>
        <w:t xml:space="preserve">market was small and mid-size airlines that </w:t>
      </w:r>
      <w:r w:rsidR="0001687B">
        <w:t>did not</w:t>
      </w:r>
      <w:r w:rsidR="0001687B" w:rsidRPr="00A662B2">
        <w:t xml:space="preserve"> </w:t>
      </w:r>
      <w:r w:rsidRPr="00A662B2">
        <w:t xml:space="preserve">have the budget for more expensive systems. Because all three AURA systems used the same master content module, airlines wishing to upgrade from AURA One to one of the other two systems would save money and installation time. </w:t>
      </w:r>
    </w:p>
    <w:p w14:paraId="12BB74D3" w14:textId="77777777" w:rsidR="005A0486" w:rsidRPr="00EB1809" w:rsidRDefault="005A0486" w:rsidP="005A0486">
      <w:pPr>
        <w:pStyle w:val="BodyTextMain"/>
        <w:rPr>
          <w:sz w:val="20"/>
        </w:rPr>
      </w:pPr>
    </w:p>
    <w:p w14:paraId="3C7D8125" w14:textId="48AB6D70" w:rsidR="005A0486" w:rsidRPr="00A662B2" w:rsidRDefault="005A0486" w:rsidP="005A0486">
      <w:pPr>
        <w:pStyle w:val="BodyTextMain"/>
      </w:pPr>
      <w:r w:rsidRPr="00A662B2">
        <w:t xml:space="preserve">AURA Connected wirelessly streamed entertainment to passengers’ or airline-supplied personal electronic devices via an </w:t>
      </w:r>
      <w:proofErr w:type="spellStart"/>
      <w:r w:rsidRPr="00A662B2">
        <w:t>onboard</w:t>
      </w:r>
      <w:proofErr w:type="spellEnd"/>
      <w:r w:rsidRPr="00A662B2">
        <w:t xml:space="preserve"> </w:t>
      </w:r>
      <w:r w:rsidR="00E966C5">
        <w:t>i</w:t>
      </w:r>
      <w:r w:rsidR="0001687B">
        <w:t>ntranet</w:t>
      </w:r>
      <w:r w:rsidRPr="00A662B2">
        <w:t>. This system responded to persistently high fuel prices that motivated airlines to shed aircraft weight</w:t>
      </w:r>
      <w:r w:rsidR="00E95DE0">
        <w:t xml:space="preserve">, </w:t>
      </w:r>
      <w:r w:rsidR="00ED5A56">
        <w:t>and responded</w:t>
      </w:r>
      <w:r w:rsidR="00E95DE0">
        <w:t xml:space="preserve"> to</w:t>
      </w:r>
      <w:r w:rsidRPr="00A662B2">
        <w:t xml:space="preserve"> the increasing ubiquity and falling costs of </w:t>
      </w:r>
      <w:r w:rsidR="004546C6">
        <w:t xml:space="preserve">devices that were </w:t>
      </w:r>
      <w:r w:rsidRPr="00A662B2">
        <w:t>Wi-Fi enabled.</w:t>
      </w:r>
    </w:p>
    <w:p w14:paraId="35D02EA6" w14:textId="77777777" w:rsidR="005A0486" w:rsidRPr="00EB1809" w:rsidRDefault="005A0486" w:rsidP="005A0486">
      <w:pPr>
        <w:pStyle w:val="BodyTextMain"/>
        <w:rPr>
          <w:sz w:val="20"/>
        </w:rPr>
      </w:pPr>
    </w:p>
    <w:p w14:paraId="0E9A77B7" w14:textId="17D8E13F" w:rsidR="005A0486" w:rsidRPr="00A662B2" w:rsidRDefault="005A0486" w:rsidP="005A0486">
      <w:pPr>
        <w:pStyle w:val="BodyTextMain"/>
      </w:pPr>
      <w:r w:rsidRPr="00A662B2">
        <w:t xml:space="preserve">IA believed that, collectively, AURA Works, AURA One, and AURA Connected could capture a broad </w:t>
      </w:r>
      <w:r w:rsidR="00E95DE0">
        <w:t>portion</w:t>
      </w:r>
      <w:r w:rsidR="00E95DE0" w:rsidRPr="00A662B2">
        <w:t xml:space="preserve"> </w:t>
      </w:r>
      <w:r w:rsidRPr="00A662B2">
        <w:t xml:space="preserve">of the market, </w:t>
      </w:r>
      <w:r w:rsidR="00A31AC4">
        <w:t>consisting</w:t>
      </w:r>
      <w:r w:rsidR="00A31AC4" w:rsidRPr="00A662B2">
        <w:t xml:space="preserve"> </w:t>
      </w:r>
      <w:r w:rsidRPr="00A662B2">
        <w:t>of companies that varied in size, current IFE offer, and financial ability. As indicated, all three systems used the same modular components, which enabled design flexibility and promoted economic efficiency. Both the seat-centric AURA Works and AURA Connected could be linked to the Internet via ground-</w:t>
      </w:r>
      <w:r w:rsidR="00A31AC4">
        <w:t xml:space="preserve"> </w:t>
      </w:r>
      <w:r w:rsidRPr="00A662B2">
        <w:t>or satellite-based systems.</w:t>
      </w:r>
      <w:r w:rsidR="00A31AC4" w:rsidRPr="00B068EF">
        <w:rPr>
          <w:rStyle w:val="FootnoteReference"/>
        </w:rPr>
        <w:footnoteReference w:id="8"/>
      </w:r>
      <w:r w:rsidRPr="00A662B2">
        <w:t xml:space="preserve"> By enabling Internet connectivity, AURA Works and AURA Connected broadened customer offerings and airlines’ ability to sell a range of additional services on board, including </w:t>
      </w:r>
      <w:r w:rsidR="00E838F8">
        <w:t xml:space="preserve">access to the Web and </w:t>
      </w:r>
      <w:r w:rsidRPr="00A662B2">
        <w:t xml:space="preserve">online shopping, </w:t>
      </w:r>
      <w:r w:rsidR="00E838F8">
        <w:t xml:space="preserve">as well as </w:t>
      </w:r>
      <w:r w:rsidRPr="00A662B2">
        <w:t xml:space="preserve">hotel reservations, </w:t>
      </w:r>
      <w:r w:rsidR="00E838F8" w:rsidRPr="00A662B2">
        <w:t>theatre</w:t>
      </w:r>
      <w:r w:rsidRPr="00A662B2">
        <w:t xml:space="preserve"> tickets, and similar services at a flight’s destination. </w:t>
      </w:r>
    </w:p>
    <w:p w14:paraId="56EF600D" w14:textId="77777777" w:rsidR="005A0486" w:rsidRPr="00FA6BBF" w:rsidRDefault="005A0486" w:rsidP="005A0486">
      <w:pPr>
        <w:pStyle w:val="BodyTextMain"/>
        <w:rPr>
          <w:spacing w:val="-4"/>
          <w:sz w:val="20"/>
        </w:rPr>
      </w:pPr>
    </w:p>
    <w:p w14:paraId="3844B1E2" w14:textId="73922A5D" w:rsidR="005A0486" w:rsidRPr="00FA6BBF" w:rsidRDefault="005A0486" w:rsidP="005A0486">
      <w:pPr>
        <w:pStyle w:val="BodyTextMain"/>
        <w:rPr>
          <w:spacing w:val="-4"/>
        </w:rPr>
      </w:pPr>
      <w:r w:rsidRPr="00FA6BBF">
        <w:rPr>
          <w:spacing w:val="-4"/>
        </w:rPr>
        <w:t xml:space="preserve">Unlike the incumbents’ systems, which included a one-year warranty followed by expensive service agreements, IA’s AURA products carried a five-year warranty. IA </w:t>
      </w:r>
      <w:r w:rsidR="00E838F8" w:rsidRPr="00FA6BBF">
        <w:rPr>
          <w:spacing w:val="-4"/>
        </w:rPr>
        <w:t xml:space="preserve">had </w:t>
      </w:r>
      <w:r w:rsidRPr="00FA6BBF">
        <w:rPr>
          <w:spacing w:val="-4"/>
        </w:rPr>
        <w:t xml:space="preserve">calculated </w:t>
      </w:r>
      <w:r w:rsidR="00E838F8" w:rsidRPr="00FA6BBF">
        <w:rPr>
          <w:spacing w:val="-4"/>
        </w:rPr>
        <w:t xml:space="preserve">that </w:t>
      </w:r>
      <w:r w:rsidRPr="00FA6BBF">
        <w:rPr>
          <w:spacing w:val="-4"/>
        </w:rPr>
        <w:t xml:space="preserve">they could offer such a warranty because of the demonstrated reliability of </w:t>
      </w:r>
      <w:r w:rsidR="00E838F8" w:rsidRPr="00FA6BBF">
        <w:rPr>
          <w:spacing w:val="-4"/>
        </w:rPr>
        <w:t>PC</w:t>
      </w:r>
      <w:r w:rsidRPr="00FA6BBF">
        <w:rPr>
          <w:spacing w:val="-4"/>
        </w:rPr>
        <w:t xml:space="preserve"> hardware and software. Prospective airline customers regarded this bundled solution as very attractive because it offered an alternative to expensive service contracts. </w:t>
      </w:r>
    </w:p>
    <w:p w14:paraId="3E68F8CD" w14:textId="77777777" w:rsidR="005A0486" w:rsidRPr="00EB1809" w:rsidRDefault="005A0486" w:rsidP="005A0486">
      <w:pPr>
        <w:pStyle w:val="BodyTextMain"/>
        <w:rPr>
          <w:sz w:val="20"/>
        </w:rPr>
      </w:pPr>
    </w:p>
    <w:p w14:paraId="63849C80" w14:textId="77777777" w:rsidR="005A0486" w:rsidRPr="00EB1809" w:rsidRDefault="005A0486" w:rsidP="005A0486">
      <w:pPr>
        <w:pStyle w:val="BodyTextMain"/>
        <w:rPr>
          <w:sz w:val="20"/>
        </w:rPr>
      </w:pPr>
    </w:p>
    <w:p w14:paraId="5C1DB82C" w14:textId="77777777" w:rsidR="005A0486" w:rsidRPr="00A662B2" w:rsidRDefault="005A0486" w:rsidP="005A0486">
      <w:pPr>
        <w:pStyle w:val="Casehead1"/>
      </w:pPr>
      <w:r w:rsidRPr="00A662B2">
        <w:t>Organizational Challenges</w:t>
      </w:r>
    </w:p>
    <w:p w14:paraId="7174C186" w14:textId="77777777" w:rsidR="005A0486" w:rsidRPr="00EB1809" w:rsidRDefault="005A0486" w:rsidP="005A0486">
      <w:pPr>
        <w:pStyle w:val="BodyTextMain"/>
        <w:rPr>
          <w:sz w:val="20"/>
        </w:rPr>
      </w:pPr>
    </w:p>
    <w:p w14:paraId="312D233E" w14:textId="77777777" w:rsidR="00DA1850" w:rsidRDefault="005A0486" w:rsidP="005A0486">
      <w:pPr>
        <w:pStyle w:val="BodyTextMain"/>
      </w:pPr>
      <w:r w:rsidRPr="00A662B2">
        <w:t>Although Stevens and Martins were, respectively, an hour south and north of London</w:t>
      </w:r>
      <w:r w:rsidR="004E079B">
        <w:t>, England</w:t>
      </w:r>
      <w:r w:rsidRPr="00A662B2">
        <w:t xml:space="preserve">, IA’s development team was in Scotland. Australian executive William Davidson took on the role of </w:t>
      </w:r>
      <w:r w:rsidR="006E3FDE">
        <w:t>chief technology officer</w:t>
      </w:r>
      <w:r w:rsidR="006E3FDE" w:rsidRPr="00A662B2">
        <w:t xml:space="preserve"> </w:t>
      </w:r>
      <w:r w:rsidRPr="00A662B2">
        <w:t xml:space="preserve">following the resignation of the Scottish head. </w:t>
      </w:r>
    </w:p>
    <w:p w14:paraId="48608979" w14:textId="77777777" w:rsidR="00DA1850" w:rsidRDefault="00DA1850" w:rsidP="005A0486">
      <w:pPr>
        <w:pStyle w:val="BodyTextMain"/>
      </w:pPr>
    </w:p>
    <w:p w14:paraId="5FB3175D" w14:textId="77777777" w:rsidR="00DA1850" w:rsidRDefault="005A0486" w:rsidP="005A0486">
      <w:pPr>
        <w:pStyle w:val="BodyTextMain"/>
      </w:pPr>
      <w:r w:rsidRPr="00A662B2">
        <w:t xml:space="preserve">Britton was concerned by substantial tensions within the company </w:t>
      </w:r>
      <w:r w:rsidR="006E3FDE">
        <w:t>that stemmed</w:t>
      </w:r>
      <w:r w:rsidR="006E3FDE" w:rsidRPr="00A662B2">
        <w:t xml:space="preserve"> </w:t>
      </w:r>
      <w:r w:rsidRPr="00A662B2">
        <w:t xml:space="preserve">from </w:t>
      </w:r>
      <w:proofErr w:type="spellStart"/>
      <w:r w:rsidRPr="00A662B2">
        <w:t>Martins’s</w:t>
      </w:r>
      <w:proofErr w:type="spellEnd"/>
      <w:r w:rsidRPr="00A662B2">
        <w:t xml:space="preserve"> and Davidson’s disagreement on the management of IA’s virtual structure. With Davidson in Australia</w:t>
      </w:r>
      <w:r w:rsidR="00F81C40">
        <w:t>,</w:t>
      </w:r>
      <w:r w:rsidRPr="00A662B2">
        <w:t xml:space="preserve"> and the software developers and hardware designers thousands of miles away in Scotland, Martins doubted Davidson’s ability to oversee AURA’s development from a distance. </w:t>
      </w:r>
    </w:p>
    <w:p w14:paraId="7630730C" w14:textId="77777777" w:rsidR="00DA1850" w:rsidRDefault="00DA1850" w:rsidP="005A0486">
      <w:pPr>
        <w:pStyle w:val="BodyTextMain"/>
      </w:pPr>
    </w:p>
    <w:p w14:paraId="7B2F58CE" w14:textId="74943E8C" w:rsidR="005A0486" w:rsidRPr="00A662B2" w:rsidRDefault="005A0486" w:rsidP="005A0486">
      <w:pPr>
        <w:pStyle w:val="BodyTextMain"/>
      </w:pPr>
      <w:r w:rsidRPr="00A662B2">
        <w:t xml:space="preserve">To make matters worse, the </w:t>
      </w:r>
      <w:r w:rsidR="00F81C40">
        <w:t>eight-person</w:t>
      </w:r>
      <w:r w:rsidRPr="00A662B2">
        <w:t xml:space="preserve"> development team was pressed to simultaneously perfect all three AURA systems. In preparation for</w:t>
      </w:r>
      <w:r w:rsidR="00F81C40">
        <w:t xml:space="preserve"> the</w:t>
      </w:r>
      <w:r w:rsidRPr="00A662B2">
        <w:t xml:space="preserve"> AIX, they were under a great deal of pressure to accomplish an enormous amount of work in very little time.</w:t>
      </w:r>
    </w:p>
    <w:p w14:paraId="626EDB75" w14:textId="77777777" w:rsidR="005A0486" w:rsidRPr="00EB1809" w:rsidRDefault="005A0486" w:rsidP="005A0486">
      <w:pPr>
        <w:pStyle w:val="BodyTextMain"/>
        <w:rPr>
          <w:sz w:val="20"/>
        </w:rPr>
      </w:pPr>
    </w:p>
    <w:p w14:paraId="27312885" w14:textId="77777777" w:rsidR="005A0486" w:rsidRPr="00EB1809" w:rsidRDefault="005A0486" w:rsidP="005A0486">
      <w:pPr>
        <w:pStyle w:val="BodyTextMain"/>
        <w:rPr>
          <w:sz w:val="20"/>
        </w:rPr>
      </w:pPr>
    </w:p>
    <w:p w14:paraId="51E604D3" w14:textId="77777777" w:rsidR="005A0486" w:rsidRPr="00A662B2" w:rsidRDefault="005A0486" w:rsidP="005A0486">
      <w:pPr>
        <w:pStyle w:val="Casehead1"/>
      </w:pPr>
      <w:r w:rsidRPr="00A662B2">
        <w:t xml:space="preserve">Sales and Marketing Challenges </w:t>
      </w:r>
    </w:p>
    <w:p w14:paraId="23EC2D17" w14:textId="77777777" w:rsidR="005A0486" w:rsidRPr="00EB1809" w:rsidRDefault="005A0486" w:rsidP="005A0486">
      <w:pPr>
        <w:pStyle w:val="BodyTextMain"/>
        <w:rPr>
          <w:sz w:val="20"/>
        </w:rPr>
      </w:pPr>
    </w:p>
    <w:p w14:paraId="0053ED05" w14:textId="1316F221" w:rsidR="005A0486" w:rsidRPr="00A662B2" w:rsidRDefault="005A0486" w:rsidP="005A0486">
      <w:pPr>
        <w:pStyle w:val="BodyTextMain"/>
      </w:pPr>
      <w:r w:rsidRPr="00A662B2">
        <w:t xml:space="preserve">IA encountered a number of sales and marketing challenges common to newcomers seeking to penetrate a market dominated by entrenched incumbents. Such challenges included navigating the </w:t>
      </w:r>
      <w:r w:rsidR="00F81C40">
        <w:t>multi-faceted</w:t>
      </w:r>
      <w:r w:rsidR="00F81C40" w:rsidRPr="00A662B2">
        <w:t xml:space="preserve"> </w:t>
      </w:r>
      <w:r w:rsidRPr="00A662B2">
        <w:t xml:space="preserve">IFE selling process, attracting attention at industry </w:t>
      </w:r>
      <w:r w:rsidR="00F81C40">
        <w:t>trade shows</w:t>
      </w:r>
      <w:r w:rsidRPr="00A662B2">
        <w:t>, and developing multi-channel communications. The IFE selling process was complex because it required the simultaneous consideration of numerous factors. In particular, companies had to contend with lengthy selling cycles and account for the role of multiple players in the purchase decision. As an added challenge, a new entrant like IA would have to establish brand presence in conventional and online industry publications.</w:t>
      </w:r>
    </w:p>
    <w:p w14:paraId="79412709" w14:textId="49703955" w:rsidR="005A0486" w:rsidRPr="006E3E4E" w:rsidRDefault="005A0486" w:rsidP="005A0486">
      <w:pPr>
        <w:pStyle w:val="BodyTextMain"/>
      </w:pPr>
      <w:r w:rsidRPr="006E3E4E">
        <w:lastRenderedPageBreak/>
        <w:t xml:space="preserve">Two of IA’s primary difficulties were learning how to cope with a long selling cycle and establishing a rapport with potential customers. “Martins had some relationships from his previous experience with Mezzo,” said Britton, “but much of the sales effort seemed a lot like </w:t>
      </w:r>
      <w:r w:rsidR="00BD38A3" w:rsidRPr="006E3E4E">
        <w:t>cold calling</w:t>
      </w:r>
      <w:r w:rsidRPr="006E3E4E">
        <w:t>.” As the only representative for the Americas, Britton had his work cut out for him. With only two other marketing representatives</w:t>
      </w:r>
      <w:r w:rsidR="00BD38A3" w:rsidRPr="006E3E4E">
        <w:t>—</w:t>
      </w:r>
      <w:r w:rsidRPr="006E3E4E">
        <w:t>one covering Europe and the Middle East, and the other covering Asia-Pacific</w:t>
      </w:r>
      <w:r w:rsidR="0099666E" w:rsidRPr="006E3E4E">
        <w:t>—</w:t>
      </w:r>
      <w:r w:rsidR="00DA1850">
        <w:t>Britton</w:t>
      </w:r>
      <w:r w:rsidR="00DA1850" w:rsidRPr="006E3E4E">
        <w:t xml:space="preserve"> </w:t>
      </w:r>
      <w:r w:rsidRPr="006E3E4E">
        <w:t>knew that IA’s small team was as taxed as he was. The sales team, Britton noted, was “short-handed” and lacked “the market intelligence</w:t>
      </w:r>
      <w:r w:rsidR="0099666E" w:rsidRPr="006E3E4E">
        <w:t>—</w:t>
      </w:r>
      <w:r w:rsidRPr="006E3E4E">
        <w:t>like who was in the market for a new system</w:t>
      </w:r>
      <w:r w:rsidR="0099666E" w:rsidRPr="006E3E4E">
        <w:t>—</w:t>
      </w:r>
      <w:r w:rsidRPr="006E3E4E">
        <w:t xml:space="preserve">that the incumbents took for granted.” </w:t>
      </w:r>
    </w:p>
    <w:p w14:paraId="538389DE" w14:textId="77777777" w:rsidR="005A0486" w:rsidRPr="00EB1809" w:rsidRDefault="005A0486" w:rsidP="005A0486">
      <w:pPr>
        <w:pStyle w:val="BodyTextMain"/>
        <w:rPr>
          <w:sz w:val="20"/>
        </w:rPr>
      </w:pPr>
    </w:p>
    <w:p w14:paraId="784CDE64" w14:textId="478DFEAD" w:rsidR="005A0486" w:rsidRPr="00EB1809" w:rsidRDefault="005A0486" w:rsidP="005A0486">
      <w:pPr>
        <w:pStyle w:val="BodyTextMain"/>
        <w:rPr>
          <w:spacing w:val="-2"/>
        </w:rPr>
      </w:pPr>
      <w:r w:rsidRPr="00EB1809">
        <w:rPr>
          <w:spacing w:val="-2"/>
        </w:rPr>
        <w:t xml:space="preserve">IA also struggled with delays as a consequence of the sheer number of departments and individuals who </w:t>
      </w:r>
      <w:r w:rsidR="0099666E" w:rsidRPr="00EB1809">
        <w:rPr>
          <w:spacing w:val="-2"/>
        </w:rPr>
        <w:t>had</w:t>
      </w:r>
      <w:r w:rsidRPr="00EB1809">
        <w:rPr>
          <w:spacing w:val="-2"/>
        </w:rPr>
        <w:t xml:space="preserve">, or </w:t>
      </w:r>
      <w:r w:rsidR="0099666E" w:rsidRPr="00EB1809">
        <w:rPr>
          <w:spacing w:val="-2"/>
        </w:rPr>
        <w:t>thought</w:t>
      </w:r>
      <w:r w:rsidRPr="00EB1809">
        <w:rPr>
          <w:spacing w:val="-2"/>
        </w:rPr>
        <w:t xml:space="preserve"> they </w:t>
      </w:r>
      <w:r w:rsidR="0099666E" w:rsidRPr="00EB1809">
        <w:rPr>
          <w:spacing w:val="-2"/>
        </w:rPr>
        <w:t>had</w:t>
      </w:r>
      <w:r w:rsidRPr="00EB1809">
        <w:rPr>
          <w:spacing w:val="-2"/>
        </w:rPr>
        <w:t>, a role in the purchase decision. According to Britton, “</w:t>
      </w:r>
      <w:r w:rsidR="0044090E">
        <w:rPr>
          <w:spacing w:val="-2"/>
        </w:rPr>
        <w:t>M</w:t>
      </w:r>
      <w:r w:rsidRPr="00EB1809">
        <w:rPr>
          <w:spacing w:val="-2"/>
        </w:rPr>
        <w:t>ultiple players had a distinct role in the decision to buy a new IFE system, and all of them need to be ‘on board</w:t>
      </w:r>
      <w:r w:rsidR="0099666E" w:rsidRPr="00EB1809">
        <w:rPr>
          <w:spacing w:val="-2"/>
        </w:rPr>
        <w:t>,</w:t>
      </w:r>
      <w:r w:rsidRPr="00EB1809">
        <w:rPr>
          <w:spacing w:val="-2"/>
        </w:rPr>
        <w:t xml:space="preserve">’ so to speak.” Such players </w:t>
      </w:r>
      <w:r w:rsidR="0099666E" w:rsidRPr="00EB1809">
        <w:rPr>
          <w:spacing w:val="-2"/>
        </w:rPr>
        <w:t xml:space="preserve">included </w:t>
      </w:r>
      <w:r w:rsidRPr="00EB1809">
        <w:rPr>
          <w:spacing w:val="-2"/>
        </w:rPr>
        <w:t xml:space="preserve">varied departments within airlines, aircraft manufactures and seat makers, and, indirectly, passengers themselves. IA pitched to a mid-size, </w:t>
      </w:r>
      <w:r w:rsidR="0099666E" w:rsidRPr="00EB1809">
        <w:rPr>
          <w:spacing w:val="-2"/>
        </w:rPr>
        <w:t>highly regarded</w:t>
      </w:r>
      <w:r w:rsidRPr="00EB1809">
        <w:rPr>
          <w:spacing w:val="-2"/>
        </w:rPr>
        <w:t xml:space="preserve"> European airline with a strong global network and had significant support from several departments; however, they lost the bid to an incumbent because, as an insider confided to Britton, the</w:t>
      </w:r>
      <w:r w:rsidR="0044090E">
        <w:rPr>
          <w:spacing w:val="-2"/>
        </w:rPr>
        <w:t xml:space="preserve"> airline</w:t>
      </w:r>
      <w:r w:rsidRPr="00EB1809">
        <w:rPr>
          <w:spacing w:val="-2"/>
        </w:rPr>
        <w:t xml:space="preserve"> “just couldn’t risk going with an unproven system from a start-up.” </w:t>
      </w:r>
    </w:p>
    <w:p w14:paraId="37FC8CE1" w14:textId="77777777" w:rsidR="005A0486" w:rsidRPr="00EB1809" w:rsidRDefault="005A0486" w:rsidP="005A0486">
      <w:pPr>
        <w:pStyle w:val="BodyTextMain"/>
        <w:rPr>
          <w:sz w:val="20"/>
        </w:rPr>
      </w:pPr>
    </w:p>
    <w:p w14:paraId="6EB5529A" w14:textId="7C2FA31F" w:rsidR="005A0486" w:rsidRPr="00A662B2" w:rsidRDefault="005A0486" w:rsidP="005A0486">
      <w:pPr>
        <w:pStyle w:val="BodyTextMain"/>
        <w:rPr>
          <w:rFonts w:eastAsiaTheme="minorHAnsi"/>
        </w:rPr>
      </w:pPr>
      <w:r w:rsidRPr="00A662B2">
        <w:t>Britton believed that it was essential to establish a presence at the two major industry trade shows to effectively showcase its products: the AIX</w:t>
      </w:r>
      <w:r w:rsidR="0099666E">
        <w:t>,</w:t>
      </w:r>
      <w:r w:rsidRPr="00A662B2">
        <w:t xml:space="preserve"> held every spring in Hamburg, and the </w:t>
      </w:r>
      <w:r w:rsidRPr="00A662B2">
        <w:rPr>
          <w:rFonts w:eastAsiaTheme="minorHAnsi"/>
        </w:rPr>
        <w:t>Airline Passenger Experience Association Expo</w:t>
      </w:r>
      <w:r w:rsidR="0099666E">
        <w:rPr>
          <w:rFonts w:eastAsiaTheme="minorHAnsi"/>
        </w:rPr>
        <w:t>,</w:t>
      </w:r>
      <w:r w:rsidRPr="00A662B2">
        <w:rPr>
          <w:rFonts w:eastAsiaTheme="minorHAnsi"/>
        </w:rPr>
        <w:t xml:space="preserve"> held every autumn in a different American city. Although both shows presented excellent networking opportunities, they were expensive and short. “In a sense,” Britton contemplated, “a year of sales effort gets crammed into just a few days.” </w:t>
      </w:r>
    </w:p>
    <w:p w14:paraId="3D2EC6FF" w14:textId="77777777" w:rsidR="005A0486" w:rsidRPr="00EB1809" w:rsidRDefault="005A0486" w:rsidP="005A0486">
      <w:pPr>
        <w:pStyle w:val="BodyTextMain"/>
        <w:rPr>
          <w:rFonts w:eastAsiaTheme="minorHAnsi"/>
          <w:sz w:val="20"/>
        </w:rPr>
      </w:pPr>
    </w:p>
    <w:p w14:paraId="6E64156F" w14:textId="77777777" w:rsidR="0044090E" w:rsidRDefault="005A0486" w:rsidP="005A0486">
      <w:pPr>
        <w:pStyle w:val="BodyTextMain"/>
      </w:pPr>
      <w:r w:rsidRPr="00A662B2">
        <w:t xml:space="preserve">Product promotion in the digital age also presented unique challenges. As online writers and bloggers of varied skill and experience played an increasing role in publicity, it became more difficult for companies to control their public image. </w:t>
      </w:r>
      <w:r w:rsidR="00894DD4">
        <w:t xml:space="preserve">Although </w:t>
      </w:r>
      <w:r w:rsidRPr="00A662B2">
        <w:t>Britton believed that many qualified industry writers existed</w:t>
      </w:r>
      <w:r w:rsidR="00894DD4">
        <w:t xml:space="preserve"> online</w:t>
      </w:r>
      <w:r w:rsidRPr="00A662B2">
        <w:t>, too often</w:t>
      </w:r>
      <w:r w:rsidR="00894DD4">
        <w:t>,</w:t>
      </w:r>
      <w:r w:rsidRPr="00A662B2">
        <w:t xml:space="preserve"> self-professed “experts” were either uninformed or financially influenced by </w:t>
      </w:r>
      <w:r w:rsidR="00894DD4">
        <w:t>pre</w:t>
      </w:r>
      <w:r w:rsidRPr="00A662B2">
        <w:t>-existing IFE giants. Communication in the space had become more expensive because specialized industry magazines blurred the distinction between advertising and editorial content, thus making it almost mandatory for companies to buy ad</w:t>
      </w:r>
      <w:r w:rsidR="00894DD4">
        <w:t>vertisements</w:t>
      </w:r>
      <w:r w:rsidRPr="00A662B2">
        <w:t xml:space="preserve"> if they wanted publicity. </w:t>
      </w:r>
    </w:p>
    <w:p w14:paraId="15262DE1" w14:textId="77777777" w:rsidR="0044090E" w:rsidRDefault="0044090E" w:rsidP="005A0486">
      <w:pPr>
        <w:pStyle w:val="BodyTextMain"/>
      </w:pPr>
    </w:p>
    <w:p w14:paraId="5AEBC4C1" w14:textId="2D6FFB4E" w:rsidR="0044090E" w:rsidRDefault="005A0486" w:rsidP="005A0486">
      <w:pPr>
        <w:pStyle w:val="BodyTextMain"/>
      </w:pPr>
      <w:r w:rsidRPr="00A662B2">
        <w:t xml:space="preserve">Despite </w:t>
      </w:r>
      <w:r w:rsidR="0044090E">
        <w:t>these</w:t>
      </w:r>
      <w:r w:rsidR="0044090E" w:rsidRPr="00A662B2">
        <w:t xml:space="preserve"> </w:t>
      </w:r>
      <w:r w:rsidRPr="00A662B2">
        <w:t>challenges, IA garnered positive media coverage early in its formation, owing, in part, to its innovative approach and an industry desire for change. “Some industry reporters and bloggers were keen to see fresh thinking in IFE,” said Britton, “so our new solutions garnered a lot of interest, along with a ‘David v</w:t>
      </w:r>
      <w:r w:rsidR="00894DD4">
        <w:t>ersus</w:t>
      </w:r>
      <w:r w:rsidRPr="00A662B2">
        <w:t xml:space="preserve"> Goliath’ narrative. Airlines worldwide seemed keen for new entrants.” Britton believed </w:t>
      </w:r>
      <w:r w:rsidR="00894DD4">
        <w:t xml:space="preserve">that </w:t>
      </w:r>
      <w:r w:rsidRPr="00A662B2">
        <w:t xml:space="preserve">the AURA website was engaging and well-designed, IA’s sales collateral was consistent, and its advertising </w:t>
      </w:r>
      <w:r w:rsidR="0004504A">
        <w:t>powerful</w:t>
      </w:r>
      <w:r w:rsidRPr="00A662B2">
        <w:t xml:space="preserve">, albeit limited. </w:t>
      </w:r>
    </w:p>
    <w:p w14:paraId="5F43EB15" w14:textId="77777777" w:rsidR="0044090E" w:rsidRDefault="0044090E" w:rsidP="005A0486">
      <w:pPr>
        <w:pStyle w:val="BodyTextMain"/>
      </w:pPr>
    </w:p>
    <w:p w14:paraId="4694F197" w14:textId="21E81394" w:rsidR="005A0486" w:rsidRPr="00A662B2" w:rsidRDefault="005A0486" w:rsidP="005A0486">
      <w:pPr>
        <w:pStyle w:val="BodyTextMain"/>
      </w:pPr>
      <w:r w:rsidRPr="00A662B2">
        <w:t>Encouraged by early publicity, the team ventured to the 2012 AIX in Hamburg.</w:t>
      </w:r>
    </w:p>
    <w:p w14:paraId="5B04F63C" w14:textId="77777777" w:rsidR="005A0486" w:rsidRPr="00EB1809" w:rsidRDefault="005A0486" w:rsidP="005A0486">
      <w:pPr>
        <w:pStyle w:val="BodyTextMain"/>
        <w:rPr>
          <w:sz w:val="20"/>
        </w:rPr>
      </w:pPr>
    </w:p>
    <w:p w14:paraId="723D39D2" w14:textId="77777777" w:rsidR="005A0486" w:rsidRPr="00EB1809" w:rsidRDefault="005A0486" w:rsidP="005A0486">
      <w:pPr>
        <w:pStyle w:val="BodyTextMain"/>
        <w:rPr>
          <w:sz w:val="20"/>
        </w:rPr>
      </w:pPr>
    </w:p>
    <w:p w14:paraId="68674777" w14:textId="77777777" w:rsidR="005A0486" w:rsidRPr="00A662B2" w:rsidRDefault="005A0486" w:rsidP="005A0486">
      <w:pPr>
        <w:pStyle w:val="Casehead1"/>
      </w:pPr>
      <w:r w:rsidRPr="00A662B2">
        <w:t xml:space="preserve">Trouble in Hamburg </w:t>
      </w:r>
    </w:p>
    <w:p w14:paraId="31E013DE" w14:textId="77777777" w:rsidR="005A0486" w:rsidRPr="00EB1809" w:rsidRDefault="005A0486" w:rsidP="005A0486">
      <w:pPr>
        <w:pStyle w:val="BodyTextMain"/>
        <w:rPr>
          <w:sz w:val="20"/>
        </w:rPr>
      </w:pPr>
    </w:p>
    <w:p w14:paraId="170AE2B7" w14:textId="77777777" w:rsidR="0044090E" w:rsidRDefault="005A0486" w:rsidP="005A0486">
      <w:pPr>
        <w:pStyle w:val="BodyTextMain"/>
      </w:pPr>
      <w:r w:rsidRPr="00A662B2">
        <w:t xml:space="preserve">Britton, Stevens, Martins, two other sales executives, and a technical specialist arrived in Hamburg for the 2012 AIX with a mix of enthusiasm and concern. They had invested many resources in development, which included partnering with </w:t>
      </w:r>
      <w:proofErr w:type="spellStart"/>
      <w:r w:rsidRPr="00A662B2">
        <w:t>Factorydesign</w:t>
      </w:r>
      <w:proofErr w:type="spellEnd"/>
      <w:r w:rsidRPr="00A662B2">
        <w:t xml:space="preserve">, a </w:t>
      </w:r>
      <w:r w:rsidR="002C0B91">
        <w:t>highly respected</w:t>
      </w:r>
      <w:r w:rsidRPr="00A662B2">
        <w:t>, award-winning industrial design firm based in London. After 18 months of sales and marketing efforts</w:t>
      </w:r>
      <w:r w:rsidR="00BC6A54">
        <w:t>,</w:t>
      </w:r>
      <w:r w:rsidRPr="00A662B2">
        <w:t xml:space="preserve"> they were eager to secure a launch customer. They knew they needed to close a sale in order to demonstrate AURA’s viability to the market, raise internal morale</w:t>
      </w:r>
      <w:r w:rsidR="00D95033">
        <w:t>,</w:t>
      </w:r>
      <w:r w:rsidRPr="00A662B2">
        <w:t xml:space="preserve"> and generate revenues. </w:t>
      </w:r>
    </w:p>
    <w:p w14:paraId="2D22EDE6" w14:textId="77777777" w:rsidR="0044090E" w:rsidRDefault="0044090E" w:rsidP="005A0486">
      <w:pPr>
        <w:pStyle w:val="BodyTextMain"/>
      </w:pPr>
    </w:p>
    <w:p w14:paraId="5D2DA11B" w14:textId="7B2E4BFE" w:rsidR="005A0486" w:rsidRPr="00FA6BBF" w:rsidRDefault="005A0486" w:rsidP="005A0486">
      <w:pPr>
        <w:pStyle w:val="BodyTextMain"/>
        <w:rPr>
          <w:spacing w:val="-2"/>
        </w:rPr>
      </w:pPr>
      <w:r w:rsidRPr="00FA6BBF">
        <w:rPr>
          <w:spacing w:val="-2"/>
        </w:rPr>
        <w:lastRenderedPageBreak/>
        <w:t xml:space="preserve">Hours before the show opened, anxiety rose exponentially as IA ran into technical glitches. Although the AURA Connected prototype worked perfectly, the </w:t>
      </w:r>
      <w:r w:rsidR="00D95033" w:rsidRPr="00FA6BBF">
        <w:rPr>
          <w:spacing w:val="-2"/>
        </w:rPr>
        <w:t xml:space="preserve">technology </w:t>
      </w:r>
      <w:r w:rsidRPr="00FA6BBF">
        <w:rPr>
          <w:spacing w:val="-2"/>
        </w:rPr>
        <w:t xml:space="preserve">team, despite a Herculean overnight effort, could not debug the AURA Works </w:t>
      </w:r>
      <w:r w:rsidR="00D95033" w:rsidRPr="00FA6BBF">
        <w:rPr>
          <w:spacing w:val="-2"/>
        </w:rPr>
        <w:t xml:space="preserve">demonstration </w:t>
      </w:r>
      <w:r w:rsidRPr="00FA6BBF">
        <w:rPr>
          <w:spacing w:val="-2"/>
        </w:rPr>
        <w:t>system</w:t>
      </w:r>
      <w:r w:rsidR="0044090E" w:rsidRPr="00FA6BBF">
        <w:rPr>
          <w:spacing w:val="-2"/>
        </w:rPr>
        <w:t>.</w:t>
      </w:r>
      <w:r w:rsidRPr="00FA6BBF">
        <w:rPr>
          <w:spacing w:val="-2"/>
        </w:rPr>
        <w:t xml:space="preserve"> </w:t>
      </w:r>
      <w:r w:rsidR="0044090E" w:rsidRPr="00FA6BBF">
        <w:rPr>
          <w:spacing w:val="-2"/>
        </w:rPr>
        <w:t>I</w:t>
      </w:r>
      <w:r w:rsidRPr="00FA6BBF">
        <w:rPr>
          <w:spacing w:val="-2"/>
        </w:rPr>
        <w:t xml:space="preserve">t did not work for the entire three days of the trade show. “We were all embarrassed, especially because we installed a working ‘V1.0’ prototype in an aircraft-cabin </w:t>
      </w:r>
      <w:r w:rsidR="00D95033" w:rsidRPr="00FA6BBF">
        <w:rPr>
          <w:spacing w:val="-2"/>
        </w:rPr>
        <w:t xml:space="preserve">mock-up </w:t>
      </w:r>
      <w:r w:rsidRPr="00FA6BBF">
        <w:rPr>
          <w:spacing w:val="-2"/>
        </w:rPr>
        <w:t>a year earlier at AIX,” Britton recalled. The AURA customer</w:t>
      </w:r>
      <w:r w:rsidR="0044090E" w:rsidRPr="00FA6BBF">
        <w:rPr>
          <w:spacing w:val="-2"/>
        </w:rPr>
        <w:t xml:space="preserve"> </w:t>
      </w:r>
      <w:r w:rsidRPr="00FA6BBF">
        <w:rPr>
          <w:spacing w:val="-2"/>
        </w:rPr>
        <w:t>proposition mantra, “Ultra lightweight. More reliable. Lower ownership cost. Happier passengers, happier crew,” began to sound hollow.</w:t>
      </w:r>
    </w:p>
    <w:p w14:paraId="3A8A72D5" w14:textId="77777777" w:rsidR="005A0486" w:rsidRPr="00EB1809" w:rsidRDefault="005A0486" w:rsidP="005A0486">
      <w:pPr>
        <w:pStyle w:val="BodyTextMain"/>
        <w:rPr>
          <w:sz w:val="20"/>
        </w:rPr>
      </w:pPr>
    </w:p>
    <w:p w14:paraId="7C66F8BF" w14:textId="77777777" w:rsidR="005A0486" w:rsidRPr="00EB1809" w:rsidRDefault="005A0486" w:rsidP="005A0486">
      <w:pPr>
        <w:pStyle w:val="BodyTextMain"/>
        <w:rPr>
          <w:sz w:val="20"/>
        </w:rPr>
      </w:pPr>
    </w:p>
    <w:p w14:paraId="6C64300A" w14:textId="77777777" w:rsidR="005A0486" w:rsidRPr="00A662B2" w:rsidRDefault="005A0486" w:rsidP="005A0486">
      <w:pPr>
        <w:pStyle w:val="Casehead1"/>
      </w:pPr>
      <w:r w:rsidRPr="00A662B2">
        <w:t>Final Questions</w:t>
      </w:r>
    </w:p>
    <w:p w14:paraId="1561B412" w14:textId="77777777" w:rsidR="005A0486" w:rsidRPr="00EB1809" w:rsidRDefault="005A0486" w:rsidP="005A0486">
      <w:pPr>
        <w:pStyle w:val="BodyTextMain"/>
        <w:rPr>
          <w:sz w:val="20"/>
        </w:rPr>
      </w:pPr>
    </w:p>
    <w:p w14:paraId="2A845404" w14:textId="3A264CC7" w:rsidR="0044090E" w:rsidRDefault="005A0486" w:rsidP="00EB1809">
      <w:pPr>
        <w:pStyle w:val="BodyTextMain"/>
      </w:pPr>
      <w:r w:rsidRPr="00A662B2">
        <w:t xml:space="preserve">Folding up his seat tray, the preternaturally optimistic Britton </w:t>
      </w:r>
      <w:r w:rsidR="005305C8">
        <w:t xml:space="preserve">could not </w:t>
      </w:r>
      <w:r w:rsidRPr="00A662B2">
        <w:t>help but feel a bit gloomy about IA’s direction.</w:t>
      </w:r>
      <w:r w:rsidR="00B068EF">
        <w:t xml:space="preserve"> </w:t>
      </w:r>
      <w:r w:rsidRPr="00A662B2">
        <w:t>Flying home from Hamburg, he was preoccupied by questions about IA’s marketing strategy and organizational structure. What should be the firm’s priorities? What product lines should IA offer</w:t>
      </w:r>
      <w:r w:rsidR="005305C8">
        <w:t>,</w:t>
      </w:r>
      <w:r w:rsidRPr="00A662B2">
        <w:t xml:space="preserve"> and to whom?</w:t>
      </w:r>
      <w:r w:rsidRPr="00A662B2">
        <w:rPr>
          <w:color w:val="000000" w:themeColor="text1"/>
        </w:rPr>
        <w:t xml:space="preserve"> </w:t>
      </w:r>
      <w:r w:rsidRPr="00A662B2">
        <w:t xml:space="preserve">Did IA have the right organization to create and execute on a winning marketing strategy? </w:t>
      </w:r>
    </w:p>
    <w:p w14:paraId="2D3072D8" w14:textId="77777777" w:rsidR="0044090E" w:rsidRDefault="0044090E" w:rsidP="00EB1809">
      <w:pPr>
        <w:pStyle w:val="BodyTextMain"/>
      </w:pPr>
    </w:p>
    <w:p w14:paraId="78CE2723" w14:textId="77777777" w:rsidR="003717B4" w:rsidRDefault="005A0486" w:rsidP="00EB1809">
      <w:pPr>
        <w:pStyle w:val="BodyTextMain"/>
      </w:pPr>
      <w:r w:rsidRPr="00A662B2">
        <w:t xml:space="preserve">Britton glanced outside at the spring-green Texas landscape. As he felt the landing gear thump the runway at Dallas/Fort </w:t>
      </w:r>
      <w:proofErr w:type="gramStart"/>
      <w:r w:rsidRPr="00A662B2">
        <w:t>Worth</w:t>
      </w:r>
      <w:proofErr w:type="gramEnd"/>
      <w:r w:rsidR="005305C8">
        <w:t xml:space="preserve"> International Airport</w:t>
      </w:r>
      <w:r w:rsidRPr="00A662B2">
        <w:t>, he knew the coming year was not going to be easy.</w:t>
      </w:r>
    </w:p>
    <w:p w14:paraId="79344E67" w14:textId="120B8C3A" w:rsidR="003717B4" w:rsidRDefault="003717B4" w:rsidP="00EB1809">
      <w:pPr>
        <w:pStyle w:val="BodyTextMain"/>
      </w:pPr>
      <w:r>
        <w:rPr>
          <w:noProof/>
          <w:lang w:val="en-CA" w:eastAsia="en-CA"/>
        </w:rPr>
        <mc:AlternateContent>
          <mc:Choice Requires="wps">
            <w:drawing>
              <wp:anchor distT="45720" distB="45720" distL="114300" distR="114300" simplePos="0" relativeHeight="251659264" behindDoc="0" locked="0" layoutInCell="1" allowOverlap="1" wp14:anchorId="29C69461" wp14:editId="306CFBEF">
                <wp:simplePos x="0" y="0"/>
                <wp:positionH relativeFrom="margin">
                  <wp:align>left</wp:align>
                </wp:positionH>
                <wp:positionV relativeFrom="paragraph">
                  <wp:posOffset>229870</wp:posOffset>
                </wp:positionV>
                <wp:extent cx="6076950" cy="1404620"/>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404620"/>
                        </a:xfrm>
                        <a:prstGeom prst="rect">
                          <a:avLst/>
                        </a:prstGeom>
                        <a:solidFill>
                          <a:srgbClr val="FFFFFF"/>
                        </a:solidFill>
                        <a:ln w="9525">
                          <a:solidFill>
                            <a:srgbClr val="000000"/>
                          </a:solidFill>
                          <a:miter lim="800000"/>
                          <a:headEnd/>
                          <a:tailEnd/>
                        </a:ln>
                      </wps:spPr>
                      <wps:txbx>
                        <w:txbxContent>
                          <w:p w14:paraId="6269DF2D" w14:textId="519E449F" w:rsidR="003717B4" w:rsidRPr="003717B4" w:rsidRDefault="003717B4" w:rsidP="003717B4">
                            <w:pPr>
                              <w:pStyle w:val="Footnote"/>
                            </w:pPr>
                            <w:r w:rsidRPr="003717B4">
                              <w:t xml:space="preserve">This case was prepared by Professor Rob Britton (Georgetown University), Professor Robert Mackalski (McGill University, </w:t>
                            </w:r>
                            <w:proofErr w:type="spellStart"/>
                            <w:r w:rsidRPr="003717B4">
                              <w:t>Desautels</w:t>
                            </w:r>
                            <w:proofErr w:type="spellEnd"/>
                            <w:r w:rsidRPr="003717B4">
                              <w:t xml:space="preserve"> Faculty of Management); faculty lecturer Mary </w:t>
                            </w:r>
                            <w:proofErr w:type="spellStart"/>
                            <w:r w:rsidRPr="003717B4">
                              <w:t>Dellar</w:t>
                            </w:r>
                            <w:proofErr w:type="spellEnd"/>
                            <w:r w:rsidRPr="003717B4">
                              <w:t xml:space="preserve"> (McGill University); and Mary Towers (McGill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C69461" id="_x0000_t202" coordsize="21600,21600" o:spt="202" path="m,l,21600r21600,l21600,xe">
                <v:stroke joinstyle="miter"/>
                <v:path gradientshapeok="t" o:connecttype="rect"/>
              </v:shapetype>
              <v:shape id="Text Box 2" o:spid="_x0000_s1026" type="#_x0000_t202" style="position:absolute;left:0;text-align:left;margin-left:0;margin-top:18.1pt;width:478.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">
                <v:textbox style="mso-fit-shape-to-text:t">
                  <w:txbxContent>
                    <w:p w14:paraId="6269DF2D" w14:textId="519E449F" w:rsidR="003717B4" w:rsidRPr="003717B4" w:rsidRDefault="003717B4" w:rsidP="003717B4">
                      <w:pPr>
                        <w:pStyle w:val="Footnote"/>
                      </w:pPr>
                      <w:r w:rsidRPr="003717B4">
                        <w:t xml:space="preserve">This case was prepared by Professor Rob Britton (Georgetown University), Professor Robert Mackalski (McGill University, </w:t>
                      </w:r>
                      <w:proofErr w:type="spellStart"/>
                      <w:r w:rsidRPr="003717B4">
                        <w:t>Desautels</w:t>
                      </w:r>
                      <w:proofErr w:type="spellEnd"/>
                      <w:r w:rsidRPr="003717B4">
                        <w:t xml:space="preserve"> Faculty of Management); faculty lecturer Mary </w:t>
                      </w:r>
                      <w:proofErr w:type="spellStart"/>
                      <w:r w:rsidRPr="003717B4">
                        <w:t>Dellar</w:t>
                      </w:r>
                      <w:proofErr w:type="spellEnd"/>
                      <w:r w:rsidRPr="003717B4">
                        <w:t xml:space="preserve"> (McGill University); and Mary Towers (McGill University).</w:t>
                      </w:r>
                    </w:p>
                  </w:txbxContent>
                </v:textbox>
                <w10:wrap type="square" anchorx="margin"/>
              </v:shape>
            </w:pict>
          </mc:Fallback>
        </mc:AlternateContent>
      </w:r>
    </w:p>
    <w:p w14:paraId="5D77206B" w14:textId="3842F44E" w:rsidR="003717B4" w:rsidRDefault="003717B4" w:rsidP="00EB1809">
      <w:pPr>
        <w:pStyle w:val="BodyTextMain"/>
      </w:pPr>
    </w:p>
    <w:p w14:paraId="1C82B25C" w14:textId="3508149D" w:rsidR="003717B4" w:rsidRDefault="003717B4" w:rsidP="00EB1809">
      <w:pPr>
        <w:pStyle w:val="BodyTextMain"/>
      </w:pPr>
    </w:p>
    <w:p w14:paraId="1F0AA32B" w14:textId="77777777" w:rsidR="003717B4" w:rsidRDefault="003717B4" w:rsidP="00EB1809">
      <w:pPr>
        <w:pStyle w:val="BodyTextMain"/>
      </w:pPr>
    </w:p>
    <w:p w14:paraId="44FD6744" w14:textId="77777777" w:rsidR="003717B4" w:rsidRDefault="003717B4" w:rsidP="00EB1809">
      <w:pPr>
        <w:pStyle w:val="BodyTextMain"/>
      </w:pPr>
    </w:p>
    <w:p w14:paraId="500E0C49" w14:textId="77777777" w:rsidR="003717B4" w:rsidRDefault="003717B4" w:rsidP="00EB1809">
      <w:pPr>
        <w:pStyle w:val="BodyTextMain"/>
      </w:pPr>
    </w:p>
    <w:p w14:paraId="65A0536C" w14:textId="49EACED8" w:rsidR="00D95033" w:rsidRDefault="00D95033" w:rsidP="00EB1809">
      <w:pPr>
        <w:pStyle w:val="BodyTextMain"/>
        <w:rPr>
          <w:rFonts w:ascii="Arial" w:hAnsi="Arial" w:cs="Arial"/>
          <w:b/>
          <w:caps/>
        </w:rPr>
      </w:pPr>
      <w:r>
        <w:br w:type="page"/>
      </w:r>
    </w:p>
    <w:p w14:paraId="7152C0D3" w14:textId="0BAFB6E6" w:rsidR="005A0486" w:rsidRPr="00A662B2" w:rsidRDefault="005A0486" w:rsidP="005A0486">
      <w:pPr>
        <w:pStyle w:val="ExhibitHeading"/>
      </w:pPr>
      <w:r w:rsidRPr="00A662B2">
        <w:lastRenderedPageBreak/>
        <w:t>Exhibit 1:</w:t>
      </w:r>
      <w:r w:rsidR="00184F17">
        <w:t xml:space="preserve"> Intelligent Avionics </w:t>
      </w:r>
      <w:r w:rsidRPr="00A662B2">
        <w:t xml:space="preserve">Executive Team </w:t>
      </w:r>
      <w:r w:rsidR="00184F17">
        <w:t>Biographies</w:t>
      </w:r>
    </w:p>
    <w:p w14:paraId="0EBC5C29" w14:textId="77777777" w:rsidR="005A0486" w:rsidRPr="00A662B2" w:rsidRDefault="005A0486" w:rsidP="0064217E">
      <w:pPr>
        <w:pStyle w:val="ExhibitText"/>
      </w:pPr>
    </w:p>
    <w:p w14:paraId="6B284DF5" w14:textId="34C30C5E" w:rsidR="005A0486" w:rsidRPr="00A662B2" w:rsidRDefault="005A0486" w:rsidP="0064217E">
      <w:pPr>
        <w:pStyle w:val="Casehead2"/>
      </w:pPr>
      <w:r w:rsidRPr="00A662B2">
        <w:t xml:space="preserve">Clark Stevens, </w:t>
      </w:r>
      <w:r w:rsidR="0061066D">
        <w:t>C</w:t>
      </w:r>
      <w:r w:rsidRPr="00A662B2">
        <w:t>hairman</w:t>
      </w:r>
    </w:p>
    <w:p w14:paraId="06989820" w14:textId="77777777" w:rsidR="006A734C" w:rsidRDefault="006A734C" w:rsidP="005A0486">
      <w:pPr>
        <w:pStyle w:val="ExhibitText"/>
      </w:pPr>
    </w:p>
    <w:p w14:paraId="0443B1A2" w14:textId="72B80178" w:rsidR="005A0486" w:rsidRPr="00A662B2" w:rsidRDefault="005A0486" w:rsidP="005A0486">
      <w:pPr>
        <w:pStyle w:val="ExhibitText"/>
      </w:pPr>
      <w:r w:rsidRPr="00A662B2">
        <w:t xml:space="preserve">Stevens was an </w:t>
      </w:r>
      <w:r w:rsidR="00DC2252">
        <w:t>aircraft</w:t>
      </w:r>
      <w:r w:rsidR="006A734C">
        <w:t xml:space="preserve"> </w:t>
      </w:r>
      <w:r w:rsidR="00DC2252">
        <w:t>interiors</w:t>
      </w:r>
      <w:r w:rsidRPr="00A662B2">
        <w:t xml:space="preserve"> entrepreneur who created three profitable </w:t>
      </w:r>
      <w:r w:rsidR="00DC2252">
        <w:t>aircraft</w:t>
      </w:r>
      <w:r w:rsidR="006A734C">
        <w:t xml:space="preserve"> </w:t>
      </w:r>
      <w:r w:rsidR="00DC2252">
        <w:t>interiors</w:t>
      </w:r>
      <w:r w:rsidRPr="00A662B2">
        <w:t xml:space="preserve"> businesses over 20 years.</w:t>
      </w:r>
    </w:p>
    <w:p w14:paraId="3402509F" w14:textId="2710B441" w:rsidR="005A0486" w:rsidRDefault="005A0486" w:rsidP="005A0486">
      <w:pPr>
        <w:pStyle w:val="ExhibitText"/>
      </w:pPr>
    </w:p>
    <w:p w14:paraId="46DFF708" w14:textId="77777777" w:rsidR="006A734C" w:rsidRPr="00A662B2" w:rsidRDefault="006A734C" w:rsidP="005A0486">
      <w:pPr>
        <w:pStyle w:val="ExhibitText"/>
      </w:pPr>
    </w:p>
    <w:p w14:paraId="57DBA326" w14:textId="77777777" w:rsidR="005A0486" w:rsidRPr="00A662B2" w:rsidRDefault="005A0486" w:rsidP="0064217E">
      <w:pPr>
        <w:pStyle w:val="Casehead2"/>
      </w:pPr>
      <w:r w:rsidRPr="00A662B2">
        <w:t>Connor Martins, CEO</w:t>
      </w:r>
    </w:p>
    <w:p w14:paraId="4DA73767" w14:textId="77777777" w:rsidR="006A734C" w:rsidRDefault="006A734C" w:rsidP="005A0486">
      <w:pPr>
        <w:pStyle w:val="ExhibitText"/>
      </w:pPr>
    </w:p>
    <w:p w14:paraId="200EDC45" w14:textId="1914CA72" w:rsidR="005A0486" w:rsidRPr="00A662B2" w:rsidRDefault="005A0486" w:rsidP="005A0486">
      <w:pPr>
        <w:pStyle w:val="ExhibitText"/>
      </w:pPr>
      <w:r w:rsidRPr="00A662B2">
        <w:t xml:space="preserve">Martins was finance director and one of the pioneers of </w:t>
      </w:r>
      <w:r w:rsidR="00DC2252">
        <w:t>Tesco.com</w:t>
      </w:r>
      <w:r w:rsidRPr="00A662B2">
        <w:t xml:space="preserve">, the online store of the </w:t>
      </w:r>
      <w:r w:rsidR="00DC2252">
        <w:t>U.K.</w:t>
      </w:r>
      <w:r w:rsidR="00DC2252" w:rsidRPr="00A662B2">
        <w:t xml:space="preserve"> </w:t>
      </w:r>
      <w:r w:rsidRPr="00A662B2">
        <w:t>supermarket chain.</w:t>
      </w:r>
      <w:r w:rsidR="00EA6CFE">
        <w:t xml:space="preserve"> </w:t>
      </w:r>
      <w:r w:rsidRPr="00A662B2">
        <w:t>From 2004 to 2008, he founded and led Mezzo</w:t>
      </w:r>
      <w:r w:rsidR="00DC2252">
        <w:t xml:space="preserve"> Movies Ltd.</w:t>
      </w:r>
      <w:r w:rsidRPr="00A662B2">
        <w:t xml:space="preserve">, which gained success by providing low-cost, </w:t>
      </w:r>
      <w:r w:rsidR="00DC2252">
        <w:t>rapid-deployment</w:t>
      </w:r>
      <w:r w:rsidRPr="00A662B2">
        <w:t xml:space="preserve"> IFE </w:t>
      </w:r>
      <w:r w:rsidR="00DC2252">
        <w:t>hand-</w:t>
      </w:r>
      <w:proofErr w:type="spellStart"/>
      <w:r w:rsidR="00DC2252">
        <w:t>helds</w:t>
      </w:r>
      <w:proofErr w:type="spellEnd"/>
      <w:r w:rsidR="00DC2252" w:rsidRPr="00A662B2">
        <w:t xml:space="preserve"> </w:t>
      </w:r>
      <w:r w:rsidRPr="00A662B2">
        <w:t>for boutique, charter</w:t>
      </w:r>
      <w:r w:rsidR="00DC2252">
        <w:t>,</w:t>
      </w:r>
      <w:r w:rsidRPr="00A662B2">
        <w:t xml:space="preserve"> and low-cost airlines.</w:t>
      </w:r>
      <w:r w:rsidR="00EA6CFE">
        <w:t xml:space="preserve"> </w:t>
      </w:r>
    </w:p>
    <w:p w14:paraId="75251962" w14:textId="230548E8" w:rsidR="005A0486" w:rsidRDefault="005A0486" w:rsidP="005A0486">
      <w:pPr>
        <w:pStyle w:val="ExhibitText"/>
      </w:pPr>
    </w:p>
    <w:p w14:paraId="1CCAA1A2" w14:textId="77777777" w:rsidR="006A734C" w:rsidRPr="00A662B2" w:rsidRDefault="006A734C" w:rsidP="005A0486">
      <w:pPr>
        <w:pStyle w:val="ExhibitText"/>
      </w:pPr>
    </w:p>
    <w:p w14:paraId="2B4BA808" w14:textId="39BE3D27" w:rsidR="005A0486" w:rsidRPr="00A662B2" w:rsidRDefault="005A0486" w:rsidP="0064217E">
      <w:pPr>
        <w:pStyle w:val="Casehead2"/>
      </w:pPr>
      <w:r w:rsidRPr="00A662B2">
        <w:t>William Davidson, CTO</w:t>
      </w:r>
      <w:r w:rsidR="0061066D">
        <w:t xml:space="preserve"> and VP, Asia-Pacific</w:t>
      </w:r>
    </w:p>
    <w:p w14:paraId="497C8D76" w14:textId="77777777" w:rsidR="006A734C" w:rsidRDefault="006A734C" w:rsidP="005A0486">
      <w:pPr>
        <w:pStyle w:val="ExhibitText"/>
      </w:pPr>
    </w:p>
    <w:p w14:paraId="107A163F" w14:textId="34834E4B" w:rsidR="005A0486" w:rsidRPr="00A662B2" w:rsidRDefault="005A0486" w:rsidP="005A0486">
      <w:pPr>
        <w:pStyle w:val="ExhibitText"/>
      </w:pPr>
      <w:r w:rsidRPr="00A662B2">
        <w:t>Davidson served as CTO and head of development for the trio of AURA solutions and led AURA sales activity in Asia and the Pacific.</w:t>
      </w:r>
      <w:r w:rsidR="00EA6CFE">
        <w:t xml:space="preserve"> </w:t>
      </w:r>
      <w:r w:rsidRPr="00A662B2">
        <w:t>Previously</w:t>
      </w:r>
      <w:r w:rsidR="00DC2252">
        <w:t>,</w:t>
      </w:r>
      <w:r w:rsidRPr="00A662B2">
        <w:t xml:space="preserve"> he was </w:t>
      </w:r>
      <w:r w:rsidR="00DC2252">
        <w:t>president</w:t>
      </w:r>
      <w:r w:rsidR="00DC2252" w:rsidRPr="00A662B2">
        <w:t xml:space="preserve"> </w:t>
      </w:r>
      <w:r w:rsidRPr="00A662B2">
        <w:t xml:space="preserve">of Boeing Australia and </w:t>
      </w:r>
      <w:r w:rsidR="00C054DC">
        <w:t>managing director</w:t>
      </w:r>
      <w:r w:rsidRPr="00A662B2">
        <w:t xml:space="preserve"> of Smiths </w:t>
      </w:r>
      <w:r w:rsidR="0061066D">
        <w:t>Group plc</w:t>
      </w:r>
      <w:r w:rsidR="006A734C">
        <w:t>,</w:t>
      </w:r>
      <w:r w:rsidR="0061066D">
        <w:t xml:space="preserve"> </w:t>
      </w:r>
      <w:r w:rsidRPr="00A662B2">
        <w:t xml:space="preserve">a </w:t>
      </w:r>
      <w:r w:rsidR="00727BB8">
        <w:t>U.K.</w:t>
      </w:r>
      <w:r w:rsidR="00727BB8" w:rsidRPr="00A662B2">
        <w:t xml:space="preserve"> </w:t>
      </w:r>
      <w:r w:rsidRPr="00A662B2">
        <w:t>company with customers in aerospace and other sectors.</w:t>
      </w:r>
      <w:r w:rsidR="00EA6CFE">
        <w:t xml:space="preserve"> </w:t>
      </w:r>
      <w:r w:rsidRPr="00A662B2">
        <w:t xml:space="preserve">Davidson was a </w:t>
      </w:r>
      <w:r w:rsidR="00727BB8">
        <w:t>fellow</w:t>
      </w:r>
      <w:r w:rsidR="00727BB8" w:rsidRPr="00A662B2">
        <w:t xml:space="preserve"> </w:t>
      </w:r>
      <w:r w:rsidRPr="00A662B2">
        <w:t>of the Royal Aeronautical Society.</w:t>
      </w:r>
    </w:p>
    <w:p w14:paraId="36B43279" w14:textId="4A4BBF75" w:rsidR="005A0486" w:rsidRDefault="005A0486" w:rsidP="005A0486">
      <w:pPr>
        <w:pStyle w:val="ExhibitText"/>
      </w:pPr>
    </w:p>
    <w:p w14:paraId="56FCD24E" w14:textId="77777777" w:rsidR="006A734C" w:rsidRPr="00A662B2" w:rsidRDefault="006A734C" w:rsidP="005A0486">
      <w:pPr>
        <w:pStyle w:val="ExhibitText"/>
      </w:pPr>
    </w:p>
    <w:p w14:paraId="3A011FA7" w14:textId="02A5192C" w:rsidR="005A0486" w:rsidRPr="00A662B2" w:rsidRDefault="005A0486" w:rsidP="0064217E">
      <w:pPr>
        <w:pStyle w:val="Casehead2"/>
      </w:pPr>
      <w:r w:rsidRPr="00A662B2">
        <w:t>Rob Britton, VP</w:t>
      </w:r>
      <w:r w:rsidR="0061066D">
        <w:t>,</w:t>
      </w:r>
      <w:r w:rsidRPr="00A662B2">
        <w:t xml:space="preserve"> Americas</w:t>
      </w:r>
    </w:p>
    <w:p w14:paraId="3A3B060E" w14:textId="77777777" w:rsidR="006A734C" w:rsidRDefault="006A734C" w:rsidP="005A0486">
      <w:pPr>
        <w:pStyle w:val="ExhibitText"/>
      </w:pPr>
    </w:p>
    <w:p w14:paraId="58281F63" w14:textId="64479265" w:rsidR="005A0486" w:rsidRPr="00A662B2" w:rsidRDefault="005A0486" w:rsidP="005A0486">
      <w:pPr>
        <w:pStyle w:val="ExhibitText"/>
      </w:pPr>
      <w:r w:rsidRPr="00A662B2">
        <w:t xml:space="preserve">In his </w:t>
      </w:r>
      <w:r w:rsidR="006624C1">
        <w:t xml:space="preserve">over </w:t>
      </w:r>
      <w:r w:rsidRPr="00A662B2">
        <w:t>20 years of experience with American Airlines</w:t>
      </w:r>
      <w:r w:rsidR="006624C1">
        <w:t>, Inc.</w:t>
      </w:r>
      <w:r w:rsidRPr="00A662B2">
        <w:t xml:space="preserve">, Britton rose to head of advertising and marketing planning after serving in other leadership roles, including </w:t>
      </w:r>
      <w:r w:rsidR="006624C1">
        <w:t>food</w:t>
      </w:r>
      <w:r w:rsidR="006A734C">
        <w:t xml:space="preserve"> </w:t>
      </w:r>
      <w:r w:rsidR="006624C1">
        <w:t>and</w:t>
      </w:r>
      <w:r w:rsidR="006A734C">
        <w:t xml:space="preserve"> </w:t>
      </w:r>
      <w:r w:rsidR="006624C1">
        <w:t>beverage</w:t>
      </w:r>
      <w:r w:rsidRPr="00A662B2">
        <w:t xml:space="preserve"> services, corporate communications, and international affairs.</w:t>
      </w:r>
    </w:p>
    <w:p w14:paraId="1648EB04" w14:textId="05640967" w:rsidR="005A0486" w:rsidRDefault="005A0486" w:rsidP="005A0486">
      <w:pPr>
        <w:pStyle w:val="ExhibitText"/>
      </w:pPr>
    </w:p>
    <w:p w14:paraId="69C95E60" w14:textId="77777777" w:rsidR="006A734C" w:rsidRPr="00A662B2" w:rsidRDefault="006A734C" w:rsidP="005A0486">
      <w:pPr>
        <w:pStyle w:val="ExhibitText"/>
      </w:pPr>
    </w:p>
    <w:p w14:paraId="066CA7F6" w14:textId="77777777" w:rsidR="005A0486" w:rsidRPr="00A662B2" w:rsidRDefault="005A0486" w:rsidP="0064217E">
      <w:pPr>
        <w:pStyle w:val="Casehead2"/>
      </w:pPr>
      <w:r w:rsidRPr="00A662B2">
        <w:t>Amy Thomasson, VP, EMEA</w:t>
      </w:r>
    </w:p>
    <w:p w14:paraId="22438804" w14:textId="77777777" w:rsidR="001735F7" w:rsidRDefault="001735F7" w:rsidP="005A0486">
      <w:pPr>
        <w:pStyle w:val="ExhibitText"/>
      </w:pPr>
    </w:p>
    <w:p w14:paraId="117441FD" w14:textId="73FF3FE7" w:rsidR="005A0486" w:rsidRPr="00A662B2" w:rsidRDefault="005A0486" w:rsidP="005A0486">
      <w:pPr>
        <w:pStyle w:val="ExhibitText"/>
      </w:pPr>
      <w:r w:rsidRPr="00A662B2">
        <w:t xml:space="preserve">Thomasson joined the AURA </w:t>
      </w:r>
      <w:r w:rsidR="000F595E">
        <w:t xml:space="preserve">team </w:t>
      </w:r>
      <w:r w:rsidRPr="00A662B2">
        <w:t xml:space="preserve">after a successful run at </w:t>
      </w:r>
      <w:r w:rsidR="0061066D">
        <w:t>a major equipment supplier for aircraft cabins</w:t>
      </w:r>
      <w:r w:rsidRPr="00A662B2">
        <w:t xml:space="preserve">. </w:t>
      </w:r>
      <w:r w:rsidR="0061066D">
        <w:t>Thomasson</w:t>
      </w:r>
      <w:r w:rsidRPr="00A662B2">
        <w:t xml:space="preserve"> had </w:t>
      </w:r>
      <w:r w:rsidR="00263A31">
        <w:t>extensive</w:t>
      </w:r>
      <w:r w:rsidR="00263A31" w:rsidRPr="00A662B2">
        <w:t xml:space="preserve"> </w:t>
      </w:r>
      <w:r w:rsidRPr="00A662B2">
        <w:t>experience in inflight service and provision, having begun her career in inflight service for Scandinavian Airlines (</w:t>
      </w:r>
      <w:r w:rsidR="00263A31">
        <w:t xml:space="preserve">commonly known as </w:t>
      </w:r>
      <w:r w:rsidRPr="00A662B2">
        <w:t>SAS).</w:t>
      </w:r>
    </w:p>
    <w:p w14:paraId="5C764F64" w14:textId="41D08AF7" w:rsidR="005A0486" w:rsidRPr="00A662B2" w:rsidRDefault="005A0486" w:rsidP="0064217E">
      <w:pPr>
        <w:pStyle w:val="ExhibitText"/>
      </w:pPr>
    </w:p>
    <w:p w14:paraId="7B9B1714" w14:textId="5FF55754" w:rsidR="00DC2252" w:rsidRDefault="00DC2252" w:rsidP="005A0486">
      <w:pPr>
        <w:pStyle w:val="Footnote"/>
      </w:pPr>
      <w:r>
        <w:t xml:space="preserve">Note: CEO = chief executive officer; CTO = chief technology officer; </w:t>
      </w:r>
      <w:r w:rsidR="00E45ECC">
        <w:t>VP = vice-president</w:t>
      </w:r>
      <w:r w:rsidR="00F767C2">
        <w:t>; EMEA = Euro</w:t>
      </w:r>
      <w:r w:rsidR="00F00088">
        <w:t>pe, the Middle East, and Africa</w:t>
      </w:r>
      <w:r w:rsidR="006A734C">
        <w:t>.</w:t>
      </w:r>
    </w:p>
    <w:p w14:paraId="4EF2DE5C" w14:textId="579BFAD6" w:rsidR="005A0486" w:rsidRPr="00A662B2" w:rsidRDefault="005A0486" w:rsidP="0064217E">
      <w:pPr>
        <w:pStyle w:val="Footnote"/>
      </w:pPr>
      <w:r w:rsidRPr="00A662B2">
        <w:t>Source: Company files.</w:t>
      </w:r>
    </w:p>
    <w:p w14:paraId="51FCA8C6" w14:textId="77777777" w:rsidR="006E3E4E" w:rsidRDefault="006E3E4E">
      <w:pPr>
        <w:spacing w:after="200" w:line="276" w:lineRule="auto"/>
        <w:rPr>
          <w:rFonts w:ascii="Arial" w:hAnsi="Arial" w:cs="Arial"/>
          <w:b/>
          <w:caps/>
        </w:rPr>
      </w:pPr>
      <w:r>
        <w:br w:type="page"/>
      </w:r>
    </w:p>
    <w:p w14:paraId="56494810" w14:textId="62221E98" w:rsidR="005A0486" w:rsidRPr="00A662B2" w:rsidRDefault="005A0486" w:rsidP="005A0486">
      <w:pPr>
        <w:pStyle w:val="ExhibitHeading"/>
      </w:pPr>
      <w:r w:rsidRPr="00A662B2">
        <w:lastRenderedPageBreak/>
        <w:t xml:space="preserve">Exhibit 2: </w:t>
      </w:r>
      <w:r w:rsidR="00B35525">
        <w:t>Intelligent avionics</w:t>
      </w:r>
      <w:r w:rsidRPr="00A662B2">
        <w:t xml:space="preserve"> Organizational Chart, 2012</w:t>
      </w:r>
    </w:p>
    <w:p w14:paraId="0C0675E5" w14:textId="77777777" w:rsidR="005A0486" w:rsidRPr="00A662B2" w:rsidRDefault="005A0486" w:rsidP="0064217E">
      <w:pPr>
        <w:pStyle w:val="ExhibitText"/>
      </w:pPr>
    </w:p>
    <w:p w14:paraId="6EE58E82" w14:textId="7798F388" w:rsidR="005A0486" w:rsidRPr="00A662B2" w:rsidRDefault="005A0486" w:rsidP="0064217E">
      <w:pPr>
        <w:pStyle w:val="ExhibitText"/>
        <w:jc w:val="center"/>
      </w:pPr>
      <w:r w:rsidRPr="00A662B2">
        <w:rPr>
          <w:noProof/>
          <w:lang w:val="en-CA" w:eastAsia="en-CA"/>
        </w:rPr>
        <w:drawing>
          <wp:inline distT="0" distB="0" distL="0" distR="0" wp14:anchorId="41C38E3C" wp14:editId="3AED3C52">
            <wp:extent cx="5557962" cy="2934031"/>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2083024" w14:textId="77777777" w:rsidR="005A0486" w:rsidRPr="00A662B2" w:rsidRDefault="005A0486" w:rsidP="0064217E">
      <w:pPr>
        <w:pStyle w:val="ExhibitText"/>
      </w:pPr>
    </w:p>
    <w:p w14:paraId="5D830091" w14:textId="1A1506E6" w:rsidR="002259DB" w:rsidRDefault="002259DB" w:rsidP="005A0486">
      <w:pPr>
        <w:pStyle w:val="Footnote"/>
      </w:pPr>
      <w:r>
        <w:t>Note: CEO = chief executive officer; CTO = chief technology officer; VP = vice-president.</w:t>
      </w:r>
    </w:p>
    <w:p w14:paraId="0C930E5C" w14:textId="67DB2763" w:rsidR="005A0486" w:rsidRPr="00A662B2" w:rsidRDefault="005A0486" w:rsidP="005A0486">
      <w:pPr>
        <w:pStyle w:val="Footnote"/>
      </w:pPr>
      <w:r w:rsidRPr="00A662B2">
        <w:t>Source: Company files.</w:t>
      </w:r>
    </w:p>
    <w:p w14:paraId="7A8AD4D5" w14:textId="77777777" w:rsidR="00275941" w:rsidRDefault="00275941">
      <w:pPr>
        <w:spacing w:after="200" w:line="276" w:lineRule="auto"/>
        <w:rPr>
          <w:rFonts w:ascii="Arial" w:hAnsi="Arial" w:cs="Arial"/>
          <w:b/>
          <w:caps/>
        </w:rPr>
      </w:pPr>
      <w:r>
        <w:br w:type="page"/>
      </w:r>
    </w:p>
    <w:p w14:paraId="095009D6" w14:textId="77777777" w:rsidR="000B31E7" w:rsidRDefault="005A0486" w:rsidP="005A0486">
      <w:pPr>
        <w:pStyle w:val="ExhibitHeading"/>
        <w:rPr>
          <w:shd w:val="clear" w:color="auto" w:fill="FFFFFF"/>
        </w:rPr>
      </w:pPr>
      <w:r w:rsidRPr="00A662B2">
        <w:lastRenderedPageBreak/>
        <w:t xml:space="preserve">Exhibit 3: </w:t>
      </w:r>
      <w:r w:rsidR="000B31E7">
        <w:t xml:space="preserve">the </w:t>
      </w:r>
      <w:r w:rsidRPr="00A662B2">
        <w:rPr>
          <w:shd w:val="clear" w:color="auto" w:fill="FFFFFF"/>
        </w:rPr>
        <w:t xml:space="preserve">World's Top 50 Airlines by Capacity </w:t>
      </w:r>
    </w:p>
    <w:p w14:paraId="009A94A0" w14:textId="0F91CDCE" w:rsidR="005A0486" w:rsidRDefault="005A0486" w:rsidP="006E3E4E">
      <w:pPr>
        <w:pStyle w:val="ExhibitHeading"/>
        <w:rPr>
          <w:shd w:val="clear" w:color="auto" w:fill="FFFFFF"/>
        </w:rPr>
      </w:pPr>
      <w:r w:rsidRPr="00A662B2">
        <w:rPr>
          <w:shd w:val="clear" w:color="auto" w:fill="FFFFFF"/>
        </w:rPr>
        <w:t xml:space="preserve">(Weekly Available Seat </w:t>
      </w:r>
      <w:r w:rsidR="000B31E7">
        <w:rPr>
          <w:shd w:val="clear" w:color="auto" w:fill="FFFFFF"/>
        </w:rPr>
        <w:t>kilometres</w:t>
      </w:r>
      <w:r w:rsidR="0061066D">
        <w:rPr>
          <w:shd w:val="clear" w:color="auto" w:fill="FFFFFF"/>
        </w:rPr>
        <w:t xml:space="preserve"> in millions</w:t>
      </w:r>
      <w:r w:rsidRPr="00A662B2">
        <w:rPr>
          <w:shd w:val="clear" w:color="auto" w:fill="FFFFFF"/>
        </w:rPr>
        <w:t>)</w:t>
      </w:r>
    </w:p>
    <w:p w14:paraId="32039188" w14:textId="77777777" w:rsidR="006E3E4E" w:rsidRPr="00A662B2" w:rsidRDefault="006E3E4E" w:rsidP="0064217E">
      <w:pPr>
        <w:pStyle w:val="ExhibitText"/>
      </w:pPr>
    </w:p>
    <w:tbl>
      <w:tblPr>
        <w:tblW w:w="9180" w:type="dxa"/>
        <w:jc w:val="center"/>
        <w:tblLayout w:type="fixed"/>
        <w:tblLook w:val="0000" w:firstRow="0" w:lastRow="0" w:firstColumn="0" w:lastColumn="0" w:noHBand="0" w:noVBand="0"/>
      </w:tblPr>
      <w:tblGrid>
        <w:gridCol w:w="1440"/>
        <w:gridCol w:w="6120"/>
        <w:gridCol w:w="1620"/>
      </w:tblGrid>
      <w:tr w:rsidR="00636470" w:rsidRPr="006E3E4E" w14:paraId="5CAA7B86" w14:textId="77777777" w:rsidTr="0025677F">
        <w:trPr>
          <w:trHeight w:val="202"/>
          <w:jc w:val="center"/>
        </w:trPr>
        <w:tc>
          <w:tcPr>
            <w:tcW w:w="1440" w:type="dxa"/>
            <w:tcBorders>
              <w:top w:val="single" w:sz="4" w:space="0" w:color="auto"/>
              <w:bottom w:val="single" w:sz="12" w:space="0" w:color="auto"/>
            </w:tcBorders>
            <w:vAlign w:val="center"/>
          </w:tcPr>
          <w:p w14:paraId="7B4EC21F" w14:textId="77777777" w:rsidR="005A0486" w:rsidRPr="006E3E4E" w:rsidRDefault="005A0486" w:rsidP="00853D12">
            <w:pPr>
              <w:autoSpaceDE w:val="0"/>
              <w:autoSpaceDN w:val="0"/>
              <w:adjustRightInd w:val="0"/>
              <w:rPr>
                <w:rFonts w:ascii="Arial" w:eastAsiaTheme="minorHAnsi" w:hAnsi="Arial" w:cs="Arial"/>
                <w:b/>
                <w:bCs/>
                <w:color w:val="000000"/>
                <w:sz w:val="18"/>
                <w:szCs w:val="18"/>
              </w:rPr>
            </w:pPr>
            <w:r w:rsidRPr="006E3E4E">
              <w:rPr>
                <w:rFonts w:ascii="Arial" w:eastAsiaTheme="minorHAnsi" w:hAnsi="Arial" w:cs="Arial"/>
                <w:b/>
                <w:bCs/>
                <w:color w:val="000000"/>
                <w:sz w:val="18"/>
                <w:szCs w:val="18"/>
              </w:rPr>
              <w:t>Global Rank</w:t>
            </w:r>
          </w:p>
        </w:tc>
        <w:tc>
          <w:tcPr>
            <w:tcW w:w="6120" w:type="dxa"/>
            <w:tcBorders>
              <w:top w:val="single" w:sz="4" w:space="0" w:color="auto"/>
              <w:bottom w:val="single" w:sz="12" w:space="0" w:color="auto"/>
            </w:tcBorders>
            <w:vAlign w:val="center"/>
          </w:tcPr>
          <w:p w14:paraId="177A0E02" w14:textId="77777777" w:rsidR="005A0486" w:rsidRPr="006E3E4E" w:rsidRDefault="005A0486" w:rsidP="00853D12">
            <w:pPr>
              <w:autoSpaceDE w:val="0"/>
              <w:autoSpaceDN w:val="0"/>
              <w:adjustRightInd w:val="0"/>
              <w:jc w:val="center"/>
              <w:rPr>
                <w:rFonts w:ascii="Arial" w:eastAsiaTheme="minorHAnsi" w:hAnsi="Arial" w:cs="Arial"/>
                <w:b/>
                <w:bCs/>
                <w:color w:val="000000"/>
                <w:sz w:val="18"/>
                <w:szCs w:val="18"/>
              </w:rPr>
            </w:pPr>
            <w:r w:rsidRPr="006E3E4E">
              <w:rPr>
                <w:rFonts w:ascii="Arial" w:eastAsiaTheme="minorHAnsi" w:hAnsi="Arial" w:cs="Arial"/>
                <w:b/>
                <w:bCs/>
                <w:color w:val="000000"/>
                <w:sz w:val="18"/>
                <w:szCs w:val="18"/>
              </w:rPr>
              <w:t>Airline</w:t>
            </w:r>
          </w:p>
        </w:tc>
        <w:tc>
          <w:tcPr>
            <w:tcW w:w="1620" w:type="dxa"/>
            <w:tcBorders>
              <w:top w:val="single" w:sz="4" w:space="0" w:color="auto"/>
              <w:bottom w:val="single" w:sz="12" w:space="0" w:color="auto"/>
            </w:tcBorders>
            <w:vAlign w:val="center"/>
          </w:tcPr>
          <w:p w14:paraId="4078282F" w14:textId="77777777" w:rsidR="005A0486" w:rsidRPr="006E3E4E" w:rsidRDefault="005A0486" w:rsidP="00853D12">
            <w:pPr>
              <w:autoSpaceDE w:val="0"/>
              <w:autoSpaceDN w:val="0"/>
              <w:adjustRightInd w:val="0"/>
              <w:jc w:val="center"/>
              <w:rPr>
                <w:rFonts w:ascii="Arial" w:eastAsiaTheme="minorHAnsi" w:hAnsi="Arial" w:cs="Arial"/>
                <w:b/>
                <w:bCs/>
                <w:color w:val="000000"/>
                <w:sz w:val="18"/>
                <w:szCs w:val="18"/>
              </w:rPr>
            </w:pPr>
            <w:r w:rsidRPr="006E3E4E">
              <w:rPr>
                <w:rFonts w:ascii="Arial" w:eastAsiaTheme="minorHAnsi" w:hAnsi="Arial" w:cs="Arial"/>
                <w:b/>
                <w:bCs/>
                <w:color w:val="000000"/>
                <w:sz w:val="18"/>
                <w:szCs w:val="18"/>
              </w:rPr>
              <w:t>December 2012</w:t>
            </w:r>
          </w:p>
        </w:tc>
      </w:tr>
      <w:tr w:rsidR="00636470" w:rsidRPr="006E3E4E" w14:paraId="680D6CB0" w14:textId="77777777" w:rsidTr="0025677F">
        <w:trPr>
          <w:trHeight w:val="202"/>
          <w:jc w:val="center"/>
        </w:trPr>
        <w:tc>
          <w:tcPr>
            <w:tcW w:w="1440" w:type="dxa"/>
            <w:tcBorders>
              <w:top w:val="single" w:sz="12" w:space="0" w:color="auto"/>
            </w:tcBorders>
            <w:tcMar>
              <w:left w:w="115" w:type="dxa"/>
              <w:right w:w="360" w:type="dxa"/>
            </w:tcMar>
            <w:vAlign w:val="center"/>
          </w:tcPr>
          <w:p w14:paraId="1351A577"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w:t>
            </w:r>
          </w:p>
        </w:tc>
        <w:tc>
          <w:tcPr>
            <w:tcW w:w="6120" w:type="dxa"/>
            <w:tcBorders>
              <w:top w:val="single" w:sz="12" w:space="0" w:color="auto"/>
            </w:tcBorders>
            <w:vAlign w:val="center"/>
          </w:tcPr>
          <w:p w14:paraId="3E457B48" w14:textId="35F25AFA"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United Airlines</w:t>
            </w:r>
            <w:r w:rsidR="00481D40" w:rsidRPr="006E3E4E">
              <w:rPr>
                <w:rFonts w:ascii="Arial" w:eastAsiaTheme="minorHAnsi" w:hAnsi="Arial" w:cs="Arial"/>
                <w:color w:val="000000"/>
                <w:sz w:val="18"/>
                <w:szCs w:val="18"/>
                <w:u w:color="000000"/>
              </w:rPr>
              <w:t>, Inc.</w:t>
            </w:r>
          </w:p>
        </w:tc>
        <w:tc>
          <w:tcPr>
            <w:tcW w:w="1620" w:type="dxa"/>
            <w:tcBorders>
              <w:top w:val="single" w:sz="12" w:space="0" w:color="auto"/>
            </w:tcBorders>
            <w:vAlign w:val="center"/>
          </w:tcPr>
          <w:p w14:paraId="0A9743B7" w14:textId="3F443FA4"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6,149</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39</w:t>
            </w:r>
          </w:p>
        </w:tc>
      </w:tr>
      <w:tr w:rsidR="00636470" w:rsidRPr="006E3E4E" w14:paraId="433BBE3D" w14:textId="77777777" w:rsidTr="0025677F">
        <w:trPr>
          <w:trHeight w:val="202"/>
          <w:jc w:val="center"/>
        </w:trPr>
        <w:tc>
          <w:tcPr>
            <w:tcW w:w="1440" w:type="dxa"/>
            <w:tcMar>
              <w:left w:w="115" w:type="dxa"/>
              <w:right w:w="360" w:type="dxa"/>
            </w:tcMar>
            <w:vAlign w:val="center"/>
          </w:tcPr>
          <w:p w14:paraId="660F9864"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w:t>
            </w:r>
          </w:p>
        </w:tc>
        <w:tc>
          <w:tcPr>
            <w:tcW w:w="6120" w:type="dxa"/>
            <w:vAlign w:val="center"/>
          </w:tcPr>
          <w:p w14:paraId="7F562936" w14:textId="014853B5"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Delta Air Lines</w:t>
            </w:r>
            <w:r w:rsidR="00481D40" w:rsidRPr="006E3E4E">
              <w:rPr>
                <w:rFonts w:ascii="Arial" w:eastAsiaTheme="minorHAnsi" w:hAnsi="Arial" w:cs="Arial"/>
                <w:color w:val="000000"/>
                <w:sz w:val="18"/>
                <w:szCs w:val="18"/>
                <w:u w:color="000000"/>
              </w:rPr>
              <w:t>, Inc.</w:t>
            </w:r>
          </w:p>
        </w:tc>
        <w:tc>
          <w:tcPr>
            <w:tcW w:w="1620" w:type="dxa"/>
            <w:vAlign w:val="center"/>
          </w:tcPr>
          <w:p w14:paraId="27780A9C" w14:textId="61ECD42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5,643</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67</w:t>
            </w:r>
          </w:p>
        </w:tc>
      </w:tr>
      <w:tr w:rsidR="00636470" w:rsidRPr="006E3E4E" w14:paraId="3DF82993" w14:textId="77777777" w:rsidTr="0025677F">
        <w:trPr>
          <w:trHeight w:val="202"/>
          <w:jc w:val="center"/>
        </w:trPr>
        <w:tc>
          <w:tcPr>
            <w:tcW w:w="1440" w:type="dxa"/>
            <w:tcMar>
              <w:left w:w="115" w:type="dxa"/>
              <w:right w:w="360" w:type="dxa"/>
            </w:tcMar>
            <w:vAlign w:val="center"/>
          </w:tcPr>
          <w:p w14:paraId="65FE1382"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w:t>
            </w:r>
          </w:p>
        </w:tc>
        <w:tc>
          <w:tcPr>
            <w:tcW w:w="6120" w:type="dxa"/>
            <w:vAlign w:val="center"/>
          </w:tcPr>
          <w:p w14:paraId="5F3F4AE6" w14:textId="7C0CAD51"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Emirates</w:t>
            </w:r>
          </w:p>
        </w:tc>
        <w:tc>
          <w:tcPr>
            <w:tcW w:w="1620" w:type="dxa"/>
            <w:vAlign w:val="center"/>
          </w:tcPr>
          <w:p w14:paraId="1A29503E" w14:textId="77A11E1A"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4,992</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91</w:t>
            </w:r>
          </w:p>
        </w:tc>
      </w:tr>
      <w:tr w:rsidR="00636470" w:rsidRPr="006E3E4E" w14:paraId="4CB2345C" w14:textId="77777777" w:rsidTr="0025677F">
        <w:trPr>
          <w:trHeight w:val="202"/>
          <w:jc w:val="center"/>
        </w:trPr>
        <w:tc>
          <w:tcPr>
            <w:tcW w:w="1440" w:type="dxa"/>
            <w:tcMar>
              <w:left w:w="115" w:type="dxa"/>
              <w:right w:w="360" w:type="dxa"/>
            </w:tcMar>
            <w:vAlign w:val="center"/>
          </w:tcPr>
          <w:p w14:paraId="745FB814"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w:t>
            </w:r>
          </w:p>
        </w:tc>
        <w:tc>
          <w:tcPr>
            <w:tcW w:w="6120" w:type="dxa"/>
            <w:vAlign w:val="center"/>
          </w:tcPr>
          <w:p w14:paraId="1725C2A4" w14:textId="1359CC58"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American Airlines</w:t>
            </w:r>
            <w:r w:rsidR="00481D40" w:rsidRPr="006E3E4E">
              <w:rPr>
                <w:rFonts w:ascii="Arial" w:eastAsiaTheme="minorHAnsi" w:hAnsi="Arial" w:cs="Arial"/>
                <w:color w:val="000000"/>
                <w:sz w:val="18"/>
                <w:szCs w:val="18"/>
                <w:u w:color="000000"/>
              </w:rPr>
              <w:t>, Inc.</w:t>
            </w:r>
          </w:p>
        </w:tc>
        <w:tc>
          <w:tcPr>
            <w:tcW w:w="1620" w:type="dxa"/>
            <w:vAlign w:val="center"/>
          </w:tcPr>
          <w:p w14:paraId="1EA8CC4C" w14:textId="43DA2CE0"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4,800</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88</w:t>
            </w:r>
          </w:p>
        </w:tc>
      </w:tr>
      <w:tr w:rsidR="00636470" w:rsidRPr="006E3E4E" w14:paraId="5ED1EABF" w14:textId="77777777" w:rsidTr="0025677F">
        <w:trPr>
          <w:trHeight w:val="202"/>
          <w:jc w:val="center"/>
        </w:trPr>
        <w:tc>
          <w:tcPr>
            <w:tcW w:w="1440" w:type="dxa"/>
            <w:tcMar>
              <w:left w:w="115" w:type="dxa"/>
              <w:right w:w="360" w:type="dxa"/>
            </w:tcMar>
            <w:vAlign w:val="center"/>
          </w:tcPr>
          <w:p w14:paraId="6B8F8277"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5</w:t>
            </w:r>
          </w:p>
        </w:tc>
        <w:tc>
          <w:tcPr>
            <w:tcW w:w="6120" w:type="dxa"/>
            <w:vAlign w:val="center"/>
          </w:tcPr>
          <w:p w14:paraId="7B8CEF49" w14:textId="79CCA76B"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Southwest Airlines</w:t>
            </w:r>
            <w:r w:rsidR="00481D40" w:rsidRPr="006E3E4E">
              <w:rPr>
                <w:rFonts w:ascii="Arial" w:eastAsiaTheme="minorHAnsi" w:hAnsi="Arial" w:cs="Arial"/>
                <w:color w:val="000000"/>
                <w:sz w:val="18"/>
                <w:szCs w:val="18"/>
                <w:u w:color="000000"/>
              </w:rPr>
              <w:t xml:space="preserve"> Co.</w:t>
            </w:r>
          </w:p>
        </w:tc>
        <w:tc>
          <w:tcPr>
            <w:tcW w:w="1620" w:type="dxa"/>
            <w:vAlign w:val="center"/>
          </w:tcPr>
          <w:p w14:paraId="68C4BEA0" w14:textId="6364412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3,276</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36470" w:rsidRPr="006E3E4E" w14:paraId="27761502" w14:textId="77777777" w:rsidTr="0025677F">
        <w:trPr>
          <w:trHeight w:val="202"/>
          <w:jc w:val="center"/>
        </w:trPr>
        <w:tc>
          <w:tcPr>
            <w:tcW w:w="1440" w:type="dxa"/>
            <w:tcMar>
              <w:left w:w="115" w:type="dxa"/>
              <w:right w:w="360" w:type="dxa"/>
            </w:tcMar>
            <w:vAlign w:val="center"/>
          </w:tcPr>
          <w:p w14:paraId="36278D6F"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w:t>
            </w:r>
          </w:p>
        </w:tc>
        <w:tc>
          <w:tcPr>
            <w:tcW w:w="6120" w:type="dxa"/>
            <w:vAlign w:val="center"/>
          </w:tcPr>
          <w:p w14:paraId="2669B251" w14:textId="1361A17B" w:rsidR="005A0486" w:rsidRPr="006E3E4E" w:rsidRDefault="00481D40"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 xml:space="preserve">Deutsche </w:t>
            </w:r>
            <w:r w:rsidR="005A0486" w:rsidRPr="006E3E4E">
              <w:rPr>
                <w:rFonts w:ascii="Arial" w:eastAsiaTheme="minorHAnsi" w:hAnsi="Arial" w:cs="Arial"/>
                <w:color w:val="000000"/>
                <w:sz w:val="18"/>
                <w:szCs w:val="18"/>
              </w:rPr>
              <w:t>Lufthansa</w:t>
            </w:r>
            <w:r w:rsidRPr="006E3E4E">
              <w:rPr>
                <w:rFonts w:ascii="Arial" w:eastAsiaTheme="minorHAnsi" w:hAnsi="Arial" w:cs="Arial"/>
                <w:color w:val="000000"/>
                <w:sz w:val="18"/>
                <w:szCs w:val="18"/>
              </w:rPr>
              <w:t xml:space="preserve"> SE</w:t>
            </w:r>
          </w:p>
        </w:tc>
        <w:tc>
          <w:tcPr>
            <w:tcW w:w="1620" w:type="dxa"/>
            <w:vAlign w:val="center"/>
          </w:tcPr>
          <w:p w14:paraId="3FEAA2D8" w14:textId="05493C13"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3,158</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82</w:t>
            </w:r>
          </w:p>
        </w:tc>
      </w:tr>
      <w:tr w:rsidR="00636470" w:rsidRPr="006E3E4E" w14:paraId="2118335A" w14:textId="77777777" w:rsidTr="0025677F">
        <w:trPr>
          <w:trHeight w:val="202"/>
          <w:jc w:val="center"/>
        </w:trPr>
        <w:tc>
          <w:tcPr>
            <w:tcW w:w="1440" w:type="dxa"/>
            <w:tcMar>
              <w:left w:w="115" w:type="dxa"/>
              <w:right w:w="360" w:type="dxa"/>
            </w:tcMar>
            <w:vAlign w:val="center"/>
          </w:tcPr>
          <w:p w14:paraId="7810ADB6"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w:t>
            </w:r>
          </w:p>
        </w:tc>
        <w:tc>
          <w:tcPr>
            <w:tcW w:w="6120" w:type="dxa"/>
            <w:vAlign w:val="center"/>
          </w:tcPr>
          <w:p w14:paraId="32E523F7" w14:textId="322EB7FF"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British Airways</w:t>
            </w:r>
          </w:p>
        </w:tc>
        <w:tc>
          <w:tcPr>
            <w:tcW w:w="1620" w:type="dxa"/>
            <w:vAlign w:val="center"/>
          </w:tcPr>
          <w:p w14:paraId="1BA19685" w14:textId="0420FB44"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3,049</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36470" w:rsidRPr="006E3E4E" w14:paraId="02AC83BD" w14:textId="77777777" w:rsidTr="0025677F">
        <w:trPr>
          <w:trHeight w:val="202"/>
          <w:jc w:val="center"/>
        </w:trPr>
        <w:tc>
          <w:tcPr>
            <w:tcW w:w="1440" w:type="dxa"/>
            <w:tcMar>
              <w:left w:w="115" w:type="dxa"/>
              <w:right w:w="360" w:type="dxa"/>
            </w:tcMar>
            <w:vAlign w:val="center"/>
          </w:tcPr>
          <w:p w14:paraId="3876BEAA"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w:t>
            </w:r>
          </w:p>
        </w:tc>
        <w:tc>
          <w:tcPr>
            <w:tcW w:w="6120" w:type="dxa"/>
            <w:vAlign w:val="center"/>
          </w:tcPr>
          <w:p w14:paraId="3E7D57B9" w14:textId="4D1F3C9B"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Air France</w:t>
            </w:r>
          </w:p>
        </w:tc>
        <w:tc>
          <w:tcPr>
            <w:tcW w:w="1620" w:type="dxa"/>
            <w:vAlign w:val="center"/>
          </w:tcPr>
          <w:p w14:paraId="699B377C" w14:textId="7004C423"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2,825</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36470" w:rsidRPr="006E3E4E" w14:paraId="15C5CCA0" w14:textId="77777777" w:rsidTr="0025677F">
        <w:trPr>
          <w:trHeight w:val="202"/>
          <w:jc w:val="center"/>
        </w:trPr>
        <w:tc>
          <w:tcPr>
            <w:tcW w:w="1440" w:type="dxa"/>
            <w:tcMar>
              <w:left w:w="115" w:type="dxa"/>
              <w:right w:w="360" w:type="dxa"/>
            </w:tcMar>
            <w:vAlign w:val="center"/>
          </w:tcPr>
          <w:p w14:paraId="2F46AE85"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9</w:t>
            </w:r>
          </w:p>
        </w:tc>
        <w:tc>
          <w:tcPr>
            <w:tcW w:w="6120" w:type="dxa"/>
            <w:vAlign w:val="center"/>
          </w:tcPr>
          <w:p w14:paraId="45A1FB63" w14:textId="0B596BA6"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China Southern</w:t>
            </w:r>
            <w:r w:rsidR="00481D40" w:rsidRPr="006E3E4E">
              <w:rPr>
                <w:rFonts w:ascii="Arial" w:eastAsiaTheme="minorHAnsi" w:hAnsi="Arial" w:cs="Arial"/>
                <w:color w:val="000000"/>
                <w:sz w:val="18"/>
                <w:szCs w:val="18"/>
                <w:u w:color="000000"/>
              </w:rPr>
              <w:t xml:space="preserve"> Airline Company Limited</w:t>
            </w:r>
          </w:p>
        </w:tc>
        <w:tc>
          <w:tcPr>
            <w:tcW w:w="1620" w:type="dxa"/>
            <w:vAlign w:val="center"/>
          </w:tcPr>
          <w:p w14:paraId="7235D1FD" w14:textId="064375D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2,596</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67</w:t>
            </w:r>
          </w:p>
        </w:tc>
      </w:tr>
      <w:tr w:rsidR="00636470" w:rsidRPr="006E3E4E" w14:paraId="0DDC20EC" w14:textId="77777777" w:rsidTr="0025677F">
        <w:trPr>
          <w:trHeight w:val="202"/>
          <w:jc w:val="center"/>
        </w:trPr>
        <w:tc>
          <w:tcPr>
            <w:tcW w:w="1440" w:type="dxa"/>
            <w:tcMar>
              <w:left w:w="115" w:type="dxa"/>
              <w:right w:w="360" w:type="dxa"/>
            </w:tcMar>
            <w:vAlign w:val="center"/>
          </w:tcPr>
          <w:p w14:paraId="6047D763"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w:t>
            </w:r>
          </w:p>
        </w:tc>
        <w:tc>
          <w:tcPr>
            <w:tcW w:w="6120" w:type="dxa"/>
            <w:vAlign w:val="center"/>
          </w:tcPr>
          <w:p w14:paraId="3F1ED2D2" w14:textId="37903025"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Singapore Airlines</w:t>
            </w:r>
            <w:r w:rsidR="00481D40" w:rsidRPr="006E3E4E">
              <w:rPr>
                <w:rFonts w:ascii="Arial" w:eastAsiaTheme="minorHAnsi" w:hAnsi="Arial" w:cs="Arial"/>
                <w:color w:val="000000"/>
                <w:sz w:val="18"/>
                <w:szCs w:val="18"/>
                <w:u w:color="000000"/>
              </w:rPr>
              <w:t xml:space="preserve"> Limited</w:t>
            </w:r>
          </w:p>
        </w:tc>
        <w:tc>
          <w:tcPr>
            <w:tcW w:w="1620" w:type="dxa"/>
            <w:vAlign w:val="center"/>
          </w:tcPr>
          <w:p w14:paraId="1C8AA4AC" w14:textId="58DB8226"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2,375</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71</w:t>
            </w:r>
          </w:p>
        </w:tc>
      </w:tr>
      <w:tr w:rsidR="00636470" w:rsidRPr="006E3E4E" w14:paraId="514E86E4" w14:textId="77777777" w:rsidTr="0025677F">
        <w:trPr>
          <w:trHeight w:val="202"/>
          <w:jc w:val="center"/>
        </w:trPr>
        <w:tc>
          <w:tcPr>
            <w:tcW w:w="1440" w:type="dxa"/>
            <w:tcMar>
              <w:left w:w="115" w:type="dxa"/>
              <w:right w:w="360" w:type="dxa"/>
            </w:tcMar>
            <w:vAlign w:val="center"/>
          </w:tcPr>
          <w:p w14:paraId="50E7A752"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11</w:t>
            </w:r>
          </w:p>
        </w:tc>
        <w:tc>
          <w:tcPr>
            <w:tcW w:w="6120" w:type="dxa"/>
            <w:vAlign w:val="center"/>
          </w:tcPr>
          <w:p w14:paraId="620AC75C" w14:textId="1352D78C"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Cathay Pacific</w:t>
            </w:r>
            <w:r w:rsidR="00481D40" w:rsidRPr="006E3E4E">
              <w:rPr>
                <w:rFonts w:ascii="Arial" w:eastAsiaTheme="minorHAnsi" w:hAnsi="Arial" w:cs="Arial"/>
                <w:color w:val="000000"/>
                <w:sz w:val="18"/>
                <w:szCs w:val="18"/>
                <w:u w:color="000000"/>
              </w:rPr>
              <w:t xml:space="preserve"> Airways Limited</w:t>
            </w:r>
          </w:p>
        </w:tc>
        <w:tc>
          <w:tcPr>
            <w:tcW w:w="1620" w:type="dxa"/>
            <w:vAlign w:val="center"/>
          </w:tcPr>
          <w:p w14:paraId="528EF4B4" w14:textId="3805987A"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2,311</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92</w:t>
            </w:r>
          </w:p>
        </w:tc>
      </w:tr>
      <w:tr w:rsidR="00636470" w:rsidRPr="006E3E4E" w14:paraId="098C36FD" w14:textId="77777777" w:rsidTr="0025677F">
        <w:trPr>
          <w:trHeight w:val="202"/>
          <w:jc w:val="center"/>
        </w:trPr>
        <w:tc>
          <w:tcPr>
            <w:tcW w:w="1440" w:type="dxa"/>
            <w:tcMar>
              <w:left w:w="115" w:type="dxa"/>
              <w:right w:w="360" w:type="dxa"/>
            </w:tcMar>
            <w:vAlign w:val="center"/>
          </w:tcPr>
          <w:p w14:paraId="4C99A913"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12</w:t>
            </w:r>
          </w:p>
        </w:tc>
        <w:tc>
          <w:tcPr>
            <w:tcW w:w="6120" w:type="dxa"/>
            <w:vAlign w:val="center"/>
          </w:tcPr>
          <w:p w14:paraId="3DF82C59" w14:textId="09C71199"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Air China</w:t>
            </w:r>
            <w:r w:rsidR="00481D40" w:rsidRPr="006E3E4E">
              <w:rPr>
                <w:rFonts w:ascii="Arial" w:eastAsiaTheme="minorHAnsi" w:hAnsi="Arial" w:cs="Arial"/>
                <w:color w:val="000000"/>
                <w:sz w:val="18"/>
                <w:szCs w:val="18"/>
                <w:u w:color="000000"/>
              </w:rPr>
              <w:t xml:space="preserve"> Limited</w:t>
            </w:r>
          </w:p>
        </w:tc>
        <w:tc>
          <w:tcPr>
            <w:tcW w:w="1620" w:type="dxa"/>
            <w:vAlign w:val="center"/>
          </w:tcPr>
          <w:p w14:paraId="74CA2221" w14:textId="4DE27BF6"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2,193</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36470" w:rsidRPr="006E3E4E" w14:paraId="41582447" w14:textId="77777777" w:rsidTr="0025677F">
        <w:trPr>
          <w:trHeight w:val="202"/>
          <w:jc w:val="center"/>
        </w:trPr>
        <w:tc>
          <w:tcPr>
            <w:tcW w:w="1440" w:type="dxa"/>
            <w:tcMar>
              <w:left w:w="115" w:type="dxa"/>
              <w:right w:w="360" w:type="dxa"/>
            </w:tcMar>
            <w:vAlign w:val="center"/>
          </w:tcPr>
          <w:p w14:paraId="63264A12"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13</w:t>
            </w:r>
          </w:p>
        </w:tc>
        <w:tc>
          <w:tcPr>
            <w:tcW w:w="6120" w:type="dxa"/>
            <w:vAlign w:val="center"/>
          </w:tcPr>
          <w:p w14:paraId="4EF47D4A" w14:textId="15F2BA4A"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US</w:t>
            </w:r>
            <w:r w:rsidR="00B068EF">
              <w:rPr>
                <w:rFonts w:ascii="Arial" w:eastAsiaTheme="minorHAnsi" w:hAnsi="Arial" w:cs="Arial"/>
                <w:color w:val="000000"/>
                <w:sz w:val="18"/>
                <w:szCs w:val="18"/>
                <w:u w:color="000000"/>
              </w:rPr>
              <w:t xml:space="preserve"> </w:t>
            </w:r>
            <w:r w:rsidRPr="006E3E4E">
              <w:rPr>
                <w:rFonts w:ascii="Arial" w:eastAsiaTheme="minorHAnsi" w:hAnsi="Arial" w:cs="Arial"/>
                <w:color w:val="000000"/>
                <w:sz w:val="18"/>
                <w:szCs w:val="18"/>
                <w:u w:color="000000"/>
              </w:rPr>
              <w:t>Airways</w:t>
            </w:r>
          </w:p>
        </w:tc>
        <w:tc>
          <w:tcPr>
            <w:tcW w:w="1620" w:type="dxa"/>
            <w:vAlign w:val="center"/>
          </w:tcPr>
          <w:p w14:paraId="1477572D" w14:textId="0721D7F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2,016</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79</w:t>
            </w:r>
          </w:p>
        </w:tc>
      </w:tr>
      <w:tr w:rsidR="00636470" w:rsidRPr="006E3E4E" w14:paraId="4CECBE32" w14:textId="77777777" w:rsidTr="0025677F">
        <w:trPr>
          <w:trHeight w:val="202"/>
          <w:jc w:val="center"/>
        </w:trPr>
        <w:tc>
          <w:tcPr>
            <w:tcW w:w="1440" w:type="dxa"/>
            <w:tcMar>
              <w:left w:w="115" w:type="dxa"/>
              <w:right w:w="360" w:type="dxa"/>
            </w:tcMar>
            <w:vAlign w:val="center"/>
          </w:tcPr>
          <w:p w14:paraId="6D7483D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14</w:t>
            </w:r>
          </w:p>
        </w:tc>
        <w:tc>
          <w:tcPr>
            <w:tcW w:w="6120" w:type="dxa"/>
            <w:vAlign w:val="center"/>
          </w:tcPr>
          <w:p w14:paraId="29F2DD52" w14:textId="020B7E3E"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China Eastern</w:t>
            </w:r>
            <w:r w:rsidR="00481D40" w:rsidRPr="006E3E4E">
              <w:rPr>
                <w:rFonts w:ascii="Arial" w:eastAsiaTheme="minorHAnsi" w:hAnsi="Arial" w:cs="Arial"/>
                <w:color w:val="000000"/>
                <w:sz w:val="18"/>
                <w:szCs w:val="18"/>
                <w:u w:color="000000"/>
              </w:rPr>
              <w:t xml:space="preserve"> Airlines Corporation Limited</w:t>
            </w:r>
          </w:p>
        </w:tc>
        <w:tc>
          <w:tcPr>
            <w:tcW w:w="1620" w:type="dxa"/>
            <w:vAlign w:val="center"/>
          </w:tcPr>
          <w:p w14:paraId="65216356" w14:textId="1B106225"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1,987</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44</w:t>
            </w:r>
          </w:p>
        </w:tc>
      </w:tr>
      <w:tr w:rsidR="00636470" w:rsidRPr="006E3E4E" w14:paraId="2DF959A8" w14:textId="77777777" w:rsidTr="0025677F">
        <w:trPr>
          <w:trHeight w:val="202"/>
          <w:jc w:val="center"/>
        </w:trPr>
        <w:tc>
          <w:tcPr>
            <w:tcW w:w="1440" w:type="dxa"/>
            <w:tcMar>
              <w:left w:w="115" w:type="dxa"/>
              <w:right w:w="360" w:type="dxa"/>
            </w:tcMar>
            <w:vAlign w:val="center"/>
          </w:tcPr>
          <w:p w14:paraId="314969D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15</w:t>
            </w:r>
          </w:p>
        </w:tc>
        <w:tc>
          <w:tcPr>
            <w:tcW w:w="6120" w:type="dxa"/>
            <w:vAlign w:val="center"/>
          </w:tcPr>
          <w:p w14:paraId="686E4999" w14:textId="246BAEBE"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Turkish Airlines</w:t>
            </w:r>
          </w:p>
        </w:tc>
        <w:tc>
          <w:tcPr>
            <w:tcW w:w="1620" w:type="dxa"/>
            <w:vAlign w:val="center"/>
          </w:tcPr>
          <w:p w14:paraId="6A0A7362" w14:textId="2B0E05F8"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1,918</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11</w:t>
            </w:r>
          </w:p>
        </w:tc>
      </w:tr>
      <w:tr w:rsidR="00636470" w:rsidRPr="006E3E4E" w14:paraId="0623EC58" w14:textId="77777777" w:rsidTr="0025677F">
        <w:trPr>
          <w:trHeight w:val="202"/>
          <w:jc w:val="center"/>
        </w:trPr>
        <w:tc>
          <w:tcPr>
            <w:tcW w:w="1440" w:type="dxa"/>
            <w:tcMar>
              <w:left w:w="115" w:type="dxa"/>
              <w:right w:w="360" w:type="dxa"/>
            </w:tcMar>
            <w:vAlign w:val="center"/>
          </w:tcPr>
          <w:p w14:paraId="51F160D1"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16</w:t>
            </w:r>
          </w:p>
        </w:tc>
        <w:tc>
          <w:tcPr>
            <w:tcW w:w="6120" w:type="dxa"/>
            <w:vAlign w:val="center"/>
          </w:tcPr>
          <w:p w14:paraId="341C0326" w14:textId="0C5EBFCF"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Qantas Airways</w:t>
            </w:r>
          </w:p>
        </w:tc>
        <w:tc>
          <w:tcPr>
            <w:tcW w:w="1620" w:type="dxa"/>
            <w:vAlign w:val="center"/>
          </w:tcPr>
          <w:p w14:paraId="31B19EC0" w14:textId="23B4678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1,863</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46</w:t>
            </w:r>
          </w:p>
        </w:tc>
      </w:tr>
      <w:tr w:rsidR="00636470" w:rsidRPr="006E3E4E" w14:paraId="0EA11CA1" w14:textId="77777777" w:rsidTr="0025677F">
        <w:trPr>
          <w:trHeight w:val="202"/>
          <w:jc w:val="center"/>
        </w:trPr>
        <w:tc>
          <w:tcPr>
            <w:tcW w:w="1440" w:type="dxa"/>
            <w:tcMar>
              <w:left w:w="115" w:type="dxa"/>
              <w:right w:w="360" w:type="dxa"/>
            </w:tcMar>
            <w:vAlign w:val="center"/>
          </w:tcPr>
          <w:p w14:paraId="2B2E8F1D"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17</w:t>
            </w:r>
          </w:p>
        </w:tc>
        <w:tc>
          <w:tcPr>
            <w:tcW w:w="6120" w:type="dxa"/>
            <w:vAlign w:val="center"/>
          </w:tcPr>
          <w:p w14:paraId="34350648" w14:textId="4D45A501"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Qatar Airways</w:t>
            </w:r>
            <w:r w:rsidR="00481D40" w:rsidRPr="006E3E4E">
              <w:rPr>
                <w:rFonts w:ascii="Arial" w:eastAsiaTheme="minorHAnsi" w:hAnsi="Arial" w:cs="Arial"/>
                <w:color w:val="000000"/>
                <w:sz w:val="18"/>
                <w:szCs w:val="18"/>
                <w:u w:color="000000"/>
              </w:rPr>
              <w:t xml:space="preserve"> Q.C.S.C.</w:t>
            </w:r>
          </w:p>
        </w:tc>
        <w:tc>
          <w:tcPr>
            <w:tcW w:w="1620" w:type="dxa"/>
            <w:vAlign w:val="center"/>
          </w:tcPr>
          <w:p w14:paraId="713EBB37" w14:textId="2FCC867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1,798</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31</w:t>
            </w:r>
          </w:p>
        </w:tc>
      </w:tr>
      <w:tr w:rsidR="00636470" w:rsidRPr="006E3E4E" w14:paraId="5E36CEED" w14:textId="77777777" w:rsidTr="0025677F">
        <w:trPr>
          <w:trHeight w:val="202"/>
          <w:jc w:val="center"/>
        </w:trPr>
        <w:tc>
          <w:tcPr>
            <w:tcW w:w="1440" w:type="dxa"/>
            <w:tcMar>
              <w:left w:w="115" w:type="dxa"/>
              <w:right w:w="360" w:type="dxa"/>
            </w:tcMar>
            <w:vAlign w:val="center"/>
          </w:tcPr>
          <w:p w14:paraId="55D3F27A"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18</w:t>
            </w:r>
          </w:p>
        </w:tc>
        <w:tc>
          <w:tcPr>
            <w:tcW w:w="6120" w:type="dxa"/>
            <w:vAlign w:val="center"/>
          </w:tcPr>
          <w:p w14:paraId="3F0A0FAE" w14:textId="32706EBF" w:rsidR="005A0486" w:rsidRPr="006E3E4E" w:rsidRDefault="005A0486" w:rsidP="00C55AC1">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u w:color="000000"/>
              </w:rPr>
              <w:t>K</w:t>
            </w:r>
            <w:r w:rsidR="00481D40" w:rsidRPr="006E3E4E">
              <w:rPr>
                <w:rFonts w:ascii="Arial" w:eastAsiaTheme="minorHAnsi" w:hAnsi="Arial" w:cs="Arial"/>
                <w:color w:val="000000"/>
                <w:sz w:val="18"/>
                <w:szCs w:val="18"/>
                <w:u w:color="000000"/>
              </w:rPr>
              <w:t>oninklijke</w:t>
            </w:r>
            <w:proofErr w:type="spellEnd"/>
            <w:r w:rsidR="00481D40" w:rsidRPr="006E3E4E">
              <w:rPr>
                <w:rFonts w:ascii="Arial" w:eastAsiaTheme="minorHAnsi" w:hAnsi="Arial" w:cs="Arial"/>
                <w:color w:val="000000"/>
                <w:sz w:val="18"/>
                <w:szCs w:val="18"/>
                <w:u w:color="000000"/>
              </w:rPr>
              <w:t xml:space="preserve"> </w:t>
            </w:r>
            <w:proofErr w:type="spellStart"/>
            <w:r w:rsidR="00481D40" w:rsidRPr="006E3E4E">
              <w:rPr>
                <w:rFonts w:ascii="Arial" w:eastAsiaTheme="minorHAnsi" w:hAnsi="Arial" w:cs="Arial"/>
                <w:color w:val="000000"/>
                <w:sz w:val="18"/>
                <w:szCs w:val="18"/>
                <w:u w:color="000000"/>
              </w:rPr>
              <w:t>Luchtvaart</w:t>
            </w:r>
            <w:proofErr w:type="spellEnd"/>
            <w:r w:rsidR="00481D40" w:rsidRPr="006E3E4E">
              <w:rPr>
                <w:rFonts w:ascii="Arial" w:eastAsiaTheme="minorHAnsi" w:hAnsi="Arial" w:cs="Arial"/>
                <w:color w:val="000000"/>
                <w:sz w:val="18"/>
                <w:szCs w:val="18"/>
                <w:u w:color="000000"/>
              </w:rPr>
              <w:t xml:space="preserve"> </w:t>
            </w:r>
            <w:proofErr w:type="spellStart"/>
            <w:r w:rsidRPr="006E3E4E">
              <w:rPr>
                <w:rFonts w:ascii="Arial" w:eastAsiaTheme="minorHAnsi" w:hAnsi="Arial" w:cs="Arial"/>
                <w:color w:val="000000"/>
                <w:sz w:val="18"/>
                <w:szCs w:val="18"/>
                <w:u w:color="000000"/>
              </w:rPr>
              <w:t>M</w:t>
            </w:r>
            <w:r w:rsidR="00481D40" w:rsidRPr="006E3E4E">
              <w:rPr>
                <w:rFonts w:ascii="Arial" w:eastAsiaTheme="minorHAnsi" w:hAnsi="Arial" w:cs="Arial"/>
                <w:color w:val="000000"/>
                <w:sz w:val="18"/>
                <w:szCs w:val="18"/>
                <w:u w:color="000000"/>
              </w:rPr>
              <w:t>aatschappij</w:t>
            </w:r>
            <w:proofErr w:type="spellEnd"/>
            <w:r w:rsidR="00481D40" w:rsidRPr="006E3E4E">
              <w:rPr>
                <w:rFonts w:ascii="Arial" w:eastAsiaTheme="minorHAnsi" w:hAnsi="Arial" w:cs="Arial"/>
                <w:color w:val="000000"/>
                <w:sz w:val="18"/>
                <w:szCs w:val="18"/>
                <w:u w:color="000000"/>
              </w:rPr>
              <w:t xml:space="preserve"> N.V.</w:t>
            </w:r>
          </w:p>
        </w:tc>
        <w:tc>
          <w:tcPr>
            <w:tcW w:w="1620" w:type="dxa"/>
            <w:vAlign w:val="center"/>
          </w:tcPr>
          <w:p w14:paraId="00086C7E" w14:textId="53A46A55"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1,785</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62</w:t>
            </w:r>
          </w:p>
        </w:tc>
      </w:tr>
      <w:tr w:rsidR="00636470" w:rsidRPr="006E3E4E" w14:paraId="79DB179B" w14:textId="77777777" w:rsidTr="0025677F">
        <w:trPr>
          <w:trHeight w:val="202"/>
          <w:jc w:val="center"/>
        </w:trPr>
        <w:tc>
          <w:tcPr>
            <w:tcW w:w="1440" w:type="dxa"/>
            <w:tcMar>
              <w:left w:w="115" w:type="dxa"/>
              <w:right w:w="360" w:type="dxa"/>
            </w:tcMar>
            <w:vAlign w:val="center"/>
          </w:tcPr>
          <w:p w14:paraId="77AD39EE"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19</w:t>
            </w:r>
          </w:p>
        </w:tc>
        <w:tc>
          <w:tcPr>
            <w:tcW w:w="6120" w:type="dxa"/>
            <w:vAlign w:val="center"/>
          </w:tcPr>
          <w:p w14:paraId="4B945326" w14:textId="49F0C87D"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Korean Air Lines</w:t>
            </w:r>
            <w:r w:rsidR="00481D40" w:rsidRPr="006E3E4E">
              <w:rPr>
                <w:rFonts w:ascii="Arial" w:eastAsiaTheme="minorHAnsi" w:hAnsi="Arial" w:cs="Arial"/>
                <w:color w:val="000000"/>
                <w:sz w:val="18"/>
                <w:szCs w:val="18"/>
                <w:u w:color="000000"/>
              </w:rPr>
              <w:t xml:space="preserve"> Co., Ltd.</w:t>
            </w:r>
          </w:p>
        </w:tc>
        <w:tc>
          <w:tcPr>
            <w:tcW w:w="1620" w:type="dxa"/>
            <w:vAlign w:val="center"/>
          </w:tcPr>
          <w:p w14:paraId="1446C408" w14:textId="4DDD0F03"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1,734</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36470" w:rsidRPr="006E3E4E" w14:paraId="6A198FF1" w14:textId="77777777" w:rsidTr="0025677F">
        <w:trPr>
          <w:trHeight w:val="202"/>
          <w:jc w:val="center"/>
        </w:trPr>
        <w:tc>
          <w:tcPr>
            <w:tcW w:w="1440" w:type="dxa"/>
            <w:tcMar>
              <w:left w:w="115" w:type="dxa"/>
              <w:right w:w="360" w:type="dxa"/>
            </w:tcMar>
            <w:vAlign w:val="center"/>
          </w:tcPr>
          <w:p w14:paraId="6525980E"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20</w:t>
            </w:r>
          </w:p>
        </w:tc>
        <w:tc>
          <w:tcPr>
            <w:tcW w:w="6120" w:type="dxa"/>
            <w:vAlign w:val="center"/>
          </w:tcPr>
          <w:p w14:paraId="6E474FF0" w14:textId="2F4BDD6C"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Thai Airways</w:t>
            </w:r>
            <w:r w:rsidR="00481D40" w:rsidRPr="006E3E4E">
              <w:rPr>
                <w:rFonts w:ascii="Arial" w:eastAsiaTheme="minorHAnsi" w:hAnsi="Arial" w:cs="Arial"/>
                <w:color w:val="000000"/>
                <w:sz w:val="18"/>
                <w:szCs w:val="18"/>
                <w:u w:color="000000"/>
              </w:rPr>
              <w:t xml:space="preserve"> International Public Company Limited</w:t>
            </w:r>
          </w:p>
        </w:tc>
        <w:tc>
          <w:tcPr>
            <w:tcW w:w="1620" w:type="dxa"/>
            <w:vAlign w:val="center"/>
          </w:tcPr>
          <w:p w14:paraId="40D297E2" w14:textId="2852DEEA"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1,702</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80</w:t>
            </w:r>
          </w:p>
        </w:tc>
      </w:tr>
      <w:tr w:rsidR="00636470" w:rsidRPr="006E3E4E" w14:paraId="6ED5758F" w14:textId="77777777" w:rsidTr="0025677F">
        <w:trPr>
          <w:trHeight w:val="202"/>
          <w:jc w:val="center"/>
        </w:trPr>
        <w:tc>
          <w:tcPr>
            <w:tcW w:w="1440" w:type="dxa"/>
            <w:tcMar>
              <w:left w:w="115" w:type="dxa"/>
              <w:right w:w="360" w:type="dxa"/>
            </w:tcMar>
            <w:vAlign w:val="center"/>
          </w:tcPr>
          <w:p w14:paraId="71B3FE65"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21</w:t>
            </w:r>
          </w:p>
        </w:tc>
        <w:tc>
          <w:tcPr>
            <w:tcW w:w="6120" w:type="dxa"/>
            <w:vAlign w:val="center"/>
          </w:tcPr>
          <w:p w14:paraId="21334D79" w14:textId="6241AFA2"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Air Canada</w:t>
            </w:r>
          </w:p>
        </w:tc>
        <w:tc>
          <w:tcPr>
            <w:tcW w:w="1620" w:type="dxa"/>
            <w:vAlign w:val="center"/>
          </w:tcPr>
          <w:p w14:paraId="482FDA45" w14:textId="20186876"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1,671</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16</w:t>
            </w:r>
          </w:p>
        </w:tc>
      </w:tr>
      <w:tr w:rsidR="00636470" w:rsidRPr="006E3E4E" w14:paraId="690D4B06" w14:textId="77777777" w:rsidTr="0025677F">
        <w:trPr>
          <w:trHeight w:val="202"/>
          <w:jc w:val="center"/>
        </w:trPr>
        <w:tc>
          <w:tcPr>
            <w:tcW w:w="1440" w:type="dxa"/>
            <w:tcMar>
              <w:left w:w="115" w:type="dxa"/>
              <w:right w:w="360" w:type="dxa"/>
            </w:tcMar>
            <w:vAlign w:val="center"/>
          </w:tcPr>
          <w:p w14:paraId="0E0BEFC1"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22</w:t>
            </w:r>
          </w:p>
        </w:tc>
        <w:tc>
          <w:tcPr>
            <w:tcW w:w="6120" w:type="dxa"/>
            <w:vAlign w:val="center"/>
          </w:tcPr>
          <w:p w14:paraId="7AF97BE0" w14:textId="3A458DD3"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All Nippon Airways</w:t>
            </w:r>
            <w:r w:rsidR="00481D40" w:rsidRPr="006E3E4E">
              <w:rPr>
                <w:rFonts w:ascii="Arial" w:eastAsiaTheme="minorHAnsi" w:hAnsi="Arial" w:cs="Arial"/>
                <w:color w:val="000000"/>
                <w:sz w:val="18"/>
                <w:szCs w:val="18"/>
                <w:u w:color="000000"/>
              </w:rPr>
              <w:t xml:space="preserve"> Co., Ltd.</w:t>
            </w:r>
          </w:p>
        </w:tc>
        <w:tc>
          <w:tcPr>
            <w:tcW w:w="1620" w:type="dxa"/>
            <w:vAlign w:val="center"/>
          </w:tcPr>
          <w:p w14:paraId="50124C7E" w14:textId="11D37B2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1,549</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77</w:t>
            </w:r>
          </w:p>
        </w:tc>
      </w:tr>
      <w:tr w:rsidR="00636470" w:rsidRPr="006E3E4E" w14:paraId="630BAAE1" w14:textId="77777777" w:rsidTr="0025677F">
        <w:trPr>
          <w:trHeight w:val="202"/>
          <w:jc w:val="center"/>
        </w:trPr>
        <w:tc>
          <w:tcPr>
            <w:tcW w:w="1440" w:type="dxa"/>
            <w:tcMar>
              <w:left w:w="115" w:type="dxa"/>
              <w:right w:w="360" w:type="dxa"/>
            </w:tcMar>
            <w:vAlign w:val="center"/>
          </w:tcPr>
          <w:p w14:paraId="3E04096F"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23</w:t>
            </w:r>
          </w:p>
        </w:tc>
        <w:tc>
          <w:tcPr>
            <w:tcW w:w="6120" w:type="dxa"/>
            <w:vAlign w:val="center"/>
          </w:tcPr>
          <w:p w14:paraId="3BEAC283" w14:textId="21F02EFE" w:rsidR="005A0486" w:rsidRPr="006E3E4E" w:rsidRDefault="00481D40"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 xml:space="preserve">LATAM Airways </w:t>
            </w:r>
            <w:proofErr w:type="spellStart"/>
            <w:r w:rsidRPr="006E3E4E">
              <w:rPr>
                <w:rFonts w:ascii="Arial" w:eastAsiaTheme="minorHAnsi" w:hAnsi="Arial" w:cs="Arial"/>
                <w:color w:val="000000"/>
                <w:sz w:val="18"/>
                <w:szCs w:val="18"/>
                <w:u w:color="000000"/>
              </w:rPr>
              <w:t>Brasil</w:t>
            </w:r>
            <w:proofErr w:type="spellEnd"/>
          </w:p>
        </w:tc>
        <w:tc>
          <w:tcPr>
            <w:tcW w:w="1620" w:type="dxa"/>
            <w:vAlign w:val="center"/>
          </w:tcPr>
          <w:p w14:paraId="3834F79A" w14:textId="1DA95E7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1,494</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02</w:t>
            </w:r>
          </w:p>
        </w:tc>
      </w:tr>
      <w:tr w:rsidR="00636470" w:rsidRPr="006E3E4E" w14:paraId="3CF98821" w14:textId="77777777" w:rsidTr="0025677F">
        <w:trPr>
          <w:trHeight w:val="202"/>
          <w:jc w:val="center"/>
        </w:trPr>
        <w:tc>
          <w:tcPr>
            <w:tcW w:w="1440" w:type="dxa"/>
            <w:tcMar>
              <w:left w:w="115" w:type="dxa"/>
              <w:right w:w="360" w:type="dxa"/>
            </w:tcMar>
            <w:vAlign w:val="center"/>
          </w:tcPr>
          <w:p w14:paraId="51A77512"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24</w:t>
            </w:r>
          </w:p>
        </w:tc>
        <w:tc>
          <w:tcPr>
            <w:tcW w:w="6120" w:type="dxa"/>
            <w:vAlign w:val="center"/>
          </w:tcPr>
          <w:p w14:paraId="20430CA2" w14:textId="0021DAD0"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Ryanair</w:t>
            </w:r>
            <w:r w:rsidR="00481D40" w:rsidRPr="006E3E4E">
              <w:rPr>
                <w:rFonts w:ascii="Arial" w:eastAsiaTheme="minorHAnsi" w:hAnsi="Arial" w:cs="Arial"/>
                <w:color w:val="000000"/>
                <w:sz w:val="18"/>
                <w:szCs w:val="18"/>
                <w:u w:color="000000"/>
              </w:rPr>
              <w:t xml:space="preserve"> DAC</w:t>
            </w:r>
          </w:p>
        </w:tc>
        <w:tc>
          <w:tcPr>
            <w:tcW w:w="1620" w:type="dxa"/>
            <w:vAlign w:val="center"/>
          </w:tcPr>
          <w:p w14:paraId="47485534" w14:textId="1BECAB2B"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1,476</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21</w:t>
            </w:r>
          </w:p>
        </w:tc>
      </w:tr>
      <w:tr w:rsidR="00636470" w:rsidRPr="006E3E4E" w14:paraId="3DD3A52D" w14:textId="77777777" w:rsidTr="0025677F">
        <w:trPr>
          <w:trHeight w:val="202"/>
          <w:jc w:val="center"/>
        </w:trPr>
        <w:tc>
          <w:tcPr>
            <w:tcW w:w="1440" w:type="dxa"/>
            <w:tcMar>
              <w:left w:w="115" w:type="dxa"/>
              <w:right w:w="360" w:type="dxa"/>
            </w:tcMar>
            <w:vAlign w:val="center"/>
          </w:tcPr>
          <w:p w14:paraId="4BE82477"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25</w:t>
            </w:r>
          </w:p>
        </w:tc>
        <w:tc>
          <w:tcPr>
            <w:tcW w:w="6120" w:type="dxa"/>
            <w:vAlign w:val="center"/>
          </w:tcPr>
          <w:p w14:paraId="23CBD834" w14:textId="32E0F3AB"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Japan Airlines</w:t>
            </w:r>
            <w:r w:rsidR="00481D40" w:rsidRPr="006E3E4E">
              <w:rPr>
                <w:rFonts w:ascii="Arial" w:eastAsiaTheme="minorHAnsi" w:hAnsi="Arial" w:cs="Arial"/>
                <w:color w:val="000000"/>
                <w:sz w:val="18"/>
                <w:szCs w:val="18"/>
                <w:u w:color="000000"/>
              </w:rPr>
              <w:t xml:space="preserve"> Co. Ltd.</w:t>
            </w:r>
          </w:p>
        </w:tc>
        <w:tc>
          <w:tcPr>
            <w:tcW w:w="1620" w:type="dxa"/>
            <w:vAlign w:val="center"/>
          </w:tcPr>
          <w:p w14:paraId="5E31F6BD" w14:textId="41CDA09C"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1,375</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61</w:t>
            </w:r>
          </w:p>
        </w:tc>
      </w:tr>
      <w:tr w:rsidR="00636470" w:rsidRPr="006E3E4E" w14:paraId="7E70406D" w14:textId="77777777" w:rsidTr="0025677F">
        <w:trPr>
          <w:trHeight w:val="202"/>
          <w:jc w:val="center"/>
        </w:trPr>
        <w:tc>
          <w:tcPr>
            <w:tcW w:w="1440" w:type="dxa"/>
            <w:tcMar>
              <w:left w:w="115" w:type="dxa"/>
              <w:right w:w="360" w:type="dxa"/>
            </w:tcMar>
            <w:vAlign w:val="center"/>
          </w:tcPr>
          <w:p w14:paraId="7B747421"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26</w:t>
            </w:r>
          </w:p>
        </w:tc>
        <w:tc>
          <w:tcPr>
            <w:tcW w:w="6120" w:type="dxa"/>
            <w:vAlign w:val="center"/>
          </w:tcPr>
          <w:p w14:paraId="3D980C73" w14:textId="40211782"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JetBlue Airways</w:t>
            </w:r>
            <w:r w:rsidR="00481D40" w:rsidRPr="006E3E4E">
              <w:rPr>
                <w:rFonts w:ascii="Arial" w:eastAsiaTheme="minorHAnsi" w:hAnsi="Arial" w:cs="Arial"/>
                <w:color w:val="000000"/>
                <w:sz w:val="18"/>
                <w:szCs w:val="18"/>
                <w:u w:color="000000"/>
              </w:rPr>
              <w:t xml:space="preserve"> Corporation</w:t>
            </w:r>
          </w:p>
        </w:tc>
        <w:tc>
          <w:tcPr>
            <w:tcW w:w="1620" w:type="dxa"/>
            <w:vAlign w:val="center"/>
          </w:tcPr>
          <w:p w14:paraId="0D22785D" w14:textId="0745B84A"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1,214</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78</w:t>
            </w:r>
          </w:p>
        </w:tc>
      </w:tr>
      <w:tr w:rsidR="00636470" w:rsidRPr="006E3E4E" w14:paraId="0B4D1BC0" w14:textId="77777777" w:rsidTr="0025677F">
        <w:trPr>
          <w:trHeight w:val="202"/>
          <w:jc w:val="center"/>
        </w:trPr>
        <w:tc>
          <w:tcPr>
            <w:tcW w:w="1440" w:type="dxa"/>
            <w:tcMar>
              <w:left w:w="115" w:type="dxa"/>
              <w:right w:w="360" w:type="dxa"/>
            </w:tcMar>
            <w:vAlign w:val="center"/>
          </w:tcPr>
          <w:p w14:paraId="3364A217"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27</w:t>
            </w:r>
          </w:p>
        </w:tc>
        <w:tc>
          <w:tcPr>
            <w:tcW w:w="6120" w:type="dxa"/>
            <w:vAlign w:val="center"/>
          </w:tcPr>
          <w:p w14:paraId="36AB1603" w14:textId="4B35A760" w:rsidR="005A0486" w:rsidRPr="006E3E4E" w:rsidRDefault="00481D40"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PJSC Aeroflot–Russian Airlines</w:t>
            </w:r>
          </w:p>
        </w:tc>
        <w:tc>
          <w:tcPr>
            <w:tcW w:w="1620" w:type="dxa"/>
            <w:vAlign w:val="center"/>
          </w:tcPr>
          <w:p w14:paraId="5C7839C5" w14:textId="783D86D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1,197</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67</w:t>
            </w:r>
          </w:p>
        </w:tc>
      </w:tr>
      <w:tr w:rsidR="00636470" w:rsidRPr="006E3E4E" w14:paraId="680A41C3" w14:textId="77777777" w:rsidTr="0025677F">
        <w:trPr>
          <w:trHeight w:val="202"/>
          <w:jc w:val="center"/>
        </w:trPr>
        <w:tc>
          <w:tcPr>
            <w:tcW w:w="1440" w:type="dxa"/>
            <w:tcMar>
              <w:left w:w="115" w:type="dxa"/>
              <w:right w:w="360" w:type="dxa"/>
            </w:tcMar>
            <w:vAlign w:val="center"/>
          </w:tcPr>
          <w:p w14:paraId="282E5EC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28</w:t>
            </w:r>
          </w:p>
        </w:tc>
        <w:tc>
          <w:tcPr>
            <w:tcW w:w="6120" w:type="dxa"/>
            <w:vAlign w:val="center"/>
          </w:tcPr>
          <w:p w14:paraId="15F6E3D1" w14:textId="616FD6D2"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Etihad Airways</w:t>
            </w:r>
          </w:p>
        </w:tc>
        <w:tc>
          <w:tcPr>
            <w:tcW w:w="1620" w:type="dxa"/>
            <w:vAlign w:val="center"/>
          </w:tcPr>
          <w:p w14:paraId="3B8E9581" w14:textId="4B6E8E58"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1,135</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83</w:t>
            </w:r>
          </w:p>
        </w:tc>
      </w:tr>
      <w:tr w:rsidR="00636470" w:rsidRPr="006E3E4E" w14:paraId="167731F7" w14:textId="77777777" w:rsidTr="0025677F">
        <w:trPr>
          <w:trHeight w:val="202"/>
          <w:jc w:val="center"/>
        </w:trPr>
        <w:tc>
          <w:tcPr>
            <w:tcW w:w="1440" w:type="dxa"/>
            <w:tcMar>
              <w:left w:w="115" w:type="dxa"/>
              <w:right w:w="360" w:type="dxa"/>
            </w:tcMar>
            <w:vAlign w:val="center"/>
          </w:tcPr>
          <w:p w14:paraId="6C89D61D"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29</w:t>
            </w:r>
          </w:p>
        </w:tc>
        <w:tc>
          <w:tcPr>
            <w:tcW w:w="6120" w:type="dxa"/>
            <w:vAlign w:val="center"/>
          </w:tcPr>
          <w:p w14:paraId="7EE81589" w14:textId="6162DA08" w:rsidR="005A0486" w:rsidRPr="006E3E4E" w:rsidRDefault="00CB2B2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E</w:t>
            </w:r>
            <w:r w:rsidR="005A0486" w:rsidRPr="006E3E4E">
              <w:rPr>
                <w:rFonts w:ascii="Arial" w:eastAsiaTheme="minorHAnsi" w:hAnsi="Arial" w:cs="Arial"/>
                <w:color w:val="000000"/>
                <w:sz w:val="18"/>
                <w:szCs w:val="18"/>
              </w:rPr>
              <w:t>asyJet</w:t>
            </w:r>
            <w:r w:rsidRPr="006E3E4E">
              <w:rPr>
                <w:rFonts w:ascii="Arial" w:eastAsiaTheme="minorHAnsi" w:hAnsi="Arial" w:cs="Arial"/>
                <w:color w:val="000000"/>
                <w:sz w:val="18"/>
                <w:szCs w:val="18"/>
              </w:rPr>
              <w:t xml:space="preserve"> Airlines Company Limited</w:t>
            </w:r>
          </w:p>
        </w:tc>
        <w:tc>
          <w:tcPr>
            <w:tcW w:w="1620" w:type="dxa"/>
            <w:vAlign w:val="center"/>
          </w:tcPr>
          <w:p w14:paraId="288F247A" w14:textId="5D6579D4"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1,124</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06</w:t>
            </w:r>
          </w:p>
        </w:tc>
      </w:tr>
      <w:tr w:rsidR="00636470" w:rsidRPr="006E3E4E" w14:paraId="2CE5C861" w14:textId="77777777" w:rsidTr="0025677F">
        <w:trPr>
          <w:trHeight w:val="202"/>
          <w:jc w:val="center"/>
        </w:trPr>
        <w:tc>
          <w:tcPr>
            <w:tcW w:w="1440" w:type="dxa"/>
            <w:tcMar>
              <w:left w:w="115" w:type="dxa"/>
              <w:right w:w="360" w:type="dxa"/>
            </w:tcMar>
            <w:vAlign w:val="center"/>
          </w:tcPr>
          <w:p w14:paraId="75C49BCE" w14:textId="77777777" w:rsidR="005A0486" w:rsidRPr="006E3E4E" w:rsidRDefault="005A0486" w:rsidP="00FF7BE9">
            <w:pPr>
              <w:autoSpaceDE w:val="0"/>
              <w:autoSpaceDN w:val="0"/>
              <w:adjustRightInd w:val="0"/>
              <w:jc w:val="right"/>
              <w:rPr>
                <w:rFonts w:ascii="Arial" w:eastAsiaTheme="minorHAnsi" w:hAnsi="Arial" w:cs="Arial"/>
                <w:sz w:val="18"/>
                <w:szCs w:val="18"/>
              </w:rPr>
            </w:pPr>
            <w:r w:rsidRPr="006E3E4E">
              <w:rPr>
                <w:rFonts w:ascii="Arial" w:eastAsiaTheme="minorHAnsi" w:hAnsi="Arial" w:cs="Arial"/>
                <w:sz w:val="18"/>
                <w:szCs w:val="18"/>
              </w:rPr>
              <w:t>30</w:t>
            </w:r>
          </w:p>
        </w:tc>
        <w:tc>
          <w:tcPr>
            <w:tcW w:w="6120" w:type="dxa"/>
            <w:vAlign w:val="center"/>
          </w:tcPr>
          <w:p w14:paraId="129A2E31" w14:textId="28534DE2" w:rsidR="005A0486" w:rsidRPr="006E3E4E" w:rsidRDefault="00CB2B26" w:rsidP="00C55AC1">
            <w:pPr>
              <w:autoSpaceDE w:val="0"/>
              <w:autoSpaceDN w:val="0"/>
              <w:adjustRightInd w:val="0"/>
              <w:rPr>
                <w:rFonts w:ascii="Arial" w:eastAsiaTheme="minorHAnsi" w:hAnsi="Arial" w:cs="Arial"/>
                <w:sz w:val="18"/>
                <w:szCs w:val="18"/>
              </w:rPr>
            </w:pPr>
            <w:r w:rsidRPr="006E3E4E">
              <w:rPr>
                <w:rStyle w:val="Emphasis"/>
                <w:rFonts w:ascii="Arial" w:hAnsi="Arial" w:cs="Arial"/>
                <w:bCs/>
                <w:i w:val="0"/>
                <w:iCs w:val="0"/>
                <w:sz w:val="18"/>
                <w:szCs w:val="18"/>
              </w:rPr>
              <w:t>Iberia</w:t>
            </w:r>
            <w:r w:rsidRPr="006E3E4E">
              <w:rPr>
                <w:rFonts w:ascii="Arial" w:hAnsi="Arial" w:cs="Arial"/>
                <w:sz w:val="18"/>
                <w:szCs w:val="18"/>
              </w:rPr>
              <w:t xml:space="preserve">, </w:t>
            </w:r>
            <w:proofErr w:type="spellStart"/>
            <w:r w:rsidRPr="006E3E4E">
              <w:rPr>
                <w:rFonts w:ascii="Arial" w:hAnsi="Arial" w:cs="Arial"/>
                <w:sz w:val="18"/>
                <w:szCs w:val="18"/>
              </w:rPr>
              <w:t>Líneas</w:t>
            </w:r>
            <w:proofErr w:type="spellEnd"/>
            <w:r w:rsidRPr="006E3E4E">
              <w:rPr>
                <w:rFonts w:ascii="Arial" w:hAnsi="Arial" w:cs="Arial"/>
                <w:sz w:val="18"/>
                <w:szCs w:val="18"/>
              </w:rPr>
              <w:t xml:space="preserve"> </w:t>
            </w:r>
            <w:proofErr w:type="spellStart"/>
            <w:r w:rsidRPr="006E3E4E">
              <w:rPr>
                <w:rFonts w:ascii="Arial" w:hAnsi="Arial" w:cs="Arial"/>
                <w:sz w:val="18"/>
                <w:szCs w:val="18"/>
              </w:rPr>
              <w:t>Aéreas</w:t>
            </w:r>
            <w:proofErr w:type="spellEnd"/>
            <w:r w:rsidRPr="006E3E4E">
              <w:rPr>
                <w:rFonts w:ascii="Arial" w:hAnsi="Arial" w:cs="Arial"/>
                <w:sz w:val="18"/>
                <w:szCs w:val="18"/>
              </w:rPr>
              <w:t xml:space="preserve"> de </w:t>
            </w:r>
            <w:proofErr w:type="spellStart"/>
            <w:r w:rsidRPr="006E3E4E">
              <w:rPr>
                <w:rFonts w:ascii="Arial" w:hAnsi="Arial" w:cs="Arial"/>
                <w:sz w:val="18"/>
                <w:szCs w:val="18"/>
              </w:rPr>
              <w:t>España</w:t>
            </w:r>
            <w:proofErr w:type="spellEnd"/>
            <w:r w:rsidRPr="006E3E4E">
              <w:rPr>
                <w:rFonts w:ascii="Arial" w:hAnsi="Arial" w:cs="Arial"/>
                <w:sz w:val="18"/>
                <w:szCs w:val="18"/>
              </w:rPr>
              <w:t xml:space="preserve">, S.A. </w:t>
            </w:r>
            <w:proofErr w:type="spellStart"/>
            <w:r w:rsidRPr="006E3E4E">
              <w:rPr>
                <w:rFonts w:ascii="Arial" w:hAnsi="Arial" w:cs="Arial"/>
                <w:sz w:val="18"/>
                <w:szCs w:val="18"/>
              </w:rPr>
              <w:t>Operadora</w:t>
            </w:r>
            <w:proofErr w:type="spellEnd"/>
            <w:r w:rsidRPr="006E3E4E">
              <w:rPr>
                <w:rFonts w:ascii="Arial" w:hAnsi="Arial" w:cs="Arial"/>
                <w:sz w:val="18"/>
                <w:szCs w:val="18"/>
              </w:rPr>
              <w:t xml:space="preserve">, </w:t>
            </w:r>
            <w:proofErr w:type="spellStart"/>
            <w:r w:rsidRPr="006E3E4E">
              <w:rPr>
                <w:rFonts w:ascii="Arial" w:hAnsi="Arial" w:cs="Arial"/>
                <w:sz w:val="18"/>
                <w:szCs w:val="18"/>
              </w:rPr>
              <w:t>Sociedad</w:t>
            </w:r>
            <w:proofErr w:type="spellEnd"/>
            <w:r w:rsidRPr="006E3E4E">
              <w:rPr>
                <w:rFonts w:ascii="Arial" w:hAnsi="Arial" w:cs="Arial"/>
                <w:sz w:val="18"/>
                <w:szCs w:val="18"/>
              </w:rPr>
              <w:t xml:space="preserve"> Unipersonal</w:t>
            </w:r>
          </w:p>
        </w:tc>
        <w:tc>
          <w:tcPr>
            <w:tcW w:w="1620" w:type="dxa"/>
            <w:vAlign w:val="center"/>
          </w:tcPr>
          <w:p w14:paraId="3FEAC71F" w14:textId="0D1643A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1,046</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12</w:t>
            </w:r>
          </w:p>
        </w:tc>
      </w:tr>
      <w:tr w:rsidR="00636470" w:rsidRPr="006E3E4E" w14:paraId="640B6A70" w14:textId="77777777" w:rsidTr="0025677F">
        <w:trPr>
          <w:trHeight w:val="202"/>
          <w:jc w:val="center"/>
        </w:trPr>
        <w:tc>
          <w:tcPr>
            <w:tcW w:w="1440" w:type="dxa"/>
            <w:tcMar>
              <w:left w:w="115" w:type="dxa"/>
              <w:right w:w="360" w:type="dxa"/>
            </w:tcMar>
            <w:vAlign w:val="center"/>
          </w:tcPr>
          <w:p w14:paraId="0644FC1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31</w:t>
            </w:r>
          </w:p>
        </w:tc>
        <w:tc>
          <w:tcPr>
            <w:tcW w:w="6120" w:type="dxa"/>
            <w:vAlign w:val="center"/>
          </w:tcPr>
          <w:p w14:paraId="1F87E9CE" w14:textId="1EDF9CF0" w:rsidR="005A0486" w:rsidRPr="006E3E4E" w:rsidRDefault="00CB2B26" w:rsidP="00C55AC1">
            <w:pPr>
              <w:autoSpaceDE w:val="0"/>
              <w:autoSpaceDN w:val="0"/>
              <w:adjustRightInd w:val="0"/>
              <w:rPr>
                <w:rFonts w:ascii="Arial" w:eastAsiaTheme="minorHAnsi" w:hAnsi="Arial" w:cs="Arial"/>
                <w:color w:val="000000"/>
                <w:sz w:val="18"/>
                <w:szCs w:val="18"/>
              </w:rPr>
            </w:pPr>
            <w:r w:rsidRPr="006E3E4E">
              <w:rPr>
                <w:rFonts w:ascii="Arial" w:hAnsi="Arial" w:cs="Arial"/>
                <w:sz w:val="18"/>
                <w:szCs w:val="18"/>
              </w:rPr>
              <w:t xml:space="preserve">Malaysia Airlines </w:t>
            </w:r>
            <w:proofErr w:type="spellStart"/>
            <w:r w:rsidRPr="006E3E4E">
              <w:rPr>
                <w:rFonts w:ascii="Arial" w:eastAsiaTheme="minorHAnsi" w:hAnsi="Arial" w:cs="Arial"/>
                <w:sz w:val="18"/>
                <w:szCs w:val="18"/>
                <w:u w:color="000000"/>
              </w:rPr>
              <w:t>Berhad</w:t>
            </w:r>
            <w:proofErr w:type="spellEnd"/>
          </w:p>
        </w:tc>
        <w:tc>
          <w:tcPr>
            <w:tcW w:w="1620" w:type="dxa"/>
            <w:vAlign w:val="center"/>
          </w:tcPr>
          <w:p w14:paraId="3C214972" w14:textId="3F30258E"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1,039</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17</w:t>
            </w:r>
          </w:p>
        </w:tc>
      </w:tr>
      <w:tr w:rsidR="00636470" w:rsidRPr="006E3E4E" w14:paraId="45C62980" w14:textId="77777777" w:rsidTr="0025677F">
        <w:trPr>
          <w:trHeight w:val="202"/>
          <w:jc w:val="center"/>
        </w:trPr>
        <w:tc>
          <w:tcPr>
            <w:tcW w:w="1440" w:type="dxa"/>
            <w:tcMar>
              <w:left w:w="115" w:type="dxa"/>
              <w:right w:w="360" w:type="dxa"/>
            </w:tcMar>
            <w:vAlign w:val="center"/>
          </w:tcPr>
          <w:p w14:paraId="24FF243B"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32</w:t>
            </w:r>
          </w:p>
        </w:tc>
        <w:tc>
          <w:tcPr>
            <w:tcW w:w="6120" w:type="dxa"/>
            <w:vAlign w:val="center"/>
          </w:tcPr>
          <w:p w14:paraId="6B1DA13B" w14:textId="6B114242"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Virgin Atlantic</w:t>
            </w:r>
            <w:r w:rsidR="00CB2B26" w:rsidRPr="006E3E4E">
              <w:rPr>
                <w:rFonts w:ascii="Arial" w:eastAsiaTheme="minorHAnsi" w:hAnsi="Arial" w:cs="Arial"/>
                <w:color w:val="000000"/>
                <w:sz w:val="18"/>
                <w:szCs w:val="18"/>
                <w:u w:color="000000"/>
              </w:rPr>
              <w:t xml:space="preserve"> Airways Limited</w:t>
            </w:r>
          </w:p>
        </w:tc>
        <w:tc>
          <w:tcPr>
            <w:tcW w:w="1620" w:type="dxa"/>
            <w:vAlign w:val="center"/>
          </w:tcPr>
          <w:p w14:paraId="6ABF3E4E" w14:textId="07F0F20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1,005</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24</w:t>
            </w:r>
          </w:p>
        </w:tc>
      </w:tr>
      <w:tr w:rsidR="006E3E4E" w:rsidRPr="006E3E4E" w14:paraId="5C05F928" w14:textId="77777777" w:rsidTr="0025677F">
        <w:trPr>
          <w:trHeight w:val="202"/>
          <w:jc w:val="center"/>
        </w:trPr>
        <w:tc>
          <w:tcPr>
            <w:tcW w:w="1440" w:type="dxa"/>
            <w:tcMar>
              <w:left w:w="115" w:type="dxa"/>
              <w:right w:w="360" w:type="dxa"/>
            </w:tcMar>
            <w:vAlign w:val="center"/>
          </w:tcPr>
          <w:p w14:paraId="5E32F44E" w14:textId="5AF4B10D"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33</w:t>
            </w:r>
          </w:p>
        </w:tc>
        <w:tc>
          <w:tcPr>
            <w:tcW w:w="6120" w:type="dxa"/>
            <w:vAlign w:val="center"/>
          </w:tcPr>
          <w:p w14:paraId="63D34840" w14:textId="21DC5F03" w:rsidR="005A0486" w:rsidRPr="006E3E4E" w:rsidRDefault="0047293A" w:rsidP="00C55AC1">
            <w:pPr>
              <w:autoSpaceDE w:val="0"/>
              <w:autoSpaceDN w:val="0"/>
              <w:adjustRightInd w:val="0"/>
              <w:rPr>
                <w:rFonts w:ascii="Arial" w:eastAsiaTheme="minorHAnsi" w:hAnsi="Arial" w:cs="Arial"/>
                <w:sz w:val="18"/>
                <w:szCs w:val="18"/>
              </w:rPr>
            </w:pPr>
            <w:proofErr w:type="spellStart"/>
            <w:r w:rsidRPr="006E3E4E">
              <w:rPr>
                <w:rFonts w:ascii="Arial" w:hAnsi="Arial" w:cs="Arial"/>
                <w:bCs/>
                <w:sz w:val="18"/>
                <w:szCs w:val="18"/>
              </w:rPr>
              <w:t>Gol</w:t>
            </w:r>
            <w:proofErr w:type="spellEnd"/>
            <w:r w:rsidRPr="006E3E4E">
              <w:rPr>
                <w:rFonts w:ascii="Arial" w:hAnsi="Arial" w:cs="Arial"/>
                <w:bCs/>
                <w:sz w:val="18"/>
                <w:szCs w:val="18"/>
              </w:rPr>
              <w:t xml:space="preserve"> </w:t>
            </w:r>
            <w:proofErr w:type="spellStart"/>
            <w:r w:rsidRPr="006E3E4E">
              <w:rPr>
                <w:rFonts w:ascii="Arial" w:hAnsi="Arial" w:cs="Arial"/>
                <w:bCs/>
                <w:sz w:val="18"/>
                <w:szCs w:val="18"/>
              </w:rPr>
              <w:t>Linhas</w:t>
            </w:r>
            <w:proofErr w:type="spellEnd"/>
            <w:r w:rsidRPr="006E3E4E">
              <w:rPr>
                <w:rFonts w:ascii="Arial" w:hAnsi="Arial" w:cs="Arial"/>
                <w:bCs/>
                <w:sz w:val="18"/>
                <w:szCs w:val="18"/>
              </w:rPr>
              <w:t xml:space="preserve"> </w:t>
            </w:r>
            <w:proofErr w:type="spellStart"/>
            <w:r w:rsidRPr="006E3E4E">
              <w:rPr>
                <w:rFonts w:ascii="Arial" w:hAnsi="Arial" w:cs="Arial"/>
                <w:bCs/>
                <w:sz w:val="18"/>
                <w:szCs w:val="18"/>
              </w:rPr>
              <w:t>Aéreas</w:t>
            </w:r>
            <w:proofErr w:type="spellEnd"/>
            <w:r w:rsidRPr="006E3E4E">
              <w:rPr>
                <w:rFonts w:ascii="Arial" w:hAnsi="Arial" w:cs="Arial"/>
                <w:bCs/>
                <w:sz w:val="18"/>
                <w:szCs w:val="18"/>
              </w:rPr>
              <w:t xml:space="preserve"> </w:t>
            </w:r>
            <w:proofErr w:type="spellStart"/>
            <w:r w:rsidRPr="006E3E4E">
              <w:rPr>
                <w:rFonts w:ascii="Arial" w:hAnsi="Arial" w:cs="Arial"/>
                <w:bCs/>
                <w:sz w:val="18"/>
                <w:szCs w:val="18"/>
              </w:rPr>
              <w:t>Inteligentes</w:t>
            </w:r>
            <w:proofErr w:type="spellEnd"/>
            <w:r w:rsidRPr="006E3E4E">
              <w:rPr>
                <w:rFonts w:ascii="Arial" w:hAnsi="Arial" w:cs="Arial"/>
                <w:bCs/>
                <w:sz w:val="18"/>
                <w:szCs w:val="18"/>
              </w:rPr>
              <w:t xml:space="preserve"> S.A</w:t>
            </w:r>
            <w:r w:rsidRPr="006E3E4E">
              <w:rPr>
                <w:rFonts w:ascii="Arial" w:eastAsiaTheme="minorHAnsi" w:hAnsi="Arial" w:cs="Arial"/>
                <w:sz w:val="18"/>
                <w:szCs w:val="18"/>
                <w:u w:color="000000"/>
              </w:rPr>
              <w:t>.</w:t>
            </w:r>
          </w:p>
        </w:tc>
        <w:tc>
          <w:tcPr>
            <w:tcW w:w="1620" w:type="dxa"/>
            <w:vAlign w:val="center"/>
          </w:tcPr>
          <w:p w14:paraId="3B879904" w14:textId="1343100D"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913</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46</w:t>
            </w:r>
          </w:p>
        </w:tc>
      </w:tr>
      <w:tr w:rsidR="006E3E4E" w:rsidRPr="006E3E4E" w14:paraId="2A903043" w14:textId="77777777" w:rsidTr="0025677F">
        <w:trPr>
          <w:trHeight w:val="202"/>
          <w:jc w:val="center"/>
        </w:trPr>
        <w:tc>
          <w:tcPr>
            <w:tcW w:w="1440" w:type="dxa"/>
            <w:tcMar>
              <w:left w:w="115" w:type="dxa"/>
              <w:right w:w="360" w:type="dxa"/>
            </w:tcMar>
            <w:vAlign w:val="center"/>
          </w:tcPr>
          <w:p w14:paraId="6C34510A"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34</w:t>
            </w:r>
          </w:p>
        </w:tc>
        <w:tc>
          <w:tcPr>
            <w:tcW w:w="6120" w:type="dxa"/>
            <w:vAlign w:val="center"/>
          </w:tcPr>
          <w:p w14:paraId="2E15E0D9" w14:textId="0BB03DD6"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Asiana Airlines</w:t>
            </w:r>
            <w:r w:rsidR="0047293A" w:rsidRPr="006E3E4E">
              <w:rPr>
                <w:rFonts w:ascii="Arial" w:eastAsiaTheme="minorHAnsi" w:hAnsi="Arial" w:cs="Arial"/>
                <w:color w:val="000000"/>
                <w:sz w:val="18"/>
                <w:szCs w:val="18"/>
                <w:u w:color="000000"/>
              </w:rPr>
              <w:t xml:space="preserve"> Inc.</w:t>
            </w:r>
          </w:p>
        </w:tc>
        <w:tc>
          <w:tcPr>
            <w:tcW w:w="1620" w:type="dxa"/>
            <w:vAlign w:val="center"/>
          </w:tcPr>
          <w:p w14:paraId="185FB42F" w14:textId="2481F95C"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876</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32</w:t>
            </w:r>
          </w:p>
        </w:tc>
      </w:tr>
      <w:tr w:rsidR="006E3E4E" w:rsidRPr="006E3E4E" w14:paraId="6B013356" w14:textId="77777777" w:rsidTr="0025677F">
        <w:trPr>
          <w:trHeight w:val="202"/>
          <w:jc w:val="center"/>
        </w:trPr>
        <w:tc>
          <w:tcPr>
            <w:tcW w:w="1440" w:type="dxa"/>
            <w:tcMar>
              <w:left w:w="115" w:type="dxa"/>
              <w:right w:w="360" w:type="dxa"/>
            </w:tcMar>
            <w:vAlign w:val="center"/>
          </w:tcPr>
          <w:p w14:paraId="7898553A"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35</w:t>
            </w:r>
          </w:p>
        </w:tc>
        <w:tc>
          <w:tcPr>
            <w:tcW w:w="6120" w:type="dxa"/>
            <w:vAlign w:val="center"/>
          </w:tcPr>
          <w:p w14:paraId="070A7893" w14:textId="493E1AF3"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Air India</w:t>
            </w:r>
          </w:p>
        </w:tc>
        <w:tc>
          <w:tcPr>
            <w:tcW w:w="1620" w:type="dxa"/>
            <w:vAlign w:val="center"/>
          </w:tcPr>
          <w:p w14:paraId="37C06576" w14:textId="3DDFFC2C"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869</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25</w:t>
            </w:r>
          </w:p>
        </w:tc>
      </w:tr>
      <w:tr w:rsidR="006E3E4E" w:rsidRPr="006E3E4E" w14:paraId="3E8B25FE" w14:textId="77777777" w:rsidTr="0025677F">
        <w:trPr>
          <w:trHeight w:val="202"/>
          <w:jc w:val="center"/>
        </w:trPr>
        <w:tc>
          <w:tcPr>
            <w:tcW w:w="1440" w:type="dxa"/>
            <w:tcMar>
              <w:left w:w="115" w:type="dxa"/>
              <w:right w:w="360" w:type="dxa"/>
            </w:tcMar>
            <w:vAlign w:val="center"/>
          </w:tcPr>
          <w:p w14:paraId="281B516C"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36</w:t>
            </w:r>
          </w:p>
        </w:tc>
        <w:tc>
          <w:tcPr>
            <w:tcW w:w="6120" w:type="dxa"/>
            <w:vAlign w:val="center"/>
          </w:tcPr>
          <w:p w14:paraId="3B0F545B" w14:textId="152F1D12"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Alaska Airlines</w:t>
            </w:r>
          </w:p>
        </w:tc>
        <w:tc>
          <w:tcPr>
            <w:tcW w:w="1620" w:type="dxa"/>
            <w:vAlign w:val="center"/>
          </w:tcPr>
          <w:p w14:paraId="562402C5" w14:textId="1255E39D"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866</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81</w:t>
            </w:r>
          </w:p>
        </w:tc>
      </w:tr>
      <w:tr w:rsidR="006E3E4E" w:rsidRPr="006E3E4E" w14:paraId="21AD1A8B" w14:textId="77777777" w:rsidTr="0025677F">
        <w:trPr>
          <w:trHeight w:val="202"/>
          <w:jc w:val="center"/>
        </w:trPr>
        <w:tc>
          <w:tcPr>
            <w:tcW w:w="1440" w:type="dxa"/>
            <w:tcMar>
              <w:left w:w="115" w:type="dxa"/>
              <w:right w:w="360" w:type="dxa"/>
            </w:tcMar>
            <w:vAlign w:val="center"/>
          </w:tcPr>
          <w:p w14:paraId="7B3D66B9"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37</w:t>
            </w:r>
          </w:p>
        </w:tc>
        <w:tc>
          <w:tcPr>
            <w:tcW w:w="6120" w:type="dxa"/>
            <w:vAlign w:val="center"/>
          </w:tcPr>
          <w:p w14:paraId="7D9AC528"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Saudi Arabian</w:t>
            </w:r>
          </w:p>
        </w:tc>
        <w:tc>
          <w:tcPr>
            <w:tcW w:w="1620" w:type="dxa"/>
            <w:vAlign w:val="center"/>
          </w:tcPr>
          <w:p w14:paraId="358A9CC6" w14:textId="171B66DE"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859</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67</w:t>
            </w:r>
          </w:p>
        </w:tc>
      </w:tr>
      <w:tr w:rsidR="006E3E4E" w:rsidRPr="006E3E4E" w14:paraId="5A1B6724" w14:textId="77777777" w:rsidTr="0025677F">
        <w:trPr>
          <w:trHeight w:val="202"/>
          <w:jc w:val="center"/>
        </w:trPr>
        <w:tc>
          <w:tcPr>
            <w:tcW w:w="1440" w:type="dxa"/>
            <w:tcMar>
              <w:left w:w="115" w:type="dxa"/>
              <w:right w:w="360" w:type="dxa"/>
            </w:tcMar>
            <w:vAlign w:val="center"/>
          </w:tcPr>
          <w:p w14:paraId="08E00C55"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38</w:t>
            </w:r>
          </w:p>
        </w:tc>
        <w:tc>
          <w:tcPr>
            <w:tcW w:w="6120" w:type="dxa"/>
            <w:vAlign w:val="center"/>
          </w:tcPr>
          <w:p w14:paraId="1645D772" w14:textId="58C2475F"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China Airlines</w:t>
            </w:r>
          </w:p>
        </w:tc>
        <w:tc>
          <w:tcPr>
            <w:tcW w:w="1620" w:type="dxa"/>
            <w:vAlign w:val="center"/>
          </w:tcPr>
          <w:p w14:paraId="1066FD98" w14:textId="0BCBF30D"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824</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E3E4E" w:rsidRPr="006E3E4E" w14:paraId="65F40424" w14:textId="77777777" w:rsidTr="0025677F">
        <w:trPr>
          <w:trHeight w:val="202"/>
          <w:jc w:val="center"/>
        </w:trPr>
        <w:tc>
          <w:tcPr>
            <w:tcW w:w="1440" w:type="dxa"/>
            <w:tcMar>
              <w:left w:w="115" w:type="dxa"/>
              <w:right w:w="360" w:type="dxa"/>
            </w:tcMar>
            <w:vAlign w:val="center"/>
          </w:tcPr>
          <w:p w14:paraId="6850AF63"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39</w:t>
            </w:r>
          </w:p>
        </w:tc>
        <w:tc>
          <w:tcPr>
            <w:tcW w:w="6120" w:type="dxa"/>
            <w:vAlign w:val="center"/>
          </w:tcPr>
          <w:p w14:paraId="7A654499" w14:textId="1E35AD9D" w:rsidR="005A0486" w:rsidRPr="006E3E4E" w:rsidRDefault="0047293A" w:rsidP="00C55AC1">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PT Lion </w:t>
            </w:r>
            <w:proofErr w:type="spellStart"/>
            <w:r w:rsidRPr="006E3E4E">
              <w:rPr>
                <w:rFonts w:ascii="Arial" w:hAnsi="Arial" w:cs="Arial"/>
                <w:color w:val="222222"/>
                <w:sz w:val="18"/>
                <w:szCs w:val="18"/>
              </w:rPr>
              <w:t>Mentari</w:t>
            </w:r>
            <w:proofErr w:type="spellEnd"/>
            <w:r w:rsidRPr="006E3E4E">
              <w:rPr>
                <w:rFonts w:ascii="Arial" w:hAnsi="Arial" w:cs="Arial"/>
                <w:color w:val="222222"/>
                <w:sz w:val="18"/>
                <w:szCs w:val="18"/>
              </w:rPr>
              <w:t xml:space="preserve"> Airlines</w:t>
            </w:r>
          </w:p>
        </w:tc>
        <w:tc>
          <w:tcPr>
            <w:tcW w:w="1620" w:type="dxa"/>
            <w:vAlign w:val="center"/>
          </w:tcPr>
          <w:p w14:paraId="1A05A768" w14:textId="1EE699CB"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810</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54</w:t>
            </w:r>
          </w:p>
        </w:tc>
      </w:tr>
      <w:tr w:rsidR="006E3E4E" w:rsidRPr="006E3E4E" w14:paraId="5A37A0CE" w14:textId="77777777" w:rsidTr="0025677F">
        <w:trPr>
          <w:trHeight w:val="202"/>
          <w:jc w:val="center"/>
        </w:trPr>
        <w:tc>
          <w:tcPr>
            <w:tcW w:w="1440" w:type="dxa"/>
            <w:tcMar>
              <w:left w:w="115" w:type="dxa"/>
              <w:right w:w="360" w:type="dxa"/>
            </w:tcMar>
            <w:vAlign w:val="center"/>
          </w:tcPr>
          <w:p w14:paraId="5D4FBE3B"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40</w:t>
            </w:r>
          </w:p>
        </w:tc>
        <w:tc>
          <w:tcPr>
            <w:tcW w:w="6120" w:type="dxa"/>
            <w:vAlign w:val="center"/>
          </w:tcPr>
          <w:p w14:paraId="5741BF83" w14:textId="13AEB3F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Hainan Airlines</w:t>
            </w:r>
            <w:r w:rsidR="0047293A" w:rsidRPr="006E3E4E">
              <w:rPr>
                <w:rFonts w:ascii="Arial" w:eastAsiaTheme="minorHAnsi" w:hAnsi="Arial" w:cs="Arial"/>
                <w:color w:val="000000"/>
                <w:sz w:val="18"/>
                <w:szCs w:val="18"/>
                <w:u w:color="000000"/>
              </w:rPr>
              <w:t xml:space="preserve"> Co., Ltd.</w:t>
            </w:r>
          </w:p>
        </w:tc>
        <w:tc>
          <w:tcPr>
            <w:tcW w:w="1620" w:type="dxa"/>
            <w:vAlign w:val="center"/>
          </w:tcPr>
          <w:p w14:paraId="105CFBE1" w14:textId="79EC2E3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789</w:t>
            </w:r>
            <w:r w:rsidR="00853D12">
              <w:rPr>
                <w:rFonts w:ascii="Arial" w:eastAsiaTheme="minorHAnsi" w:hAnsi="Arial" w:cs="Arial"/>
                <w:color w:val="000000"/>
                <w:sz w:val="18"/>
                <w:szCs w:val="18"/>
              </w:rPr>
              <w:t>.</w:t>
            </w:r>
            <w:r w:rsidRPr="006E3E4E">
              <w:rPr>
                <w:rFonts w:ascii="Arial" w:eastAsiaTheme="minorHAnsi" w:hAnsi="Arial" w:cs="Arial"/>
                <w:color w:val="000000"/>
                <w:sz w:val="18"/>
                <w:szCs w:val="18"/>
              </w:rPr>
              <w:t>65</w:t>
            </w:r>
          </w:p>
        </w:tc>
      </w:tr>
      <w:tr w:rsidR="006E3E4E" w:rsidRPr="006E3E4E" w14:paraId="786F5F12" w14:textId="77777777" w:rsidTr="0025677F">
        <w:trPr>
          <w:trHeight w:val="202"/>
          <w:jc w:val="center"/>
        </w:trPr>
        <w:tc>
          <w:tcPr>
            <w:tcW w:w="1440" w:type="dxa"/>
            <w:tcMar>
              <w:left w:w="115" w:type="dxa"/>
              <w:right w:w="360" w:type="dxa"/>
            </w:tcMar>
            <w:vAlign w:val="center"/>
          </w:tcPr>
          <w:p w14:paraId="2320F646"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41</w:t>
            </w:r>
          </w:p>
        </w:tc>
        <w:tc>
          <w:tcPr>
            <w:tcW w:w="6120" w:type="dxa"/>
            <w:vAlign w:val="center"/>
          </w:tcPr>
          <w:p w14:paraId="4294A370" w14:textId="0C522A5E" w:rsidR="005A0486" w:rsidRPr="006E3E4E" w:rsidRDefault="0047293A" w:rsidP="00C55AC1">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Swiss International Air Lines AG</w:t>
            </w:r>
          </w:p>
        </w:tc>
        <w:tc>
          <w:tcPr>
            <w:tcW w:w="1620" w:type="dxa"/>
            <w:vAlign w:val="center"/>
          </w:tcPr>
          <w:p w14:paraId="5B4EC884" w14:textId="7DEB8CA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768</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20</w:t>
            </w:r>
          </w:p>
        </w:tc>
      </w:tr>
      <w:tr w:rsidR="006E3E4E" w:rsidRPr="006E3E4E" w14:paraId="17BBFB02" w14:textId="77777777" w:rsidTr="0025677F">
        <w:trPr>
          <w:trHeight w:val="202"/>
          <w:jc w:val="center"/>
        </w:trPr>
        <w:tc>
          <w:tcPr>
            <w:tcW w:w="1440" w:type="dxa"/>
            <w:tcMar>
              <w:left w:w="115" w:type="dxa"/>
              <w:right w:w="360" w:type="dxa"/>
            </w:tcMar>
            <w:vAlign w:val="center"/>
          </w:tcPr>
          <w:p w14:paraId="639F1DB0"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42</w:t>
            </w:r>
          </w:p>
        </w:tc>
        <w:tc>
          <w:tcPr>
            <w:tcW w:w="6120" w:type="dxa"/>
            <w:vAlign w:val="center"/>
          </w:tcPr>
          <w:p w14:paraId="6A42D55B" w14:textId="1BE1547E" w:rsidR="005A0486" w:rsidRPr="006E3E4E" w:rsidRDefault="005A0486" w:rsidP="00C55AC1">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u w:color="000000"/>
              </w:rPr>
              <w:t>Jetstar</w:t>
            </w:r>
            <w:proofErr w:type="spellEnd"/>
            <w:r w:rsidRPr="006E3E4E">
              <w:rPr>
                <w:rFonts w:ascii="Arial" w:eastAsiaTheme="minorHAnsi" w:hAnsi="Arial" w:cs="Arial"/>
                <w:color w:val="000000"/>
                <w:sz w:val="18"/>
                <w:szCs w:val="18"/>
                <w:u w:color="000000"/>
              </w:rPr>
              <w:t xml:space="preserve"> Airways</w:t>
            </w:r>
            <w:r w:rsidR="00B068EF">
              <w:rPr>
                <w:rFonts w:ascii="Arial" w:eastAsiaTheme="minorHAnsi" w:hAnsi="Arial" w:cs="Arial"/>
                <w:color w:val="000000"/>
                <w:sz w:val="18"/>
                <w:szCs w:val="18"/>
                <w:u w:color="000000"/>
              </w:rPr>
              <w:t xml:space="preserve"> </w:t>
            </w:r>
            <w:r w:rsidR="0047293A" w:rsidRPr="006E3E4E">
              <w:rPr>
                <w:rFonts w:ascii="Arial" w:eastAsiaTheme="minorHAnsi" w:hAnsi="Arial" w:cs="Arial"/>
                <w:color w:val="000000"/>
                <w:sz w:val="18"/>
                <w:szCs w:val="18"/>
                <w:u w:color="000000"/>
              </w:rPr>
              <w:t>Pty Ltd</w:t>
            </w:r>
          </w:p>
        </w:tc>
        <w:tc>
          <w:tcPr>
            <w:tcW w:w="1620" w:type="dxa"/>
            <w:vAlign w:val="center"/>
          </w:tcPr>
          <w:p w14:paraId="20FFFDE5" w14:textId="0DAFE609"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732</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12</w:t>
            </w:r>
          </w:p>
        </w:tc>
      </w:tr>
      <w:tr w:rsidR="006E3E4E" w:rsidRPr="006E3E4E" w14:paraId="4C16E3FC" w14:textId="77777777" w:rsidTr="0025677F">
        <w:trPr>
          <w:trHeight w:val="202"/>
          <w:jc w:val="center"/>
        </w:trPr>
        <w:tc>
          <w:tcPr>
            <w:tcW w:w="1440" w:type="dxa"/>
            <w:tcMar>
              <w:left w:w="115" w:type="dxa"/>
              <w:right w:w="360" w:type="dxa"/>
            </w:tcMar>
            <w:vAlign w:val="center"/>
          </w:tcPr>
          <w:p w14:paraId="219933C6"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43</w:t>
            </w:r>
          </w:p>
        </w:tc>
        <w:tc>
          <w:tcPr>
            <w:tcW w:w="6120" w:type="dxa"/>
            <w:vAlign w:val="center"/>
          </w:tcPr>
          <w:p w14:paraId="0D6407AD" w14:textId="20045B91"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Air New Zealand</w:t>
            </w:r>
            <w:r w:rsidR="008C4E94" w:rsidRPr="006E3E4E">
              <w:rPr>
                <w:rFonts w:ascii="Arial" w:eastAsiaTheme="minorHAnsi" w:hAnsi="Arial" w:cs="Arial"/>
                <w:color w:val="000000"/>
                <w:sz w:val="18"/>
                <w:szCs w:val="18"/>
                <w:u w:color="000000"/>
              </w:rPr>
              <w:t xml:space="preserve"> Limited</w:t>
            </w:r>
          </w:p>
        </w:tc>
        <w:tc>
          <w:tcPr>
            <w:tcW w:w="1620" w:type="dxa"/>
            <w:vAlign w:val="center"/>
          </w:tcPr>
          <w:p w14:paraId="51873C08" w14:textId="0A2C54A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710</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17</w:t>
            </w:r>
          </w:p>
        </w:tc>
      </w:tr>
      <w:tr w:rsidR="006E3E4E" w:rsidRPr="006E3E4E" w14:paraId="31CE4CFC" w14:textId="77777777" w:rsidTr="0025677F">
        <w:trPr>
          <w:trHeight w:val="202"/>
          <w:jc w:val="center"/>
        </w:trPr>
        <w:tc>
          <w:tcPr>
            <w:tcW w:w="1440" w:type="dxa"/>
            <w:tcMar>
              <w:left w:w="115" w:type="dxa"/>
              <w:right w:w="360" w:type="dxa"/>
            </w:tcMar>
            <w:vAlign w:val="center"/>
          </w:tcPr>
          <w:p w14:paraId="253515A9"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44</w:t>
            </w:r>
          </w:p>
        </w:tc>
        <w:tc>
          <w:tcPr>
            <w:tcW w:w="6120" w:type="dxa"/>
            <w:vAlign w:val="center"/>
          </w:tcPr>
          <w:p w14:paraId="008CC971" w14:textId="11496108" w:rsidR="005A0486" w:rsidRPr="006E3E4E" w:rsidRDefault="005A0486" w:rsidP="00C55AC1">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u w:color="000000"/>
              </w:rPr>
              <w:t>WestJet</w:t>
            </w:r>
            <w:proofErr w:type="spellEnd"/>
            <w:r w:rsidR="008C4E94" w:rsidRPr="006E3E4E">
              <w:rPr>
                <w:rFonts w:ascii="Arial" w:eastAsiaTheme="minorHAnsi" w:hAnsi="Arial" w:cs="Arial"/>
                <w:color w:val="000000"/>
                <w:sz w:val="18"/>
                <w:szCs w:val="18"/>
                <w:u w:color="000000"/>
              </w:rPr>
              <w:t xml:space="preserve"> Airlines Ltd.</w:t>
            </w:r>
          </w:p>
        </w:tc>
        <w:tc>
          <w:tcPr>
            <w:tcW w:w="1620" w:type="dxa"/>
            <w:vAlign w:val="center"/>
          </w:tcPr>
          <w:p w14:paraId="3418ADBF" w14:textId="0304B54B"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703</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52</w:t>
            </w:r>
          </w:p>
        </w:tc>
      </w:tr>
      <w:tr w:rsidR="006E3E4E" w:rsidRPr="006E3E4E" w14:paraId="0B636948" w14:textId="77777777" w:rsidTr="0025677F">
        <w:trPr>
          <w:trHeight w:val="202"/>
          <w:jc w:val="center"/>
        </w:trPr>
        <w:tc>
          <w:tcPr>
            <w:tcW w:w="1440" w:type="dxa"/>
            <w:tcMar>
              <w:left w:w="115" w:type="dxa"/>
              <w:right w:w="360" w:type="dxa"/>
            </w:tcMar>
            <w:vAlign w:val="center"/>
          </w:tcPr>
          <w:p w14:paraId="526C214C"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45</w:t>
            </w:r>
          </w:p>
        </w:tc>
        <w:tc>
          <w:tcPr>
            <w:tcW w:w="6120" w:type="dxa"/>
            <w:vAlign w:val="center"/>
          </w:tcPr>
          <w:p w14:paraId="19463638" w14:textId="473012D1" w:rsidR="005A0486" w:rsidRPr="006E3E4E" w:rsidRDefault="008C4E94" w:rsidP="00C55AC1">
            <w:pPr>
              <w:autoSpaceDE w:val="0"/>
              <w:autoSpaceDN w:val="0"/>
              <w:adjustRightInd w:val="0"/>
              <w:rPr>
                <w:rFonts w:ascii="Arial" w:eastAsiaTheme="minorHAnsi" w:hAnsi="Arial" w:cs="Arial"/>
                <w:color w:val="000000"/>
                <w:sz w:val="18"/>
                <w:szCs w:val="18"/>
              </w:rPr>
            </w:pPr>
            <w:proofErr w:type="spellStart"/>
            <w:r w:rsidRPr="006E3E4E">
              <w:rPr>
                <w:rFonts w:ascii="Arial" w:hAnsi="Arial" w:cs="Arial"/>
                <w:color w:val="222222"/>
                <w:sz w:val="18"/>
                <w:szCs w:val="18"/>
              </w:rPr>
              <w:t>Società</w:t>
            </w:r>
            <w:proofErr w:type="spellEnd"/>
            <w:r w:rsidRPr="006E3E4E">
              <w:rPr>
                <w:rFonts w:ascii="Arial" w:hAnsi="Arial" w:cs="Arial"/>
                <w:color w:val="222222"/>
                <w:sz w:val="18"/>
                <w:szCs w:val="18"/>
              </w:rPr>
              <w:t xml:space="preserve"> </w:t>
            </w:r>
            <w:proofErr w:type="spellStart"/>
            <w:r w:rsidRPr="006E3E4E">
              <w:rPr>
                <w:rFonts w:ascii="Arial" w:hAnsi="Arial" w:cs="Arial"/>
                <w:color w:val="222222"/>
                <w:sz w:val="18"/>
                <w:szCs w:val="18"/>
              </w:rPr>
              <w:t>Aerea</w:t>
            </w:r>
            <w:proofErr w:type="spellEnd"/>
            <w:r w:rsidRPr="006E3E4E">
              <w:rPr>
                <w:rFonts w:ascii="Arial" w:hAnsi="Arial" w:cs="Arial"/>
                <w:color w:val="222222"/>
                <w:sz w:val="18"/>
                <w:szCs w:val="18"/>
              </w:rPr>
              <w:t xml:space="preserve"> </w:t>
            </w:r>
            <w:proofErr w:type="spellStart"/>
            <w:r w:rsidRPr="006E3E4E">
              <w:rPr>
                <w:rFonts w:ascii="Arial" w:hAnsi="Arial" w:cs="Arial"/>
                <w:color w:val="222222"/>
                <w:sz w:val="18"/>
                <w:szCs w:val="18"/>
              </w:rPr>
              <w:t>Italiana</w:t>
            </w:r>
            <w:proofErr w:type="spellEnd"/>
          </w:p>
        </w:tc>
        <w:tc>
          <w:tcPr>
            <w:tcW w:w="1620" w:type="dxa"/>
            <w:vAlign w:val="center"/>
          </w:tcPr>
          <w:p w14:paraId="359AB6CB" w14:textId="4EA990C5"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702</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77</w:t>
            </w:r>
          </w:p>
        </w:tc>
      </w:tr>
      <w:tr w:rsidR="006E3E4E" w:rsidRPr="006E3E4E" w14:paraId="2F0CC613" w14:textId="77777777" w:rsidTr="0025677F">
        <w:trPr>
          <w:trHeight w:val="202"/>
          <w:jc w:val="center"/>
        </w:trPr>
        <w:tc>
          <w:tcPr>
            <w:tcW w:w="1440" w:type="dxa"/>
            <w:tcMar>
              <w:left w:w="115" w:type="dxa"/>
              <w:right w:w="360" w:type="dxa"/>
            </w:tcMar>
            <w:vAlign w:val="center"/>
          </w:tcPr>
          <w:p w14:paraId="7FCAB955"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46</w:t>
            </w:r>
          </w:p>
        </w:tc>
        <w:tc>
          <w:tcPr>
            <w:tcW w:w="6120" w:type="dxa"/>
            <w:vAlign w:val="center"/>
          </w:tcPr>
          <w:p w14:paraId="1F34EB57" w14:textId="155D8D8F"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Jet Airways</w:t>
            </w:r>
          </w:p>
        </w:tc>
        <w:tc>
          <w:tcPr>
            <w:tcW w:w="1620" w:type="dxa"/>
            <w:vAlign w:val="center"/>
          </w:tcPr>
          <w:p w14:paraId="4C352D04" w14:textId="559B4DB2"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682</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16</w:t>
            </w:r>
          </w:p>
        </w:tc>
      </w:tr>
      <w:tr w:rsidR="006E3E4E" w:rsidRPr="006E3E4E" w14:paraId="40B3714D" w14:textId="77777777" w:rsidTr="0025677F">
        <w:trPr>
          <w:trHeight w:val="202"/>
          <w:jc w:val="center"/>
        </w:trPr>
        <w:tc>
          <w:tcPr>
            <w:tcW w:w="1440" w:type="dxa"/>
            <w:tcMar>
              <w:left w:w="115" w:type="dxa"/>
              <w:right w:w="360" w:type="dxa"/>
            </w:tcMar>
            <w:vAlign w:val="center"/>
          </w:tcPr>
          <w:p w14:paraId="181795A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47</w:t>
            </w:r>
          </w:p>
        </w:tc>
        <w:tc>
          <w:tcPr>
            <w:tcW w:w="6120" w:type="dxa"/>
            <w:vAlign w:val="center"/>
          </w:tcPr>
          <w:p w14:paraId="5BD4FDD6" w14:textId="1A4EBE62" w:rsidR="005A0486" w:rsidRPr="006E3E4E" w:rsidRDefault="008C4E94" w:rsidP="00C55AC1">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OJSC </w:t>
            </w:r>
            <w:proofErr w:type="spellStart"/>
            <w:r w:rsidRPr="006E3E4E">
              <w:rPr>
                <w:rFonts w:ascii="Arial" w:hAnsi="Arial" w:cs="Arial"/>
                <w:color w:val="222222"/>
                <w:sz w:val="18"/>
                <w:szCs w:val="18"/>
              </w:rPr>
              <w:t>Transaero</w:t>
            </w:r>
            <w:proofErr w:type="spellEnd"/>
            <w:r w:rsidRPr="006E3E4E">
              <w:rPr>
                <w:rFonts w:ascii="Arial" w:hAnsi="Arial" w:cs="Arial"/>
                <w:color w:val="222222"/>
                <w:sz w:val="18"/>
                <w:szCs w:val="18"/>
              </w:rPr>
              <w:t xml:space="preserve"> Airlines</w:t>
            </w:r>
          </w:p>
        </w:tc>
        <w:tc>
          <w:tcPr>
            <w:tcW w:w="1620" w:type="dxa"/>
            <w:vAlign w:val="center"/>
          </w:tcPr>
          <w:p w14:paraId="151AD03D" w14:textId="35AE64E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681</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90</w:t>
            </w:r>
          </w:p>
        </w:tc>
      </w:tr>
      <w:tr w:rsidR="006E3E4E" w:rsidRPr="006E3E4E" w14:paraId="066B0660" w14:textId="77777777" w:rsidTr="0025677F">
        <w:trPr>
          <w:trHeight w:val="202"/>
          <w:jc w:val="center"/>
        </w:trPr>
        <w:tc>
          <w:tcPr>
            <w:tcW w:w="1440" w:type="dxa"/>
            <w:tcMar>
              <w:left w:w="115" w:type="dxa"/>
              <w:right w:w="360" w:type="dxa"/>
            </w:tcMar>
            <w:vAlign w:val="center"/>
          </w:tcPr>
          <w:p w14:paraId="3F0E7934"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48</w:t>
            </w:r>
          </w:p>
        </w:tc>
        <w:tc>
          <w:tcPr>
            <w:tcW w:w="6120" w:type="dxa"/>
            <w:vAlign w:val="center"/>
          </w:tcPr>
          <w:p w14:paraId="294C9EC0" w14:textId="59EA8300" w:rsidR="005A0486" w:rsidRPr="006E3E4E" w:rsidRDefault="008C4E94" w:rsidP="00C55AC1">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Air Berlin PLC &amp; Co. </w:t>
            </w:r>
            <w:proofErr w:type="spellStart"/>
            <w:r w:rsidRPr="006E3E4E">
              <w:rPr>
                <w:rFonts w:ascii="Arial" w:hAnsi="Arial" w:cs="Arial"/>
                <w:color w:val="222222"/>
                <w:sz w:val="18"/>
                <w:szCs w:val="18"/>
              </w:rPr>
              <w:t>Luftverkehrs</w:t>
            </w:r>
            <w:proofErr w:type="spellEnd"/>
            <w:r w:rsidRPr="006E3E4E">
              <w:rPr>
                <w:rFonts w:ascii="Arial" w:hAnsi="Arial" w:cs="Arial"/>
                <w:color w:val="222222"/>
                <w:sz w:val="18"/>
                <w:szCs w:val="18"/>
              </w:rPr>
              <w:t xml:space="preserve"> KG</w:t>
            </w:r>
          </w:p>
        </w:tc>
        <w:tc>
          <w:tcPr>
            <w:tcW w:w="1620" w:type="dxa"/>
            <w:vAlign w:val="center"/>
          </w:tcPr>
          <w:p w14:paraId="7B7303F0" w14:textId="15B3963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678</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11</w:t>
            </w:r>
          </w:p>
        </w:tc>
      </w:tr>
      <w:tr w:rsidR="006E3E4E" w:rsidRPr="006E3E4E" w14:paraId="09CB45DD" w14:textId="77777777" w:rsidTr="0025677F">
        <w:trPr>
          <w:trHeight w:val="202"/>
          <w:jc w:val="center"/>
        </w:trPr>
        <w:tc>
          <w:tcPr>
            <w:tcW w:w="1440" w:type="dxa"/>
            <w:tcMar>
              <w:left w:w="115" w:type="dxa"/>
              <w:right w:w="360" w:type="dxa"/>
            </w:tcMar>
            <w:vAlign w:val="center"/>
          </w:tcPr>
          <w:p w14:paraId="52E051D6"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49</w:t>
            </w:r>
          </w:p>
        </w:tc>
        <w:tc>
          <w:tcPr>
            <w:tcW w:w="6120" w:type="dxa"/>
            <w:vAlign w:val="center"/>
          </w:tcPr>
          <w:p w14:paraId="02B06B18" w14:textId="04381E33"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Virgin Australia</w:t>
            </w:r>
            <w:r w:rsidR="008C4E94" w:rsidRPr="006E3E4E">
              <w:rPr>
                <w:rFonts w:ascii="Arial" w:eastAsiaTheme="minorHAnsi" w:hAnsi="Arial" w:cs="Arial"/>
                <w:color w:val="000000"/>
                <w:sz w:val="18"/>
                <w:szCs w:val="18"/>
                <w:u w:color="000000"/>
              </w:rPr>
              <w:t xml:space="preserve"> Airlines</w:t>
            </w:r>
          </w:p>
        </w:tc>
        <w:tc>
          <w:tcPr>
            <w:tcW w:w="1620" w:type="dxa"/>
            <w:vAlign w:val="center"/>
          </w:tcPr>
          <w:p w14:paraId="45091DDB" w14:textId="484FCA9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667</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35</w:t>
            </w:r>
          </w:p>
        </w:tc>
      </w:tr>
      <w:tr w:rsidR="006E3E4E" w:rsidRPr="006E3E4E" w14:paraId="2DF75333" w14:textId="77777777" w:rsidTr="0025677F">
        <w:trPr>
          <w:trHeight w:val="202"/>
          <w:jc w:val="center"/>
        </w:trPr>
        <w:tc>
          <w:tcPr>
            <w:tcW w:w="1440" w:type="dxa"/>
            <w:tcBorders>
              <w:bottom w:val="single" w:sz="4" w:space="0" w:color="auto"/>
            </w:tcBorders>
            <w:tcMar>
              <w:left w:w="115" w:type="dxa"/>
              <w:right w:w="360" w:type="dxa"/>
            </w:tcMar>
            <w:vAlign w:val="center"/>
          </w:tcPr>
          <w:p w14:paraId="5643D798" w14:textId="77777777" w:rsidR="005A0486" w:rsidRPr="006E3E4E" w:rsidRDefault="005A0486" w:rsidP="00FF7BE9">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50</w:t>
            </w:r>
          </w:p>
        </w:tc>
        <w:tc>
          <w:tcPr>
            <w:tcW w:w="6120" w:type="dxa"/>
            <w:tcBorders>
              <w:bottom w:val="single" w:sz="4" w:space="0" w:color="auto"/>
            </w:tcBorders>
            <w:vAlign w:val="center"/>
          </w:tcPr>
          <w:p w14:paraId="03B2D7C9" w14:textId="0CF79EED"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u w:color="000000"/>
              </w:rPr>
              <w:t>EVA Air</w:t>
            </w:r>
            <w:r w:rsidR="008C4E94" w:rsidRPr="006E3E4E">
              <w:rPr>
                <w:rFonts w:ascii="Arial" w:eastAsiaTheme="minorHAnsi" w:hAnsi="Arial" w:cs="Arial"/>
                <w:color w:val="000000"/>
                <w:sz w:val="18"/>
                <w:szCs w:val="18"/>
                <w:u w:color="000000"/>
              </w:rPr>
              <w:t xml:space="preserve"> Corporation</w:t>
            </w:r>
          </w:p>
        </w:tc>
        <w:tc>
          <w:tcPr>
            <w:tcW w:w="1620" w:type="dxa"/>
            <w:tcBorders>
              <w:bottom w:val="single" w:sz="4" w:space="0" w:color="auto"/>
            </w:tcBorders>
            <w:vAlign w:val="center"/>
          </w:tcPr>
          <w:p w14:paraId="7F0CED44" w14:textId="6731E4CF"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661</w:t>
            </w:r>
            <w:r w:rsidR="004E5924">
              <w:rPr>
                <w:rFonts w:ascii="Arial" w:eastAsiaTheme="minorHAnsi" w:hAnsi="Arial" w:cs="Arial"/>
                <w:color w:val="000000"/>
                <w:sz w:val="18"/>
                <w:szCs w:val="18"/>
              </w:rPr>
              <w:t>.</w:t>
            </w:r>
            <w:r w:rsidRPr="006E3E4E">
              <w:rPr>
                <w:rFonts w:ascii="Arial" w:eastAsiaTheme="minorHAnsi" w:hAnsi="Arial" w:cs="Arial"/>
                <w:color w:val="000000"/>
                <w:sz w:val="18"/>
                <w:szCs w:val="18"/>
              </w:rPr>
              <w:t>81</w:t>
            </w:r>
          </w:p>
        </w:tc>
      </w:tr>
    </w:tbl>
    <w:p w14:paraId="697B99E8" w14:textId="77777777" w:rsidR="005A0486" w:rsidRDefault="005A0486" w:rsidP="0064217E">
      <w:pPr>
        <w:pStyle w:val="ExhibitText"/>
      </w:pPr>
    </w:p>
    <w:p w14:paraId="3DAC0A6B" w14:textId="2D5FD21E" w:rsidR="005A0486" w:rsidRPr="00A662B2" w:rsidRDefault="005A0486" w:rsidP="005A0486">
      <w:pPr>
        <w:pStyle w:val="Footnote"/>
      </w:pPr>
      <w:r w:rsidRPr="00A662B2">
        <w:t xml:space="preserve">Source: “United Ends 2012 as World's Biggest Airline, Emirates Third. Turkish and Lion Air the Biggest Movers,” </w:t>
      </w:r>
      <w:r w:rsidR="005B2F3A">
        <w:t xml:space="preserve">CAPA Centre for Aviation, </w:t>
      </w:r>
      <w:r w:rsidRPr="00A662B2">
        <w:t>December 31, 2012, accessed April 21, 2018, https://centreforaviation.com/insights/analysis/united-ends-2012-as-worlds-biggest-airline-emirates-third-turkish-and-lion-air-the-biggest-movers-93047.</w:t>
      </w:r>
    </w:p>
    <w:p w14:paraId="0E81B2C5" w14:textId="467EED53" w:rsidR="005A0486" w:rsidRDefault="005A0486" w:rsidP="005A0486">
      <w:pPr>
        <w:pStyle w:val="ExhibitHeading"/>
        <w:rPr>
          <w:shd w:val="clear" w:color="auto" w:fill="FFFFFF"/>
        </w:rPr>
      </w:pPr>
      <w:r w:rsidRPr="00A662B2">
        <w:lastRenderedPageBreak/>
        <w:t xml:space="preserve">Exhibit 4: Selected </w:t>
      </w:r>
      <w:r w:rsidR="006E3E4E">
        <w:rPr>
          <w:shd w:val="clear" w:color="auto" w:fill="FFFFFF"/>
        </w:rPr>
        <w:t>Airlines by Fleet Size</w:t>
      </w:r>
    </w:p>
    <w:p w14:paraId="5FE74640" w14:textId="77777777" w:rsidR="006E3E4E" w:rsidRPr="00A662B2" w:rsidRDefault="006E3E4E" w:rsidP="0064217E">
      <w:pPr>
        <w:pStyle w:val="ExhibitText"/>
        <w:keepNext/>
        <w:rPr>
          <w:shd w:val="clear" w:color="auto" w:fill="FFFFFF"/>
        </w:rPr>
      </w:pPr>
    </w:p>
    <w:tbl>
      <w:tblPr>
        <w:tblW w:w="9090" w:type="dxa"/>
        <w:jc w:val="center"/>
        <w:tblBorders>
          <w:top w:val="single" w:sz="4" w:space="0" w:color="auto"/>
          <w:bottom w:val="single" w:sz="4" w:space="0" w:color="auto"/>
        </w:tblBorders>
        <w:tblLayout w:type="fixed"/>
        <w:tblLook w:val="0000" w:firstRow="0" w:lastRow="0" w:firstColumn="0" w:lastColumn="0" w:noHBand="0" w:noVBand="0"/>
      </w:tblPr>
      <w:tblGrid>
        <w:gridCol w:w="3690"/>
        <w:gridCol w:w="2340"/>
        <w:gridCol w:w="3060"/>
      </w:tblGrid>
      <w:tr w:rsidR="005A0486" w:rsidRPr="003D1662" w14:paraId="79B57028" w14:textId="77777777" w:rsidTr="0025677F">
        <w:trPr>
          <w:trHeight w:val="202"/>
          <w:jc w:val="center"/>
        </w:trPr>
        <w:tc>
          <w:tcPr>
            <w:tcW w:w="3690" w:type="dxa"/>
            <w:tcBorders>
              <w:top w:val="single" w:sz="4" w:space="0" w:color="auto"/>
              <w:bottom w:val="single" w:sz="12" w:space="0" w:color="auto"/>
            </w:tcBorders>
            <w:vAlign w:val="center"/>
          </w:tcPr>
          <w:p w14:paraId="20B3DC27" w14:textId="77777777" w:rsidR="005A0486" w:rsidRPr="003D1662" w:rsidRDefault="005A0486" w:rsidP="006E3E4E">
            <w:pPr>
              <w:autoSpaceDE w:val="0"/>
              <w:autoSpaceDN w:val="0"/>
              <w:adjustRightInd w:val="0"/>
              <w:rPr>
                <w:rFonts w:ascii="Arial" w:eastAsiaTheme="minorHAnsi" w:hAnsi="Arial" w:cs="Arial"/>
                <w:b/>
                <w:bCs/>
                <w:color w:val="000000"/>
                <w:sz w:val="18"/>
                <w:szCs w:val="18"/>
              </w:rPr>
            </w:pPr>
            <w:r w:rsidRPr="003D1662">
              <w:rPr>
                <w:rFonts w:ascii="Arial" w:eastAsiaTheme="minorHAnsi" w:hAnsi="Arial" w:cs="Arial"/>
                <w:b/>
                <w:bCs/>
                <w:color w:val="000000"/>
                <w:sz w:val="18"/>
                <w:szCs w:val="18"/>
              </w:rPr>
              <w:t>Airline</w:t>
            </w:r>
          </w:p>
        </w:tc>
        <w:tc>
          <w:tcPr>
            <w:tcW w:w="2340" w:type="dxa"/>
            <w:tcBorders>
              <w:top w:val="single" w:sz="4" w:space="0" w:color="auto"/>
              <w:bottom w:val="single" w:sz="12" w:space="0" w:color="auto"/>
            </w:tcBorders>
            <w:vAlign w:val="center"/>
          </w:tcPr>
          <w:p w14:paraId="2F117A91" w14:textId="77777777" w:rsidR="005A0486" w:rsidRPr="003D1662" w:rsidRDefault="005A0486" w:rsidP="006E3E4E">
            <w:pPr>
              <w:autoSpaceDE w:val="0"/>
              <w:autoSpaceDN w:val="0"/>
              <w:adjustRightInd w:val="0"/>
              <w:jc w:val="center"/>
              <w:rPr>
                <w:rFonts w:ascii="Arial" w:eastAsiaTheme="minorHAnsi" w:hAnsi="Arial" w:cs="Arial"/>
                <w:b/>
                <w:bCs/>
                <w:color w:val="000000"/>
                <w:sz w:val="18"/>
                <w:szCs w:val="18"/>
              </w:rPr>
            </w:pPr>
            <w:r w:rsidRPr="003D1662">
              <w:rPr>
                <w:rFonts w:ascii="Arial" w:eastAsiaTheme="minorHAnsi" w:hAnsi="Arial" w:cs="Arial"/>
                <w:b/>
                <w:bCs/>
                <w:color w:val="000000"/>
                <w:sz w:val="18"/>
                <w:szCs w:val="18"/>
              </w:rPr>
              <w:t>Estimated Fleet Size</w:t>
            </w:r>
          </w:p>
        </w:tc>
        <w:tc>
          <w:tcPr>
            <w:tcW w:w="3060" w:type="dxa"/>
            <w:tcBorders>
              <w:top w:val="single" w:sz="4" w:space="0" w:color="auto"/>
              <w:bottom w:val="single" w:sz="12" w:space="0" w:color="auto"/>
            </w:tcBorders>
            <w:vAlign w:val="center"/>
          </w:tcPr>
          <w:p w14:paraId="4C97E192" w14:textId="77777777" w:rsidR="005A0486" w:rsidRPr="003D1662" w:rsidRDefault="005A0486" w:rsidP="006E3E4E">
            <w:pPr>
              <w:autoSpaceDE w:val="0"/>
              <w:autoSpaceDN w:val="0"/>
              <w:adjustRightInd w:val="0"/>
              <w:jc w:val="center"/>
              <w:rPr>
                <w:rFonts w:ascii="Arial" w:eastAsiaTheme="minorHAnsi" w:hAnsi="Arial" w:cs="Arial"/>
                <w:b/>
                <w:bCs/>
                <w:color w:val="000000"/>
                <w:sz w:val="18"/>
                <w:szCs w:val="18"/>
              </w:rPr>
            </w:pPr>
            <w:r w:rsidRPr="003D1662">
              <w:rPr>
                <w:rFonts w:ascii="Arial" w:eastAsiaTheme="minorHAnsi" w:hAnsi="Arial" w:cs="Arial"/>
                <w:b/>
                <w:bCs/>
                <w:color w:val="000000"/>
                <w:sz w:val="18"/>
                <w:szCs w:val="18"/>
              </w:rPr>
              <w:t>Headquarters</w:t>
            </w:r>
          </w:p>
        </w:tc>
      </w:tr>
      <w:tr w:rsidR="005A0486" w:rsidRPr="006E3E4E" w14:paraId="48E67746" w14:textId="77777777" w:rsidTr="0025677F">
        <w:trPr>
          <w:trHeight w:val="202"/>
          <w:jc w:val="center"/>
        </w:trPr>
        <w:tc>
          <w:tcPr>
            <w:tcW w:w="3690" w:type="dxa"/>
            <w:tcBorders>
              <w:top w:val="single" w:sz="12" w:space="0" w:color="auto"/>
            </w:tcBorders>
            <w:vAlign w:val="center"/>
          </w:tcPr>
          <w:p w14:paraId="409CB1BB" w14:textId="7BBBBF6F"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Air Berlin PLC &amp; Co. </w:t>
            </w:r>
            <w:proofErr w:type="spellStart"/>
            <w:r w:rsidRPr="006E3E4E">
              <w:rPr>
                <w:rFonts w:ascii="Arial" w:hAnsi="Arial" w:cs="Arial"/>
                <w:color w:val="222222"/>
                <w:sz w:val="18"/>
                <w:szCs w:val="18"/>
              </w:rPr>
              <w:t>Luftverkehrs</w:t>
            </w:r>
            <w:proofErr w:type="spellEnd"/>
            <w:r w:rsidRPr="006E3E4E">
              <w:rPr>
                <w:rFonts w:ascii="Arial" w:hAnsi="Arial" w:cs="Arial"/>
                <w:color w:val="222222"/>
                <w:sz w:val="18"/>
                <w:szCs w:val="18"/>
              </w:rPr>
              <w:t xml:space="preserve"> KG</w:t>
            </w:r>
          </w:p>
        </w:tc>
        <w:tc>
          <w:tcPr>
            <w:tcW w:w="2340" w:type="dxa"/>
            <w:tcBorders>
              <w:top w:val="single" w:sz="12" w:space="0" w:color="auto"/>
            </w:tcBorders>
            <w:tcMar>
              <w:left w:w="115" w:type="dxa"/>
              <w:right w:w="720" w:type="dxa"/>
            </w:tcMar>
            <w:vAlign w:val="center"/>
          </w:tcPr>
          <w:p w14:paraId="565B2EDF"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140</w:t>
            </w:r>
          </w:p>
        </w:tc>
        <w:tc>
          <w:tcPr>
            <w:tcW w:w="3060" w:type="dxa"/>
            <w:tcBorders>
              <w:top w:val="single" w:sz="12" w:space="0" w:color="auto"/>
            </w:tcBorders>
            <w:vAlign w:val="center"/>
          </w:tcPr>
          <w:p w14:paraId="0321F5FC"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Berlin, Germany</w:t>
            </w:r>
          </w:p>
        </w:tc>
      </w:tr>
      <w:tr w:rsidR="005A0486" w:rsidRPr="006E3E4E" w14:paraId="6EAF4856" w14:textId="77777777" w:rsidTr="0025677F">
        <w:trPr>
          <w:trHeight w:val="202"/>
          <w:jc w:val="center"/>
        </w:trPr>
        <w:tc>
          <w:tcPr>
            <w:tcW w:w="3690" w:type="dxa"/>
            <w:vAlign w:val="center"/>
          </w:tcPr>
          <w:p w14:paraId="4C7A9126"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Air Canada</w:t>
            </w:r>
          </w:p>
        </w:tc>
        <w:tc>
          <w:tcPr>
            <w:tcW w:w="2340" w:type="dxa"/>
            <w:tcMar>
              <w:left w:w="115" w:type="dxa"/>
              <w:right w:w="720" w:type="dxa"/>
            </w:tcMar>
            <w:vAlign w:val="center"/>
          </w:tcPr>
          <w:p w14:paraId="151F2BAF"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364</w:t>
            </w:r>
          </w:p>
        </w:tc>
        <w:tc>
          <w:tcPr>
            <w:tcW w:w="3060" w:type="dxa"/>
            <w:vAlign w:val="center"/>
          </w:tcPr>
          <w:p w14:paraId="67DB99FC"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Montreal, Canada</w:t>
            </w:r>
          </w:p>
        </w:tc>
      </w:tr>
      <w:tr w:rsidR="005A0486" w:rsidRPr="006E3E4E" w14:paraId="44DF2F87" w14:textId="77777777" w:rsidTr="0025677F">
        <w:trPr>
          <w:trHeight w:val="202"/>
          <w:jc w:val="center"/>
        </w:trPr>
        <w:tc>
          <w:tcPr>
            <w:tcW w:w="3690" w:type="dxa"/>
            <w:vAlign w:val="center"/>
          </w:tcPr>
          <w:p w14:paraId="55770BBE"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Air France</w:t>
            </w:r>
          </w:p>
        </w:tc>
        <w:tc>
          <w:tcPr>
            <w:tcW w:w="2340" w:type="dxa"/>
            <w:tcMar>
              <w:left w:w="115" w:type="dxa"/>
              <w:right w:w="720" w:type="dxa"/>
            </w:tcMar>
            <w:vAlign w:val="center"/>
          </w:tcPr>
          <w:p w14:paraId="530A65A5"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381</w:t>
            </w:r>
          </w:p>
        </w:tc>
        <w:tc>
          <w:tcPr>
            <w:tcW w:w="3060" w:type="dxa"/>
            <w:vAlign w:val="center"/>
          </w:tcPr>
          <w:p w14:paraId="50EA3AD0" w14:textId="33229206"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Tremblay-</w:t>
            </w:r>
            <w:proofErr w:type="spellStart"/>
            <w:r w:rsidRPr="006E3E4E">
              <w:rPr>
                <w:rFonts w:ascii="Arial" w:eastAsiaTheme="minorHAnsi" w:hAnsi="Arial" w:cs="Arial"/>
                <w:color w:val="000000"/>
                <w:sz w:val="18"/>
                <w:szCs w:val="18"/>
              </w:rPr>
              <w:t>en</w:t>
            </w:r>
            <w:proofErr w:type="spellEnd"/>
            <w:r w:rsidRPr="006E3E4E">
              <w:rPr>
                <w:rFonts w:ascii="Arial" w:eastAsiaTheme="minorHAnsi" w:hAnsi="Arial" w:cs="Arial"/>
                <w:color w:val="000000"/>
                <w:sz w:val="18"/>
                <w:szCs w:val="18"/>
              </w:rPr>
              <w:t>-France</w:t>
            </w:r>
            <w:r w:rsidR="00103334" w:rsidRPr="006E3E4E">
              <w:rPr>
                <w:rFonts w:ascii="Arial" w:eastAsiaTheme="minorHAnsi" w:hAnsi="Arial" w:cs="Arial"/>
                <w:color w:val="000000"/>
                <w:sz w:val="18"/>
                <w:szCs w:val="18"/>
              </w:rPr>
              <w:t>, France</w:t>
            </w:r>
          </w:p>
        </w:tc>
      </w:tr>
      <w:tr w:rsidR="005A0486" w:rsidRPr="006E3E4E" w14:paraId="3B8FBF9B" w14:textId="77777777" w:rsidTr="0025677F">
        <w:trPr>
          <w:trHeight w:val="202"/>
          <w:jc w:val="center"/>
        </w:trPr>
        <w:tc>
          <w:tcPr>
            <w:tcW w:w="3690" w:type="dxa"/>
            <w:vAlign w:val="center"/>
          </w:tcPr>
          <w:p w14:paraId="412F3272"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Air Transat</w:t>
            </w:r>
          </w:p>
        </w:tc>
        <w:tc>
          <w:tcPr>
            <w:tcW w:w="2340" w:type="dxa"/>
            <w:tcMar>
              <w:left w:w="115" w:type="dxa"/>
              <w:right w:w="720" w:type="dxa"/>
            </w:tcMar>
            <w:vAlign w:val="center"/>
          </w:tcPr>
          <w:p w14:paraId="4AAF288A"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32</w:t>
            </w:r>
          </w:p>
        </w:tc>
        <w:tc>
          <w:tcPr>
            <w:tcW w:w="3060" w:type="dxa"/>
            <w:vAlign w:val="center"/>
          </w:tcPr>
          <w:p w14:paraId="3CB309E7"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Montreal, Canada</w:t>
            </w:r>
          </w:p>
        </w:tc>
      </w:tr>
      <w:tr w:rsidR="005A0486" w:rsidRPr="006E3E4E" w14:paraId="3ABF6F1A" w14:textId="77777777" w:rsidTr="0025677F">
        <w:trPr>
          <w:trHeight w:val="202"/>
          <w:jc w:val="center"/>
        </w:trPr>
        <w:tc>
          <w:tcPr>
            <w:tcW w:w="3690" w:type="dxa"/>
            <w:vAlign w:val="center"/>
          </w:tcPr>
          <w:p w14:paraId="14B66B3D" w14:textId="6CABFBEF" w:rsidR="005A0486" w:rsidRPr="006E3E4E" w:rsidRDefault="005B2F3A" w:rsidP="006E3E4E">
            <w:pPr>
              <w:autoSpaceDE w:val="0"/>
              <w:autoSpaceDN w:val="0"/>
              <w:adjustRightInd w:val="0"/>
              <w:rPr>
                <w:rFonts w:ascii="Arial" w:eastAsiaTheme="minorHAnsi" w:hAnsi="Arial" w:cs="Arial"/>
                <w:bCs/>
                <w:color w:val="000000"/>
                <w:sz w:val="18"/>
                <w:szCs w:val="18"/>
              </w:rPr>
            </w:pPr>
            <w:r w:rsidRPr="006E3E4E">
              <w:rPr>
                <w:rFonts w:ascii="Arial" w:hAnsi="Arial" w:cs="Arial"/>
                <w:color w:val="222222"/>
                <w:sz w:val="18"/>
                <w:szCs w:val="18"/>
              </w:rPr>
              <w:t>American Airlines, Inc.</w:t>
            </w:r>
          </w:p>
        </w:tc>
        <w:tc>
          <w:tcPr>
            <w:tcW w:w="2340" w:type="dxa"/>
            <w:tcMar>
              <w:left w:w="115" w:type="dxa"/>
              <w:right w:w="720" w:type="dxa"/>
            </w:tcMar>
            <w:vAlign w:val="center"/>
          </w:tcPr>
          <w:p w14:paraId="353CB30A" w14:textId="77777777" w:rsidR="005A0486" w:rsidRPr="006E3E4E" w:rsidRDefault="005A0486" w:rsidP="00C55AC1">
            <w:pPr>
              <w:autoSpaceDE w:val="0"/>
              <w:autoSpaceDN w:val="0"/>
              <w:adjustRightInd w:val="0"/>
              <w:jc w:val="right"/>
              <w:rPr>
                <w:rFonts w:ascii="Arial" w:eastAsiaTheme="minorHAnsi" w:hAnsi="Arial" w:cs="Arial"/>
                <w:bCs/>
                <w:color w:val="000000"/>
                <w:sz w:val="18"/>
                <w:szCs w:val="18"/>
              </w:rPr>
            </w:pPr>
            <w:r w:rsidRPr="006E3E4E">
              <w:rPr>
                <w:rFonts w:ascii="Arial" w:eastAsiaTheme="minorHAnsi" w:hAnsi="Arial" w:cs="Arial"/>
                <w:bCs/>
                <w:color w:val="000000"/>
                <w:sz w:val="18"/>
                <w:szCs w:val="18"/>
              </w:rPr>
              <w:t>873</w:t>
            </w:r>
          </w:p>
        </w:tc>
        <w:tc>
          <w:tcPr>
            <w:tcW w:w="3060" w:type="dxa"/>
            <w:vAlign w:val="center"/>
          </w:tcPr>
          <w:p w14:paraId="74AD6317" w14:textId="1CECEE59" w:rsidR="005A0486" w:rsidRPr="006E3E4E" w:rsidRDefault="005A0486" w:rsidP="00C55AC1">
            <w:pPr>
              <w:autoSpaceDE w:val="0"/>
              <w:autoSpaceDN w:val="0"/>
              <w:adjustRightInd w:val="0"/>
              <w:rPr>
                <w:rFonts w:ascii="Arial" w:eastAsiaTheme="minorHAnsi" w:hAnsi="Arial" w:cs="Arial"/>
                <w:bCs/>
                <w:color w:val="000000"/>
                <w:sz w:val="18"/>
                <w:szCs w:val="18"/>
              </w:rPr>
            </w:pPr>
            <w:r w:rsidRPr="006E3E4E">
              <w:rPr>
                <w:rFonts w:ascii="Arial" w:eastAsiaTheme="minorHAnsi" w:hAnsi="Arial" w:cs="Arial"/>
                <w:bCs/>
                <w:color w:val="000000"/>
                <w:sz w:val="18"/>
                <w:szCs w:val="18"/>
              </w:rPr>
              <w:t xml:space="preserve">Fort-Worth, </w:t>
            </w:r>
            <w:r w:rsidR="00103334" w:rsidRPr="006E3E4E">
              <w:rPr>
                <w:rFonts w:ascii="Arial" w:eastAsiaTheme="minorHAnsi" w:hAnsi="Arial" w:cs="Arial"/>
                <w:bCs/>
                <w:color w:val="000000"/>
                <w:sz w:val="18"/>
                <w:szCs w:val="18"/>
              </w:rPr>
              <w:t>Texas, Unites States</w:t>
            </w:r>
          </w:p>
        </w:tc>
      </w:tr>
      <w:tr w:rsidR="005A0486" w:rsidRPr="006E3E4E" w14:paraId="693C96F3" w14:textId="77777777" w:rsidTr="0025677F">
        <w:trPr>
          <w:trHeight w:val="202"/>
          <w:jc w:val="center"/>
        </w:trPr>
        <w:tc>
          <w:tcPr>
            <w:tcW w:w="3690" w:type="dxa"/>
            <w:vAlign w:val="center"/>
          </w:tcPr>
          <w:p w14:paraId="5D161B20" w14:textId="6C9EB7A6"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Austrian Airlines</w:t>
            </w:r>
            <w:r w:rsidR="005B2F3A" w:rsidRPr="006E3E4E">
              <w:rPr>
                <w:rFonts w:ascii="Arial" w:eastAsiaTheme="minorHAnsi" w:hAnsi="Arial" w:cs="Arial"/>
                <w:color w:val="000000"/>
                <w:sz w:val="18"/>
                <w:szCs w:val="18"/>
              </w:rPr>
              <w:t xml:space="preserve"> AG</w:t>
            </w:r>
          </w:p>
        </w:tc>
        <w:tc>
          <w:tcPr>
            <w:tcW w:w="2340" w:type="dxa"/>
            <w:tcMar>
              <w:left w:w="115" w:type="dxa"/>
              <w:right w:w="720" w:type="dxa"/>
            </w:tcMar>
            <w:vAlign w:val="center"/>
          </w:tcPr>
          <w:p w14:paraId="341B7CEF"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77</w:t>
            </w:r>
          </w:p>
        </w:tc>
        <w:tc>
          <w:tcPr>
            <w:tcW w:w="3060" w:type="dxa"/>
            <w:vAlign w:val="center"/>
          </w:tcPr>
          <w:p w14:paraId="1D949C4A" w14:textId="77777777" w:rsidR="005A0486" w:rsidRPr="006E3E4E" w:rsidRDefault="005A0486" w:rsidP="00C55AC1">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rPr>
              <w:t>Schwechat</w:t>
            </w:r>
            <w:proofErr w:type="spellEnd"/>
            <w:r w:rsidRPr="006E3E4E">
              <w:rPr>
                <w:rFonts w:ascii="Arial" w:eastAsiaTheme="minorHAnsi" w:hAnsi="Arial" w:cs="Arial"/>
                <w:color w:val="000000"/>
                <w:sz w:val="18"/>
                <w:szCs w:val="18"/>
              </w:rPr>
              <w:t>, Austria</w:t>
            </w:r>
          </w:p>
        </w:tc>
      </w:tr>
      <w:tr w:rsidR="005A0486" w:rsidRPr="006E3E4E" w14:paraId="22C323C6" w14:textId="77777777" w:rsidTr="0025677F">
        <w:trPr>
          <w:trHeight w:val="202"/>
          <w:jc w:val="center"/>
        </w:trPr>
        <w:tc>
          <w:tcPr>
            <w:tcW w:w="3690" w:type="dxa"/>
            <w:vAlign w:val="center"/>
          </w:tcPr>
          <w:p w14:paraId="2D5D8F93" w14:textId="48807CCF"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Azul </w:t>
            </w:r>
            <w:proofErr w:type="spellStart"/>
            <w:r w:rsidRPr="006E3E4E">
              <w:rPr>
                <w:rFonts w:ascii="Arial" w:hAnsi="Arial" w:cs="Arial"/>
                <w:color w:val="222222"/>
                <w:sz w:val="18"/>
                <w:szCs w:val="18"/>
              </w:rPr>
              <w:t>Linhas</w:t>
            </w:r>
            <w:proofErr w:type="spellEnd"/>
            <w:r w:rsidRPr="006E3E4E">
              <w:rPr>
                <w:rFonts w:ascii="Arial" w:hAnsi="Arial" w:cs="Arial"/>
                <w:color w:val="222222"/>
                <w:sz w:val="18"/>
                <w:szCs w:val="18"/>
              </w:rPr>
              <w:t xml:space="preserve"> </w:t>
            </w:r>
            <w:proofErr w:type="spellStart"/>
            <w:r w:rsidRPr="006E3E4E">
              <w:rPr>
                <w:rFonts w:ascii="Arial" w:hAnsi="Arial" w:cs="Arial"/>
                <w:color w:val="222222"/>
                <w:sz w:val="18"/>
                <w:szCs w:val="18"/>
              </w:rPr>
              <w:t>Aéreas</w:t>
            </w:r>
            <w:proofErr w:type="spellEnd"/>
            <w:r w:rsidRPr="006E3E4E">
              <w:rPr>
                <w:rFonts w:ascii="Arial" w:hAnsi="Arial" w:cs="Arial"/>
                <w:color w:val="222222"/>
                <w:sz w:val="18"/>
                <w:szCs w:val="18"/>
              </w:rPr>
              <w:t xml:space="preserve"> </w:t>
            </w:r>
            <w:proofErr w:type="spellStart"/>
            <w:r w:rsidRPr="006E3E4E">
              <w:rPr>
                <w:rFonts w:ascii="Arial" w:hAnsi="Arial" w:cs="Arial"/>
                <w:color w:val="222222"/>
                <w:sz w:val="18"/>
                <w:szCs w:val="18"/>
              </w:rPr>
              <w:t>Brasileiras</w:t>
            </w:r>
            <w:proofErr w:type="spellEnd"/>
            <w:r w:rsidRPr="006E3E4E">
              <w:rPr>
                <w:rFonts w:ascii="Arial" w:hAnsi="Arial" w:cs="Arial"/>
                <w:color w:val="222222"/>
                <w:sz w:val="18"/>
                <w:szCs w:val="18"/>
              </w:rPr>
              <w:t xml:space="preserve"> S/A</w:t>
            </w:r>
          </w:p>
        </w:tc>
        <w:tc>
          <w:tcPr>
            <w:tcW w:w="2340" w:type="dxa"/>
            <w:tcMar>
              <w:left w:w="115" w:type="dxa"/>
              <w:right w:w="720" w:type="dxa"/>
            </w:tcMar>
            <w:vAlign w:val="center"/>
          </w:tcPr>
          <w:p w14:paraId="7959D417" w14:textId="0159266B"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65</w:t>
            </w:r>
          </w:p>
        </w:tc>
        <w:tc>
          <w:tcPr>
            <w:tcW w:w="3060" w:type="dxa"/>
            <w:vAlign w:val="center"/>
          </w:tcPr>
          <w:p w14:paraId="062A6075" w14:textId="5423876C" w:rsidR="005A0486" w:rsidRPr="006E3E4E" w:rsidRDefault="005A0486" w:rsidP="00C55AC1">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rPr>
              <w:t>Barueri</w:t>
            </w:r>
            <w:proofErr w:type="spellEnd"/>
            <w:r w:rsidRPr="006E3E4E">
              <w:rPr>
                <w:rFonts w:ascii="Arial" w:eastAsiaTheme="minorHAnsi" w:hAnsi="Arial" w:cs="Arial"/>
                <w:color w:val="000000"/>
                <w:sz w:val="18"/>
                <w:szCs w:val="18"/>
              </w:rPr>
              <w:t>, Brazil</w:t>
            </w:r>
          </w:p>
        </w:tc>
      </w:tr>
      <w:tr w:rsidR="005A0486" w:rsidRPr="006E3E4E" w14:paraId="50C54E57" w14:textId="77777777" w:rsidTr="0025677F">
        <w:trPr>
          <w:trHeight w:val="202"/>
          <w:jc w:val="center"/>
        </w:trPr>
        <w:tc>
          <w:tcPr>
            <w:tcW w:w="3690" w:type="dxa"/>
            <w:vAlign w:val="center"/>
          </w:tcPr>
          <w:p w14:paraId="058CC87B" w14:textId="0440FF0C"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China Eastern Airlines Corporation Limited</w:t>
            </w:r>
          </w:p>
        </w:tc>
        <w:tc>
          <w:tcPr>
            <w:tcW w:w="2340" w:type="dxa"/>
            <w:tcMar>
              <w:left w:w="115" w:type="dxa"/>
              <w:right w:w="720" w:type="dxa"/>
            </w:tcMar>
            <w:vAlign w:val="center"/>
          </w:tcPr>
          <w:p w14:paraId="04F3DA6C"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349</w:t>
            </w:r>
          </w:p>
        </w:tc>
        <w:tc>
          <w:tcPr>
            <w:tcW w:w="3060" w:type="dxa"/>
            <w:vAlign w:val="center"/>
          </w:tcPr>
          <w:p w14:paraId="1A0F1C81"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Shanghai, China</w:t>
            </w:r>
          </w:p>
        </w:tc>
      </w:tr>
      <w:tr w:rsidR="005A0486" w:rsidRPr="006E3E4E" w14:paraId="43C6F7C4" w14:textId="77777777" w:rsidTr="0025677F">
        <w:trPr>
          <w:trHeight w:val="202"/>
          <w:jc w:val="center"/>
        </w:trPr>
        <w:tc>
          <w:tcPr>
            <w:tcW w:w="3690" w:type="dxa"/>
            <w:vAlign w:val="center"/>
          </w:tcPr>
          <w:p w14:paraId="3C5B3267" w14:textId="4C852DC6"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China Southern Airlines Company Limited</w:t>
            </w:r>
          </w:p>
        </w:tc>
        <w:tc>
          <w:tcPr>
            <w:tcW w:w="2340" w:type="dxa"/>
            <w:tcMar>
              <w:left w:w="115" w:type="dxa"/>
              <w:right w:w="720" w:type="dxa"/>
            </w:tcMar>
            <w:vAlign w:val="center"/>
          </w:tcPr>
          <w:p w14:paraId="11A9683F" w14:textId="77777777" w:rsidR="005A0486" w:rsidRPr="006E3E4E" w:rsidRDefault="005A0486" w:rsidP="00C55AC1">
            <w:pPr>
              <w:autoSpaceDE w:val="0"/>
              <w:autoSpaceDN w:val="0"/>
              <w:adjustRightInd w:val="0"/>
              <w:jc w:val="right"/>
              <w:rPr>
                <w:rFonts w:ascii="Arial" w:eastAsiaTheme="minorHAnsi" w:hAnsi="Arial" w:cs="Arial"/>
                <w:sz w:val="18"/>
                <w:szCs w:val="18"/>
              </w:rPr>
            </w:pPr>
            <w:r w:rsidRPr="006E3E4E">
              <w:rPr>
                <w:rFonts w:ascii="Arial" w:eastAsiaTheme="minorHAnsi" w:hAnsi="Arial" w:cs="Arial"/>
                <w:sz w:val="18"/>
                <w:szCs w:val="18"/>
              </w:rPr>
              <w:t>423</w:t>
            </w:r>
          </w:p>
        </w:tc>
        <w:tc>
          <w:tcPr>
            <w:tcW w:w="3060" w:type="dxa"/>
            <w:vAlign w:val="center"/>
          </w:tcPr>
          <w:p w14:paraId="2B10EFA9" w14:textId="77777777" w:rsidR="005A0486" w:rsidRPr="006E3E4E" w:rsidRDefault="005A0486" w:rsidP="00C55AC1">
            <w:pPr>
              <w:autoSpaceDE w:val="0"/>
              <w:autoSpaceDN w:val="0"/>
              <w:adjustRightInd w:val="0"/>
              <w:rPr>
                <w:rFonts w:ascii="Arial" w:eastAsiaTheme="minorHAnsi" w:hAnsi="Arial" w:cs="Arial"/>
                <w:sz w:val="18"/>
                <w:szCs w:val="18"/>
              </w:rPr>
            </w:pPr>
            <w:r w:rsidRPr="006E3E4E">
              <w:rPr>
                <w:rFonts w:ascii="Arial" w:eastAsiaTheme="minorHAnsi" w:hAnsi="Arial" w:cs="Arial"/>
                <w:sz w:val="18"/>
                <w:szCs w:val="18"/>
              </w:rPr>
              <w:t>Guangzhou, China</w:t>
            </w:r>
          </w:p>
        </w:tc>
      </w:tr>
      <w:tr w:rsidR="005A0486" w:rsidRPr="006E3E4E" w14:paraId="5F6492FC" w14:textId="77777777" w:rsidTr="0025677F">
        <w:trPr>
          <w:trHeight w:val="202"/>
          <w:jc w:val="center"/>
        </w:trPr>
        <w:tc>
          <w:tcPr>
            <w:tcW w:w="3690" w:type="dxa"/>
            <w:vAlign w:val="center"/>
          </w:tcPr>
          <w:p w14:paraId="431BFE15" w14:textId="2C39EA89"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Delta Air Lines, Inc.</w:t>
            </w:r>
          </w:p>
        </w:tc>
        <w:tc>
          <w:tcPr>
            <w:tcW w:w="2340" w:type="dxa"/>
            <w:tcMar>
              <w:left w:w="115" w:type="dxa"/>
              <w:right w:w="720" w:type="dxa"/>
            </w:tcMar>
            <w:vAlign w:val="center"/>
          </w:tcPr>
          <w:p w14:paraId="23EF4A57" w14:textId="46223858"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w:t>
            </w:r>
            <w:r w:rsidR="00C55AC1">
              <w:rPr>
                <w:rFonts w:ascii="Arial" w:eastAsiaTheme="minorHAnsi" w:hAnsi="Arial" w:cs="Arial"/>
                <w:color w:val="000000"/>
                <w:sz w:val="18"/>
                <w:szCs w:val="18"/>
              </w:rPr>
              <w:t>,</w:t>
            </w:r>
            <w:r w:rsidRPr="006E3E4E">
              <w:rPr>
                <w:rFonts w:ascii="Arial" w:eastAsiaTheme="minorHAnsi" w:hAnsi="Arial" w:cs="Arial"/>
                <w:color w:val="000000"/>
                <w:sz w:val="18"/>
                <w:szCs w:val="18"/>
              </w:rPr>
              <w:t>280</w:t>
            </w:r>
          </w:p>
        </w:tc>
        <w:tc>
          <w:tcPr>
            <w:tcW w:w="3060" w:type="dxa"/>
            <w:vAlign w:val="center"/>
          </w:tcPr>
          <w:p w14:paraId="2E03B5DC"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Atlanta, Georgia</w:t>
            </w:r>
          </w:p>
        </w:tc>
      </w:tr>
      <w:tr w:rsidR="005A0486" w:rsidRPr="006E3E4E" w14:paraId="0E3F1B02" w14:textId="77777777" w:rsidTr="0025677F">
        <w:trPr>
          <w:trHeight w:val="202"/>
          <w:jc w:val="center"/>
        </w:trPr>
        <w:tc>
          <w:tcPr>
            <w:tcW w:w="3690" w:type="dxa"/>
            <w:vAlign w:val="center"/>
          </w:tcPr>
          <w:p w14:paraId="3067B420" w14:textId="44E748EF" w:rsidR="005A0486" w:rsidRPr="006E3E4E" w:rsidRDefault="005B2F3A"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EasyJet Airline Company Limited</w:t>
            </w:r>
          </w:p>
        </w:tc>
        <w:tc>
          <w:tcPr>
            <w:tcW w:w="2340" w:type="dxa"/>
            <w:tcMar>
              <w:left w:w="115" w:type="dxa"/>
              <w:right w:w="720" w:type="dxa"/>
            </w:tcMar>
            <w:vAlign w:val="center"/>
          </w:tcPr>
          <w:p w14:paraId="1575FCA7"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217</w:t>
            </w:r>
          </w:p>
        </w:tc>
        <w:tc>
          <w:tcPr>
            <w:tcW w:w="3060" w:type="dxa"/>
            <w:vAlign w:val="center"/>
          </w:tcPr>
          <w:p w14:paraId="6A6A6204" w14:textId="77E5D761"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Luton, U</w:t>
            </w:r>
            <w:r w:rsidR="00103334" w:rsidRPr="006E3E4E">
              <w:rPr>
                <w:rFonts w:ascii="Arial" w:eastAsiaTheme="minorHAnsi" w:hAnsi="Arial" w:cs="Arial"/>
                <w:color w:val="000000"/>
                <w:sz w:val="18"/>
                <w:szCs w:val="18"/>
              </w:rPr>
              <w:t>nited Kingdom</w:t>
            </w:r>
          </w:p>
        </w:tc>
      </w:tr>
      <w:tr w:rsidR="005A0486" w:rsidRPr="006E3E4E" w14:paraId="34014A75" w14:textId="77777777" w:rsidTr="0025677F">
        <w:trPr>
          <w:trHeight w:val="202"/>
          <w:jc w:val="center"/>
        </w:trPr>
        <w:tc>
          <w:tcPr>
            <w:tcW w:w="3690" w:type="dxa"/>
            <w:vAlign w:val="center"/>
          </w:tcPr>
          <w:p w14:paraId="25FBD041"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Etihad Airways</w:t>
            </w:r>
          </w:p>
        </w:tc>
        <w:tc>
          <w:tcPr>
            <w:tcW w:w="2340" w:type="dxa"/>
            <w:tcMar>
              <w:left w:w="115" w:type="dxa"/>
              <w:right w:w="720" w:type="dxa"/>
            </w:tcMar>
            <w:vAlign w:val="center"/>
          </w:tcPr>
          <w:p w14:paraId="48710DC0"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89</w:t>
            </w:r>
          </w:p>
        </w:tc>
        <w:tc>
          <w:tcPr>
            <w:tcW w:w="3060" w:type="dxa"/>
            <w:vAlign w:val="center"/>
          </w:tcPr>
          <w:p w14:paraId="34296B2C" w14:textId="4784AD48"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Abu Dhabi, U</w:t>
            </w:r>
            <w:r w:rsidR="00103334" w:rsidRPr="006E3E4E">
              <w:rPr>
                <w:rFonts w:ascii="Arial" w:eastAsiaTheme="minorHAnsi" w:hAnsi="Arial" w:cs="Arial"/>
                <w:color w:val="000000"/>
                <w:sz w:val="18"/>
                <w:szCs w:val="18"/>
              </w:rPr>
              <w:t>nited Arab Emirates</w:t>
            </w:r>
          </w:p>
        </w:tc>
      </w:tr>
      <w:tr w:rsidR="005A0486" w:rsidRPr="006E3E4E" w14:paraId="3564ADAC" w14:textId="77777777" w:rsidTr="0025677F">
        <w:trPr>
          <w:trHeight w:val="202"/>
          <w:jc w:val="center"/>
        </w:trPr>
        <w:tc>
          <w:tcPr>
            <w:tcW w:w="3690" w:type="dxa"/>
            <w:vAlign w:val="center"/>
          </w:tcPr>
          <w:p w14:paraId="30922B51"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Garuda Indonesia</w:t>
            </w:r>
          </w:p>
        </w:tc>
        <w:tc>
          <w:tcPr>
            <w:tcW w:w="2340" w:type="dxa"/>
            <w:tcMar>
              <w:left w:w="115" w:type="dxa"/>
              <w:right w:w="720" w:type="dxa"/>
            </w:tcMar>
            <w:vAlign w:val="center"/>
          </w:tcPr>
          <w:p w14:paraId="7294A0D5"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110</w:t>
            </w:r>
          </w:p>
        </w:tc>
        <w:tc>
          <w:tcPr>
            <w:tcW w:w="3060" w:type="dxa"/>
            <w:vAlign w:val="center"/>
          </w:tcPr>
          <w:p w14:paraId="4AEB067C"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West Jakarta, Indonesia</w:t>
            </w:r>
          </w:p>
        </w:tc>
      </w:tr>
      <w:tr w:rsidR="005A0486" w:rsidRPr="006E3E4E" w14:paraId="55370B8C" w14:textId="77777777" w:rsidTr="0025677F">
        <w:trPr>
          <w:trHeight w:val="202"/>
          <w:jc w:val="center"/>
        </w:trPr>
        <w:tc>
          <w:tcPr>
            <w:tcW w:w="3690" w:type="dxa"/>
            <w:vAlign w:val="center"/>
          </w:tcPr>
          <w:p w14:paraId="7267652A" w14:textId="55773A70" w:rsidR="005A0486" w:rsidRPr="006E3E4E" w:rsidRDefault="005A0486" w:rsidP="006E3E4E">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rPr>
              <w:t>Icelandair</w:t>
            </w:r>
            <w:proofErr w:type="spellEnd"/>
            <w:r w:rsidRPr="006E3E4E">
              <w:rPr>
                <w:rFonts w:ascii="Arial" w:eastAsiaTheme="minorHAnsi" w:hAnsi="Arial" w:cs="Arial"/>
                <w:color w:val="000000"/>
                <w:sz w:val="18"/>
                <w:szCs w:val="18"/>
              </w:rPr>
              <w:t xml:space="preserve"> Group</w:t>
            </w:r>
            <w:r w:rsidR="00B65D6E" w:rsidRPr="006E3E4E">
              <w:rPr>
                <w:rFonts w:ascii="Arial" w:eastAsiaTheme="minorHAnsi" w:hAnsi="Arial" w:cs="Arial"/>
                <w:color w:val="000000"/>
                <w:sz w:val="18"/>
                <w:szCs w:val="18"/>
              </w:rPr>
              <w:t xml:space="preserve"> </w:t>
            </w:r>
            <w:proofErr w:type="spellStart"/>
            <w:r w:rsidR="00B65D6E" w:rsidRPr="006E3E4E">
              <w:rPr>
                <w:rFonts w:ascii="Arial" w:eastAsiaTheme="minorHAnsi" w:hAnsi="Arial" w:cs="Arial"/>
                <w:color w:val="000000"/>
                <w:sz w:val="18"/>
                <w:szCs w:val="18"/>
              </w:rPr>
              <w:t>hf</w:t>
            </w:r>
            <w:proofErr w:type="spellEnd"/>
          </w:p>
        </w:tc>
        <w:tc>
          <w:tcPr>
            <w:tcW w:w="2340" w:type="dxa"/>
            <w:tcMar>
              <w:left w:w="115" w:type="dxa"/>
              <w:right w:w="720" w:type="dxa"/>
            </w:tcMar>
            <w:vAlign w:val="center"/>
          </w:tcPr>
          <w:p w14:paraId="03A0F99E"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37</w:t>
            </w:r>
          </w:p>
        </w:tc>
        <w:tc>
          <w:tcPr>
            <w:tcW w:w="3060" w:type="dxa"/>
            <w:vAlign w:val="center"/>
          </w:tcPr>
          <w:p w14:paraId="5194D187"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Iceland</w:t>
            </w:r>
          </w:p>
        </w:tc>
      </w:tr>
      <w:tr w:rsidR="005A0486" w:rsidRPr="006E3E4E" w14:paraId="084B4CCF" w14:textId="77777777" w:rsidTr="0025677F">
        <w:trPr>
          <w:trHeight w:val="202"/>
          <w:jc w:val="center"/>
        </w:trPr>
        <w:tc>
          <w:tcPr>
            <w:tcW w:w="3690" w:type="dxa"/>
            <w:vAlign w:val="center"/>
          </w:tcPr>
          <w:p w14:paraId="3BC2DC17" w14:textId="77777777" w:rsidR="005A0486" w:rsidRPr="006E3E4E" w:rsidRDefault="005A0486" w:rsidP="006E3E4E">
            <w:pPr>
              <w:autoSpaceDE w:val="0"/>
              <w:autoSpaceDN w:val="0"/>
              <w:adjustRightInd w:val="0"/>
              <w:rPr>
                <w:rFonts w:ascii="Arial" w:eastAsiaTheme="minorHAnsi" w:hAnsi="Arial" w:cs="Arial"/>
                <w:color w:val="000000"/>
                <w:sz w:val="18"/>
                <w:szCs w:val="18"/>
              </w:rPr>
            </w:pPr>
            <w:proofErr w:type="spellStart"/>
            <w:r w:rsidRPr="006E3E4E">
              <w:rPr>
                <w:rFonts w:ascii="Arial" w:eastAsiaTheme="minorHAnsi" w:hAnsi="Arial" w:cs="Arial"/>
                <w:color w:val="000000"/>
                <w:sz w:val="18"/>
                <w:szCs w:val="18"/>
              </w:rPr>
              <w:t>IndiGo</w:t>
            </w:r>
            <w:proofErr w:type="spellEnd"/>
          </w:p>
        </w:tc>
        <w:tc>
          <w:tcPr>
            <w:tcW w:w="2340" w:type="dxa"/>
            <w:tcMar>
              <w:left w:w="115" w:type="dxa"/>
              <w:right w:w="720" w:type="dxa"/>
            </w:tcMar>
            <w:vAlign w:val="center"/>
          </w:tcPr>
          <w:p w14:paraId="3D823D37"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50</w:t>
            </w:r>
          </w:p>
        </w:tc>
        <w:tc>
          <w:tcPr>
            <w:tcW w:w="3060" w:type="dxa"/>
            <w:vAlign w:val="center"/>
          </w:tcPr>
          <w:p w14:paraId="48733F2C"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Gurgaon, India</w:t>
            </w:r>
          </w:p>
        </w:tc>
      </w:tr>
      <w:tr w:rsidR="005A0486" w:rsidRPr="006E3E4E" w14:paraId="3B9B6F7A" w14:textId="77777777" w:rsidTr="0025677F">
        <w:trPr>
          <w:trHeight w:val="202"/>
          <w:jc w:val="center"/>
        </w:trPr>
        <w:tc>
          <w:tcPr>
            <w:tcW w:w="3690" w:type="dxa"/>
            <w:vAlign w:val="center"/>
          </w:tcPr>
          <w:p w14:paraId="4BCE6229" w14:textId="47F88589" w:rsidR="005A0486" w:rsidRPr="006E3E4E" w:rsidRDefault="00B65D6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PT Indonesia AirAsia</w:t>
            </w:r>
          </w:p>
        </w:tc>
        <w:tc>
          <w:tcPr>
            <w:tcW w:w="2340" w:type="dxa"/>
            <w:tcMar>
              <w:left w:w="115" w:type="dxa"/>
              <w:right w:w="720" w:type="dxa"/>
            </w:tcMar>
            <w:vAlign w:val="center"/>
          </w:tcPr>
          <w:p w14:paraId="4798AB3E"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29</w:t>
            </w:r>
          </w:p>
        </w:tc>
        <w:tc>
          <w:tcPr>
            <w:tcW w:w="3060" w:type="dxa"/>
            <w:vAlign w:val="center"/>
          </w:tcPr>
          <w:p w14:paraId="46EE3606" w14:textId="2427C591" w:rsidR="005A0486" w:rsidRPr="006E3E4E" w:rsidRDefault="00103334"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 xml:space="preserve">West </w:t>
            </w:r>
            <w:r w:rsidR="005A0486" w:rsidRPr="006E3E4E">
              <w:rPr>
                <w:rFonts w:ascii="Arial" w:eastAsiaTheme="minorHAnsi" w:hAnsi="Arial" w:cs="Arial"/>
                <w:color w:val="000000"/>
                <w:sz w:val="18"/>
                <w:szCs w:val="18"/>
              </w:rPr>
              <w:t>Jakarta, Indonesia</w:t>
            </w:r>
          </w:p>
        </w:tc>
      </w:tr>
      <w:tr w:rsidR="005A0486" w:rsidRPr="006E3E4E" w14:paraId="108418D6" w14:textId="77777777" w:rsidTr="0025677F">
        <w:trPr>
          <w:trHeight w:val="202"/>
          <w:jc w:val="center"/>
        </w:trPr>
        <w:tc>
          <w:tcPr>
            <w:tcW w:w="3690" w:type="dxa"/>
            <w:vAlign w:val="center"/>
          </w:tcPr>
          <w:p w14:paraId="5510795B" w14:textId="24D31BA0" w:rsidR="005A0486" w:rsidRPr="006E3E4E" w:rsidRDefault="00B65D6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PT Lion </w:t>
            </w:r>
            <w:proofErr w:type="spellStart"/>
            <w:r w:rsidRPr="006E3E4E">
              <w:rPr>
                <w:rFonts w:ascii="Arial" w:hAnsi="Arial" w:cs="Arial"/>
                <w:color w:val="222222"/>
                <w:sz w:val="18"/>
                <w:szCs w:val="18"/>
              </w:rPr>
              <w:t>Mentari</w:t>
            </w:r>
            <w:proofErr w:type="spellEnd"/>
            <w:r w:rsidRPr="006E3E4E">
              <w:rPr>
                <w:rFonts w:ascii="Arial" w:hAnsi="Arial" w:cs="Arial"/>
                <w:color w:val="222222"/>
                <w:sz w:val="18"/>
                <w:szCs w:val="18"/>
              </w:rPr>
              <w:t xml:space="preserve"> Airlines</w:t>
            </w:r>
          </w:p>
        </w:tc>
        <w:tc>
          <w:tcPr>
            <w:tcW w:w="2340" w:type="dxa"/>
            <w:tcMar>
              <w:left w:w="115" w:type="dxa"/>
              <w:right w:w="720" w:type="dxa"/>
            </w:tcMar>
            <w:vAlign w:val="center"/>
          </w:tcPr>
          <w:p w14:paraId="740C7052"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100</w:t>
            </w:r>
          </w:p>
        </w:tc>
        <w:tc>
          <w:tcPr>
            <w:tcW w:w="3060" w:type="dxa"/>
            <w:vAlign w:val="center"/>
          </w:tcPr>
          <w:p w14:paraId="1C3DF8F2"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Central Jakarta, Indonesia</w:t>
            </w:r>
          </w:p>
        </w:tc>
      </w:tr>
      <w:tr w:rsidR="005A0486" w:rsidRPr="006E3E4E" w14:paraId="00001BD7" w14:textId="77777777" w:rsidTr="0025677F">
        <w:trPr>
          <w:trHeight w:val="202"/>
          <w:jc w:val="center"/>
        </w:trPr>
        <w:tc>
          <w:tcPr>
            <w:tcW w:w="3690" w:type="dxa"/>
            <w:vAlign w:val="center"/>
          </w:tcPr>
          <w:p w14:paraId="36B970B5" w14:textId="51D79BB2" w:rsidR="005A0486" w:rsidRPr="006E3E4E" w:rsidRDefault="00B65D6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Deutsche Lufthansa AG</w:t>
            </w:r>
          </w:p>
        </w:tc>
        <w:tc>
          <w:tcPr>
            <w:tcW w:w="2340" w:type="dxa"/>
            <w:tcMar>
              <w:left w:w="115" w:type="dxa"/>
              <w:right w:w="720" w:type="dxa"/>
            </w:tcMar>
            <w:vAlign w:val="center"/>
          </w:tcPr>
          <w:p w14:paraId="0325949E"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401</w:t>
            </w:r>
          </w:p>
        </w:tc>
        <w:tc>
          <w:tcPr>
            <w:tcW w:w="3060" w:type="dxa"/>
            <w:vAlign w:val="center"/>
          </w:tcPr>
          <w:p w14:paraId="53C3221A"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Cologne, Germany</w:t>
            </w:r>
          </w:p>
        </w:tc>
      </w:tr>
      <w:tr w:rsidR="005A0486" w:rsidRPr="006E3E4E" w14:paraId="2827034C" w14:textId="77777777" w:rsidTr="0025677F">
        <w:trPr>
          <w:trHeight w:val="202"/>
          <w:jc w:val="center"/>
        </w:trPr>
        <w:tc>
          <w:tcPr>
            <w:tcW w:w="3690" w:type="dxa"/>
            <w:vAlign w:val="center"/>
          </w:tcPr>
          <w:p w14:paraId="1F38A9CD" w14:textId="6C0EBC69" w:rsidR="005A0486" w:rsidRPr="006E3E4E" w:rsidRDefault="00B65D6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 xml:space="preserve">Malaysia Airlines </w:t>
            </w:r>
            <w:proofErr w:type="spellStart"/>
            <w:r w:rsidRPr="006E3E4E">
              <w:rPr>
                <w:rFonts w:ascii="Arial" w:hAnsi="Arial" w:cs="Arial"/>
                <w:color w:val="222222"/>
                <w:sz w:val="18"/>
                <w:szCs w:val="18"/>
              </w:rPr>
              <w:t>Berhad</w:t>
            </w:r>
            <w:proofErr w:type="spellEnd"/>
          </w:p>
        </w:tc>
        <w:tc>
          <w:tcPr>
            <w:tcW w:w="2340" w:type="dxa"/>
            <w:tcMar>
              <w:left w:w="115" w:type="dxa"/>
              <w:right w:w="720" w:type="dxa"/>
            </w:tcMar>
            <w:vAlign w:val="center"/>
          </w:tcPr>
          <w:p w14:paraId="5BD6D4C5"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98</w:t>
            </w:r>
          </w:p>
        </w:tc>
        <w:tc>
          <w:tcPr>
            <w:tcW w:w="3060" w:type="dxa"/>
            <w:vAlign w:val="center"/>
          </w:tcPr>
          <w:p w14:paraId="5BAD7324" w14:textId="0C5EFEC2" w:rsidR="005A0486" w:rsidRPr="006E3E4E" w:rsidRDefault="00103334"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Selangor,</w:t>
            </w:r>
            <w:r w:rsidR="005A0486" w:rsidRPr="006E3E4E">
              <w:rPr>
                <w:rFonts w:ascii="Arial" w:eastAsiaTheme="minorHAnsi" w:hAnsi="Arial" w:cs="Arial"/>
                <w:color w:val="000000"/>
                <w:sz w:val="18"/>
                <w:szCs w:val="18"/>
              </w:rPr>
              <w:t xml:space="preserve"> Malaysia</w:t>
            </w:r>
          </w:p>
        </w:tc>
      </w:tr>
      <w:tr w:rsidR="005A0486" w:rsidRPr="006E3E4E" w14:paraId="6E79FE61" w14:textId="77777777" w:rsidTr="0025677F">
        <w:trPr>
          <w:trHeight w:val="202"/>
          <w:jc w:val="center"/>
        </w:trPr>
        <w:tc>
          <w:tcPr>
            <w:tcW w:w="3690" w:type="dxa"/>
            <w:vAlign w:val="center"/>
          </w:tcPr>
          <w:p w14:paraId="7BB63E91"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Pegasus Airlines</w:t>
            </w:r>
          </w:p>
        </w:tc>
        <w:tc>
          <w:tcPr>
            <w:tcW w:w="2340" w:type="dxa"/>
            <w:tcMar>
              <w:left w:w="115" w:type="dxa"/>
              <w:right w:w="720" w:type="dxa"/>
            </w:tcMar>
            <w:vAlign w:val="center"/>
          </w:tcPr>
          <w:p w14:paraId="198B3737"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49</w:t>
            </w:r>
          </w:p>
        </w:tc>
        <w:tc>
          <w:tcPr>
            <w:tcW w:w="3060" w:type="dxa"/>
            <w:vAlign w:val="center"/>
          </w:tcPr>
          <w:p w14:paraId="0CD1FA3F"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Istanbul, Turkey</w:t>
            </w:r>
          </w:p>
        </w:tc>
      </w:tr>
      <w:tr w:rsidR="005A0486" w:rsidRPr="006E3E4E" w14:paraId="49A649FF" w14:textId="77777777" w:rsidTr="0025677F">
        <w:trPr>
          <w:trHeight w:val="202"/>
          <w:jc w:val="center"/>
        </w:trPr>
        <w:tc>
          <w:tcPr>
            <w:tcW w:w="3690" w:type="dxa"/>
            <w:vAlign w:val="center"/>
          </w:tcPr>
          <w:p w14:paraId="5920B19E" w14:textId="336020A2"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Scandinavian Airlines</w:t>
            </w:r>
            <w:r w:rsidR="00B65D6E" w:rsidRPr="006E3E4E">
              <w:rPr>
                <w:rFonts w:ascii="Arial" w:eastAsiaTheme="minorHAnsi" w:hAnsi="Arial" w:cs="Arial"/>
                <w:color w:val="000000"/>
                <w:sz w:val="18"/>
                <w:szCs w:val="18"/>
              </w:rPr>
              <w:t xml:space="preserve"> (SAS)</w:t>
            </w:r>
          </w:p>
        </w:tc>
        <w:tc>
          <w:tcPr>
            <w:tcW w:w="2340" w:type="dxa"/>
            <w:tcMar>
              <w:left w:w="115" w:type="dxa"/>
              <w:right w:w="720" w:type="dxa"/>
            </w:tcMar>
            <w:vAlign w:val="center"/>
          </w:tcPr>
          <w:p w14:paraId="564AE745"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151</w:t>
            </w:r>
          </w:p>
        </w:tc>
        <w:tc>
          <w:tcPr>
            <w:tcW w:w="3060" w:type="dxa"/>
            <w:vAlign w:val="center"/>
          </w:tcPr>
          <w:p w14:paraId="129718FC" w14:textId="09D0BD9F"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Stockholm, Sweden</w:t>
            </w:r>
          </w:p>
        </w:tc>
      </w:tr>
      <w:tr w:rsidR="005A0486" w:rsidRPr="006E3E4E" w14:paraId="63DAF96F" w14:textId="77777777" w:rsidTr="0025677F">
        <w:trPr>
          <w:trHeight w:val="202"/>
          <w:jc w:val="center"/>
        </w:trPr>
        <w:tc>
          <w:tcPr>
            <w:tcW w:w="3690" w:type="dxa"/>
            <w:vAlign w:val="center"/>
          </w:tcPr>
          <w:p w14:paraId="0B719C4C" w14:textId="28073D47" w:rsidR="005A0486" w:rsidRPr="006E3E4E" w:rsidRDefault="00B65D6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Singapore Airlines Limited</w:t>
            </w:r>
          </w:p>
        </w:tc>
        <w:tc>
          <w:tcPr>
            <w:tcW w:w="2340" w:type="dxa"/>
            <w:tcMar>
              <w:left w:w="115" w:type="dxa"/>
              <w:right w:w="720" w:type="dxa"/>
            </w:tcMar>
            <w:vAlign w:val="center"/>
          </w:tcPr>
          <w:p w14:paraId="2085CF3A"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102</w:t>
            </w:r>
          </w:p>
        </w:tc>
        <w:tc>
          <w:tcPr>
            <w:tcW w:w="3060" w:type="dxa"/>
            <w:vAlign w:val="center"/>
          </w:tcPr>
          <w:p w14:paraId="486B9FB7"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Singapore</w:t>
            </w:r>
          </w:p>
        </w:tc>
      </w:tr>
      <w:tr w:rsidR="005A0486" w:rsidRPr="006E3E4E" w14:paraId="4CF48E6A" w14:textId="77777777" w:rsidTr="0025677F">
        <w:trPr>
          <w:trHeight w:val="202"/>
          <w:jc w:val="center"/>
        </w:trPr>
        <w:tc>
          <w:tcPr>
            <w:tcW w:w="3690" w:type="dxa"/>
            <w:vAlign w:val="center"/>
          </w:tcPr>
          <w:p w14:paraId="629FFBE0" w14:textId="34756EBF"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SkyWest</w:t>
            </w:r>
            <w:r w:rsidR="00B65D6E" w:rsidRPr="006E3E4E">
              <w:rPr>
                <w:rFonts w:ascii="Arial" w:eastAsiaTheme="minorHAnsi" w:hAnsi="Arial" w:cs="Arial"/>
                <w:color w:val="000000"/>
                <w:sz w:val="18"/>
                <w:szCs w:val="18"/>
              </w:rPr>
              <w:t>,</w:t>
            </w:r>
            <w:r w:rsidRPr="006E3E4E">
              <w:rPr>
                <w:rFonts w:ascii="Arial" w:eastAsiaTheme="minorHAnsi" w:hAnsi="Arial" w:cs="Arial"/>
                <w:color w:val="000000"/>
                <w:sz w:val="18"/>
                <w:szCs w:val="18"/>
              </w:rPr>
              <w:t xml:space="preserve"> Inc. </w:t>
            </w:r>
          </w:p>
        </w:tc>
        <w:tc>
          <w:tcPr>
            <w:tcW w:w="2340" w:type="dxa"/>
            <w:tcMar>
              <w:left w:w="115" w:type="dxa"/>
              <w:right w:w="720" w:type="dxa"/>
            </w:tcMar>
            <w:vAlign w:val="center"/>
          </w:tcPr>
          <w:p w14:paraId="2E8EB770"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755</w:t>
            </w:r>
          </w:p>
        </w:tc>
        <w:tc>
          <w:tcPr>
            <w:tcW w:w="3060" w:type="dxa"/>
            <w:vAlign w:val="center"/>
          </w:tcPr>
          <w:p w14:paraId="34200F37" w14:textId="18265813"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St. George, Utah, U</w:t>
            </w:r>
            <w:r w:rsidR="00103334" w:rsidRPr="006E3E4E">
              <w:rPr>
                <w:rFonts w:ascii="Arial" w:eastAsiaTheme="minorHAnsi" w:hAnsi="Arial" w:cs="Arial"/>
                <w:color w:val="000000"/>
                <w:sz w:val="18"/>
                <w:szCs w:val="18"/>
              </w:rPr>
              <w:t>nited States</w:t>
            </w:r>
          </w:p>
        </w:tc>
      </w:tr>
      <w:tr w:rsidR="005A0486" w:rsidRPr="006E3E4E" w14:paraId="093C83DC" w14:textId="77777777" w:rsidTr="0025677F">
        <w:trPr>
          <w:trHeight w:val="202"/>
          <w:jc w:val="center"/>
        </w:trPr>
        <w:tc>
          <w:tcPr>
            <w:tcW w:w="3690" w:type="dxa"/>
            <w:vAlign w:val="center"/>
          </w:tcPr>
          <w:p w14:paraId="5D0865C0" w14:textId="1E50020F"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Southwest Airlines</w:t>
            </w:r>
            <w:r w:rsidR="0058313E" w:rsidRPr="006E3E4E">
              <w:rPr>
                <w:rFonts w:ascii="Arial" w:eastAsiaTheme="minorHAnsi" w:hAnsi="Arial" w:cs="Arial"/>
                <w:color w:val="000000"/>
                <w:sz w:val="18"/>
                <w:szCs w:val="18"/>
              </w:rPr>
              <w:t xml:space="preserve"> Co.</w:t>
            </w:r>
          </w:p>
        </w:tc>
        <w:tc>
          <w:tcPr>
            <w:tcW w:w="2340" w:type="dxa"/>
            <w:tcMar>
              <w:left w:w="115" w:type="dxa"/>
              <w:right w:w="720" w:type="dxa"/>
            </w:tcMar>
            <w:vAlign w:val="center"/>
          </w:tcPr>
          <w:p w14:paraId="26347083"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683</w:t>
            </w:r>
          </w:p>
        </w:tc>
        <w:tc>
          <w:tcPr>
            <w:tcW w:w="3060" w:type="dxa"/>
            <w:vAlign w:val="center"/>
          </w:tcPr>
          <w:p w14:paraId="44CD0B6F" w14:textId="120D9DB5"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 xml:space="preserve">Dallas, </w:t>
            </w:r>
            <w:r w:rsidR="00103334" w:rsidRPr="006E3E4E">
              <w:rPr>
                <w:rFonts w:ascii="Arial" w:eastAsiaTheme="minorHAnsi" w:hAnsi="Arial" w:cs="Arial"/>
                <w:color w:val="000000"/>
                <w:sz w:val="18"/>
                <w:szCs w:val="18"/>
              </w:rPr>
              <w:t>Texas, United States</w:t>
            </w:r>
          </w:p>
        </w:tc>
      </w:tr>
      <w:tr w:rsidR="005A0486" w:rsidRPr="006E3E4E" w14:paraId="6B6738BC" w14:textId="77777777" w:rsidTr="0025677F">
        <w:trPr>
          <w:trHeight w:val="202"/>
          <w:jc w:val="center"/>
        </w:trPr>
        <w:tc>
          <w:tcPr>
            <w:tcW w:w="3690" w:type="dxa"/>
            <w:vAlign w:val="center"/>
          </w:tcPr>
          <w:p w14:paraId="719B3CED" w14:textId="2F67E333" w:rsidR="005A0486" w:rsidRPr="006E3E4E" w:rsidRDefault="0058313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Swiss International Air Lines AG</w:t>
            </w:r>
          </w:p>
        </w:tc>
        <w:tc>
          <w:tcPr>
            <w:tcW w:w="2340" w:type="dxa"/>
            <w:tcMar>
              <w:left w:w="115" w:type="dxa"/>
              <w:right w:w="720" w:type="dxa"/>
            </w:tcMar>
            <w:vAlign w:val="center"/>
          </w:tcPr>
          <w:p w14:paraId="6B7D3E2A"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94</w:t>
            </w:r>
          </w:p>
        </w:tc>
        <w:tc>
          <w:tcPr>
            <w:tcW w:w="3060" w:type="dxa"/>
            <w:vAlign w:val="center"/>
          </w:tcPr>
          <w:p w14:paraId="3EC6CB04" w14:textId="77777777"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Basel, Switzerland</w:t>
            </w:r>
          </w:p>
        </w:tc>
      </w:tr>
      <w:tr w:rsidR="005A0486" w:rsidRPr="006E3E4E" w14:paraId="05BBC489" w14:textId="77777777" w:rsidTr="0025677F">
        <w:trPr>
          <w:trHeight w:val="202"/>
          <w:jc w:val="center"/>
        </w:trPr>
        <w:tc>
          <w:tcPr>
            <w:tcW w:w="3690" w:type="dxa"/>
            <w:vAlign w:val="center"/>
          </w:tcPr>
          <w:p w14:paraId="71F86DCB" w14:textId="3F83E914" w:rsidR="005A0486" w:rsidRPr="006E3E4E" w:rsidRDefault="0058313E" w:rsidP="006E3E4E">
            <w:pPr>
              <w:autoSpaceDE w:val="0"/>
              <w:autoSpaceDN w:val="0"/>
              <w:adjustRightInd w:val="0"/>
              <w:rPr>
                <w:rFonts w:ascii="Arial" w:eastAsiaTheme="minorHAnsi" w:hAnsi="Arial" w:cs="Arial"/>
                <w:color w:val="000000"/>
                <w:sz w:val="18"/>
                <w:szCs w:val="18"/>
              </w:rPr>
            </w:pPr>
            <w:r w:rsidRPr="006E3E4E">
              <w:rPr>
                <w:rFonts w:ascii="Arial" w:hAnsi="Arial" w:cs="Arial"/>
                <w:color w:val="222222"/>
                <w:sz w:val="18"/>
                <w:szCs w:val="18"/>
              </w:rPr>
              <w:t>United Airlines, Inc.</w:t>
            </w:r>
          </w:p>
        </w:tc>
        <w:tc>
          <w:tcPr>
            <w:tcW w:w="2340" w:type="dxa"/>
            <w:tcMar>
              <w:left w:w="115" w:type="dxa"/>
              <w:right w:w="720" w:type="dxa"/>
            </w:tcMar>
            <w:vAlign w:val="center"/>
          </w:tcPr>
          <w:p w14:paraId="6298FB5B" w14:textId="29D858D1"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1</w:t>
            </w:r>
            <w:r w:rsidR="00C55AC1">
              <w:rPr>
                <w:rFonts w:ascii="Arial" w:eastAsiaTheme="minorHAnsi" w:hAnsi="Arial" w:cs="Arial"/>
                <w:color w:val="000000"/>
                <w:sz w:val="18"/>
                <w:szCs w:val="18"/>
              </w:rPr>
              <w:t>,</w:t>
            </w:r>
            <w:r w:rsidRPr="006E3E4E">
              <w:rPr>
                <w:rFonts w:ascii="Arial" w:eastAsiaTheme="minorHAnsi" w:hAnsi="Arial" w:cs="Arial"/>
                <w:color w:val="000000"/>
                <w:sz w:val="18"/>
                <w:szCs w:val="18"/>
              </w:rPr>
              <w:t>264</w:t>
            </w:r>
          </w:p>
        </w:tc>
        <w:tc>
          <w:tcPr>
            <w:tcW w:w="3060" w:type="dxa"/>
            <w:vAlign w:val="center"/>
          </w:tcPr>
          <w:p w14:paraId="21EFC094" w14:textId="42917E08"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 xml:space="preserve">Chicago, </w:t>
            </w:r>
            <w:r w:rsidR="00103334" w:rsidRPr="006E3E4E">
              <w:rPr>
                <w:rFonts w:ascii="Arial" w:eastAsiaTheme="minorHAnsi" w:hAnsi="Arial" w:cs="Arial"/>
                <w:color w:val="000000"/>
                <w:sz w:val="18"/>
                <w:szCs w:val="18"/>
              </w:rPr>
              <w:t>Illinois, Unites States</w:t>
            </w:r>
          </w:p>
        </w:tc>
      </w:tr>
      <w:tr w:rsidR="005A0486" w:rsidRPr="006E3E4E" w14:paraId="150F231D" w14:textId="77777777" w:rsidTr="0025677F">
        <w:trPr>
          <w:trHeight w:val="202"/>
          <w:jc w:val="center"/>
        </w:trPr>
        <w:tc>
          <w:tcPr>
            <w:tcW w:w="3690" w:type="dxa"/>
            <w:vAlign w:val="center"/>
          </w:tcPr>
          <w:p w14:paraId="0F6F7C49" w14:textId="77777777" w:rsidR="005A0486" w:rsidRPr="006E3E4E" w:rsidRDefault="005A0486" w:rsidP="006E3E4E">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US Airways</w:t>
            </w:r>
          </w:p>
        </w:tc>
        <w:tc>
          <w:tcPr>
            <w:tcW w:w="2340" w:type="dxa"/>
            <w:tcMar>
              <w:left w:w="115" w:type="dxa"/>
              <w:right w:w="720" w:type="dxa"/>
            </w:tcMar>
            <w:vAlign w:val="center"/>
          </w:tcPr>
          <w:p w14:paraId="42FFBF0E" w14:textId="77777777" w:rsidR="005A0486" w:rsidRPr="006E3E4E" w:rsidRDefault="005A0486" w:rsidP="00C55AC1">
            <w:pPr>
              <w:autoSpaceDE w:val="0"/>
              <w:autoSpaceDN w:val="0"/>
              <w:adjustRightInd w:val="0"/>
              <w:jc w:val="right"/>
              <w:rPr>
                <w:rFonts w:ascii="Arial" w:eastAsiaTheme="minorHAnsi" w:hAnsi="Arial" w:cs="Arial"/>
                <w:color w:val="000000"/>
                <w:sz w:val="18"/>
                <w:szCs w:val="18"/>
              </w:rPr>
            </w:pPr>
            <w:r w:rsidRPr="006E3E4E">
              <w:rPr>
                <w:rFonts w:ascii="Arial" w:eastAsiaTheme="minorHAnsi" w:hAnsi="Arial" w:cs="Arial"/>
                <w:color w:val="000000"/>
                <w:sz w:val="18"/>
                <w:szCs w:val="18"/>
              </w:rPr>
              <w:t>621</w:t>
            </w:r>
          </w:p>
        </w:tc>
        <w:tc>
          <w:tcPr>
            <w:tcW w:w="3060" w:type="dxa"/>
            <w:vAlign w:val="center"/>
          </w:tcPr>
          <w:p w14:paraId="68516150" w14:textId="629CC39C" w:rsidR="005A0486" w:rsidRPr="006E3E4E" w:rsidRDefault="005A0486" w:rsidP="00C55AC1">
            <w:pPr>
              <w:autoSpaceDE w:val="0"/>
              <w:autoSpaceDN w:val="0"/>
              <w:adjustRightInd w:val="0"/>
              <w:rPr>
                <w:rFonts w:ascii="Arial" w:eastAsiaTheme="minorHAnsi" w:hAnsi="Arial" w:cs="Arial"/>
                <w:color w:val="000000"/>
                <w:sz w:val="18"/>
                <w:szCs w:val="18"/>
              </w:rPr>
            </w:pPr>
            <w:r w:rsidRPr="006E3E4E">
              <w:rPr>
                <w:rFonts w:ascii="Arial" w:eastAsiaTheme="minorHAnsi" w:hAnsi="Arial" w:cs="Arial"/>
                <w:color w:val="000000"/>
                <w:sz w:val="18"/>
                <w:szCs w:val="18"/>
              </w:rPr>
              <w:t xml:space="preserve">Tempe, </w:t>
            </w:r>
            <w:r w:rsidR="00103334" w:rsidRPr="006E3E4E">
              <w:rPr>
                <w:rFonts w:ascii="Arial" w:eastAsiaTheme="minorHAnsi" w:hAnsi="Arial" w:cs="Arial"/>
                <w:color w:val="000000"/>
                <w:sz w:val="18"/>
                <w:szCs w:val="18"/>
              </w:rPr>
              <w:t xml:space="preserve">Arizona, </w:t>
            </w:r>
            <w:r w:rsidRPr="006E3E4E">
              <w:rPr>
                <w:rFonts w:ascii="Arial" w:eastAsiaTheme="minorHAnsi" w:hAnsi="Arial" w:cs="Arial"/>
                <w:color w:val="000000"/>
                <w:sz w:val="18"/>
                <w:szCs w:val="18"/>
              </w:rPr>
              <w:t>U</w:t>
            </w:r>
            <w:r w:rsidR="00103334" w:rsidRPr="006E3E4E">
              <w:rPr>
                <w:rFonts w:ascii="Arial" w:eastAsiaTheme="minorHAnsi" w:hAnsi="Arial" w:cs="Arial"/>
                <w:color w:val="000000"/>
                <w:sz w:val="18"/>
                <w:szCs w:val="18"/>
              </w:rPr>
              <w:t>nited States</w:t>
            </w:r>
          </w:p>
        </w:tc>
      </w:tr>
    </w:tbl>
    <w:p w14:paraId="00C2DC57" w14:textId="77777777" w:rsidR="005A0486" w:rsidRPr="00A662B2" w:rsidRDefault="005A0486" w:rsidP="0064217E">
      <w:pPr>
        <w:pStyle w:val="ExhibitText"/>
      </w:pPr>
    </w:p>
    <w:p w14:paraId="4E8BB00D" w14:textId="3309152F" w:rsidR="005A0486" w:rsidRPr="00A662B2" w:rsidRDefault="005A0486" w:rsidP="00155600">
      <w:pPr>
        <w:pStyle w:val="Footnote"/>
      </w:pPr>
      <w:r w:rsidRPr="00A662B2">
        <w:t xml:space="preserve">Source: </w:t>
      </w:r>
      <w:r w:rsidR="00A778E4">
        <w:t>C</w:t>
      </w:r>
      <w:r w:rsidRPr="00A662B2">
        <w:t>ompany documents</w:t>
      </w:r>
      <w:r w:rsidR="00A778E4">
        <w:t>.</w:t>
      </w:r>
    </w:p>
    <w:p w14:paraId="5FEDB046" w14:textId="77777777" w:rsidR="005A0486" w:rsidRPr="00A662B2" w:rsidRDefault="005A0486" w:rsidP="0064217E">
      <w:pPr>
        <w:pStyle w:val="ExhibitText"/>
      </w:pPr>
    </w:p>
    <w:p w14:paraId="3C9052A9" w14:textId="77777777" w:rsidR="005A0486" w:rsidRPr="00A662B2" w:rsidRDefault="005A0486" w:rsidP="0064217E">
      <w:pPr>
        <w:pStyle w:val="ExhibitText"/>
      </w:pPr>
    </w:p>
    <w:p w14:paraId="07BFE016" w14:textId="6AD26B19" w:rsidR="005A0486" w:rsidRPr="00A662B2" w:rsidRDefault="005A0486" w:rsidP="00155600">
      <w:pPr>
        <w:pStyle w:val="ExhibitHeading"/>
      </w:pPr>
      <w:r w:rsidRPr="00A662B2">
        <w:t>Exhibit 5: Aircraft offering and passenger capacity of Boeing and Airbus (2012)</w:t>
      </w:r>
    </w:p>
    <w:p w14:paraId="6704526E" w14:textId="77777777" w:rsidR="005A0486" w:rsidRPr="00A662B2" w:rsidRDefault="005A0486" w:rsidP="0064217E">
      <w:pPr>
        <w:pStyle w:val="ExhibitText"/>
      </w:pPr>
    </w:p>
    <w:p w14:paraId="2BDB26C5" w14:textId="2E7334AD" w:rsidR="005A0486" w:rsidRPr="00A662B2" w:rsidRDefault="005A0486" w:rsidP="00155600">
      <w:pPr>
        <w:pStyle w:val="Casehead2"/>
      </w:pPr>
      <w:r w:rsidRPr="00A662B2">
        <w:t xml:space="preserve">Boeing Aircraft by </w:t>
      </w:r>
      <w:r w:rsidR="00155600" w:rsidRPr="00A662B2">
        <w:t>P</w:t>
      </w:r>
      <w:r w:rsidRPr="00A662B2">
        <w:t xml:space="preserve">assenger </w:t>
      </w:r>
      <w:r w:rsidR="00155600" w:rsidRPr="00A662B2">
        <w:t>C</w:t>
      </w:r>
      <w:r w:rsidRPr="00A662B2">
        <w:t>apacity</w:t>
      </w:r>
    </w:p>
    <w:p w14:paraId="77D93DFD" w14:textId="77777777" w:rsidR="00155600" w:rsidRPr="00A662B2" w:rsidRDefault="00155600" w:rsidP="0064217E">
      <w:pPr>
        <w:pStyle w:val="ExhibitText"/>
      </w:pPr>
    </w:p>
    <w:tbl>
      <w:tblPr>
        <w:tblW w:w="7920" w:type="dxa"/>
        <w:jc w:val="center"/>
        <w:tblBorders>
          <w:top w:val="single" w:sz="4" w:space="0" w:color="auto"/>
          <w:bottom w:val="single" w:sz="4" w:space="0" w:color="auto"/>
        </w:tblBorders>
        <w:tblLook w:val="04A0" w:firstRow="1" w:lastRow="0" w:firstColumn="1" w:lastColumn="0" w:noHBand="0" w:noVBand="1"/>
      </w:tblPr>
      <w:tblGrid>
        <w:gridCol w:w="1890"/>
        <w:gridCol w:w="1206"/>
        <w:gridCol w:w="1206"/>
        <w:gridCol w:w="1206"/>
        <w:gridCol w:w="1206"/>
        <w:gridCol w:w="1206"/>
      </w:tblGrid>
      <w:tr w:rsidR="00155600" w:rsidRPr="00A662B2" w14:paraId="11EBDE13" w14:textId="77777777" w:rsidTr="0025677F">
        <w:trPr>
          <w:trHeight w:val="288"/>
          <w:jc w:val="center"/>
        </w:trPr>
        <w:tc>
          <w:tcPr>
            <w:tcW w:w="1890" w:type="dxa"/>
            <w:tcBorders>
              <w:top w:val="single" w:sz="4" w:space="0" w:color="auto"/>
              <w:bottom w:val="single" w:sz="12" w:space="0" w:color="auto"/>
            </w:tcBorders>
            <w:vAlign w:val="center"/>
          </w:tcPr>
          <w:p w14:paraId="116B211F" w14:textId="77777777" w:rsidR="005A0486" w:rsidRPr="00A662B2" w:rsidRDefault="005A0486" w:rsidP="00155600">
            <w:pPr>
              <w:pStyle w:val="ExhibitText"/>
              <w:jc w:val="center"/>
            </w:pPr>
          </w:p>
        </w:tc>
        <w:tc>
          <w:tcPr>
            <w:tcW w:w="1206" w:type="dxa"/>
            <w:tcBorders>
              <w:top w:val="single" w:sz="4" w:space="0" w:color="auto"/>
              <w:bottom w:val="single" w:sz="12" w:space="0" w:color="auto"/>
            </w:tcBorders>
            <w:vAlign w:val="center"/>
          </w:tcPr>
          <w:p w14:paraId="55E255A9" w14:textId="7B6BF266" w:rsidR="005A0486" w:rsidRPr="006E3E4E" w:rsidRDefault="005A0486" w:rsidP="0071432F">
            <w:pPr>
              <w:pStyle w:val="ExhibitText"/>
              <w:jc w:val="center"/>
              <w:rPr>
                <w:b/>
              </w:rPr>
            </w:pPr>
            <w:r w:rsidRPr="006E3E4E">
              <w:rPr>
                <w:b/>
              </w:rPr>
              <w:t>737</w:t>
            </w:r>
          </w:p>
        </w:tc>
        <w:tc>
          <w:tcPr>
            <w:tcW w:w="1206" w:type="dxa"/>
            <w:tcBorders>
              <w:top w:val="single" w:sz="4" w:space="0" w:color="auto"/>
              <w:bottom w:val="single" w:sz="12" w:space="0" w:color="auto"/>
            </w:tcBorders>
            <w:vAlign w:val="center"/>
          </w:tcPr>
          <w:p w14:paraId="66FD2576" w14:textId="77777777" w:rsidR="005A0486" w:rsidRPr="006E3E4E" w:rsidRDefault="005A0486" w:rsidP="0071432F">
            <w:pPr>
              <w:pStyle w:val="ExhibitText"/>
              <w:jc w:val="center"/>
              <w:rPr>
                <w:b/>
              </w:rPr>
            </w:pPr>
            <w:r w:rsidRPr="006E3E4E">
              <w:rPr>
                <w:b/>
              </w:rPr>
              <w:t>747</w:t>
            </w:r>
          </w:p>
        </w:tc>
        <w:tc>
          <w:tcPr>
            <w:tcW w:w="1206" w:type="dxa"/>
            <w:tcBorders>
              <w:top w:val="single" w:sz="4" w:space="0" w:color="auto"/>
              <w:bottom w:val="single" w:sz="12" w:space="0" w:color="auto"/>
            </w:tcBorders>
            <w:vAlign w:val="center"/>
          </w:tcPr>
          <w:p w14:paraId="1892FD61" w14:textId="77777777" w:rsidR="005A0486" w:rsidRPr="006E3E4E" w:rsidRDefault="005A0486" w:rsidP="0071432F">
            <w:pPr>
              <w:pStyle w:val="ExhibitText"/>
              <w:jc w:val="center"/>
              <w:rPr>
                <w:b/>
              </w:rPr>
            </w:pPr>
            <w:r w:rsidRPr="006E3E4E">
              <w:rPr>
                <w:b/>
              </w:rPr>
              <w:t>767</w:t>
            </w:r>
          </w:p>
        </w:tc>
        <w:tc>
          <w:tcPr>
            <w:tcW w:w="1206" w:type="dxa"/>
            <w:tcBorders>
              <w:top w:val="single" w:sz="4" w:space="0" w:color="auto"/>
              <w:bottom w:val="single" w:sz="12" w:space="0" w:color="auto"/>
            </w:tcBorders>
            <w:vAlign w:val="center"/>
          </w:tcPr>
          <w:p w14:paraId="5A0F4016" w14:textId="77777777" w:rsidR="005A0486" w:rsidRPr="006E3E4E" w:rsidRDefault="005A0486" w:rsidP="0071432F">
            <w:pPr>
              <w:pStyle w:val="ExhibitText"/>
              <w:jc w:val="center"/>
              <w:rPr>
                <w:b/>
              </w:rPr>
            </w:pPr>
            <w:r w:rsidRPr="006E3E4E">
              <w:rPr>
                <w:b/>
              </w:rPr>
              <w:t>777</w:t>
            </w:r>
          </w:p>
        </w:tc>
        <w:tc>
          <w:tcPr>
            <w:tcW w:w="1206" w:type="dxa"/>
            <w:tcBorders>
              <w:top w:val="single" w:sz="4" w:space="0" w:color="auto"/>
              <w:bottom w:val="single" w:sz="12" w:space="0" w:color="auto"/>
            </w:tcBorders>
            <w:vAlign w:val="center"/>
          </w:tcPr>
          <w:p w14:paraId="161A81A2" w14:textId="77777777" w:rsidR="005A0486" w:rsidRPr="006E3E4E" w:rsidRDefault="005A0486" w:rsidP="0071432F">
            <w:pPr>
              <w:pStyle w:val="ExhibitText"/>
              <w:jc w:val="center"/>
              <w:rPr>
                <w:b/>
              </w:rPr>
            </w:pPr>
            <w:r w:rsidRPr="006E3E4E">
              <w:rPr>
                <w:b/>
              </w:rPr>
              <w:t>787</w:t>
            </w:r>
          </w:p>
        </w:tc>
      </w:tr>
      <w:tr w:rsidR="002B71BB" w:rsidRPr="00A662B2" w14:paraId="1EB3E68C" w14:textId="77777777" w:rsidTr="0025677F">
        <w:trPr>
          <w:trHeight w:val="288"/>
          <w:jc w:val="center"/>
        </w:trPr>
        <w:tc>
          <w:tcPr>
            <w:tcW w:w="1890" w:type="dxa"/>
            <w:tcBorders>
              <w:top w:val="single" w:sz="12" w:space="0" w:color="auto"/>
            </w:tcBorders>
            <w:vAlign w:val="center"/>
          </w:tcPr>
          <w:p w14:paraId="20B3378D" w14:textId="77777777" w:rsidR="005A0486" w:rsidRPr="006E3E4E" w:rsidRDefault="005A0486" w:rsidP="0071432F">
            <w:pPr>
              <w:pStyle w:val="ExhibitText"/>
              <w:jc w:val="left"/>
              <w:rPr>
                <w:b/>
              </w:rPr>
            </w:pPr>
            <w:r w:rsidRPr="006E3E4E">
              <w:rPr>
                <w:b/>
              </w:rPr>
              <w:t>Passenger Capacity</w:t>
            </w:r>
          </w:p>
        </w:tc>
        <w:tc>
          <w:tcPr>
            <w:tcW w:w="1206" w:type="dxa"/>
            <w:tcBorders>
              <w:top w:val="single" w:sz="12" w:space="0" w:color="auto"/>
            </w:tcBorders>
            <w:vAlign w:val="center"/>
          </w:tcPr>
          <w:p w14:paraId="1666DBFD" w14:textId="79EB3356" w:rsidR="005A0486" w:rsidRPr="00A662B2" w:rsidRDefault="005A0486" w:rsidP="0071432F">
            <w:pPr>
              <w:pStyle w:val="ExhibitText"/>
              <w:jc w:val="center"/>
            </w:pPr>
            <w:r w:rsidRPr="00A662B2">
              <w:t>126</w:t>
            </w:r>
            <w:r w:rsidR="00E36C5C">
              <w:t>–</w:t>
            </w:r>
            <w:r w:rsidRPr="00A662B2">
              <w:t>220</w:t>
            </w:r>
          </w:p>
        </w:tc>
        <w:tc>
          <w:tcPr>
            <w:tcW w:w="1206" w:type="dxa"/>
            <w:tcBorders>
              <w:top w:val="single" w:sz="12" w:space="0" w:color="auto"/>
            </w:tcBorders>
            <w:vAlign w:val="center"/>
          </w:tcPr>
          <w:p w14:paraId="0312427E" w14:textId="4F1D6CEB" w:rsidR="005A0486" w:rsidRPr="00A662B2" w:rsidRDefault="005A0486" w:rsidP="0071432F">
            <w:pPr>
              <w:pStyle w:val="ExhibitText"/>
              <w:jc w:val="center"/>
            </w:pPr>
            <w:r w:rsidRPr="00A662B2">
              <w:t>400</w:t>
            </w:r>
            <w:r w:rsidR="00E36C5C">
              <w:t>–</w:t>
            </w:r>
            <w:r w:rsidRPr="00A662B2">
              <w:t>500</w:t>
            </w:r>
          </w:p>
        </w:tc>
        <w:tc>
          <w:tcPr>
            <w:tcW w:w="1206" w:type="dxa"/>
            <w:tcBorders>
              <w:top w:val="single" w:sz="12" w:space="0" w:color="auto"/>
            </w:tcBorders>
            <w:vAlign w:val="center"/>
          </w:tcPr>
          <w:p w14:paraId="6E8D9D7C" w14:textId="36E844D2" w:rsidR="005A0486" w:rsidRPr="00A662B2" w:rsidRDefault="005A0486" w:rsidP="0071432F">
            <w:pPr>
              <w:pStyle w:val="ExhibitText"/>
              <w:jc w:val="center"/>
            </w:pPr>
            <w:r w:rsidRPr="00A662B2">
              <w:t>181</w:t>
            </w:r>
            <w:r w:rsidR="00E36C5C">
              <w:t>–</w:t>
            </w:r>
            <w:r w:rsidRPr="00A662B2">
              <w:t>375</w:t>
            </w:r>
          </w:p>
        </w:tc>
        <w:tc>
          <w:tcPr>
            <w:tcW w:w="1206" w:type="dxa"/>
            <w:tcBorders>
              <w:top w:val="single" w:sz="12" w:space="0" w:color="auto"/>
            </w:tcBorders>
            <w:vAlign w:val="center"/>
          </w:tcPr>
          <w:p w14:paraId="49DF835A" w14:textId="07A4F0C7" w:rsidR="005A0486" w:rsidRPr="00A662B2" w:rsidRDefault="005A0486" w:rsidP="0071432F">
            <w:pPr>
              <w:pStyle w:val="ExhibitText"/>
              <w:jc w:val="center"/>
            </w:pPr>
            <w:r w:rsidRPr="00A662B2">
              <w:t>301</w:t>
            </w:r>
            <w:r w:rsidR="00E36C5C">
              <w:t>–</w:t>
            </w:r>
            <w:r w:rsidRPr="00A662B2">
              <w:t>386</w:t>
            </w:r>
          </w:p>
        </w:tc>
        <w:tc>
          <w:tcPr>
            <w:tcW w:w="1206" w:type="dxa"/>
            <w:tcBorders>
              <w:top w:val="single" w:sz="12" w:space="0" w:color="auto"/>
            </w:tcBorders>
            <w:vAlign w:val="center"/>
          </w:tcPr>
          <w:p w14:paraId="1EBEF46E" w14:textId="5DB5B684" w:rsidR="005A0486" w:rsidRPr="00A662B2" w:rsidRDefault="005A0486" w:rsidP="0071432F">
            <w:pPr>
              <w:pStyle w:val="ExhibitText"/>
              <w:jc w:val="center"/>
            </w:pPr>
            <w:r w:rsidRPr="00A662B2">
              <w:t>210</w:t>
            </w:r>
            <w:r w:rsidR="00E36C5C">
              <w:t>–</w:t>
            </w:r>
            <w:r w:rsidRPr="00A662B2">
              <w:t>290</w:t>
            </w:r>
          </w:p>
        </w:tc>
      </w:tr>
    </w:tbl>
    <w:p w14:paraId="76A04061" w14:textId="77777777" w:rsidR="005A0486" w:rsidRPr="00A662B2" w:rsidRDefault="005A0486" w:rsidP="0064217E">
      <w:pPr>
        <w:pStyle w:val="ExhibitText"/>
      </w:pPr>
    </w:p>
    <w:p w14:paraId="4B6C844E" w14:textId="77777777" w:rsidR="005A0486" w:rsidRPr="00A662B2" w:rsidRDefault="005A0486" w:rsidP="0064217E">
      <w:pPr>
        <w:pStyle w:val="ExhibitText"/>
        <w:rPr>
          <w:rFonts w:ascii="Times" w:hAnsi="Times"/>
        </w:rPr>
      </w:pPr>
    </w:p>
    <w:p w14:paraId="1D1C78B5" w14:textId="0743041C" w:rsidR="005A0486" w:rsidRPr="00A662B2" w:rsidRDefault="005A0486" w:rsidP="00155600">
      <w:pPr>
        <w:pStyle w:val="Casehead2"/>
      </w:pPr>
      <w:r w:rsidRPr="00A662B2">
        <w:t xml:space="preserve">Airbus Aircraft by </w:t>
      </w:r>
      <w:r w:rsidR="003D1662">
        <w:t>P</w:t>
      </w:r>
      <w:r w:rsidRPr="00A662B2">
        <w:t xml:space="preserve">assenger </w:t>
      </w:r>
      <w:r w:rsidR="003D1662">
        <w:t>C</w:t>
      </w:r>
      <w:r w:rsidRPr="00A662B2">
        <w:t>apacity</w:t>
      </w:r>
    </w:p>
    <w:p w14:paraId="714ABA59" w14:textId="77777777" w:rsidR="00155600" w:rsidRPr="00A662B2" w:rsidRDefault="00155600" w:rsidP="0064217E">
      <w:pPr>
        <w:pStyle w:val="ExhibitText"/>
      </w:pPr>
    </w:p>
    <w:tbl>
      <w:tblPr>
        <w:tblW w:w="8640" w:type="dxa"/>
        <w:jc w:val="center"/>
        <w:tblBorders>
          <w:top w:val="single" w:sz="4" w:space="0" w:color="auto"/>
          <w:bottom w:val="single" w:sz="4" w:space="0" w:color="auto"/>
        </w:tblBorders>
        <w:tblLook w:val="04A0" w:firstRow="1" w:lastRow="0" w:firstColumn="1" w:lastColumn="0" w:noHBand="0" w:noVBand="1"/>
      </w:tblPr>
      <w:tblGrid>
        <w:gridCol w:w="1572"/>
        <w:gridCol w:w="1009"/>
        <w:gridCol w:w="1010"/>
        <w:gridCol w:w="1010"/>
        <w:gridCol w:w="1009"/>
        <w:gridCol w:w="1010"/>
        <w:gridCol w:w="1010"/>
        <w:gridCol w:w="1010"/>
      </w:tblGrid>
      <w:tr w:rsidR="0025677F" w:rsidRPr="00A662B2" w14:paraId="28F739E4" w14:textId="77777777" w:rsidTr="0025677F">
        <w:trPr>
          <w:trHeight w:val="288"/>
          <w:jc w:val="center"/>
        </w:trPr>
        <w:tc>
          <w:tcPr>
            <w:tcW w:w="1440" w:type="dxa"/>
            <w:tcBorders>
              <w:top w:val="single" w:sz="4" w:space="0" w:color="auto"/>
              <w:bottom w:val="single" w:sz="12" w:space="0" w:color="auto"/>
            </w:tcBorders>
            <w:vAlign w:val="center"/>
          </w:tcPr>
          <w:p w14:paraId="684F7F75" w14:textId="77777777" w:rsidR="005A0486" w:rsidRPr="00A662B2" w:rsidRDefault="005A0486" w:rsidP="0025677F">
            <w:pPr>
              <w:pStyle w:val="ExhibitText"/>
              <w:jc w:val="center"/>
            </w:pPr>
          </w:p>
        </w:tc>
        <w:tc>
          <w:tcPr>
            <w:tcW w:w="925" w:type="dxa"/>
            <w:tcBorders>
              <w:top w:val="single" w:sz="4" w:space="0" w:color="auto"/>
              <w:bottom w:val="single" w:sz="12" w:space="0" w:color="auto"/>
            </w:tcBorders>
            <w:vAlign w:val="center"/>
          </w:tcPr>
          <w:p w14:paraId="4CD9A530" w14:textId="77777777" w:rsidR="005A0486" w:rsidRPr="006E3E4E" w:rsidRDefault="005A0486" w:rsidP="0025677F">
            <w:pPr>
              <w:pStyle w:val="ExhibitText"/>
              <w:jc w:val="center"/>
              <w:rPr>
                <w:b/>
              </w:rPr>
            </w:pPr>
            <w:r w:rsidRPr="006E3E4E">
              <w:rPr>
                <w:b/>
              </w:rPr>
              <w:t>A318</w:t>
            </w:r>
          </w:p>
        </w:tc>
        <w:tc>
          <w:tcPr>
            <w:tcW w:w="926" w:type="dxa"/>
            <w:tcBorders>
              <w:top w:val="single" w:sz="4" w:space="0" w:color="auto"/>
              <w:bottom w:val="single" w:sz="12" w:space="0" w:color="auto"/>
            </w:tcBorders>
            <w:vAlign w:val="center"/>
          </w:tcPr>
          <w:p w14:paraId="54A2FBAD" w14:textId="77777777" w:rsidR="005A0486" w:rsidRPr="006E3E4E" w:rsidRDefault="005A0486" w:rsidP="0025677F">
            <w:pPr>
              <w:pStyle w:val="ExhibitText"/>
              <w:jc w:val="center"/>
              <w:rPr>
                <w:b/>
              </w:rPr>
            </w:pPr>
            <w:r w:rsidRPr="006E3E4E">
              <w:rPr>
                <w:b/>
              </w:rPr>
              <w:t>319</w:t>
            </w:r>
          </w:p>
        </w:tc>
        <w:tc>
          <w:tcPr>
            <w:tcW w:w="926" w:type="dxa"/>
            <w:tcBorders>
              <w:top w:val="single" w:sz="4" w:space="0" w:color="auto"/>
              <w:bottom w:val="single" w:sz="12" w:space="0" w:color="auto"/>
            </w:tcBorders>
            <w:vAlign w:val="center"/>
          </w:tcPr>
          <w:p w14:paraId="0B9E0281" w14:textId="77777777" w:rsidR="005A0486" w:rsidRPr="006E3E4E" w:rsidRDefault="005A0486" w:rsidP="0025677F">
            <w:pPr>
              <w:pStyle w:val="ExhibitText"/>
              <w:jc w:val="center"/>
              <w:rPr>
                <w:b/>
              </w:rPr>
            </w:pPr>
            <w:r w:rsidRPr="006E3E4E">
              <w:rPr>
                <w:b/>
              </w:rPr>
              <w:t>320</w:t>
            </w:r>
          </w:p>
        </w:tc>
        <w:tc>
          <w:tcPr>
            <w:tcW w:w="925" w:type="dxa"/>
            <w:tcBorders>
              <w:top w:val="single" w:sz="4" w:space="0" w:color="auto"/>
              <w:bottom w:val="single" w:sz="12" w:space="0" w:color="auto"/>
            </w:tcBorders>
            <w:vAlign w:val="center"/>
          </w:tcPr>
          <w:p w14:paraId="47D2BC7F" w14:textId="77777777" w:rsidR="005A0486" w:rsidRPr="006E3E4E" w:rsidRDefault="005A0486" w:rsidP="0025677F">
            <w:pPr>
              <w:pStyle w:val="ExhibitText"/>
              <w:jc w:val="center"/>
              <w:rPr>
                <w:b/>
              </w:rPr>
            </w:pPr>
            <w:r w:rsidRPr="006E3E4E">
              <w:rPr>
                <w:b/>
              </w:rPr>
              <w:t>321</w:t>
            </w:r>
          </w:p>
        </w:tc>
        <w:tc>
          <w:tcPr>
            <w:tcW w:w="926" w:type="dxa"/>
            <w:tcBorders>
              <w:top w:val="single" w:sz="4" w:space="0" w:color="auto"/>
              <w:bottom w:val="single" w:sz="12" w:space="0" w:color="auto"/>
            </w:tcBorders>
            <w:vAlign w:val="center"/>
          </w:tcPr>
          <w:p w14:paraId="7A961F5D" w14:textId="77777777" w:rsidR="005A0486" w:rsidRPr="006E3E4E" w:rsidRDefault="005A0486" w:rsidP="0025677F">
            <w:pPr>
              <w:pStyle w:val="ExhibitText"/>
              <w:jc w:val="center"/>
              <w:rPr>
                <w:b/>
              </w:rPr>
            </w:pPr>
            <w:r w:rsidRPr="006E3E4E">
              <w:rPr>
                <w:b/>
              </w:rPr>
              <w:t>340</w:t>
            </w:r>
          </w:p>
        </w:tc>
        <w:tc>
          <w:tcPr>
            <w:tcW w:w="926" w:type="dxa"/>
            <w:tcBorders>
              <w:top w:val="single" w:sz="4" w:space="0" w:color="auto"/>
              <w:bottom w:val="single" w:sz="12" w:space="0" w:color="auto"/>
            </w:tcBorders>
            <w:vAlign w:val="center"/>
          </w:tcPr>
          <w:p w14:paraId="6C3E1AB5" w14:textId="77777777" w:rsidR="005A0486" w:rsidRPr="006E3E4E" w:rsidRDefault="005A0486" w:rsidP="0025677F">
            <w:pPr>
              <w:pStyle w:val="ExhibitText"/>
              <w:jc w:val="center"/>
              <w:rPr>
                <w:b/>
              </w:rPr>
            </w:pPr>
            <w:r w:rsidRPr="006E3E4E">
              <w:rPr>
                <w:b/>
              </w:rPr>
              <w:t>330</w:t>
            </w:r>
          </w:p>
        </w:tc>
        <w:tc>
          <w:tcPr>
            <w:tcW w:w="926" w:type="dxa"/>
            <w:tcBorders>
              <w:top w:val="single" w:sz="4" w:space="0" w:color="auto"/>
              <w:bottom w:val="single" w:sz="12" w:space="0" w:color="auto"/>
            </w:tcBorders>
            <w:vAlign w:val="center"/>
          </w:tcPr>
          <w:p w14:paraId="25938F8F" w14:textId="77777777" w:rsidR="005A0486" w:rsidRPr="006E3E4E" w:rsidRDefault="005A0486" w:rsidP="0025677F">
            <w:pPr>
              <w:pStyle w:val="ExhibitText"/>
              <w:jc w:val="center"/>
              <w:rPr>
                <w:b/>
              </w:rPr>
            </w:pPr>
            <w:r w:rsidRPr="006E3E4E">
              <w:rPr>
                <w:b/>
              </w:rPr>
              <w:t>380</w:t>
            </w:r>
          </w:p>
        </w:tc>
      </w:tr>
      <w:tr w:rsidR="005A0486" w:rsidRPr="00A662B2" w14:paraId="639E639A" w14:textId="77777777" w:rsidTr="0025677F">
        <w:trPr>
          <w:trHeight w:val="288"/>
          <w:jc w:val="center"/>
        </w:trPr>
        <w:tc>
          <w:tcPr>
            <w:tcW w:w="1440" w:type="dxa"/>
            <w:tcBorders>
              <w:top w:val="single" w:sz="12" w:space="0" w:color="auto"/>
            </w:tcBorders>
            <w:vAlign w:val="center"/>
          </w:tcPr>
          <w:p w14:paraId="2F74AA9C" w14:textId="77777777" w:rsidR="005A0486" w:rsidRPr="006E3E4E" w:rsidRDefault="005A0486" w:rsidP="0071432F">
            <w:pPr>
              <w:pStyle w:val="ExhibitText"/>
              <w:jc w:val="left"/>
              <w:rPr>
                <w:b/>
              </w:rPr>
            </w:pPr>
            <w:r w:rsidRPr="006E3E4E">
              <w:rPr>
                <w:b/>
              </w:rPr>
              <w:t>Passenger Capacity</w:t>
            </w:r>
          </w:p>
        </w:tc>
        <w:tc>
          <w:tcPr>
            <w:tcW w:w="925" w:type="dxa"/>
            <w:tcBorders>
              <w:top w:val="single" w:sz="12" w:space="0" w:color="auto"/>
            </w:tcBorders>
            <w:vAlign w:val="center"/>
          </w:tcPr>
          <w:p w14:paraId="29C1E0CA" w14:textId="77777777" w:rsidR="005A0486" w:rsidRPr="00A662B2" w:rsidRDefault="005A0486" w:rsidP="0025677F">
            <w:pPr>
              <w:pStyle w:val="ExhibitText"/>
              <w:jc w:val="center"/>
            </w:pPr>
            <w:r w:rsidRPr="00A662B2">
              <w:t>107</w:t>
            </w:r>
          </w:p>
        </w:tc>
        <w:tc>
          <w:tcPr>
            <w:tcW w:w="926" w:type="dxa"/>
            <w:tcBorders>
              <w:top w:val="single" w:sz="12" w:space="0" w:color="auto"/>
            </w:tcBorders>
            <w:vAlign w:val="center"/>
          </w:tcPr>
          <w:p w14:paraId="0DD96F1E" w14:textId="77777777" w:rsidR="005A0486" w:rsidRPr="00A662B2" w:rsidRDefault="005A0486" w:rsidP="0025677F">
            <w:pPr>
              <w:pStyle w:val="ExhibitText"/>
              <w:jc w:val="center"/>
            </w:pPr>
            <w:r w:rsidRPr="00A662B2">
              <w:t>124</w:t>
            </w:r>
          </w:p>
        </w:tc>
        <w:tc>
          <w:tcPr>
            <w:tcW w:w="926" w:type="dxa"/>
            <w:tcBorders>
              <w:top w:val="single" w:sz="12" w:space="0" w:color="auto"/>
            </w:tcBorders>
            <w:vAlign w:val="center"/>
          </w:tcPr>
          <w:p w14:paraId="69887B2F" w14:textId="77777777" w:rsidR="005A0486" w:rsidRPr="00A662B2" w:rsidRDefault="005A0486" w:rsidP="0025677F">
            <w:pPr>
              <w:pStyle w:val="ExhibitText"/>
              <w:jc w:val="center"/>
            </w:pPr>
            <w:r w:rsidRPr="00A662B2">
              <w:t>150</w:t>
            </w:r>
          </w:p>
        </w:tc>
        <w:tc>
          <w:tcPr>
            <w:tcW w:w="925" w:type="dxa"/>
            <w:tcBorders>
              <w:top w:val="single" w:sz="12" w:space="0" w:color="auto"/>
            </w:tcBorders>
            <w:vAlign w:val="center"/>
          </w:tcPr>
          <w:p w14:paraId="33EA9723" w14:textId="77777777" w:rsidR="005A0486" w:rsidRPr="00A662B2" w:rsidRDefault="005A0486" w:rsidP="0025677F">
            <w:pPr>
              <w:pStyle w:val="ExhibitText"/>
              <w:jc w:val="center"/>
            </w:pPr>
            <w:r w:rsidRPr="00A662B2">
              <w:t>185</w:t>
            </w:r>
          </w:p>
        </w:tc>
        <w:tc>
          <w:tcPr>
            <w:tcW w:w="926" w:type="dxa"/>
            <w:tcBorders>
              <w:top w:val="single" w:sz="12" w:space="0" w:color="auto"/>
            </w:tcBorders>
            <w:vAlign w:val="center"/>
          </w:tcPr>
          <w:p w14:paraId="49B4E41E" w14:textId="1F27D6F3" w:rsidR="005A0486" w:rsidRPr="00A662B2" w:rsidRDefault="005A0486" w:rsidP="0025677F">
            <w:pPr>
              <w:pStyle w:val="ExhibitText"/>
              <w:jc w:val="center"/>
            </w:pPr>
            <w:r w:rsidRPr="00A662B2">
              <w:t>239</w:t>
            </w:r>
            <w:r w:rsidR="00E36C5C">
              <w:t>–</w:t>
            </w:r>
            <w:r w:rsidRPr="00A662B2">
              <w:t>380</w:t>
            </w:r>
          </w:p>
        </w:tc>
        <w:tc>
          <w:tcPr>
            <w:tcW w:w="926" w:type="dxa"/>
            <w:tcBorders>
              <w:top w:val="single" w:sz="12" w:space="0" w:color="auto"/>
            </w:tcBorders>
            <w:vAlign w:val="center"/>
          </w:tcPr>
          <w:p w14:paraId="3BA03AE6" w14:textId="566DD875" w:rsidR="005A0486" w:rsidRPr="00A662B2" w:rsidRDefault="005A0486" w:rsidP="0025677F">
            <w:pPr>
              <w:pStyle w:val="ExhibitText"/>
              <w:jc w:val="center"/>
            </w:pPr>
            <w:r w:rsidRPr="00A662B2">
              <w:t>246</w:t>
            </w:r>
            <w:r w:rsidR="00E36C5C">
              <w:t>–</w:t>
            </w:r>
            <w:r w:rsidRPr="00A662B2">
              <w:t>300</w:t>
            </w:r>
          </w:p>
        </w:tc>
        <w:tc>
          <w:tcPr>
            <w:tcW w:w="926" w:type="dxa"/>
            <w:tcBorders>
              <w:top w:val="single" w:sz="12" w:space="0" w:color="auto"/>
            </w:tcBorders>
            <w:vAlign w:val="center"/>
          </w:tcPr>
          <w:p w14:paraId="0D0067E5" w14:textId="77777777" w:rsidR="005A0486" w:rsidRPr="00A662B2" w:rsidRDefault="005A0486" w:rsidP="0025677F">
            <w:pPr>
              <w:pStyle w:val="ExhibitText"/>
              <w:jc w:val="center"/>
            </w:pPr>
            <w:r w:rsidRPr="00A662B2">
              <w:t>555</w:t>
            </w:r>
          </w:p>
        </w:tc>
      </w:tr>
    </w:tbl>
    <w:p w14:paraId="4E5FF99D" w14:textId="77777777" w:rsidR="005A0486" w:rsidRPr="00A662B2" w:rsidRDefault="005A0486" w:rsidP="0064217E">
      <w:pPr>
        <w:pStyle w:val="ExhibitText"/>
      </w:pPr>
    </w:p>
    <w:p w14:paraId="5B53D3E5" w14:textId="1D689501" w:rsidR="005A0486" w:rsidRPr="00A662B2" w:rsidRDefault="00155600" w:rsidP="0064217E">
      <w:pPr>
        <w:pStyle w:val="Footnote"/>
      </w:pPr>
      <w:r w:rsidRPr="00A662B2">
        <w:t xml:space="preserve">Source: </w:t>
      </w:r>
      <w:r w:rsidR="001A3E7D">
        <w:t xml:space="preserve">The Boeing Company, </w:t>
      </w:r>
      <w:r w:rsidR="001A3E7D" w:rsidRPr="00DD7FEA">
        <w:rPr>
          <w:i/>
        </w:rPr>
        <w:t>2012 Annual Report</w:t>
      </w:r>
      <w:r w:rsidR="001A3E7D">
        <w:t xml:space="preserve">, February 11, 2013, </w:t>
      </w:r>
      <w:r w:rsidR="001A3E7D" w:rsidRPr="00A662B2">
        <w:t>accessed April 19, 2018</w:t>
      </w:r>
      <w:r w:rsidR="001A3E7D">
        <w:t xml:space="preserve">, </w:t>
      </w:r>
      <w:r w:rsidRPr="00DD7FEA">
        <w:t>www</w:t>
      </w:r>
      <w:r w:rsidRPr="00A662B2">
        <w:t>.annualreports.com/HostedData/AnnualReportArchive/b/NYSE_BA_2012.pdf</w:t>
      </w:r>
      <w:r w:rsidR="001A3E7D">
        <w:t>.</w:t>
      </w:r>
    </w:p>
    <w:p w14:paraId="7F1D10E1" w14:textId="77777777" w:rsidR="006E3E4E" w:rsidRDefault="006E3E4E">
      <w:pPr>
        <w:spacing w:after="200" w:line="276" w:lineRule="auto"/>
        <w:rPr>
          <w:rFonts w:ascii="Arial" w:hAnsi="Arial" w:cs="Arial"/>
          <w:b/>
          <w:caps/>
        </w:rPr>
      </w:pPr>
      <w:r>
        <w:br w:type="page"/>
      </w:r>
    </w:p>
    <w:p w14:paraId="39F4D661" w14:textId="7271497C" w:rsidR="005A0486" w:rsidRPr="00A662B2" w:rsidRDefault="005A0486" w:rsidP="00155600">
      <w:pPr>
        <w:pStyle w:val="ExhibitHeading"/>
      </w:pPr>
      <w:r w:rsidRPr="00A662B2">
        <w:lastRenderedPageBreak/>
        <w:t>Exhibit 6: Number of aircraft ordered from Airbus and Boeing</w:t>
      </w:r>
      <w:r w:rsidR="00765D06">
        <w:t>,</w:t>
      </w:r>
      <w:r w:rsidRPr="00A662B2">
        <w:t xml:space="preserve"> 2009</w:t>
      </w:r>
      <w:r w:rsidR="00765D06">
        <w:t>–</w:t>
      </w:r>
      <w:r w:rsidRPr="00A662B2">
        <w:t>2012</w:t>
      </w:r>
    </w:p>
    <w:p w14:paraId="31C857A4" w14:textId="77777777" w:rsidR="00155600" w:rsidRPr="00A662B2" w:rsidRDefault="00155600" w:rsidP="0064217E">
      <w:pPr>
        <w:pStyle w:val="ExhibitText"/>
      </w:pPr>
    </w:p>
    <w:tbl>
      <w:tblPr>
        <w:tblW w:w="6480" w:type="dxa"/>
        <w:jc w:val="center"/>
        <w:tblBorders>
          <w:top w:val="single" w:sz="4" w:space="0" w:color="auto"/>
          <w:bottom w:val="single" w:sz="4" w:space="0" w:color="auto"/>
        </w:tblBorders>
        <w:tblLook w:val="04A0" w:firstRow="1" w:lastRow="0" w:firstColumn="1" w:lastColumn="0" w:noHBand="0" w:noVBand="1"/>
      </w:tblPr>
      <w:tblGrid>
        <w:gridCol w:w="1619"/>
        <w:gridCol w:w="1215"/>
        <w:gridCol w:w="1215"/>
        <w:gridCol w:w="1215"/>
        <w:gridCol w:w="1216"/>
      </w:tblGrid>
      <w:tr w:rsidR="005A0486" w:rsidRPr="00A662B2" w14:paraId="769C2717" w14:textId="77777777" w:rsidTr="0025677F">
        <w:trPr>
          <w:trHeight w:val="288"/>
          <w:jc w:val="center"/>
        </w:trPr>
        <w:tc>
          <w:tcPr>
            <w:tcW w:w="1619" w:type="dxa"/>
            <w:tcBorders>
              <w:top w:val="single" w:sz="4" w:space="0" w:color="auto"/>
              <w:bottom w:val="single" w:sz="12" w:space="0" w:color="auto"/>
            </w:tcBorders>
            <w:vAlign w:val="center"/>
          </w:tcPr>
          <w:p w14:paraId="00D10715" w14:textId="77777777" w:rsidR="005A0486" w:rsidRPr="00A662B2" w:rsidRDefault="005A0486" w:rsidP="00155600">
            <w:pPr>
              <w:pStyle w:val="ExhibitText"/>
            </w:pPr>
          </w:p>
        </w:tc>
        <w:tc>
          <w:tcPr>
            <w:tcW w:w="1215" w:type="dxa"/>
            <w:tcBorders>
              <w:top w:val="single" w:sz="4" w:space="0" w:color="auto"/>
              <w:bottom w:val="single" w:sz="12" w:space="0" w:color="auto"/>
            </w:tcBorders>
            <w:vAlign w:val="center"/>
          </w:tcPr>
          <w:p w14:paraId="6E095AD0" w14:textId="77777777" w:rsidR="005A0486" w:rsidRPr="006E3E4E" w:rsidRDefault="005A0486" w:rsidP="0071432F">
            <w:pPr>
              <w:pStyle w:val="ExhibitText"/>
              <w:jc w:val="center"/>
              <w:rPr>
                <w:b/>
              </w:rPr>
            </w:pPr>
            <w:r w:rsidRPr="006E3E4E">
              <w:rPr>
                <w:b/>
              </w:rPr>
              <w:t>2009</w:t>
            </w:r>
          </w:p>
        </w:tc>
        <w:tc>
          <w:tcPr>
            <w:tcW w:w="1215" w:type="dxa"/>
            <w:tcBorders>
              <w:top w:val="single" w:sz="4" w:space="0" w:color="auto"/>
              <w:bottom w:val="single" w:sz="12" w:space="0" w:color="auto"/>
            </w:tcBorders>
            <w:vAlign w:val="center"/>
          </w:tcPr>
          <w:p w14:paraId="77EDC184" w14:textId="77777777" w:rsidR="005A0486" w:rsidRPr="006E3E4E" w:rsidRDefault="005A0486" w:rsidP="0071432F">
            <w:pPr>
              <w:pStyle w:val="ExhibitText"/>
              <w:jc w:val="center"/>
              <w:rPr>
                <w:b/>
              </w:rPr>
            </w:pPr>
            <w:r w:rsidRPr="006E3E4E">
              <w:rPr>
                <w:b/>
              </w:rPr>
              <w:t>2010</w:t>
            </w:r>
          </w:p>
        </w:tc>
        <w:tc>
          <w:tcPr>
            <w:tcW w:w="1215" w:type="dxa"/>
            <w:tcBorders>
              <w:top w:val="single" w:sz="4" w:space="0" w:color="auto"/>
              <w:bottom w:val="single" w:sz="12" w:space="0" w:color="auto"/>
            </w:tcBorders>
            <w:vAlign w:val="center"/>
          </w:tcPr>
          <w:p w14:paraId="7725D62B" w14:textId="77777777" w:rsidR="005A0486" w:rsidRPr="006E3E4E" w:rsidRDefault="005A0486" w:rsidP="0071432F">
            <w:pPr>
              <w:pStyle w:val="ExhibitText"/>
              <w:jc w:val="center"/>
              <w:rPr>
                <w:b/>
              </w:rPr>
            </w:pPr>
            <w:r w:rsidRPr="006E3E4E">
              <w:rPr>
                <w:b/>
              </w:rPr>
              <w:t>2011</w:t>
            </w:r>
          </w:p>
        </w:tc>
        <w:tc>
          <w:tcPr>
            <w:tcW w:w="1216" w:type="dxa"/>
            <w:tcBorders>
              <w:top w:val="single" w:sz="4" w:space="0" w:color="auto"/>
              <w:bottom w:val="single" w:sz="12" w:space="0" w:color="auto"/>
            </w:tcBorders>
            <w:vAlign w:val="center"/>
          </w:tcPr>
          <w:p w14:paraId="01961B26" w14:textId="77777777" w:rsidR="005A0486" w:rsidRPr="006E3E4E" w:rsidRDefault="005A0486" w:rsidP="0071432F">
            <w:pPr>
              <w:pStyle w:val="ExhibitText"/>
              <w:jc w:val="center"/>
              <w:rPr>
                <w:b/>
              </w:rPr>
            </w:pPr>
            <w:r w:rsidRPr="006E3E4E">
              <w:rPr>
                <w:b/>
              </w:rPr>
              <w:t>2012</w:t>
            </w:r>
          </w:p>
        </w:tc>
      </w:tr>
      <w:tr w:rsidR="005A0486" w:rsidRPr="00A662B2" w14:paraId="137416EC" w14:textId="77777777" w:rsidTr="0025677F">
        <w:trPr>
          <w:trHeight w:val="288"/>
          <w:jc w:val="center"/>
        </w:trPr>
        <w:tc>
          <w:tcPr>
            <w:tcW w:w="1619" w:type="dxa"/>
            <w:tcBorders>
              <w:top w:val="single" w:sz="12" w:space="0" w:color="auto"/>
            </w:tcBorders>
            <w:vAlign w:val="center"/>
          </w:tcPr>
          <w:p w14:paraId="5F949697" w14:textId="77777777" w:rsidR="005A0486" w:rsidRPr="006E3E4E" w:rsidRDefault="005A0486" w:rsidP="0071432F">
            <w:pPr>
              <w:pStyle w:val="ExhibitText"/>
              <w:jc w:val="left"/>
              <w:rPr>
                <w:b/>
              </w:rPr>
            </w:pPr>
            <w:r w:rsidRPr="006E3E4E">
              <w:rPr>
                <w:b/>
              </w:rPr>
              <w:t>Airbus</w:t>
            </w:r>
          </w:p>
        </w:tc>
        <w:tc>
          <w:tcPr>
            <w:tcW w:w="1215" w:type="dxa"/>
            <w:tcBorders>
              <w:top w:val="single" w:sz="12" w:space="0" w:color="auto"/>
            </w:tcBorders>
            <w:tcMar>
              <w:left w:w="115" w:type="dxa"/>
              <w:right w:w="360" w:type="dxa"/>
            </w:tcMar>
            <w:vAlign w:val="center"/>
          </w:tcPr>
          <w:p w14:paraId="6262002F" w14:textId="77777777" w:rsidR="005A0486" w:rsidRPr="00A662B2" w:rsidRDefault="005A0486" w:rsidP="0071432F">
            <w:pPr>
              <w:pStyle w:val="ExhibitText"/>
              <w:jc w:val="right"/>
            </w:pPr>
            <w:r w:rsidRPr="00A662B2">
              <w:t>310</w:t>
            </w:r>
          </w:p>
        </w:tc>
        <w:tc>
          <w:tcPr>
            <w:tcW w:w="1215" w:type="dxa"/>
            <w:tcBorders>
              <w:top w:val="single" w:sz="12" w:space="0" w:color="auto"/>
            </w:tcBorders>
            <w:tcMar>
              <w:left w:w="115" w:type="dxa"/>
              <w:right w:w="360" w:type="dxa"/>
            </w:tcMar>
            <w:vAlign w:val="center"/>
          </w:tcPr>
          <w:p w14:paraId="64AE0967" w14:textId="77777777" w:rsidR="005A0486" w:rsidRPr="00A662B2" w:rsidRDefault="005A0486" w:rsidP="0071432F">
            <w:pPr>
              <w:pStyle w:val="ExhibitText"/>
              <w:jc w:val="right"/>
            </w:pPr>
            <w:r w:rsidRPr="00A662B2">
              <w:t>644</w:t>
            </w:r>
          </w:p>
        </w:tc>
        <w:tc>
          <w:tcPr>
            <w:tcW w:w="1215" w:type="dxa"/>
            <w:tcBorders>
              <w:top w:val="single" w:sz="12" w:space="0" w:color="auto"/>
            </w:tcBorders>
            <w:tcMar>
              <w:left w:w="115" w:type="dxa"/>
              <w:right w:w="360" w:type="dxa"/>
            </w:tcMar>
            <w:vAlign w:val="center"/>
          </w:tcPr>
          <w:p w14:paraId="03AB97B4" w14:textId="5E155D4E" w:rsidR="005A0486" w:rsidRPr="00A662B2" w:rsidRDefault="005A0486" w:rsidP="0071432F">
            <w:pPr>
              <w:pStyle w:val="ExhibitText"/>
              <w:jc w:val="right"/>
            </w:pPr>
            <w:r w:rsidRPr="00A662B2">
              <w:t>1</w:t>
            </w:r>
            <w:r w:rsidR="00812FD8">
              <w:t>,</w:t>
            </w:r>
            <w:r w:rsidRPr="00A662B2">
              <w:t>608</w:t>
            </w:r>
          </w:p>
        </w:tc>
        <w:tc>
          <w:tcPr>
            <w:tcW w:w="1216" w:type="dxa"/>
            <w:tcBorders>
              <w:top w:val="single" w:sz="12" w:space="0" w:color="auto"/>
            </w:tcBorders>
            <w:tcMar>
              <w:left w:w="115" w:type="dxa"/>
              <w:right w:w="360" w:type="dxa"/>
            </w:tcMar>
            <w:vAlign w:val="center"/>
          </w:tcPr>
          <w:p w14:paraId="68E77B5A" w14:textId="77777777" w:rsidR="005A0486" w:rsidRPr="00A662B2" w:rsidRDefault="005A0486" w:rsidP="0071432F">
            <w:pPr>
              <w:pStyle w:val="ExhibitText"/>
              <w:jc w:val="right"/>
            </w:pPr>
            <w:r w:rsidRPr="00A662B2">
              <w:t>914</w:t>
            </w:r>
          </w:p>
        </w:tc>
      </w:tr>
      <w:tr w:rsidR="005A0486" w:rsidRPr="00A662B2" w14:paraId="71147ED4" w14:textId="77777777" w:rsidTr="0025677F">
        <w:trPr>
          <w:trHeight w:val="288"/>
          <w:jc w:val="center"/>
        </w:trPr>
        <w:tc>
          <w:tcPr>
            <w:tcW w:w="1619" w:type="dxa"/>
            <w:vAlign w:val="center"/>
          </w:tcPr>
          <w:p w14:paraId="67A00C70" w14:textId="77777777" w:rsidR="005A0486" w:rsidRPr="006E3E4E" w:rsidRDefault="005A0486" w:rsidP="0071432F">
            <w:pPr>
              <w:pStyle w:val="ExhibitText"/>
              <w:jc w:val="left"/>
              <w:rPr>
                <w:b/>
              </w:rPr>
            </w:pPr>
            <w:r w:rsidRPr="006E3E4E">
              <w:rPr>
                <w:b/>
              </w:rPr>
              <w:t>Boeing</w:t>
            </w:r>
          </w:p>
        </w:tc>
        <w:tc>
          <w:tcPr>
            <w:tcW w:w="1215" w:type="dxa"/>
            <w:tcMar>
              <w:left w:w="115" w:type="dxa"/>
              <w:right w:w="360" w:type="dxa"/>
            </w:tcMar>
            <w:vAlign w:val="center"/>
          </w:tcPr>
          <w:p w14:paraId="020A0114" w14:textId="77777777" w:rsidR="005A0486" w:rsidRPr="00A662B2" w:rsidRDefault="005A0486" w:rsidP="0071432F">
            <w:pPr>
              <w:pStyle w:val="ExhibitText"/>
              <w:jc w:val="right"/>
            </w:pPr>
            <w:r w:rsidRPr="00A662B2">
              <w:t>263</w:t>
            </w:r>
          </w:p>
        </w:tc>
        <w:tc>
          <w:tcPr>
            <w:tcW w:w="1215" w:type="dxa"/>
            <w:tcMar>
              <w:left w:w="115" w:type="dxa"/>
              <w:right w:w="360" w:type="dxa"/>
            </w:tcMar>
            <w:vAlign w:val="center"/>
          </w:tcPr>
          <w:p w14:paraId="54D80E51" w14:textId="77777777" w:rsidR="005A0486" w:rsidRPr="00A662B2" w:rsidRDefault="005A0486" w:rsidP="0071432F">
            <w:pPr>
              <w:pStyle w:val="ExhibitText"/>
              <w:jc w:val="right"/>
            </w:pPr>
            <w:r w:rsidRPr="00A662B2">
              <w:t>625</w:t>
            </w:r>
          </w:p>
        </w:tc>
        <w:tc>
          <w:tcPr>
            <w:tcW w:w="1215" w:type="dxa"/>
            <w:tcMar>
              <w:left w:w="115" w:type="dxa"/>
              <w:right w:w="360" w:type="dxa"/>
            </w:tcMar>
            <w:vAlign w:val="center"/>
          </w:tcPr>
          <w:p w14:paraId="7FAA2027" w14:textId="77777777" w:rsidR="005A0486" w:rsidRPr="00A662B2" w:rsidRDefault="005A0486" w:rsidP="0071432F">
            <w:pPr>
              <w:pStyle w:val="ExhibitText"/>
              <w:jc w:val="right"/>
            </w:pPr>
            <w:r w:rsidRPr="00A662B2">
              <w:t>921</w:t>
            </w:r>
          </w:p>
        </w:tc>
        <w:tc>
          <w:tcPr>
            <w:tcW w:w="1216" w:type="dxa"/>
            <w:tcMar>
              <w:left w:w="115" w:type="dxa"/>
              <w:right w:w="360" w:type="dxa"/>
            </w:tcMar>
            <w:vAlign w:val="center"/>
          </w:tcPr>
          <w:p w14:paraId="3CA06A22" w14:textId="74A955F2" w:rsidR="005A0486" w:rsidRPr="00A662B2" w:rsidRDefault="005A0486" w:rsidP="0071432F">
            <w:pPr>
              <w:pStyle w:val="ExhibitText"/>
              <w:jc w:val="right"/>
            </w:pPr>
            <w:r w:rsidRPr="00A662B2">
              <w:t>1</w:t>
            </w:r>
            <w:r w:rsidR="00812FD8">
              <w:t>,</w:t>
            </w:r>
            <w:r w:rsidRPr="00A662B2">
              <w:t>339</w:t>
            </w:r>
          </w:p>
        </w:tc>
      </w:tr>
    </w:tbl>
    <w:p w14:paraId="3A527B1C" w14:textId="77777777" w:rsidR="005A0486" w:rsidRPr="00A662B2" w:rsidRDefault="005A0486" w:rsidP="0064217E">
      <w:pPr>
        <w:pStyle w:val="ExhibitText"/>
      </w:pPr>
    </w:p>
    <w:p w14:paraId="0949B0D3" w14:textId="729625FF" w:rsidR="005A0486" w:rsidRPr="00A662B2" w:rsidRDefault="005A0486" w:rsidP="00155600">
      <w:pPr>
        <w:pStyle w:val="Footnote"/>
      </w:pPr>
      <w:r w:rsidRPr="00A662B2">
        <w:t xml:space="preserve">Source: </w:t>
      </w:r>
      <w:r w:rsidR="00765D06">
        <w:t>“</w:t>
      </w:r>
      <w:r w:rsidR="003B105D">
        <w:t xml:space="preserve">Aircraft Orders—Airbus and Boeing 2003–2017,” Statista, 2018, </w:t>
      </w:r>
      <w:r w:rsidR="003B105D" w:rsidRPr="00A662B2">
        <w:t>accessed April 19, 2018</w:t>
      </w:r>
      <w:r w:rsidR="003B105D">
        <w:t xml:space="preserve">, </w:t>
      </w:r>
      <w:r w:rsidRPr="00A662B2">
        <w:t>https://www.statista.com/statistics/264492/aircraft-orders-from-airbus-and-boeing</w:t>
      </w:r>
      <w:r w:rsidR="003B105D">
        <w:t>.</w:t>
      </w:r>
      <w:r w:rsidRPr="00A662B2">
        <w:t xml:space="preserve"> </w:t>
      </w:r>
    </w:p>
    <w:p w14:paraId="6B114559" w14:textId="77777777" w:rsidR="005A0486" w:rsidRPr="00A662B2" w:rsidRDefault="005A0486" w:rsidP="0064217E">
      <w:pPr>
        <w:pStyle w:val="ExhibitText"/>
      </w:pPr>
    </w:p>
    <w:p w14:paraId="024924BA" w14:textId="77777777" w:rsidR="00155600" w:rsidRPr="00A662B2" w:rsidRDefault="00155600" w:rsidP="0064217E">
      <w:pPr>
        <w:pStyle w:val="ExhibitText"/>
      </w:pPr>
    </w:p>
    <w:p w14:paraId="109E581A" w14:textId="77777777" w:rsidR="005A0486" w:rsidRPr="00A662B2" w:rsidRDefault="005A0486" w:rsidP="00155600">
      <w:pPr>
        <w:pStyle w:val="ExhibitHeading"/>
      </w:pPr>
      <w:r w:rsidRPr="00A662B2">
        <w:t>Exhibit 7: Commercial Regional Jet Offerings (2012)</w:t>
      </w:r>
    </w:p>
    <w:p w14:paraId="202CA4D8" w14:textId="77777777" w:rsidR="00155600" w:rsidRPr="00A662B2" w:rsidRDefault="00155600" w:rsidP="0064217E">
      <w:pPr>
        <w:pStyle w:val="ExhibitText"/>
      </w:pPr>
    </w:p>
    <w:tbl>
      <w:tblPr>
        <w:tblW w:w="7200" w:type="dxa"/>
        <w:jc w:val="center"/>
        <w:tblBorders>
          <w:top w:val="single" w:sz="4" w:space="0" w:color="auto"/>
          <w:bottom w:val="single" w:sz="4" w:space="0" w:color="auto"/>
        </w:tblBorders>
        <w:tblLook w:val="04A0" w:firstRow="1" w:lastRow="0" w:firstColumn="1" w:lastColumn="0" w:noHBand="0" w:noVBand="1"/>
      </w:tblPr>
      <w:tblGrid>
        <w:gridCol w:w="2206"/>
        <w:gridCol w:w="998"/>
        <w:gridCol w:w="999"/>
        <w:gridCol w:w="999"/>
        <w:gridCol w:w="999"/>
        <w:gridCol w:w="999"/>
      </w:tblGrid>
      <w:tr w:rsidR="005A0486" w:rsidRPr="003D1662" w14:paraId="3F66606C" w14:textId="77777777" w:rsidTr="003D1662">
        <w:trPr>
          <w:trHeight w:val="288"/>
          <w:jc w:val="center"/>
        </w:trPr>
        <w:tc>
          <w:tcPr>
            <w:tcW w:w="2206" w:type="dxa"/>
            <w:vAlign w:val="center"/>
          </w:tcPr>
          <w:p w14:paraId="25A69F29" w14:textId="77777777" w:rsidR="005A0486" w:rsidRPr="003D1662" w:rsidRDefault="005A0486" w:rsidP="0025677F">
            <w:pPr>
              <w:pStyle w:val="ExhibitText"/>
              <w:jc w:val="left"/>
              <w:rPr>
                <w:b/>
              </w:rPr>
            </w:pPr>
            <w:r w:rsidRPr="003D1662">
              <w:rPr>
                <w:b/>
              </w:rPr>
              <w:t>Embraer</w:t>
            </w:r>
          </w:p>
        </w:tc>
        <w:tc>
          <w:tcPr>
            <w:tcW w:w="998" w:type="dxa"/>
            <w:vAlign w:val="center"/>
          </w:tcPr>
          <w:p w14:paraId="0434A6D7" w14:textId="77777777" w:rsidR="005A0486" w:rsidRPr="003D1662" w:rsidRDefault="005A0486" w:rsidP="0025677F">
            <w:pPr>
              <w:pStyle w:val="ExhibitText"/>
              <w:jc w:val="center"/>
              <w:rPr>
                <w:b/>
              </w:rPr>
            </w:pPr>
            <w:r w:rsidRPr="003D1662">
              <w:rPr>
                <w:b/>
              </w:rPr>
              <w:t>ERJ 145</w:t>
            </w:r>
          </w:p>
        </w:tc>
        <w:tc>
          <w:tcPr>
            <w:tcW w:w="999" w:type="dxa"/>
            <w:vAlign w:val="center"/>
          </w:tcPr>
          <w:p w14:paraId="72F12965" w14:textId="77777777" w:rsidR="005A0486" w:rsidRPr="003D1662" w:rsidRDefault="005A0486" w:rsidP="0025677F">
            <w:pPr>
              <w:pStyle w:val="ExhibitText"/>
              <w:jc w:val="center"/>
              <w:rPr>
                <w:b/>
              </w:rPr>
            </w:pPr>
            <w:r w:rsidRPr="003D1662">
              <w:rPr>
                <w:b/>
              </w:rPr>
              <w:t>170</w:t>
            </w:r>
          </w:p>
        </w:tc>
        <w:tc>
          <w:tcPr>
            <w:tcW w:w="999" w:type="dxa"/>
            <w:vAlign w:val="center"/>
          </w:tcPr>
          <w:p w14:paraId="28CDF6BD" w14:textId="77777777" w:rsidR="005A0486" w:rsidRPr="003D1662" w:rsidRDefault="005A0486" w:rsidP="0025677F">
            <w:pPr>
              <w:pStyle w:val="ExhibitText"/>
              <w:jc w:val="center"/>
              <w:rPr>
                <w:b/>
              </w:rPr>
            </w:pPr>
            <w:r w:rsidRPr="003D1662">
              <w:rPr>
                <w:b/>
              </w:rPr>
              <w:t>175</w:t>
            </w:r>
          </w:p>
        </w:tc>
        <w:tc>
          <w:tcPr>
            <w:tcW w:w="999" w:type="dxa"/>
            <w:vAlign w:val="center"/>
          </w:tcPr>
          <w:p w14:paraId="007F6BA2" w14:textId="77777777" w:rsidR="005A0486" w:rsidRPr="003D1662" w:rsidRDefault="005A0486" w:rsidP="0025677F">
            <w:pPr>
              <w:pStyle w:val="ExhibitText"/>
              <w:jc w:val="center"/>
              <w:rPr>
                <w:b/>
              </w:rPr>
            </w:pPr>
            <w:r w:rsidRPr="003D1662">
              <w:rPr>
                <w:b/>
              </w:rPr>
              <w:t>190</w:t>
            </w:r>
          </w:p>
        </w:tc>
        <w:tc>
          <w:tcPr>
            <w:tcW w:w="999" w:type="dxa"/>
            <w:vAlign w:val="center"/>
          </w:tcPr>
          <w:p w14:paraId="3350D775" w14:textId="77777777" w:rsidR="005A0486" w:rsidRPr="003D1662" w:rsidRDefault="005A0486" w:rsidP="0025677F">
            <w:pPr>
              <w:pStyle w:val="ExhibitText"/>
              <w:jc w:val="center"/>
              <w:rPr>
                <w:b/>
              </w:rPr>
            </w:pPr>
            <w:r w:rsidRPr="003D1662">
              <w:rPr>
                <w:b/>
              </w:rPr>
              <w:t>195</w:t>
            </w:r>
          </w:p>
        </w:tc>
      </w:tr>
      <w:tr w:rsidR="005A0486" w:rsidRPr="00A662B2" w14:paraId="6D21F78F" w14:textId="77777777" w:rsidTr="003D1662">
        <w:trPr>
          <w:trHeight w:val="288"/>
          <w:jc w:val="center"/>
        </w:trPr>
        <w:tc>
          <w:tcPr>
            <w:tcW w:w="2206" w:type="dxa"/>
            <w:vAlign w:val="center"/>
          </w:tcPr>
          <w:p w14:paraId="558DE810" w14:textId="77777777" w:rsidR="005A0486" w:rsidRPr="00A662B2" w:rsidRDefault="005A0486" w:rsidP="0025677F">
            <w:pPr>
              <w:pStyle w:val="ExhibitText"/>
              <w:jc w:val="left"/>
            </w:pPr>
            <w:r w:rsidRPr="00A662B2">
              <w:t>Passenger Capacity</w:t>
            </w:r>
          </w:p>
        </w:tc>
        <w:tc>
          <w:tcPr>
            <w:tcW w:w="998" w:type="dxa"/>
            <w:vAlign w:val="center"/>
          </w:tcPr>
          <w:p w14:paraId="400C8148" w14:textId="2ED1272B" w:rsidR="005A0486" w:rsidRPr="00A662B2" w:rsidRDefault="005A0486" w:rsidP="0025677F">
            <w:pPr>
              <w:pStyle w:val="ExhibitText"/>
              <w:jc w:val="center"/>
            </w:pPr>
            <w:r w:rsidRPr="00A662B2">
              <w:t>37</w:t>
            </w:r>
            <w:r w:rsidR="003B105D">
              <w:t>–</w:t>
            </w:r>
            <w:r w:rsidRPr="00A662B2">
              <w:t>50</w:t>
            </w:r>
          </w:p>
        </w:tc>
        <w:tc>
          <w:tcPr>
            <w:tcW w:w="999" w:type="dxa"/>
            <w:vAlign w:val="center"/>
          </w:tcPr>
          <w:p w14:paraId="3AC88E55" w14:textId="28D874AA" w:rsidR="005A0486" w:rsidRPr="00A662B2" w:rsidRDefault="005A0486" w:rsidP="0025677F">
            <w:pPr>
              <w:pStyle w:val="ExhibitText"/>
              <w:jc w:val="center"/>
            </w:pPr>
            <w:r w:rsidRPr="00A662B2">
              <w:t>70</w:t>
            </w:r>
            <w:r w:rsidR="003B105D">
              <w:t>–</w:t>
            </w:r>
            <w:r w:rsidRPr="00A662B2">
              <w:t>80</w:t>
            </w:r>
          </w:p>
        </w:tc>
        <w:tc>
          <w:tcPr>
            <w:tcW w:w="999" w:type="dxa"/>
            <w:vAlign w:val="center"/>
          </w:tcPr>
          <w:p w14:paraId="3B09314A" w14:textId="130061A5" w:rsidR="005A0486" w:rsidRPr="00A662B2" w:rsidRDefault="005A0486" w:rsidP="0025677F">
            <w:pPr>
              <w:pStyle w:val="ExhibitText"/>
              <w:jc w:val="center"/>
            </w:pPr>
            <w:r w:rsidRPr="00A662B2">
              <w:t>78</w:t>
            </w:r>
            <w:r w:rsidR="003B105D">
              <w:t>–</w:t>
            </w:r>
            <w:r w:rsidRPr="00A662B2">
              <w:t>88</w:t>
            </w:r>
          </w:p>
        </w:tc>
        <w:tc>
          <w:tcPr>
            <w:tcW w:w="999" w:type="dxa"/>
            <w:vAlign w:val="center"/>
          </w:tcPr>
          <w:p w14:paraId="6AB4B8A0" w14:textId="10AEC026" w:rsidR="005A0486" w:rsidRPr="00A662B2" w:rsidRDefault="005A0486" w:rsidP="0025677F">
            <w:pPr>
              <w:pStyle w:val="ExhibitText"/>
              <w:jc w:val="center"/>
            </w:pPr>
            <w:r w:rsidRPr="00A662B2">
              <w:t>98-</w:t>
            </w:r>
            <w:r w:rsidR="003B105D">
              <w:t>–</w:t>
            </w:r>
            <w:r w:rsidRPr="00A662B2">
              <w:t>14</w:t>
            </w:r>
          </w:p>
        </w:tc>
        <w:tc>
          <w:tcPr>
            <w:tcW w:w="999" w:type="dxa"/>
            <w:vAlign w:val="center"/>
          </w:tcPr>
          <w:p w14:paraId="321BBCAD" w14:textId="1B0E370A" w:rsidR="005A0486" w:rsidRPr="00A662B2" w:rsidRDefault="005A0486" w:rsidP="0025677F">
            <w:pPr>
              <w:pStyle w:val="ExhibitText"/>
              <w:jc w:val="center"/>
            </w:pPr>
            <w:r w:rsidRPr="00A662B2">
              <w:t>108</w:t>
            </w:r>
            <w:r w:rsidR="003B105D">
              <w:t>–</w:t>
            </w:r>
            <w:r w:rsidRPr="00A662B2">
              <w:t>122</w:t>
            </w:r>
          </w:p>
        </w:tc>
      </w:tr>
    </w:tbl>
    <w:p w14:paraId="4B232A6D" w14:textId="77777777" w:rsidR="005A0486" w:rsidRPr="00A662B2" w:rsidRDefault="005A0486" w:rsidP="0064217E">
      <w:pPr>
        <w:pStyle w:val="ExhibitText"/>
      </w:pPr>
    </w:p>
    <w:tbl>
      <w:tblPr>
        <w:tblW w:w="7200" w:type="dxa"/>
        <w:jc w:val="center"/>
        <w:tblBorders>
          <w:top w:val="single" w:sz="4" w:space="0" w:color="auto"/>
          <w:bottom w:val="single" w:sz="4" w:space="0" w:color="auto"/>
        </w:tblBorders>
        <w:tblLook w:val="04A0" w:firstRow="1" w:lastRow="0" w:firstColumn="1" w:lastColumn="0" w:noHBand="0" w:noVBand="1"/>
      </w:tblPr>
      <w:tblGrid>
        <w:gridCol w:w="2070"/>
        <w:gridCol w:w="1026"/>
        <w:gridCol w:w="1026"/>
        <w:gridCol w:w="1026"/>
        <w:gridCol w:w="1026"/>
        <w:gridCol w:w="1026"/>
      </w:tblGrid>
      <w:tr w:rsidR="00C43624" w:rsidRPr="003D1662" w14:paraId="2C12F23F" w14:textId="77777777" w:rsidTr="003D1662">
        <w:trPr>
          <w:trHeight w:val="288"/>
          <w:jc w:val="center"/>
        </w:trPr>
        <w:tc>
          <w:tcPr>
            <w:tcW w:w="2070" w:type="dxa"/>
            <w:vAlign w:val="center"/>
          </w:tcPr>
          <w:p w14:paraId="1F1F6CA5" w14:textId="77777777" w:rsidR="005A0486" w:rsidRPr="003D1662" w:rsidRDefault="005A0486" w:rsidP="00155600">
            <w:pPr>
              <w:pStyle w:val="ExhibitText"/>
              <w:rPr>
                <w:b/>
              </w:rPr>
            </w:pPr>
            <w:r w:rsidRPr="003D1662">
              <w:rPr>
                <w:b/>
              </w:rPr>
              <w:t>Bombardier</w:t>
            </w:r>
          </w:p>
        </w:tc>
        <w:tc>
          <w:tcPr>
            <w:tcW w:w="1026" w:type="dxa"/>
            <w:vAlign w:val="center"/>
          </w:tcPr>
          <w:p w14:paraId="1397AFA4" w14:textId="77777777" w:rsidR="005A0486" w:rsidRPr="003D1662" w:rsidRDefault="005A0486" w:rsidP="00C43624">
            <w:pPr>
              <w:pStyle w:val="ExhibitText"/>
              <w:jc w:val="center"/>
              <w:rPr>
                <w:b/>
              </w:rPr>
            </w:pPr>
            <w:r w:rsidRPr="003D1662">
              <w:rPr>
                <w:b/>
              </w:rPr>
              <w:t>CRJ700</w:t>
            </w:r>
          </w:p>
        </w:tc>
        <w:tc>
          <w:tcPr>
            <w:tcW w:w="1026" w:type="dxa"/>
            <w:vAlign w:val="center"/>
          </w:tcPr>
          <w:p w14:paraId="3D39D4CF" w14:textId="77777777" w:rsidR="005A0486" w:rsidRPr="003D1662" w:rsidRDefault="005A0486" w:rsidP="00C43624">
            <w:pPr>
              <w:pStyle w:val="ExhibitText"/>
              <w:jc w:val="center"/>
              <w:rPr>
                <w:b/>
              </w:rPr>
            </w:pPr>
            <w:r w:rsidRPr="003D1662">
              <w:rPr>
                <w:b/>
              </w:rPr>
              <w:t>900</w:t>
            </w:r>
          </w:p>
        </w:tc>
        <w:tc>
          <w:tcPr>
            <w:tcW w:w="1026" w:type="dxa"/>
            <w:vAlign w:val="center"/>
          </w:tcPr>
          <w:p w14:paraId="6EA5E5CF" w14:textId="77777777" w:rsidR="005A0486" w:rsidRPr="003D1662" w:rsidRDefault="005A0486" w:rsidP="00C43624">
            <w:pPr>
              <w:pStyle w:val="ExhibitText"/>
              <w:jc w:val="center"/>
              <w:rPr>
                <w:b/>
              </w:rPr>
            </w:pPr>
            <w:r w:rsidRPr="003D1662">
              <w:rPr>
                <w:b/>
              </w:rPr>
              <w:t>1000</w:t>
            </w:r>
          </w:p>
        </w:tc>
        <w:tc>
          <w:tcPr>
            <w:tcW w:w="1026" w:type="dxa"/>
            <w:vAlign w:val="center"/>
          </w:tcPr>
          <w:p w14:paraId="6D6E2384" w14:textId="77777777" w:rsidR="005A0486" w:rsidRPr="003D1662" w:rsidRDefault="005A0486" w:rsidP="00C43624">
            <w:pPr>
              <w:pStyle w:val="ExhibitText"/>
              <w:jc w:val="center"/>
              <w:rPr>
                <w:b/>
              </w:rPr>
            </w:pPr>
            <w:r w:rsidRPr="003D1662">
              <w:rPr>
                <w:b/>
              </w:rPr>
              <w:t>190</w:t>
            </w:r>
          </w:p>
        </w:tc>
        <w:tc>
          <w:tcPr>
            <w:tcW w:w="1026" w:type="dxa"/>
            <w:vAlign w:val="center"/>
          </w:tcPr>
          <w:p w14:paraId="35557FC1" w14:textId="77777777" w:rsidR="005A0486" w:rsidRPr="003D1662" w:rsidRDefault="005A0486" w:rsidP="00C43624">
            <w:pPr>
              <w:pStyle w:val="ExhibitText"/>
              <w:jc w:val="center"/>
              <w:rPr>
                <w:b/>
              </w:rPr>
            </w:pPr>
            <w:r w:rsidRPr="003D1662">
              <w:rPr>
                <w:b/>
              </w:rPr>
              <w:t>195</w:t>
            </w:r>
          </w:p>
        </w:tc>
      </w:tr>
      <w:tr w:rsidR="00C43624" w:rsidRPr="00A662B2" w14:paraId="410BA78D" w14:textId="77777777" w:rsidTr="003D1662">
        <w:trPr>
          <w:trHeight w:val="288"/>
          <w:jc w:val="center"/>
        </w:trPr>
        <w:tc>
          <w:tcPr>
            <w:tcW w:w="2070" w:type="dxa"/>
            <w:vAlign w:val="center"/>
          </w:tcPr>
          <w:p w14:paraId="6DE41A46" w14:textId="77777777" w:rsidR="005A0486" w:rsidRPr="00A662B2" w:rsidRDefault="005A0486" w:rsidP="00155600">
            <w:pPr>
              <w:pStyle w:val="ExhibitText"/>
            </w:pPr>
            <w:r w:rsidRPr="00A662B2">
              <w:t>Passenger Capacity</w:t>
            </w:r>
          </w:p>
        </w:tc>
        <w:tc>
          <w:tcPr>
            <w:tcW w:w="1026" w:type="dxa"/>
            <w:vAlign w:val="center"/>
          </w:tcPr>
          <w:p w14:paraId="62D0E2E4" w14:textId="77777777" w:rsidR="005A0486" w:rsidRPr="00A662B2" w:rsidRDefault="005A0486" w:rsidP="00C43624">
            <w:pPr>
              <w:pStyle w:val="ExhibitText"/>
              <w:jc w:val="center"/>
            </w:pPr>
            <w:r w:rsidRPr="00A662B2">
              <w:t>75</w:t>
            </w:r>
          </w:p>
        </w:tc>
        <w:tc>
          <w:tcPr>
            <w:tcW w:w="1026" w:type="dxa"/>
            <w:vAlign w:val="center"/>
          </w:tcPr>
          <w:p w14:paraId="029D4196" w14:textId="77777777" w:rsidR="005A0486" w:rsidRPr="00A662B2" w:rsidRDefault="005A0486" w:rsidP="00C43624">
            <w:pPr>
              <w:pStyle w:val="ExhibitText"/>
              <w:jc w:val="center"/>
            </w:pPr>
            <w:r w:rsidRPr="00A662B2">
              <w:t>76</w:t>
            </w:r>
          </w:p>
        </w:tc>
        <w:tc>
          <w:tcPr>
            <w:tcW w:w="1026" w:type="dxa"/>
            <w:vAlign w:val="center"/>
          </w:tcPr>
          <w:p w14:paraId="65E9DB86" w14:textId="77777777" w:rsidR="005A0486" w:rsidRPr="00A662B2" w:rsidRDefault="005A0486" w:rsidP="00C43624">
            <w:pPr>
              <w:pStyle w:val="ExhibitText"/>
              <w:jc w:val="center"/>
            </w:pPr>
            <w:r w:rsidRPr="00A662B2">
              <w:t>100</w:t>
            </w:r>
          </w:p>
        </w:tc>
        <w:tc>
          <w:tcPr>
            <w:tcW w:w="1026" w:type="dxa"/>
            <w:vAlign w:val="center"/>
          </w:tcPr>
          <w:p w14:paraId="5797A130" w14:textId="0B624E2E" w:rsidR="005A0486" w:rsidRPr="00A662B2" w:rsidRDefault="005A0486" w:rsidP="00C43624">
            <w:pPr>
              <w:pStyle w:val="ExhibitText"/>
              <w:jc w:val="center"/>
            </w:pPr>
            <w:r w:rsidRPr="00A662B2">
              <w:t>98</w:t>
            </w:r>
            <w:r w:rsidR="003B105D">
              <w:t>–</w:t>
            </w:r>
            <w:r w:rsidRPr="00A662B2">
              <w:t>114</w:t>
            </w:r>
          </w:p>
        </w:tc>
        <w:tc>
          <w:tcPr>
            <w:tcW w:w="1026" w:type="dxa"/>
            <w:vAlign w:val="center"/>
          </w:tcPr>
          <w:p w14:paraId="6F0F826E" w14:textId="555E027E" w:rsidR="005A0486" w:rsidRPr="00A662B2" w:rsidRDefault="005A0486" w:rsidP="00C43624">
            <w:pPr>
              <w:pStyle w:val="ExhibitText"/>
              <w:jc w:val="center"/>
            </w:pPr>
            <w:r w:rsidRPr="00A662B2">
              <w:t>108</w:t>
            </w:r>
            <w:r w:rsidR="003B105D">
              <w:t>–</w:t>
            </w:r>
            <w:r w:rsidRPr="00A662B2">
              <w:t>122</w:t>
            </w:r>
          </w:p>
        </w:tc>
      </w:tr>
    </w:tbl>
    <w:p w14:paraId="7DD8D6E1" w14:textId="77777777" w:rsidR="00155600" w:rsidRPr="00A662B2" w:rsidRDefault="00155600" w:rsidP="0064217E">
      <w:pPr>
        <w:pStyle w:val="ExhibitText"/>
      </w:pPr>
    </w:p>
    <w:p w14:paraId="7727B425" w14:textId="46B6948B" w:rsidR="005A0486" w:rsidRPr="00A662B2" w:rsidRDefault="005A0486" w:rsidP="00155600">
      <w:pPr>
        <w:pStyle w:val="Footnote"/>
      </w:pPr>
      <w:r w:rsidRPr="00A662B2">
        <w:t>Source: Company documents</w:t>
      </w:r>
      <w:r w:rsidR="003B105D">
        <w:t>.</w:t>
      </w:r>
    </w:p>
    <w:p w14:paraId="4936ED2C" w14:textId="77777777" w:rsidR="005A0486" w:rsidRPr="00A662B2" w:rsidRDefault="005A0486" w:rsidP="0064217E">
      <w:pPr>
        <w:pStyle w:val="ExhibitText"/>
      </w:pPr>
    </w:p>
    <w:p w14:paraId="5B358308" w14:textId="77777777" w:rsidR="005A0486" w:rsidRPr="00A662B2" w:rsidRDefault="005A0486" w:rsidP="0064217E">
      <w:pPr>
        <w:pStyle w:val="ExhibitText"/>
      </w:pPr>
    </w:p>
    <w:p w14:paraId="2EF09FC7" w14:textId="77777777" w:rsidR="005A0486" w:rsidRPr="00A662B2" w:rsidRDefault="005A0486" w:rsidP="00C43624">
      <w:pPr>
        <w:pStyle w:val="ExhibitHeading"/>
      </w:pPr>
      <w:r w:rsidRPr="00A662B2">
        <w:t>Exhibit 8: Commercial Regional Jet Deliveries (2012)</w:t>
      </w:r>
    </w:p>
    <w:p w14:paraId="602E4EE9" w14:textId="77777777" w:rsidR="005A0486" w:rsidRPr="00A662B2" w:rsidRDefault="005A0486" w:rsidP="0064217E">
      <w:pPr>
        <w:pStyle w:val="ExhibitText"/>
      </w:pPr>
    </w:p>
    <w:tbl>
      <w:tblPr>
        <w:tblW w:w="0" w:type="auto"/>
        <w:jc w:val="center"/>
        <w:tblBorders>
          <w:top w:val="single" w:sz="4" w:space="0" w:color="auto"/>
          <w:bottom w:val="single" w:sz="4" w:space="0" w:color="auto"/>
        </w:tblBorders>
        <w:tblLook w:val="04A0" w:firstRow="1" w:lastRow="0" w:firstColumn="1" w:lastColumn="0" w:noHBand="0" w:noVBand="1"/>
      </w:tblPr>
      <w:tblGrid>
        <w:gridCol w:w="2405"/>
        <w:gridCol w:w="997"/>
      </w:tblGrid>
      <w:tr w:rsidR="005A0486" w:rsidRPr="003D1662" w14:paraId="24BF4027" w14:textId="77777777" w:rsidTr="003D1662">
        <w:trPr>
          <w:trHeight w:val="288"/>
          <w:jc w:val="center"/>
        </w:trPr>
        <w:tc>
          <w:tcPr>
            <w:tcW w:w="2405" w:type="dxa"/>
            <w:tcBorders>
              <w:top w:val="single" w:sz="4" w:space="0" w:color="auto"/>
              <w:bottom w:val="single" w:sz="12" w:space="0" w:color="auto"/>
            </w:tcBorders>
            <w:vAlign w:val="center"/>
          </w:tcPr>
          <w:p w14:paraId="6B9634A2" w14:textId="77777777" w:rsidR="005A0486" w:rsidRPr="003D1662" w:rsidRDefault="005A0486" w:rsidP="003D1662">
            <w:pPr>
              <w:pStyle w:val="ExhibitText"/>
              <w:jc w:val="left"/>
              <w:rPr>
                <w:b/>
              </w:rPr>
            </w:pPr>
            <w:r w:rsidRPr="003D1662">
              <w:rPr>
                <w:b/>
              </w:rPr>
              <w:t>Manufacturer</w:t>
            </w:r>
          </w:p>
        </w:tc>
        <w:tc>
          <w:tcPr>
            <w:tcW w:w="997" w:type="dxa"/>
            <w:tcBorders>
              <w:top w:val="single" w:sz="4" w:space="0" w:color="auto"/>
              <w:bottom w:val="single" w:sz="12" w:space="0" w:color="auto"/>
            </w:tcBorders>
            <w:vAlign w:val="center"/>
          </w:tcPr>
          <w:p w14:paraId="7C6E0B95" w14:textId="77777777" w:rsidR="005A0486" w:rsidRPr="003D1662" w:rsidRDefault="005A0486" w:rsidP="006E3E4E">
            <w:pPr>
              <w:pStyle w:val="ExhibitText"/>
              <w:jc w:val="center"/>
              <w:rPr>
                <w:b/>
              </w:rPr>
            </w:pPr>
            <w:r w:rsidRPr="003D1662">
              <w:rPr>
                <w:b/>
              </w:rPr>
              <w:t>Units</w:t>
            </w:r>
          </w:p>
        </w:tc>
      </w:tr>
      <w:tr w:rsidR="005A0486" w:rsidRPr="00A662B2" w14:paraId="54097A3E" w14:textId="77777777" w:rsidTr="003D1662">
        <w:trPr>
          <w:trHeight w:val="288"/>
          <w:jc w:val="center"/>
        </w:trPr>
        <w:tc>
          <w:tcPr>
            <w:tcW w:w="2405" w:type="dxa"/>
            <w:tcBorders>
              <w:top w:val="single" w:sz="12" w:space="0" w:color="auto"/>
            </w:tcBorders>
            <w:vAlign w:val="center"/>
          </w:tcPr>
          <w:p w14:paraId="580CD6BB" w14:textId="77777777" w:rsidR="005A0486" w:rsidRPr="00A662B2" w:rsidRDefault="005A0486" w:rsidP="00C43624">
            <w:pPr>
              <w:pStyle w:val="ExhibitText"/>
            </w:pPr>
            <w:r w:rsidRPr="00A662B2">
              <w:t>Bombardier</w:t>
            </w:r>
          </w:p>
        </w:tc>
        <w:tc>
          <w:tcPr>
            <w:tcW w:w="997" w:type="dxa"/>
            <w:tcBorders>
              <w:top w:val="single" w:sz="12" w:space="0" w:color="auto"/>
            </w:tcBorders>
            <w:tcMar>
              <w:left w:w="115" w:type="dxa"/>
              <w:right w:w="360" w:type="dxa"/>
            </w:tcMar>
            <w:vAlign w:val="center"/>
          </w:tcPr>
          <w:p w14:paraId="7F96B778" w14:textId="77777777" w:rsidR="005A0486" w:rsidRPr="00A662B2" w:rsidRDefault="005A0486" w:rsidP="006E3E4E">
            <w:pPr>
              <w:pStyle w:val="ExhibitText"/>
              <w:jc w:val="right"/>
            </w:pPr>
            <w:r w:rsidRPr="00A662B2">
              <w:t>50</w:t>
            </w:r>
          </w:p>
        </w:tc>
      </w:tr>
      <w:tr w:rsidR="005A0486" w:rsidRPr="00A662B2" w14:paraId="5F4CC0CD" w14:textId="77777777" w:rsidTr="003D1662">
        <w:trPr>
          <w:trHeight w:val="288"/>
          <w:jc w:val="center"/>
        </w:trPr>
        <w:tc>
          <w:tcPr>
            <w:tcW w:w="2405" w:type="dxa"/>
            <w:vAlign w:val="center"/>
          </w:tcPr>
          <w:p w14:paraId="0AA37BE9" w14:textId="77777777" w:rsidR="005A0486" w:rsidRPr="00A662B2" w:rsidRDefault="005A0486" w:rsidP="00C43624">
            <w:pPr>
              <w:pStyle w:val="ExhibitText"/>
            </w:pPr>
            <w:r w:rsidRPr="00A662B2">
              <w:t>Embraer</w:t>
            </w:r>
          </w:p>
        </w:tc>
        <w:tc>
          <w:tcPr>
            <w:tcW w:w="997" w:type="dxa"/>
            <w:tcMar>
              <w:left w:w="115" w:type="dxa"/>
              <w:right w:w="360" w:type="dxa"/>
            </w:tcMar>
            <w:vAlign w:val="center"/>
          </w:tcPr>
          <w:p w14:paraId="3CD555E3" w14:textId="77777777" w:rsidR="005A0486" w:rsidRPr="00A662B2" w:rsidRDefault="005A0486" w:rsidP="006E3E4E">
            <w:pPr>
              <w:pStyle w:val="ExhibitText"/>
              <w:jc w:val="right"/>
            </w:pPr>
            <w:r w:rsidRPr="00A662B2">
              <w:t>283</w:t>
            </w:r>
          </w:p>
        </w:tc>
      </w:tr>
    </w:tbl>
    <w:p w14:paraId="1E8D626C" w14:textId="77777777" w:rsidR="005A0486" w:rsidRPr="00A662B2" w:rsidRDefault="005A0486" w:rsidP="0064217E">
      <w:pPr>
        <w:pStyle w:val="ExhibitText"/>
      </w:pPr>
    </w:p>
    <w:p w14:paraId="3F622C2E" w14:textId="5E953983" w:rsidR="005A0486" w:rsidRPr="00A662B2" w:rsidRDefault="005A0486" w:rsidP="00C43624">
      <w:pPr>
        <w:pStyle w:val="Footnote"/>
      </w:pPr>
      <w:r w:rsidRPr="00A662B2">
        <w:t xml:space="preserve">Source: </w:t>
      </w:r>
      <w:r w:rsidR="003F50C8">
        <w:t xml:space="preserve">“Bombardier’s Commercial Aircraft Deliveries Worldwide 2012,” Statista, 2018, </w:t>
      </w:r>
      <w:r w:rsidR="003F50C8" w:rsidRPr="00A662B2">
        <w:t>accessed April 19, 2018</w:t>
      </w:r>
      <w:r w:rsidR="003F50C8">
        <w:t xml:space="preserve">, </w:t>
      </w:r>
      <w:r w:rsidR="00C43624" w:rsidRPr="00A662B2">
        <w:t xml:space="preserve">www.statista.com/statistics/263823/bombardiers-commcercial-aircraft-deliveries-worldwide-since-2005; </w:t>
      </w:r>
      <w:r w:rsidR="003F50C8">
        <w:t xml:space="preserve">“Embraer—Aircraft Deliveries 2016,” </w:t>
      </w:r>
      <w:r w:rsidR="00395BAF">
        <w:t xml:space="preserve">Statista, </w:t>
      </w:r>
      <w:r w:rsidR="00955D72">
        <w:t xml:space="preserve">2018, </w:t>
      </w:r>
      <w:r w:rsidR="002B71BB">
        <w:t xml:space="preserve">accessed April 19, 2018, </w:t>
      </w:r>
      <w:r w:rsidR="00395BAF" w:rsidRPr="006E3E4E">
        <w:t>www.statista.com/statistics/269938/deliveries-of-aircraft-from-embraer</w:t>
      </w:r>
      <w:r w:rsidR="002B71BB">
        <w:t>.</w:t>
      </w:r>
    </w:p>
    <w:p w14:paraId="3445B2C2" w14:textId="77777777" w:rsidR="005A0486" w:rsidRPr="00A662B2" w:rsidRDefault="005A0486" w:rsidP="0064217E">
      <w:pPr>
        <w:pStyle w:val="ExhibitText"/>
      </w:pPr>
    </w:p>
    <w:p w14:paraId="46A846B9" w14:textId="77777777" w:rsidR="00C43624" w:rsidRPr="00A662B2" w:rsidRDefault="00C43624" w:rsidP="0064217E">
      <w:pPr>
        <w:pStyle w:val="ExhibitText"/>
      </w:pPr>
    </w:p>
    <w:p w14:paraId="70E79257" w14:textId="69DDB00B" w:rsidR="005A0486" w:rsidRPr="00A662B2" w:rsidRDefault="005A0486" w:rsidP="00C43624">
      <w:pPr>
        <w:pStyle w:val="ExhibitHeading"/>
      </w:pPr>
      <w:r w:rsidRPr="00A662B2">
        <w:t>Exhibit 9: New Business Jet / Private Jet Sales by Manufacturer</w:t>
      </w:r>
      <w:r w:rsidR="00C41DE4">
        <w:t>,</w:t>
      </w:r>
      <w:r w:rsidRPr="00A662B2">
        <w:t xml:space="preserve"> 2012</w:t>
      </w:r>
    </w:p>
    <w:p w14:paraId="7EE619F3" w14:textId="77777777" w:rsidR="005A0486" w:rsidRPr="00A662B2" w:rsidRDefault="005A0486" w:rsidP="0064217E">
      <w:pPr>
        <w:pStyle w:val="ExhibitText"/>
      </w:pPr>
    </w:p>
    <w:tbl>
      <w:tblPr>
        <w:tblW w:w="0" w:type="auto"/>
        <w:jc w:val="center"/>
        <w:tblBorders>
          <w:top w:val="single" w:sz="4" w:space="0" w:color="auto"/>
          <w:bottom w:val="single" w:sz="4" w:space="0" w:color="auto"/>
        </w:tblBorders>
        <w:tblLook w:val="04A0" w:firstRow="1" w:lastRow="0" w:firstColumn="1" w:lastColumn="0" w:noHBand="0" w:noVBand="1"/>
      </w:tblPr>
      <w:tblGrid>
        <w:gridCol w:w="1710"/>
        <w:gridCol w:w="1267"/>
        <w:gridCol w:w="2410"/>
      </w:tblGrid>
      <w:tr w:rsidR="005A0486" w:rsidRPr="00A662B2" w14:paraId="269A7A0C" w14:textId="77777777" w:rsidTr="00955D72">
        <w:trPr>
          <w:trHeight w:val="288"/>
          <w:jc w:val="center"/>
        </w:trPr>
        <w:tc>
          <w:tcPr>
            <w:tcW w:w="1710" w:type="dxa"/>
            <w:tcBorders>
              <w:top w:val="single" w:sz="4" w:space="0" w:color="auto"/>
              <w:bottom w:val="single" w:sz="12" w:space="0" w:color="auto"/>
            </w:tcBorders>
            <w:vAlign w:val="center"/>
          </w:tcPr>
          <w:p w14:paraId="5C7E7357" w14:textId="77777777" w:rsidR="005A0486" w:rsidRPr="006E3E4E" w:rsidRDefault="005A0486" w:rsidP="003D1662">
            <w:pPr>
              <w:pStyle w:val="ExhibitText"/>
              <w:jc w:val="left"/>
              <w:rPr>
                <w:b/>
              </w:rPr>
            </w:pPr>
            <w:r w:rsidRPr="006E3E4E">
              <w:rPr>
                <w:b/>
              </w:rPr>
              <w:t>Manufacturer</w:t>
            </w:r>
          </w:p>
        </w:tc>
        <w:tc>
          <w:tcPr>
            <w:tcW w:w="1267" w:type="dxa"/>
            <w:tcBorders>
              <w:top w:val="single" w:sz="4" w:space="0" w:color="auto"/>
              <w:bottom w:val="single" w:sz="12" w:space="0" w:color="auto"/>
            </w:tcBorders>
            <w:vAlign w:val="center"/>
          </w:tcPr>
          <w:p w14:paraId="7A1BB861" w14:textId="77777777" w:rsidR="005A0486" w:rsidRPr="006E3E4E" w:rsidRDefault="005A0486" w:rsidP="006E3E4E">
            <w:pPr>
              <w:pStyle w:val="ExhibitText"/>
              <w:jc w:val="center"/>
              <w:rPr>
                <w:b/>
              </w:rPr>
            </w:pPr>
            <w:r w:rsidRPr="006E3E4E">
              <w:rPr>
                <w:b/>
              </w:rPr>
              <w:t>Unit Sales</w:t>
            </w:r>
          </w:p>
        </w:tc>
        <w:tc>
          <w:tcPr>
            <w:tcW w:w="2410" w:type="dxa"/>
            <w:tcBorders>
              <w:top w:val="single" w:sz="4" w:space="0" w:color="auto"/>
              <w:bottom w:val="single" w:sz="12" w:space="0" w:color="auto"/>
            </w:tcBorders>
            <w:vAlign w:val="center"/>
          </w:tcPr>
          <w:p w14:paraId="147D5109" w14:textId="1DCC2FAF" w:rsidR="005A0486" w:rsidRPr="006E3E4E" w:rsidRDefault="005A0486" w:rsidP="006E3E4E">
            <w:pPr>
              <w:pStyle w:val="ExhibitText"/>
              <w:jc w:val="center"/>
              <w:rPr>
                <w:b/>
              </w:rPr>
            </w:pPr>
            <w:r w:rsidRPr="006E3E4E">
              <w:rPr>
                <w:b/>
              </w:rPr>
              <w:t xml:space="preserve">Head </w:t>
            </w:r>
            <w:r w:rsidR="003D1662">
              <w:rPr>
                <w:b/>
              </w:rPr>
              <w:t>O</w:t>
            </w:r>
            <w:r w:rsidRPr="006E3E4E">
              <w:rPr>
                <w:b/>
              </w:rPr>
              <w:t>ffice</w:t>
            </w:r>
          </w:p>
        </w:tc>
      </w:tr>
      <w:tr w:rsidR="005A0486" w:rsidRPr="00A662B2" w14:paraId="6550EA1B" w14:textId="77777777" w:rsidTr="00955D72">
        <w:trPr>
          <w:trHeight w:val="288"/>
          <w:jc w:val="center"/>
        </w:trPr>
        <w:tc>
          <w:tcPr>
            <w:tcW w:w="1710" w:type="dxa"/>
            <w:tcBorders>
              <w:top w:val="single" w:sz="12" w:space="0" w:color="auto"/>
            </w:tcBorders>
            <w:vAlign w:val="center"/>
          </w:tcPr>
          <w:p w14:paraId="0F48E58B" w14:textId="77777777" w:rsidR="005A0486" w:rsidRPr="00A662B2" w:rsidRDefault="005A0486" w:rsidP="00C43624">
            <w:pPr>
              <w:pStyle w:val="ExhibitText"/>
            </w:pPr>
            <w:r w:rsidRPr="00A662B2">
              <w:t>Airbus</w:t>
            </w:r>
          </w:p>
        </w:tc>
        <w:tc>
          <w:tcPr>
            <w:tcW w:w="1267" w:type="dxa"/>
            <w:tcBorders>
              <w:top w:val="single" w:sz="12" w:space="0" w:color="auto"/>
            </w:tcBorders>
            <w:tcMar>
              <w:left w:w="115" w:type="dxa"/>
              <w:right w:w="360" w:type="dxa"/>
            </w:tcMar>
            <w:vAlign w:val="center"/>
          </w:tcPr>
          <w:p w14:paraId="7A9ACE66" w14:textId="77777777" w:rsidR="005A0486" w:rsidRPr="00A662B2" w:rsidRDefault="005A0486" w:rsidP="006E3E4E">
            <w:pPr>
              <w:pStyle w:val="ExhibitText"/>
              <w:jc w:val="right"/>
            </w:pPr>
            <w:r w:rsidRPr="00A662B2">
              <w:t>8</w:t>
            </w:r>
          </w:p>
        </w:tc>
        <w:tc>
          <w:tcPr>
            <w:tcW w:w="2410" w:type="dxa"/>
            <w:tcBorders>
              <w:top w:val="single" w:sz="12" w:space="0" w:color="auto"/>
            </w:tcBorders>
            <w:vAlign w:val="center"/>
          </w:tcPr>
          <w:p w14:paraId="1FED1525" w14:textId="77777777" w:rsidR="005A0486" w:rsidRPr="00A662B2" w:rsidRDefault="005A0486" w:rsidP="00C43624">
            <w:pPr>
              <w:pStyle w:val="ExhibitText"/>
            </w:pPr>
            <w:r w:rsidRPr="00A662B2">
              <w:t>Toulouse, France</w:t>
            </w:r>
          </w:p>
        </w:tc>
      </w:tr>
      <w:tr w:rsidR="005A0486" w:rsidRPr="00A662B2" w14:paraId="61C7F49B" w14:textId="77777777" w:rsidTr="00955D72">
        <w:trPr>
          <w:trHeight w:val="288"/>
          <w:jc w:val="center"/>
        </w:trPr>
        <w:tc>
          <w:tcPr>
            <w:tcW w:w="1710" w:type="dxa"/>
            <w:vAlign w:val="center"/>
          </w:tcPr>
          <w:p w14:paraId="6C31FA74" w14:textId="77777777" w:rsidR="005A0486" w:rsidRPr="00A662B2" w:rsidRDefault="005A0486" w:rsidP="00C43624">
            <w:pPr>
              <w:pStyle w:val="ExhibitText"/>
            </w:pPr>
            <w:r w:rsidRPr="00A662B2">
              <w:t>Beechcraft</w:t>
            </w:r>
          </w:p>
        </w:tc>
        <w:tc>
          <w:tcPr>
            <w:tcW w:w="1267" w:type="dxa"/>
            <w:tcMar>
              <w:left w:w="115" w:type="dxa"/>
              <w:right w:w="360" w:type="dxa"/>
            </w:tcMar>
            <w:vAlign w:val="center"/>
          </w:tcPr>
          <w:p w14:paraId="54621C84" w14:textId="77777777" w:rsidR="005A0486" w:rsidRPr="00A662B2" w:rsidRDefault="005A0486" w:rsidP="006E3E4E">
            <w:pPr>
              <w:pStyle w:val="ExhibitText"/>
              <w:jc w:val="right"/>
            </w:pPr>
            <w:r w:rsidRPr="00A662B2">
              <w:t>32</w:t>
            </w:r>
          </w:p>
        </w:tc>
        <w:tc>
          <w:tcPr>
            <w:tcW w:w="2410" w:type="dxa"/>
            <w:vAlign w:val="center"/>
          </w:tcPr>
          <w:p w14:paraId="52ECCED7" w14:textId="1D73749C" w:rsidR="005A0486" w:rsidRPr="00A662B2" w:rsidRDefault="005A0486" w:rsidP="00C43624">
            <w:pPr>
              <w:pStyle w:val="ExhibitText"/>
            </w:pPr>
            <w:r w:rsidRPr="00A662B2">
              <w:t>Wichita, U</w:t>
            </w:r>
            <w:r w:rsidR="00C41DE4">
              <w:t>nited States</w:t>
            </w:r>
          </w:p>
        </w:tc>
      </w:tr>
      <w:tr w:rsidR="005A0486" w:rsidRPr="00A662B2" w14:paraId="6A4936A0" w14:textId="77777777" w:rsidTr="00955D72">
        <w:trPr>
          <w:trHeight w:val="288"/>
          <w:jc w:val="center"/>
        </w:trPr>
        <w:tc>
          <w:tcPr>
            <w:tcW w:w="1710" w:type="dxa"/>
            <w:vAlign w:val="center"/>
          </w:tcPr>
          <w:p w14:paraId="4EFFCABB" w14:textId="77777777" w:rsidR="005A0486" w:rsidRPr="00A662B2" w:rsidRDefault="005A0486" w:rsidP="00C43624">
            <w:pPr>
              <w:pStyle w:val="ExhibitText"/>
            </w:pPr>
            <w:r w:rsidRPr="00A662B2">
              <w:t>Boeing</w:t>
            </w:r>
          </w:p>
        </w:tc>
        <w:tc>
          <w:tcPr>
            <w:tcW w:w="1267" w:type="dxa"/>
            <w:tcMar>
              <w:left w:w="115" w:type="dxa"/>
              <w:right w:w="360" w:type="dxa"/>
            </w:tcMar>
            <w:vAlign w:val="center"/>
          </w:tcPr>
          <w:p w14:paraId="46113B67" w14:textId="77777777" w:rsidR="005A0486" w:rsidRPr="00A662B2" w:rsidRDefault="005A0486" w:rsidP="006E3E4E">
            <w:pPr>
              <w:pStyle w:val="ExhibitText"/>
              <w:jc w:val="right"/>
            </w:pPr>
            <w:r w:rsidRPr="00A662B2">
              <w:t>12</w:t>
            </w:r>
          </w:p>
        </w:tc>
        <w:tc>
          <w:tcPr>
            <w:tcW w:w="2410" w:type="dxa"/>
            <w:vAlign w:val="center"/>
          </w:tcPr>
          <w:p w14:paraId="1E20C599" w14:textId="714D4927" w:rsidR="005A0486" w:rsidRPr="00A662B2" w:rsidRDefault="005A0486" w:rsidP="00C43624">
            <w:pPr>
              <w:pStyle w:val="ExhibitText"/>
            </w:pPr>
            <w:r w:rsidRPr="00A662B2">
              <w:t>Chicago, U</w:t>
            </w:r>
            <w:r w:rsidR="00C41DE4">
              <w:t>nited States</w:t>
            </w:r>
          </w:p>
        </w:tc>
      </w:tr>
      <w:tr w:rsidR="005A0486" w:rsidRPr="00A662B2" w14:paraId="1EED8774" w14:textId="77777777" w:rsidTr="00955D72">
        <w:trPr>
          <w:trHeight w:val="288"/>
          <w:jc w:val="center"/>
        </w:trPr>
        <w:tc>
          <w:tcPr>
            <w:tcW w:w="1710" w:type="dxa"/>
            <w:vAlign w:val="center"/>
          </w:tcPr>
          <w:p w14:paraId="15C1933C" w14:textId="77777777" w:rsidR="005A0486" w:rsidRPr="00A662B2" w:rsidRDefault="005A0486" w:rsidP="00C43624">
            <w:pPr>
              <w:pStyle w:val="ExhibitText"/>
            </w:pPr>
            <w:r w:rsidRPr="00A662B2">
              <w:t xml:space="preserve">Bombardier </w:t>
            </w:r>
          </w:p>
        </w:tc>
        <w:tc>
          <w:tcPr>
            <w:tcW w:w="1267" w:type="dxa"/>
            <w:tcMar>
              <w:left w:w="115" w:type="dxa"/>
              <w:right w:w="360" w:type="dxa"/>
            </w:tcMar>
            <w:vAlign w:val="center"/>
          </w:tcPr>
          <w:p w14:paraId="3E3A28FB" w14:textId="77777777" w:rsidR="005A0486" w:rsidRPr="00A662B2" w:rsidRDefault="005A0486" w:rsidP="006E3E4E">
            <w:pPr>
              <w:pStyle w:val="ExhibitText"/>
              <w:jc w:val="right"/>
            </w:pPr>
            <w:r w:rsidRPr="00A662B2">
              <w:t>179</w:t>
            </w:r>
          </w:p>
        </w:tc>
        <w:tc>
          <w:tcPr>
            <w:tcW w:w="2410" w:type="dxa"/>
            <w:vAlign w:val="center"/>
          </w:tcPr>
          <w:p w14:paraId="58430A43" w14:textId="77777777" w:rsidR="005A0486" w:rsidRPr="00A662B2" w:rsidRDefault="005A0486" w:rsidP="00C43624">
            <w:pPr>
              <w:pStyle w:val="ExhibitText"/>
            </w:pPr>
            <w:r w:rsidRPr="00A662B2">
              <w:t>Montreal, Canada</w:t>
            </w:r>
          </w:p>
        </w:tc>
      </w:tr>
      <w:tr w:rsidR="005A0486" w:rsidRPr="00A662B2" w14:paraId="0EA9A987" w14:textId="77777777" w:rsidTr="00955D72">
        <w:trPr>
          <w:trHeight w:val="288"/>
          <w:jc w:val="center"/>
        </w:trPr>
        <w:tc>
          <w:tcPr>
            <w:tcW w:w="1710" w:type="dxa"/>
            <w:vAlign w:val="center"/>
          </w:tcPr>
          <w:p w14:paraId="19724230" w14:textId="77777777" w:rsidR="005A0486" w:rsidRPr="00A662B2" w:rsidRDefault="005A0486" w:rsidP="00C43624">
            <w:pPr>
              <w:pStyle w:val="ExhibitText"/>
            </w:pPr>
            <w:r w:rsidRPr="00A662B2">
              <w:t>Cessna</w:t>
            </w:r>
          </w:p>
        </w:tc>
        <w:tc>
          <w:tcPr>
            <w:tcW w:w="1267" w:type="dxa"/>
            <w:tcMar>
              <w:left w:w="115" w:type="dxa"/>
              <w:right w:w="360" w:type="dxa"/>
            </w:tcMar>
            <w:vAlign w:val="center"/>
          </w:tcPr>
          <w:p w14:paraId="4F61E522" w14:textId="77777777" w:rsidR="005A0486" w:rsidRPr="00A662B2" w:rsidRDefault="005A0486" w:rsidP="006E3E4E">
            <w:pPr>
              <w:pStyle w:val="ExhibitText"/>
              <w:jc w:val="right"/>
            </w:pPr>
            <w:r w:rsidRPr="00A662B2">
              <w:t>181</w:t>
            </w:r>
          </w:p>
        </w:tc>
        <w:tc>
          <w:tcPr>
            <w:tcW w:w="2410" w:type="dxa"/>
            <w:vAlign w:val="center"/>
          </w:tcPr>
          <w:p w14:paraId="79A01DF1" w14:textId="3CFC5E1F" w:rsidR="005A0486" w:rsidRPr="00A662B2" w:rsidRDefault="005A0486" w:rsidP="00C43624">
            <w:pPr>
              <w:pStyle w:val="ExhibitText"/>
            </w:pPr>
            <w:r w:rsidRPr="00A662B2">
              <w:t>Wichita, U</w:t>
            </w:r>
            <w:r w:rsidR="00C41DE4">
              <w:t>nited States</w:t>
            </w:r>
          </w:p>
        </w:tc>
      </w:tr>
      <w:tr w:rsidR="005A0486" w:rsidRPr="00A662B2" w14:paraId="20CC39EB" w14:textId="77777777" w:rsidTr="00955D72">
        <w:trPr>
          <w:trHeight w:val="288"/>
          <w:jc w:val="center"/>
        </w:trPr>
        <w:tc>
          <w:tcPr>
            <w:tcW w:w="1710" w:type="dxa"/>
            <w:vAlign w:val="center"/>
          </w:tcPr>
          <w:p w14:paraId="1DD96701" w14:textId="77777777" w:rsidR="005A0486" w:rsidRPr="00A662B2" w:rsidRDefault="005A0486" w:rsidP="00C43624">
            <w:pPr>
              <w:pStyle w:val="ExhibitText"/>
            </w:pPr>
            <w:proofErr w:type="spellStart"/>
            <w:r w:rsidRPr="00A662B2">
              <w:t>Dassault</w:t>
            </w:r>
            <w:proofErr w:type="spellEnd"/>
          </w:p>
        </w:tc>
        <w:tc>
          <w:tcPr>
            <w:tcW w:w="1267" w:type="dxa"/>
            <w:tcMar>
              <w:left w:w="115" w:type="dxa"/>
              <w:right w:w="360" w:type="dxa"/>
            </w:tcMar>
            <w:vAlign w:val="center"/>
          </w:tcPr>
          <w:p w14:paraId="3851455D" w14:textId="77777777" w:rsidR="005A0486" w:rsidRPr="00A662B2" w:rsidRDefault="005A0486" w:rsidP="006E3E4E">
            <w:pPr>
              <w:pStyle w:val="ExhibitText"/>
              <w:jc w:val="right"/>
            </w:pPr>
            <w:r w:rsidRPr="00A662B2">
              <w:t>66</w:t>
            </w:r>
          </w:p>
        </w:tc>
        <w:tc>
          <w:tcPr>
            <w:tcW w:w="2410" w:type="dxa"/>
            <w:vAlign w:val="center"/>
          </w:tcPr>
          <w:p w14:paraId="20DEDCE0" w14:textId="77777777" w:rsidR="005A0486" w:rsidRPr="00A662B2" w:rsidRDefault="005A0486" w:rsidP="00C43624">
            <w:pPr>
              <w:pStyle w:val="ExhibitText"/>
            </w:pPr>
            <w:r w:rsidRPr="00A662B2">
              <w:t>Paris, France</w:t>
            </w:r>
          </w:p>
        </w:tc>
      </w:tr>
      <w:tr w:rsidR="005A0486" w:rsidRPr="00A662B2" w14:paraId="28F5B253" w14:textId="77777777" w:rsidTr="00955D72">
        <w:trPr>
          <w:trHeight w:val="288"/>
          <w:jc w:val="center"/>
        </w:trPr>
        <w:tc>
          <w:tcPr>
            <w:tcW w:w="1710" w:type="dxa"/>
            <w:vAlign w:val="center"/>
          </w:tcPr>
          <w:p w14:paraId="55D6BD38" w14:textId="77777777" w:rsidR="005A0486" w:rsidRPr="00A662B2" w:rsidRDefault="005A0486" w:rsidP="00C43624">
            <w:pPr>
              <w:pStyle w:val="ExhibitText"/>
            </w:pPr>
            <w:r w:rsidRPr="00A662B2">
              <w:t>Embraer</w:t>
            </w:r>
          </w:p>
        </w:tc>
        <w:tc>
          <w:tcPr>
            <w:tcW w:w="1267" w:type="dxa"/>
            <w:tcMar>
              <w:left w:w="115" w:type="dxa"/>
              <w:right w:w="360" w:type="dxa"/>
            </w:tcMar>
            <w:vAlign w:val="center"/>
          </w:tcPr>
          <w:p w14:paraId="2A25E6CF" w14:textId="77777777" w:rsidR="005A0486" w:rsidRPr="00A662B2" w:rsidRDefault="005A0486" w:rsidP="006E3E4E">
            <w:pPr>
              <w:pStyle w:val="ExhibitText"/>
              <w:jc w:val="right"/>
            </w:pPr>
            <w:r w:rsidRPr="00A662B2">
              <w:t>99</w:t>
            </w:r>
          </w:p>
        </w:tc>
        <w:tc>
          <w:tcPr>
            <w:tcW w:w="2410" w:type="dxa"/>
            <w:vAlign w:val="center"/>
          </w:tcPr>
          <w:p w14:paraId="0B146865" w14:textId="77777777" w:rsidR="005A0486" w:rsidRPr="00A662B2" w:rsidRDefault="005A0486" w:rsidP="00C43624">
            <w:pPr>
              <w:pStyle w:val="ExhibitText"/>
            </w:pPr>
            <w:r w:rsidRPr="00A662B2">
              <w:t>Sao Paulo, Brazil</w:t>
            </w:r>
          </w:p>
        </w:tc>
      </w:tr>
      <w:tr w:rsidR="005A0486" w:rsidRPr="00A662B2" w14:paraId="3D65CACE" w14:textId="77777777" w:rsidTr="00955D72">
        <w:trPr>
          <w:trHeight w:val="288"/>
          <w:jc w:val="center"/>
        </w:trPr>
        <w:tc>
          <w:tcPr>
            <w:tcW w:w="1710" w:type="dxa"/>
            <w:vAlign w:val="center"/>
          </w:tcPr>
          <w:p w14:paraId="74C6E680" w14:textId="77777777" w:rsidR="005A0486" w:rsidRPr="00A662B2" w:rsidRDefault="005A0486" w:rsidP="00C43624">
            <w:pPr>
              <w:pStyle w:val="ExhibitText"/>
            </w:pPr>
            <w:r w:rsidRPr="00A662B2">
              <w:t>Gulfstream</w:t>
            </w:r>
          </w:p>
        </w:tc>
        <w:tc>
          <w:tcPr>
            <w:tcW w:w="1267" w:type="dxa"/>
            <w:tcMar>
              <w:left w:w="115" w:type="dxa"/>
              <w:right w:w="360" w:type="dxa"/>
            </w:tcMar>
            <w:vAlign w:val="center"/>
          </w:tcPr>
          <w:p w14:paraId="0D85C03A" w14:textId="77777777" w:rsidR="005A0486" w:rsidRPr="00A662B2" w:rsidRDefault="005A0486" w:rsidP="006E3E4E">
            <w:pPr>
              <w:pStyle w:val="ExhibitText"/>
              <w:jc w:val="right"/>
            </w:pPr>
            <w:r w:rsidRPr="00A662B2">
              <w:t>95</w:t>
            </w:r>
          </w:p>
        </w:tc>
        <w:tc>
          <w:tcPr>
            <w:tcW w:w="2410" w:type="dxa"/>
            <w:vAlign w:val="center"/>
          </w:tcPr>
          <w:p w14:paraId="5F2C3122" w14:textId="38B395F7" w:rsidR="005A0486" w:rsidRPr="00A662B2" w:rsidRDefault="005A0486" w:rsidP="00C43624">
            <w:pPr>
              <w:pStyle w:val="ExhibitText"/>
            </w:pPr>
            <w:r w:rsidRPr="00A662B2">
              <w:t xml:space="preserve">Savannah, </w:t>
            </w:r>
            <w:r w:rsidR="00C41DE4">
              <w:t>United States</w:t>
            </w:r>
          </w:p>
        </w:tc>
      </w:tr>
    </w:tbl>
    <w:p w14:paraId="66EFD029" w14:textId="77777777" w:rsidR="00C43624" w:rsidRPr="00A662B2" w:rsidRDefault="00C43624" w:rsidP="0064217E">
      <w:pPr>
        <w:pStyle w:val="ExhibitText"/>
      </w:pPr>
    </w:p>
    <w:p w14:paraId="0522186E" w14:textId="3D4DFEED" w:rsidR="005A0486" w:rsidRPr="00A662B2" w:rsidRDefault="005A0486" w:rsidP="00C43624">
      <w:pPr>
        <w:pStyle w:val="Footnote"/>
      </w:pPr>
      <w:r w:rsidRPr="00A662B2">
        <w:t xml:space="preserve">Source: </w:t>
      </w:r>
      <w:r w:rsidR="00CF4315">
        <w:t>“</w:t>
      </w:r>
      <w:r w:rsidR="00CF4315" w:rsidRPr="00CF4315">
        <w:t>New Business Jet Sales up Slightly in 2013</w:t>
      </w:r>
      <w:r w:rsidR="00CF4315">
        <w:t xml:space="preserve">,” </w:t>
      </w:r>
      <w:proofErr w:type="spellStart"/>
      <w:r w:rsidR="00CF4315">
        <w:t>SherpaReport</w:t>
      </w:r>
      <w:proofErr w:type="spellEnd"/>
      <w:r w:rsidR="00CF4315">
        <w:t xml:space="preserve">, April 8, 2014, </w:t>
      </w:r>
      <w:r w:rsidR="00CF4315" w:rsidRPr="00A662B2">
        <w:t>accessed April 19, 2018</w:t>
      </w:r>
      <w:r w:rsidR="00CF4315">
        <w:t xml:space="preserve">, </w:t>
      </w:r>
      <w:r w:rsidR="00C43624" w:rsidRPr="00A662B2">
        <w:t xml:space="preserve">www.sherpareport.com/aircraft/business-jet-sales-2013.html; </w:t>
      </w:r>
      <w:r w:rsidR="00955D72">
        <w:t>and c</w:t>
      </w:r>
      <w:r w:rsidR="00C43624" w:rsidRPr="00A662B2">
        <w:t>ompany files.</w:t>
      </w:r>
    </w:p>
    <w:sectPr w:rsidR="005A0486" w:rsidRPr="00A662B2"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CF60B" w16cid:durableId="1FA7F87C"/>
  <w16cid:commentId w16cid:paraId="4F305456" w16cid:durableId="1FA7E7AE"/>
  <w16cid:commentId w16cid:paraId="376BE315" w16cid:durableId="1FA7EBAB"/>
  <w16cid:commentId w16cid:paraId="4E2789D1" w16cid:durableId="1FA7EC54"/>
  <w16cid:commentId w16cid:paraId="13C5C81D" w16cid:durableId="1FA7F954"/>
  <w16cid:commentId w16cid:paraId="799D674F" w16cid:durableId="1FA7F2F2"/>
  <w16cid:commentId w16cid:paraId="4E487EA4" w16cid:durableId="1FA7F9B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7843D" w14:textId="77777777" w:rsidR="0064217E" w:rsidRDefault="0064217E" w:rsidP="00D75295">
      <w:r>
        <w:separator/>
      </w:r>
    </w:p>
  </w:endnote>
  <w:endnote w:type="continuationSeparator" w:id="0">
    <w:p w14:paraId="66CD9F83" w14:textId="77777777" w:rsidR="0064217E" w:rsidRDefault="0064217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19D00" w14:textId="77777777" w:rsidR="0064217E" w:rsidRDefault="0064217E" w:rsidP="00D75295">
      <w:r>
        <w:separator/>
      </w:r>
    </w:p>
  </w:footnote>
  <w:footnote w:type="continuationSeparator" w:id="0">
    <w:p w14:paraId="3E02B4FD" w14:textId="77777777" w:rsidR="0064217E" w:rsidRDefault="0064217E" w:rsidP="00D75295">
      <w:r>
        <w:continuationSeparator/>
      </w:r>
    </w:p>
  </w:footnote>
  <w:footnote w:id="1">
    <w:p w14:paraId="772884B6" w14:textId="6E86A7AF" w:rsidR="0064217E" w:rsidRPr="00DD7FEA" w:rsidRDefault="0064217E" w:rsidP="005A0486">
      <w:pPr>
        <w:pStyle w:val="Footnote"/>
      </w:pPr>
      <w:r w:rsidRPr="007E1D47">
        <w:rPr>
          <w:rStyle w:val="FootnoteReference"/>
        </w:rPr>
        <w:footnoteRef/>
      </w:r>
      <w:r w:rsidRPr="007E1D47">
        <w:t xml:space="preserve"> Asian airlines were raising the bar globally with service delivery (mainly cabin crew) and seats and other </w:t>
      </w:r>
      <w:proofErr w:type="spellStart"/>
      <w:r w:rsidRPr="007E1D47">
        <w:t>onboard</w:t>
      </w:r>
      <w:proofErr w:type="spellEnd"/>
      <w:r w:rsidRPr="007E1D47">
        <w:t xml:space="preserve"> amenities. Leaders like Singapore Airlines Limited </w:t>
      </w:r>
      <w:r w:rsidRPr="00DD7FEA">
        <w:t xml:space="preserve">and Cathay Pacific Airways Limited had been bested by the massively subsidized Persian Gulf trio of Emirates, Etihad Airways, and </w:t>
      </w:r>
      <w:r w:rsidRPr="006E3E4E">
        <w:t>Qatar Airways Company Q.C.S.C.</w:t>
      </w:r>
      <w:r w:rsidRPr="00DD7FEA" w:rsidDel="00EC57D0">
        <w:t xml:space="preserve"> </w:t>
      </w:r>
    </w:p>
  </w:footnote>
  <w:footnote w:id="2">
    <w:p w14:paraId="4BDF273E" w14:textId="42A40A71" w:rsidR="0064217E" w:rsidRPr="006E3E4E" w:rsidRDefault="0064217E">
      <w:pPr>
        <w:rPr>
          <w:rFonts w:ascii="Arial" w:hAnsi="Arial" w:cs="Arial"/>
          <w:sz w:val="17"/>
          <w:szCs w:val="17"/>
          <w:lang w:val="en-CA"/>
        </w:rPr>
      </w:pPr>
      <w:r w:rsidRPr="006E3E4E">
        <w:rPr>
          <w:rStyle w:val="FootnoteReference"/>
          <w:rFonts w:ascii="Arial" w:hAnsi="Arial" w:cs="Arial"/>
          <w:sz w:val="17"/>
          <w:szCs w:val="17"/>
        </w:rPr>
        <w:footnoteRef/>
      </w:r>
      <w:r w:rsidRPr="006E3E4E">
        <w:rPr>
          <w:rFonts w:ascii="Arial" w:hAnsi="Arial" w:cs="Arial"/>
          <w:sz w:val="17"/>
          <w:szCs w:val="17"/>
        </w:rPr>
        <w:t xml:space="preserve"> </w:t>
      </w:r>
      <w:r w:rsidRPr="006E3E4E">
        <w:rPr>
          <w:rFonts w:ascii="Arial" w:hAnsi="Arial" w:cs="Arial"/>
          <w:sz w:val="17"/>
          <w:szCs w:val="17"/>
          <w:lang w:val="en-CA"/>
        </w:rPr>
        <w:t>All dollar amounts are in U.S. dollars</w:t>
      </w:r>
      <w:r w:rsidRPr="00B70BDE">
        <w:rPr>
          <w:rFonts w:ascii="Arial" w:hAnsi="Arial" w:cs="Arial"/>
          <w:sz w:val="17"/>
          <w:szCs w:val="17"/>
          <w:lang w:val="en-CA"/>
        </w:rPr>
        <w:t xml:space="preserve"> unless otherwise specified.</w:t>
      </w:r>
    </w:p>
  </w:footnote>
  <w:footnote w:id="3">
    <w:p w14:paraId="674E0E5D" w14:textId="78530887" w:rsidR="0064217E" w:rsidRPr="007E1D47" w:rsidRDefault="0064217E" w:rsidP="005A0486">
      <w:pPr>
        <w:pStyle w:val="Footnote"/>
      </w:pPr>
      <w:r w:rsidRPr="00DD7FEA">
        <w:rPr>
          <w:rStyle w:val="FootnoteReference"/>
        </w:rPr>
        <w:footnoteRef/>
      </w:r>
      <w:r w:rsidRPr="00DD7FEA">
        <w:t xml:space="preserve"> IA’s research team determined that Boeing and Airbus had orders for more than 2,100 long-range mid-size aircraft (i.e., 787s and A350s</w:t>
      </w:r>
      <w:r w:rsidRPr="00BF1ECD">
        <w:t>). J</w:t>
      </w:r>
      <w:r w:rsidRPr="007E1D47">
        <w:t xml:space="preserve">ust this one aircraft size, with approximately 300 seats per jet, amounted to a potential of almost 650,000 </w:t>
      </w:r>
      <w:proofErr w:type="spellStart"/>
      <w:r w:rsidRPr="007E1D47">
        <w:t>linefit</w:t>
      </w:r>
      <w:proofErr w:type="spellEnd"/>
      <w:r w:rsidRPr="007E1D47">
        <w:t xml:space="preserve"> seatback units.</w:t>
      </w:r>
    </w:p>
  </w:footnote>
  <w:footnote w:id="4">
    <w:p w14:paraId="3889FC06" w14:textId="247B08CC" w:rsidR="0064217E" w:rsidRPr="00FA6BBF" w:rsidRDefault="0064217E" w:rsidP="005A0486">
      <w:pPr>
        <w:pStyle w:val="Footnote"/>
        <w:rPr>
          <w:spacing w:val="-2"/>
        </w:rPr>
      </w:pPr>
      <w:r w:rsidRPr="00FA6BBF">
        <w:rPr>
          <w:rStyle w:val="FootnoteReference"/>
          <w:spacing w:val="-2"/>
        </w:rPr>
        <w:footnoteRef/>
      </w:r>
      <w:r w:rsidRPr="00FA6BBF">
        <w:rPr>
          <w:spacing w:val="-2"/>
        </w:rPr>
        <w:t xml:space="preserve"> Principally, certifying aeronautical authorities such as the FAA and its E.U. counterpart, the European Aviation Safety Agency.</w:t>
      </w:r>
    </w:p>
  </w:footnote>
  <w:footnote w:id="5">
    <w:p w14:paraId="2C9CB8F9" w14:textId="77777777" w:rsidR="0064217E" w:rsidRPr="00DD7FEA" w:rsidRDefault="0064217E" w:rsidP="00173343">
      <w:pPr>
        <w:pStyle w:val="Footnote"/>
      </w:pPr>
      <w:r w:rsidRPr="00DD7FEA">
        <w:rPr>
          <w:rStyle w:val="FootnoteReference"/>
        </w:rPr>
        <w:footnoteRef/>
      </w:r>
      <w:r w:rsidRPr="00DD7FEA">
        <w:t xml:space="preserve"> Planes larger than approximately 130 seats.</w:t>
      </w:r>
    </w:p>
  </w:footnote>
  <w:footnote w:id="6">
    <w:p w14:paraId="3ECD0610" w14:textId="1F0D475D" w:rsidR="0064217E" w:rsidRPr="00DD7FEA" w:rsidRDefault="0064217E" w:rsidP="005A0486">
      <w:pPr>
        <w:pStyle w:val="Footnote"/>
      </w:pPr>
      <w:r w:rsidRPr="00DD7FEA">
        <w:rPr>
          <w:rStyle w:val="FootnoteReference"/>
        </w:rPr>
        <w:footnoteRef/>
      </w:r>
      <w:r w:rsidRPr="00DD7FEA">
        <w:t xml:space="preserve"> Boeing and Airbus had 100 per cent market share for big jets.</w:t>
      </w:r>
    </w:p>
  </w:footnote>
  <w:footnote w:id="7">
    <w:p w14:paraId="5A6E5693" w14:textId="62AEFBB8" w:rsidR="0064217E" w:rsidRPr="007E1D47" w:rsidRDefault="0064217E" w:rsidP="005A0486">
      <w:pPr>
        <w:pStyle w:val="Footnote"/>
      </w:pPr>
      <w:r w:rsidRPr="00DD7FEA">
        <w:rPr>
          <w:rStyle w:val="FootnoteReference"/>
        </w:rPr>
        <w:footnoteRef/>
      </w:r>
      <w:r w:rsidRPr="00DD7FEA">
        <w:t xml:space="preserve"> Each </w:t>
      </w:r>
      <w:r>
        <w:t xml:space="preserve">firm </w:t>
      </w:r>
      <w:r w:rsidRPr="00DD7FEA">
        <w:t>was generally tied to one of the three solution types</w:t>
      </w:r>
      <w:r>
        <w:t xml:space="preserve">: </w:t>
      </w:r>
      <w:r w:rsidRPr="00DD7FEA">
        <w:t>free-standing devices (hand-held, similar to a bulky tablet), installed seat-centric systems, or wireless streaming.</w:t>
      </w:r>
      <w:r w:rsidRPr="00611626">
        <w:t xml:space="preserve"> Most of these </w:t>
      </w:r>
      <w:r>
        <w:t xml:space="preserve">aspirants </w:t>
      </w:r>
      <w:r w:rsidRPr="00611626">
        <w:t xml:space="preserve">were start-ups, but some larger firms also entered, </w:t>
      </w:r>
      <w:r w:rsidRPr="00BF1ECD">
        <w:t xml:space="preserve">such as Lufthansa </w:t>
      </w:r>
      <w:proofErr w:type="spellStart"/>
      <w:r w:rsidRPr="00BF1ECD">
        <w:t>Technik</w:t>
      </w:r>
      <w:proofErr w:type="spellEnd"/>
      <w:r w:rsidRPr="007E1D47">
        <w:t xml:space="preserve"> AG</w:t>
      </w:r>
      <w:r>
        <w:t>—</w:t>
      </w:r>
      <w:r w:rsidRPr="007E1D47">
        <w:t>the maintenance, repair, and overhaul subsidiary of the German airline.</w:t>
      </w:r>
    </w:p>
  </w:footnote>
  <w:footnote w:id="8">
    <w:p w14:paraId="5C390C65" w14:textId="1DC1354A" w:rsidR="0064217E" w:rsidRPr="006E3E4E" w:rsidRDefault="0064217E" w:rsidP="0064217E">
      <w:pPr>
        <w:pStyle w:val="Footnote"/>
      </w:pPr>
      <w:r w:rsidRPr="006E3E4E">
        <w:rPr>
          <w:rStyle w:val="FootnoteReference"/>
        </w:rPr>
        <w:footnoteRef/>
      </w:r>
      <w:r w:rsidRPr="006E3E4E">
        <w:t xml:space="preserve"> </w:t>
      </w:r>
      <w:r>
        <w:t xml:space="preserve">For example, </w:t>
      </w:r>
      <w:proofErr w:type="spellStart"/>
      <w:r w:rsidRPr="006E3E4E">
        <w:t>Gogo</w:t>
      </w:r>
      <w:proofErr w:type="spellEnd"/>
      <w:r>
        <w:t xml:space="preserve"> Inc.</w:t>
      </w:r>
      <w:r w:rsidRPr="00DD7FEA">
        <w:t xml:space="preserve"> in the United States.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527576C6" w:rsidR="0064217E" w:rsidRPr="00C92CC4" w:rsidRDefault="0064217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D2A9D">
      <w:rPr>
        <w:rFonts w:ascii="Arial" w:hAnsi="Arial"/>
        <w:b/>
        <w:noProof/>
      </w:rPr>
      <w:t>12</w:t>
    </w:r>
    <w:r>
      <w:rPr>
        <w:rFonts w:ascii="Arial" w:hAnsi="Arial"/>
        <w:b/>
      </w:rPr>
      <w:fldChar w:fldCharType="end"/>
    </w:r>
    <w:r>
      <w:rPr>
        <w:rFonts w:ascii="Arial" w:hAnsi="Arial"/>
        <w:b/>
      </w:rPr>
      <w:tab/>
    </w:r>
    <w:r w:rsidR="008F0F21">
      <w:rPr>
        <w:rFonts w:ascii="Arial" w:hAnsi="Arial"/>
        <w:b/>
      </w:rPr>
      <w:t>9B18A067</w:t>
    </w:r>
  </w:p>
  <w:p w14:paraId="2B53C0A0" w14:textId="77777777" w:rsidR="0064217E" w:rsidRDefault="0064217E" w:rsidP="00D13667">
    <w:pPr>
      <w:pStyle w:val="Header"/>
      <w:tabs>
        <w:tab w:val="clear" w:pos="4680"/>
      </w:tabs>
      <w:rPr>
        <w:sz w:val="18"/>
        <w:szCs w:val="18"/>
      </w:rPr>
    </w:pPr>
  </w:p>
  <w:p w14:paraId="47119730" w14:textId="77777777" w:rsidR="0064217E" w:rsidRPr="00C92CC4" w:rsidRDefault="0064217E"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075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0FEA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6CCE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CE28B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F05A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8A92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FC74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262C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F89B9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786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11"/>
  </w:num>
  <w:num w:numId="4">
    <w:abstractNumId w:val="15"/>
  </w:num>
  <w:num w:numId="5">
    <w:abstractNumId w:val="12"/>
  </w:num>
  <w:num w:numId="6">
    <w:abstractNumId w:val="14"/>
  </w:num>
  <w:num w:numId="7">
    <w:abstractNumId w:val="10"/>
  </w:num>
  <w:num w:numId="8">
    <w:abstractNumId w:val="0"/>
  </w:num>
  <w:num w:numId="9">
    <w:abstractNumId w:val="1"/>
  </w:num>
  <w:num w:numId="10">
    <w:abstractNumId w:val="2"/>
  </w:num>
  <w:num w:numId="11">
    <w:abstractNumId w:val="3"/>
  </w:num>
  <w:num w:numId="12">
    <w:abstractNumId w:val="8"/>
  </w:num>
  <w:num w:numId="13">
    <w:abstractNumId w:val="4"/>
  </w:num>
  <w:num w:numId="14">
    <w:abstractNumId w:val="5"/>
  </w:num>
  <w:num w:numId="15">
    <w:abstractNumId w:val="6"/>
  </w:num>
  <w:num w:numId="16">
    <w:abstractNumId w:val="7"/>
  </w:num>
  <w:num w:numId="17">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687B"/>
    <w:rsid w:val="000216CE"/>
    <w:rsid w:val="00024ED4"/>
    <w:rsid w:val="00025DC7"/>
    <w:rsid w:val="00035F09"/>
    <w:rsid w:val="00037CC5"/>
    <w:rsid w:val="00044ECC"/>
    <w:rsid w:val="0004504A"/>
    <w:rsid w:val="00050AED"/>
    <w:rsid w:val="000531D3"/>
    <w:rsid w:val="0005646B"/>
    <w:rsid w:val="0008102D"/>
    <w:rsid w:val="00086B26"/>
    <w:rsid w:val="00087DE8"/>
    <w:rsid w:val="00094C0E"/>
    <w:rsid w:val="000A146D"/>
    <w:rsid w:val="000A745F"/>
    <w:rsid w:val="000B31E7"/>
    <w:rsid w:val="000B7926"/>
    <w:rsid w:val="000C2A62"/>
    <w:rsid w:val="000D2A2F"/>
    <w:rsid w:val="000D7091"/>
    <w:rsid w:val="000E59E6"/>
    <w:rsid w:val="000F0C22"/>
    <w:rsid w:val="000F10DC"/>
    <w:rsid w:val="000F595E"/>
    <w:rsid w:val="000F6B09"/>
    <w:rsid w:val="000F6FDC"/>
    <w:rsid w:val="00103334"/>
    <w:rsid w:val="00104567"/>
    <w:rsid w:val="00104916"/>
    <w:rsid w:val="00104AA7"/>
    <w:rsid w:val="0012732D"/>
    <w:rsid w:val="00136B84"/>
    <w:rsid w:val="00143F25"/>
    <w:rsid w:val="00152682"/>
    <w:rsid w:val="00154384"/>
    <w:rsid w:val="00154FC9"/>
    <w:rsid w:val="00155600"/>
    <w:rsid w:val="00172674"/>
    <w:rsid w:val="00172A05"/>
    <w:rsid w:val="00173343"/>
    <w:rsid w:val="001735F7"/>
    <w:rsid w:val="00184F17"/>
    <w:rsid w:val="0019241A"/>
    <w:rsid w:val="00192A18"/>
    <w:rsid w:val="00196CF9"/>
    <w:rsid w:val="001A10A9"/>
    <w:rsid w:val="001A22D1"/>
    <w:rsid w:val="001A3E7D"/>
    <w:rsid w:val="001A752D"/>
    <w:rsid w:val="001A757E"/>
    <w:rsid w:val="001B5032"/>
    <w:rsid w:val="001C7777"/>
    <w:rsid w:val="001D344B"/>
    <w:rsid w:val="001E364F"/>
    <w:rsid w:val="001F0F01"/>
    <w:rsid w:val="001F2116"/>
    <w:rsid w:val="001F4222"/>
    <w:rsid w:val="00203AA1"/>
    <w:rsid w:val="0021015F"/>
    <w:rsid w:val="00210567"/>
    <w:rsid w:val="00213E98"/>
    <w:rsid w:val="00213FC8"/>
    <w:rsid w:val="00222980"/>
    <w:rsid w:val="002259DB"/>
    <w:rsid w:val="00230150"/>
    <w:rsid w:val="0023081A"/>
    <w:rsid w:val="00233111"/>
    <w:rsid w:val="002538F4"/>
    <w:rsid w:val="0025677F"/>
    <w:rsid w:val="00261204"/>
    <w:rsid w:val="00263A31"/>
    <w:rsid w:val="00265FA8"/>
    <w:rsid w:val="00273527"/>
    <w:rsid w:val="00275941"/>
    <w:rsid w:val="002A2EAC"/>
    <w:rsid w:val="002B0182"/>
    <w:rsid w:val="002B71BB"/>
    <w:rsid w:val="002C0B91"/>
    <w:rsid w:val="002C4E29"/>
    <w:rsid w:val="002F2A37"/>
    <w:rsid w:val="002F460C"/>
    <w:rsid w:val="002F48D6"/>
    <w:rsid w:val="00317391"/>
    <w:rsid w:val="00317FE9"/>
    <w:rsid w:val="0032206D"/>
    <w:rsid w:val="00322512"/>
    <w:rsid w:val="00326216"/>
    <w:rsid w:val="00331537"/>
    <w:rsid w:val="00336580"/>
    <w:rsid w:val="00354899"/>
    <w:rsid w:val="00355FD6"/>
    <w:rsid w:val="0036115C"/>
    <w:rsid w:val="00364A5C"/>
    <w:rsid w:val="003717B4"/>
    <w:rsid w:val="00373FB1"/>
    <w:rsid w:val="003757A6"/>
    <w:rsid w:val="00395BAF"/>
    <w:rsid w:val="00396C76"/>
    <w:rsid w:val="00396F37"/>
    <w:rsid w:val="003B105D"/>
    <w:rsid w:val="003B30D8"/>
    <w:rsid w:val="003B7EF2"/>
    <w:rsid w:val="003C3FA4"/>
    <w:rsid w:val="003D0BA1"/>
    <w:rsid w:val="003D1662"/>
    <w:rsid w:val="003D40C3"/>
    <w:rsid w:val="003E673E"/>
    <w:rsid w:val="003F10E3"/>
    <w:rsid w:val="003F2B0C"/>
    <w:rsid w:val="003F50C8"/>
    <w:rsid w:val="004105B2"/>
    <w:rsid w:val="0041145A"/>
    <w:rsid w:val="00412900"/>
    <w:rsid w:val="004221E4"/>
    <w:rsid w:val="00425A5F"/>
    <w:rsid w:val="004273F8"/>
    <w:rsid w:val="004341EC"/>
    <w:rsid w:val="004355A3"/>
    <w:rsid w:val="0044090E"/>
    <w:rsid w:val="00445317"/>
    <w:rsid w:val="00446546"/>
    <w:rsid w:val="00450CF1"/>
    <w:rsid w:val="00452769"/>
    <w:rsid w:val="004545F8"/>
    <w:rsid w:val="004546C6"/>
    <w:rsid w:val="00454FA7"/>
    <w:rsid w:val="00465348"/>
    <w:rsid w:val="00471F3B"/>
    <w:rsid w:val="0047293A"/>
    <w:rsid w:val="00481D40"/>
    <w:rsid w:val="004840B3"/>
    <w:rsid w:val="004979A5"/>
    <w:rsid w:val="004A25E0"/>
    <w:rsid w:val="004B1CCB"/>
    <w:rsid w:val="004B295D"/>
    <w:rsid w:val="004B632F"/>
    <w:rsid w:val="004C5DBB"/>
    <w:rsid w:val="004D3FB1"/>
    <w:rsid w:val="004D65F6"/>
    <w:rsid w:val="004D6F21"/>
    <w:rsid w:val="004D73A5"/>
    <w:rsid w:val="004D76E9"/>
    <w:rsid w:val="004E079B"/>
    <w:rsid w:val="004E40BA"/>
    <w:rsid w:val="004E5924"/>
    <w:rsid w:val="004E72E2"/>
    <w:rsid w:val="004F11A5"/>
    <w:rsid w:val="005160F1"/>
    <w:rsid w:val="00524F2F"/>
    <w:rsid w:val="00527E5C"/>
    <w:rsid w:val="005305C8"/>
    <w:rsid w:val="00532CF5"/>
    <w:rsid w:val="005528CB"/>
    <w:rsid w:val="00565A92"/>
    <w:rsid w:val="00566657"/>
    <w:rsid w:val="00566771"/>
    <w:rsid w:val="00581E2E"/>
    <w:rsid w:val="0058313E"/>
    <w:rsid w:val="00584F15"/>
    <w:rsid w:val="0059514B"/>
    <w:rsid w:val="005A0486"/>
    <w:rsid w:val="005A1B0F"/>
    <w:rsid w:val="005B202C"/>
    <w:rsid w:val="005B2F3A"/>
    <w:rsid w:val="005B5EFE"/>
    <w:rsid w:val="005C34BC"/>
    <w:rsid w:val="0061066D"/>
    <w:rsid w:val="00611626"/>
    <w:rsid w:val="006163F7"/>
    <w:rsid w:val="00627C63"/>
    <w:rsid w:val="0063350B"/>
    <w:rsid w:val="00636470"/>
    <w:rsid w:val="0064217E"/>
    <w:rsid w:val="00652606"/>
    <w:rsid w:val="006559FC"/>
    <w:rsid w:val="00657CD4"/>
    <w:rsid w:val="006624C1"/>
    <w:rsid w:val="00677F4C"/>
    <w:rsid w:val="006946EE"/>
    <w:rsid w:val="006A0D66"/>
    <w:rsid w:val="006A3F9A"/>
    <w:rsid w:val="006A58A9"/>
    <w:rsid w:val="006A606D"/>
    <w:rsid w:val="006A734C"/>
    <w:rsid w:val="006C0371"/>
    <w:rsid w:val="006C08B6"/>
    <w:rsid w:val="006C0B1A"/>
    <w:rsid w:val="006C3C0B"/>
    <w:rsid w:val="006C6065"/>
    <w:rsid w:val="006C7F9F"/>
    <w:rsid w:val="006E2F6D"/>
    <w:rsid w:val="006E3E4E"/>
    <w:rsid w:val="006E3FDE"/>
    <w:rsid w:val="006E58F6"/>
    <w:rsid w:val="006E676D"/>
    <w:rsid w:val="006E77E1"/>
    <w:rsid w:val="006F131D"/>
    <w:rsid w:val="007037EF"/>
    <w:rsid w:val="00704C8E"/>
    <w:rsid w:val="00711642"/>
    <w:rsid w:val="0071432F"/>
    <w:rsid w:val="00727BB8"/>
    <w:rsid w:val="00734D8C"/>
    <w:rsid w:val="00736B40"/>
    <w:rsid w:val="00746FB3"/>
    <w:rsid w:val="007507C6"/>
    <w:rsid w:val="00751E0B"/>
    <w:rsid w:val="00752BCD"/>
    <w:rsid w:val="0076427F"/>
    <w:rsid w:val="00765D06"/>
    <w:rsid w:val="00766DA1"/>
    <w:rsid w:val="00780D94"/>
    <w:rsid w:val="007866A6"/>
    <w:rsid w:val="00793CBA"/>
    <w:rsid w:val="007A130D"/>
    <w:rsid w:val="007D1A2D"/>
    <w:rsid w:val="007D3274"/>
    <w:rsid w:val="007D4102"/>
    <w:rsid w:val="007E1D47"/>
    <w:rsid w:val="007E54A7"/>
    <w:rsid w:val="007F43B7"/>
    <w:rsid w:val="00812FD8"/>
    <w:rsid w:val="00814080"/>
    <w:rsid w:val="00821FFC"/>
    <w:rsid w:val="008271CA"/>
    <w:rsid w:val="008467D5"/>
    <w:rsid w:val="00853D12"/>
    <w:rsid w:val="00894DD4"/>
    <w:rsid w:val="00897B8B"/>
    <w:rsid w:val="008A4DC4"/>
    <w:rsid w:val="008B2620"/>
    <w:rsid w:val="008B438C"/>
    <w:rsid w:val="008C4E94"/>
    <w:rsid w:val="008D06CA"/>
    <w:rsid w:val="008D3A46"/>
    <w:rsid w:val="008D4232"/>
    <w:rsid w:val="008F0F21"/>
    <w:rsid w:val="008F2385"/>
    <w:rsid w:val="009064EF"/>
    <w:rsid w:val="009067A4"/>
    <w:rsid w:val="00930885"/>
    <w:rsid w:val="00933D68"/>
    <w:rsid w:val="009340DB"/>
    <w:rsid w:val="00934286"/>
    <w:rsid w:val="0094618C"/>
    <w:rsid w:val="00955D72"/>
    <w:rsid w:val="0095684B"/>
    <w:rsid w:val="00972498"/>
    <w:rsid w:val="0097481F"/>
    <w:rsid w:val="00974CC6"/>
    <w:rsid w:val="00976AD4"/>
    <w:rsid w:val="00995547"/>
    <w:rsid w:val="0099666E"/>
    <w:rsid w:val="009A312F"/>
    <w:rsid w:val="009A5348"/>
    <w:rsid w:val="009B0AB7"/>
    <w:rsid w:val="009B43AE"/>
    <w:rsid w:val="009C76D5"/>
    <w:rsid w:val="009E00F4"/>
    <w:rsid w:val="009F2328"/>
    <w:rsid w:val="009F7AA4"/>
    <w:rsid w:val="00A10AD7"/>
    <w:rsid w:val="00A31AC4"/>
    <w:rsid w:val="00A559DB"/>
    <w:rsid w:val="00A569EA"/>
    <w:rsid w:val="00A662B2"/>
    <w:rsid w:val="00A676A0"/>
    <w:rsid w:val="00A778E4"/>
    <w:rsid w:val="00A9689D"/>
    <w:rsid w:val="00AA3DB2"/>
    <w:rsid w:val="00AF35FC"/>
    <w:rsid w:val="00AF5556"/>
    <w:rsid w:val="00B03639"/>
    <w:rsid w:val="00B0652A"/>
    <w:rsid w:val="00B068EF"/>
    <w:rsid w:val="00B13D8B"/>
    <w:rsid w:val="00B3291A"/>
    <w:rsid w:val="00B353BB"/>
    <w:rsid w:val="00B35525"/>
    <w:rsid w:val="00B40937"/>
    <w:rsid w:val="00B423EF"/>
    <w:rsid w:val="00B453DE"/>
    <w:rsid w:val="00B62497"/>
    <w:rsid w:val="00B65D6E"/>
    <w:rsid w:val="00B67327"/>
    <w:rsid w:val="00B70BDE"/>
    <w:rsid w:val="00B72597"/>
    <w:rsid w:val="00B87DC0"/>
    <w:rsid w:val="00B901F9"/>
    <w:rsid w:val="00BA21FC"/>
    <w:rsid w:val="00BA6AB0"/>
    <w:rsid w:val="00BB1A2F"/>
    <w:rsid w:val="00BC4D98"/>
    <w:rsid w:val="00BC6A54"/>
    <w:rsid w:val="00BD38A3"/>
    <w:rsid w:val="00BD6EFB"/>
    <w:rsid w:val="00BE3DF5"/>
    <w:rsid w:val="00BF1ECD"/>
    <w:rsid w:val="00BF5EAB"/>
    <w:rsid w:val="00C02410"/>
    <w:rsid w:val="00C054DC"/>
    <w:rsid w:val="00C1584D"/>
    <w:rsid w:val="00C15BE2"/>
    <w:rsid w:val="00C26F60"/>
    <w:rsid w:val="00C3128B"/>
    <w:rsid w:val="00C3200E"/>
    <w:rsid w:val="00C3447F"/>
    <w:rsid w:val="00C41DE4"/>
    <w:rsid w:val="00C43624"/>
    <w:rsid w:val="00C44714"/>
    <w:rsid w:val="00C55AC1"/>
    <w:rsid w:val="00C67102"/>
    <w:rsid w:val="00C81491"/>
    <w:rsid w:val="00C81676"/>
    <w:rsid w:val="00C85C5D"/>
    <w:rsid w:val="00C92CC4"/>
    <w:rsid w:val="00CA0AFB"/>
    <w:rsid w:val="00CA2CE1"/>
    <w:rsid w:val="00CA3976"/>
    <w:rsid w:val="00CA50E3"/>
    <w:rsid w:val="00CA757B"/>
    <w:rsid w:val="00CB2B26"/>
    <w:rsid w:val="00CB3BA1"/>
    <w:rsid w:val="00CC1787"/>
    <w:rsid w:val="00CC182C"/>
    <w:rsid w:val="00CC3A92"/>
    <w:rsid w:val="00CC3EEB"/>
    <w:rsid w:val="00CC7A84"/>
    <w:rsid w:val="00CD0824"/>
    <w:rsid w:val="00CD2908"/>
    <w:rsid w:val="00CD2A9D"/>
    <w:rsid w:val="00CD3CEB"/>
    <w:rsid w:val="00CF4315"/>
    <w:rsid w:val="00D03A82"/>
    <w:rsid w:val="00D13667"/>
    <w:rsid w:val="00D15344"/>
    <w:rsid w:val="00D23F57"/>
    <w:rsid w:val="00D31BEC"/>
    <w:rsid w:val="00D43EFD"/>
    <w:rsid w:val="00D51B6B"/>
    <w:rsid w:val="00D63150"/>
    <w:rsid w:val="00D636BA"/>
    <w:rsid w:val="00D64A32"/>
    <w:rsid w:val="00D64EFC"/>
    <w:rsid w:val="00D75295"/>
    <w:rsid w:val="00D76CE9"/>
    <w:rsid w:val="00D95033"/>
    <w:rsid w:val="00D97F12"/>
    <w:rsid w:val="00DA1850"/>
    <w:rsid w:val="00DA6095"/>
    <w:rsid w:val="00DB42E7"/>
    <w:rsid w:val="00DC09D8"/>
    <w:rsid w:val="00DC2252"/>
    <w:rsid w:val="00DD03F6"/>
    <w:rsid w:val="00DD7FEA"/>
    <w:rsid w:val="00DE01A6"/>
    <w:rsid w:val="00DE7A98"/>
    <w:rsid w:val="00DF32C2"/>
    <w:rsid w:val="00E00DAC"/>
    <w:rsid w:val="00E02236"/>
    <w:rsid w:val="00E14961"/>
    <w:rsid w:val="00E36C5C"/>
    <w:rsid w:val="00E45ECC"/>
    <w:rsid w:val="00E471A7"/>
    <w:rsid w:val="00E635CF"/>
    <w:rsid w:val="00E63D6F"/>
    <w:rsid w:val="00E838F8"/>
    <w:rsid w:val="00E95DE0"/>
    <w:rsid w:val="00E966C5"/>
    <w:rsid w:val="00E97FED"/>
    <w:rsid w:val="00EA1A5D"/>
    <w:rsid w:val="00EA42B7"/>
    <w:rsid w:val="00EA6CFE"/>
    <w:rsid w:val="00EA7A98"/>
    <w:rsid w:val="00EB1809"/>
    <w:rsid w:val="00EB1E3B"/>
    <w:rsid w:val="00EC57D0"/>
    <w:rsid w:val="00EC6E0A"/>
    <w:rsid w:val="00ED4E18"/>
    <w:rsid w:val="00ED5A56"/>
    <w:rsid w:val="00ED7922"/>
    <w:rsid w:val="00EE02C4"/>
    <w:rsid w:val="00EE1F37"/>
    <w:rsid w:val="00EE3B9C"/>
    <w:rsid w:val="00EF222E"/>
    <w:rsid w:val="00F00088"/>
    <w:rsid w:val="00F0159C"/>
    <w:rsid w:val="00F105B7"/>
    <w:rsid w:val="00F13220"/>
    <w:rsid w:val="00F156C2"/>
    <w:rsid w:val="00F17A21"/>
    <w:rsid w:val="00F37B27"/>
    <w:rsid w:val="00F459D0"/>
    <w:rsid w:val="00F46556"/>
    <w:rsid w:val="00F50E91"/>
    <w:rsid w:val="00F57D29"/>
    <w:rsid w:val="00F60786"/>
    <w:rsid w:val="00F70DAD"/>
    <w:rsid w:val="00F767C2"/>
    <w:rsid w:val="00F81C40"/>
    <w:rsid w:val="00F91BC7"/>
    <w:rsid w:val="00F96201"/>
    <w:rsid w:val="00FA1BBC"/>
    <w:rsid w:val="00FA6BBF"/>
    <w:rsid w:val="00FB104E"/>
    <w:rsid w:val="00FB6CD4"/>
    <w:rsid w:val="00FD0B18"/>
    <w:rsid w:val="00FD2FAD"/>
    <w:rsid w:val="00FE714F"/>
    <w:rsid w:val="00FF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68E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B068EF"/>
    <w:pPr>
      <w:keepNext/>
    </w:pPr>
    <w:rPr>
      <w:rFonts w:ascii="Arial" w:hAnsi="Arial" w:cs="Arial"/>
      <w:b/>
      <w:caps/>
      <w:sz w:val="20"/>
      <w:szCs w:val="20"/>
    </w:rPr>
  </w:style>
  <w:style w:type="character" w:customStyle="1" w:styleId="Casehead1Char">
    <w:name w:val="Casehead 1 Char"/>
    <w:basedOn w:val="BodyTextMainChar"/>
    <w:link w:val="Casehead1"/>
    <w:rsid w:val="00B068EF"/>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character" w:styleId="FootnoteReference">
    <w:name w:val="footnote reference"/>
    <w:basedOn w:val="DefaultParagraphFont"/>
    <w:uiPriority w:val="99"/>
    <w:unhideWhenUsed/>
    <w:rsid w:val="001735F7"/>
    <w:rPr>
      <w:b w:val="0"/>
      <w:color w:val="auto"/>
      <w:vertAlign w:val="superscript"/>
    </w:rPr>
  </w:style>
  <w:style w:type="paragraph" w:customStyle="1" w:styleId="Footnote">
    <w:name w:val="Footnote"/>
    <w:basedOn w:val="Normal"/>
    <w:link w:val="FootnoteChar"/>
    <w:qFormat/>
    <w:rsid w:val="00B068EF"/>
    <w:rPr>
      <w:rFonts w:ascii="Arial" w:hAnsi="Arial" w:cs="Arial"/>
      <w:sz w:val="17"/>
      <w:szCs w:val="17"/>
    </w:rPr>
  </w:style>
  <w:style w:type="character" w:customStyle="1" w:styleId="FootnoteChar">
    <w:name w:val="Footnote Char"/>
    <w:basedOn w:val="DefaultParagraphFont"/>
    <w:link w:val="Footnote"/>
    <w:rsid w:val="00B068EF"/>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B068EF"/>
    <w:pPr>
      <w:keepNext/>
      <w:jc w:val="center"/>
    </w:pPr>
    <w:rPr>
      <w:rFonts w:ascii="Arial" w:hAnsi="Arial" w:cs="Arial"/>
      <w:b/>
      <w:caps/>
      <w:sz w:val="20"/>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character" w:customStyle="1" w:styleId="ExhibitHeadingChar">
    <w:name w:val="Exhibit Heading Char"/>
    <w:basedOn w:val="BodyTextMainChar"/>
    <w:link w:val="ExhibitHeading"/>
    <w:rsid w:val="00B068EF"/>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character" w:customStyle="1" w:styleId="footnotetextCharChar">
    <w:name w:val="footnote text Char Char"/>
    <w:link w:val="FootnoteText1"/>
    <w:rsid w:val="00ED7922"/>
    <w:rPr>
      <w:rFonts w:ascii="Arial" w:eastAsia="Times New Roman"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rsid w:val="00ED7922"/>
    <w:pPr>
      <w:spacing w:after="120"/>
      <w:ind w:left="360"/>
    </w:p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rsid w:val="00ED7922"/>
    <w:rPr>
      <w:b/>
      <w:bCs/>
      <w:kern w:val="2"/>
      <w:sz w:val="22"/>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rsid w:val="00ED7922"/>
    <w:pPr>
      <w:spacing w:after="120"/>
      <w:ind w:left="360"/>
    </w:pPr>
    <w:rPr>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395B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643B11-12A2-4B07-8F3A-11B6C37557C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5B245E8F-CA4A-409B-BE0C-C5BE3F6AD38D}">
      <dgm:prSet phldrT="[Text]" custT="1"/>
      <dgm:spPr>
        <a:ln w="3175">
          <a:solidFill>
            <a:schemeClr val="tx1"/>
          </a:solidFill>
        </a:ln>
      </dgm:spPr>
      <dgm:t>
        <a:bodyPr/>
        <a:lstStyle/>
        <a:p>
          <a:pPr algn="ctr"/>
          <a:r>
            <a:rPr lang="en-US" sz="900">
              <a:latin typeface="Arial" panose="020B0604020202020204" pitchFamily="34" charset="0"/>
              <a:cs typeface="Arial" panose="020B0604020202020204" pitchFamily="34" charset="0"/>
            </a:rPr>
            <a:t>Clark Stevens</a:t>
          </a:r>
        </a:p>
        <a:p>
          <a:pPr algn="ctr"/>
          <a:r>
            <a:rPr lang="en-US" sz="900">
              <a:latin typeface="Arial" panose="020B0604020202020204" pitchFamily="34" charset="0"/>
              <a:cs typeface="Arial" panose="020B0604020202020204" pitchFamily="34" charset="0"/>
            </a:rPr>
            <a:t>Co-Founder and Chairman</a:t>
          </a:r>
        </a:p>
        <a:p>
          <a:pPr algn="ctr"/>
          <a:r>
            <a:rPr lang="en-US" sz="900">
              <a:latin typeface="Arial" panose="020B0604020202020204" pitchFamily="34" charset="0"/>
              <a:cs typeface="Arial" panose="020B0604020202020204" pitchFamily="34" charset="0"/>
            </a:rPr>
            <a:t>London, England, Area</a:t>
          </a:r>
        </a:p>
      </dgm:t>
    </dgm:pt>
    <dgm:pt modelId="{D2205835-99E8-4D79-8FCA-9169973D0A27}" type="parTrans" cxnId="{24224FC7-53CB-43E7-A561-D0CCAE2DAB64}">
      <dgm:prSet/>
      <dgm:spPr/>
      <dgm:t>
        <a:bodyPr/>
        <a:lstStyle/>
        <a:p>
          <a:pPr algn="ctr"/>
          <a:endParaRPr lang="en-US"/>
        </a:p>
      </dgm:t>
    </dgm:pt>
    <dgm:pt modelId="{C2CCD5B8-EB30-4D9C-BF86-94CF900491F0}" type="sibTrans" cxnId="{24224FC7-53CB-43E7-A561-D0CCAE2DAB64}">
      <dgm:prSet/>
      <dgm:spPr/>
      <dgm:t>
        <a:bodyPr/>
        <a:lstStyle/>
        <a:p>
          <a:pPr algn="ctr"/>
          <a:endParaRPr lang="en-US"/>
        </a:p>
      </dgm:t>
    </dgm:pt>
    <dgm:pt modelId="{EA1250E8-8BD7-49CA-BE71-0A4D96251D37}">
      <dgm:prSet phldrT="[Text]" custT="1"/>
      <dgm:spPr>
        <a:ln w="6350">
          <a:solidFill>
            <a:schemeClr val="tx1"/>
          </a:solidFill>
        </a:ln>
      </dgm:spPr>
      <dgm:t>
        <a:bodyPr/>
        <a:lstStyle/>
        <a:p>
          <a:pPr algn="ctr"/>
          <a:r>
            <a:rPr lang="en-US" sz="900">
              <a:latin typeface="Arial" panose="020B0604020202020204" pitchFamily="34" charset="0"/>
              <a:cs typeface="Arial" panose="020B0604020202020204" pitchFamily="34" charset="0"/>
            </a:rPr>
            <a:t>Connor Martins</a:t>
          </a:r>
        </a:p>
        <a:p>
          <a:pPr algn="ctr"/>
          <a:r>
            <a:rPr lang="en-US" sz="900">
              <a:latin typeface="Arial" panose="020B0604020202020204" pitchFamily="34" charset="0"/>
              <a:cs typeface="Arial" panose="020B0604020202020204" pitchFamily="34" charset="0"/>
            </a:rPr>
            <a:t>Co-Founder and CEO</a:t>
          </a:r>
        </a:p>
        <a:p>
          <a:pPr algn="ctr"/>
          <a:r>
            <a:rPr lang="en-US" sz="900">
              <a:latin typeface="Arial" panose="020B0604020202020204" pitchFamily="34" charset="0"/>
              <a:cs typeface="Arial" panose="020B0604020202020204" pitchFamily="34" charset="0"/>
            </a:rPr>
            <a:t>London, England, Area</a:t>
          </a:r>
        </a:p>
      </dgm:t>
    </dgm:pt>
    <dgm:pt modelId="{DAE3B923-D616-4A94-A3DA-90485894CE82}" type="parTrans" cxnId="{1E479AC7-E750-4E31-A1BC-113D81FEC9D0}">
      <dgm:prSet/>
      <dgm:spPr>
        <a:ln w="3175"/>
      </dgm:spPr>
      <dgm:t>
        <a:bodyPr/>
        <a:lstStyle/>
        <a:p>
          <a:pPr algn="ctr"/>
          <a:endParaRPr lang="en-US"/>
        </a:p>
      </dgm:t>
    </dgm:pt>
    <dgm:pt modelId="{B9F3BCB8-A6DF-4650-B757-2ED474088B62}" type="sibTrans" cxnId="{1E479AC7-E750-4E31-A1BC-113D81FEC9D0}">
      <dgm:prSet/>
      <dgm:spPr/>
      <dgm:t>
        <a:bodyPr/>
        <a:lstStyle/>
        <a:p>
          <a:pPr algn="ctr"/>
          <a:endParaRPr lang="en-US"/>
        </a:p>
      </dgm:t>
    </dgm:pt>
    <dgm:pt modelId="{6BE50ADF-E86A-4382-BD62-9B0385E9CB22}">
      <dgm:prSet custT="1"/>
      <dgm:spPr>
        <a:solidFill>
          <a:schemeClr val="bg1"/>
        </a:solidFill>
        <a:ln w="6350"/>
      </dgm:spPr>
      <dgm:t>
        <a:bodyPr/>
        <a:lstStyle/>
        <a:p>
          <a:pPr algn="ctr"/>
          <a:r>
            <a:rPr lang="en-US" sz="900">
              <a:latin typeface="Arial" panose="020B0604020202020204" pitchFamily="34" charset="0"/>
              <a:cs typeface="Arial" panose="020B0604020202020204" pitchFamily="34" charset="0"/>
            </a:rPr>
            <a:t>CTO and VP, Asia-Pacific</a:t>
          </a:r>
        </a:p>
        <a:p>
          <a:pPr algn="ctr"/>
          <a:r>
            <a:rPr lang="en-US" sz="900">
              <a:latin typeface="Arial" panose="020B0604020202020204" pitchFamily="34" charset="0"/>
              <a:cs typeface="Arial" panose="020B0604020202020204" pitchFamily="34" charset="0"/>
            </a:rPr>
            <a:t>William Davidson</a:t>
          </a:r>
        </a:p>
        <a:p>
          <a:pPr algn="ctr"/>
          <a:r>
            <a:rPr lang="en-US" sz="900">
              <a:latin typeface="Arial" panose="020B0604020202020204" pitchFamily="34" charset="0"/>
              <a:cs typeface="Arial" panose="020B0604020202020204" pitchFamily="34" charset="0"/>
            </a:rPr>
            <a:t>Brisbane, Australia</a:t>
          </a:r>
        </a:p>
      </dgm:t>
    </dgm:pt>
    <dgm:pt modelId="{2CD8C6E9-CCD0-408B-A103-8F011AA93634}" type="parTrans" cxnId="{DB9B15A1-6973-4E5C-B6E9-3F0FB59B8A6D}">
      <dgm:prSet/>
      <dgm:spPr>
        <a:ln w="6350">
          <a:solidFill>
            <a:schemeClr val="tx1"/>
          </a:solidFill>
        </a:ln>
      </dgm:spPr>
      <dgm:t>
        <a:bodyPr/>
        <a:lstStyle/>
        <a:p>
          <a:pPr algn="ctr"/>
          <a:endParaRPr lang="en-US"/>
        </a:p>
      </dgm:t>
    </dgm:pt>
    <dgm:pt modelId="{37810F26-7FF0-4E4A-BC55-EAB96CD799D0}" type="sibTrans" cxnId="{DB9B15A1-6973-4E5C-B6E9-3F0FB59B8A6D}">
      <dgm:prSet/>
      <dgm:spPr/>
      <dgm:t>
        <a:bodyPr/>
        <a:lstStyle/>
        <a:p>
          <a:pPr algn="ctr"/>
          <a:endParaRPr lang="en-US"/>
        </a:p>
      </dgm:t>
    </dgm:pt>
    <dgm:pt modelId="{4C3E9C65-7B58-41A6-B829-33E531BF7EE8}">
      <dgm:prSet custT="1"/>
      <dgm:spPr>
        <a:ln w="6350">
          <a:solidFill>
            <a:schemeClr val="tx1"/>
          </a:solidFill>
        </a:ln>
      </dgm:spPr>
      <dgm:t>
        <a:bodyPr/>
        <a:lstStyle/>
        <a:p>
          <a:pPr algn="ctr"/>
          <a:r>
            <a:rPr lang="en-US" sz="900">
              <a:latin typeface="Arial" panose="020B0604020202020204" pitchFamily="34" charset="0"/>
              <a:cs typeface="Arial" panose="020B0604020202020204" pitchFamily="34" charset="0"/>
            </a:rPr>
            <a:t>VP—Europe/Middle East </a:t>
          </a:r>
        </a:p>
        <a:p>
          <a:pPr algn="ctr"/>
          <a:r>
            <a:rPr lang="en-US" sz="900">
              <a:latin typeface="Arial" panose="020B0604020202020204" pitchFamily="34" charset="0"/>
              <a:cs typeface="Arial" panose="020B0604020202020204" pitchFamily="34" charset="0"/>
            </a:rPr>
            <a:t>Amy Thomasson</a:t>
          </a:r>
        </a:p>
        <a:p>
          <a:pPr algn="ctr"/>
          <a:r>
            <a:rPr lang="en-US" sz="900">
              <a:latin typeface="Arial" panose="020B0604020202020204" pitchFamily="34" charset="0"/>
              <a:cs typeface="Arial" panose="020B0604020202020204" pitchFamily="34" charset="0"/>
            </a:rPr>
            <a:t>Umbria, Italy</a:t>
          </a:r>
        </a:p>
      </dgm:t>
    </dgm:pt>
    <dgm:pt modelId="{B6723EDA-5992-4E57-B6B6-149E59D89241}" type="parTrans" cxnId="{97E5A1BB-3C41-46AF-8125-81E0B27D67B8}">
      <dgm:prSet/>
      <dgm:spPr>
        <a:ln w="6350">
          <a:solidFill>
            <a:schemeClr val="tx1"/>
          </a:solidFill>
        </a:ln>
      </dgm:spPr>
      <dgm:t>
        <a:bodyPr/>
        <a:lstStyle/>
        <a:p>
          <a:pPr algn="ctr"/>
          <a:endParaRPr lang="en-US"/>
        </a:p>
      </dgm:t>
    </dgm:pt>
    <dgm:pt modelId="{2ED2A609-B230-472D-BCF9-3F7D0E33EEB7}" type="sibTrans" cxnId="{97E5A1BB-3C41-46AF-8125-81E0B27D67B8}">
      <dgm:prSet/>
      <dgm:spPr/>
      <dgm:t>
        <a:bodyPr/>
        <a:lstStyle/>
        <a:p>
          <a:pPr algn="ctr"/>
          <a:endParaRPr lang="en-US"/>
        </a:p>
      </dgm:t>
    </dgm:pt>
    <dgm:pt modelId="{5FFBF466-1A20-450F-8B7D-35740690F4EF}">
      <dgm:prSet custT="1"/>
      <dgm:spPr>
        <a:ln w="6350"/>
      </dgm:spPr>
      <dgm:t>
        <a:bodyPr/>
        <a:lstStyle/>
        <a:p>
          <a:pPr algn="ctr"/>
          <a:r>
            <a:rPr lang="en-US" sz="900">
              <a:latin typeface="Arial" panose="020B0604020202020204" pitchFamily="34" charset="0"/>
              <a:cs typeface="Arial" panose="020B0604020202020204" pitchFamily="34" charset="0"/>
            </a:rPr>
            <a:t>VP—Americas</a:t>
          </a:r>
        </a:p>
        <a:p>
          <a:pPr algn="ctr"/>
          <a:r>
            <a:rPr lang="en-US" sz="900">
              <a:latin typeface="Arial" panose="020B0604020202020204" pitchFamily="34" charset="0"/>
              <a:cs typeface="Arial" panose="020B0604020202020204" pitchFamily="34" charset="0"/>
            </a:rPr>
            <a:t>Rob Britton</a:t>
          </a:r>
        </a:p>
        <a:p>
          <a:pPr algn="ctr"/>
          <a:r>
            <a:rPr lang="en-US" sz="900">
              <a:latin typeface="Arial" panose="020B0604020202020204" pitchFamily="34" charset="0"/>
              <a:cs typeface="Arial" panose="020B0604020202020204" pitchFamily="34" charset="0"/>
            </a:rPr>
            <a:t>Dallas, United States</a:t>
          </a:r>
        </a:p>
      </dgm:t>
    </dgm:pt>
    <dgm:pt modelId="{4A83669D-7BD3-4A32-A723-66A27D839A3C}" type="parTrans" cxnId="{5FF2AF6C-3A4A-4F14-A1F7-19697B0D29E5}">
      <dgm:prSet/>
      <dgm:spPr>
        <a:ln w="3175"/>
      </dgm:spPr>
      <dgm:t>
        <a:bodyPr/>
        <a:lstStyle/>
        <a:p>
          <a:pPr algn="ctr"/>
          <a:endParaRPr lang="en-US"/>
        </a:p>
      </dgm:t>
    </dgm:pt>
    <dgm:pt modelId="{22A8779E-F56F-49E4-B7E1-AB28DB739B15}" type="sibTrans" cxnId="{5FF2AF6C-3A4A-4F14-A1F7-19697B0D29E5}">
      <dgm:prSet/>
      <dgm:spPr/>
      <dgm:t>
        <a:bodyPr/>
        <a:lstStyle/>
        <a:p>
          <a:pPr algn="ctr"/>
          <a:endParaRPr lang="en-US"/>
        </a:p>
      </dgm:t>
    </dgm:pt>
    <dgm:pt modelId="{F2134269-FD7B-4006-B4FF-35BDAD2456C4}">
      <dgm:prSet custT="1"/>
      <dgm:spPr>
        <a:ln w="6350"/>
      </dgm:spPr>
      <dgm:t>
        <a:bodyPr/>
        <a:lstStyle/>
        <a:p>
          <a:pPr algn="ctr"/>
          <a:r>
            <a:rPr lang="en-US" sz="900">
              <a:latin typeface="Arial" panose="020B0604020202020204" pitchFamily="34" charset="0"/>
              <a:cs typeface="Arial" panose="020B0604020202020204" pitchFamily="34" charset="0"/>
            </a:rPr>
            <a:t>Development Team</a:t>
          </a:r>
        </a:p>
        <a:p>
          <a:pPr algn="ctr"/>
          <a:r>
            <a:rPr lang="en-US" sz="900">
              <a:latin typeface="Arial" panose="020B0604020202020204" pitchFamily="34" charset="0"/>
              <a:cs typeface="Arial" panose="020B0604020202020204" pitchFamily="34" charset="0"/>
            </a:rPr>
            <a:t>Developers (8)</a:t>
          </a:r>
        </a:p>
        <a:p>
          <a:pPr algn="ctr"/>
          <a:r>
            <a:rPr lang="en-US" sz="900">
              <a:latin typeface="Arial" panose="020B0604020202020204" pitchFamily="34" charset="0"/>
              <a:cs typeface="Arial" panose="020B0604020202020204" pitchFamily="34" charset="0"/>
            </a:rPr>
            <a:t>Scotland</a:t>
          </a:r>
        </a:p>
      </dgm:t>
    </dgm:pt>
    <dgm:pt modelId="{98DD3208-727C-4A50-8FF9-561C28102FEC}" type="parTrans" cxnId="{D7594A9A-55A1-4A8B-88BB-AE1C30370314}">
      <dgm:prSet/>
      <dgm:spPr>
        <a:ln w="6350"/>
      </dgm:spPr>
      <dgm:t>
        <a:bodyPr/>
        <a:lstStyle/>
        <a:p>
          <a:pPr algn="ctr"/>
          <a:endParaRPr lang="en-US"/>
        </a:p>
      </dgm:t>
    </dgm:pt>
    <dgm:pt modelId="{B40E8629-7139-4782-8DD9-00E671DE1E5F}" type="sibTrans" cxnId="{D7594A9A-55A1-4A8B-88BB-AE1C30370314}">
      <dgm:prSet/>
      <dgm:spPr/>
      <dgm:t>
        <a:bodyPr/>
        <a:lstStyle/>
        <a:p>
          <a:pPr algn="ctr"/>
          <a:endParaRPr lang="en-US"/>
        </a:p>
      </dgm:t>
    </dgm:pt>
    <dgm:pt modelId="{DE24AE9E-E664-414D-95FA-6D7E8ADE7E3F}" type="pres">
      <dgm:prSet presAssocID="{A1643B11-12A2-4B07-8F3A-11B6C37557C6}" presName="hierChild1" presStyleCnt="0">
        <dgm:presLayoutVars>
          <dgm:orgChart val="1"/>
          <dgm:chPref val="1"/>
          <dgm:dir/>
          <dgm:animOne val="branch"/>
          <dgm:animLvl val="lvl"/>
          <dgm:resizeHandles/>
        </dgm:presLayoutVars>
      </dgm:prSet>
      <dgm:spPr/>
      <dgm:t>
        <a:bodyPr/>
        <a:lstStyle/>
        <a:p>
          <a:endParaRPr lang="en-US"/>
        </a:p>
      </dgm:t>
    </dgm:pt>
    <dgm:pt modelId="{94D8F6DB-8D29-4E11-A39B-2C1D50207184}" type="pres">
      <dgm:prSet presAssocID="{5B245E8F-CA4A-409B-BE0C-C5BE3F6AD38D}" presName="hierRoot1" presStyleCnt="0">
        <dgm:presLayoutVars>
          <dgm:hierBranch val="init"/>
        </dgm:presLayoutVars>
      </dgm:prSet>
      <dgm:spPr/>
    </dgm:pt>
    <dgm:pt modelId="{05FC9EE6-FFDD-4784-8C71-01F33E73DD16}" type="pres">
      <dgm:prSet presAssocID="{5B245E8F-CA4A-409B-BE0C-C5BE3F6AD38D}" presName="rootComposite1" presStyleCnt="0"/>
      <dgm:spPr/>
    </dgm:pt>
    <dgm:pt modelId="{09A23D92-2451-4F43-ADDB-309380F1053A}" type="pres">
      <dgm:prSet presAssocID="{5B245E8F-CA4A-409B-BE0C-C5BE3F6AD38D}" presName="rootText1" presStyleLbl="node0" presStyleIdx="0" presStyleCnt="1" custScaleX="215149" custScaleY="179501">
        <dgm:presLayoutVars>
          <dgm:chPref val="3"/>
        </dgm:presLayoutVars>
      </dgm:prSet>
      <dgm:spPr/>
      <dgm:t>
        <a:bodyPr/>
        <a:lstStyle/>
        <a:p>
          <a:endParaRPr lang="en-US"/>
        </a:p>
      </dgm:t>
    </dgm:pt>
    <dgm:pt modelId="{3E034D30-73D2-4A2C-8EE9-8159717E16C1}" type="pres">
      <dgm:prSet presAssocID="{5B245E8F-CA4A-409B-BE0C-C5BE3F6AD38D}" presName="rootConnector1" presStyleLbl="node1" presStyleIdx="0" presStyleCnt="0"/>
      <dgm:spPr/>
      <dgm:t>
        <a:bodyPr/>
        <a:lstStyle/>
        <a:p>
          <a:endParaRPr lang="en-US"/>
        </a:p>
      </dgm:t>
    </dgm:pt>
    <dgm:pt modelId="{0D44E7E7-2436-4C03-9753-E828E203A4A0}" type="pres">
      <dgm:prSet presAssocID="{5B245E8F-CA4A-409B-BE0C-C5BE3F6AD38D}" presName="hierChild2" presStyleCnt="0"/>
      <dgm:spPr/>
    </dgm:pt>
    <dgm:pt modelId="{8EED8BF9-BA76-4915-950C-2DCAC7D74C6C}" type="pres">
      <dgm:prSet presAssocID="{DAE3B923-D616-4A94-A3DA-90485894CE82}" presName="Name37" presStyleLbl="parChTrans1D2" presStyleIdx="0" presStyleCnt="1"/>
      <dgm:spPr/>
      <dgm:t>
        <a:bodyPr/>
        <a:lstStyle/>
        <a:p>
          <a:endParaRPr lang="en-US"/>
        </a:p>
      </dgm:t>
    </dgm:pt>
    <dgm:pt modelId="{6FB690E3-9879-461C-896E-89978652F3DC}" type="pres">
      <dgm:prSet presAssocID="{EA1250E8-8BD7-49CA-BE71-0A4D96251D37}" presName="hierRoot2" presStyleCnt="0">
        <dgm:presLayoutVars>
          <dgm:hierBranch val="init"/>
        </dgm:presLayoutVars>
      </dgm:prSet>
      <dgm:spPr/>
    </dgm:pt>
    <dgm:pt modelId="{628BA88A-4E41-4226-B4ED-4A7E489C5F2D}" type="pres">
      <dgm:prSet presAssocID="{EA1250E8-8BD7-49CA-BE71-0A4D96251D37}" presName="rootComposite" presStyleCnt="0"/>
      <dgm:spPr/>
    </dgm:pt>
    <dgm:pt modelId="{0E03D19C-2DF3-41EB-A8F6-497B289B99E1}" type="pres">
      <dgm:prSet presAssocID="{EA1250E8-8BD7-49CA-BE71-0A4D96251D37}" presName="rootText" presStyleLbl="node2" presStyleIdx="0" presStyleCnt="1" custScaleX="220943" custScaleY="184413">
        <dgm:presLayoutVars>
          <dgm:chPref val="3"/>
        </dgm:presLayoutVars>
      </dgm:prSet>
      <dgm:spPr/>
      <dgm:t>
        <a:bodyPr/>
        <a:lstStyle/>
        <a:p>
          <a:endParaRPr lang="en-US"/>
        </a:p>
      </dgm:t>
    </dgm:pt>
    <dgm:pt modelId="{A52E08D0-A8AA-43B8-B513-D59C5D88935A}" type="pres">
      <dgm:prSet presAssocID="{EA1250E8-8BD7-49CA-BE71-0A4D96251D37}" presName="rootConnector" presStyleLbl="node2" presStyleIdx="0" presStyleCnt="1"/>
      <dgm:spPr/>
      <dgm:t>
        <a:bodyPr/>
        <a:lstStyle/>
        <a:p>
          <a:endParaRPr lang="en-US"/>
        </a:p>
      </dgm:t>
    </dgm:pt>
    <dgm:pt modelId="{7F295521-FD94-4A7B-93D5-DD82B21AECAF}" type="pres">
      <dgm:prSet presAssocID="{EA1250E8-8BD7-49CA-BE71-0A4D96251D37}" presName="hierChild4" presStyleCnt="0"/>
      <dgm:spPr/>
    </dgm:pt>
    <dgm:pt modelId="{40839704-70B8-454C-AEA6-A9D8B7E1B052}" type="pres">
      <dgm:prSet presAssocID="{2CD8C6E9-CCD0-408B-A103-8F011AA93634}" presName="Name37" presStyleLbl="parChTrans1D3" presStyleIdx="0" presStyleCnt="3"/>
      <dgm:spPr/>
      <dgm:t>
        <a:bodyPr/>
        <a:lstStyle/>
        <a:p>
          <a:endParaRPr lang="en-US"/>
        </a:p>
      </dgm:t>
    </dgm:pt>
    <dgm:pt modelId="{B5E212A5-F91D-4299-BE8B-CC98161C9F35}" type="pres">
      <dgm:prSet presAssocID="{6BE50ADF-E86A-4382-BD62-9B0385E9CB22}" presName="hierRoot2" presStyleCnt="0">
        <dgm:presLayoutVars>
          <dgm:hierBranch/>
        </dgm:presLayoutVars>
      </dgm:prSet>
      <dgm:spPr/>
    </dgm:pt>
    <dgm:pt modelId="{6749206E-4132-4567-A829-483EEA7AE8E0}" type="pres">
      <dgm:prSet presAssocID="{6BE50ADF-E86A-4382-BD62-9B0385E9CB22}" presName="rootComposite" presStyleCnt="0"/>
      <dgm:spPr/>
    </dgm:pt>
    <dgm:pt modelId="{45FE2A51-1ED5-47B0-BDDE-75BF97677D51}" type="pres">
      <dgm:prSet presAssocID="{6BE50ADF-E86A-4382-BD62-9B0385E9CB22}" presName="rootText" presStyleLbl="node3" presStyleIdx="0" presStyleCnt="3" custScaleX="228987" custScaleY="189380">
        <dgm:presLayoutVars>
          <dgm:chPref val="3"/>
        </dgm:presLayoutVars>
      </dgm:prSet>
      <dgm:spPr/>
      <dgm:t>
        <a:bodyPr/>
        <a:lstStyle/>
        <a:p>
          <a:endParaRPr lang="en-US"/>
        </a:p>
      </dgm:t>
    </dgm:pt>
    <dgm:pt modelId="{72F3B269-610A-41C1-91E1-4C21A3D88C64}" type="pres">
      <dgm:prSet presAssocID="{6BE50ADF-E86A-4382-BD62-9B0385E9CB22}" presName="rootConnector" presStyleLbl="node3" presStyleIdx="0" presStyleCnt="3"/>
      <dgm:spPr/>
      <dgm:t>
        <a:bodyPr/>
        <a:lstStyle/>
        <a:p>
          <a:endParaRPr lang="en-US"/>
        </a:p>
      </dgm:t>
    </dgm:pt>
    <dgm:pt modelId="{59D29E1E-2CB5-435C-BC83-6E60DB8436FA}" type="pres">
      <dgm:prSet presAssocID="{6BE50ADF-E86A-4382-BD62-9B0385E9CB22}" presName="hierChild4" presStyleCnt="0"/>
      <dgm:spPr/>
    </dgm:pt>
    <dgm:pt modelId="{BC3E120E-0F2C-42B6-87F7-9BA4B6CB7157}" type="pres">
      <dgm:prSet presAssocID="{98DD3208-727C-4A50-8FF9-561C28102FEC}" presName="Name35" presStyleLbl="parChTrans1D4" presStyleIdx="0" presStyleCnt="1"/>
      <dgm:spPr/>
      <dgm:t>
        <a:bodyPr/>
        <a:lstStyle/>
        <a:p>
          <a:endParaRPr lang="en-US"/>
        </a:p>
      </dgm:t>
    </dgm:pt>
    <dgm:pt modelId="{810B259E-DD0E-4851-9EF6-A19C13D8933A}" type="pres">
      <dgm:prSet presAssocID="{F2134269-FD7B-4006-B4FF-35BDAD2456C4}" presName="hierRoot2" presStyleCnt="0">
        <dgm:presLayoutVars>
          <dgm:hierBranch val="init"/>
        </dgm:presLayoutVars>
      </dgm:prSet>
      <dgm:spPr/>
    </dgm:pt>
    <dgm:pt modelId="{19D92DBC-E7D2-4474-B282-D323BF4B5BF3}" type="pres">
      <dgm:prSet presAssocID="{F2134269-FD7B-4006-B4FF-35BDAD2456C4}" presName="rootComposite" presStyleCnt="0"/>
      <dgm:spPr/>
    </dgm:pt>
    <dgm:pt modelId="{1E8C7830-C511-4F1D-9EA3-8A8591F60ACF}" type="pres">
      <dgm:prSet presAssocID="{F2134269-FD7B-4006-B4FF-35BDAD2456C4}" presName="rootText" presStyleLbl="node4" presStyleIdx="0" presStyleCnt="1" custScaleX="238842" custScaleY="196275">
        <dgm:presLayoutVars>
          <dgm:chPref val="3"/>
        </dgm:presLayoutVars>
      </dgm:prSet>
      <dgm:spPr/>
      <dgm:t>
        <a:bodyPr/>
        <a:lstStyle/>
        <a:p>
          <a:endParaRPr lang="en-US"/>
        </a:p>
      </dgm:t>
    </dgm:pt>
    <dgm:pt modelId="{BD774E4E-D635-4602-824A-AA9A40FAEB18}" type="pres">
      <dgm:prSet presAssocID="{F2134269-FD7B-4006-B4FF-35BDAD2456C4}" presName="rootConnector" presStyleLbl="node4" presStyleIdx="0" presStyleCnt="1"/>
      <dgm:spPr/>
      <dgm:t>
        <a:bodyPr/>
        <a:lstStyle/>
        <a:p>
          <a:endParaRPr lang="en-US"/>
        </a:p>
      </dgm:t>
    </dgm:pt>
    <dgm:pt modelId="{C272C26C-56A7-4BD0-8A95-3F5CB8C6C7B1}" type="pres">
      <dgm:prSet presAssocID="{F2134269-FD7B-4006-B4FF-35BDAD2456C4}" presName="hierChild4" presStyleCnt="0"/>
      <dgm:spPr/>
    </dgm:pt>
    <dgm:pt modelId="{197EEB0E-E3CC-4C4C-B915-B45F28757C5C}" type="pres">
      <dgm:prSet presAssocID="{F2134269-FD7B-4006-B4FF-35BDAD2456C4}" presName="hierChild5" presStyleCnt="0"/>
      <dgm:spPr/>
    </dgm:pt>
    <dgm:pt modelId="{7E33D6F8-4F88-42C9-A96A-CFB5EB8EA0E7}" type="pres">
      <dgm:prSet presAssocID="{6BE50ADF-E86A-4382-BD62-9B0385E9CB22}" presName="hierChild5" presStyleCnt="0"/>
      <dgm:spPr/>
    </dgm:pt>
    <dgm:pt modelId="{085E289E-0003-438B-A31A-2ADF807AF36A}" type="pres">
      <dgm:prSet presAssocID="{B6723EDA-5992-4E57-B6B6-149E59D89241}" presName="Name37" presStyleLbl="parChTrans1D3" presStyleIdx="1" presStyleCnt="3"/>
      <dgm:spPr/>
      <dgm:t>
        <a:bodyPr/>
        <a:lstStyle/>
        <a:p>
          <a:endParaRPr lang="en-US"/>
        </a:p>
      </dgm:t>
    </dgm:pt>
    <dgm:pt modelId="{27B319A9-515B-40D3-90CE-8E1459152737}" type="pres">
      <dgm:prSet presAssocID="{4C3E9C65-7B58-41A6-B829-33E531BF7EE8}" presName="hierRoot2" presStyleCnt="0">
        <dgm:presLayoutVars>
          <dgm:hierBranch/>
        </dgm:presLayoutVars>
      </dgm:prSet>
      <dgm:spPr/>
    </dgm:pt>
    <dgm:pt modelId="{701033C8-6ADC-4EEF-9198-D73FFE2B9E94}" type="pres">
      <dgm:prSet presAssocID="{4C3E9C65-7B58-41A6-B829-33E531BF7EE8}" presName="rootComposite" presStyleCnt="0"/>
      <dgm:spPr/>
    </dgm:pt>
    <dgm:pt modelId="{1CE1AFFC-E74F-4207-AADD-F6AEDCEEE6F7}" type="pres">
      <dgm:prSet presAssocID="{4C3E9C65-7B58-41A6-B829-33E531BF7EE8}" presName="rootText" presStyleLbl="node3" presStyleIdx="1" presStyleCnt="3" custScaleX="228987" custScaleY="196275">
        <dgm:presLayoutVars>
          <dgm:chPref val="3"/>
        </dgm:presLayoutVars>
      </dgm:prSet>
      <dgm:spPr/>
      <dgm:t>
        <a:bodyPr/>
        <a:lstStyle/>
        <a:p>
          <a:endParaRPr lang="en-US"/>
        </a:p>
      </dgm:t>
    </dgm:pt>
    <dgm:pt modelId="{12106A80-1A8C-4300-BAEA-B48F09323E06}" type="pres">
      <dgm:prSet presAssocID="{4C3E9C65-7B58-41A6-B829-33E531BF7EE8}" presName="rootConnector" presStyleLbl="node3" presStyleIdx="1" presStyleCnt="3"/>
      <dgm:spPr/>
      <dgm:t>
        <a:bodyPr/>
        <a:lstStyle/>
        <a:p>
          <a:endParaRPr lang="en-US"/>
        </a:p>
      </dgm:t>
    </dgm:pt>
    <dgm:pt modelId="{6E4BF6D3-E5D1-42D3-AF44-B2C1B3C26D14}" type="pres">
      <dgm:prSet presAssocID="{4C3E9C65-7B58-41A6-B829-33E531BF7EE8}" presName="hierChild4" presStyleCnt="0"/>
      <dgm:spPr/>
    </dgm:pt>
    <dgm:pt modelId="{EDD2EEEA-EC54-49F4-8074-672125C25376}" type="pres">
      <dgm:prSet presAssocID="{4C3E9C65-7B58-41A6-B829-33E531BF7EE8}" presName="hierChild5" presStyleCnt="0"/>
      <dgm:spPr/>
    </dgm:pt>
    <dgm:pt modelId="{2CEB037A-97C0-4A63-B9B5-BDD4E4AB6279}" type="pres">
      <dgm:prSet presAssocID="{4A83669D-7BD3-4A32-A723-66A27D839A3C}" presName="Name37" presStyleLbl="parChTrans1D3" presStyleIdx="2" presStyleCnt="3"/>
      <dgm:spPr/>
      <dgm:t>
        <a:bodyPr/>
        <a:lstStyle/>
        <a:p>
          <a:endParaRPr lang="en-US"/>
        </a:p>
      </dgm:t>
    </dgm:pt>
    <dgm:pt modelId="{FF2E40DD-D6A0-44EE-9E98-C7EA2084F6AF}" type="pres">
      <dgm:prSet presAssocID="{5FFBF466-1A20-450F-8B7D-35740690F4EF}" presName="hierRoot2" presStyleCnt="0">
        <dgm:presLayoutVars>
          <dgm:hierBranch val="init"/>
        </dgm:presLayoutVars>
      </dgm:prSet>
      <dgm:spPr/>
    </dgm:pt>
    <dgm:pt modelId="{1C560E1F-510D-4BA5-B7E2-8A700E6E75E8}" type="pres">
      <dgm:prSet presAssocID="{5FFBF466-1A20-450F-8B7D-35740690F4EF}" presName="rootComposite" presStyleCnt="0"/>
      <dgm:spPr/>
    </dgm:pt>
    <dgm:pt modelId="{A9539B3E-3239-40DF-BD60-E882C535DEA6}" type="pres">
      <dgm:prSet presAssocID="{5FFBF466-1A20-450F-8B7D-35740690F4EF}" presName="rootText" presStyleLbl="node3" presStyleIdx="2" presStyleCnt="3" custScaleX="228987" custScaleY="196275">
        <dgm:presLayoutVars>
          <dgm:chPref val="3"/>
        </dgm:presLayoutVars>
      </dgm:prSet>
      <dgm:spPr/>
      <dgm:t>
        <a:bodyPr/>
        <a:lstStyle/>
        <a:p>
          <a:endParaRPr lang="en-US"/>
        </a:p>
      </dgm:t>
    </dgm:pt>
    <dgm:pt modelId="{19AA0906-3FD2-4D58-94C4-C4CEA885B861}" type="pres">
      <dgm:prSet presAssocID="{5FFBF466-1A20-450F-8B7D-35740690F4EF}" presName="rootConnector" presStyleLbl="node3" presStyleIdx="2" presStyleCnt="3"/>
      <dgm:spPr/>
      <dgm:t>
        <a:bodyPr/>
        <a:lstStyle/>
        <a:p>
          <a:endParaRPr lang="en-US"/>
        </a:p>
      </dgm:t>
    </dgm:pt>
    <dgm:pt modelId="{245A9E10-D376-4F9B-A655-FA639DD26DAA}" type="pres">
      <dgm:prSet presAssocID="{5FFBF466-1A20-450F-8B7D-35740690F4EF}" presName="hierChild4" presStyleCnt="0"/>
      <dgm:spPr/>
    </dgm:pt>
    <dgm:pt modelId="{5E975522-9DE9-4883-91F6-57D615ED1373}" type="pres">
      <dgm:prSet presAssocID="{5FFBF466-1A20-450F-8B7D-35740690F4EF}" presName="hierChild5" presStyleCnt="0"/>
      <dgm:spPr/>
    </dgm:pt>
    <dgm:pt modelId="{2B066627-5EBB-47C6-9E44-77FA4A6E54AD}" type="pres">
      <dgm:prSet presAssocID="{EA1250E8-8BD7-49CA-BE71-0A4D96251D37}" presName="hierChild5" presStyleCnt="0"/>
      <dgm:spPr/>
    </dgm:pt>
    <dgm:pt modelId="{8ADB9D96-E5EB-4CC1-A274-B0E086C1AE46}" type="pres">
      <dgm:prSet presAssocID="{5B245E8F-CA4A-409B-BE0C-C5BE3F6AD38D}" presName="hierChild3" presStyleCnt="0"/>
      <dgm:spPr/>
    </dgm:pt>
  </dgm:ptLst>
  <dgm:cxnLst>
    <dgm:cxn modelId="{76268AF5-E59B-4714-8E3C-D528811E0568}" type="presOf" srcId="{DAE3B923-D616-4A94-A3DA-90485894CE82}" destId="{8EED8BF9-BA76-4915-950C-2DCAC7D74C6C}" srcOrd="0" destOrd="0" presId="urn:microsoft.com/office/officeart/2005/8/layout/orgChart1"/>
    <dgm:cxn modelId="{97E5A1BB-3C41-46AF-8125-81E0B27D67B8}" srcId="{EA1250E8-8BD7-49CA-BE71-0A4D96251D37}" destId="{4C3E9C65-7B58-41A6-B829-33E531BF7EE8}" srcOrd="1" destOrd="0" parTransId="{B6723EDA-5992-4E57-B6B6-149E59D89241}" sibTransId="{2ED2A609-B230-472D-BCF9-3F7D0E33EEB7}"/>
    <dgm:cxn modelId="{E86C6E68-75BF-4B49-A854-E7E5D69F5CEC}" type="presOf" srcId="{5FFBF466-1A20-450F-8B7D-35740690F4EF}" destId="{A9539B3E-3239-40DF-BD60-E882C535DEA6}" srcOrd="0" destOrd="0" presId="urn:microsoft.com/office/officeart/2005/8/layout/orgChart1"/>
    <dgm:cxn modelId="{5D749B1F-5015-4D80-99E8-4ECB7B47893C}" type="presOf" srcId="{6BE50ADF-E86A-4382-BD62-9B0385E9CB22}" destId="{72F3B269-610A-41C1-91E1-4C21A3D88C64}" srcOrd="1" destOrd="0" presId="urn:microsoft.com/office/officeart/2005/8/layout/orgChart1"/>
    <dgm:cxn modelId="{386B5CA4-7FC0-4E3B-91DF-75D9D4932F0F}" type="presOf" srcId="{2CD8C6E9-CCD0-408B-A103-8F011AA93634}" destId="{40839704-70B8-454C-AEA6-A9D8B7E1B052}" srcOrd="0" destOrd="0" presId="urn:microsoft.com/office/officeart/2005/8/layout/orgChart1"/>
    <dgm:cxn modelId="{FCA1C518-8E9C-4178-8409-7C2C2B80FE5D}" type="presOf" srcId="{4C3E9C65-7B58-41A6-B829-33E531BF7EE8}" destId="{1CE1AFFC-E74F-4207-AADD-F6AEDCEEE6F7}" srcOrd="0" destOrd="0" presId="urn:microsoft.com/office/officeart/2005/8/layout/orgChart1"/>
    <dgm:cxn modelId="{5FF2AF6C-3A4A-4F14-A1F7-19697B0D29E5}" srcId="{EA1250E8-8BD7-49CA-BE71-0A4D96251D37}" destId="{5FFBF466-1A20-450F-8B7D-35740690F4EF}" srcOrd="2" destOrd="0" parTransId="{4A83669D-7BD3-4A32-A723-66A27D839A3C}" sibTransId="{22A8779E-F56F-49E4-B7E1-AB28DB739B15}"/>
    <dgm:cxn modelId="{34EFEBAD-B2AC-4426-9441-57B67C8891F1}" type="presOf" srcId="{EA1250E8-8BD7-49CA-BE71-0A4D96251D37}" destId="{0E03D19C-2DF3-41EB-A8F6-497B289B99E1}" srcOrd="0" destOrd="0" presId="urn:microsoft.com/office/officeart/2005/8/layout/orgChart1"/>
    <dgm:cxn modelId="{534E8416-EBFE-4385-9C33-7BB50CA07671}" type="presOf" srcId="{5B245E8F-CA4A-409B-BE0C-C5BE3F6AD38D}" destId="{09A23D92-2451-4F43-ADDB-309380F1053A}" srcOrd="0" destOrd="0" presId="urn:microsoft.com/office/officeart/2005/8/layout/orgChart1"/>
    <dgm:cxn modelId="{D7594A9A-55A1-4A8B-88BB-AE1C30370314}" srcId="{6BE50ADF-E86A-4382-BD62-9B0385E9CB22}" destId="{F2134269-FD7B-4006-B4FF-35BDAD2456C4}" srcOrd="0" destOrd="0" parTransId="{98DD3208-727C-4A50-8FF9-561C28102FEC}" sibTransId="{B40E8629-7139-4782-8DD9-00E671DE1E5F}"/>
    <dgm:cxn modelId="{DB9B15A1-6973-4E5C-B6E9-3F0FB59B8A6D}" srcId="{EA1250E8-8BD7-49CA-BE71-0A4D96251D37}" destId="{6BE50ADF-E86A-4382-BD62-9B0385E9CB22}" srcOrd="0" destOrd="0" parTransId="{2CD8C6E9-CCD0-408B-A103-8F011AA93634}" sibTransId="{37810F26-7FF0-4E4A-BC55-EAB96CD799D0}"/>
    <dgm:cxn modelId="{AB4A02AB-7245-4BA0-B5A1-BC6FF3A848E7}" type="presOf" srcId="{F2134269-FD7B-4006-B4FF-35BDAD2456C4}" destId="{BD774E4E-D635-4602-824A-AA9A40FAEB18}" srcOrd="1" destOrd="0" presId="urn:microsoft.com/office/officeart/2005/8/layout/orgChart1"/>
    <dgm:cxn modelId="{545EAC78-3913-4812-B242-7ED861A4356E}" type="presOf" srcId="{5FFBF466-1A20-450F-8B7D-35740690F4EF}" destId="{19AA0906-3FD2-4D58-94C4-C4CEA885B861}" srcOrd="1" destOrd="0" presId="urn:microsoft.com/office/officeart/2005/8/layout/orgChart1"/>
    <dgm:cxn modelId="{24224FC7-53CB-43E7-A561-D0CCAE2DAB64}" srcId="{A1643B11-12A2-4B07-8F3A-11B6C37557C6}" destId="{5B245E8F-CA4A-409B-BE0C-C5BE3F6AD38D}" srcOrd="0" destOrd="0" parTransId="{D2205835-99E8-4D79-8FCA-9169973D0A27}" sibTransId="{C2CCD5B8-EB30-4D9C-BF86-94CF900491F0}"/>
    <dgm:cxn modelId="{B07564E5-1884-48EF-B043-B417CD47BF89}" type="presOf" srcId="{A1643B11-12A2-4B07-8F3A-11B6C37557C6}" destId="{DE24AE9E-E664-414D-95FA-6D7E8ADE7E3F}" srcOrd="0" destOrd="0" presId="urn:microsoft.com/office/officeart/2005/8/layout/orgChart1"/>
    <dgm:cxn modelId="{7ED43950-C8C1-492A-AF8F-507DF41AD63E}" type="presOf" srcId="{6BE50ADF-E86A-4382-BD62-9B0385E9CB22}" destId="{45FE2A51-1ED5-47B0-BDDE-75BF97677D51}" srcOrd="0" destOrd="0" presId="urn:microsoft.com/office/officeart/2005/8/layout/orgChart1"/>
    <dgm:cxn modelId="{1E479AC7-E750-4E31-A1BC-113D81FEC9D0}" srcId="{5B245E8F-CA4A-409B-BE0C-C5BE3F6AD38D}" destId="{EA1250E8-8BD7-49CA-BE71-0A4D96251D37}" srcOrd="0" destOrd="0" parTransId="{DAE3B923-D616-4A94-A3DA-90485894CE82}" sibTransId="{B9F3BCB8-A6DF-4650-B757-2ED474088B62}"/>
    <dgm:cxn modelId="{41074B7F-09A9-432F-849A-297F5BDAB94F}" type="presOf" srcId="{B6723EDA-5992-4E57-B6B6-149E59D89241}" destId="{085E289E-0003-438B-A31A-2ADF807AF36A}" srcOrd="0" destOrd="0" presId="urn:microsoft.com/office/officeart/2005/8/layout/orgChart1"/>
    <dgm:cxn modelId="{534C39E1-7603-47F2-8FB2-405FC54A7285}" type="presOf" srcId="{4A83669D-7BD3-4A32-A723-66A27D839A3C}" destId="{2CEB037A-97C0-4A63-B9B5-BDD4E4AB6279}" srcOrd="0" destOrd="0" presId="urn:microsoft.com/office/officeart/2005/8/layout/orgChart1"/>
    <dgm:cxn modelId="{E480AD1A-8437-436C-B851-AAB7153324F7}" type="presOf" srcId="{5B245E8F-CA4A-409B-BE0C-C5BE3F6AD38D}" destId="{3E034D30-73D2-4A2C-8EE9-8159717E16C1}" srcOrd="1" destOrd="0" presId="urn:microsoft.com/office/officeart/2005/8/layout/orgChart1"/>
    <dgm:cxn modelId="{E6C10D02-E83A-4C5D-8688-1BBA3B26A492}" type="presOf" srcId="{EA1250E8-8BD7-49CA-BE71-0A4D96251D37}" destId="{A52E08D0-A8AA-43B8-B513-D59C5D88935A}" srcOrd="1" destOrd="0" presId="urn:microsoft.com/office/officeart/2005/8/layout/orgChart1"/>
    <dgm:cxn modelId="{5D43C8D6-F33C-4F7D-BA56-232E719BB70E}" type="presOf" srcId="{4C3E9C65-7B58-41A6-B829-33E531BF7EE8}" destId="{12106A80-1A8C-4300-BAEA-B48F09323E06}" srcOrd="1" destOrd="0" presId="urn:microsoft.com/office/officeart/2005/8/layout/orgChart1"/>
    <dgm:cxn modelId="{636E539B-94D3-4C4B-B255-60DB4AC22F7C}" type="presOf" srcId="{F2134269-FD7B-4006-B4FF-35BDAD2456C4}" destId="{1E8C7830-C511-4F1D-9EA3-8A8591F60ACF}" srcOrd="0" destOrd="0" presId="urn:microsoft.com/office/officeart/2005/8/layout/orgChart1"/>
    <dgm:cxn modelId="{78DCFE82-69ED-4438-A63E-6B1BFE1D4F43}" type="presOf" srcId="{98DD3208-727C-4A50-8FF9-561C28102FEC}" destId="{BC3E120E-0F2C-42B6-87F7-9BA4B6CB7157}" srcOrd="0" destOrd="0" presId="urn:microsoft.com/office/officeart/2005/8/layout/orgChart1"/>
    <dgm:cxn modelId="{BC9AE4E0-D4E1-42B9-A917-A5FC9C4B2963}" type="presParOf" srcId="{DE24AE9E-E664-414D-95FA-6D7E8ADE7E3F}" destId="{94D8F6DB-8D29-4E11-A39B-2C1D50207184}" srcOrd="0" destOrd="0" presId="urn:microsoft.com/office/officeart/2005/8/layout/orgChart1"/>
    <dgm:cxn modelId="{61D4F38A-8B48-4E6F-8D7E-43B65273EA82}" type="presParOf" srcId="{94D8F6DB-8D29-4E11-A39B-2C1D50207184}" destId="{05FC9EE6-FFDD-4784-8C71-01F33E73DD16}" srcOrd="0" destOrd="0" presId="urn:microsoft.com/office/officeart/2005/8/layout/orgChart1"/>
    <dgm:cxn modelId="{40CEB204-5C16-469F-8579-2AF3E695EB47}" type="presParOf" srcId="{05FC9EE6-FFDD-4784-8C71-01F33E73DD16}" destId="{09A23D92-2451-4F43-ADDB-309380F1053A}" srcOrd="0" destOrd="0" presId="urn:microsoft.com/office/officeart/2005/8/layout/orgChart1"/>
    <dgm:cxn modelId="{BFCE211B-375B-4C24-823B-076D130B0218}" type="presParOf" srcId="{05FC9EE6-FFDD-4784-8C71-01F33E73DD16}" destId="{3E034D30-73D2-4A2C-8EE9-8159717E16C1}" srcOrd="1" destOrd="0" presId="urn:microsoft.com/office/officeart/2005/8/layout/orgChart1"/>
    <dgm:cxn modelId="{3FF06552-0C3C-425D-B5F1-5EFF1DC10DF5}" type="presParOf" srcId="{94D8F6DB-8D29-4E11-A39B-2C1D50207184}" destId="{0D44E7E7-2436-4C03-9753-E828E203A4A0}" srcOrd="1" destOrd="0" presId="urn:microsoft.com/office/officeart/2005/8/layout/orgChart1"/>
    <dgm:cxn modelId="{0CC76B37-87EC-439D-BCFA-2B370BC36AF0}" type="presParOf" srcId="{0D44E7E7-2436-4C03-9753-E828E203A4A0}" destId="{8EED8BF9-BA76-4915-950C-2DCAC7D74C6C}" srcOrd="0" destOrd="0" presId="urn:microsoft.com/office/officeart/2005/8/layout/orgChart1"/>
    <dgm:cxn modelId="{C58287A7-A393-4EC2-86CC-BDD51AAC2886}" type="presParOf" srcId="{0D44E7E7-2436-4C03-9753-E828E203A4A0}" destId="{6FB690E3-9879-461C-896E-89978652F3DC}" srcOrd="1" destOrd="0" presId="urn:microsoft.com/office/officeart/2005/8/layout/orgChart1"/>
    <dgm:cxn modelId="{65CEA643-6F72-4C02-94B4-48D3C9E40869}" type="presParOf" srcId="{6FB690E3-9879-461C-896E-89978652F3DC}" destId="{628BA88A-4E41-4226-B4ED-4A7E489C5F2D}" srcOrd="0" destOrd="0" presId="urn:microsoft.com/office/officeart/2005/8/layout/orgChart1"/>
    <dgm:cxn modelId="{75848D97-C76E-4876-B7AB-443A13B684FE}" type="presParOf" srcId="{628BA88A-4E41-4226-B4ED-4A7E489C5F2D}" destId="{0E03D19C-2DF3-41EB-A8F6-497B289B99E1}" srcOrd="0" destOrd="0" presId="urn:microsoft.com/office/officeart/2005/8/layout/orgChart1"/>
    <dgm:cxn modelId="{058D12C7-7CEF-4D22-811E-B0DF1806BA73}" type="presParOf" srcId="{628BA88A-4E41-4226-B4ED-4A7E489C5F2D}" destId="{A52E08D0-A8AA-43B8-B513-D59C5D88935A}" srcOrd="1" destOrd="0" presId="urn:microsoft.com/office/officeart/2005/8/layout/orgChart1"/>
    <dgm:cxn modelId="{58F0D336-CB64-4624-87F6-648D432480D0}" type="presParOf" srcId="{6FB690E3-9879-461C-896E-89978652F3DC}" destId="{7F295521-FD94-4A7B-93D5-DD82B21AECAF}" srcOrd="1" destOrd="0" presId="urn:microsoft.com/office/officeart/2005/8/layout/orgChart1"/>
    <dgm:cxn modelId="{97F31997-183F-4E46-9913-438258D90A98}" type="presParOf" srcId="{7F295521-FD94-4A7B-93D5-DD82B21AECAF}" destId="{40839704-70B8-454C-AEA6-A9D8B7E1B052}" srcOrd="0" destOrd="0" presId="urn:microsoft.com/office/officeart/2005/8/layout/orgChart1"/>
    <dgm:cxn modelId="{0A631E13-95F5-4902-8BAE-C0BB059BFA27}" type="presParOf" srcId="{7F295521-FD94-4A7B-93D5-DD82B21AECAF}" destId="{B5E212A5-F91D-4299-BE8B-CC98161C9F35}" srcOrd="1" destOrd="0" presId="urn:microsoft.com/office/officeart/2005/8/layout/orgChart1"/>
    <dgm:cxn modelId="{134670B4-56F2-45B2-AD02-547DC567DF13}" type="presParOf" srcId="{B5E212A5-F91D-4299-BE8B-CC98161C9F35}" destId="{6749206E-4132-4567-A829-483EEA7AE8E0}" srcOrd="0" destOrd="0" presId="urn:microsoft.com/office/officeart/2005/8/layout/orgChart1"/>
    <dgm:cxn modelId="{CAE0EE3A-7220-4623-9DB8-DC6D3E05403E}" type="presParOf" srcId="{6749206E-4132-4567-A829-483EEA7AE8E0}" destId="{45FE2A51-1ED5-47B0-BDDE-75BF97677D51}" srcOrd="0" destOrd="0" presId="urn:microsoft.com/office/officeart/2005/8/layout/orgChart1"/>
    <dgm:cxn modelId="{C96D9768-3FCF-431D-8D08-BCB2E83908A8}" type="presParOf" srcId="{6749206E-4132-4567-A829-483EEA7AE8E0}" destId="{72F3B269-610A-41C1-91E1-4C21A3D88C64}" srcOrd="1" destOrd="0" presId="urn:microsoft.com/office/officeart/2005/8/layout/orgChart1"/>
    <dgm:cxn modelId="{0CB74673-EFE7-4BEF-ABC0-5B92C317382B}" type="presParOf" srcId="{B5E212A5-F91D-4299-BE8B-CC98161C9F35}" destId="{59D29E1E-2CB5-435C-BC83-6E60DB8436FA}" srcOrd="1" destOrd="0" presId="urn:microsoft.com/office/officeart/2005/8/layout/orgChart1"/>
    <dgm:cxn modelId="{46484D50-5A3B-48EB-9B8C-28875825C083}" type="presParOf" srcId="{59D29E1E-2CB5-435C-BC83-6E60DB8436FA}" destId="{BC3E120E-0F2C-42B6-87F7-9BA4B6CB7157}" srcOrd="0" destOrd="0" presId="urn:microsoft.com/office/officeart/2005/8/layout/orgChart1"/>
    <dgm:cxn modelId="{74A4197D-DDFE-48DD-9FCD-D1FFCADBD234}" type="presParOf" srcId="{59D29E1E-2CB5-435C-BC83-6E60DB8436FA}" destId="{810B259E-DD0E-4851-9EF6-A19C13D8933A}" srcOrd="1" destOrd="0" presId="urn:microsoft.com/office/officeart/2005/8/layout/orgChart1"/>
    <dgm:cxn modelId="{4DCEA3E6-2762-4215-8A4B-236636BC04C0}" type="presParOf" srcId="{810B259E-DD0E-4851-9EF6-A19C13D8933A}" destId="{19D92DBC-E7D2-4474-B282-D323BF4B5BF3}" srcOrd="0" destOrd="0" presId="urn:microsoft.com/office/officeart/2005/8/layout/orgChart1"/>
    <dgm:cxn modelId="{2283BB93-7DC2-4502-AFBE-8F1860784950}" type="presParOf" srcId="{19D92DBC-E7D2-4474-B282-D323BF4B5BF3}" destId="{1E8C7830-C511-4F1D-9EA3-8A8591F60ACF}" srcOrd="0" destOrd="0" presId="urn:microsoft.com/office/officeart/2005/8/layout/orgChart1"/>
    <dgm:cxn modelId="{4D92FE7A-9342-4530-A410-E9903D560D4B}" type="presParOf" srcId="{19D92DBC-E7D2-4474-B282-D323BF4B5BF3}" destId="{BD774E4E-D635-4602-824A-AA9A40FAEB18}" srcOrd="1" destOrd="0" presId="urn:microsoft.com/office/officeart/2005/8/layout/orgChart1"/>
    <dgm:cxn modelId="{67D3E8D6-0013-467A-BDEE-1FBD92A90A21}" type="presParOf" srcId="{810B259E-DD0E-4851-9EF6-A19C13D8933A}" destId="{C272C26C-56A7-4BD0-8A95-3F5CB8C6C7B1}" srcOrd="1" destOrd="0" presId="urn:microsoft.com/office/officeart/2005/8/layout/orgChart1"/>
    <dgm:cxn modelId="{DE0088C4-963E-42B7-A5A8-3B8166695228}" type="presParOf" srcId="{810B259E-DD0E-4851-9EF6-A19C13D8933A}" destId="{197EEB0E-E3CC-4C4C-B915-B45F28757C5C}" srcOrd="2" destOrd="0" presId="urn:microsoft.com/office/officeart/2005/8/layout/orgChart1"/>
    <dgm:cxn modelId="{654746A5-039D-494C-831D-4D6B28D5139C}" type="presParOf" srcId="{B5E212A5-F91D-4299-BE8B-CC98161C9F35}" destId="{7E33D6F8-4F88-42C9-A96A-CFB5EB8EA0E7}" srcOrd="2" destOrd="0" presId="urn:microsoft.com/office/officeart/2005/8/layout/orgChart1"/>
    <dgm:cxn modelId="{29E34B69-568A-4882-BF46-BA477E8C8D6F}" type="presParOf" srcId="{7F295521-FD94-4A7B-93D5-DD82B21AECAF}" destId="{085E289E-0003-438B-A31A-2ADF807AF36A}" srcOrd="2" destOrd="0" presId="urn:microsoft.com/office/officeart/2005/8/layout/orgChart1"/>
    <dgm:cxn modelId="{386CAA5A-5204-4E0A-8B63-74B1DC69CB91}" type="presParOf" srcId="{7F295521-FD94-4A7B-93D5-DD82B21AECAF}" destId="{27B319A9-515B-40D3-90CE-8E1459152737}" srcOrd="3" destOrd="0" presId="urn:microsoft.com/office/officeart/2005/8/layout/orgChart1"/>
    <dgm:cxn modelId="{F840AC6C-0A6F-4552-A71D-14ECDF51653E}" type="presParOf" srcId="{27B319A9-515B-40D3-90CE-8E1459152737}" destId="{701033C8-6ADC-4EEF-9198-D73FFE2B9E94}" srcOrd="0" destOrd="0" presId="urn:microsoft.com/office/officeart/2005/8/layout/orgChart1"/>
    <dgm:cxn modelId="{95DE7958-61F8-4C21-B5C2-BB3EAA53B56D}" type="presParOf" srcId="{701033C8-6ADC-4EEF-9198-D73FFE2B9E94}" destId="{1CE1AFFC-E74F-4207-AADD-F6AEDCEEE6F7}" srcOrd="0" destOrd="0" presId="urn:microsoft.com/office/officeart/2005/8/layout/orgChart1"/>
    <dgm:cxn modelId="{3D35CC96-569A-4942-A717-F8AA19B19405}" type="presParOf" srcId="{701033C8-6ADC-4EEF-9198-D73FFE2B9E94}" destId="{12106A80-1A8C-4300-BAEA-B48F09323E06}" srcOrd="1" destOrd="0" presId="urn:microsoft.com/office/officeart/2005/8/layout/orgChart1"/>
    <dgm:cxn modelId="{BE97ADAB-FAEC-403C-9FC1-5F003152AA32}" type="presParOf" srcId="{27B319A9-515B-40D3-90CE-8E1459152737}" destId="{6E4BF6D3-E5D1-42D3-AF44-B2C1B3C26D14}" srcOrd="1" destOrd="0" presId="urn:microsoft.com/office/officeart/2005/8/layout/orgChart1"/>
    <dgm:cxn modelId="{405702C0-BF5E-4556-B4FB-653D23CE8A58}" type="presParOf" srcId="{27B319A9-515B-40D3-90CE-8E1459152737}" destId="{EDD2EEEA-EC54-49F4-8074-672125C25376}" srcOrd="2" destOrd="0" presId="urn:microsoft.com/office/officeart/2005/8/layout/orgChart1"/>
    <dgm:cxn modelId="{1E7F2F20-4624-4583-8A7D-A78CF94FA81D}" type="presParOf" srcId="{7F295521-FD94-4A7B-93D5-DD82B21AECAF}" destId="{2CEB037A-97C0-4A63-B9B5-BDD4E4AB6279}" srcOrd="4" destOrd="0" presId="urn:microsoft.com/office/officeart/2005/8/layout/orgChart1"/>
    <dgm:cxn modelId="{8AE979C4-2BFA-4F79-AFE3-F2E6F5C909C3}" type="presParOf" srcId="{7F295521-FD94-4A7B-93D5-DD82B21AECAF}" destId="{FF2E40DD-D6A0-44EE-9E98-C7EA2084F6AF}" srcOrd="5" destOrd="0" presId="urn:microsoft.com/office/officeart/2005/8/layout/orgChart1"/>
    <dgm:cxn modelId="{84607E1A-656D-4B29-B9F9-423F38F1CDCD}" type="presParOf" srcId="{FF2E40DD-D6A0-44EE-9E98-C7EA2084F6AF}" destId="{1C560E1F-510D-4BA5-B7E2-8A700E6E75E8}" srcOrd="0" destOrd="0" presId="urn:microsoft.com/office/officeart/2005/8/layout/orgChart1"/>
    <dgm:cxn modelId="{3D32F450-C5F4-473B-8432-376E63AF3333}" type="presParOf" srcId="{1C560E1F-510D-4BA5-B7E2-8A700E6E75E8}" destId="{A9539B3E-3239-40DF-BD60-E882C535DEA6}" srcOrd="0" destOrd="0" presId="urn:microsoft.com/office/officeart/2005/8/layout/orgChart1"/>
    <dgm:cxn modelId="{C111C109-9634-4788-B9A0-83145F99EE80}" type="presParOf" srcId="{1C560E1F-510D-4BA5-B7E2-8A700E6E75E8}" destId="{19AA0906-3FD2-4D58-94C4-C4CEA885B861}" srcOrd="1" destOrd="0" presId="urn:microsoft.com/office/officeart/2005/8/layout/orgChart1"/>
    <dgm:cxn modelId="{D3CEDF12-89B1-4B44-901D-EB6F68FC16A6}" type="presParOf" srcId="{FF2E40DD-D6A0-44EE-9E98-C7EA2084F6AF}" destId="{245A9E10-D376-4F9B-A655-FA639DD26DAA}" srcOrd="1" destOrd="0" presId="urn:microsoft.com/office/officeart/2005/8/layout/orgChart1"/>
    <dgm:cxn modelId="{8D16D855-11C0-4101-90A3-65ED972A397D}" type="presParOf" srcId="{FF2E40DD-D6A0-44EE-9E98-C7EA2084F6AF}" destId="{5E975522-9DE9-4883-91F6-57D615ED1373}" srcOrd="2" destOrd="0" presId="urn:microsoft.com/office/officeart/2005/8/layout/orgChart1"/>
    <dgm:cxn modelId="{F6E57E33-A1CC-4A7F-A073-E91B1B41AE3F}" type="presParOf" srcId="{6FB690E3-9879-461C-896E-89978652F3DC}" destId="{2B066627-5EBB-47C6-9E44-77FA4A6E54AD}" srcOrd="2" destOrd="0" presId="urn:microsoft.com/office/officeart/2005/8/layout/orgChart1"/>
    <dgm:cxn modelId="{46524E65-3B32-4ECE-B088-5041F58DDCF4}" type="presParOf" srcId="{94D8F6DB-8D29-4E11-A39B-2C1D50207184}" destId="{8ADB9D96-E5EB-4CC1-A274-B0E086C1AE4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EB037A-97C0-4A63-B9B5-BDD4E4AB6279}">
      <dsp:nvSpPr>
        <dsp:cNvPr id="0" name=""/>
        <dsp:cNvSpPr/>
      </dsp:nvSpPr>
      <dsp:spPr>
        <a:xfrm>
          <a:off x="2795487" y="1360252"/>
          <a:ext cx="1674866" cy="140696"/>
        </a:xfrm>
        <a:custGeom>
          <a:avLst/>
          <a:gdLst/>
          <a:ahLst/>
          <a:cxnLst/>
          <a:rect l="0" t="0" r="0" b="0"/>
          <a:pathLst>
            <a:path>
              <a:moveTo>
                <a:pt x="0" y="0"/>
              </a:moveTo>
              <a:lnTo>
                <a:pt x="0" y="70348"/>
              </a:lnTo>
              <a:lnTo>
                <a:pt x="1674866" y="70348"/>
              </a:lnTo>
              <a:lnTo>
                <a:pt x="1674866" y="140696"/>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85E289E-0003-438B-A31A-2ADF807AF36A}">
      <dsp:nvSpPr>
        <dsp:cNvPr id="0" name=""/>
        <dsp:cNvSpPr/>
      </dsp:nvSpPr>
      <dsp:spPr>
        <a:xfrm>
          <a:off x="2749767" y="1360252"/>
          <a:ext cx="91440" cy="140696"/>
        </a:xfrm>
        <a:custGeom>
          <a:avLst/>
          <a:gdLst/>
          <a:ahLst/>
          <a:cxnLst/>
          <a:rect l="0" t="0" r="0" b="0"/>
          <a:pathLst>
            <a:path>
              <a:moveTo>
                <a:pt x="45720" y="0"/>
              </a:moveTo>
              <a:lnTo>
                <a:pt x="45720" y="140696"/>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BC3E120E-0F2C-42B6-87F7-9BA4B6CB7157}">
      <dsp:nvSpPr>
        <dsp:cNvPr id="0" name=""/>
        <dsp:cNvSpPr/>
      </dsp:nvSpPr>
      <dsp:spPr>
        <a:xfrm>
          <a:off x="1074901" y="2135353"/>
          <a:ext cx="91440" cy="140696"/>
        </a:xfrm>
        <a:custGeom>
          <a:avLst/>
          <a:gdLst/>
          <a:ahLst/>
          <a:cxnLst/>
          <a:rect l="0" t="0" r="0" b="0"/>
          <a:pathLst>
            <a:path>
              <a:moveTo>
                <a:pt x="45720" y="0"/>
              </a:moveTo>
              <a:lnTo>
                <a:pt x="45720" y="140696"/>
              </a:lnTo>
            </a:path>
          </a:pathLst>
        </a:custGeom>
        <a:noFill/>
        <a:ln w="6350"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40839704-70B8-454C-AEA6-A9D8B7E1B052}">
      <dsp:nvSpPr>
        <dsp:cNvPr id="0" name=""/>
        <dsp:cNvSpPr/>
      </dsp:nvSpPr>
      <dsp:spPr>
        <a:xfrm>
          <a:off x="1120621" y="1360252"/>
          <a:ext cx="1674866" cy="140696"/>
        </a:xfrm>
        <a:custGeom>
          <a:avLst/>
          <a:gdLst/>
          <a:ahLst/>
          <a:cxnLst/>
          <a:rect l="0" t="0" r="0" b="0"/>
          <a:pathLst>
            <a:path>
              <a:moveTo>
                <a:pt x="1674866" y="0"/>
              </a:moveTo>
              <a:lnTo>
                <a:pt x="1674866" y="70348"/>
              </a:lnTo>
              <a:lnTo>
                <a:pt x="0" y="70348"/>
              </a:lnTo>
              <a:lnTo>
                <a:pt x="0" y="140696"/>
              </a:lnTo>
            </a:path>
          </a:pathLst>
        </a:custGeom>
        <a:noFill/>
        <a:ln w="6350" cap="flat" cmpd="sng" algn="ctr">
          <a:solidFill>
            <a:schemeClr val="tx1"/>
          </a:solidFill>
          <a:prstDash val="solid"/>
        </a:ln>
        <a:effectLst/>
      </dsp:spPr>
      <dsp:style>
        <a:lnRef idx="2">
          <a:scrgbClr r="0" g="0" b="0"/>
        </a:lnRef>
        <a:fillRef idx="0">
          <a:scrgbClr r="0" g="0" b="0"/>
        </a:fillRef>
        <a:effectRef idx="0">
          <a:scrgbClr r="0" g="0" b="0"/>
        </a:effectRef>
        <a:fontRef idx="minor"/>
      </dsp:style>
    </dsp:sp>
    <dsp:sp modelId="{8EED8BF9-BA76-4915-950C-2DCAC7D74C6C}">
      <dsp:nvSpPr>
        <dsp:cNvPr id="0" name=""/>
        <dsp:cNvSpPr/>
      </dsp:nvSpPr>
      <dsp:spPr>
        <a:xfrm>
          <a:off x="2749767" y="601789"/>
          <a:ext cx="91440" cy="140696"/>
        </a:xfrm>
        <a:custGeom>
          <a:avLst/>
          <a:gdLst/>
          <a:ahLst/>
          <a:cxnLst/>
          <a:rect l="0" t="0" r="0" b="0"/>
          <a:pathLst>
            <a:path>
              <a:moveTo>
                <a:pt x="45720" y="0"/>
              </a:moveTo>
              <a:lnTo>
                <a:pt x="45720" y="140696"/>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sp>
    <dsp:sp modelId="{09A23D92-2451-4F43-ADDB-309380F1053A}">
      <dsp:nvSpPr>
        <dsp:cNvPr id="0" name=""/>
        <dsp:cNvSpPr/>
      </dsp:nvSpPr>
      <dsp:spPr>
        <a:xfrm>
          <a:off x="2074758" y="478"/>
          <a:ext cx="1441458" cy="601311"/>
        </a:xfrm>
        <a:prstGeom prst="rect">
          <a:avLst/>
        </a:prstGeom>
        <a:solidFill>
          <a:schemeClr val="lt1">
            <a:hueOff val="0"/>
            <a:satOff val="0"/>
            <a:lumOff val="0"/>
            <a:alphaOff val="0"/>
          </a:schemeClr>
        </a:solidFill>
        <a:ln w="3175"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Clark Stevens</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Co-Founder and Chairman</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London, England, Area</a:t>
          </a:r>
        </a:p>
      </dsp:txBody>
      <dsp:txXfrm>
        <a:off x="2074758" y="478"/>
        <a:ext cx="1441458" cy="601311"/>
      </dsp:txXfrm>
    </dsp:sp>
    <dsp:sp modelId="{0E03D19C-2DF3-41EB-A8F6-497B289B99E1}">
      <dsp:nvSpPr>
        <dsp:cNvPr id="0" name=""/>
        <dsp:cNvSpPr/>
      </dsp:nvSpPr>
      <dsp:spPr>
        <a:xfrm>
          <a:off x="2055349" y="742485"/>
          <a:ext cx="1480276" cy="617766"/>
        </a:xfrm>
        <a:prstGeom prst="rect">
          <a:avLst/>
        </a:prstGeom>
        <a:solidFill>
          <a:schemeClr val="lt1">
            <a:hueOff val="0"/>
            <a:satOff val="0"/>
            <a:lumOff val="0"/>
            <a:alphaOff val="0"/>
          </a:schemeClr>
        </a:solid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Connor Martins</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Co-Founder and CEO</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London, England, Area</a:t>
          </a:r>
        </a:p>
      </dsp:txBody>
      <dsp:txXfrm>
        <a:off x="2055349" y="742485"/>
        <a:ext cx="1480276" cy="617766"/>
      </dsp:txXfrm>
    </dsp:sp>
    <dsp:sp modelId="{45FE2A51-1ED5-47B0-BDDE-75BF97677D51}">
      <dsp:nvSpPr>
        <dsp:cNvPr id="0" name=""/>
        <dsp:cNvSpPr/>
      </dsp:nvSpPr>
      <dsp:spPr>
        <a:xfrm>
          <a:off x="353536" y="1500948"/>
          <a:ext cx="1534170" cy="634405"/>
        </a:xfrm>
        <a:prstGeom prst="rect">
          <a:avLst/>
        </a:prstGeom>
        <a:solidFill>
          <a:schemeClr val="bg1"/>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CTO and VP, Asia-Pacific</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William Davidson</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Brisbane, Australia</a:t>
          </a:r>
        </a:p>
      </dsp:txBody>
      <dsp:txXfrm>
        <a:off x="353536" y="1500948"/>
        <a:ext cx="1534170" cy="634405"/>
      </dsp:txXfrm>
    </dsp:sp>
    <dsp:sp modelId="{1E8C7830-C511-4F1D-9EA3-8A8591F60ACF}">
      <dsp:nvSpPr>
        <dsp:cNvPr id="0" name=""/>
        <dsp:cNvSpPr/>
      </dsp:nvSpPr>
      <dsp:spPr>
        <a:xfrm>
          <a:off x="320522" y="2276049"/>
          <a:ext cx="1600196" cy="657502"/>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Development Team</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Developers (8)</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Scotland</a:t>
          </a:r>
        </a:p>
      </dsp:txBody>
      <dsp:txXfrm>
        <a:off x="320522" y="2276049"/>
        <a:ext cx="1600196" cy="657502"/>
      </dsp:txXfrm>
    </dsp:sp>
    <dsp:sp modelId="{1CE1AFFC-E74F-4207-AADD-F6AEDCEEE6F7}">
      <dsp:nvSpPr>
        <dsp:cNvPr id="0" name=""/>
        <dsp:cNvSpPr/>
      </dsp:nvSpPr>
      <dsp:spPr>
        <a:xfrm>
          <a:off x="2028402" y="1500948"/>
          <a:ext cx="1534170" cy="657502"/>
        </a:xfrm>
        <a:prstGeom prst="rect">
          <a:avLst/>
        </a:prstGeom>
        <a:solidFill>
          <a:schemeClr val="lt1">
            <a:hueOff val="0"/>
            <a:satOff val="0"/>
            <a:lumOff val="0"/>
            <a:alphaOff val="0"/>
          </a:schemeClr>
        </a:solidFill>
        <a:ln w="635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VP—Europe/Middle East </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Amy Thomasson</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Umbria, Italy</a:t>
          </a:r>
        </a:p>
      </dsp:txBody>
      <dsp:txXfrm>
        <a:off x="2028402" y="1500948"/>
        <a:ext cx="1534170" cy="657502"/>
      </dsp:txXfrm>
    </dsp:sp>
    <dsp:sp modelId="{A9539B3E-3239-40DF-BD60-E882C535DEA6}">
      <dsp:nvSpPr>
        <dsp:cNvPr id="0" name=""/>
        <dsp:cNvSpPr/>
      </dsp:nvSpPr>
      <dsp:spPr>
        <a:xfrm>
          <a:off x="3703268" y="1500948"/>
          <a:ext cx="1534170" cy="657502"/>
        </a:xfrm>
        <a:prstGeom prst="rect">
          <a:avLst/>
        </a:prstGeom>
        <a:solidFill>
          <a:schemeClr val="lt1">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VP—Americas</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Rob Britton</a:t>
          </a:r>
        </a:p>
        <a:p>
          <a:pPr lvl="0" algn="ctr" defTabSz="400050">
            <a:lnSpc>
              <a:spcPct val="90000"/>
            </a:lnSpc>
            <a:spcBef>
              <a:spcPct val="0"/>
            </a:spcBef>
            <a:spcAft>
              <a:spcPct val="35000"/>
            </a:spcAft>
          </a:pPr>
          <a:r>
            <a:rPr lang="en-US" sz="900" kern="1200">
              <a:latin typeface="Arial" panose="020B0604020202020204" pitchFamily="34" charset="0"/>
              <a:cs typeface="Arial" panose="020B0604020202020204" pitchFamily="34" charset="0"/>
            </a:rPr>
            <a:t>Dallas, United States</a:t>
          </a:r>
        </a:p>
      </dsp:txBody>
      <dsp:txXfrm>
        <a:off x="3703268" y="1500948"/>
        <a:ext cx="1534170" cy="6575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3145-473E-47D9-8E54-26E249D8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4595</Words>
  <Characters>26196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3</cp:revision>
  <cp:lastPrinted>2020-01-27T18:10:00Z</cp:lastPrinted>
  <dcterms:created xsi:type="dcterms:W3CDTF">2020-01-27T18:10:00Z</dcterms:created>
  <dcterms:modified xsi:type="dcterms:W3CDTF">2020-01-27T18:10:00Z</dcterms:modified>
</cp:coreProperties>
</file>