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DA2750"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DA2750" w:rsidP="00F105B7">
      <w:pPr>
        <w:pStyle w:val="ProductNumber"/>
      </w:pPr>
      <w:r>
        <w:t>9B18A070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DA2750" w:rsidP="00013360">
      <w:pPr>
        <w:pStyle w:val="CaseTitle"/>
        <w:spacing w:after="0" w:line="240" w:lineRule="auto"/>
        <w:rPr>
          <w:sz w:val="20"/>
          <w:szCs w:val="20"/>
        </w:rPr>
      </w:pPr>
      <w:r>
        <w:rPr>
          <w:rFonts w:eastAsia="Times New Roman"/>
          <w:szCs w:val="20"/>
        </w:rPr>
        <w:t>maha research labs: sales force expansion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DA2750" w:rsidP="00627C63">
      <w:pPr>
        <w:pStyle w:val="StyleCopyrightStatementAfter0ptBottomSinglesolidline1"/>
      </w:pPr>
      <w:r w:rsidRPr="007D224B">
        <w:rPr>
          <w:color w:val="auto"/>
        </w:rPr>
        <w:t xml:space="preserve">Sandeep Puri, Darren Meister, </w:t>
      </w:r>
      <w:proofErr w:type="spellStart"/>
      <w:r w:rsidRPr="007D224B">
        <w:rPr>
          <w:color w:val="auto"/>
        </w:rPr>
        <w:t>Archishman</w:t>
      </w:r>
      <w:proofErr w:type="spellEnd"/>
      <w:r w:rsidRPr="007D224B">
        <w:rPr>
          <w:color w:val="auto"/>
        </w:rPr>
        <w:t xml:space="preserve"> </w:t>
      </w:r>
      <w:proofErr w:type="spellStart"/>
      <w:r w:rsidRPr="007D224B">
        <w:rPr>
          <w:color w:val="auto"/>
        </w:rPr>
        <w:t>Latyan</w:t>
      </w:r>
      <w:proofErr w:type="spellEnd"/>
      <w:r w:rsidRPr="007D224B">
        <w:rPr>
          <w:color w:val="auto"/>
        </w:rPr>
        <w:t xml:space="preserve">, and </w:t>
      </w:r>
      <w:proofErr w:type="spellStart"/>
      <w:r w:rsidRPr="007D224B">
        <w:rPr>
          <w:color w:val="auto"/>
        </w:rPr>
        <w:t>Shreeya</w:t>
      </w:r>
      <w:proofErr w:type="spellEnd"/>
      <w:r w:rsidRPr="007D224B">
        <w:rPr>
          <w:color w:val="auto"/>
        </w:rPr>
        <w:t xml:space="preserve"> Dash</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DA2750">
        <w:t>18</w:t>
      </w:r>
      <w:r>
        <w:t>, Ivey Business School Foundation</w:t>
      </w:r>
      <w:r>
        <w:tab/>
        <w:t>Version: 20</w:t>
      </w:r>
      <w:r w:rsidR="00DA2750">
        <w:t>1</w:t>
      </w:r>
      <w:r w:rsidR="00191911">
        <w:t>8</w:t>
      </w:r>
      <w:r>
        <w:t>-</w:t>
      </w:r>
      <w:r w:rsidR="00DA2750">
        <w:t>12</w:t>
      </w:r>
      <w:r>
        <w:t>-</w:t>
      </w:r>
      <w:r w:rsidR="00191911">
        <w:t>19</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4C0A0F" w:rsidRPr="00442925" w:rsidRDefault="004C0A0F" w:rsidP="00CA4E86">
      <w:pPr>
        <w:pStyle w:val="BodyTextMain"/>
        <w:rPr>
          <w:bCs/>
          <w:shd w:val="clear" w:color="auto" w:fill="FFFFFF"/>
          <w:lang w:val="en-GB"/>
        </w:rPr>
      </w:pPr>
      <w:r w:rsidRPr="00442925">
        <w:rPr>
          <w:lang w:val="en-GB"/>
        </w:rPr>
        <w:t xml:space="preserve">Toward the end of March 2018, Mohammed </w:t>
      </w:r>
      <w:proofErr w:type="spellStart"/>
      <w:r w:rsidRPr="00442925">
        <w:rPr>
          <w:lang w:val="en-GB"/>
        </w:rPr>
        <w:t>Isaquddin</w:t>
      </w:r>
      <w:proofErr w:type="spellEnd"/>
      <w:r w:rsidRPr="00442925">
        <w:rPr>
          <w:lang w:val="en-GB"/>
        </w:rPr>
        <w:t xml:space="preserve"> </w:t>
      </w:r>
      <w:proofErr w:type="spellStart"/>
      <w:r w:rsidRPr="00442925">
        <w:rPr>
          <w:lang w:val="en-GB"/>
        </w:rPr>
        <w:t>Kureshi</w:t>
      </w:r>
      <w:proofErr w:type="spellEnd"/>
      <w:r w:rsidRPr="00442925">
        <w:rPr>
          <w:lang w:val="en-GB"/>
        </w:rPr>
        <w:t xml:space="preserve">, the managing director of </w:t>
      </w:r>
      <w:proofErr w:type="spellStart"/>
      <w:r w:rsidRPr="00442925">
        <w:rPr>
          <w:lang w:val="en-GB"/>
        </w:rPr>
        <w:t>Maha</w:t>
      </w:r>
      <w:proofErr w:type="spellEnd"/>
      <w:r w:rsidRPr="00442925">
        <w:rPr>
          <w:lang w:val="en-GB"/>
        </w:rPr>
        <w:t xml:space="preserve"> Research Labs Private Limited (</w:t>
      </w:r>
      <w:r w:rsidRPr="002111D4">
        <w:rPr>
          <w:lang w:val="en-GB"/>
        </w:rPr>
        <w:t xml:space="preserve">MRL), sat in his office </w:t>
      </w:r>
      <w:r w:rsidRPr="00FA4B1C">
        <w:rPr>
          <w:bCs/>
          <w:lang w:val="en-GB"/>
        </w:rPr>
        <w:t>charting his 2020 vision for MRL. H</w:t>
      </w:r>
      <w:r w:rsidRPr="00442925">
        <w:rPr>
          <w:bCs/>
          <w:lang w:val="en-GB"/>
        </w:rPr>
        <w:t xml:space="preserve">e realized his company, which he had set up in 2007, was growing and doing reasonably well in the Indian pharmaceutical market. By 2016, the company had achieved sales revenue of </w:t>
      </w:r>
      <w:r w:rsidRPr="00B5397A">
        <w:rPr>
          <w:rFonts w:ascii="Arial" w:hAnsi="Arial" w:cs="Arial"/>
          <w:bCs/>
          <w:sz w:val="20"/>
          <w:szCs w:val="20"/>
          <w:lang w:val="en-GB"/>
        </w:rPr>
        <w:t>₹</w:t>
      </w:r>
      <w:r w:rsidRPr="00442925">
        <w:rPr>
          <w:bCs/>
          <w:lang w:val="en-GB"/>
        </w:rPr>
        <w:t>500 million,</w:t>
      </w:r>
      <w:r w:rsidRPr="00442925">
        <w:rPr>
          <w:rStyle w:val="FootnoteReference"/>
          <w:lang w:val="en-GB"/>
        </w:rPr>
        <w:footnoteReference w:id="1"/>
      </w:r>
      <w:r w:rsidRPr="00442925">
        <w:rPr>
          <w:bCs/>
          <w:lang w:val="en-GB"/>
        </w:rPr>
        <w:t xml:space="preserve"> and by 2017, it had registered a 31.8 per cent growth over the previous year and achieved sales worth </w:t>
      </w:r>
      <w:r w:rsidRPr="00B5397A">
        <w:rPr>
          <w:rFonts w:ascii="Arial" w:hAnsi="Arial" w:cs="Arial"/>
          <w:bCs/>
          <w:sz w:val="20"/>
          <w:szCs w:val="20"/>
          <w:lang w:val="en-GB"/>
        </w:rPr>
        <w:t>₹</w:t>
      </w:r>
      <w:r w:rsidRPr="00442925">
        <w:rPr>
          <w:bCs/>
          <w:lang w:val="en-GB"/>
        </w:rPr>
        <w:t xml:space="preserve">670.2 million </w:t>
      </w:r>
      <w:r w:rsidRPr="00442925">
        <w:rPr>
          <w:rStyle w:val="apple-converted-space"/>
          <w:bCs/>
          <w:shd w:val="clear" w:color="auto" w:fill="FFFFFF"/>
          <w:lang w:val="en-GB"/>
        </w:rPr>
        <w:t xml:space="preserve">(see </w:t>
      </w:r>
      <w:r w:rsidRPr="00442925">
        <w:rPr>
          <w:bCs/>
          <w:shd w:val="clear" w:color="auto" w:fill="FFFFFF"/>
          <w:lang w:val="en-GB"/>
        </w:rPr>
        <w:t>Exhibit 1)</w:t>
      </w:r>
      <w:r w:rsidRPr="00442925">
        <w:rPr>
          <w:bCs/>
          <w:lang w:val="en-GB"/>
        </w:rPr>
        <w:t xml:space="preserve">. </w:t>
      </w:r>
      <w:proofErr w:type="spellStart"/>
      <w:r w:rsidRPr="002111D4">
        <w:rPr>
          <w:bCs/>
          <w:lang w:val="en-GB"/>
        </w:rPr>
        <w:t>Kureshi</w:t>
      </w:r>
      <w:proofErr w:type="spellEnd"/>
      <w:r w:rsidRPr="002111D4">
        <w:rPr>
          <w:bCs/>
          <w:lang w:val="en-GB"/>
        </w:rPr>
        <w:t xml:space="preserve"> thought it was </w:t>
      </w:r>
      <w:r w:rsidRPr="00FA4B1C">
        <w:rPr>
          <w:bCs/>
          <w:lang w:val="en-GB"/>
        </w:rPr>
        <w:t>natural for the company to set an ambitious growth target of nearly 50 per cent in 2018</w:t>
      </w:r>
      <w:r w:rsidRPr="00442925">
        <w:rPr>
          <w:bCs/>
          <w:lang w:val="en-GB"/>
        </w:rPr>
        <w:t xml:space="preserve">, aiming </w:t>
      </w:r>
      <w:r w:rsidRPr="00442925">
        <w:rPr>
          <w:bCs/>
          <w:shd w:val="clear" w:color="auto" w:fill="FFFFFF"/>
          <w:lang w:val="en-GB"/>
        </w:rPr>
        <w:t xml:space="preserve">for a net revenue of </w:t>
      </w:r>
      <w:r w:rsidRPr="00B5397A">
        <w:rPr>
          <w:rFonts w:ascii="Arial" w:hAnsi="Arial" w:cs="Arial"/>
          <w:bCs/>
          <w:sz w:val="20"/>
          <w:szCs w:val="20"/>
          <w:lang w:val="en-GB"/>
        </w:rPr>
        <w:t>₹</w:t>
      </w:r>
      <w:r w:rsidRPr="00442925">
        <w:rPr>
          <w:bCs/>
          <w:lang w:val="en-GB"/>
        </w:rPr>
        <w:t>1</w:t>
      </w:r>
      <w:r w:rsidRPr="00442925">
        <w:rPr>
          <w:bCs/>
          <w:shd w:val="clear" w:color="auto" w:fill="FFFFFF"/>
          <w:lang w:val="en-GB"/>
        </w:rPr>
        <w:t xml:space="preserve"> billion.</w:t>
      </w:r>
    </w:p>
    <w:p w:rsidR="004C0A0F" w:rsidRPr="002111D4" w:rsidRDefault="004C0A0F" w:rsidP="004C0A0F">
      <w:pPr>
        <w:pStyle w:val="NoSpacing"/>
        <w:jc w:val="both"/>
        <w:rPr>
          <w:rFonts w:ascii="Times New Roman" w:hAnsi="Times New Roman"/>
          <w:shd w:val="clear" w:color="auto" w:fill="FFFFFF"/>
          <w:lang w:val="en-GB"/>
        </w:rPr>
      </w:pPr>
    </w:p>
    <w:p w:rsidR="004C0A0F" w:rsidRPr="00442925" w:rsidRDefault="004C0A0F" w:rsidP="00CA4E86">
      <w:pPr>
        <w:pStyle w:val="BodyTextMain"/>
        <w:rPr>
          <w:lang w:val="en-GB"/>
        </w:rPr>
      </w:pPr>
      <w:r w:rsidRPr="002111D4">
        <w:rPr>
          <w:shd w:val="clear" w:color="auto" w:fill="FFFFFF"/>
          <w:lang w:val="en-GB"/>
        </w:rPr>
        <w:t xml:space="preserve">He set the target </w:t>
      </w:r>
      <w:r w:rsidRPr="00FA4B1C">
        <w:rPr>
          <w:shd w:val="clear" w:color="auto" w:fill="FFFFFF"/>
          <w:lang w:val="en-GB"/>
        </w:rPr>
        <w:t xml:space="preserve">for the current year keeping </w:t>
      </w:r>
      <w:r w:rsidRPr="00442925">
        <w:rPr>
          <w:shd w:val="clear" w:color="auto" w:fill="FFFFFF"/>
          <w:lang w:val="en-GB"/>
        </w:rPr>
        <w:t xml:space="preserve">in mind his vision for MRL in 2020: a pan-Indian presence and sales revenue worth </w:t>
      </w:r>
      <w:r w:rsidRPr="00B5397A">
        <w:rPr>
          <w:rFonts w:ascii="Arial" w:hAnsi="Arial" w:cs="Arial"/>
          <w:bCs/>
          <w:sz w:val="20"/>
          <w:szCs w:val="20"/>
          <w:lang w:val="en-GB"/>
        </w:rPr>
        <w:t>₹</w:t>
      </w:r>
      <w:r w:rsidRPr="00442925">
        <w:rPr>
          <w:lang w:val="en-GB"/>
        </w:rPr>
        <w:t>2 billion</w:t>
      </w:r>
      <w:r w:rsidRPr="00442925">
        <w:rPr>
          <w:shd w:val="clear" w:color="auto" w:fill="FFFFFF"/>
          <w:lang w:val="en-GB"/>
        </w:rPr>
        <w:t xml:space="preserve">. By 2017, MRL had a strong footprint in the western states; in order to realize </w:t>
      </w:r>
      <w:r w:rsidRPr="002111D4">
        <w:rPr>
          <w:shd w:val="clear" w:color="auto" w:fill="FFFFFF"/>
          <w:lang w:val="en-GB"/>
        </w:rPr>
        <w:t xml:space="preserve">his vision, </w:t>
      </w:r>
      <w:proofErr w:type="spellStart"/>
      <w:r w:rsidRPr="002111D4">
        <w:rPr>
          <w:shd w:val="clear" w:color="auto" w:fill="FFFFFF"/>
          <w:lang w:val="en-GB"/>
        </w:rPr>
        <w:t>Kureshi</w:t>
      </w:r>
      <w:proofErr w:type="spellEnd"/>
      <w:r w:rsidRPr="002111D4">
        <w:rPr>
          <w:lang w:val="en-GB"/>
        </w:rPr>
        <w:t xml:space="preserve"> </w:t>
      </w:r>
      <w:r w:rsidRPr="00FA4B1C">
        <w:rPr>
          <w:lang w:val="en-GB"/>
        </w:rPr>
        <w:t>decided to expand rapidly over the next year</w:t>
      </w:r>
      <w:r w:rsidRPr="00442925">
        <w:rPr>
          <w:lang w:val="en-GB"/>
        </w:rPr>
        <w:t xml:space="preserve">, expanding into the northern part of India in July 2018, the southern part in October 2018, and the eastern part in March 2019. To do so, the company had to answer a few urgent questions that would be key to deciding its sales targets: How should the </w:t>
      </w:r>
      <w:r w:rsidRPr="009858A0">
        <w:rPr>
          <w:lang w:val="en-GB"/>
        </w:rPr>
        <w:t xml:space="preserve">sales organization </w:t>
      </w:r>
      <w:proofErr w:type="gramStart"/>
      <w:r w:rsidRPr="009858A0">
        <w:rPr>
          <w:lang w:val="en-GB"/>
        </w:rPr>
        <w:t>be</w:t>
      </w:r>
      <w:proofErr w:type="gramEnd"/>
      <w:r w:rsidRPr="009858A0">
        <w:rPr>
          <w:lang w:val="en-GB"/>
        </w:rPr>
        <w:t xml:space="preserve"> </w:t>
      </w:r>
      <w:r w:rsidRPr="00442925">
        <w:rPr>
          <w:lang w:val="en-GB"/>
        </w:rPr>
        <w:t>designed</w:t>
      </w:r>
      <w:r w:rsidRPr="009858A0">
        <w:rPr>
          <w:lang w:val="en-GB"/>
        </w:rPr>
        <w:t xml:space="preserve">? What </w:t>
      </w:r>
      <w:r w:rsidRPr="00B5397A">
        <w:rPr>
          <w:lang w:val="en-GB"/>
        </w:rPr>
        <w:t xml:space="preserve">would be </w:t>
      </w:r>
      <w:r w:rsidRPr="00442925">
        <w:rPr>
          <w:lang w:val="en-GB"/>
        </w:rPr>
        <w:t>an appropriate sales</w:t>
      </w:r>
      <w:r>
        <w:rPr>
          <w:lang w:val="en-GB"/>
        </w:rPr>
        <w:t xml:space="preserve"> </w:t>
      </w:r>
      <w:r w:rsidRPr="00442925">
        <w:rPr>
          <w:lang w:val="en-GB"/>
        </w:rPr>
        <w:t xml:space="preserve">force structure? Should the company opt for a </w:t>
      </w:r>
      <w:r w:rsidRPr="009858A0">
        <w:rPr>
          <w:lang w:val="en-GB"/>
        </w:rPr>
        <w:t xml:space="preserve">generalist </w:t>
      </w:r>
      <w:r w:rsidRPr="00B5397A">
        <w:rPr>
          <w:lang w:val="en-GB"/>
        </w:rPr>
        <w:t>sales</w:t>
      </w:r>
      <w:r>
        <w:rPr>
          <w:lang w:val="en-GB"/>
        </w:rPr>
        <w:t xml:space="preserve"> </w:t>
      </w:r>
      <w:r w:rsidRPr="00B5397A">
        <w:rPr>
          <w:lang w:val="en-GB"/>
        </w:rPr>
        <w:t>force structure or a specialist sales</w:t>
      </w:r>
      <w:r>
        <w:rPr>
          <w:lang w:val="en-GB"/>
        </w:rPr>
        <w:t xml:space="preserve"> </w:t>
      </w:r>
      <w:r w:rsidRPr="00B5397A">
        <w:rPr>
          <w:lang w:val="en-GB"/>
        </w:rPr>
        <w:t>force structure? What was the optim</w:t>
      </w:r>
      <w:r>
        <w:rPr>
          <w:lang w:val="en-GB"/>
        </w:rPr>
        <w:t>al</w:t>
      </w:r>
      <w:r w:rsidRPr="00B5397A">
        <w:rPr>
          <w:lang w:val="en-GB"/>
        </w:rPr>
        <w:t xml:space="preserve"> </w:t>
      </w:r>
      <w:r w:rsidRPr="00442925">
        <w:rPr>
          <w:lang w:val="en-GB"/>
        </w:rPr>
        <w:t>size for the sales force</w:t>
      </w:r>
      <w:r w:rsidRPr="009858A0">
        <w:rPr>
          <w:lang w:val="en-GB"/>
        </w:rPr>
        <w:t xml:space="preserve">? </w:t>
      </w:r>
      <w:r w:rsidRPr="00442925">
        <w:rPr>
          <w:lang w:val="en-GB"/>
        </w:rPr>
        <w:t>What processes should the company follow to design the sales territories?</w:t>
      </w:r>
    </w:p>
    <w:p w:rsidR="004C0A0F" w:rsidRPr="00442925" w:rsidRDefault="004C0A0F" w:rsidP="004C0A0F">
      <w:pPr>
        <w:pStyle w:val="NoSpacing"/>
        <w:jc w:val="both"/>
        <w:rPr>
          <w:rFonts w:ascii="Times New Roman" w:hAnsi="Times New Roman"/>
          <w:shd w:val="clear" w:color="auto" w:fill="FFFFFF"/>
          <w:lang w:val="en-GB"/>
        </w:rPr>
      </w:pPr>
    </w:p>
    <w:p w:rsidR="004C0A0F" w:rsidRPr="00F36F48" w:rsidRDefault="004C0A0F" w:rsidP="004C0A0F">
      <w:pPr>
        <w:pStyle w:val="NoSpacing"/>
        <w:jc w:val="both"/>
        <w:rPr>
          <w:rFonts w:ascii="Times New Roman" w:hAnsi="Times New Roman"/>
          <w:shd w:val="clear" w:color="auto" w:fill="FFFFFF"/>
          <w:lang w:val="en-GB"/>
        </w:rPr>
      </w:pPr>
    </w:p>
    <w:p w:rsidR="004C0A0F" w:rsidRPr="005D6951" w:rsidRDefault="004C0A0F" w:rsidP="005D6951">
      <w:pPr>
        <w:pStyle w:val="Casehead1"/>
      </w:pPr>
      <w:r w:rsidRPr="005D6951">
        <w:t>company BACKGROUND</w:t>
      </w:r>
    </w:p>
    <w:p w:rsidR="004C0A0F" w:rsidRPr="005D6951" w:rsidRDefault="004C0A0F" w:rsidP="005D6951">
      <w:pPr>
        <w:pStyle w:val="BodyTextMain"/>
      </w:pPr>
    </w:p>
    <w:p w:rsidR="004C0A0F" w:rsidRPr="005D6951" w:rsidRDefault="004C0A0F" w:rsidP="005D6951">
      <w:pPr>
        <w:pStyle w:val="BodyTextMain"/>
      </w:pPr>
      <w:proofErr w:type="spellStart"/>
      <w:r w:rsidRPr="005D6951">
        <w:t>Maha</w:t>
      </w:r>
      <w:proofErr w:type="spellEnd"/>
      <w:r w:rsidRPr="005D6951">
        <w:t xml:space="preserve"> Research Labs, which was set up in 2007 with an initial investment of </w:t>
      </w:r>
      <w:r w:rsidRPr="005D6951">
        <w:rPr>
          <w:rFonts w:ascii="Tahoma" w:hAnsi="Tahoma" w:cs="Tahoma"/>
        </w:rPr>
        <w:t>₹</w:t>
      </w:r>
      <w:r w:rsidRPr="005D6951">
        <w:t xml:space="preserve">3 million, five employees, and seven brands, was a manufacturer and supplier of pharmaceutical products, including included imports and exports. During its initial three years, the company had marketed its products in eight sales territories, and </w:t>
      </w:r>
      <w:proofErr w:type="spellStart"/>
      <w:r w:rsidRPr="005D6951">
        <w:t>Kureshi</w:t>
      </w:r>
      <w:proofErr w:type="spellEnd"/>
      <w:r w:rsidRPr="005D6951">
        <w:t xml:space="preserve"> had taken care of all the marketing and sales activities. The company began its expansion in 2010 by marketing 22 brands in 10 sales territories. By December 2017, the company had a portfolio of 50 brands and 75 employees. The company was committed to delivering high-quality, international-standard products to Indian and overseas markets. It followed good manufacturing practices, and all of its products were procured from government-approved pharmaceutical companies that adhered to proper quality controls.</w:t>
      </w:r>
    </w:p>
    <w:p w:rsidR="004C0A0F" w:rsidRPr="00F36F48" w:rsidRDefault="004C0A0F" w:rsidP="004C0A0F">
      <w:pPr>
        <w:pStyle w:val="BodyTextMain"/>
        <w:rPr>
          <w:lang w:val="en-GB"/>
        </w:rPr>
      </w:pPr>
    </w:p>
    <w:p w:rsidR="004C0A0F" w:rsidRPr="002111D4" w:rsidRDefault="004C0A0F" w:rsidP="004C0A0F">
      <w:pPr>
        <w:pStyle w:val="BodyTextMain"/>
        <w:rPr>
          <w:lang w:val="en-GB"/>
        </w:rPr>
      </w:pPr>
      <w:r w:rsidRPr="00442925">
        <w:rPr>
          <w:lang w:val="en-GB"/>
        </w:rPr>
        <w:lastRenderedPageBreak/>
        <w:t xml:space="preserve">MRL’s product line included analgesics, </w:t>
      </w:r>
      <w:proofErr w:type="gramStart"/>
      <w:r w:rsidRPr="00442925">
        <w:rPr>
          <w:lang w:val="en-GB"/>
        </w:rPr>
        <w:t>antibiotics,</w:t>
      </w:r>
      <w:proofErr w:type="gramEnd"/>
      <w:r w:rsidRPr="00442925">
        <w:rPr>
          <w:lang w:val="en-GB"/>
        </w:rPr>
        <w:t xml:space="preserve"> anti-allergy medications, cough syrups, and a range of nutritional products (see Exhibit 2)</w:t>
      </w:r>
      <w:r w:rsidRPr="002111D4">
        <w:rPr>
          <w:shd w:val="clear" w:color="auto" w:fill="FFFFFF"/>
          <w:lang w:val="en-GB"/>
        </w:rPr>
        <w:t>.</w:t>
      </w:r>
      <w:r w:rsidRPr="002111D4">
        <w:rPr>
          <w:lang w:val="en-GB"/>
        </w:rPr>
        <w:t xml:space="preserve"> I</w:t>
      </w:r>
      <w:r w:rsidRPr="00FA4B1C">
        <w:rPr>
          <w:lang w:val="en-GB"/>
        </w:rPr>
        <w:t xml:space="preserve">ts product </w:t>
      </w:r>
      <w:r w:rsidRPr="00FA4B1C">
        <w:rPr>
          <w:bCs/>
          <w:lang w:val="en-GB"/>
        </w:rPr>
        <w:t xml:space="preserve">portfolio </w:t>
      </w:r>
      <w:r w:rsidRPr="00442925">
        <w:rPr>
          <w:bCs/>
          <w:lang w:val="en-GB"/>
        </w:rPr>
        <w:t xml:space="preserve">was focused, and its distribution network was broad: </w:t>
      </w:r>
      <w:r w:rsidRPr="00442925">
        <w:rPr>
          <w:bCs/>
          <w:shd w:val="clear" w:color="auto" w:fill="FFFFFF"/>
          <w:lang w:val="en-GB"/>
        </w:rPr>
        <w:t xml:space="preserve">three carrying-and-forwarding agents and more than 100 stockists distributed its products to customers through retail pharmacies in different sales territories </w:t>
      </w:r>
      <w:r w:rsidRPr="00442925">
        <w:rPr>
          <w:bCs/>
          <w:lang w:val="en-GB"/>
        </w:rPr>
        <w:t>(see Exhibit 3)</w:t>
      </w:r>
      <w:r w:rsidRPr="00442925">
        <w:rPr>
          <w:bCs/>
          <w:shd w:val="clear" w:color="auto" w:fill="FFFFFF"/>
          <w:lang w:val="en-GB"/>
        </w:rPr>
        <w:t xml:space="preserve">. </w:t>
      </w:r>
      <w:r w:rsidRPr="00442925">
        <w:rPr>
          <w:bCs/>
          <w:lang w:val="en-GB"/>
        </w:rPr>
        <w:t>This network gave the company distinct strategic advantages that facilitated both integration and consistently good performance in the competitive pharmaceutical market</w:t>
      </w:r>
      <w:r w:rsidRPr="002111D4">
        <w:rPr>
          <w:bCs/>
          <w:shd w:val="clear" w:color="auto" w:fill="FFFFFF"/>
          <w:lang w:val="en-GB"/>
        </w:rPr>
        <w:t xml:space="preserve">. </w:t>
      </w:r>
    </w:p>
    <w:p w:rsidR="004C0A0F" w:rsidRPr="00F36F48" w:rsidRDefault="004C0A0F" w:rsidP="004C0A0F">
      <w:pPr>
        <w:pStyle w:val="BodyTextMain"/>
        <w:rPr>
          <w:lang w:val="en-GB"/>
        </w:rPr>
      </w:pPr>
    </w:p>
    <w:p w:rsidR="004C0A0F" w:rsidRPr="00F36F48" w:rsidRDefault="004C0A0F" w:rsidP="004C0A0F">
      <w:pPr>
        <w:pStyle w:val="BodyTextMain"/>
        <w:rPr>
          <w:lang w:val="en-GB"/>
        </w:rPr>
      </w:pPr>
    </w:p>
    <w:p w:rsidR="004C0A0F" w:rsidRPr="00F36F48" w:rsidRDefault="004C0A0F" w:rsidP="004C0A0F">
      <w:pPr>
        <w:pStyle w:val="BodyTextMain"/>
        <w:rPr>
          <w:rFonts w:ascii="Arial" w:hAnsi="Arial" w:cs="Arial"/>
          <w:b/>
          <w:sz w:val="20"/>
          <w:szCs w:val="20"/>
          <w:lang w:val="en-GB"/>
        </w:rPr>
      </w:pPr>
      <w:r w:rsidRPr="00F36F48">
        <w:rPr>
          <w:rFonts w:ascii="Arial" w:hAnsi="Arial" w:cs="Arial"/>
          <w:b/>
          <w:sz w:val="20"/>
          <w:szCs w:val="20"/>
          <w:lang w:val="en-GB"/>
        </w:rPr>
        <w:t>SALES MANAGEMENT AT MAHA RESEARCH LABS</w:t>
      </w:r>
    </w:p>
    <w:p w:rsidR="004C0A0F" w:rsidRPr="00DB27CB" w:rsidRDefault="004C0A0F" w:rsidP="00DB27CB">
      <w:pPr>
        <w:pStyle w:val="BodyTextMain"/>
      </w:pPr>
    </w:p>
    <w:p w:rsidR="004C0A0F" w:rsidRPr="00DB27CB" w:rsidRDefault="004C0A0F" w:rsidP="00DB27CB">
      <w:pPr>
        <w:pStyle w:val="BodyTextMain"/>
      </w:pPr>
      <w:r w:rsidRPr="00DB27CB">
        <w:t>The company’s biggest promotional investment was its sales force—</w:t>
      </w:r>
      <w:proofErr w:type="gramStart"/>
      <w:r w:rsidRPr="00DB27CB">
        <w:t>people</w:t>
      </w:r>
      <w:proofErr w:type="gramEnd"/>
      <w:r w:rsidRPr="00DB27CB">
        <w:t xml:space="preserve"> who worked hard to build customer relationships with the right focus and targeting, enhance call efficiencies, acquire new customers, and increase the accountability of resources. </w:t>
      </w:r>
      <w:proofErr w:type="spellStart"/>
      <w:r w:rsidRPr="00DB27CB">
        <w:t>Kureshi</w:t>
      </w:r>
      <w:proofErr w:type="spellEnd"/>
      <w:r w:rsidRPr="00DB27CB">
        <w:t xml:space="preserve"> believed that an effective sales force was essential for pharmaceutical companies and central to maximizing coverage, improving sales, and optimizing costs. </w:t>
      </w:r>
      <w:r w:rsidRPr="00DB27CB">
        <w:rPr>
          <w:rFonts w:eastAsiaTheme="minorHAnsi"/>
        </w:rPr>
        <w:t xml:space="preserve">He felt that </w:t>
      </w:r>
      <w:r w:rsidRPr="00DB27CB">
        <w:t xml:space="preserve">a well-structured, organized, and forward-looking sales force would guarantee consistent revenue growth and profitability. According to </w:t>
      </w:r>
      <w:proofErr w:type="spellStart"/>
      <w:r w:rsidRPr="00DB27CB">
        <w:t>Kureshi</w:t>
      </w:r>
      <w:proofErr w:type="spellEnd"/>
      <w:r w:rsidRPr="00DB27CB">
        <w:t>, “a more organized and efficient sales force meant less wasted time and more productivity.”</w:t>
      </w:r>
    </w:p>
    <w:p w:rsidR="004C0A0F" w:rsidRPr="00DB27CB" w:rsidRDefault="004C0A0F" w:rsidP="00DB27CB">
      <w:pPr>
        <w:pStyle w:val="BodyTextMain"/>
      </w:pPr>
    </w:p>
    <w:p w:rsidR="004C0A0F" w:rsidRPr="00DB27CB" w:rsidRDefault="004C0A0F" w:rsidP="00DB27CB">
      <w:pPr>
        <w:pStyle w:val="BodyTextMain"/>
      </w:pPr>
    </w:p>
    <w:p w:rsidR="004C0A0F" w:rsidRPr="00F36F48" w:rsidRDefault="004C0A0F" w:rsidP="004C0A0F">
      <w:pPr>
        <w:pStyle w:val="Casehead2"/>
        <w:rPr>
          <w:lang w:val="en-GB"/>
        </w:rPr>
      </w:pPr>
      <w:r w:rsidRPr="00F36F48">
        <w:rPr>
          <w:lang w:val="en-GB"/>
        </w:rPr>
        <w:t>Sales Organization</w:t>
      </w:r>
    </w:p>
    <w:p w:rsidR="004C0A0F" w:rsidRPr="00F36F48" w:rsidRDefault="004C0A0F" w:rsidP="004C0A0F">
      <w:pPr>
        <w:pStyle w:val="BodyTextMain"/>
        <w:rPr>
          <w:lang w:val="en-GB"/>
        </w:rPr>
      </w:pPr>
    </w:p>
    <w:p w:rsidR="004C0A0F" w:rsidRPr="00442925" w:rsidRDefault="004C0A0F" w:rsidP="004C0A0F">
      <w:pPr>
        <w:pStyle w:val="BodyTextMain"/>
        <w:rPr>
          <w:lang w:val="en-GB"/>
        </w:rPr>
      </w:pPr>
      <w:r w:rsidRPr="00442925">
        <w:rPr>
          <w:lang w:val="en-GB"/>
        </w:rPr>
        <w:t>Until 2017, MRL had thrived with a location-based sales structure and a generalist sales force. The generalist sales</w:t>
      </w:r>
      <w:r w:rsidRPr="002111D4">
        <w:rPr>
          <w:lang w:val="en-GB"/>
        </w:rPr>
        <w:t xml:space="preserve">people sold all the company’s products in their designated sales territories. </w:t>
      </w:r>
      <w:r w:rsidRPr="00FA4B1C">
        <w:rPr>
          <w:lang w:val="en-GB"/>
        </w:rPr>
        <w:t xml:space="preserve">This </w:t>
      </w:r>
      <w:r>
        <w:rPr>
          <w:lang w:val="en-GB"/>
        </w:rPr>
        <w:t xml:space="preserve">approach </w:t>
      </w:r>
      <w:r w:rsidRPr="00FA4B1C">
        <w:rPr>
          <w:lang w:val="en-GB"/>
        </w:rPr>
        <w:t xml:space="preserve">was similar to the structure of most </w:t>
      </w:r>
      <w:r w:rsidRPr="00442925">
        <w:rPr>
          <w:lang w:val="en-GB"/>
        </w:rPr>
        <w:t xml:space="preserve">competitors with a product range </w:t>
      </w:r>
      <w:r>
        <w:rPr>
          <w:lang w:val="en-GB"/>
        </w:rPr>
        <w:t>such as</w:t>
      </w:r>
      <w:r w:rsidRPr="00442925">
        <w:rPr>
          <w:lang w:val="en-GB"/>
        </w:rPr>
        <w:t xml:space="preserve"> MRL’s. The sales team was divided according to geography. The major advantage of following a location-based structure was that it reduced selling expenses, </w:t>
      </w:r>
      <w:r w:rsidRPr="002111D4">
        <w:rPr>
          <w:lang w:val="en-GB"/>
        </w:rPr>
        <w:t>avoided duplication of effort,</w:t>
      </w:r>
      <w:r w:rsidRPr="00FA4B1C">
        <w:rPr>
          <w:lang w:val="en-GB"/>
        </w:rPr>
        <w:t xml:space="preserve"> and reduced the travel burden on individual </w:t>
      </w:r>
      <w:r w:rsidRPr="00442925">
        <w:rPr>
          <w:lang w:val="en-GB"/>
        </w:rPr>
        <w:t>sales representatives. The company tried to maintain parity between the number of sales representatives and the number of customers in each geographical region.</w:t>
      </w:r>
    </w:p>
    <w:p w:rsidR="004C0A0F" w:rsidRPr="00442925" w:rsidRDefault="004C0A0F" w:rsidP="004C0A0F">
      <w:pPr>
        <w:pStyle w:val="BodyTextMain"/>
        <w:rPr>
          <w:lang w:val="en-GB"/>
        </w:rPr>
      </w:pPr>
    </w:p>
    <w:p w:rsidR="004C0A0F" w:rsidRPr="005D6951" w:rsidRDefault="004C0A0F" w:rsidP="005D6951">
      <w:pPr>
        <w:pStyle w:val="BodyTextMain"/>
      </w:pPr>
      <w:r w:rsidRPr="005D6951">
        <w:t>Pharmaceutical companies that had specialized ranges of products for cardiology, cancer, and diseases of the kidney, lung, and liver preferred a specialist sales force structure. Most leading and multinational pharmaceutical companies were moving toward a specialist sales force structure, as generalist salespeople might find it difficult to explain new, complex, and high-margin drugs.</w:t>
      </w:r>
      <w:r w:rsidRPr="005D6951">
        <w:rPr>
          <w:rStyle w:val="apple-converted-space"/>
        </w:rPr>
        <w:t xml:space="preserve"> A s</w:t>
      </w:r>
      <w:r w:rsidRPr="005D6951">
        <w:t>pecialist sales force structure was expensive, and it involved duplication of sales efforts and increased travel time for the sales team.</w:t>
      </w:r>
    </w:p>
    <w:p w:rsidR="004C0A0F" w:rsidRPr="005D6951" w:rsidRDefault="004C0A0F" w:rsidP="005D6951">
      <w:pPr>
        <w:pStyle w:val="BodyTextMain"/>
      </w:pPr>
    </w:p>
    <w:p w:rsidR="004C0A0F" w:rsidRPr="00442925" w:rsidRDefault="004C0A0F" w:rsidP="004C0A0F">
      <w:pPr>
        <w:pStyle w:val="BodyTextMain"/>
        <w:rPr>
          <w:bCs/>
          <w:lang w:val="en-GB"/>
        </w:rPr>
      </w:pPr>
      <w:r w:rsidRPr="00442925">
        <w:rPr>
          <w:lang w:val="en-GB"/>
        </w:rPr>
        <w:t xml:space="preserve">While MRL’s decision regarding sales targets hinged on past performance, the decision regarding sales territories depended on the number of potential physicians in a particular area. As of March 2018, MRL’s sales force was made up of 50 </w:t>
      </w:r>
      <w:r w:rsidRPr="00442925">
        <w:rPr>
          <w:shd w:val="clear" w:color="auto" w:fill="FFFFFF"/>
          <w:lang w:val="en-GB"/>
        </w:rPr>
        <w:t xml:space="preserve">professional sales officers (PSOs) and seven area sales managers (ASMs). </w:t>
      </w:r>
      <w:r w:rsidRPr="00442925">
        <w:rPr>
          <w:lang w:val="en-GB"/>
        </w:rPr>
        <w:t xml:space="preserve">Eight PSOs, grouped geographically, reported to </w:t>
      </w:r>
      <w:r w:rsidRPr="00442925">
        <w:rPr>
          <w:bCs/>
          <w:lang w:val="en-GB"/>
        </w:rPr>
        <w:t xml:space="preserve">an ASM. The ASMs were answerable to a zonal sales manager, who reported to </w:t>
      </w:r>
      <w:proofErr w:type="spellStart"/>
      <w:r w:rsidRPr="00442925">
        <w:rPr>
          <w:bCs/>
          <w:lang w:val="en-GB"/>
        </w:rPr>
        <w:t>Kureshi</w:t>
      </w:r>
      <w:proofErr w:type="spellEnd"/>
      <w:r w:rsidRPr="00442925">
        <w:rPr>
          <w:bCs/>
          <w:lang w:val="en-GB"/>
        </w:rPr>
        <w:t xml:space="preserve">. </w:t>
      </w:r>
      <w:r w:rsidRPr="00442925">
        <w:rPr>
          <w:lang w:val="en-GB"/>
        </w:rPr>
        <w:t>Each new PSO underwent 14 days of training at the company’s facility, and all PSOs attended an annual week-long refresher course in the same facility. ASMs worked with each PSO for three days each month for field training and performance reviews.</w:t>
      </w:r>
    </w:p>
    <w:p w:rsidR="004C0A0F" w:rsidRPr="00F36F48" w:rsidRDefault="004C0A0F" w:rsidP="004C0A0F">
      <w:pPr>
        <w:pStyle w:val="BodyTextMain"/>
        <w:rPr>
          <w:lang w:val="en-GB"/>
        </w:rPr>
      </w:pPr>
    </w:p>
    <w:p w:rsidR="004C0A0F" w:rsidRPr="00F36F48" w:rsidRDefault="004C0A0F" w:rsidP="004C0A0F">
      <w:pPr>
        <w:pStyle w:val="BodyTextMain"/>
        <w:rPr>
          <w:lang w:val="en-GB"/>
        </w:rPr>
      </w:pPr>
    </w:p>
    <w:p w:rsidR="004C0A0F" w:rsidRPr="00F36F48" w:rsidRDefault="004C0A0F" w:rsidP="004C0A0F">
      <w:pPr>
        <w:pStyle w:val="Casehead2"/>
        <w:rPr>
          <w:lang w:val="en-GB"/>
        </w:rPr>
      </w:pPr>
      <w:r w:rsidRPr="00F36F48">
        <w:rPr>
          <w:lang w:val="en-GB"/>
        </w:rPr>
        <w:t xml:space="preserve">Role of a </w:t>
      </w:r>
      <w:r w:rsidRPr="00F36F48">
        <w:rPr>
          <w:shd w:val="clear" w:color="auto" w:fill="FFFFFF"/>
          <w:lang w:val="en-GB"/>
        </w:rPr>
        <w:t>Professional Sales Officer</w:t>
      </w:r>
    </w:p>
    <w:p w:rsidR="004C0A0F" w:rsidRPr="00F36F48" w:rsidRDefault="004C0A0F" w:rsidP="004C0A0F">
      <w:pPr>
        <w:pStyle w:val="BodyTextMain"/>
        <w:rPr>
          <w:rStyle w:val="bodytext0"/>
          <w:lang w:val="en-GB"/>
        </w:rPr>
      </w:pPr>
    </w:p>
    <w:p w:rsidR="004C0A0F" w:rsidRPr="00442925" w:rsidRDefault="004C0A0F" w:rsidP="004C0A0F">
      <w:pPr>
        <w:pStyle w:val="BodyTextMain"/>
        <w:rPr>
          <w:bCs/>
          <w:lang w:val="en-GB"/>
        </w:rPr>
      </w:pPr>
      <w:r w:rsidRPr="00442925">
        <w:rPr>
          <w:rStyle w:val="bodytext0"/>
          <w:lang w:val="en-GB"/>
        </w:rPr>
        <w:t>Pharmaceutical selling differed from regular selling, and t</w:t>
      </w:r>
      <w:r w:rsidRPr="00442925">
        <w:rPr>
          <w:lang w:val="en-GB"/>
        </w:rPr>
        <w:t xml:space="preserve">he </w:t>
      </w:r>
      <w:r w:rsidRPr="00442925">
        <w:rPr>
          <w:shd w:val="clear" w:color="auto" w:fill="FFFFFF"/>
          <w:lang w:val="en-GB"/>
        </w:rPr>
        <w:t xml:space="preserve">PSOs </w:t>
      </w:r>
      <w:r w:rsidRPr="00442925">
        <w:rPr>
          <w:lang w:val="en-GB"/>
        </w:rPr>
        <w:t xml:space="preserve">were the backbone of the pharmaceutical industry </w:t>
      </w:r>
      <w:r w:rsidRPr="002111D4">
        <w:rPr>
          <w:lang w:val="en-GB"/>
        </w:rPr>
        <w:t>in India. They w</w:t>
      </w:r>
      <w:r w:rsidRPr="00FA4B1C">
        <w:rPr>
          <w:lang w:val="en-GB"/>
        </w:rPr>
        <w:t xml:space="preserve">ere directly responsible for both </w:t>
      </w:r>
      <w:r w:rsidRPr="00442925">
        <w:rPr>
          <w:lang w:val="en-GB"/>
        </w:rPr>
        <w:t xml:space="preserve">generating demand and ensuring an unhindered supply of products in their sales territories. In terms of demand generation, the PSO’s role was </w:t>
      </w:r>
      <w:r>
        <w:rPr>
          <w:lang w:val="en-GB"/>
        </w:rPr>
        <w:t>similar to</w:t>
      </w:r>
      <w:r w:rsidRPr="00442925">
        <w:rPr>
          <w:lang w:val="en-GB"/>
        </w:rPr>
        <w:t xml:space="preserve"> that of a missionary: selling by persuading physicians and other health professionals to </w:t>
      </w:r>
      <w:r w:rsidRPr="00442925">
        <w:rPr>
          <w:lang w:val="en-GB"/>
        </w:rPr>
        <w:lastRenderedPageBreak/>
        <w:t xml:space="preserve">prescribe the company’s products. This </w:t>
      </w:r>
      <w:r>
        <w:rPr>
          <w:lang w:val="en-GB"/>
        </w:rPr>
        <w:t xml:space="preserve">role </w:t>
      </w:r>
      <w:r w:rsidRPr="00442925">
        <w:rPr>
          <w:lang w:val="en-GB"/>
        </w:rPr>
        <w:t>included reaching out to physicians to share knowledge on product formulation, usage, and dosage; taking feedback about products</w:t>
      </w:r>
      <w:r w:rsidRPr="002111D4">
        <w:rPr>
          <w:lang w:val="en-GB"/>
        </w:rPr>
        <w:t>; addressing queries and complain</w:t>
      </w:r>
      <w:r w:rsidRPr="00FA4B1C">
        <w:rPr>
          <w:lang w:val="en-GB"/>
        </w:rPr>
        <w:t xml:space="preserve">ts; keeping </w:t>
      </w:r>
      <w:r w:rsidRPr="00442925">
        <w:rPr>
          <w:lang w:val="en-GB"/>
        </w:rPr>
        <w:t>physicians aware of recent developments in the industry; delivering samples; and building a rapport with individual physicians</w:t>
      </w:r>
      <w:r w:rsidRPr="00442925">
        <w:rPr>
          <w:bCs/>
          <w:lang w:val="en-GB"/>
        </w:rPr>
        <w:t>. The PSO’s job was to get more physicians to write more prescriptions to help increase sales revenue and profits.</w:t>
      </w:r>
    </w:p>
    <w:p w:rsidR="004C0A0F" w:rsidRPr="00442925" w:rsidRDefault="004C0A0F" w:rsidP="004C0A0F">
      <w:pPr>
        <w:pStyle w:val="BodyTextMain"/>
        <w:rPr>
          <w:bCs/>
          <w:lang w:val="en-GB"/>
        </w:rPr>
      </w:pPr>
    </w:p>
    <w:p w:rsidR="004C0A0F" w:rsidRPr="00442925" w:rsidRDefault="004C0A0F" w:rsidP="004C0A0F">
      <w:pPr>
        <w:pStyle w:val="BodyTextMain"/>
        <w:rPr>
          <w:lang w:val="en-GB"/>
        </w:rPr>
      </w:pPr>
      <w:r w:rsidRPr="00442925">
        <w:rPr>
          <w:lang w:val="en-GB"/>
        </w:rPr>
        <w:t xml:space="preserve">On the supply side, the PSO ensured that products were available for consumers by reviewing the sales data and stock levels of retail pharmacies and dealers. PSOs were also responsible for product withdrawals due to breakage or expiry. Hence, they acted as intermediaries between the company and its customers. The non-selling responsibilities of PSOs included maintaining records (e.g., client-information analyses of sales data) and preparing various </w:t>
      </w:r>
      <w:r w:rsidRPr="00442925">
        <w:rPr>
          <w:bCs/>
          <w:lang w:val="en-GB"/>
        </w:rPr>
        <w:t xml:space="preserve">reports (e.g., daily call reports, expense reports, travel plans, and monthly reports). MRL also used its sales force to gather information on customers, </w:t>
      </w:r>
      <w:r w:rsidRPr="00442925">
        <w:rPr>
          <w:lang w:val="en-GB"/>
        </w:rPr>
        <w:t>changes in the general market environment, and key consumer insights.</w:t>
      </w:r>
      <w:r w:rsidRPr="00442925">
        <w:rPr>
          <w:bCs/>
          <w:lang w:val="en-GB"/>
        </w:rPr>
        <w:t xml:space="preserve"> </w:t>
      </w:r>
      <w:r w:rsidRPr="00442925">
        <w:rPr>
          <w:lang w:val="en-GB"/>
        </w:rPr>
        <w:t>The most important skills and competencies companies sought in PSOs were good communication skills, a result-oriented focus, good product knowledge, good negotiation skills, and strong ethics.</w:t>
      </w:r>
    </w:p>
    <w:p w:rsidR="004C0A0F" w:rsidRPr="00442925" w:rsidRDefault="004C0A0F" w:rsidP="004C0A0F">
      <w:pPr>
        <w:pStyle w:val="BodyTextMain"/>
        <w:rPr>
          <w:lang w:val="en-GB"/>
        </w:rPr>
      </w:pPr>
    </w:p>
    <w:p w:rsidR="004C0A0F" w:rsidRPr="00442925" w:rsidRDefault="004C0A0F" w:rsidP="004C0A0F">
      <w:pPr>
        <w:pStyle w:val="BodyTextMain"/>
        <w:rPr>
          <w:bCs/>
          <w:lang w:val="en-GB"/>
        </w:rPr>
      </w:pPr>
      <w:r w:rsidRPr="00442925">
        <w:rPr>
          <w:lang w:val="en-GB"/>
        </w:rPr>
        <w:t xml:space="preserve">PSOs were required to make at least 10 physician calls and six pharmacy visits per day and a </w:t>
      </w:r>
      <w:r w:rsidRPr="00442925">
        <w:rPr>
          <w:bCs/>
          <w:lang w:val="en-GB"/>
        </w:rPr>
        <w:t>minimum of 220 physician calls and 132 pharmacy visits per month. They also had to divide their time between physicians in different categories, spending 50 per cent of their time dealing with A-class physicians, 30 per cent with B-class physicians, and 20 per cent with C-class physicians.</w:t>
      </w:r>
      <w:r w:rsidRPr="00442925">
        <w:rPr>
          <w:rStyle w:val="FootnoteReference"/>
          <w:bCs/>
          <w:lang w:val="en-GB"/>
        </w:rPr>
        <w:footnoteReference w:id="2"/>
      </w:r>
      <w:r w:rsidRPr="00442925">
        <w:rPr>
          <w:bCs/>
          <w:lang w:val="en-GB"/>
        </w:rPr>
        <w:t xml:space="preserve"> The PSOs each had 180 customers, </w:t>
      </w:r>
      <w:r w:rsidRPr="002111D4">
        <w:rPr>
          <w:bCs/>
          <w:lang w:val="en-GB"/>
        </w:rPr>
        <w:t xml:space="preserve">of which 50 were </w:t>
      </w:r>
      <w:r w:rsidRPr="00FA4B1C">
        <w:rPr>
          <w:bCs/>
          <w:lang w:val="en-GB"/>
        </w:rPr>
        <w:t xml:space="preserve">in </w:t>
      </w:r>
      <w:r w:rsidRPr="00442925">
        <w:rPr>
          <w:bCs/>
          <w:lang w:val="en-GB"/>
        </w:rPr>
        <w:t>class A, 100 were in class B, and 30 were in class C. They also had to achieve the required growth of value and volume targets on monthly and yearly bases.</w:t>
      </w:r>
    </w:p>
    <w:p w:rsidR="004C0A0F" w:rsidRPr="00F36F48" w:rsidRDefault="004C0A0F" w:rsidP="004C0A0F">
      <w:pPr>
        <w:pStyle w:val="BodyTextMain"/>
        <w:rPr>
          <w:bCs/>
          <w:lang w:val="en-GB"/>
        </w:rPr>
      </w:pPr>
    </w:p>
    <w:p w:rsidR="004C0A0F" w:rsidRPr="00F36F48" w:rsidRDefault="004C0A0F" w:rsidP="004C0A0F">
      <w:pPr>
        <w:pStyle w:val="BodyTextMain"/>
        <w:rPr>
          <w:lang w:val="en-GB"/>
        </w:rPr>
      </w:pPr>
    </w:p>
    <w:p w:rsidR="004C0A0F" w:rsidRPr="00F36F48" w:rsidRDefault="004C0A0F" w:rsidP="004C0A0F">
      <w:pPr>
        <w:pStyle w:val="Casehead2"/>
        <w:rPr>
          <w:lang w:val="en-GB"/>
        </w:rPr>
      </w:pPr>
      <w:r w:rsidRPr="00F36F48">
        <w:rPr>
          <w:lang w:val="en-GB"/>
        </w:rPr>
        <w:t>Sales Process</w:t>
      </w:r>
    </w:p>
    <w:p w:rsidR="004C0A0F" w:rsidRPr="00DB27CB" w:rsidRDefault="004C0A0F" w:rsidP="00DB27CB">
      <w:pPr>
        <w:pStyle w:val="BodyTextMain"/>
      </w:pPr>
    </w:p>
    <w:p w:rsidR="004C0A0F" w:rsidRPr="00DB27CB" w:rsidRDefault="004C0A0F" w:rsidP="00DB27CB">
      <w:pPr>
        <w:pStyle w:val="BodyTextMain"/>
      </w:pPr>
      <w:r w:rsidRPr="00DB27CB">
        <w:t xml:space="preserve">Missionary selling was the main sales style used in pharmaceutical selling; thus, a PSO’s role was to convince physicians of the effectiveness of a branded medicine they could prescribe for their patients. Missionary salespeople were also referred to as detailing salespersons. Detailing, which involved discussing the features and benefits of products with physicians and pharmacy retailers, provided a platform for physicians to learn about products’ indications, dosages, side effects, and prices. </w:t>
      </w:r>
      <w:proofErr w:type="spellStart"/>
      <w:r w:rsidRPr="00DB27CB">
        <w:t>Kureshi</w:t>
      </w:r>
      <w:proofErr w:type="spellEnd"/>
      <w:r w:rsidRPr="00DB27CB">
        <w:t xml:space="preserve"> stressed the importance of the sales force’s effectiveness in the different selling activities; it was critical for PSOs to execute marketing priorities. PSOs were required to follow a disciplined, planned calling system for regular visits to physicians, pharmacy retailers, </w:t>
      </w:r>
      <w:proofErr w:type="spellStart"/>
      <w:r w:rsidRPr="00DB27CB">
        <w:t>stockists</w:t>
      </w:r>
      <w:proofErr w:type="spellEnd"/>
      <w:r w:rsidRPr="00DB27CB">
        <w:t>, and hospitals. PSOs were also instructed to detail no more than three products to each physician in order to maximize the likelihood that physicians and others would recall the brand.</w:t>
      </w:r>
    </w:p>
    <w:p w:rsidR="004C0A0F" w:rsidRPr="00F36F48" w:rsidRDefault="004C0A0F" w:rsidP="004C0A0F">
      <w:pPr>
        <w:pStyle w:val="BodyTextMain"/>
        <w:rPr>
          <w:lang w:val="en-GB"/>
        </w:rPr>
      </w:pPr>
    </w:p>
    <w:p w:rsidR="004C0A0F" w:rsidRPr="00F36F48" w:rsidRDefault="004C0A0F" w:rsidP="004C0A0F">
      <w:pPr>
        <w:pStyle w:val="BodyTextMain"/>
        <w:rPr>
          <w:lang w:val="en-GB"/>
        </w:rPr>
      </w:pPr>
    </w:p>
    <w:p w:rsidR="004C0A0F" w:rsidRPr="00F36F48" w:rsidRDefault="004C0A0F" w:rsidP="004C0A0F">
      <w:pPr>
        <w:pStyle w:val="Casehead1"/>
        <w:rPr>
          <w:lang w:val="en-GB"/>
        </w:rPr>
      </w:pPr>
      <w:r w:rsidRPr="00F36F48">
        <w:rPr>
          <w:lang w:val="en-GB"/>
        </w:rPr>
        <w:t>THE INDIAN PHARMAceutical INDUSTRY</w:t>
      </w:r>
    </w:p>
    <w:p w:rsidR="004C0A0F" w:rsidRPr="00F36F48" w:rsidRDefault="004C0A0F" w:rsidP="004C0A0F">
      <w:pPr>
        <w:pStyle w:val="BodyTextMain"/>
        <w:rPr>
          <w:lang w:val="en-GB"/>
        </w:rPr>
      </w:pPr>
    </w:p>
    <w:p w:rsidR="004C0A0F" w:rsidRPr="00442925" w:rsidRDefault="006407A1" w:rsidP="004C0A0F">
      <w:pPr>
        <w:pStyle w:val="BodyTextMain"/>
        <w:rPr>
          <w:lang w:val="en-GB"/>
        </w:rPr>
      </w:pPr>
      <w:r w:rsidRPr="006407A1">
        <w:t>The Indian pharmaceuticals market witnessed growth at a compound annual growth rate of 17.90 per cent, during 2005-16, with the market increasing from US$6 billion in 2005 to US$36.7 billion in 2016,</w:t>
      </w:r>
      <w:r w:rsidR="004C0A0F" w:rsidRPr="006407A1">
        <w:t xml:space="preserve"> </w:t>
      </w:r>
      <w:r w:rsidR="004C0A0F" w:rsidRPr="00442925">
        <w:rPr>
          <w:lang w:val="en-GB"/>
        </w:rPr>
        <w:t>and it was expected to reach US$55 billion by 2020. The primary growth drivers for the industry on the demand side were an improved standard of living, increased accessibility of drugs, the growing prevalence of lifestyle-related diseases, increased penetration of health insurance</w:t>
      </w:r>
      <w:r w:rsidR="004C0A0F" w:rsidRPr="002111D4">
        <w:rPr>
          <w:lang w:val="en-GB"/>
        </w:rPr>
        <w:t>, and a thriving export market. O</w:t>
      </w:r>
      <w:r w:rsidR="004C0A0F" w:rsidRPr="00FA4B1C">
        <w:rPr>
          <w:lang w:val="en-GB"/>
        </w:rPr>
        <w:t xml:space="preserve">n the supply </w:t>
      </w:r>
      <w:r w:rsidR="004C0A0F" w:rsidRPr="00442925">
        <w:rPr>
          <w:lang w:val="en-GB"/>
        </w:rPr>
        <w:t xml:space="preserve">side, primary growth drivers included a skilled workforce and low-cost </w:t>
      </w:r>
      <w:r w:rsidR="004C0A0F" w:rsidRPr="00442925">
        <w:rPr>
          <w:lang w:val="en-GB"/>
        </w:rPr>
        <w:lastRenderedPageBreak/>
        <w:t>manufacturing capabilities. The industry also had ample government support in the form of several key reforms and investment commitments.</w:t>
      </w:r>
      <w:r w:rsidR="004C0A0F" w:rsidRPr="00442925">
        <w:rPr>
          <w:rStyle w:val="FootnoteReference"/>
          <w:lang w:val="en-GB"/>
        </w:rPr>
        <w:footnoteReference w:id="3"/>
      </w:r>
    </w:p>
    <w:p w:rsidR="004C0A0F" w:rsidRPr="006407A1" w:rsidRDefault="004C0A0F" w:rsidP="004C0A0F">
      <w:pPr>
        <w:pStyle w:val="BodyTextMain"/>
        <w:rPr>
          <w:sz w:val="18"/>
          <w:szCs w:val="18"/>
          <w:lang w:val="en-GB"/>
        </w:rPr>
      </w:pPr>
    </w:p>
    <w:p w:rsidR="004C0A0F" w:rsidRPr="00442925" w:rsidRDefault="004C0A0F" w:rsidP="004C0A0F">
      <w:pPr>
        <w:pStyle w:val="BodyTextMain"/>
        <w:rPr>
          <w:lang w:val="en-GB"/>
        </w:rPr>
      </w:pPr>
      <w:r w:rsidRPr="00442925">
        <w:rPr>
          <w:lang w:val="en-GB"/>
        </w:rPr>
        <w:t xml:space="preserve">By 2020, the Indian pharmaceutical industry would likely become the sixth-largest in the world by absolute size. Some notable trends in the industry </w:t>
      </w:r>
      <w:r w:rsidRPr="002111D4">
        <w:rPr>
          <w:lang w:val="en-GB"/>
        </w:rPr>
        <w:t xml:space="preserve">included increased expenditure on research and development (R&amp;D), growth in the </w:t>
      </w:r>
      <w:r w:rsidRPr="00FA4B1C">
        <w:rPr>
          <w:lang w:val="en-GB"/>
        </w:rPr>
        <w:t>export of generic drugs (20 per cent of the global market) due to the national industry</w:t>
      </w:r>
      <w:r w:rsidRPr="00442925">
        <w:rPr>
          <w:lang w:val="en-GB"/>
        </w:rPr>
        <w:t>’s cost advantage, value creation through joint ventures and acquisitions (more than 70 per cent of all merger and acquisition deals in the past three years), international expansion, and reduced wait times for drug approvals and new facilities.</w:t>
      </w:r>
      <w:r w:rsidRPr="00442925">
        <w:rPr>
          <w:rStyle w:val="FootnoteReference"/>
          <w:lang w:val="en-GB"/>
        </w:rPr>
        <w:footnoteReference w:id="4"/>
      </w:r>
    </w:p>
    <w:p w:rsidR="004C0A0F" w:rsidRPr="006407A1" w:rsidRDefault="004C0A0F" w:rsidP="004C0A0F">
      <w:pPr>
        <w:pStyle w:val="BodyTextMain"/>
        <w:rPr>
          <w:sz w:val="18"/>
          <w:szCs w:val="18"/>
          <w:lang w:val="en-GB"/>
        </w:rPr>
      </w:pPr>
    </w:p>
    <w:p w:rsidR="004C0A0F" w:rsidRPr="00442925" w:rsidRDefault="004C0A0F" w:rsidP="004C0A0F">
      <w:pPr>
        <w:pStyle w:val="BodyTextMain"/>
        <w:rPr>
          <w:lang w:val="en-GB"/>
        </w:rPr>
      </w:pPr>
      <w:r w:rsidRPr="002111D4">
        <w:rPr>
          <w:lang w:val="en-GB"/>
        </w:rPr>
        <w:t>The pharmaceutical industry</w:t>
      </w:r>
      <w:r w:rsidRPr="00FA4B1C">
        <w:rPr>
          <w:lang w:val="en-GB"/>
        </w:rPr>
        <w:t xml:space="preserve"> was divided into four segments: (1) active pharmaceutical ingredient</w:t>
      </w:r>
      <w:r w:rsidRPr="00442925">
        <w:rPr>
          <w:lang w:val="en-GB"/>
        </w:rPr>
        <w:t xml:space="preserve"> (API) producers; (2) formulators; (3) contract research and manufacturing services (CRAMS); and (4) biosimilar markets. The API producers manufactured common and generic drugs. These firms had low bargaining power and played on high volumes. However, a smaller number focused on niche drugs and enjoyed high margins. </w:t>
      </w:r>
      <w:r w:rsidRPr="00442925">
        <w:rPr>
          <w:bCs/>
          <w:lang w:val="en-GB"/>
        </w:rPr>
        <w:t>With a 7.2 per cent market share, India was the world’s third-largest generic API merchant. It was also the global leader in terms of drug master file applications in the United States.</w:t>
      </w:r>
      <w:r w:rsidRPr="00442925">
        <w:rPr>
          <w:lang w:val="en-GB"/>
        </w:rPr>
        <w:t xml:space="preserve"> Most Indian companies started as API producers, but with the advent of patents in 2005 and increasing competition, some had moved up the ladder to become formulators (e.g., </w:t>
      </w:r>
      <w:proofErr w:type="spellStart"/>
      <w:r w:rsidRPr="00442925">
        <w:rPr>
          <w:lang w:val="en-GB"/>
        </w:rPr>
        <w:t>Dr.</w:t>
      </w:r>
      <w:proofErr w:type="spellEnd"/>
      <w:r w:rsidRPr="00442925">
        <w:rPr>
          <w:lang w:val="en-GB"/>
        </w:rPr>
        <w:t xml:space="preserve"> Reddy’s Laboratories Limited). While the API producers dealt with bulk manufacture of drugs, the formulators made tablets, capsules, and </w:t>
      </w:r>
      <w:r>
        <w:rPr>
          <w:lang w:val="en-GB"/>
        </w:rPr>
        <w:t>other formulations</w:t>
      </w:r>
      <w:r w:rsidRPr="00442925">
        <w:rPr>
          <w:lang w:val="en-GB"/>
        </w:rPr>
        <w:t>. The domestic market for formulations was US$11.2 billion in 2016. In 2016, India was the largest exporter of formulations by volume and 12th in terms of export value.</w:t>
      </w:r>
      <w:r w:rsidRPr="00442925">
        <w:rPr>
          <w:rStyle w:val="FootnoteReference"/>
          <w:lang w:val="en-GB"/>
        </w:rPr>
        <w:footnoteReference w:id="5"/>
      </w:r>
    </w:p>
    <w:p w:rsidR="004C0A0F" w:rsidRPr="006407A1" w:rsidRDefault="004C0A0F" w:rsidP="004C0A0F">
      <w:pPr>
        <w:pStyle w:val="BodyTextMain"/>
        <w:rPr>
          <w:sz w:val="18"/>
          <w:szCs w:val="18"/>
          <w:lang w:val="en-GB"/>
        </w:rPr>
      </w:pPr>
    </w:p>
    <w:p w:rsidR="004C0A0F" w:rsidRPr="00442925" w:rsidRDefault="004C0A0F" w:rsidP="004C0A0F">
      <w:pPr>
        <w:pStyle w:val="BodyTextMain"/>
        <w:rPr>
          <w:lang w:val="en-GB"/>
        </w:rPr>
      </w:pPr>
      <w:r w:rsidRPr="002111D4">
        <w:rPr>
          <w:lang w:val="en-GB"/>
        </w:rPr>
        <w:t>The third segment</w:t>
      </w:r>
      <w:r w:rsidRPr="00FA4B1C">
        <w:rPr>
          <w:lang w:val="en-GB"/>
        </w:rPr>
        <w:t>, CRAMs, was where India’s skilled workforce and cost</w:t>
      </w:r>
      <w:r>
        <w:rPr>
          <w:lang w:val="en-GB"/>
        </w:rPr>
        <w:t>-</w:t>
      </w:r>
      <w:r w:rsidRPr="00FA4B1C">
        <w:rPr>
          <w:lang w:val="en-GB"/>
        </w:rPr>
        <w:t xml:space="preserve">effectiveness gave a distinct </w:t>
      </w:r>
      <w:r w:rsidRPr="00442925">
        <w:rPr>
          <w:lang w:val="en-GB"/>
        </w:rPr>
        <w:t>advantage to this fragmented industry of more than 1,000 players. The last segment, the biosimilar market segment, was small (US$300 million in 2015 in India) but was expected to grow to US$40 billion by 2030 as a large number of biosimilar drugs would be going off patent in the United States.</w:t>
      </w:r>
      <w:r w:rsidRPr="00442925">
        <w:rPr>
          <w:rStyle w:val="FootnoteReference"/>
          <w:lang w:val="en-GB"/>
        </w:rPr>
        <w:footnoteReference w:id="6"/>
      </w:r>
    </w:p>
    <w:p w:rsidR="004C0A0F" w:rsidRPr="006407A1" w:rsidRDefault="004C0A0F" w:rsidP="004C0A0F">
      <w:pPr>
        <w:pStyle w:val="BodyTextMain"/>
        <w:rPr>
          <w:sz w:val="18"/>
          <w:szCs w:val="18"/>
          <w:lang w:val="en-GB"/>
        </w:rPr>
      </w:pPr>
    </w:p>
    <w:p w:rsidR="004C0A0F" w:rsidRPr="006407A1" w:rsidRDefault="004C0A0F" w:rsidP="004C0A0F">
      <w:pPr>
        <w:pStyle w:val="BodyTextMain"/>
        <w:rPr>
          <w:spacing w:val="-2"/>
          <w:lang w:val="en-GB"/>
        </w:rPr>
      </w:pPr>
      <w:r w:rsidRPr="006407A1">
        <w:rPr>
          <w:spacing w:val="-2"/>
          <w:lang w:val="en-GB"/>
        </w:rPr>
        <w:t>While the top four players in the highly competitive Indian pharmaceutical industry held 20 per cent of the market share, the top 10 companies held 39 per cent of the market share. The first strategy of these companies was achieving cost leadership through the acquisition of API producers. Second, they invested in R&amp;D to achieve differentiation; and third, they focused on new markets or segments. The opening of the country to 100 per cent foreign direct investments and India’s attractiveness as a manufacturing hub meant that domestic firms would soon face tough competition from financially robust international players.</w:t>
      </w:r>
    </w:p>
    <w:p w:rsidR="004C0A0F" w:rsidRPr="006407A1" w:rsidRDefault="004C0A0F" w:rsidP="004C0A0F">
      <w:pPr>
        <w:pStyle w:val="BodyTextMain"/>
        <w:rPr>
          <w:sz w:val="18"/>
          <w:szCs w:val="18"/>
          <w:lang w:val="en-GB"/>
        </w:rPr>
      </w:pPr>
    </w:p>
    <w:p w:rsidR="004C0A0F" w:rsidRPr="00DB27CB" w:rsidRDefault="004C0A0F" w:rsidP="00DB27CB">
      <w:pPr>
        <w:pStyle w:val="BodyTextMain"/>
      </w:pPr>
      <w:r w:rsidRPr="00DB27CB">
        <w:t>Future opportunities seemed bright for the industry in India because of its genetically diverse population, which would likely be a magnet for investment in the clinical trials market. Rising incomes were expected to increase the demand for high-end drugs, which would likely pave the way for high-end drug production in the country. The rural market, which accounted for 70 per cent of the population, was largely untapped, so there was high-demand growth there, and firms were investing in expanding their distribution structures. However, with the presence of innumerable pharmaceutical companies, the pharmaceutical marketing industry in India had become hyperactive, and this put pressure on the operating expenses of companies such as MRL and affected their future growth opportunities. Government price controls on many medicinal products further reduced the profitability of the pharmaceutical companies.</w:t>
      </w:r>
      <w:r w:rsidRPr="00DB27CB">
        <w:rPr>
          <w:rStyle w:val="FootnoteReference"/>
        </w:rPr>
        <w:footnoteReference w:id="7"/>
      </w:r>
    </w:p>
    <w:p w:rsidR="004C0A0F" w:rsidRPr="00D01933" w:rsidRDefault="004C0A0F" w:rsidP="00D01933">
      <w:pPr>
        <w:pStyle w:val="Casehead1"/>
      </w:pPr>
      <w:r w:rsidRPr="00D01933">
        <w:lastRenderedPageBreak/>
        <w:t>MISSION 2020</w:t>
      </w:r>
    </w:p>
    <w:p w:rsidR="004C0A0F" w:rsidRPr="006407A1" w:rsidRDefault="004C0A0F" w:rsidP="00D01933">
      <w:pPr>
        <w:pStyle w:val="BodyTextMain"/>
        <w:rPr>
          <w:sz w:val="18"/>
          <w:szCs w:val="18"/>
        </w:rPr>
      </w:pPr>
    </w:p>
    <w:p w:rsidR="004C0A0F" w:rsidRPr="00D01933" w:rsidRDefault="004C0A0F" w:rsidP="00D01933">
      <w:pPr>
        <w:pStyle w:val="BodyTextMain"/>
      </w:pPr>
      <w:r w:rsidRPr="00D01933">
        <w:t xml:space="preserve">MRL’s target was to have a pan-Indian presence with sales revenue worth </w:t>
      </w:r>
      <w:r w:rsidRPr="00D01933">
        <w:rPr>
          <w:rFonts w:ascii="Tahoma" w:hAnsi="Tahoma" w:cs="Tahoma"/>
        </w:rPr>
        <w:t>₹</w:t>
      </w:r>
      <w:r w:rsidRPr="00D01933">
        <w:t>2 billion by 2020. The company planned to build on its strong presence in western India and expand across northern, southern, and eastern India in three phases through 2018.</w:t>
      </w:r>
    </w:p>
    <w:p w:rsidR="004C0A0F" w:rsidRPr="00D01933" w:rsidRDefault="004C0A0F" w:rsidP="00D01933">
      <w:pPr>
        <w:pStyle w:val="BodyTextMain"/>
      </w:pPr>
    </w:p>
    <w:p w:rsidR="004C0A0F" w:rsidRPr="00D01933" w:rsidRDefault="004C0A0F" w:rsidP="00D01933">
      <w:pPr>
        <w:pStyle w:val="BodyTextMain"/>
      </w:pPr>
    </w:p>
    <w:p w:rsidR="004C0A0F" w:rsidRPr="00F36F48" w:rsidRDefault="004C0A0F" w:rsidP="004C0A0F">
      <w:pPr>
        <w:pStyle w:val="Casehead2"/>
        <w:rPr>
          <w:lang w:val="en-GB"/>
        </w:rPr>
      </w:pPr>
      <w:r w:rsidRPr="00F36F48">
        <w:rPr>
          <w:lang w:val="en-GB"/>
        </w:rPr>
        <w:t>Sales Force Expansion</w:t>
      </w:r>
    </w:p>
    <w:p w:rsidR="004C0A0F" w:rsidRPr="006407A1" w:rsidRDefault="004C0A0F" w:rsidP="004C0A0F">
      <w:pPr>
        <w:pStyle w:val="BodyTextMain"/>
        <w:rPr>
          <w:sz w:val="18"/>
          <w:szCs w:val="18"/>
          <w:lang w:val="en-GB"/>
        </w:rPr>
      </w:pPr>
    </w:p>
    <w:p w:rsidR="004C0A0F" w:rsidRPr="00FA4B1C" w:rsidRDefault="004C0A0F" w:rsidP="004C0A0F">
      <w:pPr>
        <w:pStyle w:val="BodyTextMain"/>
        <w:rPr>
          <w:bCs/>
          <w:lang w:val="en-GB"/>
        </w:rPr>
      </w:pPr>
      <w:r w:rsidRPr="00442925">
        <w:rPr>
          <w:bCs/>
          <w:lang w:val="en-GB"/>
        </w:rPr>
        <w:t xml:space="preserve">According to </w:t>
      </w:r>
      <w:proofErr w:type="spellStart"/>
      <w:r w:rsidRPr="00442925">
        <w:rPr>
          <w:bCs/>
          <w:lang w:val="en-GB"/>
        </w:rPr>
        <w:t>Kureshi</w:t>
      </w:r>
      <w:proofErr w:type="spellEnd"/>
      <w:r w:rsidRPr="00442925">
        <w:rPr>
          <w:bCs/>
          <w:lang w:val="en-GB"/>
        </w:rPr>
        <w:t xml:space="preserve">, </w:t>
      </w:r>
      <w:r>
        <w:rPr>
          <w:bCs/>
          <w:lang w:val="en-GB"/>
        </w:rPr>
        <w:t>in 2017, India had approximately</w:t>
      </w:r>
      <w:r w:rsidRPr="00442925">
        <w:rPr>
          <w:bCs/>
          <w:lang w:val="en-GB"/>
        </w:rPr>
        <w:t xml:space="preserve"> 900,000 doctors, distributed across urban, semi-urban, and rural areas in </w:t>
      </w:r>
      <w:r w:rsidRPr="002111D4">
        <w:rPr>
          <w:bCs/>
          <w:lang w:val="en-GB"/>
        </w:rPr>
        <w:t xml:space="preserve">different zones of the country. Most pharmaceutical companies </w:t>
      </w:r>
      <w:r>
        <w:rPr>
          <w:bCs/>
          <w:lang w:val="en-GB"/>
        </w:rPr>
        <w:t>us</w:t>
      </w:r>
      <w:r w:rsidRPr="002111D4">
        <w:rPr>
          <w:bCs/>
          <w:lang w:val="en-GB"/>
        </w:rPr>
        <w:t xml:space="preserve">ing the generalist sales structure followed the strategy of having their PSOs, each with a physician list of 220 </w:t>
      </w:r>
      <w:proofErr w:type="gramStart"/>
      <w:r w:rsidRPr="002111D4">
        <w:rPr>
          <w:bCs/>
          <w:lang w:val="en-GB"/>
        </w:rPr>
        <w:t>doctors,</w:t>
      </w:r>
      <w:proofErr w:type="gramEnd"/>
      <w:r w:rsidRPr="00FA4B1C">
        <w:rPr>
          <w:bCs/>
          <w:lang w:val="en-GB"/>
        </w:rPr>
        <w:t xml:space="preserve"> meet 10 physicians and six pharmacy retailers daily. </w:t>
      </w:r>
      <w:r w:rsidRPr="00442925">
        <w:rPr>
          <w:bCs/>
          <w:lang w:val="en-GB"/>
        </w:rPr>
        <w:t xml:space="preserve">The PSOs with companies that followed the specialist sales structure </w:t>
      </w:r>
      <w:r>
        <w:rPr>
          <w:bCs/>
          <w:lang w:val="en-GB"/>
        </w:rPr>
        <w:t>aimed to meet</w:t>
      </w:r>
      <w:r w:rsidRPr="00442925">
        <w:rPr>
          <w:bCs/>
          <w:lang w:val="en-GB"/>
        </w:rPr>
        <w:t xml:space="preserve"> </w:t>
      </w:r>
      <w:r w:rsidRPr="002111D4">
        <w:rPr>
          <w:bCs/>
          <w:lang w:val="en-GB"/>
        </w:rPr>
        <w:t>seven physicians and four pharmacy retailers daily and had physician list</w:t>
      </w:r>
      <w:r w:rsidRPr="00FA4B1C">
        <w:rPr>
          <w:bCs/>
          <w:lang w:val="en-GB"/>
        </w:rPr>
        <w:t xml:space="preserve">s of 160 doctors each. </w:t>
      </w:r>
    </w:p>
    <w:p w:rsidR="004C0A0F" w:rsidRPr="00442925" w:rsidRDefault="004C0A0F" w:rsidP="004C0A0F">
      <w:pPr>
        <w:pStyle w:val="BodyTextMain"/>
        <w:rPr>
          <w:bCs/>
          <w:lang w:val="en-GB"/>
        </w:rPr>
      </w:pPr>
    </w:p>
    <w:p w:rsidR="004C0A0F" w:rsidRPr="00442925" w:rsidRDefault="004C0A0F" w:rsidP="004C0A0F">
      <w:pPr>
        <w:pStyle w:val="BodyTextMain"/>
        <w:rPr>
          <w:bCs/>
          <w:lang w:val="en-GB"/>
        </w:rPr>
      </w:pPr>
      <w:r w:rsidRPr="00442925">
        <w:rPr>
          <w:lang w:val="en-GB"/>
        </w:rPr>
        <w:t xml:space="preserve">MRL aimed to target 10,000 A-class physicians, 18,000 B-class physicians, and 7,000 C-class physicians in each of the four zones. Its PSOs were expected to make visits to each of these categories of physicians at a specific frequency: they were to meet with </w:t>
      </w:r>
      <w:r w:rsidRPr="00442925">
        <w:rPr>
          <w:bCs/>
          <w:lang w:val="en-GB"/>
        </w:rPr>
        <w:t xml:space="preserve">A-class physicians every fortnight, with B-class physicians every month, and with C-class physicians every month and a half. MRL wanted its PSOs to work at least 22 days a month, making the mandatory 10 physician calls and six pharmacy retailer visits daily, as well as devoting 20 per cent of their time on non-selling activities such as training and administrative tasks. Following an industry analysis of competitors, </w:t>
      </w:r>
      <w:proofErr w:type="spellStart"/>
      <w:r w:rsidRPr="00442925">
        <w:rPr>
          <w:bCs/>
          <w:lang w:val="en-GB"/>
        </w:rPr>
        <w:t>Kureshi’s</w:t>
      </w:r>
      <w:proofErr w:type="spellEnd"/>
      <w:r w:rsidRPr="00442925">
        <w:rPr>
          <w:bCs/>
          <w:lang w:val="en-GB"/>
        </w:rPr>
        <w:t xml:space="preserve"> team suggested that MRL should locate 75 PSOs in the north, 70 in the south, and 60 in the east, with </w:t>
      </w:r>
      <w:r w:rsidRPr="00442925">
        <w:rPr>
          <w:lang w:val="en-GB"/>
        </w:rPr>
        <w:t>the intent</w:t>
      </w:r>
      <w:r w:rsidRPr="00442925">
        <w:rPr>
          <w:bCs/>
          <w:lang w:val="en-GB"/>
        </w:rPr>
        <w:t xml:space="preserve"> that each PSO would achieve a yearly sales target of </w:t>
      </w:r>
      <w:r w:rsidRPr="00A30C14">
        <w:rPr>
          <w:rFonts w:ascii="Arial" w:hAnsi="Arial" w:cs="Arial"/>
          <w:sz w:val="20"/>
          <w:szCs w:val="20"/>
          <w:lang w:val="en-GB"/>
        </w:rPr>
        <w:t>₹</w:t>
      </w:r>
      <w:r w:rsidRPr="00442925">
        <w:rPr>
          <w:bCs/>
          <w:lang w:val="en-GB"/>
        </w:rPr>
        <w:t xml:space="preserve">8 million. </w:t>
      </w:r>
    </w:p>
    <w:p w:rsidR="004C0A0F" w:rsidRPr="00F36F48" w:rsidRDefault="004C0A0F" w:rsidP="004C0A0F">
      <w:pPr>
        <w:pStyle w:val="BodyTextMain"/>
        <w:rPr>
          <w:bCs/>
          <w:lang w:val="en-GB"/>
        </w:rPr>
      </w:pPr>
    </w:p>
    <w:p w:rsidR="004C0A0F" w:rsidRPr="00F36F48" w:rsidRDefault="004C0A0F" w:rsidP="004C0A0F">
      <w:pPr>
        <w:pStyle w:val="BodyTextMain"/>
        <w:rPr>
          <w:lang w:val="en-GB"/>
        </w:rPr>
      </w:pPr>
    </w:p>
    <w:p w:rsidR="004C0A0F" w:rsidRPr="00F36F48" w:rsidRDefault="004C0A0F" w:rsidP="004C0A0F">
      <w:pPr>
        <w:pStyle w:val="Casehead1"/>
        <w:rPr>
          <w:lang w:val="en-GB"/>
        </w:rPr>
      </w:pPr>
      <w:r w:rsidRPr="00F36F48">
        <w:rPr>
          <w:lang w:val="en-GB"/>
        </w:rPr>
        <w:t>THE DILEMMA</w:t>
      </w:r>
    </w:p>
    <w:p w:rsidR="004C0A0F" w:rsidRPr="006407A1" w:rsidRDefault="004C0A0F" w:rsidP="004C0A0F">
      <w:pPr>
        <w:pStyle w:val="BodyTextMain"/>
        <w:rPr>
          <w:sz w:val="18"/>
          <w:szCs w:val="18"/>
          <w:lang w:val="en-GB"/>
        </w:rPr>
      </w:pPr>
    </w:p>
    <w:p w:rsidR="004C0A0F" w:rsidRPr="00FA4B1C" w:rsidRDefault="004C0A0F" w:rsidP="004C0A0F">
      <w:pPr>
        <w:pStyle w:val="BodyTextMain"/>
        <w:rPr>
          <w:lang w:val="en-GB"/>
        </w:rPr>
      </w:pPr>
      <w:r w:rsidRPr="00442925">
        <w:rPr>
          <w:lang w:val="en-GB"/>
        </w:rPr>
        <w:t xml:space="preserve">MRL was poised to expand, helping to realize </w:t>
      </w:r>
      <w:proofErr w:type="spellStart"/>
      <w:r w:rsidRPr="00442925">
        <w:rPr>
          <w:lang w:val="en-GB"/>
        </w:rPr>
        <w:t>Kureshi’s</w:t>
      </w:r>
      <w:proofErr w:type="spellEnd"/>
      <w:r w:rsidRPr="00442925">
        <w:rPr>
          <w:lang w:val="en-GB"/>
        </w:rPr>
        <w:t xml:space="preserve"> vision of achieving sales revenue worth </w:t>
      </w:r>
      <w:r w:rsidRPr="00A30C14">
        <w:rPr>
          <w:rFonts w:ascii="Arial" w:hAnsi="Arial" w:cs="Arial"/>
          <w:sz w:val="20"/>
          <w:szCs w:val="20"/>
          <w:lang w:val="en-GB"/>
        </w:rPr>
        <w:t>₹</w:t>
      </w:r>
      <w:r w:rsidRPr="00442925">
        <w:rPr>
          <w:lang w:val="en-GB"/>
        </w:rPr>
        <w:t xml:space="preserve">2 billion by 2020. While the company’s </w:t>
      </w:r>
      <w:r w:rsidRPr="002111D4">
        <w:rPr>
          <w:lang w:val="en-GB"/>
        </w:rPr>
        <w:t>location-based sales structure had helped it achieve steady growth since its inception in 2007, would this same sales</w:t>
      </w:r>
      <w:r>
        <w:rPr>
          <w:lang w:val="en-GB"/>
        </w:rPr>
        <w:t xml:space="preserve"> </w:t>
      </w:r>
      <w:r w:rsidRPr="002111D4">
        <w:rPr>
          <w:lang w:val="en-GB"/>
        </w:rPr>
        <w:t xml:space="preserve">force structure </w:t>
      </w:r>
      <w:r>
        <w:rPr>
          <w:lang w:val="en-GB"/>
        </w:rPr>
        <w:t>continue to be successful</w:t>
      </w:r>
      <w:r w:rsidRPr="002111D4">
        <w:rPr>
          <w:lang w:val="en-GB"/>
        </w:rPr>
        <w:t xml:space="preserve"> as MRL expanded over the next year? </w:t>
      </w:r>
      <w:r w:rsidRPr="00FA4B1C">
        <w:rPr>
          <w:lang w:val="en-GB"/>
        </w:rPr>
        <w:t>Sales targets depended on past performances and sales territories</w:t>
      </w:r>
      <w:r>
        <w:rPr>
          <w:lang w:val="en-GB"/>
        </w:rPr>
        <w:t>,</w:t>
      </w:r>
      <w:r w:rsidRPr="00FA4B1C">
        <w:rPr>
          <w:lang w:val="en-GB"/>
        </w:rPr>
        <w:t xml:space="preserve"> on the number of potential customers in a particular area</w:t>
      </w:r>
      <w:r w:rsidRPr="00442925">
        <w:rPr>
          <w:lang w:val="en-GB"/>
        </w:rPr>
        <w:t xml:space="preserve">. Would MRL need to revisit </w:t>
      </w:r>
      <w:r>
        <w:rPr>
          <w:lang w:val="en-GB"/>
        </w:rPr>
        <w:t>the</w:t>
      </w:r>
      <w:r w:rsidRPr="00442925">
        <w:rPr>
          <w:lang w:val="en-GB"/>
        </w:rPr>
        <w:t xml:space="preserve"> decisions </w:t>
      </w:r>
      <w:r>
        <w:rPr>
          <w:lang w:val="en-GB"/>
        </w:rPr>
        <w:t xml:space="preserve">on its sales targets </w:t>
      </w:r>
      <w:r w:rsidRPr="00442925">
        <w:rPr>
          <w:lang w:val="en-GB"/>
        </w:rPr>
        <w:t xml:space="preserve">and </w:t>
      </w:r>
      <w:r>
        <w:rPr>
          <w:lang w:val="en-GB"/>
        </w:rPr>
        <w:t xml:space="preserve">its design of the </w:t>
      </w:r>
      <w:r w:rsidRPr="00442925">
        <w:rPr>
          <w:lang w:val="en-GB"/>
        </w:rPr>
        <w:t>sales</w:t>
      </w:r>
      <w:r>
        <w:rPr>
          <w:lang w:val="en-GB"/>
        </w:rPr>
        <w:t xml:space="preserve"> </w:t>
      </w:r>
      <w:r w:rsidRPr="00442925">
        <w:rPr>
          <w:lang w:val="en-GB"/>
        </w:rPr>
        <w:t xml:space="preserve">organization now that expansion was imminent and the </w:t>
      </w:r>
      <w:r w:rsidRPr="00A30C14">
        <w:rPr>
          <w:rFonts w:ascii="Arial" w:hAnsi="Arial" w:cs="Arial"/>
          <w:sz w:val="20"/>
          <w:szCs w:val="20"/>
          <w:lang w:val="en-GB"/>
        </w:rPr>
        <w:t>₹</w:t>
      </w:r>
      <w:r w:rsidRPr="00442925">
        <w:rPr>
          <w:lang w:val="en-GB"/>
        </w:rPr>
        <w:t xml:space="preserve">2 billion revenue </w:t>
      </w:r>
      <w:proofErr w:type="gramStart"/>
      <w:r w:rsidRPr="00442925">
        <w:rPr>
          <w:lang w:val="en-GB"/>
        </w:rPr>
        <w:t>target</w:t>
      </w:r>
      <w:proofErr w:type="gramEnd"/>
      <w:r w:rsidRPr="00442925">
        <w:rPr>
          <w:lang w:val="en-GB"/>
        </w:rPr>
        <w:t xml:space="preserve"> had </w:t>
      </w:r>
      <w:r>
        <w:rPr>
          <w:lang w:val="en-GB"/>
        </w:rPr>
        <w:t xml:space="preserve">been announced </w:t>
      </w:r>
      <w:r w:rsidRPr="00442925">
        <w:rPr>
          <w:lang w:val="en-GB"/>
        </w:rPr>
        <w:t xml:space="preserve">to be achieved by 2020? Would </w:t>
      </w:r>
      <w:proofErr w:type="spellStart"/>
      <w:r w:rsidRPr="00442925">
        <w:rPr>
          <w:lang w:val="en-GB"/>
        </w:rPr>
        <w:t>Kureshi</w:t>
      </w:r>
      <w:proofErr w:type="spellEnd"/>
      <w:r w:rsidRPr="00442925">
        <w:rPr>
          <w:lang w:val="en-GB"/>
        </w:rPr>
        <w:t xml:space="preserve"> do better to opt for </w:t>
      </w:r>
      <w:r w:rsidRPr="002111D4">
        <w:rPr>
          <w:lang w:val="en-GB"/>
        </w:rPr>
        <w:t>a generalist or specialist sales</w:t>
      </w:r>
      <w:r>
        <w:rPr>
          <w:lang w:val="en-GB"/>
        </w:rPr>
        <w:t xml:space="preserve"> </w:t>
      </w:r>
      <w:r w:rsidRPr="002111D4">
        <w:rPr>
          <w:lang w:val="en-GB"/>
        </w:rPr>
        <w:t xml:space="preserve">force structure? While the existing sales model had worked so far, would the expansion plans </w:t>
      </w:r>
      <w:r w:rsidRPr="00FA4B1C">
        <w:rPr>
          <w:lang w:val="en-GB"/>
        </w:rPr>
        <w:t>affect the optim</w:t>
      </w:r>
      <w:r>
        <w:rPr>
          <w:lang w:val="en-GB"/>
        </w:rPr>
        <w:t>al</w:t>
      </w:r>
      <w:r w:rsidRPr="00FA4B1C">
        <w:rPr>
          <w:lang w:val="en-GB"/>
        </w:rPr>
        <w:t xml:space="preserve"> size of the sales force or the process MRL should follow in design</w:t>
      </w:r>
      <w:r w:rsidRPr="00442925">
        <w:rPr>
          <w:lang w:val="en-GB"/>
        </w:rPr>
        <w:t>ing its sales territories?</w:t>
      </w:r>
    </w:p>
    <w:p w:rsidR="00DB27CB" w:rsidRDefault="00DB27CB" w:rsidP="004C0A0F">
      <w:pPr>
        <w:pStyle w:val="BodyTextMain"/>
        <w:rPr>
          <w:lang w:val="en-GB"/>
        </w:rPr>
      </w:pPr>
    </w:p>
    <w:p w:rsidR="00DB27CB" w:rsidRDefault="00DB27CB" w:rsidP="004C0A0F">
      <w:pPr>
        <w:pStyle w:val="BodyTextMain"/>
        <w:rPr>
          <w:lang w:val="en-GB"/>
        </w:rPr>
      </w:pPr>
    </w:p>
    <w:p w:rsidR="004C0A0F" w:rsidRPr="00F36F48" w:rsidRDefault="006407A1" w:rsidP="004C0A0F">
      <w:pPr>
        <w:pStyle w:val="BodyTextMain"/>
        <w:rPr>
          <w:lang w:val="en-GB"/>
        </w:rPr>
      </w:pPr>
      <w:r w:rsidRPr="004D749B">
        <w:rPr>
          <w:rFonts w:ascii="Calibri" w:eastAsia="Calibri" w:hAnsi="Calibri" w:cs="Mangal"/>
          <w:noProof/>
          <w:lang w:val="en-GB" w:eastAsia="en-GB"/>
        </w:rPr>
        <mc:AlternateContent>
          <mc:Choice Requires="wps">
            <w:drawing>
              <wp:anchor distT="45720" distB="45720" distL="114300" distR="114300" simplePos="0" relativeHeight="251660288" behindDoc="0" locked="0" layoutInCell="1" allowOverlap="1" wp14:anchorId="6B78BE28" wp14:editId="122402F0">
                <wp:simplePos x="0" y="0"/>
                <wp:positionH relativeFrom="margin">
                  <wp:posOffset>107950</wp:posOffset>
                </wp:positionH>
                <wp:positionV relativeFrom="paragraph">
                  <wp:posOffset>219075</wp:posOffset>
                </wp:positionV>
                <wp:extent cx="5689600" cy="466090"/>
                <wp:effectExtent l="0" t="0" r="2540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466090"/>
                        </a:xfrm>
                        <a:prstGeom prst="rect">
                          <a:avLst/>
                        </a:prstGeom>
                        <a:solidFill>
                          <a:srgbClr val="FFFFFF"/>
                        </a:solidFill>
                        <a:ln w="3175">
                          <a:solidFill>
                            <a:srgbClr val="000000"/>
                          </a:solidFill>
                          <a:miter lim="800000"/>
                          <a:headEnd/>
                          <a:tailEnd/>
                        </a:ln>
                      </wps:spPr>
                      <wps:txbx>
                        <w:txbxContent>
                          <w:p w:rsidR="004C0A0F" w:rsidRPr="00576BB4" w:rsidRDefault="004C0A0F" w:rsidP="004C0A0F">
                            <w:pPr>
                              <w:pStyle w:val="Footnote"/>
                            </w:pPr>
                            <w:r w:rsidRPr="00576BB4">
                              <w:t xml:space="preserve">Sandeep Puri </w:t>
                            </w:r>
                            <w:r>
                              <w:t xml:space="preserve">is </w:t>
                            </w:r>
                            <w:r w:rsidRPr="00576BB4">
                              <w:t xml:space="preserve">Associate Professor at </w:t>
                            </w:r>
                            <w:r>
                              <w:t xml:space="preserve">the Asian Institute of Management, Philippines: </w:t>
                            </w:r>
                            <w:r w:rsidRPr="00F36F48">
                              <w:rPr>
                                <w:lang w:val="en-GB"/>
                              </w:rPr>
                              <w:t>Darren Meister</w:t>
                            </w:r>
                            <w:r>
                              <w:rPr>
                                <w:lang w:val="en-GB"/>
                              </w:rPr>
                              <w:t xml:space="preserve"> is </w:t>
                            </w:r>
                            <w:r>
                              <w:rPr>
                                <w:shd w:val="clear" w:color="auto" w:fill="FFFFFF"/>
                              </w:rPr>
                              <w:t xml:space="preserve">Associate Professor of General Management (Entrepreneurship and Innovation) at Ivey Business School; </w:t>
                            </w:r>
                            <w:proofErr w:type="spellStart"/>
                            <w:r w:rsidRPr="00F36F48">
                              <w:rPr>
                                <w:lang w:val="en-GB"/>
                              </w:rPr>
                              <w:t>Archishman</w:t>
                            </w:r>
                            <w:proofErr w:type="spellEnd"/>
                            <w:r w:rsidRPr="00F36F48">
                              <w:rPr>
                                <w:lang w:val="en-GB"/>
                              </w:rPr>
                              <w:t xml:space="preserve"> </w:t>
                            </w:r>
                            <w:proofErr w:type="spellStart"/>
                            <w:r w:rsidRPr="00F36F48">
                              <w:rPr>
                                <w:lang w:val="en-GB"/>
                              </w:rPr>
                              <w:t>Latyan</w:t>
                            </w:r>
                            <w:proofErr w:type="spellEnd"/>
                            <w:r w:rsidRPr="00F36F48">
                              <w:rPr>
                                <w:lang w:val="en-GB"/>
                              </w:rPr>
                              <w:t xml:space="preserve"> and </w:t>
                            </w:r>
                            <w:proofErr w:type="spellStart"/>
                            <w:r w:rsidRPr="00F36F48">
                              <w:rPr>
                                <w:lang w:val="en-GB"/>
                              </w:rPr>
                              <w:t>Shreeya</w:t>
                            </w:r>
                            <w:proofErr w:type="spellEnd"/>
                            <w:r w:rsidRPr="00F36F48">
                              <w:rPr>
                                <w:lang w:val="en-GB"/>
                              </w:rPr>
                              <w:t xml:space="preserve"> Dash</w:t>
                            </w:r>
                            <w:r>
                              <w:rPr>
                                <w:lang w:val="en-GB"/>
                              </w:rPr>
                              <w:t xml:space="preserve"> are MBA students at IMT Ghaziabad, India.</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pt;margin-top:17.25pt;width:448pt;height:36.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" strokeweight=".25pt">
                <v:textbox style="mso-fit-shape-to-text:t">
                  <w:txbxContent>
                    <w:p w:rsidR="004C0A0F" w:rsidRPr="00576BB4" w:rsidRDefault="004C0A0F" w:rsidP="004C0A0F">
                      <w:pPr>
                        <w:pStyle w:val="Footnote"/>
                      </w:pPr>
                      <w:r w:rsidRPr="00576BB4">
                        <w:t xml:space="preserve">Sandeep Puri </w:t>
                      </w:r>
                      <w:r>
                        <w:t xml:space="preserve">is </w:t>
                      </w:r>
                      <w:r w:rsidRPr="00576BB4">
                        <w:t xml:space="preserve">Associate Professor at </w:t>
                      </w:r>
                      <w:r>
                        <w:t xml:space="preserve">the Asian Institute of Management, Philippines: </w:t>
                      </w:r>
                      <w:r w:rsidRPr="00F36F48">
                        <w:rPr>
                          <w:lang w:val="en-GB"/>
                        </w:rPr>
                        <w:t>Darren Meister</w:t>
                      </w:r>
                      <w:r>
                        <w:rPr>
                          <w:lang w:val="en-GB"/>
                        </w:rPr>
                        <w:t xml:space="preserve"> is </w:t>
                      </w:r>
                      <w:r>
                        <w:rPr>
                          <w:shd w:val="clear" w:color="auto" w:fill="FFFFFF"/>
                        </w:rPr>
                        <w:t xml:space="preserve">Associate Professor of General Management (Entrepreneurship and Innovation) at Ivey Business School; </w:t>
                      </w:r>
                      <w:proofErr w:type="spellStart"/>
                      <w:r w:rsidRPr="00F36F48">
                        <w:rPr>
                          <w:lang w:val="en-GB"/>
                        </w:rPr>
                        <w:t>Archishman</w:t>
                      </w:r>
                      <w:proofErr w:type="spellEnd"/>
                      <w:r w:rsidRPr="00F36F48">
                        <w:rPr>
                          <w:lang w:val="en-GB"/>
                        </w:rPr>
                        <w:t xml:space="preserve"> </w:t>
                      </w:r>
                      <w:proofErr w:type="spellStart"/>
                      <w:r w:rsidRPr="00F36F48">
                        <w:rPr>
                          <w:lang w:val="en-GB"/>
                        </w:rPr>
                        <w:t>Latyan</w:t>
                      </w:r>
                      <w:proofErr w:type="spellEnd"/>
                      <w:r w:rsidRPr="00F36F48">
                        <w:rPr>
                          <w:lang w:val="en-GB"/>
                        </w:rPr>
                        <w:t xml:space="preserve"> and </w:t>
                      </w:r>
                      <w:proofErr w:type="spellStart"/>
                      <w:r w:rsidRPr="00F36F48">
                        <w:rPr>
                          <w:lang w:val="en-GB"/>
                        </w:rPr>
                        <w:t>Shreeya</w:t>
                      </w:r>
                      <w:proofErr w:type="spellEnd"/>
                      <w:r w:rsidRPr="00F36F48">
                        <w:rPr>
                          <w:lang w:val="en-GB"/>
                        </w:rPr>
                        <w:t xml:space="preserve"> Dash</w:t>
                      </w:r>
                      <w:r>
                        <w:rPr>
                          <w:lang w:val="en-GB"/>
                        </w:rPr>
                        <w:t xml:space="preserve"> are MBA students at IMT Ghaziabad, India.</w:t>
                      </w:r>
                      <w:r>
                        <w:t xml:space="preserve"> </w:t>
                      </w:r>
                    </w:p>
                  </w:txbxContent>
                </v:textbox>
                <w10:wrap type="topAndBottom" anchorx="margin"/>
              </v:shape>
            </w:pict>
          </mc:Fallback>
        </mc:AlternateContent>
      </w:r>
    </w:p>
    <w:p w:rsidR="004C0A0F" w:rsidRPr="00FA4B1C" w:rsidRDefault="004C0A0F" w:rsidP="004C0A0F">
      <w:pPr>
        <w:pStyle w:val="NoSpacing"/>
      </w:pPr>
      <w:r w:rsidRPr="00F36F48">
        <w:rPr>
          <w:lang w:val="en-GB"/>
        </w:rPr>
        <w:br w:type="page"/>
      </w:r>
    </w:p>
    <w:p w:rsidR="004C0A0F" w:rsidRPr="00F36F48" w:rsidRDefault="004C0A0F" w:rsidP="004C0A0F">
      <w:pPr>
        <w:pStyle w:val="Casehead1"/>
        <w:jc w:val="center"/>
        <w:rPr>
          <w:lang w:val="en-GB"/>
        </w:rPr>
      </w:pPr>
      <w:r w:rsidRPr="00F36F48">
        <w:rPr>
          <w:lang w:val="en-GB"/>
        </w:rPr>
        <w:lastRenderedPageBreak/>
        <w:t xml:space="preserve">EXHIBIT 1: </w:t>
      </w:r>
      <w:r w:rsidRPr="00F36F48">
        <w:rPr>
          <w:lang w:val="en-GB" w:eastAsia="en-IN"/>
        </w:rPr>
        <w:t>SELECTED FINANCIALS FOR MAHA RESEARCH LABS</w:t>
      </w:r>
      <w:r w:rsidRPr="00F36F48">
        <w:rPr>
          <w:shd w:val="clear" w:color="auto" w:fill="FFFFFF"/>
          <w:lang w:val="en-GB"/>
        </w:rPr>
        <w:t>, 201</w:t>
      </w:r>
      <w:r>
        <w:rPr>
          <w:shd w:val="clear" w:color="auto" w:fill="FFFFFF"/>
          <w:lang w:val="en-GB"/>
        </w:rPr>
        <w:t>3</w:t>
      </w:r>
      <w:r w:rsidRPr="00F36F48">
        <w:rPr>
          <w:shd w:val="clear" w:color="auto" w:fill="FFFFFF"/>
          <w:lang w:val="en-GB"/>
        </w:rPr>
        <w:t>–201</w:t>
      </w:r>
      <w:r>
        <w:rPr>
          <w:shd w:val="clear" w:color="auto" w:fill="FFFFFF"/>
          <w:lang w:val="en-GB"/>
        </w:rPr>
        <w:t>7</w:t>
      </w:r>
      <w:r w:rsidRPr="00F36F48">
        <w:rPr>
          <w:shd w:val="clear" w:color="auto" w:fill="FFFFFF"/>
          <w:lang w:val="en-GB"/>
        </w:rPr>
        <w:t xml:space="preserve"> (IN </w:t>
      </w:r>
      <w:r w:rsidRPr="00F36F48">
        <w:rPr>
          <w:lang w:val="en-GB"/>
        </w:rPr>
        <w:t>₹ MILLIONs)</w:t>
      </w:r>
    </w:p>
    <w:p w:rsidR="004C0A0F" w:rsidRPr="00F36F48" w:rsidRDefault="004C0A0F" w:rsidP="004C0A0F">
      <w:pPr>
        <w:pStyle w:val="BodyTextMain"/>
      </w:pPr>
    </w:p>
    <w:tbl>
      <w:tblPr>
        <w:tblW w:w="8646" w:type="dxa"/>
        <w:jc w:val="center"/>
        <w:tblBorders>
          <w:top w:val="nil"/>
          <w:left w:val="nil"/>
          <w:right w:val="nil"/>
        </w:tblBorders>
        <w:tblLayout w:type="fixed"/>
        <w:tblLook w:val="0000" w:firstRow="0" w:lastRow="0" w:firstColumn="0" w:lastColumn="0" w:noHBand="0" w:noVBand="0"/>
      </w:tblPr>
      <w:tblGrid>
        <w:gridCol w:w="2976"/>
        <w:gridCol w:w="1134"/>
        <w:gridCol w:w="1134"/>
        <w:gridCol w:w="1134"/>
        <w:gridCol w:w="1134"/>
        <w:gridCol w:w="1134"/>
      </w:tblGrid>
      <w:tr w:rsidR="004C0A0F" w:rsidRPr="00F36F48" w:rsidTr="008D7851">
        <w:trPr>
          <w:trHeight w:val="20"/>
          <w:jc w:val="center"/>
        </w:trPr>
        <w:tc>
          <w:tcPr>
            <w:tcW w:w="297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360" w:lineRule="atLeast"/>
              <w:rPr>
                <w:rFonts w:ascii="Calibri" w:hAnsi="Calibri" w:cs="Calibri"/>
                <w:lang w:val="en-GB"/>
              </w:rPr>
            </w:pPr>
            <w:r w:rsidRPr="00F36F48">
              <w:rPr>
                <w:rFonts w:ascii="Calibri" w:hAnsi="Calibri" w:cs="Calibri"/>
                <w:lang w:val="en-GB"/>
              </w:rPr>
              <w:t> </w:t>
            </w:r>
          </w:p>
        </w:tc>
        <w:tc>
          <w:tcPr>
            <w:tcW w:w="1134" w:type="dxa"/>
            <w:tcBorders>
              <w:top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center"/>
              <w:rPr>
                <w:rFonts w:ascii="Arial" w:hAnsi="Arial" w:cs="Arial"/>
                <w:b/>
                <w:bCs/>
                <w:lang w:val="en-GB"/>
              </w:rPr>
            </w:pPr>
            <w:r w:rsidRPr="00F36F48">
              <w:rPr>
                <w:rFonts w:ascii="Arial" w:hAnsi="Arial" w:cs="Arial"/>
                <w:b/>
                <w:bCs/>
                <w:lang w:val="en-GB"/>
              </w:rPr>
              <w:t>2013</w:t>
            </w:r>
          </w:p>
        </w:tc>
        <w:tc>
          <w:tcPr>
            <w:tcW w:w="1134" w:type="dxa"/>
            <w:tcBorders>
              <w:top w:val="single" w:sz="8" w:space="0" w:color="000000"/>
              <w:bottom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center"/>
              <w:rPr>
                <w:rFonts w:ascii="Arial" w:hAnsi="Arial" w:cs="Arial"/>
                <w:b/>
                <w:bCs/>
                <w:lang w:val="en-GB"/>
              </w:rPr>
            </w:pPr>
            <w:r w:rsidRPr="00F36F48">
              <w:rPr>
                <w:rFonts w:ascii="Arial" w:hAnsi="Arial" w:cs="Arial"/>
                <w:b/>
                <w:bCs/>
                <w:lang w:val="en-GB"/>
              </w:rPr>
              <w:t>2014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center"/>
              <w:rPr>
                <w:rFonts w:ascii="Arial" w:hAnsi="Arial" w:cs="Arial"/>
                <w:b/>
                <w:bCs/>
                <w:lang w:val="en-GB"/>
              </w:rPr>
            </w:pPr>
            <w:r w:rsidRPr="00F36F48">
              <w:rPr>
                <w:rFonts w:ascii="Arial" w:hAnsi="Arial" w:cs="Arial"/>
                <w:b/>
                <w:bCs/>
                <w:lang w:val="en-GB"/>
              </w:rPr>
              <w:t>2015</w:t>
            </w:r>
          </w:p>
        </w:tc>
        <w:tc>
          <w:tcPr>
            <w:tcW w:w="1134" w:type="dxa"/>
            <w:tcBorders>
              <w:top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center"/>
              <w:rPr>
                <w:rFonts w:ascii="Arial" w:hAnsi="Arial" w:cs="Arial"/>
                <w:b/>
                <w:bCs/>
                <w:lang w:val="en-GB"/>
              </w:rPr>
            </w:pPr>
            <w:r w:rsidRPr="00F36F48">
              <w:rPr>
                <w:rFonts w:ascii="Arial" w:hAnsi="Arial" w:cs="Arial"/>
                <w:b/>
                <w:bCs/>
                <w:lang w:val="en-GB"/>
              </w:rPr>
              <w:t>2016</w:t>
            </w:r>
          </w:p>
        </w:tc>
        <w:tc>
          <w:tcPr>
            <w:tcW w:w="1134" w:type="dxa"/>
            <w:tcBorders>
              <w:top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center"/>
              <w:rPr>
                <w:rFonts w:ascii="Arial" w:hAnsi="Arial" w:cs="Arial"/>
                <w:b/>
                <w:bCs/>
                <w:lang w:val="en-GB"/>
              </w:rPr>
            </w:pPr>
            <w:r w:rsidRPr="00F36F48">
              <w:rPr>
                <w:rFonts w:ascii="Arial" w:hAnsi="Arial" w:cs="Arial"/>
                <w:b/>
                <w:bCs/>
                <w:lang w:val="en-GB"/>
              </w:rPr>
              <w:t>2017</w:t>
            </w:r>
          </w:p>
        </w:tc>
      </w:tr>
      <w:tr w:rsidR="004C0A0F" w:rsidRPr="00F36F48" w:rsidTr="008D7851">
        <w:tblPrEx>
          <w:tblBorders>
            <w:top w:val="none" w:sz="0" w:space="0" w:color="auto"/>
          </w:tblBorders>
        </w:tblPrEx>
        <w:trPr>
          <w:trHeight w:val="20"/>
          <w:jc w:val="center"/>
        </w:trPr>
        <w:tc>
          <w:tcPr>
            <w:tcW w:w="2976"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rPr>
                <w:rFonts w:ascii="Arial" w:hAnsi="Arial" w:cs="Arial"/>
                <w:lang w:val="en-GB"/>
              </w:rPr>
            </w:pPr>
            <w:r w:rsidRPr="00F36F48">
              <w:rPr>
                <w:rFonts w:ascii="Arial" w:hAnsi="Arial" w:cs="Arial"/>
                <w:lang w:val="en-GB"/>
              </w:rPr>
              <w:t>Total Revenue</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251.7</w:t>
            </w:r>
          </w:p>
        </w:tc>
        <w:tc>
          <w:tcPr>
            <w:tcW w:w="1134" w:type="dxa"/>
            <w:tcBorders>
              <w:bottom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305.8</w:t>
            </w:r>
          </w:p>
        </w:tc>
        <w:tc>
          <w:tcPr>
            <w:tcW w:w="1134"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387.5</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508.4</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670.2</w:t>
            </w:r>
          </w:p>
        </w:tc>
      </w:tr>
      <w:tr w:rsidR="004C0A0F" w:rsidRPr="00F36F48" w:rsidTr="008D7851">
        <w:tblPrEx>
          <w:tblBorders>
            <w:top w:val="none" w:sz="0" w:space="0" w:color="auto"/>
          </w:tblBorders>
        </w:tblPrEx>
        <w:trPr>
          <w:trHeight w:val="20"/>
          <w:jc w:val="center"/>
        </w:trPr>
        <w:tc>
          <w:tcPr>
            <w:tcW w:w="2976"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rPr>
                <w:rFonts w:ascii="Arial" w:hAnsi="Arial" w:cs="Arial"/>
                <w:lang w:val="en-GB"/>
              </w:rPr>
            </w:pPr>
            <w:r w:rsidRPr="00F36F48">
              <w:rPr>
                <w:rFonts w:ascii="Arial" w:hAnsi="Arial" w:cs="Arial"/>
                <w:lang w:val="en-GB"/>
              </w:rPr>
              <w:t>Cost of Sales</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75.2</w:t>
            </w:r>
          </w:p>
        </w:tc>
        <w:tc>
          <w:tcPr>
            <w:tcW w:w="1134" w:type="dxa"/>
            <w:tcBorders>
              <w:bottom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89.3</w:t>
            </w:r>
          </w:p>
        </w:tc>
        <w:tc>
          <w:tcPr>
            <w:tcW w:w="1134"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111.9</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134.6</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197.6</w:t>
            </w:r>
          </w:p>
        </w:tc>
      </w:tr>
      <w:tr w:rsidR="004C0A0F" w:rsidRPr="00F36F48" w:rsidTr="008D7851">
        <w:tblPrEx>
          <w:tblBorders>
            <w:top w:val="none" w:sz="0" w:space="0" w:color="auto"/>
          </w:tblBorders>
        </w:tblPrEx>
        <w:trPr>
          <w:trHeight w:val="20"/>
          <w:jc w:val="center"/>
        </w:trPr>
        <w:tc>
          <w:tcPr>
            <w:tcW w:w="2976"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rPr>
                <w:rFonts w:ascii="Arial" w:hAnsi="Arial" w:cs="Arial"/>
                <w:lang w:val="en-GB"/>
              </w:rPr>
            </w:pPr>
            <w:r w:rsidRPr="00F36F48">
              <w:rPr>
                <w:rFonts w:ascii="Arial" w:hAnsi="Arial" w:cs="Arial"/>
                <w:lang w:val="en-GB"/>
              </w:rPr>
              <w:t>Gross Profit</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176.5</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216.5</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275.6</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373.8</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472.6</w:t>
            </w:r>
          </w:p>
        </w:tc>
      </w:tr>
      <w:tr w:rsidR="004C0A0F" w:rsidRPr="00F36F48" w:rsidTr="008D7851">
        <w:tblPrEx>
          <w:tblBorders>
            <w:top w:val="none" w:sz="0" w:space="0" w:color="auto"/>
          </w:tblBorders>
        </w:tblPrEx>
        <w:trPr>
          <w:trHeight w:val="20"/>
          <w:jc w:val="center"/>
        </w:trPr>
        <w:tc>
          <w:tcPr>
            <w:tcW w:w="2976"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rPr>
                <w:rFonts w:ascii="Arial" w:hAnsi="Arial" w:cs="Arial"/>
                <w:lang w:val="en-GB"/>
              </w:rPr>
            </w:pPr>
            <w:r w:rsidRPr="00F36F48">
              <w:rPr>
                <w:rFonts w:ascii="Arial" w:hAnsi="Arial" w:cs="Arial"/>
                <w:lang w:val="en-GB"/>
              </w:rPr>
              <w:t>Marketing &amp; Selling Expenses</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45.2</w:t>
            </w:r>
          </w:p>
        </w:tc>
        <w:tc>
          <w:tcPr>
            <w:tcW w:w="1134" w:type="dxa"/>
            <w:tcBorders>
              <w:bottom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57.1</w:t>
            </w:r>
          </w:p>
        </w:tc>
        <w:tc>
          <w:tcPr>
            <w:tcW w:w="1134"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72.4</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99.8</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148.1</w:t>
            </w:r>
          </w:p>
        </w:tc>
      </w:tr>
      <w:tr w:rsidR="004C0A0F" w:rsidRPr="00F36F48" w:rsidTr="008D7851">
        <w:tblPrEx>
          <w:tblBorders>
            <w:top w:val="none" w:sz="0" w:space="0" w:color="auto"/>
          </w:tblBorders>
        </w:tblPrEx>
        <w:trPr>
          <w:trHeight w:val="20"/>
          <w:jc w:val="center"/>
        </w:trPr>
        <w:tc>
          <w:tcPr>
            <w:tcW w:w="2976"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rPr>
                <w:rFonts w:ascii="Arial" w:hAnsi="Arial" w:cs="Arial"/>
                <w:lang w:val="en-GB"/>
              </w:rPr>
            </w:pPr>
            <w:r w:rsidRPr="00F36F48">
              <w:rPr>
                <w:rFonts w:ascii="Arial" w:hAnsi="Arial" w:cs="Arial"/>
                <w:lang w:val="en-GB"/>
              </w:rPr>
              <w:t>Other Expenses </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4.7</w:t>
            </w:r>
          </w:p>
        </w:tc>
        <w:tc>
          <w:tcPr>
            <w:tcW w:w="1134" w:type="dxa"/>
            <w:tcBorders>
              <w:bottom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7.1</w:t>
            </w:r>
          </w:p>
        </w:tc>
        <w:tc>
          <w:tcPr>
            <w:tcW w:w="1134"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9.6</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12.7</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21.6</w:t>
            </w:r>
          </w:p>
        </w:tc>
      </w:tr>
      <w:tr w:rsidR="004C0A0F" w:rsidRPr="00F36F48" w:rsidTr="008D7851">
        <w:trPr>
          <w:trHeight w:val="20"/>
          <w:jc w:val="center"/>
        </w:trPr>
        <w:tc>
          <w:tcPr>
            <w:tcW w:w="2976" w:type="dxa"/>
            <w:tcBorders>
              <w:left w:val="single" w:sz="8" w:space="0" w:color="000000"/>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rPr>
                <w:rFonts w:ascii="Arial" w:hAnsi="Arial" w:cs="Arial"/>
                <w:lang w:val="en-GB"/>
              </w:rPr>
            </w:pPr>
            <w:r w:rsidRPr="00F36F48">
              <w:rPr>
                <w:rFonts w:ascii="Arial" w:hAnsi="Arial" w:cs="Arial"/>
                <w:lang w:val="en-GB"/>
              </w:rPr>
              <w:t>Net Profit/(Loss)</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126.6</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152.3</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193.6</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261.3</w:t>
            </w:r>
          </w:p>
        </w:tc>
        <w:tc>
          <w:tcPr>
            <w:tcW w:w="1134" w:type="dxa"/>
            <w:tcBorders>
              <w:bottom w:val="single" w:sz="8" w:space="0" w:color="000000"/>
              <w:right w:val="single" w:sz="8" w:space="0" w:color="000000"/>
            </w:tcBorders>
            <w:shd w:val="clear" w:color="auto" w:fill="FFFFFF"/>
            <w:vAlign w:val="center"/>
          </w:tcPr>
          <w:p w:rsidR="004C0A0F" w:rsidRPr="00F36F48" w:rsidRDefault="004C0A0F" w:rsidP="008D7851">
            <w:pPr>
              <w:autoSpaceDE w:val="0"/>
              <w:autoSpaceDN w:val="0"/>
              <w:adjustRightInd w:val="0"/>
              <w:spacing w:line="285" w:lineRule="atLeast"/>
              <w:jc w:val="right"/>
              <w:rPr>
                <w:rFonts w:ascii="Arial" w:hAnsi="Arial" w:cs="Arial"/>
                <w:lang w:val="en-GB"/>
              </w:rPr>
            </w:pPr>
            <w:r w:rsidRPr="00F36F48">
              <w:rPr>
                <w:rFonts w:ascii="Arial" w:hAnsi="Arial" w:cs="Arial"/>
                <w:lang w:val="en-GB"/>
              </w:rPr>
              <w:t>302.9</w:t>
            </w:r>
          </w:p>
        </w:tc>
      </w:tr>
    </w:tbl>
    <w:p w:rsidR="004C0A0F" w:rsidRPr="00F36F48" w:rsidRDefault="004C0A0F" w:rsidP="004C0A0F">
      <w:pPr>
        <w:pStyle w:val="Footnote"/>
        <w:rPr>
          <w:rFonts w:eastAsiaTheme="minorHAnsi"/>
          <w:lang w:val="en-GB"/>
        </w:rPr>
      </w:pPr>
    </w:p>
    <w:p w:rsidR="004C0A0F" w:rsidRPr="00F36F48" w:rsidRDefault="004C0A0F" w:rsidP="004C0A0F">
      <w:pPr>
        <w:pStyle w:val="Footnote"/>
        <w:rPr>
          <w:lang w:val="en-GB"/>
        </w:rPr>
      </w:pPr>
      <w:r w:rsidRPr="00F36F48">
        <w:rPr>
          <w:lang w:val="en-GB"/>
        </w:rPr>
        <w:t xml:space="preserve">Note: </w:t>
      </w:r>
      <w:r w:rsidRPr="00CF46BC">
        <w:t>₹</w:t>
      </w:r>
      <w:r>
        <w:t xml:space="preserve"> = INR = Indian rupee; </w:t>
      </w:r>
      <w:r w:rsidRPr="00834E1B">
        <w:t>₹</w:t>
      </w:r>
      <w:r w:rsidRPr="00901ED4">
        <w:t>6</w:t>
      </w:r>
      <w:r>
        <w:t>5</w:t>
      </w:r>
      <w:r w:rsidRPr="00901ED4">
        <w:t>.</w:t>
      </w:r>
      <w:r>
        <w:t>03</w:t>
      </w:r>
      <w:r w:rsidRPr="00901ED4">
        <w:t xml:space="preserve"> </w:t>
      </w:r>
      <w:r w:rsidR="00191911">
        <w:t xml:space="preserve">= US$1 </w:t>
      </w:r>
      <w:r w:rsidRPr="00901ED4">
        <w:t xml:space="preserve">on </w:t>
      </w:r>
      <w:r>
        <w:t xml:space="preserve">March 25, 2018. </w:t>
      </w:r>
      <w:r w:rsidRPr="00F36F48">
        <w:rPr>
          <w:lang w:val="en-GB"/>
        </w:rPr>
        <w:t>Figures have been changed to maintain confidentiality.</w:t>
      </w:r>
    </w:p>
    <w:p w:rsidR="004C0A0F" w:rsidRPr="00F36F48" w:rsidRDefault="004C0A0F" w:rsidP="004C0A0F">
      <w:pPr>
        <w:pStyle w:val="Footnote"/>
        <w:rPr>
          <w:lang w:val="en-GB"/>
        </w:rPr>
      </w:pPr>
      <w:r w:rsidRPr="00F36F48">
        <w:rPr>
          <w:lang w:val="en-GB"/>
        </w:rPr>
        <w:t xml:space="preserve">Source: Company documents. </w:t>
      </w:r>
    </w:p>
    <w:p w:rsidR="004C0A0F" w:rsidRPr="00F36F48" w:rsidRDefault="004C0A0F" w:rsidP="004C0A0F">
      <w:pPr>
        <w:pStyle w:val="BodyTextMain"/>
        <w:rPr>
          <w:lang w:val="en-GB"/>
        </w:rPr>
      </w:pPr>
    </w:p>
    <w:p w:rsidR="004C0A0F" w:rsidRPr="00F36F48" w:rsidRDefault="004C0A0F" w:rsidP="004C0A0F">
      <w:pPr>
        <w:pStyle w:val="BodyTextMain"/>
        <w:rPr>
          <w:lang w:val="en-GB"/>
        </w:rPr>
      </w:pPr>
    </w:p>
    <w:p w:rsidR="004C0A0F" w:rsidRPr="00F36F48" w:rsidRDefault="004C0A0F" w:rsidP="004C0A0F">
      <w:pPr>
        <w:pStyle w:val="Casehead1"/>
        <w:jc w:val="center"/>
        <w:rPr>
          <w:shd w:val="clear" w:color="auto" w:fill="FFFFFF"/>
          <w:lang w:val="en-GB"/>
        </w:rPr>
      </w:pPr>
      <w:r w:rsidRPr="00F36F48">
        <w:rPr>
          <w:lang w:val="en-GB"/>
        </w:rPr>
        <w:t xml:space="preserve">EXHIBIT 2: </w:t>
      </w:r>
      <w:r w:rsidRPr="00F36F48">
        <w:rPr>
          <w:lang w:val="en-GB" w:eastAsia="en-IN"/>
        </w:rPr>
        <w:t>MAHA RESEARCH LABS</w:t>
      </w:r>
      <w:r w:rsidRPr="00F36F48">
        <w:rPr>
          <w:shd w:val="clear" w:color="auto" w:fill="FFFFFF"/>
          <w:lang w:val="en-GB"/>
        </w:rPr>
        <w:t>’S TOP 10 PRODUCTS (BY SALES)</w:t>
      </w:r>
    </w:p>
    <w:p w:rsidR="004C0A0F" w:rsidRPr="00F36F48" w:rsidRDefault="004C0A0F" w:rsidP="004C0A0F">
      <w:pPr>
        <w:pStyle w:val="BodyTextMain"/>
        <w:rPr>
          <w:shd w:val="clear" w:color="auto" w:fill="FFFFFF"/>
        </w:rPr>
      </w:pPr>
    </w:p>
    <w:tbl>
      <w:tblPr>
        <w:tblW w:w="4760" w:type="dxa"/>
        <w:jc w:val="center"/>
        <w:tblLook w:val="04A0" w:firstRow="1" w:lastRow="0" w:firstColumn="1" w:lastColumn="0" w:noHBand="0" w:noVBand="1"/>
      </w:tblPr>
      <w:tblGrid>
        <w:gridCol w:w="2420"/>
        <w:gridCol w:w="2340"/>
      </w:tblGrid>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jc w:val="center"/>
              <w:rPr>
                <w:rFonts w:ascii="Arial" w:hAnsi="Arial" w:cs="Arial"/>
                <w:b/>
                <w:bCs/>
                <w:lang w:val="en-GB"/>
              </w:rPr>
            </w:pPr>
            <w:r w:rsidRPr="00F36F48">
              <w:rPr>
                <w:rFonts w:ascii="Arial" w:hAnsi="Arial" w:cs="Arial"/>
                <w:b/>
                <w:bCs/>
                <w:lang w:val="en-GB"/>
              </w:rPr>
              <w:t>Brand Name</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191911" w:rsidRPr="00F36F48" w:rsidRDefault="00191911" w:rsidP="008D7851">
            <w:pPr>
              <w:jc w:val="center"/>
              <w:rPr>
                <w:rFonts w:ascii="Arial" w:hAnsi="Arial" w:cs="Arial"/>
                <w:b/>
                <w:bCs/>
                <w:lang w:val="en-GB"/>
              </w:rPr>
            </w:pPr>
            <w:r w:rsidRPr="00F36F48">
              <w:rPr>
                <w:rFonts w:ascii="Arial" w:hAnsi="Arial" w:cs="Arial"/>
                <w:b/>
                <w:bCs/>
                <w:lang w:val="en-GB"/>
              </w:rPr>
              <w:t>Category</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proofErr w:type="spellStart"/>
            <w:r w:rsidRPr="00F36F48">
              <w:rPr>
                <w:rFonts w:ascii="Arial" w:hAnsi="Arial" w:cs="Arial"/>
                <w:lang w:val="en-GB"/>
              </w:rPr>
              <w:t>Algesic</w:t>
            </w:r>
            <w:proofErr w:type="spellEnd"/>
            <w:r w:rsidRPr="00F36F48">
              <w:rPr>
                <w:rFonts w:ascii="Arial" w:hAnsi="Arial" w:cs="Arial"/>
                <w:lang w:val="en-GB"/>
              </w:rPr>
              <w:t xml:space="preserve"> Tablets</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Pain Management</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proofErr w:type="spellStart"/>
            <w:r w:rsidRPr="00F36F48">
              <w:rPr>
                <w:rFonts w:ascii="Arial" w:hAnsi="Arial" w:cs="Arial"/>
                <w:lang w:val="en-GB"/>
              </w:rPr>
              <w:t>Algesic</w:t>
            </w:r>
            <w:proofErr w:type="spellEnd"/>
            <w:r w:rsidRPr="00F36F48">
              <w:rPr>
                <w:rFonts w:ascii="Arial" w:hAnsi="Arial" w:cs="Arial"/>
                <w:lang w:val="en-GB"/>
              </w:rPr>
              <w:t>-SP Tablets</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Pain Management</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FG-CAL Tablets</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Calcium Supplement</w:t>
            </w:r>
          </w:p>
        </w:tc>
        <w:bookmarkStart w:id="0" w:name="_GoBack"/>
        <w:bookmarkEnd w:id="0"/>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proofErr w:type="spellStart"/>
            <w:r w:rsidRPr="00F36F48">
              <w:rPr>
                <w:rFonts w:ascii="Arial" w:hAnsi="Arial" w:cs="Arial"/>
                <w:lang w:val="en-GB"/>
              </w:rPr>
              <w:t>Mahamox</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Antibacterial Range</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M. Panto DSR Capsules</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Gastro-protective</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FG-IRN-XT</w:t>
            </w:r>
            <w:r>
              <w:rPr>
                <w:rFonts w:ascii="Arial" w:hAnsi="Arial" w:cs="Arial"/>
                <w:lang w:val="en-GB"/>
              </w:rPr>
              <w:t xml:space="preserve"> </w:t>
            </w:r>
            <w:r w:rsidRPr="00F36F48">
              <w:rPr>
                <w:rFonts w:ascii="Arial" w:hAnsi="Arial" w:cs="Arial"/>
                <w:lang w:val="en-GB"/>
              </w:rPr>
              <w:t>Tablets</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Haematinic</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proofErr w:type="spellStart"/>
            <w:r w:rsidRPr="00F36F48">
              <w:rPr>
                <w:rFonts w:ascii="Arial" w:hAnsi="Arial" w:cs="Arial"/>
                <w:lang w:val="en-GB"/>
              </w:rPr>
              <w:t>Mahapod</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Antibacterial Range</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proofErr w:type="spellStart"/>
            <w:r w:rsidRPr="00F36F48">
              <w:rPr>
                <w:rFonts w:ascii="Arial" w:hAnsi="Arial" w:cs="Arial"/>
                <w:lang w:val="en-GB"/>
              </w:rPr>
              <w:t>Maflox</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Antibacterial Range</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proofErr w:type="spellStart"/>
            <w:r w:rsidRPr="00F36F48">
              <w:rPr>
                <w:rFonts w:ascii="Arial" w:hAnsi="Arial" w:cs="Arial"/>
                <w:lang w:val="en-GB"/>
              </w:rPr>
              <w:t>Enervit</w:t>
            </w:r>
            <w:proofErr w:type="spellEnd"/>
            <w:r w:rsidRPr="00F36F48">
              <w:rPr>
                <w:rFonts w:ascii="Arial" w:hAnsi="Arial" w:cs="Arial"/>
                <w:lang w:val="en-GB"/>
              </w:rPr>
              <w:t xml:space="preserve"> Capsules</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Nutritional Supplement</w:t>
            </w:r>
          </w:p>
        </w:tc>
      </w:tr>
      <w:tr w:rsidR="00191911" w:rsidRPr="00F36F48" w:rsidTr="00191911">
        <w:trPr>
          <w:trHeight w:val="144"/>
          <w:jc w:val="center"/>
        </w:trPr>
        <w:tc>
          <w:tcPr>
            <w:tcW w:w="24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 xml:space="preserve">M. </w:t>
            </w:r>
            <w:proofErr w:type="spellStart"/>
            <w:r w:rsidRPr="00F36F48">
              <w:rPr>
                <w:rFonts w:ascii="Arial" w:hAnsi="Arial" w:cs="Arial"/>
                <w:lang w:val="en-GB"/>
              </w:rPr>
              <w:t>Envervit</w:t>
            </w:r>
            <w:proofErr w:type="spellEnd"/>
            <w:r w:rsidRPr="00F36F48">
              <w:rPr>
                <w:rFonts w:ascii="Arial" w:hAnsi="Arial" w:cs="Arial"/>
                <w:lang w:val="en-GB"/>
              </w:rPr>
              <w:t xml:space="preserve"> Syrup</w:t>
            </w:r>
          </w:p>
        </w:tc>
        <w:tc>
          <w:tcPr>
            <w:tcW w:w="2340" w:type="dxa"/>
            <w:tcBorders>
              <w:top w:val="nil"/>
              <w:left w:val="nil"/>
              <w:bottom w:val="single" w:sz="8" w:space="0" w:color="auto"/>
              <w:right w:val="single" w:sz="8" w:space="0" w:color="auto"/>
            </w:tcBorders>
            <w:shd w:val="clear" w:color="auto" w:fill="auto"/>
            <w:noWrap/>
            <w:vAlign w:val="center"/>
            <w:hideMark/>
          </w:tcPr>
          <w:p w:rsidR="00191911" w:rsidRPr="00F36F48" w:rsidRDefault="00191911" w:rsidP="008D7851">
            <w:pPr>
              <w:rPr>
                <w:rFonts w:ascii="Arial" w:hAnsi="Arial" w:cs="Arial"/>
                <w:lang w:val="en-GB"/>
              </w:rPr>
            </w:pPr>
            <w:r w:rsidRPr="00F36F48">
              <w:rPr>
                <w:rFonts w:ascii="Arial" w:hAnsi="Arial" w:cs="Arial"/>
                <w:lang w:val="en-GB"/>
              </w:rPr>
              <w:t>Nutritional Supplement</w:t>
            </w:r>
          </w:p>
        </w:tc>
      </w:tr>
    </w:tbl>
    <w:p w:rsidR="004C0A0F" w:rsidRPr="00F36F48" w:rsidRDefault="004C0A0F" w:rsidP="004C0A0F">
      <w:pPr>
        <w:pStyle w:val="Footnote"/>
        <w:rPr>
          <w:lang w:val="en-GB"/>
        </w:rPr>
      </w:pPr>
    </w:p>
    <w:p w:rsidR="004C0A0F" w:rsidRPr="00F36F48" w:rsidRDefault="004C0A0F" w:rsidP="004C0A0F">
      <w:pPr>
        <w:pStyle w:val="Footnote"/>
        <w:rPr>
          <w:lang w:val="en-GB"/>
        </w:rPr>
      </w:pPr>
      <w:r w:rsidRPr="00F36F48">
        <w:rPr>
          <w:lang w:val="en-GB"/>
        </w:rPr>
        <w:t>Source: Company documents.</w:t>
      </w:r>
    </w:p>
    <w:p w:rsidR="004C0A0F" w:rsidRPr="00F36F48" w:rsidRDefault="004C0A0F" w:rsidP="004C0A0F">
      <w:pPr>
        <w:pStyle w:val="BodyTextMain"/>
        <w:rPr>
          <w:lang w:val="en-GB"/>
        </w:rPr>
      </w:pPr>
    </w:p>
    <w:p w:rsidR="004C0A0F" w:rsidRPr="00F36F48" w:rsidRDefault="004C0A0F" w:rsidP="004C0A0F">
      <w:pPr>
        <w:pStyle w:val="BodyTextMain"/>
        <w:rPr>
          <w:lang w:val="en-GB"/>
        </w:rPr>
      </w:pPr>
    </w:p>
    <w:p w:rsidR="004C0A0F" w:rsidRPr="00F36F48" w:rsidRDefault="004C0A0F" w:rsidP="004C0A0F">
      <w:pPr>
        <w:pStyle w:val="Casehead1"/>
        <w:jc w:val="center"/>
        <w:rPr>
          <w:caps w:val="0"/>
          <w:lang w:val="en-GB" w:eastAsia="en-IN"/>
        </w:rPr>
      </w:pPr>
      <w:r w:rsidRPr="00F36F48">
        <w:rPr>
          <w:caps w:val="0"/>
          <w:lang w:val="en-GB" w:eastAsia="en-IN"/>
        </w:rPr>
        <w:t>EXHIBIT</w:t>
      </w:r>
      <w:r w:rsidRPr="00F36F48">
        <w:rPr>
          <w:lang w:val="en-GB" w:eastAsia="en-IN"/>
        </w:rPr>
        <w:t xml:space="preserve"> 3: LOGISTICS at MAHA RESEARCH LABS</w:t>
      </w:r>
    </w:p>
    <w:p w:rsidR="004C0A0F" w:rsidRPr="00F36F48" w:rsidRDefault="004C0A0F" w:rsidP="004C0A0F">
      <w:pPr>
        <w:pStyle w:val="BodyTextMain"/>
        <w:rPr>
          <w:lang w:eastAsia="en-IN"/>
        </w:rPr>
      </w:pPr>
      <w:r w:rsidRPr="00F36F48">
        <w:rPr>
          <w:noProof/>
          <w:lang w:val="en-GB" w:eastAsia="en-GB"/>
        </w:rPr>
        <mc:AlternateContent>
          <mc:Choice Requires="wpg">
            <w:drawing>
              <wp:anchor distT="0" distB="0" distL="114300" distR="114300" simplePos="0" relativeHeight="251659264" behindDoc="0" locked="0" layoutInCell="1" allowOverlap="1" wp14:anchorId="7A623613" wp14:editId="24C17B4D">
                <wp:simplePos x="0" y="0"/>
                <wp:positionH relativeFrom="margin">
                  <wp:posOffset>86360</wp:posOffset>
                </wp:positionH>
                <wp:positionV relativeFrom="paragraph">
                  <wp:posOffset>151765</wp:posOffset>
                </wp:positionV>
                <wp:extent cx="5659120" cy="472440"/>
                <wp:effectExtent l="0" t="0" r="17780" b="22860"/>
                <wp:wrapNone/>
                <wp:docPr id="3" name="Group 3"/>
                <wp:cNvGraphicFramePr/>
                <a:graphic xmlns:a="http://schemas.openxmlformats.org/drawingml/2006/main">
                  <a:graphicData uri="http://schemas.microsoft.com/office/word/2010/wordprocessingGroup">
                    <wpg:wgp>
                      <wpg:cNvGrpSpPr/>
                      <wpg:grpSpPr>
                        <a:xfrm>
                          <a:off x="0" y="0"/>
                          <a:ext cx="5659120" cy="472440"/>
                          <a:chOff x="0" y="-3801"/>
                          <a:chExt cx="6266557" cy="367325"/>
                        </a:xfrm>
                      </wpg:grpSpPr>
                      <wps:wsp>
                        <wps:cNvPr id="16" name="Rectangle 16"/>
                        <wps:cNvSpPr/>
                        <wps:spPr>
                          <a:xfrm>
                            <a:off x="0" y="-3"/>
                            <a:ext cx="1025356" cy="363338"/>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A0F" w:rsidRPr="006D78BB" w:rsidRDefault="004C0A0F" w:rsidP="004C0A0F">
                              <w:pPr>
                                <w:jc w:val="center"/>
                                <w:rPr>
                                  <w:rFonts w:ascii="Arial" w:hAnsi="Arial" w:cs="Arial"/>
                                </w:rPr>
                              </w:pPr>
                              <w:r w:rsidRPr="006D78BB">
                                <w:rPr>
                                  <w:rFonts w:ascii="Arial" w:hAnsi="Arial" w:cs="Arial"/>
                                </w:rPr>
                                <w:t>Central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682" y="-3801"/>
                            <a:ext cx="885190" cy="367204"/>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A0F" w:rsidRPr="006D78BB" w:rsidRDefault="004C0A0F" w:rsidP="004C0A0F">
                              <w:pPr>
                                <w:jc w:val="center"/>
                                <w:rPr>
                                  <w:rFonts w:ascii="Arial" w:hAnsi="Arial" w:cs="Arial"/>
                                </w:rPr>
                              </w:pPr>
                              <w:r w:rsidRPr="006D78BB">
                                <w:rPr>
                                  <w:rFonts w:ascii="Arial" w:hAnsi="Arial" w:cs="Arial"/>
                                </w:rPr>
                                <w:t>C&amp;F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70048" y="18433"/>
                            <a:ext cx="885190" cy="345086"/>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A0F" w:rsidRPr="006D78BB" w:rsidRDefault="004C0A0F" w:rsidP="004C0A0F">
                              <w:pPr>
                                <w:jc w:val="center"/>
                                <w:rPr>
                                  <w:rFonts w:ascii="Arial" w:hAnsi="Arial" w:cs="Arial"/>
                                </w:rPr>
                              </w:pPr>
                              <w:proofErr w:type="spellStart"/>
                              <w:r w:rsidRPr="006D78BB">
                                <w:rPr>
                                  <w:rFonts w:ascii="Arial" w:hAnsi="Arial" w:cs="Arial"/>
                                </w:rPr>
                                <w:t>Stockist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08287" y="-1"/>
                            <a:ext cx="957655" cy="3634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A0F" w:rsidRPr="006D78BB" w:rsidRDefault="004C0A0F" w:rsidP="004C0A0F">
                              <w:pPr>
                                <w:jc w:val="center"/>
                                <w:rPr>
                                  <w:rFonts w:ascii="Arial" w:hAnsi="Arial" w:cs="Arial"/>
                                </w:rPr>
                              </w:pPr>
                              <w:r w:rsidRPr="006D78BB">
                                <w:rPr>
                                  <w:rFonts w:ascii="Arial" w:hAnsi="Arial" w:cs="Arial"/>
                                </w:rPr>
                                <w:t>Retail</w:t>
                              </w:r>
                              <w:r w:rsidRPr="006D78BB">
                                <w:rPr>
                                  <w:rFonts w:ascii="Arial" w:hAnsi="Arial" w:cs="Arial"/>
                                </w:rPr>
                                <w:br/>
                                <w:t>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306528" y="0"/>
                            <a:ext cx="960029" cy="363524"/>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A0F" w:rsidRPr="006D78BB" w:rsidRDefault="004C0A0F" w:rsidP="004C0A0F">
                              <w:pPr>
                                <w:jc w:val="center"/>
                                <w:rPr>
                                  <w:rFonts w:ascii="Arial" w:hAnsi="Arial" w:cs="Arial"/>
                                </w:rPr>
                              </w:pPr>
                              <w:r w:rsidRPr="006D78BB">
                                <w:rPr>
                                  <w:rFonts w:ascii="Arial" w:hAnsi="Arial" w:cs="Arial"/>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16" idx="3"/>
                          <a:endCxn id="17" idx="1"/>
                        </wps:cNvCnPr>
                        <wps:spPr>
                          <a:xfrm flipV="1">
                            <a:off x="1025356" y="179801"/>
                            <a:ext cx="313326" cy="1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2245766" y="241402"/>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3555187" y="212141"/>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4965394" y="204626"/>
                            <a:ext cx="366038" cy="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27" style="position:absolute;left:0;text-align:left;margin-left:6.8pt;margin-top:11.95pt;width:445.6pt;height:37.2pt;z-index:251659264;mso-position-horizontal-relative:margin;mso-width-relative:margin;mso-height-relative:margin" coordorigin=",-38" coordsize="62665,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">
                <v:rect id="Rectangle 16" o:spid="_x0000_s1028" style="position:absolute;width:10253;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4C0A0F" w:rsidRPr="006D78BB" w:rsidRDefault="004C0A0F" w:rsidP="004C0A0F">
                        <w:pPr>
                          <w:jc w:val="center"/>
                          <w:rPr>
                            <w:rFonts w:ascii="Arial" w:hAnsi="Arial" w:cs="Arial"/>
                          </w:rPr>
                        </w:pPr>
                        <w:r w:rsidRPr="006D78BB">
                          <w:rPr>
                            <w:rFonts w:ascii="Arial" w:hAnsi="Arial" w:cs="Arial"/>
                          </w:rPr>
                          <w:t>Central Warehouse</w:t>
                        </w:r>
                      </w:p>
                    </w:txbxContent>
                  </v:textbox>
                </v:rect>
                <v:rect id="Rectangle 17" o:spid="_x0000_s1029" style="position:absolute;left:13386;top:-38;width:8852;height:3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4C0A0F" w:rsidRPr="006D78BB" w:rsidRDefault="004C0A0F" w:rsidP="004C0A0F">
                        <w:pPr>
                          <w:jc w:val="center"/>
                          <w:rPr>
                            <w:rFonts w:ascii="Arial" w:hAnsi="Arial" w:cs="Arial"/>
                          </w:rPr>
                        </w:pPr>
                        <w:r w:rsidRPr="006D78BB">
                          <w:rPr>
                            <w:rFonts w:ascii="Arial" w:hAnsi="Arial" w:cs="Arial"/>
                          </w:rPr>
                          <w:t>C&amp;F Agents</w:t>
                        </w:r>
                      </w:p>
                    </w:txbxContent>
                  </v:textbox>
                </v:rect>
                <v:rect id="Rectangle 19" o:spid="_x0000_s1030" style="position:absolute;left:26700;top:184;width:8852;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RsEA&#10;AADbAAAADwAAAGRycy9kb3ducmV2LnhtbERPTYvCMBC9L/gfwgh7W1NdFK1GEZdF2YNgFfQ4NGNb&#10;20xKE7X++40geJvH+5zZojWVuFHjCssK+r0IBHFqdcGZgsP+92sMwnlkjZVlUvAgB4t552OGsbZ3&#10;3tEt8ZkIIexiVJB7X8dSujQng65na+LAnW1j0AfYZFI3eA/hppKDKBpJgwWHhhxrWuWUlsnVKPje&#10;lqedlHWyvprhsfy5/GX7BJX67LbLKQhPrX+LX+6NDvMn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sUbBAAAA2wAAAA8AAAAAAAAAAAAAAAAAmAIAAGRycy9kb3du&#10;cmV2LnhtbFBLBQYAAAAABAAEAPUAAACGAwAAAAA=&#10;" fillcolor="white [3212]" strokecolor="black [3213]" strokeweight="2pt">
                  <v:textbox>
                    <w:txbxContent>
                      <w:p w:rsidR="004C0A0F" w:rsidRPr="006D78BB" w:rsidRDefault="004C0A0F" w:rsidP="004C0A0F">
                        <w:pPr>
                          <w:jc w:val="center"/>
                          <w:rPr>
                            <w:rFonts w:ascii="Arial" w:hAnsi="Arial" w:cs="Arial"/>
                          </w:rPr>
                        </w:pPr>
                        <w:proofErr w:type="spellStart"/>
                        <w:r w:rsidRPr="006D78BB">
                          <w:rPr>
                            <w:rFonts w:ascii="Arial" w:hAnsi="Arial" w:cs="Arial"/>
                          </w:rPr>
                          <w:t>Stockist</w:t>
                        </w:r>
                        <w:proofErr w:type="spellEnd"/>
                      </w:p>
                    </w:txbxContent>
                  </v:textbox>
                </v:rect>
                <v:rect id="Rectangle 20" o:spid="_x0000_s1031" style="position:absolute;left:40082;width:9577;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4C0A0F" w:rsidRPr="006D78BB" w:rsidRDefault="004C0A0F" w:rsidP="004C0A0F">
                        <w:pPr>
                          <w:jc w:val="center"/>
                          <w:rPr>
                            <w:rFonts w:ascii="Arial" w:hAnsi="Arial" w:cs="Arial"/>
                          </w:rPr>
                        </w:pPr>
                        <w:r w:rsidRPr="006D78BB">
                          <w:rPr>
                            <w:rFonts w:ascii="Arial" w:hAnsi="Arial" w:cs="Arial"/>
                          </w:rPr>
                          <w:t>Retail</w:t>
                        </w:r>
                        <w:r w:rsidRPr="006D78BB">
                          <w:rPr>
                            <w:rFonts w:ascii="Arial" w:hAnsi="Arial" w:cs="Arial"/>
                          </w:rPr>
                          <w:br/>
                          <w:t>Pharmacy</w:t>
                        </w:r>
                      </w:p>
                    </w:txbxContent>
                  </v:textbox>
                </v:rect>
                <v:rect id="Rectangle 21" o:spid="_x0000_s1032" style="position:absolute;left:53065;width:9600;height:3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4C0A0F" w:rsidRPr="006D78BB" w:rsidRDefault="004C0A0F" w:rsidP="004C0A0F">
                        <w:pPr>
                          <w:jc w:val="center"/>
                          <w:rPr>
                            <w:rFonts w:ascii="Arial" w:hAnsi="Arial" w:cs="Arial"/>
                          </w:rPr>
                        </w:pPr>
                        <w:r w:rsidRPr="006D78BB">
                          <w:rPr>
                            <w:rFonts w:ascii="Arial" w:hAnsi="Arial" w:cs="Arial"/>
                          </w:rPr>
                          <w:t>Customer</w:t>
                        </w:r>
                      </w:p>
                    </w:txbxContent>
                  </v:textbox>
                </v:rect>
                <v:shapetype id="_x0000_t32" coordsize="21600,21600" o:spt="32" o:oned="t" path="m,l21600,21600e" filled="f">
                  <v:path arrowok="t" fillok="f" o:connecttype="none"/>
                  <o:lock v:ext="edit" shapetype="t"/>
                </v:shapetype>
                <v:shape id="Straight Arrow Connector 22" o:spid="_x0000_s1033" type="#_x0000_t32" style="position:absolute;left:10253;top:1798;width:3133;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d5GsIAAADbAAAADwAAAGRycy9kb3ducmV2LnhtbESPQYvCMBSE78L+h/AWvGnaHkS6xrIs&#10;CIsexCq4x0fzbKvNS2myGv+9EQSPw8x8wyyKYDpxpcG1lhWk0wQEcWV1y7WCw341mYNwHlljZ5kU&#10;3MlBsfwYLTDX9sY7upa+FhHCLkcFjfd9LqWrGjLoprYnjt7JDgZ9lEMt9YC3CDedzJJkJg22HBca&#10;7OmnoepS/hsF6+P5tJeHNqApw2y9SVbb7i9VavwZvr9AeAr+HX61f7WCLIPnl/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d5GsIAAADbAAAADwAAAAAAAAAAAAAA&#10;AAChAgAAZHJzL2Rvd25yZXYueG1sUEsFBgAAAAAEAAQA+QAAAJADAAAAAA==&#10;" strokecolor="black [3040]">
                  <v:stroke endarrow="block"/>
                </v:shape>
                <v:shape id="Straight Arrow Connector 23" o:spid="_x0000_s1034" type="#_x0000_t32" style="position:absolute;left:22457;top:2414;width:438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cgcIAAADbAAAADwAAAGRycy9kb3ducmV2LnhtbESPQYvCMBSE74L/ITzBm6YqyFJNiwiC&#10;6EG2CrvHR/Nsq81LaaLGf79ZWNjjMDPfMOs8mFY8qXeNZQWzaQKCuLS64UrB5bybfIBwHllja5kU&#10;vMlBng0Ha0y1ffEnPQtfiQhhl6KC2vsuldKVNRl0U9sRR+9qe4M+yr6SusdXhJtWzpNkKQ02HBdq&#10;7GhbU3kvHkbB4et2PctLE9AUYXk4JrtT+z1TajwKmxUIT8H/h//ae61gvoD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vcgcIAAADbAAAADwAAAAAAAAAAAAAA&#10;AAChAgAAZHJzL2Rvd25yZXYueG1sUEsFBgAAAAAEAAQA+QAAAJADAAAAAA==&#10;" strokecolor="black [3040]">
                  <v:stroke endarrow="block"/>
                </v:shape>
                <v:shape id="Straight Arrow Connector 24" o:spid="_x0000_s1035" type="#_x0000_t32" style="position:absolute;left:35551;top:2121;width:438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E9cIAAADbAAAADwAAAGRycy9kb3ducmV2LnhtbESPQYvCMBSE74L/ITzBm6aKyFJNiwiC&#10;6EG2CrvHR/Nsq81LaaLGf79ZWNjjMDPfMOs8mFY8qXeNZQWzaQKCuLS64UrB5bybfIBwHllja5kU&#10;vMlBng0Ha0y1ffEnPQtfiQhhl6KC2vsuldKVNRl0U9sRR+9qe4M+yr6SusdXhJtWzpNkKQ02HBdq&#10;7GhbU3kvHkbB4et2PctLE9AUYXk4JrtT+z1TajwKmxUIT8H/h//ae61gvoD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E9cIAAADbAAAADwAAAAAAAAAAAAAA&#10;AAChAgAAZHJzL2Rvd25yZXYueG1sUEsFBgAAAAAEAAQA+QAAAJADAAAAAA==&#10;" strokecolor="black [3040]">
                  <v:stroke endarrow="block"/>
                </v:shape>
                <v:shape id="Straight Arrow Connector 25" o:spid="_x0000_s1036" type="#_x0000_t32" style="position:absolute;left:49653;top:2046;width:36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84A8AAAADbAAAADwAAAGRycy9kb3ducmV2LnhtbESP3YrCMBSE7xf2HcJZ8GZZU8WVpRpF&#10;BKFe+vMAh+bYFJuTkqQ/vr0RhL0cZuYbZr0dbSN68qF2rGA2zUAQl07XXCm4Xg4/fyBCRNbYOCYF&#10;Dwqw3Xx+rDHXbuAT9edYiQThkKMCE2ObSxlKQxbD1LXEybs5bzEm6SupPQ4Jbhs5z7KltFhzWjDY&#10;0t5QeT93VoHr2RwX3zbeZVdedtgV+8EXSk2+xt0KRKQx/off7UIrmP/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fOAPAAAAA2wAAAA8AAAAAAAAAAAAAAAAA&#10;oQIAAGRycy9kb3ducmV2LnhtbFBLBQYAAAAABAAEAPkAAACOAwAAAAA=&#10;" strokecolor="black [3040]">
                  <v:stroke endarrow="block"/>
                </v:shape>
                <w10:wrap anchorx="margin"/>
              </v:group>
            </w:pict>
          </mc:Fallback>
        </mc:AlternateContent>
      </w:r>
    </w:p>
    <w:p w:rsidR="004C0A0F" w:rsidRDefault="004C0A0F" w:rsidP="004C0A0F">
      <w:pPr>
        <w:pStyle w:val="BodyTextMain"/>
        <w:rPr>
          <w:lang w:val="en-GB" w:eastAsia="en-IN"/>
        </w:rPr>
      </w:pPr>
    </w:p>
    <w:p w:rsidR="004C0A0F" w:rsidRPr="00F36F48" w:rsidRDefault="004C0A0F" w:rsidP="004C0A0F">
      <w:pPr>
        <w:pStyle w:val="BodyTextMain"/>
        <w:rPr>
          <w:lang w:val="en-GB" w:eastAsia="en-IN"/>
        </w:rPr>
      </w:pPr>
    </w:p>
    <w:p w:rsidR="004C0A0F" w:rsidRPr="00F36F48" w:rsidRDefault="004C0A0F" w:rsidP="004C0A0F">
      <w:pPr>
        <w:pStyle w:val="BodyTextMain"/>
        <w:rPr>
          <w:lang w:val="en-GB" w:eastAsia="en-IN"/>
        </w:rPr>
      </w:pPr>
    </w:p>
    <w:p w:rsidR="004C0A0F" w:rsidRPr="00F36F48" w:rsidRDefault="004C0A0F" w:rsidP="004C0A0F">
      <w:pPr>
        <w:pStyle w:val="Footnote"/>
        <w:rPr>
          <w:lang w:val="en-GB"/>
        </w:rPr>
      </w:pPr>
    </w:p>
    <w:p w:rsidR="004C0A0F" w:rsidRPr="00F36F48" w:rsidRDefault="004C0A0F" w:rsidP="004C0A0F">
      <w:pPr>
        <w:pStyle w:val="Footnote"/>
        <w:rPr>
          <w:lang w:val="en-GB"/>
        </w:rPr>
      </w:pPr>
      <w:r w:rsidRPr="00F36F48">
        <w:rPr>
          <w:lang w:val="en-GB"/>
        </w:rPr>
        <w:t>Note: C&amp;F = carrying and forwarding.</w:t>
      </w:r>
    </w:p>
    <w:p w:rsidR="004C0A0F" w:rsidRPr="00F36F48" w:rsidRDefault="004C0A0F" w:rsidP="004C0A0F">
      <w:pPr>
        <w:pStyle w:val="Footnote"/>
        <w:rPr>
          <w:lang w:val="en-GB"/>
        </w:rPr>
      </w:pPr>
      <w:r w:rsidRPr="00F36F48">
        <w:rPr>
          <w:lang w:val="en-GB"/>
        </w:rPr>
        <w:t>Source: Company documents.</w:t>
      </w:r>
    </w:p>
    <w:p w:rsidR="004C0A0F" w:rsidRPr="00F36F48" w:rsidRDefault="004C0A0F" w:rsidP="004C0A0F">
      <w:pPr>
        <w:pStyle w:val="BodyTextMain"/>
        <w:rPr>
          <w:lang w:val="en-GB"/>
        </w:rPr>
      </w:pPr>
    </w:p>
    <w:p w:rsidR="004C0A0F" w:rsidRPr="00F36F48" w:rsidRDefault="004C0A0F" w:rsidP="004C0A0F">
      <w:pPr>
        <w:pStyle w:val="BodyTextMain"/>
        <w:rPr>
          <w:lang w:val="en-GB" w:eastAsia="en-IN"/>
        </w:rPr>
      </w:pPr>
    </w:p>
    <w:p w:rsidR="004C0A0F" w:rsidRPr="00F36F48" w:rsidRDefault="004C0A0F" w:rsidP="004C0A0F">
      <w:pPr>
        <w:pStyle w:val="Casehead1"/>
        <w:jc w:val="center"/>
        <w:rPr>
          <w:shd w:val="clear" w:color="auto" w:fill="FFFFFF"/>
          <w:lang w:val="en-GB"/>
        </w:rPr>
      </w:pPr>
      <w:r w:rsidRPr="00F36F48">
        <w:rPr>
          <w:lang w:val="en-GB" w:eastAsia="en-IN"/>
        </w:rPr>
        <w:t>Exhibit 4: MAHA RESEARCH LABS</w:t>
      </w:r>
      <w:r w:rsidRPr="00F36F48">
        <w:rPr>
          <w:shd w:val="clear" w:color="auto" w:fill="FFFFFF"/>
          <w:lang w:val="en-GB"/>
        </w:rPr>
        <w:t xml:space="preserve">’S customer caTEGORIZATION </w:t>
      </w:r>
    </w:p>
    <w:p w:rsidR="004C0A0F" w:rsidRPr="00F36F48" w:rsidRDefault="004C0A0F" w:rsidP="004C0A0F">
      <w:pPr>
        <w:pStyle w:val="BodyTextMain"/>
        <w:rPr>
          <w:lang w:eastAsia="en-IN"/>
        </w:rPr>
      </w:pPr>
    </w:p>
    <w:tbl>
      <w:tblPr>
        <w:tblW w:w="9264" w:type="dxa"/>
        <w:jc w:val="center"/>
        <w:tblInd w:w="372" w:type="dxa"/>
        <w:tblCellMar>
          <w:left w:w="0" w:type="dxa"/>
          <w:right w:w="0" w:type="dxa"/>
        </w:tblCellMar>
        <w:tblLook w:val="04A0" w:firstRow="1" w:lastRow="0" w:firstColumn="1" w:lastColumn="0" w:noHBand="0" w:noVBand="1"/>
      </w:tblPr>
      <w:tblGrid>
        <w:gridCol w:w="2520"/>
        <w:gridCol w:w="2094"/>
        <w:gridCol w:w="2402"/>
        <w:gridCol w:w="2248"/>
      </w:tblGrid>
      <w:tr w:rsidR="004C0A0F" w:rsidRPr="00F36F48" w:rsidTr="008D7851">
        <w:trPr>
          <w:trHeight w:val="29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C0A0F" w:rsidRPr="00F36F48" w:rsidRDefault="004C0A0F" w:rsidP="008D7851">
            <w:pPr>
              <w:jc w:val="center"/>
              <w:rPr>
                <w:rFonts w:ascii="Arial" w:hAnsi="Arial" w:cs="Arial"/>
                <w:b/>
                <w:bCs/>
                <w:lang w:val="en-GB"/>
              </w:rPr>
            </w:pPr>
            <w:r w:rsidRPr="00F36F48">
              <w:rPr>
                <w:rFonts w:ascii="Arial" w:hAnsi="Arial" w:cs="Arial"/>
                <w:b/>
                <w:bCs/>
                <w:lang w:val="en-GB"/>
              </w:rPr>
              <w:t>Category of Physicians</w:t>
            </w:r>
          </w:p>
        </w:tc>
        <w:tc>
          <w:tcPr>
            <w:tcW w:w="209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C0A0F" w:rsidRPr="00F36F48" w:rsidRDefault="004C0A0F" w:rsidP="008D7851">
            <w:pPr>
              <w:jc w:val="center"/>
              <w:rPr>
                <w:rFonts w:ascii="Arial" w:hAnsi="Arial" w:cs="Arial"/>
                <w:b/>
                <w:bCs/>
                <w:lang w:val="en-GB"/>
              </w:rPr>
            </w:pPr>
            <w:r w:rsidRPr="00F36F48">
              <w:rPr>
                <w:rFonts w:ascii="Arial" w:hAnsi="Arial" w:cs="Arial"/>
                <w:b/>
                <w:bCs/>
                <w:lang w:val="en-GB"/>
              </w:rPr>
              <w:t>Planned Frequency</w:t>
            </w:r>
          </w:p>
        </w:tc>
        <w:tc>
          <w:tcPr>
            <w:tcW w:w="2402" w:type="dxa"/>
            <w:tcBorders>
              <w:top w:val="single" w:sz="4" w:space="0" w:color="auto"/>
              <w:left w:val="nil"/>
              <w:bottom w:val="single" w:sz="4" w:space="0" w:color="auto"/>
              <w:right w:val="single" w:sz="4" w:space="0" w:color="auto"/>
            </w:tcBorders>
            <w:vAlign w:val="bottom"/>
          </w:tcPr>
          <w:p w:rsidR="004C0A0F" w:rsidRPr="00F36F48" w:rsidRDefault="004C0A0F" w:rsidP="008D7851">
            <w:pPr>
              <w:jc w:val="center"/>
              <w:rPr>
                <w:rFonts w:ascii="Arial" w:hAnsi="Arial" w:cs="Arial"/>
                <w:b/>
                <w:bCs/>
                <w:lang w:val="en-GB"/>
              </w:rPr>
            </w:pPr>
            <w:r w:rsidRPr="00F36F48">
              <w:rPr>
                <w:rFonts w:ascii="Arial" w:hAnsi="Arial" w:cs="Arial"/>
                <w:b/>
                <w:bCs/>
                <w:lang w:val="en-GB"/>
              </w:rPr>
              <w:t>Number of Physicians</w:t>
            </w:r>
          </w:p>
        </w:tc>
        <w:tc>
          <w:tcPr>
            <w:tcW w:w="224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C0A0F" w:rsidRPr="00F36F48" w:rsidRDefault="004C0A0F" w:rsidP="008D7851">
            <w:pPr>
              <w:jc w:val="center"/>
              <w:rPr>
                <w:rFonts w:ascii="Arial" w:hAnsi="Arial" w:cs="Arial"/>
                <w:b/>
                <w:bCs/>
                <w:lang w:val="en-GB"/>
              </w:rPr>
            </w:pPr>
            <w:r w:rsidRPr="00F36F48">
              <w:rPr>
                <w:rFonts w:ascii="Arial" w:hAnsi="Arial" w:cs="Arial"/>
                <w:b/>
                <w:bCs/>
                <w:lang w:val="en-GB"/>
              </w:rPr>
              <w:t>Business per Month</w:t>
            </w:r>
          </w:p>
        </w:tc>
      </w:tr>
      <w:tr w:rsidR="004C0A0F" w:rsidRPr="00F36F48" w:rsidTr="008D7851">
        <w:trPr>
          <w:trHeight w:val="20"/>
          <w:jc w:val="center"/>
        </w:trPr>
        <w:tc>
          <w:tcPr>
            <w:tcW w:w="252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F36F48" w:rsidRDefault="004C0A0F" w:rsidP="008D7851">
            <w:pPr>
              <w:jc w:val="center"/>
              <w:rPr>
                <w:rFonts w:ascii="Arial" w:hAnsi="Arial" w:cs="Arial"/>
                <w:b/>
                <w:bCs/>
                <w:lang w:val="en-GB"/>
              </w:rPr>
            </w:pPr>
            <w:r w:rsidRPr="00F36F48">
              <w:rPr>
                <w:rFonts w:ascii="Arial" w:hAnsi="Arial" w:cs="Arial"/>
                <w:b/>
                <w:bCs/>
                <w:lang w:val="en-GB"/>
              </w:rPr>
              <w:t>A</w:t>
            </w:r>
          </w:p>
        </w:tc>
        <w:tc>
          <w:tcPr>
            <w:tcW w:w="20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F36F48" w:rsidRDefault="004C0A0F" w:rsidP="008D7851">
            <w:pPr>
              <w:jc w:val="center"/>
              <w:rPr>
                <w:rFonts w:ascii="Arial" w:hAnsi="Arial" w:cs="Arial"/>
                <w:lang w:val="en-GB"/>
              </w:rPr>
            </w:pPr>
            <w:r w:rsidRPr="00F36F48">
              <w:rPr>
                <w:rFonts w:ascii="Arial" w:hAnsi="Arial" w:cs="Arial"/>
                <w:lang w:val="en-GB"/>
              </w:rPr>
              <w:t>Once in 15 days</w:t>
            </w:r>
          </w:p>
        </w:tc>
        <w:tc>
          <w:tcPr>
            <w:tcW w:w="2402" w:type="dxa"/>
            <w:tcBorders>
              <w:top w:val="single" w:sz="4" w:space="0" w:color="auto"/>
              <w:left w:val="nil"/>
              <w:bottom w:val="single" w:sz="4" w:space="0" w:color="auto"/>
              <w:right w:val="single" w:sz="4" w:space="0" w:color="auto"/>
            </w:tcBorders>
            <w:vAlign w:val="center"/>
          </w:tcPr>
          <w:p w:rsidR="004C0A0F" w:rsidRPr="00F36F48" w:rsidRDefault="004C0A0F" w:rsidP="008D7851">
            <w:pPr>
              <w:tabs>
                <w:tab w:val="decimal" w:pos="1292"/>
              </w:tabs>
              <w:rPr>
                <w:rFonts w:ascii="Arial" w:hAnsi="Arial" w:cs="Arial"/>
                <w:lang w:val="en-GB"/>
              </w:rPr>
            </w:pPr>
            <w:r w:rsidRPr="00F36F48">
              <w:rPr>
                <w:rFonts w:ascii="Arial" w:hAnsi="Arial" w:cs="Arial"/>
                <w:lang w:val="en-GB"/>
              </w:rPr>
              <w:t>50</w:t>
            </w:r>
          </w:p>
        </w:tc>
        <w:tc>
          <w:tcPr>
            <w:tcW w:w="224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6407A1" w:rsidRDefault="006407A1" w:rsidP="008D7851">
            <w:pPr>
              <w:jc w:val="center"/>
              <w:rPr>
                <w:rFonts w:ascii="Arial" w:hAnsi="Arial" w:cs="Arial"/>
                <w:lang w:val="en-GB"/>
              </w:rPr>
            </w:pPr>
            <w:r w:rsidRPr="006407A1">
              <w:rPr>
                <w:rFonts w:ascii="Arial" w:hAnsi="Arial" w:cs="Arial"/>
              </w:rPr>
              <w:t xml:space="preserve">&gt; </w:t>
            </w:r>
            <w:r w:rsidRPr="006407A1">
              <w:rPr>
                <w:rFonts w:ascii="Arial" w:hAnsi="Arial" w:cs="Arial"/>
                <w:bCs/>
              </w:rPr>
              <w:t>₹</w:t>
            </w:r>
            <w:r w:rsidRPr="006407A1">
              <w:rPr>
                <w:rFonts w:ascii="Arial" w:hAnsi="Arial" w:cs="Arial"/>
              </w:rPr>
              <w:t>15</w:t>
            </w:r>
            <w:r>
              <w:rPr>
                <w:rFonts w:ascii="Arial" w:hAnsi="Arial" w:cs="Arial"/>
              </w:rPr>
              <w:t>,</w:t>
            </w:r>
            <w:r w:rsidRPr="006407A1">
              <w:rPr>
                <w:rFonts w:ascii="Arial" w:hAnsi="Arial" w:cs="Arial"/>
              </w:rPr>
              <w:t>000</w:t>
            </w:r>
          </w:p>
        </w:tc>
      </w:tr>
      <w:tr w:rsidR="004C0A0F" w:rsidRPr="00F36F48" w:rsidTr="008D7851">
        <w:trPr>
          <w:trHeight w:val="20"/>
          <w:jc w:val="center"/>
        </w:trPr>
        <w:tc>
          <w:tcPr>
            <w:tcW w:w="252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F36F48" w:rsidRDefault="004C0A0F" w:rsidP="008D7851">
            <w:pPr>
              <w:jc w:val="center"/>
              <w:rPr>
                <w:rFonts w:ascii="Arial" w:hAnsi="Arial" w:cs="Arial"/>
                <w:b/>
                <w:bCs/>
                <w:lang w:val="en-GB"/>
              </w:rPr>
            </w:pPr>
            <w:r w:rsidRPr="00F36F48">
              <w:rPr>
                <w:rFonts w:ascii="Arial" w:hAnsi="Arial" w:cs="Arial"/>
                <w:b/>
                <w:bCs/>
                <w:lang w:val="en-GB"/>
              </w:rPr>
              <w:t>B</w:t>
            </w:r>
          </w:p>
        </w:tc>
        <w:tc>
          <w:tcPr>
            <w:tcW w:w="20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F36F48" w:rsidRDefault="004C0A0F" w:rsidP="008D7851">
            <w:pPr>
              <w:jc w:val="center"/>
              <w:rPr>
                <w:rFonts w:ascii="Arial" w:hAnsi="Arial" w:cs="Arial"/>
                <w:lang w:val="en-GB"/>
              </w:rPr>
            </w:pPr>
            <w:r w:rsidRPr="00F36F48">
              <w:rPr>
                <w:rFonts w:ascii="Arial" w:hAnsi="Arial" w:cs="Arial"/>
                <w:lang w:val="en-GB"/>
              </w:rPr>
              <w:t>Once in 30 days</w:t>
            </w:r>
          </w:p>
        </w:tc>
        <w:tc>
          <w:tcPr>
            <w:tcW w:w="2402" w:type="dxa"/>
            <w:tcBorders>
              <w:top w:val="single" w:sz="4" w:space="0" w:color="auto"/>
              <w:left w:val="nil"/>
              <w:bottom w:val="single" w:sz="4" w:space="0" w:color="auto"/>
              <w:right w:val="single" w:sz="4" w:space="0" w:color="auto"/>
            </w:tcBorders>
            <w:vAlign w:val="center"/>
          </w:tcPr>
          <w:p w:rsidR="004C0A0F" w:rsidRPr="00F36F48" w:rsidRDefault="004C0A0F" w:rsidP="008D7851">
            <w:pPr>
              <w:tabs>
                <w:tab w:val="decimal" w:pos="1292"/>
              </w:tabs>
              <w:rPr>
                <w:rFonts w:ascii="Arial" w:hAnsi="Arial" w:cs="Arial"/>
                <w:lang w:val="en-GB"/>
              </w:rPr>
            </w:pPr>
            <w:r w:rsidRPr="00F36F48">
              <w:rPr>
                <w:rFonts w:ascii="Arial" w:hAnsi="Arial" w:cs="Arial"/>
                <w:lang w:val="en-GB"/>
              </w:rPr>
              <w:t>100</w:t>
            </w:r>
          </w:p>
        </w:tc>
        <w:tc>
          <w:tcPr>
            <w:tcW w:w="224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6407A1" w:rsidRDefault="006407A1" w:rsidP="008D7851">
            <w:pPr>
              <w:jc w:val="center"/>
              <w:rPr>
                <w:rFonts w:ascii="Arial" w:hAnsi="Arial" w:cs="Arial"/>
                <w:lang w:val="en-GB"/>
              </w:rPr>
            </w:pPr>
            <w:r w:rsidRPr="006407A1">
              <w:rPr>
                <w:rFonts w:ascii="Arial" w:hAnsi="Arial" w:cs="Arial"/>
              </w:rPr>
              <w:t>₹8,000–₹14,999</w:t>
            </w:r>
          </w:p>
        </w:tc>
      </w:tr>
      <w:tr w:rsidR="004C0A0F" w:rsidRPr="00F36F48" w:rsidTr="008D7851">
        <w:trPr>
          <w:trHeight w:val="20"/>
          <w:jc w:val="center"/>
        </w:trPr>
        <w:tc>
          <w:tcPr>
            <w:tcW w:w="252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F36F48" w:rsidRDefault="004C0A0F" w:rsidP="008D7851">
            <w:pPr>
              <w:jc w:val="center"/>
              <w:rPr>
                <w:rFonts w:ascii="Arial" w:hAnsi="Arial" w:cs="Arial"/>
                <w:b/>
                <w:bCs/>
                <w:lang w:val="en-GB"/>
              </w:rPr>
            </w:pPr>
            <w:r w:rsidRPr="00F36F48">
              <w:rPr>
                <w:rFonts w:ascii="Arial" w:hAnsi="Arial" w:cs="Arial"/>
                <w:b/>
                <w:bCs/>
                <w:lang w:val="en-GB"/>
              </w:rPr>
              <w:t>C</w:t>
            </w:r>
          </w:p>
        </w:tc>
        <w:tc>
          <w:tcPr>
            <w:tcW w:w="20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F36F48" w:rsidRDefault="004C0A0F" w:rsidP="008D7851">
            <w:pPr>
              <w:jc w:val="center"/>
              <w:rPr>
                <w:rFonts w:ascii="Arial" w:hAnsi="Arial" w:cs="Arial"/>
                <w:lang w:val="en-GB"/>
              </w:rPr>
            </w:pPr>
            <w:r w:rsidRPr="00F36F48">
              <w:rPr>
                <w:rFonts w:ascii="Arial" w:hAnsi="Arial" w:cs="Arial"/>
                <w:lang w:val="en-GB"/>
              </w:rPr>
              <w:t>Once in 45 days</w:t>
            </w:r>
          </w:p>
        </w:tc>
        <w:tc>
          <w:tcPr>
            <w:tcW w:w="2402" w:type="dxa"/>
            <w:tcBorders>
              <w:top w:val="single" w:sz="4" w:space="0" w:color="auto"/>
              <w:left w:val="nil"/>
              <w:bottom w:val="single" w:sz="4" w:space="0" w:color="auto"/>
              <w:right w:val="single" w:sz="4" w:space="0" w:color="auto"/>
            </w:tcBorders>
            <w:vAlign w:val="center"/>
          </w:tcPr>
          <w:p w:rsidR="004C0A0F" w:rsidRPr="00F36F48" w:rsidRDefault="004C0A0F" w:rsidP="008D7851">
            <w:pPr>
              <w:tabs>
                <w:tab w:val="decimal" w:pos="1292"/>
              </w:tabs>
              <w:rPr>
                <w:rFonts w:ascii="Arial" w:hAnsi="Arial" w:cs="Arial"/>
                <w:lang w:val="en-GB"/>
              </w:rPr>
            </w:pPr>
            <w:r w:rsidRPr="00F36F48">
              <w:rPr>
                <w:rFonts w:ascii="Arial" w:hAnsi="Arial" w:cs="Arial"/>
                <w:lang w:val="en-GB"/>
              </w:rPr>
              <w:t>30</w:t>
            </w:r>
          </w:p>
        </w:tc>
        <w:tc>
          <w:tcPr>
            <w:tcW w:w="224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C0A0F" w:rsidRPr="006407A1" w:rsidRDefault="006407A1" w:rsidP="008D7851">
            <w:pPr>
              <w:jc w:val="center"/>
              <w:rPr>
                <w:rFonts w:ascii="Arial" w:hAnsi="Arial" w:cs="Arial"/>
                <w:lang w:val="en-GB"/>
              </w:rPr>
            </w:pPr>
            <w:r w:rsidRPr="006407A1">
              <w:rPr>
                <w:rFonts w:ascii="Arial" w:hAnsi="Arial" w:cs="Arial"/>
              </w:rPr>
              <w:t>&lt; ₹8,000</w:t>
            </w:r>
          </w:p>
        </w:tc>
      </w:tr>
    </w:tbl>
    <w:p w:rsidR="004C0A0F" w:rsidRPr="00F36F48" w:rsidRDefault="004C0A0F" w:rsidP="004C0A0F">
      <w:pPr>
        <w:pStyle w:val="Footnote"/>
        <w:rPr>
          <w:lang w:val="en-GB"/>
        </w:rPr>
      </w:pPr>
    </w:p>
    <w:p w:rsidR="004C0A0F" w:rsidRPr="00F36F48" w:rsidRDefault="004C0A0F" w:rsidP="004C0A0F">
      <w:pPr>
        <w:pStyle w:val="Footnote"/>
        <w:rPr>
          <w:lang w:val="en-GB"/>
        </w:rPr>
      </w:pPr>
      <w:r w:rsidRPr="00F36F48">
        <w:rPr>
          <w:lang w:val="en-GB"/>
        </w:rPr>
        <w:t>Source:</w:t>
      </w:r>
      <w:r w:rsidRPr="00450D85">
        <w:rPr>
          <w:lang w:val="en-GB"/>
        </w:rPr>
        <w:t xml:space="preserve"> </w:t>
      </w:r>
      <w:r w:rsidRPr="00F36F48">
        <w:rPr>
          <w:lang w:val="en-GB"/>
        </w:rPr>
        <w:t>Company documents</w:t>
      </w:r>
    </w:p>
    <w:p w:rsidR="004C0A0F" w:rsidRDefault="004C0A0F" w:rsidP="004C0A0F">
      <w:pPr>
        <w:pStyle w:val="BodyTextMain"/>
      </w:pPr>
    </w:p>
    <w:sectPr w:rsidR="004C0A0F"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4C0A0F" w:rsidRPr="009563A4" w:rsidRDefault="004C0A0F" w:rsidP="004C0A0F">
      <w:pPr>
        <w:pStyle w:val="Footnote"/>
      </w:pPr>
      <w:r>
        <w:rPr>
          <w:rStyle w:val="FootnoteReference"/>
        </w:rPr>
        <w:footnoteRef/>
      </w:r>
      <w:r>
        <w:t xml:space="preserve"> </w:t>
      </w:r>
      <w:r w:rsidRPr="00CF46BC">
        <w:t>₹</w:t>
      </w:r>
      <w:r>
        <w:t xml:space="preserve"> = INR = Indian rupee; </w:t>
      </w:r>
      <w:r w:rsidRPr="00834E1B">
        <w:t>₹</w:t>
      </w:r>
      <w:r w:rsidRPr="00901ED4">
        <w:t>6</w:t>
      </w:r>
      <w:r>
        <w:t>5</w:t>
      </w:r>
      <w:r w:rsidRPr="00901ED4">
        <w:t>.</w:t>
      </w:r>
      <w:r>
        <w:t>03</w:t>
      </w:r>
      <w:r w:rsidRPr="00901ED4">
        <w:t xml:space="preserve"> </w:t>
      </w:r>
      <w:r w:rsidR="00191911">
        <w:t xml:space="preserve">= US$1 </w:t>
      </w:r>
      <w:r w:rsidRPr="00901ED4">
        <w:t xml:space="preserve">on </w:t>
      </w:r>
      <w:r>
        <w:t xml:space="preserve">March 25, 2018; all currency amounts are in </w:t>
      </w:r>
      <w:r w:rsidRPr="00CF46BC">
        <w:t>₹</w:t>
      </w:r>
      <w:r>
        <w:t xml:space="preserve"> unless otherwise specified.</w:t>
      </w:r>
    </w:p>
  </w:footnote>
  <w:footnote w:id="2">
    <w:p w:rsidR="004C0A0F" w:rsidRPr="008D7851" w:rsidRDefault="004C0A0F" w:rsidP="00E067CB">
      <w:pPr>
        <w:pStyle w:val="FootnoteText1"/>
        <w:rPr>
          <w:b/>
        </w:rPr>
      </w:pPr>
      <w:r w:rsidRPr="00C70E62">
        <w:rPr>
          <w:rStyle w:val="FootnoteReference"/>
        </w:rPr>
        <w:footnoteRef/>
      </w:r>
      <w:r w:rsidRPr="00C70E62">
        <w:t xml:space="preserve"> Physicians were categorized on the basis of </w:t>
      </w:r>
      <w:r>
        <w:t xml:space="preserve">the amount of </w:t>
      </w:r>
      <w:r w:rsidRPr="00E067CB">
        <w:t>annual</w:t>
      </w:r>
      <w:r>
        <w:t xml:space="preserve"> </w:t>
      </w:r>
      <w:r w:rsidRPr="00C70E62">
        <w:t xml:space="preserve">business </w:t>
      </w:r>
      <w:r>
        <w:t>they generated for</w:t>
      </w:r>
      <w:r w:rsidRPr="00C70E62">
        <w:t xml:space="preserve"> the company</w:t>
      </w:r>
      <w:r>
        <w:t>.</w:t>
      </w:r>
      <w:r w:rsidRPr="00C70E62">
        <w:t xml:space="preserve"> A-</w:t>
      </w:r>
      <w:r>
        <w:t>c</w:t>
      </w:r>
      <w:r w:rsidRPr="00C70E62">
        <w:t xml:space="preserve">lass </w:t>
      </w:r>
      <w:proofErr w:type="gramStart"/>
      <w:r>
        <w:t>p</w:t>
      </w:r>
      <w:r w:rsidRPr="00C70E62">
        <w:t>hysicians</w:t>
      </w:r>
      <w:proofErr w:type="gramEnd"/>
      <w:r w:rsidRPr="00C70E62">
        <w:t xml:space="preserve"> </w:t>
      </w:r>
      <w:r>
        <w:t>generated</w:t>
      </w:r>
      <w:r w:rsidRPr="00C70E62">
        <w:t xml:space="preserve"> business </w:t>
      </w:r>
      <w:r>
        <w:t>valued at</w:t>
      </w:r>
      <w:r w:rsidRPr="00C70E62">
        <w:t xml:space="preserve"> </w:t>
      </w:r>
      <w:r w:rsidRPr="00C70E62">
        <w:rPr>
          <w:bCs/>
        </w:rPr>
        <w:t>₹15,000 and above, B-</w:t>
      </w:r>
      <w:r>
        <w:rPr>
          <w:bCs/>
        </w:rPr>
        <w:t>c</w:t>
      </w:r>
      <w:r w:rsidRPr="00C70E62">
        <w:rPr>
          <w:bCs/>
        </w:rPr>
        <w:t xml:space="preserve">lass </w:t>
      </w:r>
      <w:r>
        <w:t>p</w:t>
      </w:r>
      <w:r w:rsidRPr="00C70E62">
        <w:t xml:space="preserve">hysicians </w:t>
      </w:r>
      <w:r>
        <w:t>generated</w:t>
      </w:r>
      <w:r w:rsidRPr="00C70E62">
        <w:t xml:space="preserve"> business </w:t>
      </w:r>
      <w:r>
        <w:t>valued at</w:t>
      </w:r>
      <w:r w:rsidRPr="00C70E62">
        <w:t xml:space="preserve"> </w:t>
      </w:r>
      <w:r w:rsidRPr="00C70E62">
        <w:rPr>
          <w:bCs/>
        </w:rPr>
        <w:t>₹8,000</w:t>
      </w:r>
      <w:r>
        <w:rPr>
          <w:bCs/>
        </w:rPr>
        <w:t>–</w:t>
      </w:r>
      <w:r w:rsidRPr="00C70E62">
        <w:rPr>
          <w:bCs/>
        </w:rPr>
        <w:t>₹15,000</w:t>
      </w:r>
      <w:r>
        <w:rPr>
          <w:bCs/>
        </w:rPr>
        <w:t>,</w:t>
      </w:r>
      <w:r w:rsidRPr="00C70E62">
        <w:rPr>
          <w:bCs/>
        </w:rPr>
        <w:t xml:space="preserve"> and C</w:t>
      </w:r>
      <w:r>
        <w:rPr>
          <w:bCs/>
        </w:rPr>
        <w:t>-c</w:t>
      </w:r>
      <w:r w:rsidRPr="00C70E62">
        <w:t xml:space="preserve">lass </w:t>
      </w:r>
      <w:r>
        <w:t>p</w:t>
      </w:r>
      <w:r w:rsidRPr="00C70E62">
        <w:t xml:space="preserve">hysicians </w:t>
      </w:r>
      <w:r>
        <w:t>generated</w:t>
      </w:r>
      <w:r w:rsidRPr="00C70E62">
        <w:t xml:space="preserve"> business </w:t>
      </w:r>
      <w:r>
        <w:t>valued at</w:t>
      </w:r>
      <w:r w:rsidRPr="00C70E62">
        <w:t xml:space="preserve"> less than </w:t>
      </w:r>
      <w:r w:rsidRPr="00C70E62">
        <w:rPr>
          <w:bCs/>
        </w:rPr>
        <w:t>₹8,000</w:t>
      </w:r>
      <w:r>
        <w:rPr>
          <w:bCs/>
        </w:rPr>
        <w:t>.</w:t>
      </w:r>
    </w:p>
  </w:footnote>
  <w:footnote w:id="3">
    <w:p w:rsidR="004C0A0F" w:rsidRPr="00A30C14" w:rsidRDefault="004C0A0F" w:rsidP="00E067CB">
      <w:pPr>
        <w:pStyle w:val="FootnoteText1"/>
      </w:pPr>
      <w:r w:rsidRPr="00C70E62">
        <w:rPr>
          <w:rStyle w:val="FootnoteReference"/>
        </w:rPr>
        <w:footnoteRef/>
      </w:r>
      <w:r w:rsidRPr="00C70E62">
        <w:t xml:space="preserve"> </w:t>
      </w:r>
      <w:r w:rsidRPr="00A30C14">
        <w:t xml:space="preserve">Indian Brand Equity Foundation, </w:t>
      </w:r>
      <w:r w:rsidRPr="008D7851">
        <w:rPr>
          <w:i/>
        </w:rPr>
        <w:t>Pharmaceuticals</w:t>
      </w:r>
      <w:r w:rsidRPr="00A30C14">
        <w:t>, January 2017, accessed September 8, 2017, www.ibef.org/download/Pharmaceutical-January-2017-D.PDF.</w:t>
      </w:r>
    </w:p>
  </w:footnote>
  <w:footnote w:id="4">
    <w:p w:rsidR="004C0A0F" w:rsidRPr="00C70E62" w:rsidRDefault="004C0A0F" w:rsidP="00E067CB">
      <w:pPr>
        <w:pStyle w:val="FootnoteText1"/>
      </w:pPr>
      <w:r w:rsidRPr="00C70E62">
        <w:rPr>
          <w:rStyle w:val="FootnoteReference"/>
        </w:rPr>
        <w:footnoteRef/>
      </w:r>
      <w:r w:rsidRPr="00C70E62">
        <w:t xml:space="preserve"> Ibid</w:t>
      </w:r>
      <w:r>
        <w:t>.</w:t>
      </w:r>
    </w:p>
  </w:footnote>
  <w:footnote w:id="5">
    <w:p w:rsidR="004C0A0F" w:rsidRPr="00C70E62" w:rsidRDefault="004C0A0F" w:rsidP="00E067CB">
      <w:pPr>
        <w:pStyle w:val="FootnoteText1"/>
      </w:pPr>
      <w:r w:rsidRPr="00C70E62">
        <w:rPr>
          <w:rStyle w:val="FootnoteReference"/>
        </w:rPr>
        <w:footnoteRef/>
      </w:r>
      <w:r w:rsidRPr="00C70E62">
        <w:t xml:space="preserve"> Ibid</w:t>
      </w:r>
      <w:r>
        <w:t>.</w:t>
      </w:r>
    </w:p>
  </w:footnote>
  <w:footnote w:id="6">
    <w:p w:rsidR="004C0A0F" w:rsidRPr="00834E1B" w:rsidRDefault="004C0A0F" w:rsidP="00E067CB">
      <w:pPr>
        <w:pStyle w:val="FootnoteText1"/>
      </w:pPr>
      <w:r w:rsidRPr="00834E1B">
        <w:rPr>
          <w:rStyle w:val="FootnoteReference"/>
        </w:rPr>
        <w:footnoteRef/>
      </w:r>
      <w:r w:rsidRPr="00834E1B">
        <w:t xml:space="preserve"> Ibid</w:t>
      </w:r>
      <w:r>
        <w:t>.</w:t>
      </w:r>
    </w:p>
  </w:footnote>
  <w:footnote w:id="7">
    <w:p w:rsidR="004C0A0F" w:rsidRPr="00E00859" w:rsidRDefault="004C0A0F" w:rsidP="00E067CB">
      <w:pPr>
        <w:pStyle w:val="FootnoteText1"/>
      </w:pPr>
      <w:r w:rsidRPr="00E00859">
        <w:rPr>
          <w:rStyle w:val="FootnoteReference"/>
        </w:rPr>
        <w:footnoteRef/>
      </w:r>
      <w:r w:rsidRPr="00E00859">
        <w:t xml:space="preserve"> </w:t>
      </w:r>
      <w:r>
        <w:t>Press Trust of India, “</w:t>
      </w:r>
      <w:r w:rsidRPr="00E00859">
        <w:rPr>
          <w:lang w:val="en-IN" w:eastAsia="en-IN"/>
        </w:rPr>
        <w:t>Implementation of New Drug Pricing Policy to Impact Profits: Wyeth,</w:t>
      </w:r>
      <w:r>
        <w:rPr>
          <w:lang w:val="en-IN" w:eastAsia="en-IN"/>
        </w:rPr>
        <w:t xml:space="preserve">” </w:t>
      </w:r>
      <w:r w:rsidRPr="00BF3C7C">
        <w:rPr>
          <w:i/>
          <w:lang w:val="en-IN" w:eastAsia="en-IN"/>
        </w:rPr>
        <w:t xml:space="preserve">Hindu </w:t>
      </w:r>
      <w:r w:rsidRPr="000537FF">
        <w:rPr>
          <w:i/>
          <w:lang w:val="en-IN" w:eastAsia="en-IN"/>
        </w:rPr>
        <w:t>Business Line</w:t>
      </w:r>
      <w:r w:rsidRPr="00E00859">
        <w:rPr>
          <w:lang w:val="en-IN" w:eastAsia="en-IN"/>
        </w:rPr>
        <w:t>, August 5, 2013</w:t>
      </w:r>
      <w:r w:rsidRPr="00E067CB">
        <w:t xml:space="preserve">, </w:t>
      </w:r>
      <w:r w:rsidRPr="00E00859">
        <w:rPr>
          <w:lang w:val="en-IN" w:eastAsia="en-IN"/>
        </w:rPr>
        <w:t>accessed April 11, 2017,</w:t>
      </w:r>
      <w:r w:rsidRPr="00C06D2E">
        <w:rPr>
          <w:lang w:val="en-IN" w:eastAsia="en-IN"/>
        </w:rPr>
        <w:t xml:space="preserve"> </w:t>
      </w:r>
      <w:r w:rsidRPr="00E00859">
        <w:t>www.thehindubusinessline.com/companies/implementation-of-new-drug-pricing-policy-to-impact-profits-wyeth/article4991779.ece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91911">
      <w:rPr>
        <w:rFonts w:ascii="Arial" w:hAnsi="Arial"/>
        <w:b/>
        <w:noProof/>
      </w:rPr>
      <w:t>6</w:t>
    </w:r>
    <w:r>
      <w:rPr>
        <w:rFonts w:ascii="Arial" w:hAnsi="Arial"/>
        <w:b/>
      </w:rPr>
      <w:fldChar w:fldCharType="end"/>
    </w:r>
    <w:r>
      <w:rPr>
        <w:rFonts w:ascii="Arial" w:hAnsi="Arial"/>
        <w:b/>
      </w:rPr>
      <w:tab/>
    </w:r>
    <w:r w:rsidR="00DA2750">
      <w:rPr>
        <w:rFonts w:ascii="Arial" w:hAnsi="Arial"/>
        <w:b/>
      </w:rPr>
      <w:t>9B18A070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A28E90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D994B348"/>
    <w:lvl w:ilvl="0">
      <w:start w:val="1"/>
      <w:numFmt w:val="bullet"/>
      <w:lvlText w:val=""/>
      <w:lvlJc w:val="left"/>
      <w:pPr>
        <w:tabs>
          <w:tab w:val="num" w:pos="360"/>
        </w:tabs>
        <w:ind w:left="360" w:hanging="360"/>
      </w:pPr>
      <w:rPr>
        <w:rFonts w:ascii="Symbol" w:hAnsi="Symbol" w:hint="default"/>
      </w:rPr>
    </w:lvl>
  </w:abstractNum>
  <w:abstractNum w:abstractNumId="2">
    <w:nsid w:val="24533098"/>
    <w:multiLevelType w:val="hybridMultilevel"/>
    <w:tmpl w:val="F1B6725E"/>
    <w:lvl w:ilvl="0" w:tplc="E57A3604">
      <w:start w:val="1"/>
      <w:numFmt w:val="bullet"/>
      <w:lvlText w:val="•"/>
      <w:lvlJc w:val="left"/>
      <w:pPr>
        <w:tabs>
          <w:tab w:val="num" w:pos="720"/>
        </w:tabs>
        <w:ind w:left="720" w:hanging="360"/>
      </w:pPr>
      <w:rPr>
        <w:rFonts w:ascii="Arial" w:hAnsi="Arial" w:hint="default"/>
      </w:rPr>
    </w:lvl>
    <w:lvl w:ilvl="1" w:tplc="8F90327C" w:tentative="1">
      <w:start w:val="1"/>
      <w:numFmt w:val="bullet"/>
      <w:lvlText w:val="•"/>
      <w:lvlJc w:val="left"/>
      <w:pPr>
        <w:tabs>
          <w:tab w:val="num" w:pos="1440"/>
        </w:tabs>
        <w:ind w:left="1440" w:hanging="360"/>
      </w:pPr>
      <w:rPr>
        <w:rFonts w:ascii="Arial" w:hAnsi="Arial" w:hint="default"/>
      </w:rPr>
    </w:lvl>
    <w:lvl w:ilvl="2" w:tplc="2C82F668" w:tentative="1">
      <w:start w:val="1"/>
      <w:numFmt w:val="bullet"/>
      <w:lvlText w:val="•"/>
      <w:lvlJc w:val="left"/>
      <w:pPr>
        <w:tabs>
          <w:tab w:val="num" w:pos="2160"/>
        </w:tabs>
        <w:ind w:left="2160" w:hanging="360"/>
      </w:pPr>
      <w:rPr>
        <w:rFonts w:ascii="Arial" w:hAnsi="Arial" w:hint="default"/>
      </w:rPr>
    </w:lvl>
    <w:lvl w:ilvl="3" w:tplc="8ED8649A" w:tentative="1">
      <w:start w:val="1"/>
      <w:numFmt w:val="bullet"/>
      <w:lvlText w:val="•"/>
      <w:lvlJc w:val="left"/>
      <w:pPr>
        <w:tabs>
          <w:tab w:val="num" w:pos="2880"/>
        </w:tabs>
        <w:ind w:left="2880" w:hanging="360"/>
      </w:pPr>
      <w:rPr>
        <w:rFonts w:ascii="Arial" w:hAnsi="Arial" w:hint="default"/>
      </w:rPr>
    </w:lvl>
    <w:lvl w:ilvl="4" w:tplc="D92050C0" w:tentative="1">
      <w:start w:val="1"/>
      <w:numFmt w:val="bullet"/>
      <w:lvlText w:val="•"/>
      <w:lvlJc w:val="left"/>
      <w:pPr>
        <w:tabs>
          <w:tab w:val="num" w:pos="3600"/>
        </w:tabs>
        <w:ind w:left="3600" w:hanging="360"/>
      </w:pPr>
      <w:rPr>
        <w:rFonts w:ascii="Arial" w:hAnsi="Arial" w:hint="default"/>
      </w:rPr>
    </w:lvl>
    <w:lvl w:ilvl="5" w:tplc="33747792" w:tentative="1">
      <w:start w:val="1"/>
      <w:numFmt w:val="bullet"/>
      <w:lvlText w:val="•"/>
      <w:lvlJc w:val="left"/>
      <w:pPr>
        <w:tabs>
          <w:tab w:val="num" w:pos="4320"/>
        </w:tabs>
        <w:ind w:left="4320" w:hanging="360"/>
      </w:pPr>
      <w:rPr>
        <w:rFonts w:ascii="Arial" w:hAnsi="Arial" w:hint="default"/>
      </w:rPr>
    </w:lvl>
    <w:lvl w:ilvl="6" w:tplc="8FF06C96" w:tentative="1">
      <w:start w:val="1"/>
      <w:numFmt w:val="bullet"/>
      <w:lvlText w:val="•"/>
      <w:lvlJc w:val="left"/>
      <w:pPr>
        <w:tabs>
          <w:tab w:val="num" w:pos="5040"/>
        </w:tabs>
        <w:ind w:left="5040" w:hanging="360"/>
      </w:pPr>
      <w:rPr>
        <w:rFonts w:ascii="Arial" w:hAnsi="Arial" w:hint="default"/>
      </w:rPr>
    </w:lvl>
    <w:lvl w:ilvl="7" w:tplc="4E4AED62" w:tentative="1">
      <w:start w:val="1"/>
      <w:numFmt w:val="bullet"/>
      <w:lvlText w:val="•"/>
      <w:lvlJc w:val="left"/>
      <w:pPr>
        <w:tabs>
          <w:tab w:val="num" w:pos="5760"/>
        </w:tabs>
        <w:ind w:left="5760" w:hanging="360"/>
      </w:pPr>
      <w:rPr>
        <w:rFonts w:ascii="Arial" w:hAnsi="Arial" w:hint="default"/>
      </w:rPr>
    </w:lvl>
    <w:lvl w:ilvl="8" w:tplc="54743B58" w:tentative="1">
      <w:start w:val="1"/>
      <w:numFmt w:val="bullet"/>
      <w:lvlText w:val="•"/>
      <w:lvlJc w:val="left"/>
      <w:pPr>
        <w:tabs>
          <w:tab w:val="num" w:pos="6480"/>
        </w:tabs>
        <w:ind w:left="6480" w:hanging="360"/>
      </w:pPr>
      <w:rPr>
        <w:rFonts w:ascii="Arial" w:hAnsi="Arial" w:hint="default"/>
      </w:rPr>
    </w:lvl>
  </w:abstractNum>
  <w:abstractNum w:abstractNumId="3">
    <w:nsid w:val="794D514D"/>
    <w:multiLevelType w:val="hybridMultilevel"/>
    <w:tmpl w:val="D966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1911"/>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2AB5"/>
    <w:rsid w:val="00465348"/>
    <w:rsid w:val="00480222"/>
    <w:rsid w:val="004B1CCB"/>
    <w:rsid w:val="004B632F"/>
    <w:rsid w:val="004C0A0F"/>
    <w:rsid w:val="004D3FB1"/>
    <w:rsid w:val="004D6F21"/>
    <w:rsid w:val="004D73A5"/>
    <w:rsid w:val="005160F1"/>
    <w:rsid w:val="00524F2F"/>
    <w:rsid w:val="00527E5C"/>
    <w:rsid w:val="00532CF5"/>
    <w:rsid w:val="005528CB"/>
    <w:rsid w:val="00566771"/>
    <w:rsid w:val="00581E2E"/>
    <w:rsid w:val="00584F15"/>
    <w:rsid w:val="0059514B"/>
    <w:rsid w:val="005A1B0F"/>
    <w:rsid w:val="005D6951"/>
    <w:rsid w:val="006163F7"/>
    <w:rsid w:val="00627C63"/>
    <w:rsid w:val="0063350B"/>
    <w:rsid w:val="006407A1"/>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4E86"/>
    <w:rsid w:val="00CA50E3"/>
    <w:rsid w:val="00CA757B"/>
    <w:rsid w:val="00CC1787"/>
    <w:rsid w:val="00CC182C"/>
    <w:rsid w:val="00CD0824"/>
    <w:rsid w:val="00CD2908"/>
    <w:rsid w:val="00D01933"/>
    <w:rsid w:val="00D03A82"/>
    <w:rsid w:val="00D13667"/>
    <w:rsid w:val="00D15344"/>
    <w:rsid w:val="00D23F57"/>
    <w:rsid w:val="00D31BEC"/>
    <w:rsid w:val="00D63150"/>
    <w:rsid w:val="00D636BA"/>
    <w:rsid w:val="00D64A32"/>
    <w:rsid w:val="00D64EFC"/>
    <w:rsid w:val="00D75295"/>
    <w:rsid w:val="00D76CE9"/>
    <w:rsid w:val="00D97F12"/>
    <w:rsid w:val="00DA2750"/>
    <w:rsid w:val="00DA6095"/>
    <w:rsid w:val="00DB27CB"/>
    <w:rsid w:val="00DB42E7"/>
    <w:rsid w:val="00DE01A6"/>
    <w:rsid w:val="00DE7A98"/>
    <w:rsid w:val="00DF32C2"/>
    <w:rsid w:val="00E067CB"/>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067C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styleId="Caption">
    <w:name w:val="caption"/>
    <w:basedOn w:val="Normal"/>
    <w:next w:val="Normal"/>
    <w:uiPriority w:val="35"/>
    <w:unhideWhenUsed/>
    <w:qFormat/>
    <w:rsid w:val="004C0A0F"/>
    <w:pPr>
      <w:spacing w:after="200"/>
    </w:pPr>
    <w:rPr>
      <w:rFonts w:asciiTheme="minorHAnsi" w:eastAsiaTheme="minorHAnsi" w:hAnsiTheme="minorHAnsi" w:cstheme="minorBidi"/>
      <w:i/>
      <w:iCs/>
      <w:color w:val="1F497D" w:themeColor="text2"/>
      <w:sz w:val="18"/>
      <w:szCs w:val="18"/>
    </w:rPr>
  </w:style>
  <w:style w:type="character" w:customStyle="1" w:styleId="bodytext0">
    <w:name w:val="bodytext"/>
    <w:basedOn w:val="DefaultParagraphFont"/>
    <w:rsid w:val="004C0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067C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styleId="Caption">
    <w:name w:val="caption"/>
    <w:basedOn w:val="Normal"/>
    <w:next w:val="Normal"/>
    <w:uiPriority w:val="35"/>
    <w:unhideWhenUsed/>
    <w:qFormat/>
    <w:rsid w:val="004C0A0F"/>
    <w:pPr>
      <w:spacing w:after="200"/>
    </w:pPr>
    <w:rPr>
      <w:rFonts w:asciiTheme="minorHAnsi" w:eastAsiaTheme="minorHAnsi" w:hAnsiTheme="minorHAnsi" w:cstheme="minorBidi"/>
      <w:i/>
      <w:iCs/>
      <w:color w:val="1F497D" w:themeColor="text2"/>
      <w:sz w:val="18"/>
      <w:szCs w:val="18"/>
    </w:rPr>
  </w:style>
  <w:style w:type="character" w:customStyle="1" w:styleId="bodytext0">
    <w:name w:val="bodytext"/>
    <w:basedOn w:val="DefaultParagraphFont"/>
    <w:rsid w:val="004C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3B2BF-C425-4D13-ADAF-5E6FFD87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2018-12-12T15:23:00Z</dcterms:created>
  <dcterms:modified xsi:type="dcterms:W3CDTF">2018-12-19T14:54:00Z</dcterms:modified>
</cp:coreProperties>
</file>