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E75AF" w14:textId="106713EB" w:rsidR="00F13220" w:rsidRPr="00F52737" w:rsidRDefault="00F52737" w:rsidP="008467D5">
      <w:pPr>
        <w:pBdr>
          <w:bottom w:val="single" w:sz="18" w:space="1" w:color="auto"/>
        </w:pBdr>
        <w:tabs>
          <w:tab w:val="left" w:pos="-1440"/>
          <w:tab w:val="left" w:pos="-720"/>
          <w:tab w:val="left" w:pos="1"/>
        </w:tabs>
        <w:jc w:val="both"/>
        <w:rPr>
          <w:rFonts w:ascii="Arial" w:hAnsi="Arial"/>
          <w:b/>
          <w:sz w:val="24"/>
        </w:rPr>
      </w:pPr>
      <w:r w:rsidRPr="00F52737">
        <w:rPr>
          <w:rFonts w:ascii="Arial" w:hAnsi="Arial"/>
          <w:b/>
          <w:noProof/>
          <w:sz w:val="24"/>
          <w:lang w:val="en-US"/>
        </w:rPr>
        <w:drawing>
          <wp:inline distT="0" distB="0" distL="0" distR="0" wp14:anchorId="2B88F98C" wp14:editId="40DA43C8">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1758940" w14:textId="60B75A64" w:rsidR="00D75295" w:rsidRPr="00F52737" w:rsidRDefault="00C87CB1" w:rsidP="00565814">
      <w:pPr>
        <w:pStyle w:val="ProductNumber"/>
        <w:outlineLvl w:val="0"/>
      </w:pPr>
      <w:r>
        <w:t>9B18B006</w:t>
      </w:r>
    </w:p>
    <w:p w14:paraId="551F2B73" w14:textId="77777777" w:rsidR="00D75295" w:rsidRPr="00F52737" w:rsidRDefault="00D75295" w:rsidP="00D75295">
      <w:pPr>
        <w:jc w:val="right"/>
        <w:rPr>
          <w:rFonts w:ascii="Arial" w:hAnsi="Arial"/>
          <w:b/>
          <w:sz w:val="28"/>
          <w:szCs w:val="28"/>
        </w:rPr>
      </w:pPr>
    </w:p>
    <w:p w14:paraId="27D2B465" w14:textId="77777777" w:rsidR="00013360" w:rsidRPr="00F52737" w:rsidRDefault="00013360" w:rsidP="00D75295">
      <w:pPr>
        <w:jc w:val="right"/>
        <w:rPr>
          <w:rFonts w:ascii="Arial" w:hAnsi="Arial"/>
          <w:b/>
          <w:sz w:val="28"/>
          <w:szCs w:val="28"/>
        </w:rPr>
      </w:pPr>
    </w:p>
    <w:p w14:paraId="595F4375" w14:textId="39462243" w:rsidR="00013360" w:rsidRPr="00F52737" w:rsidRDefault="00B7723F" w:rsidP="00565814">
      <w:pPr>
        <w:pStyle w:val="CaseTitle"/>
        <w:spacing w:after="0" w:line="240" w:lineRule="auto"/>
        <w:outlineLvl w:val="0"/>
        <w:rPr>
          <w:sz w:val="20"/>
          <w:szCs w:val="20"/>
        </w:rPr>
      </w:pPr>
      <w:r w:rsidRPr="00F52737">
        <w:rPr>
          <w:rFonts w:eastAsia="Times New Roman"/>
          <w:szCs w:val="20"/>
        </w:rPr>
        <w:t>Destron Petroleum</w:t>
      </w:r>
      <w:r w:rsidR="00D67095">
        <w:rPr>
          <w:rFonts w:eastAsia="Times New Roman"/>
          <w:szCs w:val="20"/>
        </w:rPr>
        <w:t xml:space="preserve"> Services: bidding for a project</w:t>
      </w:r>
    </w:p>
    <w:p w14:paraId="36ABC542" w14:textId="77777777" w:rsidR="00CA3976" w:rsidRPr="00F52737" w:rsidRDefault="00CA3976" w:rsidP="00013360">
      <w:pPr>
        <w:pStyle w:val="CaseTitle"/>
        <w:spacing w:after="0" w:line="240" w:lineRule="auto"/>
        <w:rPr>
          <w:sz w:val="20"/>
          <w:szCs w:val="20"/>
        </w:rPr>
      </w:pPr>
    </w:p>
    <w:p w14:paraId="76BB4213" w14:textId="77777777" w:rsidR="00013360" w:rsidRPr="00F52737" w:rsidRDefault="00013360" w:rsidP="00013360">
      <w:pPr>
        <w:pStyle w:val="CaseTitle"/>
        <w:spacing w:after="0" w:line="240" w:lineRule="auto"/>
        <w:rPr>
          <w:sz w:val="20"/>
          <w:szCs w:val="20"/>
        </w:rPr>
      </w:pPr>
    </w:p>
    <w:p w14:paraId="08E2CF96" w14:textId="77777777" w:rsidR="00627C63" w:rsidRPr="00F52737" w:rsidRDefault="00B7723F" w:rsidP="00627C63">
      <w:pPr>
        <w:pStyle w:val="StyleCopyrightStatementAfter0ptBottomSinglesolidline1"/>
      </w:pPr>
      <w:r w:rsidRPr="00F52737">
        <w:t xml:space="preserve">Saadia Irfan </w:t>
      </w:r>
      <w:r w:rsidR="004B632F" w:rsidRPr="00F52737">
        <w:t xml:space="preserve">wrote this </w:t>
      </w:r>
      <w:r w:rsidR="00152682" w:rsidRPr="00F52737">
        <w:t>case</w:t>
      </w:r>
      <w:r w:rsidR="004B632F" w:rsidRPr="00F52737">
        <w:t xml:space="preserve"> </w:t>
      </w:r>
      <w:r w:rsidR="00152682" w:rsidRPr="00F52737">
        <w:t>solely to provide material for class discussion. The</w:t>
      </w:r>
      <w:r w:rsidR="001C7777" w:rsidRPr="00F52737">
        <w:t xml:space="preserve"> author</w:t>
      </w:r>
      <w:r w:rsidR="00152682" w:rsidRPr="00F52737">
        <w:t xml:space="preserve"> do</w:t>
      </w:r>
      <w:r w:rsidRPr="00F52737">
        <w:t>es</w:t>
      </w:r>
      <w:r w:rsidR="00152682" w:rsidRPr="00F52737">
        <w:t xml:space="preserve"> not intend to illustrate either effective or ineffective handling of a managerial situation. The author may have disguised certain names and other identifying information to protect confidentiality.</w:t>
      </w:r>
    </w:p>
    <w:p w14:paraId="00426A90" w14:textId="77777777" w:rsidR="00751E0B" w:rsidRPr="00F52737" w:rsidRDefault="00751E0B" w:rsidP="00751E0B">
      <w:pPr>
        <w:pStyle w:val="StyleCopyrightStatementAfter0ptBottomSinglesolidline1"/>
      </w:pPr>
    </w:p>
    <w:p w14:paraId="68ACFE1C" w14:textId="77777777" w:rsidR="00F52737" w:rsidRPr="00E23AB7" w:rsidRDefault="00F52737" w:rsidP="004F4D1B">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4F9D5E86" w14:textId="77777777" w:rsidR="00F52737" w:rsidRPr="00E23AB7" w:rsidRDefault="00F52737" w:rsidP="004F4D1B">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204AC197" w14:textId="46E5C54D" w:rsidR="00751E0B" w:rsidRPr="00F52737" w:rsidRDefault="00F52737" w:rsidP="00751E0B">
      <w:pPr>
        <w:pStyle w:val="StyleStyleCopyrightStatementAfter0ptBottomSinglesolid"/>
      </w:pPr>
      <w:r w:rsidRPr="00F52737">
        <w:rPr>
          <w:rFonts w:cs="Arial"/>
          <w:szCs w:val="16"/>
        </w:rPr>
        <w:t xml:space="preserve">Copyright © 2018, </w:t>
      </w:r>
      <w:r w:rsidRPr="00F52737">
        <w:rPr>
          <w:rFonts w:cs="Arial"/>
          <w:szCs w:val="16"/>
          <w:lang w:val="en-CA"/>
        </w:rPr>
        <w:t>Ivey Business School Foundation</w:t>
      </w:r>
      <w:r w:rsidR="00A569EA" w:rsidRPr="00F52737">
        <w:rPr>
          <w:rFonts w:cs="Arial"/>
          <w:szCs w:val="16"/>
        </w:rPr>
        <w:tab/>
      </w:r>
      <w:r w:rsidR="00751E0B" w:rsidRPr="00F52737">
        <w:t xml:space="preserve">Version: </w:t>
      </w:r>
      <w:r w:rsidR="00B7723F" w:rsidRPr="00F52737">
        <w:t>2018</w:t>
      </w:r>
      <w:r w:rsidR="001C7777" w:rsidRPr="00F52737">
        <w:t>-</w:t>
      </w:r>
      <w:r w:rsidR="008A634F">
        <w:t>0</w:t>
      </w:r>
      <w:r w:rsidR="00C87CB1">
        <w:t>6</w:t>
      </w:r>
      <w:r w:rsidR="00751E0B" w:rsidRPr="00F52737">
        <w:t>-</w:t>
      </w:r>
      <w:r w:rsidR="00EA3403">
        <w:t>08</w:t>
      </w:r>
    </w:p>
    <w:p w14:paraId="6EF184F6" w14:textId="77777777" w:rsidR="00751E0B" w:rsidRPr="00F52737" w:rsidRDefault="00751E0B" w:rsidP="00751E0B">
      <w:pPr>
        <w:pStyle w:val="StyleCopyrightStatementAfter0ptBottomSinglesolidline1"/>
        <w:rPr>
          <w:rFonts w:ascii="Times New Roman" w:hAnsi="Times New Roman"/>
          <w:sz w:val="20"/>
        </w:rPr>
      </w:pPr>
    </w:p>
    <w:p w14:paraId="4286B9AB" w14:textId="77777777" w:rsidR="004B632F" w:rsidRPr="00F52737" w:rsidRDefault="004B632F" w:rsidP="004B632F">
      <w:pPr>
        <w:pStyle w:val="StyleCopyrightStatementAfter0ptBottomSinglesolidline1"/>
        <w:rPr>
          <w:rFonts w:ascii="Times New Roman" w:hAnsi="Times New Roman"/>
          <w:sz w:val="20"/>
        </w:rPr>
      </w:pPr>
    </w:p>
    <w:p w14:paraId="458DA8F7" w14:textId="3C4B8B82" w:rsidR="00B7723F" w:rsidRPr="00F52737" w:rsidRDefault="00B7723F" w:rsidP="00B7723F">
      <w:pPr>
        <w:pStyle w:val="BodyTextMain"/>
        <w:rPr>
          <w:rFonts w:eastAsia="Calibri"/>
        </w:rPr>
      </w:pPr>
      <w:r w:rsidRPr="00F52737">
        <w:rPr>
          <w:rFonts w:eastAsia="Calibri"/>
        </w:rPr>
        <w:t>It was July 27, 2016 when</w:t>
      </w:r>
      <w:r w:rsidR="00806324" w:rsidRPr="00F52737">
        <w:rPr>
          <w:rFonts w:eastAsia="Calibri"/>
        </w:rPr>
        <w:t>,</w:t>
      </w:r>
      <w:r w:rsidRPr="00F52737">
        <w:rPr>
          <w:rFonts w:eastAsia="Calibri"/>
        </w:rPr>
        <w:t xml:space="preserve"> after a long com</w:t>
      </w:r>
      <w:r w:rsidR="00285638" w:rsidRPr="00F52737">
        <w:rPr>
          <w:rFonts w:eastAsia="Calibri"/>
        </w:rPr>
        <w:t>mercial bid opening session</w:t>
      </w:r>
      <w:r w:rsidR="001625C8" w:rsidRPr="00F52737">
        <w:rPr>
          <w:rFonts w:eastAsia="Calibri"/>
        </w:rPr>
        <w:t>,</w:t>
      </w:r>
      <w:r w:rsidR="00285638" w:rsidRPr="00F52737">
        <w:rPr>
          <w:rFonts w:eastAsia="Calibri"/>
        </w:rPr>
        <w:t xml:space="preserve"> </w:t>
      </w:r>
      <w:r w:rsidR="00565814" w:rsidRPr="00F52737">
        <w:rPr>
          <w:rFonts w:eastAsia="Calibri"/>
        </w:rPr>
        <w:t xml:space="preserve">Imran Khan, </w:t>
      </w:r>
      <w:r w:rsidR="00551A39" w:rsidRPr="00F52737">
        <w:rPr>
          <w:rFonts w:eastAsia="Calibri"/>
        </w:rPr>
        <w:t>country manager</w:t>
      </w:r>
      <w:r w:rsidRPr="00F52737">
        <w:rPr>
          <w:rFonts w:eastAsia="Calibri"/>
        </w:rPr>
        <w:t xml:space="preserve"> </w:t>
      </w:r>
      <w:r w:rsidR="00074761" w:rsidRPr="00F52737">
        <w:rPr>
          <w:rFonts w:eastAsia="Calibri"/>
        </w:rPr>
        <w:t>of</w:t>
      </w:r>
      <w:r w:rsidR="001625C8" w:rsidRPr="00F52737">
        <w:rPr>
          <w:rFonts w:eastAsia="Calibri"/>
        </w:rPr>
        <w:t xml:space="preserve"> De</w:t>
      </w:r>
      <w:r w:rsidR="00074761" w:rsidRPr="00F52737">
        <w:rPr>
          <w:rFonts w:eastAsia="Calibri"/>
        </w:rPr>
        <w:t>stron Petroleum Services (DPS) for</w:t>
      </w:r>
      <w:r w:rsidR="001625C8" w:rsidRPr="00F52737">
        <w:rPr>
          <w:rFonts w:eastAsia="Calibri"/>
        </w:rPr>
        <w:t xml:space="preserve"> Pakistan, </w:t>
      </w:r>
      <w:r w:rsidR="00565814">
        <w:rPr>
          <w:rFonts w:eastAsia="Calibri"/>
        </w:rPr>
        <w:t>and</w:t>
      </w:r>
      <w:r w:rsidRPr="00F52737">
        <w:rPr>
          <w:rFonts w:eastAsia="Calibri"/>
        </w:rPr>
        <w:t xml:space="preserve"> his team of four members </w:t>
      </w:r>
      <w:r w:rsidR="00565814">
        <w:rPr>
          <w:rFonts w:eastAsia="Calibri"/>
        </w:rPr>
        <w:t>left</w:t>
      </w:r>
      <w:r w:rsidR="00285638" w:rsidRPr="00F52737">
        <w:rPr>
          <w:rFonts w:eastAsia="Calibri"/>
        </w:rPr>
        <w:t xml:space="preserve"> the conference room at oil producing company </w:t>
      </w:r>
      <w:r w:rsidRPr="00F52737">
        <w:rPr>
          <w:rFonts w:eastAsia="Calibri"/>
        </w:rPr>
        <w:t>I</w:t>
      </w:r>
      <w:r w:rsidR="00357710">
        <w:rPr>
          <w:rFonts w:eastAsia="Calibri"/>
        </w:rPr>
        <w:t>ndo Gas Corporation Ltd</w:t>
      </w:r>
      <w:r w:rsidR="009169FF">
        <w:rPr>
          <w:rFonts w:eastAsia="Calibri"/>
        </w:rPr>
        <w:t>.</w:t>
      </w:r>
      <w:r w:rsidR="00357710">
        <w:rPr>
          <w:rFonts w:eastAsia="Calibri"/>
        </w:rPr>
        <w:t>’s</w:t>
      </w:r>
      <w:r w:rsidRPr="00F52737">
        <w:rPr>
          <w:rFonts w:eastAsia="Calibri"/>
        </w:rPr>
        <w:t xml:space="preserve"> </w:t>
      </w:r>
      <w:r w:rsidR="00285638" w:rsidRPr="00F52737">
        <w:rPr>
          <w:rFonts w:eastAsia="Calibri"/>
        </w:rPr>
        <w:t>headquarters</w:t>
      </w:r>
      <w:r w:rsidR="00565814">
        <w:rPr>
          <w:rFonts w:eastAsia="Calibri"/>
        </w:rPr>
        <w:t>, almost running</w:t>
      </w:r>
      <w:r w:rsidR="00285638" w:rsidRPr="00F52737">
        <w:rPr>
          <w:rFonts w:eastAsia="Calibri"/>
        </w:rPr>
        <w:t xml:space="preserve"> </w:t>
      </w:r>
      <w:r w:rsidRPr="00F52737">
        <w:rPr>
          <w:rFonts w:eastAsia="Calibri"/>
        </w:rPr>
        <w:t xml:space="preserve">in </w:t>
      </w:r>
      <w:r w:rsidR="001625C8" w:rsidRPr="00F52737">
        <w:rPr>
          <w:rFonts w:eastAsia="Calibri"/>
        </w:rPr>
        <w:t>sheer</w:t>
      </w:r>
      <w:r w:rsidRPr="00F52737">
        <w:rPr>
          <w:rFonts w:eastAsia="Calibri"/>
        </w:rPr>
        <w:t xml:space="preserve"> nervousness. </w:t>
      </w:r>
      <w:r w:rsidR="001625C8" w:rsidRPr="00F52737">
        <w:rPr>
          <w:rFonts w:eastAsia="Calibri"/>
        </w:rPr>
        <w:t>When</w:t>
      </w:r>
      <w:r w:rsidRPr="00F52737">
        <w:rPr>
          <w:rFonts w:eastAsia="Calibri"/>
        </w:rPr>
        <w:t xml:space="preserve"> they reached the lobby downstairs, </w:t>
      </w:r>
      <w:r w:rsidR="00285638" w:rsidRPr="00F52737">
        <w:rPr>
          <w:rFonts w:eastAsia="Calibri"/>
        </w:rPr>
        <w:t>Khan</w:t>
      </w:r>
      <w:r w:rsidRPr="00F52737">
        <w:rPr>
          <w:rFonts w:eastAsia="Calibri"/>
        </w:rPr>
        <w:t xml:space="preserve"> threw his bag on the coffee table, </w:t>
      </w:r>
      <w:r w:rsidR="001625C8" w:rsidRPr="00F52737">
        <w:rPr>
          <w:rFonts w:eastAsia="Calibri"/>
        </w:rPr>
        <w:t xml:space="preserve">quickly </w:t>
      </w:r>
      <w:r w:rsidRPr="00F52737">
        <w:rPr>
          <w:rFonts w:eastAsia="Calibri"/>
        </w:rPr>
        <w:t>unpacked his laptop</w:t>
      </w:r>
      <w:r w:rsidR="001625C8" w:rsidRPr="00F52737">
        <w:rPr>
          <w:rFonts w:eastAsia="Calibri"/>
        </w:rPr>
        <w:t>,</w:t>
      </w:r>
      <w:r w:rsidRPr="00F52737">
        <w:rPr>
          <w:rFonts w:eastAsia="Calibri"/>
        </w:rPr>
        <w:t xml:space="preserve"> and </w:t>
      </w:r>
      <w:r w:rsidR="001625C8" w:rsidRPr="00F52737">
        <w:rPr>
          <w:rFonts w:eastAsia="Calibri"/>
        </w:rPr>
        <w:t>did</w:t>
      </w:r>
      <w:r w:rsidR="00285638" w:rsidRPr="00F52737">
        <w:rPr>
          <w:rFonts w:eastAsia="Calibri"/>
        </w:rPr>
        <w:t xml:space="preserve"> some quick rough calculations.</w:t>
      </w:r>
      <w:r w:rsidRPr="00F52737">
        <w:rPr>
          <w:rFonts w:eastAsia="Calibri"/>
        </w:rPr>
        <w:t xml:space="preserve"> </w:t>
      </w:r>
      <w:r w:rsidR="00285638" w:rsidRPr="00F52737">
        <w:rPr>
          <w:rFonts w:eastAsia="Calibri"/>
        </w:rPr>
        <w:t>After several minutes of silence</w:t>
      </w:r>
      <w:r w:rsidR="001625C8" w:rsidRPr="00F52737">
        <w:rPr>
          <w:rFonts w:eastAsia="Calibri"/>
        </w:rPr>
        <w:t>,</w:t>
      </w:r>
      <w:r w:rsidR="00285638" w:rsidRPr="00F52737">
        <w:rPr>
          <w:rFonts w:eastAsia="Calibri"/>
        </w:rPr>
        <w:t xml:space="preserve"> Khan</w:t>
      </w:r>
      <w:r w:rsidRPr="00F52737">
        <w:rPr>
          <w:rFonts w:eastAsia="Calibri"/>
        </w:rPr>
        <w:t xml:space="preserve"> finally announced cheerful</w:t>
      </w:r>
      <w:r w:rsidR="001625C8" w:rsidRPr="00F52737">
        <w:rPr>
          <w:rFonts w:eastAsia="Calibri"/>
        </w:rPr>
        <w:t>ly</w:t>
      </w:r>
      <w:r w:rsidR="00285638" w:rsidRPr="00F52737">
        <w:rPr>
          <w:rFonts w:eastAsia="Calibri"/>
        </w:rPr>
        <w:t>, “We made it guys!”</w:t>
      </w:r>
      <w:r w:rsidRPr="00F52737">
        <w:rPr>
          <w:rFonts w:eastAsia="Calibri"/>
        </w:rPr>
        <w:t xml:space="preserve"> It was a moment of relief, happiness, sel</w:t>
      </w:r>
      <w:r w:rsidR="00285638" w:rsidRPr="00F52737">
        <w:rPr>
          <w:rFonts w:eastAsia="Calibri"/>
        </w:rPr>
        <w:t>f-achievement</w:t>
      </w:r>
      <w:r w:rsidR="001625C8" w:rsidRPr="00F52737">
        <w:rPr>
          <w:rFonts w:eastAsia="Calibri"/>
        </w:rPr>
        <w:t>,</w:t>
      </w:r>
      <w:r w:rsidR="00285638" w:rsidRPr="00F52737">
        <w:rPr>
          <w:rFonts w:eastAsia="Calibri"/>
        </w:rPr>
        <w:t xml:space="preserve"> and pride for all.</w:t>
      </w:r>
      <w:r w:rsidRPr="00F52737">
        <w:rPr>
          <w:rFonts w:eastAsia="Calibri"/>
        </w:rPr>
        <w:t xml:space="preserve"> Things were going to change </w:t>
      </w:r>
      <w:r w:rsidR="001625C8" w:rsidRPr="00F52737">
        <w:rPr>
          <w:rFonts w:eastAsia="Calibri"/>
        </w:rPr>
        <w:t xml:space="preserve">now </w:t>
      </w:r>
      <w:r w:rsidRPr="00331518">
        <w:rPr>
          <w:rFonts w:eastAsia="Calibri"/>
        </w:rPr>
        <w:t xml:space="preserve">for </w:t>
      </w:r>
      <w:r w:rsidR="005F32B5" w:rsidRPr="00331518">
        <w:rPr>
          <w:rFonts w:eastAsia="Calibri"/>
        </w:rPr>
        <w:t xml:space="preserve">the </w:t>
      </w:r>
      <w:r w:rsidR="00774CF0" w:rsidRPr="00331518">
        <w:rPr>
          <w:rFonts w:eastAsia="Calibri"/>
        </w:rPr>
        <w:t xml:space="preserve">oil </w:t>
      </w:r>
      <w:r w:rsidR="00774CF0" w:rsidRPr="00F52737">
        <w:rPr>
          <w:rFonts w:eastAsia="Calibri"/>
        </w:rPr>
        <w:t xml:space="preserve">drilling contractor </w:t>
      </w:r>
      <w:r w:rsidR="00285638" w:rsidRPr="00F52737">
        <w:rPr>
          <w:rFonts w:eastAsia="Calibri"/>
        </w:rPr>
        <w:t>DPS</w:t>
      </w:r>
      <w:r w:rsidRPr="00F52737">
        <w:rPr>
          <w:rFonts w:eastAsia="Calibri"/>
        </w:rPr>
        <w:t>.</w:t>
      </w:r>
      <w:r w:rsidR="00285638" w:rsidRPr="00F52737">
        <w:rPr>
          <w:rFonts w:eastAsia="Calibri"/>
        </w:rPr>
        <w:t xml:space="preserve"> </w:t>
      </w:r>
      <w:r w:rsidR="001625C8" w:rsidRPr="00F52737">
        <w:rPr>
          <w:rFonts w:eastAsia="Calibri"/>
        </w:rPr>
        <w:t>I</w:t>
      </w:r>
      <w:r w:rsidRPr="00F52737">
        <w:rPr>
          <w:rFonts w:eastAsia="Calibri"/>
        </w:rPr>
        <w:t>nevitably</w:t>
      </w:r>
      <w:r w:rsidR="001625C8" w:rsidRPr="00F52737">
        <w:rPr>
          <w:rFonts w:eastAsia="Calibri"/>
        </w:rPr>
        <w:t>,</w:t>
      </w:r>
      <w:r w:rsidRPr="00F52737">
        <w:rPr>
          <w:rFonts w:eastAsia="Calibri"/>
        </w:rPr>
        <w:t xml:space="preserve"> </w:t>
      </w:r>
      <w:r w:rsidR="001625C8" w:rsidRPr="00F52737">
        <w:rPr>
          <w:rFonts w:eastAsia="Calibri"/>
        </w:rPr>
        <w:t xml:space="preserve">Khan </w:t>
      </w:r>
      <w:r w:rsidR="00074761" w:rsidRPr="00F52737">
        <w:rPr>
          <w:rFonts w:eastAsia="Calibri"/>
        </w:rPr>
        <w:t xml:space="preserve">immediately </w:t>
      </w:r>
      <w:r w:rsidR="001625C8" w:rsidRPr="00F52737">
        <w:rPr>
          <w:rFonts w:eastAsia="Calibri"/>
        </w:rPr>
        <w:t>began to think</w:t>
      </w:r>
      <w:r w:rsidRPr="00F52737">
        <w:rPr>
          <w:rFonts w:eastAsia="Calibri"/>
        </w:rPr>
        <w:t xml:space="preserve"> about the million things</w:t>
      </w:r>
      <w:r w:rsidR="00285638" w:rsidRPr="00F52737">
        <w:rPr>
          <w:rFonts w:eastAsia="Calibri"/>
        </w:rPr>
        <w:t xml:space="preserve"> that could go wrong</w:t>
      </w:r>
      <w:r w:rsidR="001625C8" w:rsidRPr="00F52737">
        <w:rPr>
          <w:rFonts w:eastAsia="Calibri"/>
        </w:rPr>
        <w:t xml:space="preserve"> </w:t>
      </w:r>
      <w:r w:rsidR="00285638" w:rsidRPr="00F52737">
        <w:rPr>
          <w:rFonts w:eastAsia="Calibri"/>
        </w:rPr>
        <w:t xml:space="preserve">and </w:t>
      </w:r>
      <w:r w:rsidR="009F15A1" w:rsidRPr="00F52737">
        <w:rPr>
          <w:rFonts w:eastAsia="Calibri"/>
        </w:rPr>
        <w:t xml:space="preserve">about </w:t>
      </w:r>
      <w:r w:rsidR="00285638" w:rsidRPr="00F52737">
        <w:rPr>
          <w:rFonts w:eastAsia="Calibri"/>
        </w:rPr>
        <w:t>how he woul</w:t>
      </w:r>
      <w:r w:rsidRPr="00F52737">
        <w:rPr>
          <w:rFonts w:eastAsia="Calibri"/>
        </w:rPr>
        <w:t xml:space="preserve">d handle them. On </w:t>
      </w:r>
      <w:r w:rsidR="009F15A1" w:rsidRPr="00F52737">
        <w:rPr>
          <w:rFonts w:eastAsia="Calibri"/>
        </w:rPr>
        <w:t>his</w:t>
      </w:r>
      <w:r w:rsidRPr="00F52737">
        <w:rPr>
          <w:rFonts w:eastAsia="Calibri"/>
        </w:rPr>
        <w:t xml:space="preserve"> way back home, he sent a one-line</w:t>
      </w:r>
      <w:r w:rsidR="001625C8" w:rsidRPr="00F52737">
        <w:rPr>
          <w:rFonts w:eastAsia="Calibri"/>
        </w:rPr>
        <w:t xml:space="preserve"> message</w:t>
      </w:r>
      <w:r w:rsidRPr="00F52737">
        <w:rPr>
          <w:rFonts w:eastAsia="Calibri"/>
        </w:rPr>
        <w:t xml:space="preserve"> to all </w:t>
      </w:r>
      <w:r w:rsidR="00285638" w:rsidRPr="00F52737">
        <w:rPr>
          <w:rFonts w:eastAsia="Calibri"/>
        </w:rPr>
        <w:t xml:space="preserve">of </w:t>
      </w:r>
      <w:r w:rsidRPr="00F52737">
        <w:rPr>
          <w:rFonts w:eastAsia="Calibri"/>
        </w:rPr>
        <w:t xml:space="preserve">his team </w:t>
      </w:r>
      <w:r w:rsidR="00285638" w:rsidRPr="00F52737">
        <w:rPr>
          <w:rFonts w:eastAsia="Calibri"/>
        </w:rPr>
        <w:t>members</w:t>
      </w:r>
      <w:r w:rsidR="001625C8" w:rsidRPr="00F52737">
        <w:rPr>
          <w:rFonts w:eastAsia="Calibri"/>
        </w:rPr>
        <w:t>, telling them</w:t>
      </w:r>
      <w:r w:rsidR="00285638" w:rsidRPr="00F52737">
        <w:rPr>
          <w:rFonts w:eastAsia="Calibri"/>
        </w:rPr>
        <w:t xml:space="preserve"> </w:t>
      </w:r>
      <w:r w:rsidRPr="00F52737">
        <w:rPr>
          <w:rFonts w:eastAsia="Calibri"/>
        </w:rPr>
        <w:t xml:space="preserve">to </w:t>
      </w:r>
      <w:r w:rsidR="009D702C" w:rsidRPr="00F52737">
        <w:rPr>
          <w:rFonts w:eastAsia="Calibri"/>
        </w:rPr>
        <w:t xml:space="preserve">be ready to </w:t>
      </w:r>
      <w:r w:rsidRPr="00F52737">
        <w:rPr>
          <w:rFonts w:eastAsia="Calibri"/>
        </w:rPr>
        <w:t>gather for a meeting the very next morning.</w:t>
      </w:r>
    </w:p>
    <w:p w14:paraId="6697EF62" w14:textId="77777777" w:rsidR="00B7723F" w:rsidRPr="00F52737" w:rsidRDefault="00B7723F" w:rsidP="00B7723F">
      <w:pPr>
        <w:pStyle w:val="BodyTextMain"/>
        <w:rPr>
          <w:rFonts w:eastAsia="Calibri"/>
        </w:rPr>
      </w:pPr>
    </w:p>
    <w:p w14:paraId="6DC772C4" w14:textId="77777777" w:rsidR="00B7723F" w:rsidRPr="00F52737" w:rsidRDefault="00B7723F" w:rsidP="00B7723F">
      <w:pPr>
        <w:pStyle w:val="BodyTextMain"/>
        <w:rPr>
          <w:rFonts w:eastAsia="Calibri"/>
        </w:rPr>
      </w:pPr>
    </w:p>
    <w:p w14:paraId="178AC630" w14:textId="77777777" w:rsidR="00B7723F" w:rsidRPr="00F52737" w:rsidRDefault="00B7723F" w:rsidP="00565814">
      <w:pPr>
        <w:pStyle w:val="Casehead1"/>
        <w:outlineLvl w:val="0"/>
      </w:pPr>
      <w:r w:rsidRPr="00F52737">
        <w:t>Background</w:t>
      </w:r>
    </w:p>
    <w:p w14:paraId="41E1D204" w14:textId="77777777" w:rsidR="00B7723F" w:rsidRPr="00F52737" w:rsidRDefault="00B7723F" w:rsidP="00B7723F">
      <w:pPr>
        <w:pStyle w:val="BodyTextMain"/>
      </w:pPr>
    </w:p>
    <w:p w14:paraId="5EC0047D" w14:textId="17ECD9D3" w:rsidR="00524DDC" w:rsidRDefault="00285638" w:rsidP="00B7723F">
      <w:pPr>
        <w:pStyle w:val="BodyTextMain"/>
      </w:pPr>
      <w:r w:rsidRPr="00F52737">
        <w:t>DPS provided</w:t>
      </w:r>
      <w:r w:rsidR="00B7723F" w:rsidRPr="00F52737">
        <w:t xml:space="preserve"> well drilling services </w:t>
      </w:r>
      <w:r w:rsidR="00806324" w:rsidRPr="00F52737">
        <w:t>worldwide for</w:t>
      </w:r>
      <w:r w:rsidR="00B7723F" w:rsidRPr="00F52737">
        <w:t xml:space="preserve"> the oil an</w:t>
      </w:r>
      <w:r w:rsidRPr="00F52737">
        <w:t xml:space="preserve">d gas industry. It </w:t>
      </w:r>
      <w:r w:rsidR="00B7723F" w:rsidRPr="00F52737">
        <w:t xml:space="preserve">employed 12,000 people of different nationalities and </w:t>
      </w:r>
      <w:r w:rsidRPr="00F52737">
        <w:t>operated</w:t>
      </w:r>
      <w:r w:rsidR="00B7723F" w:rsidRPr="00F52737">
        <w:t xml:space="preserve"> in 40 countries. The company </w:t>
      </w:r>
      <w:r w:rsidR="00806324" w:rsidRPr="00F52737">
        <w:t xml:space="preserve">initially </w:t>
      </w:r>
      <w:r w:rsidR="00B7723F" w:rsidRPr="00F52737">
        <w:t xml:space="preserve">set up its operations in Pakistan in 2011 with three </w:t>
      </w:r>
      <w:r w:rsidR="00B7723F" w:rsidRPr="00870B83">
        <w:t>rigs</w:t>
      </w:r>
      <w:r w:rsidR="00806324" w:rsidRPr="00870B83">
        <w:t>—</w:t>
      </w:r>
      <w:r w:rsidR="00B7723F" w:rsidRPr="00870B83">
        <w:t>two</w:t>
      </w:r>
      <w:r w:rsidR="00B7723F" w:rsidRPr="00F52737">
        <w:t xml:space="preserve"> American </w:t>
      </w:r>
      <w:r w:rsidR="00F32210">
        <w:t xml:space="preserve">rigs (costing </w:t>
      </w:r>
      <w:r w:rsidRPr="00F52737">
        <w:t>$13</w:t>
      </w:r>
      <w:r w:rsidR="00565814">
        <w:t xml:space="preserve"> million</w:t>
      </w:r>
      <w:r w:rsidRPr="00F52737">
        <w:rPr>
          <w:rStyle w:val="FootnoteReference"/>
        </w:rPr>
        <w:footnoteReference w:id="1"/>
      </w:r>
      <w:r w:rsidR="00B7723F" w:rsidRPr="00F52737">
        <w:t xml:space="preserve"> each and bought in </w:t>
      </w:r>
      <w:r w:rsidR="00B7723F" w:rsidRPr="00F3571D">
        <w:rPr>
          <w:color w:val="000000" w:themeColor="text1"/>
        </w:rPr>
        <w:t>1</w:t>
      </w:r>
      <w:r w:rsidR="006F0CB9" w:rsidRPr="00F3571D">
        <w:rPr>
          <w:color w:val="000000" w:themeColor="text1"/>
        </w:rPr>
        <w:t>972</w:t>
      </w:r>
      <w:r w:rsidRPr="00F52737">
        <w:t>) and one Chinese</w:t>
      </w:r>
      <w:r w:rsidR="00806324" w:rsidRPr="00F52737">
        <w:t xml:space="preserve"> rig</w:t>
      </w:r>
      <w:r w:rsidRPr="00F52737">
        <w:t xml:space="preserve"> (costing $38</w:t>
      </w:r>
      <w:r w:rsidR="00565814">
        <w:t xml:space="preserve"> million</w:t>
      </w:r>
      <w:r w:rsidR="00113469">
        <w:t xml:space="preserve"> and bought in </w:t>
      </w:r>
      <w:r w:rsidR="00113469" w:rsidRPr="00331518">
        <w:t>2006</w:t>
      </w:r>
      <w:r w:rsidR="00B7723F" w:rsidRPr="00331518">
        <w:t>)</w:t>
      </w:r>
      <w:r w:rsidR="00B7723F" w:rsidRPr="00F52737">
        <w:t xml:space="preserve">. Of these three rigs, two were continuously employed while the third was stacked in a private yard </w:t>
      </w:r>
      <w:r w:rsidRPr="00F52737">
        <w:t>through 2015</w:t>
      </w:r>
      <w:r w:rsidR="00B7723F" w:rsidRPr="00F52737">
        <w:t xml:space="preserve">. The two </w:t>
      </w:r>
      <w:r w:rsidR="00074761" w:rsidRPr="00F52737">
        <w:t xml:space="preserve">operating </w:t>
      </w:r>
      <w:r w:rsidR="00B7723F" w:rsidRPr="00F52737">
        <w:t>rigs</w:t>
      </w:r>
      <w:r w:rsidRPr="00F52737">
        <w:t xml:space="preserve"> </w:t>
      </w:r>
      <w:r w:rsidR="00B7723F" w:rsidRPr="00F52737">
        <w:t xml:space="preserve">were </w:t>
      </w:r>
      <w:r w:rsidR="00074761" w:rsidRPr="00F52737">
        <w:t>making</w:t>
      </w:r>
      <w:r w:rsidR="00B7723F" w:rsidRPr="00F52737">
        <w:t xml:space="preserve"> o</w:t>
      </w:r>
      <w:r w:rsidRPr="00F52737">
        <w:t xml:space="preserve">nly </w:t>
      </w:r>
      <w:r w:rsidRPr="00331518">
        <w:t>meagr</w:t>
      </w:r>
      <w:r w:rsidR="00524DDC" w:rsidRPr="00331518">
        <w:t>e</w:t>
      </w:r>
      <w:r w:rsidRPr="00331518">
        <w:t xml:space="preserve"> earnings before i</w:t>
      </w:r>
      <w:r w:rsidR="000C2434" w:rsidRPr="00331518">
        <w:t>nterest, taxes, and depreciation</w:t>
      </w:r>
      <w:r w:rsidRPr="00331518">
        <w:t xml:space="preserve"> </w:t>
      </w:r>
      <w:r w:rsidR="002A6F0B" w:rsidRPr="00331518">
        <w:t xml:space="preserve">to </w:t>
      </w:r>
      <w:r w:rsidR="00516956" w:rsidRPr="00331518">
        <w:t>revenues</w:t>
      </w:r>
      <w:r w:rsidR="00AF333A" w:rsidRPr="00331518">
        <w:t xml:space="preserve"> percentages</w:t>
      </w:r>
      <w:r w:rsidR="002A6F0B" w:rsidRPr="00331518">
        <w:t xml:space="preserve"> o</w:t>
      </w:r>
      <w:r w:rsidR="00AF333A" w:rsidRPr="00331518">
        <w:t>f</w:t>
      </w:r>
      <w:r w:rsidR="002A6F0B" w:rsidRPr="00331518">
        <w:t xml:space="preserve"> </w:t>
      </w:r>
      <w:r w:rsidRPr="00331518">
        <w:t>8 per cent an</w:t>
      </w:r>
      <w:r w:rsidRPr="00F52737">
        <w:t xml:space="preserve">d 11 per cent. </w:t>
      </w:r>
      <w:r w:rsidR="00B7723F" w:rsidRPr="00F52737">
        <w:t xml:space="preserve">In addition, </w:t>
      </w:r>
      <w:r w:rsidR="00524DDC">
        <w:t>because</w:t>
      </w:r>
      <w:r w:rsidR="00B7723F" w:rsidRPr="00F52737">
        <w:t xml:space="preserve"> one of </w:t>
      </w:r>
      <w:r w:rsidR="00074761" w:rsidRPr="00F52737">
        <w:t>its</w:t>
      </w:r>
      <w:r w:rsidR="00B7723F" w:rsidRPr="00F52737">
        <w:t xml:space="preserve"> three rigs was non-operational, DPS was incurring </w:t>
      </w:r>
      <w:r w:rsidR="00524DDC">
        <w:t>significant</w:t>
      </w:r>
      <w:r w:rsidR="00524DDC" w:rsidRPr="00F52737">
        <w:t xml:space="preserve"> </w:t>
      </w:r>
      <w:r w:rsidR="00B7723F" w:rsidRPr="00F52737">
        <w:t xml:space="preserve">costs </w:t>
      </w:r>
      <w:r w:rsidR="00B7723F" w:rsidRPr="00331518">
        <w:t xml:space="preserve">in </w:t>
      </w:r>
      <w:r w:rsidR="00AB4FE7" w:rsidRPr="00331518">
        <w:t xml:space="preserve">terms of </w:t>
      </w:r>
      <w:r w:rsidR="00B7723F" w:rsidRPr="00331518">
        <w:t xml:space="preserve">lost </w:t>
      </w:r>
      <w:r w:rsidR="00B7723F" w:rsidRPr="00F52737">
        <w:t>revenue</w:t>
      </w:r>
      <w:r w:rsidR="00BB7DED">
        <w:t>s.</w:t>
      </w:r>
      <w:r w:rsidR="00B7723F" w:rsidRPr="00F52737">
        <w:t xml:space="preserve"> </w:t>
      </w:r>
    </w:p>
    <w:p w14:paraId="4CE58592" w14:textId="77777777" w:rsidR="00524DDC" w:rsidRDefault="00524DDC" w:rsidP="00B7723F">
      <w:pPr>
        <w:pStyle w:val="BodyTextMain"/>
      </w:pPr>
    </w:p>
    <w:p w14:paraId="0F42AE3C" w14:textId="67C25A8A" w:rsidR="00B7723F" w:rsidRDefault="00285638" w:rsidP="00B7723F">
      <w:pPr>
        <w:pStyle w:val="BodyTextMain"/>
      </w:pPr>
      <w:r w:rsidRPr="00F52737">
        <w:t xml:space="preserve">On </w:t>
      </w:r>
      <w:r w:rsidR="00B7723F" w:rsidRPr="00F52737">
        <w:t>July</w:t>
      </w:r>
      <w:r w:rsidRPr="00F52737">
        <w:t xml:space="preserve"> 5</w:t>
      </w:r>
      <w:r w:rsidR="00074761" w:rsidRPr="00F52737">
        <w:t>,</w:t>
      </w:r>
      <w:r w:rsidR="00B7723F" w:rsidRPr="00F52737">
        <w:t xml:space="preserve"> 2016, </w:t>
      </w:r>
      <w:r w:rsidR="00F53611" w:rsidRPr="00F52737">
        <w:rPr>
          <w:rFonts w:eastAsia="Calibri"/>
        </w:rPr>
        <w:t>I</w:t>
      </w:r>
      <w:r w:rsidR="00F53611">
        <w:rPr>
          <w:rFonts w:eastAsia="Calibri"/>
        </w:rPr>
        <w:t>ndo Gas Corporation Ltd</w:t>
      </w:r>
      <w:r w:rsidR="00331518">
        <w:rPr>
          <w:rFonts w:eastAsia="Calibri"/>
        </w:rPr>
        <w:t>.</w:t>
      </w:r>
      <w:r w:rsidR="00F53611">
        <w:rPr>
          <w:rFonts w:eastAsia="Calibri"/>
        </w:rPr>
        <w:t xml:space="preserve"> </w:t>
      </w:r>
      <w:r w:rsidR="00B7723F" w:rsidRPr="00F52737">
        <w:t>invit</w:t>
      </w:r>
      <w:r w:rsidR="00074761" w:rsidRPr="00F52737">
        <w:t>ed</w:t>
      </w:r>
      <w:r w:rsidR="00B7723F" w:rsidRPr="00F52737">
        <w:t xml:space="preserve"> all oil drilling contractors</w:t>
      </w:r>
      <w:r w:rsidR="009D702C" w:rsidRPr="00F52737">
        <w:t xml:space="preserve"> </w:t>
      </w:r>
      <w:r w:rsidR="00B94B0A" w:rsidRPr="00F52737">
        <w:t xml:space="preserve">in Pakistan </w:t>
      </w:r>
      <w:r w:rsidR="00B7723F" w:rsidRPr="00F52737">
        <w:t>to bid for a well drilling project at one of its concessions</w:t>
      </w:r>
      <w:r w:rsidR="00331518">
        <w:t xml:space="preserve">. </w:t>
      </w:r>
      <w:r w:rsidR="00331518" w:rsidRPr="00331518">
        <w:t>At the time of sending out the tender, Indo Gas Corporation Ltd. did not indicate the exact location of the potential project; this was the norm in the industry.</w:t>
      </w:r>
      <w:r w:rsidR="00B7723F" w:rsidRPr="00F52737">
        <w:t xml:space="preserve"> In response to th</w:t>
      </w:r>
      <w:r w:rsidR="00074761" w:rsidRPr="00F52737">
        <w:t>e invitation</w:t>
      </w:r>
      <w:r w:rsidR="00B7723F" w:rsidRPr="00F52737">
        <w:t>, eight major drilling contractors in the country submitted their bids</w:t>
      </w:r>
      <w:r w:rsidR="00074761" w:rsidRPr="00F52737">
        <w:t>,</w:t>
      </w:r>
      <w:r w:rsidR="00B7723F" w:rsidRPr="00F52737">
        <w:t xml:space="preserve"> </w:t>
      </w:r>
      <w:r w:rsidR="009F15A1" w:rsidRPr="00F52737">
        <w:t>from</w:t>
      </w:r>
      <w:r w:rsidRPr="00F52737">
        <w:t xml:space="preserve"> which DPS </w:t>
      </w:r>
      <w:r w:rsidR="00074761" w:rsidRPr="00F52737">
        <w:t>was chosen</w:t>
      </w:r>
      <w:r w:rsidR="00DF19B9">
        <w:t xml:space="preserve"> for a four</w:t>
      </w:r>
      <w:r w:rsidR="00060136" w:rsidRPr="00F52737">
        <w:t>-</w:t>
      </w:r>
      <w:r w:rsidRPr="00F52737">
        <w:t>year</w:t>
      </w:r>
      <w:r w:rsidR="00B7723F" w:rsidRPr="00F52737">
        <w:t xml:space="preserve"> contract.</w:t>
      </w:r>
    </w:p>
    <w:p w14:paraId="746D2793" w14:textId="77777777" w:rsidR="00C24394" w:rsidRPr="00F52737" w:rsidRDefault="00C24394" w:rsidP="00B7723F">
      <w:pPr>
        <w:pStyle w:val="BodyTextMain"/>
      </w:pPr>
    </w:p>
    <w:p w14:paraId="5AFB3B84" w14:textId="23230A5B" w:rsidR="004F4D1B" w:rsidRDefault="00B7723F" w:rsidP="00957D15">
      <w:pPr>
        <w:pStyle w:val="BodyTextMain"/>
      </w:pPr>
      <w:r w:rsidRPr="00F52737">
        <w:lastRenderedPageBreak/>
        <w:t xml:space="preserve">From mid-2014, oil </w:t>
      </w:r>
      <w:r w:rsidRPr="00D61FA3">
        <w:t>price</w:t>
      </w:r>
      <w:r w:rsidR="00774CF0" w:rsidRPr="00D61FA3">
        <w:t>s</w:t>
      </w:r>
      <w:r w:rsidRPr="00D61FA3">
        <w:t xml:space="preserve"> </w:t>
      </w:r>
      <w:r w:rsidR="003453F5" w:rsidRPr="00D61FA3">
        <w:t xml:space="preserve">had </w:t>
      </w:r>
      <w:r w:rsidRPr="00D61FA3">
        <w:t xml:space="preserve">started </w:t>
      </w:r>
      <w:r w:rsidRPr="00F52737">
        <w:t>declining due to a significant incre</w:t>
      </w:r>
      <w:r w:rsidR="00774CF0" w:rsidRPr="00F52737">
        <w:t>ase in oil production in the United States</w:t>
      </w:r>
      <w:r w:rsidRPr="00F52737">
        <w:t xml:space="preserve"> and declining demand </w:t>
      </w:r>
      <w:r w:rsidR="004F4D1B">
        <w:t xml:space="preserve">for oil </w:t>
      </w:r>
      <w:r w:rsidRPr="00F52737">
        <w:t>in the emerging countries. By February 2016</w:t>
      </w:r>
      <w:r w:rsidR="00774CF0" w:rsidRPr="00F52737">
        <w:t>, oil prices were below $30 per</w:t>
      </w:r>
      <w:r w:rsidRPr="00F52737">
        <w:t xml:space="preserve"> barrel (a drop of almost 75 per</w:t>
      </w:r>
      <w:r w:rsidR="00774CF0" w:rsidRPr="00F52737">
        <w:t xml:space="preserve"> </w:t>
      </w:r>
      <w:r w:rsidRPr="00F52737">
        <w:t>cent since mid-2014)</w:t>
      </w:r>
      <w:r w:rsidR="0031080D" w:rsidRPr="00F52737">
        <w:t>,</w:t>
      </w:r>
      <w:r w:rsidRPr="00F52737">
        <w:t xml:space="preserve"> </w:t>
      </w:r>
      <w:r w:rsidR="0031080D" w:rsidRPr="00F52737">
        <w:t>which</w:t>
      </w:r>
      <w:r w:rsidRPr="00F52737">
        <w:t xml:space="preserve"> triggered a wave of cost reduction initiatives among oil producing companies all over the world</w:t>
      </w:r>
      <w:r w:rsidR="009F15A1" w:rsidRPr="00F52737">
        <w:t>.</w:t>
      </w:r>
      <w:r w:rsidRPr="00F52737">
        <w:t xml:space="preserve"> </w:t>
      </w:r>
      <w:r w:rsidR="0031080D" w:rsidRPr="00F52737">
        <w:t>T</w:t>
      </w:r>
      <w:r w:rsidRPr="00F52737">
        <w:t>hese companies cut down on the production of oil and engag</w:t>
      </w:r>
      <w:r w:rsidR="009F15A1" w:rsidRPr="00F52737">
        <w:t>ed</w:t>
      </w:r>
      <w:r w:rsidRPr="00F52737">
        <w:t xml:space="preserve"> in massive layoffs. </w:t>
      </w:r>
    </w:p>
    <w:p w14:paraId="41597844" w14:textId="77777777" w:rsidR="004F4D1B" w:rsidRDefault="004F4D1B" w:rsidP="00957D15">
      <w:pPr>
        <w:pStyle w:val="BodyTextMain"/>
      </w:pPr>
    </w:p>
    <w:p w14:paraId="1290ECC3" w14:textId="036F6852" w:rsidR="00B7723F" w:rsidRPr="00F52737" w:rsidRDefault="00B7723F" w:rsidP="00957D15">
      <w:pPr>
        <w:pStyle w:val="BodyTextMain"/>
        <w:rPr>
          <w:rFonts w:eastAsia="Calibri"/>
        </w:rPr>
      </w:pPr>
      <w:r w:rsidRPr="00F52737">
        <w:t xml:space="preserve">An obvious consequence of cutting down on oil production was </w:t>
      </w:r>
      <w:r w:rsidR="009F15A1" w:rsidRPr="00F52737">
        <w:t>a</w:t>
      </w:r>
      <w:r w:rsidRPr="00F52737">
        <w:t xml:space="preserve"> decline</w:t>
      </w:r>
      <w:r w:rsidR="009F15A1" w:rsidRPr="00F52737">
        <w:t>, too,</w:t>
      </w:r>
      <w:r w:rsidRPr="00F52737">
        <w:t xml:space="preserve"> in demand </w:t>
      </w:r>
      <w:r w:rsidR="009F15A1" w:rsidRPr="00F52737">
        <w:t>for</w:t>
      </w:r>
      <w:r w:rsidRPr="00F52737">
        <w:t xml:space="preserve"> oil well drilling services. Hence</w:t>
      </w:r>
      <w:r w:rsidR="00774CF0" w:rsidRPr="00F52737">
        <w:t>, at</w:t>
      </w:r>
      <w:r w:rsidRPr="00F52737">
        <w:t xml:space="preserve"> DPS, each international region was faced with </w:t>
      </w:r>
      <w:r w:rsidR="00774CF0" w:rsidRPr="00F52737">
        <w:t xml:space="preserve">an </w:t>
      </w:r>
      <w:r w:rsidRPr="00F52737">
        <w:t xml:space="preserve">increasing number of stacked rigs. However, with DPS </w:t>
      </w:r>
      <w:r w:rsidR="009F15A1" w:rsidRPr="00F52737">
        <w:t xml:space="preserve">in </w:t>
      </w:r>
      <w:r w:rsidRPr="00F52737">
        <w:t>Pakistan winning th</w:t>
      </w:r>
      <w:r w:rsidR="009F15A1" w:rsidRPr="00F52737">
        <w:t xml:space="preserve">e contract </w:t>
      </w:r>
      <w:r w:rsidR="0031080D" w:rsidRPr="00F52737">
        <w:t>at</w:t>
      </w:r>
      <w:r w:rsidR="00F53611">
        <w:t xml:space="preserve"> </w:t>
      </w:r>
      <w:r w:rsidR="00F53611" w:rsidRPr="00F52737">
        <w:rPr>
          <w:rFonts w:eastAsia="Calibri"/>
        </w:rPr>
        <w:t>I</w:t>
      </w:r>
      <w:r w:rsidR="00F53611">
        <w:rPr>
          <w:rFonts w:eastAsia="Calibri"/>
        </w:rPr>
        <w:t>ndo Gas Corporation Ltd</w:t>
      </w:r>
      <w:r w:rsidR="00331518">
        <w:rPr>
          <w:rFonts w:eastAsia="Calibri"/>
        </w:rPr>
        <w:t>.</w:t>
      </w:r>
      <w:r w:rsidR="00F53611">
        <w:rPr>
          <w:rFonts w:eastAsia="Calibri"/>
        </w:rPr>
        <w:t xml:space="preserve"> </w:t>
      </w:r>
      <w:r w:rsidR="0031080D" w:rsidRPr="00F52737">
        <w:t>during</w:t>
      </w:r>
      <w:r w:rsidRPr="00F52737">
        <w:t xml:space="preserve"> such a</w:t>
      </w:r>
      <w:r w:rsidR="009F15A1" w:rsidRPr="00F52737">
        <w:t xml:space="preserve"> historically</w:t>
      </w:r>
      <w:r w:rsidRPr="00F52737">
        <w:t xml:space="preserve"> difficult time, it appeared the tr</w:t>
      </w:r>
      <w:r w:rsidR="00774CF0" w:rsidRPr="00F52737">
        <w:t xml:space="preserve">end was the opposite in </w:t>
      </w:r>
      <w:r w:rsidRPr="00F52737">
        <w:t>Pakistan</w:t>
      </w:r>
      <w:r w:rsidR="00774CF0" w:rsidRPr="00F52737">
        <w:t>’s case. The chief executive officer</w:t>
      </w:r>
      <w:r w:rsidRPr="00F52737">
        <w:t xml:space="preserve"> </w:t>
      </w:r>
      <w:r w:rsidR="009F15A1" w:rsidRPr="00F52737">
        <w:t xml:space="preserve">of DPS </w:t>
      </w:r>
      <w:r w:rsidRPr="00F52737">
        <w:t xml:space="preserve">described this success </w:t>
      </w:r>
      <w:r w:rsidR="009F15A1" w:rsidRPr="00F52737">
        <w:t xml:space="preserve">at the company’s annual meeting </w:t>
      </w:r>
      <w:r w:rsidRPr="00F52737">
        <w:t xml:space="preserve">in </w:t>
      </w:r>
      <w:r w:rsidR="009F15A1" w:rsidRPr="00F52737">
        <w:t>Dubai, saying, “</w:t>
      </w:r>
      <w:r w:rsidRPr="00F52737">
        <w:rPr>
          <w:rFonts w:eastAsia="Calibri"/>
        </w:rPr>
        <w:t>We are confident that this project will put us on the path of profitability and also ensure DPS’s long-term viability in Pakistan.</w:t>
      </w:r>
      <w:r w:rsidR="009F15A1" w:rsidRPr="00F52737">
        <w:rPr>
          <w:rFonts w:eastAsia="Calibri"/>
        </w:rPr>
        <w:t>”</w:t>
      </w:r>
    </w:p>
    <w:p w14:paraId="5CD7BF3E" w14:textId="77777777" w:rsidR="00B7723F" w:rsidRPr="00F52737" w:rsidRDefault="00B7723F" w:rsidP="00B7723F">
      <w:pPr>
        <w:pStyle w:val="BodyTextMain"/>
        <w:ind w:left="900"/>
        <w:rPr>
          <w:rFonts w:eastAsia="Calibri"/>
        </w:rPr>
      </w:pPr>
    </w:p>
    <w:p w14:paraId="5BD09586" w14:textId="77777777" w:rsidR="00B7723F" w:rsidRPr="00F52737" w:rsidRDefault="00B7723F" w:rsidP="00B7723F">
      <w:pPr>
        <w:pStyle w:val="BodyTextMain"/>
        <w:ind w:left="900"/>
        <w:rPr>
          <w:rFonts w:eastAsia="Calibri"/>
        </w:rPr>
      </w:pPr>
    </w:p>
    <w:p w14:paraId="6C051403" w14:textId="6401C424" w:rsidR="00B7723F" w:rsidRPr="00F52737" w:rsidRDefault="00F53611" w:rsidP="00565814">
      <w:pPr>
        <w:pStyle w:val="Casehead1"/>
        <w:outlineLvl w:val="0"/>
      </w:pPr>
      <w:r w:rsidRPr="00F52737">
        <w:rPr>
          <w:rFonts w:eastAsia="Calibri"/>
        </w:rPr>
        <w:t>I</w:t>
      </w:r>
      <w:r>
        <w:rPr>
          <w:rFonts w:eastAsia="Calibri"/>
        </w:rPr>
        <w:t>ndo Gas Corporation Ltd</w:t>
      </w:r>
      <w:r w:rsidR="00331518">
        <w:rPr>
          <w:rFonts w:eastAsia="Calibri"/>
        </w:rPr>
        <w:t>.</w:t>
      </w:r>
      <w:r>
        <w:rPr>
          <w:rFonts w:eastAsia="Calibri"/>
        </w:rPr>
        <w:t xml:space="preserve"> </w:t>
      </w:r>
      <w:r w:rsidR="00B7723F" w:rsidRPr="00F52737">
        <w:t>and the bidding process</w:t>
      </w:r>
    </w:p>
    <w:p w14:paraId="19DDAB3B" w14:textId="77777777" w:rsidR="00B7723F" w:rsidRPr="00F52737" w:rsidRDefault="00B7723F" w:rsidP="00B7723F">
      <w:pPr>
        <w:pStyle w:val="BodyTextMain"/>
      </w:pPr>
    </w:p>
    <w:p w14:paraId="67FEBEE3" w14:textId="35776EE8" w:rsidR="00B7723F" w:rsidRPr="00F52737" w:rsidRDefault="00F53611" w:rsidP="00B7723F">
      <w:pPr>
        <w:pStyle w:val="BodyTextMain"/>
        <w:rPr>
          <w:spacing w:val="-2"/>
          <w:kern w:val="22"/>
        </w:rPr>
      </w:pPr>
      <w:r w:rsidRPr="00F52737">
        <w:rPr>
          <w:rFonts w:eastAsia="Calibri"/>
        </w:rPr>
        <w:t>I</w:t>
      </w:r>
      <w:r>
        <w:rPr>
          <w:rFonts w:eastAsia="Calibri"/>
        </w:rPr>
        <w:t>ndo Gas Corporation Ltd</w:t>
      </w:r>
      <w:r w:rsidR="00331518">
        <w:rPr>
          <w:rFonts w:eastAsia="Calibri"/>
        </w:rPr>
        <w:t>.</w:t>
      </w:r>
      <w:r>
        <w:rPr>
          <w:rFonts w:eastAsia="Calibri"/>
        </w:rPr>
        <w:t xml:space="preserve"> </w:t>
      </w:r>
      <w:r w:rsidR="00774CF0" w:rsidRPr="00F52737">
        <w:rPr>
          <w:spacing w:val="-2"/>
          <w:kern w:val="22"/>
        </w:rPr>
        <w:t>owned</w:t>
      </w:r>
      <w:r w:rsidR="00B7723F" w:rsidRPr="00F52737">
        <w:rPr>
          <w:spacing w:val="-2"/>
          <w:kern w:val="22"/>
        </w:rPr>
        <w:t xml:space="preserve"> concessions all over Pakista</w:t>
      </w:r>
      <w:r w:rsidR="00774CF0" w:rsidRPr="00F52737">
        <w:rPr>
          <w:spacing w:val="-2"/>
          <w:kern w:val="22"/>
        </w:rPr>
        <w:t xml:space="preserve">n, each ranging </w:t>
      </w:r>
      <w:r w:rsidR="00467CFB" w:rsidRPr="00F52737">
        <w:rPr>
          <w:spacing w:val="-2"/>
          <w:kern w:val="22"/>
        </w:rPr>
        <w:t xml:space="preserve">in size </w:t>
      </w:r>
      <w:r w:rsidR="00774CF0" w:rsidRPr="00F52737">
        <w:rPr>
          <w:spacing w:val="-2"/>
          <w:kern w:val="22"/>
        </w:rPr>
        <w:t xml:space="preserve">from 30 to 80 </w:t>
      </w:r>
      <w:r w:rsidR="00630806" w:rsidRPr="00F52737">
        <w:rPr>
          <w:spacing w:val="-2"/>
          <w:kern w:val="22"/>
        </w:rPr>
        <w:t xml:space="preserve">square </w:t>
      </w:r>
      <w:r w:rsidR="00774CF0" w:rsidRPr="00F52737">
        <w:rPr>
          <w:spacing w:val="-2"/>
          <w:kern w:val="22"/>
        </w:rPr>
        <w:t>kilomet</w:t>
      </w:r>
      <w:r w:rsidR="0031080D" w:rsidRPr="00F52737">
        <w:rPr>
          <w:spacing w:val="-2"/>
          <w:kern w:val="22"/>
        </w:rPr>
        <w:t>r</w:t>
      </w:r>
      <w:r w:rsidR="00774CF0" w:rsidRPr="00F52737">
        <w:rPr>
          <w:spacing w:val="-2"/>
          <w:kern w:val="22"/>
        </w:rPr>
        <w:t>es</w:t>
      </w:r>
      <w:r w:rsidR="00B7723F" w:rsidRPr="00F52737">
        <w:rPr>
          <w:spacing w:val="-2"/>
          <w:kern w:val="22"/>
        </w:rPr>
        <w:t>. The oil pr</w:t>
      </w:r>
      <w:r>
        <w:rPr>
          <w:spacing w:val="-2"/>
          <w:kern w:val="22"/>
        </w:rPr>
        <w:t xml:space="preserve">oducing activities at </w:t>
      </w:r>
      <w:r w:rsidRPr="00F52737">
        <w:rPr>
          <w:rFonts w:eastAsia="Calibri"/>
        </w:rPr>
        <w:t>I</w:t>
      </w:r>
      <w:r>
        <w:rPr>
          <w:rFonts w:eastAsia="Calibri"/>
        </w:rPr>
        <w:t>ndo Gas Corporation Ltd</w:t>
      </w:r>
      <w:r w:rsidR="00331518">
        <w:rPr>
          <w:rFonts w:eastAsia="Calibri"/>
        </w:rPr>
        <w:t>.</w:t>
      </w:r>
      <w:r>
        <w:rPr>
          <w:rFonts w:eastAsia="Calibri"/>
        </w:rPr>
        <w:t xml:space="preserve"> </w:t>
      </w:r>
      <w:r w:rsidR="00774CF0" w:rsidRPr="00F52737">
        <w:rPr>
          <w:spacing w:val="-2"/>
          <w:kern w:val="22"/>
        </w:rPr>
        <w:t>occurred</w:t>
      </w:r>
      <w:r w:rsidR="00B7723F" w:rsidRPr="00F52737">
        <w:rPr>
          <w:spacing w:val="-2"/>
          <w:kern w:val="22"/>
        </w:rPr>
        <w:t xml:space="preserve"> in six different phases:</w:t>
      </w:r>
    </w:p>
    <w:p w14:paraId="32EDFD1B" w14:textId="77777777" w:rsidR="00B7723F" w:rsidRPr="00F52737" w:rsidRDefault="00B7723F" w:rsidP="00B7723F">
      <w:pPr>
        <w:pStyle w:val="BodyTextMain"/>
      </w:pPr>
    </w:p>
    <w:p w14:paraId="6F13CB33" w14:textId="00702303" w:rsidR="00B7723F" w:rsidRPr="00F52737" w:rsidRDefault="00B7723F" w:rsidP="00B7723F">
      <w:pPr>
        <w:pStyle w:val="BodyTextMain"/>
        <w:numPr>
          <w:ilvl w:val="0"/>
          <w:numId w:val="42"/>
        </w:numPr>
      </w:pPr>
      <w:r w:rsidRPr="00F52737">
        <w:rPr>
          <w:rFonts w:eastAsia="Calibri"/>
        </w:rPr>
        <w:t>Surveying and mapping</w:t>
      </w:r>
      <w:r w:rsidRPr="00F52737">
        <w:t xml:space="preserve"> to identify areas where oil and gas may have accumulated</w:t>
      </w:r>
      <w:r w:rsidR="0031080D" w:rsidRPr="00F52737">
        <w:t>.</w:t>
      </w:r>
    </w:p>
    <w:p w14:paraId="65674DEC" w14:textId="68FBD5C5" w:rsidR="00B7723F" w:rsidRPr="00F52737" w:rsidRDefault="00B7723F" w:rsidP="00B7723F">
      <w:pPr>
        <w:pStyle w:val="BodyTextMain"/>
        <w:numPr>
          <w:ilvl w:val="0"/>
          <w:numId w:val="42"/>
        </w:numPr>
      </w:pPr>
      <w:r w:rsidRPr="00F52737">
        <w:t xml:space="preserve">Identifying the best location to drill an exploratory well to test </w:t>
      </w:r>
      <w:r w:rsidR="0031080D" w:rsidRPr="00F52737">
        <w:t xml:space="preserve">for </w:t>
      </w:r>
      <w:r w:rsidRPr="00F52737">
        <w:t>the formation of hydrocarbons</w:t>
      </w:r>
      <w:r w:rsidR="0031080D" w:rsidRPr="00F52737">
        <w:t>.</w:t>
      </w:r>
    </w:p>
    <w:p w14:paraId="4725543D" w14:textId="4C906554" w:rsidR="00B7723F" w:rsidRPr="00B96685" w:rsidRDefault="00B7723F" w:rsidP="00B7723F">
      <w:pPr>
        <w:pStyle w:val="BodyTextMain"/>
        <w:numPr>
          <w:ilvl w:val="0"/>
          <w:numId w:val="42"/>
        </w:numPr>
        <w:rPr>
          <w:spacing w:val="-2"/>
          <w:kern w:val="22"/>
        </w:rPr>
      </w:pPr>
      <w:r w:rsidRPr="00B96685">
        <w:rPr>
          <w:spacing w:val="-2"/>
          <w:kern w:val="22"/>
        </w:rPr>
        <w:t>Drilling exploration wells (also</w:t>
      </w:r>
      <w:r w:rsidR="00774CF0" w:rsidRPr="00B96685">
        <w:rPr>
          <w:spacing w:val="-2"/>
          <w:kern w:val="22"/>
        </w:rPr>
        <w:t xml:space="preserve"> known as </w:t>
      </w:r>
      <w:r w:rsidR="0031080D" w:rsidRPr="00B96685">
        <w:rPr>
          <w:spacing w:val="-2"/>
          <w:kern w:val="22"/>
        </w:rPr>
        <w:t>“</w:t>
      </w:r>
      <w:r w:rsidR="00774CF0" w:rsidRPr="00B96685">
        <w:rPr>
          <w:spacing w:val="-2"/>
          <w:kern w:val="22"/>
        </w:rPr>
        <w:t>wild cats</w:t>
      </w:r>
      <w:r w:rsidR="0031080D" w:rsidRPr="00B96685">
        <w:rPr>
          <w:spacing w:val="-2"/>
          <w:kern w:val="22"/>
        </w:rPr>
        <w:t>”</w:t>
      </w:r>
      <w:r w:rsidR="00774CF0" w:rsidRPr="00B96685">
        <w:rPr>
          <w:spacing w:val="-2"/>
          <w:kern w:val="22"/>
        </w:rPr>
        <w:t>) in order to</w:t>
      </w:r>
      <w:r w:rsidR="0031080D" w:rsidRPr="00B96685">
        <w:rPr>
          <w:spacing w:val="-2"/>
          <w:kern w:val="22"/>
        </w:rPr>
        <w:t>,</w:t>
      </w:r>
      <w:r w:rsidR="00774CF0" w:rsidRPr="00B96685">
        <w:rPr>
          <w:spacing w:val="-2"/>
          <w:kern w:val="22"/>
        </w:rPr>
        <w:t xml:space="preserve"> first</w:t>
      </w:r>
      <w:r w:rsidR="0031080D" w:rsidRPr="00B96685">
        <w:rPr>
          <w:spacing w:val="-2"/>
          <w:kern w:val="22"/>
        </w:rPr>
        <w:t>,</w:t>
      </w:r>
      <w:r w:rsidRPr="00B96685">
        <w:rPr>
          <w:spacing w:val="-2"/>
          <w:kern w:val="22"/>
        </w:rPr>
        <w:t xml:space="preserve"> determine where </w:t>
      </w:r>
      <w:r w:rsidR="00774CF0" w:rsidRPr="00B96685">
        <w:rPr>
          <w:spacing w:val="-2"/>
          <w:kern w:val="22"/>
        </w:rPr>
        <w:t xml:space="preserve">oil and gas </w:t>
      </w:r>
      <w:r w:rsidR="00893CCA" w:rsidRPr="00B96685">
        <w:rPr>
          <w:spacing w:val="-2"/>
          <w:kern w:val="22"/>
        </w:rPr>
        <w:t>were</w:t>
      </w:r>
      <w:r w:rsidR="00774CF0" w:rsidRPr="00B96685">
        <w:rPr>
          <w:spacing w:val="-2"/>
          <w:kern w:val="22"/>
        </w:rPr>
        <w:t xml:space="preserve"> present and</w:t>
      </w:r>
      <w:r w:rsidR="0031080D" w:rsidRPr="00B96685">
        <w:rPr>
          <w:spacing w:val="-2"/>
          <w:kern w:val="22"/>
        </w:rPr>
        <w:t>,</w:t>
      </w:r>
      <w:r w:rsidR="00774CF0" w:rsidRPr="00B96685">
        <w:rPr>
          <w:spacing w:val="-2"/>
          <w:kern w:val="22"/>
        </w:rPr>
        <w:t xml:space="preserve"> second, </w:t>
      </w:r>
      <w:r w:rsidRPr="00B96685">
        <w:rPr>
          <w:spacing w:val="-2"/>
          <w:kern w:val="22"/>
        </w:rPr>
        <w:t>to measure the area and thickness of the oil- and/or gas-bearing</w:t>
      </w:r>
      <w:r w:rsidR="00774CF0" w:rsidRPr="00B96685">
        <w:rPr>
          <w:spacing w:val="-2"/>
          <w:kern w:val="22"/>
        </w:rPr>
        <w:t xml:space="preserve"> </w:t>
      </w:r>
      <w:hyperlink r:id="rId11" w:anchor="323" w:history="1">
        <w:r w:rsidRPr="00B96685">
          <w:rPr>
            <w:bCs/>
            <w:spacing w:val="-2"/>
            <w:kern w:val="22"/>
          </w:rPr>
          <w:t>reservoir</w:t>
        </w:r>
      </w:hyperlink>
      <w:r w:rsidRPr="00B96685">
        <w:rPr>
          <w:spacing w:val="-2"/>
          <w:kern w:val="22"/>
        </w:rPr>
        <w:t xml:space="preserve">. </w:t>
      </w:r>
      <w:r w:rsidR="0031080D" w:rsidRPr="00B96685">
        <w:rPr>
          <w:spacing w:val="-2"/>
          <w:kern w:val="22"/>
        </w:rPr>
        <w:t>“</w:t>
      </w:r>
      <w:r w:rsidR="004F4D1B" w:rsidRPr="00B96685">
        <w:rPr>
          <w:spacing w:val="-2"/>
          <w:kern w:val="22"/>
        </w:rPr>
        <w:t>A</w:t>
      </w:r>
      <w:r w:rsidR="00774CF0" w:rsidRPr="00B96685">
        <w:rPr>
          <w:spacing w:val="-2"/>
          <w:kern w:val="22"/>
        </w:rPr>
        <w:t>ppraisal wells</w:t>
      </w:r>
      <w:r w:rsidR="0031080D" w:rsidRPr="00B96685">
        <w:rPr>
          <w:spacing w:val="-2"/>
          <w:kern w:val="22"/>
        </w:rPr>
        <w:t>”</w:t>
      </w:r>
      <w:r w:rsidR="00774CF0" w:rsidRPr="00B96685">
        <w:rPr>
          <w:spacing w:val="-2"/>
          <w:kern w:val="22"/>
        </w:rPr>
        <w:t xml:space="preserve"> could </w:t>
      </w:r>
      <w:r w:rsidRPr="00B96685">
        <w:rPr>
          <w:spacing w:val="-2"/>
          <w:kern w:val="22"/>
        </w:rPr>
        <w:t>also be drilled if explor</w:t>
      </w:r>
      <w:r w:rsidR="00774CF0" w:rsidRPr="00B96685">
        <w:rPr>
          <w:spacing w:val="-2"/>
          <w:kern w:val="22"/>
        </w:rPr>
        <w:t>atory wells were successful</w:t>
      </w:r>
      <w:r w:rsidR="004F4D1B" w:rsidRPr="00B96685">
        <w:rPr>
          <w:spacing w:val="-2"/>
          <w:kern w:val="22"/>
        </w:rPr>
        <w:t xml:space="preserve"> to</w:t>
      </w:r>
      <w:r w:rsidRPr="00B96685">
        <w:rPr>
          <w:spacing w:val="-2"/>
          <w:kern w:val="22"/>
        </w:rPr>
        <w:t xml:space="preserve"> establish the extent and size of oil and gas deposits</w:t>
      </w:r>
      <w:r w:rsidR="00774CF0" w:rsidRPr="00B96685">
        <w:rPr>
          <w:spacing w:val="-2"/>
          <w:kern w:val="22"/>
        </w:rPr>
        <w:t xml:space="preserve">. Finally, </w:t>
      </w:r>
      <w:r w:rsidR="0031080D" w:rsidRPr="00B96685">
        <w:rPr>
          <w:spacing w:val="-2"/>
          <w:kern w:val="22"/>
        </w:rPr>
        <w:t>“</w:t>
      </w:r>
      <w:r w:rsidR="00774CF0" w:rsidRPr="00B96685">
        <w:rPr>
          <w:spacing w:val="-2"/>
          <w:kern w:val="22"/>
        </w:rPr>
        <w:t>development wells</w:t>
      </w:r>
      <w:r w:rsidR="0031080D" w:rsidRPr="00B96685">
        <w:rPr>
          <w:spacing w:val="-2"/>
          <w:kern w:val="22"/>
        </w:rPr>
        <w:t>”</w:t>
      </w:r>
      <w:r w:rsidR="00774CF0" w:rsidRPr="00B96685">
        <w:rPr>
          <w:spacing w:val="-2"/>
          <w:kern w:val="22"/>
        </w:rPr>
        <w:t xml:space="preserve"> we</w:t>
      </w:r>
      <w:r w:rsidRPr="00B96685">
        <w:rPr>
          <w:spacing w:val="-2"/>
          <w:kern w:val="22"/>
        </w:rPr>
        <w:t>re drilled in</w:t>
      </w:r>
      <w:r w:rsidR="00774CF0" w:rsidRPr="00B96685">
        <w:rPr>
          <w:spacing w:val="-2"/>
          <w:kern w:val="22"/>
        </w:rPr>
        <w:t xml:space="preserve"> order to extract </w:t>
      </w:r>
      <w:r w:rsidR="0031080D" w:rsidRPr="00B96685">
        <w:rPr>
          <w:spacing w:val="-2"/>
          <w:kern w:val="22"/>
        </w:rPr>
        <w:t xml:space="preserve">the </w:t>
      </w:r>
      <w:r w:rsidR="00774CF0" w:rsidRPr="00B96685">
        <w:rPr>
          <w:spacing w:val="-2"/>
          <w:kern w:val="22"/>
        </w:rPr>
        <w:t>oil and gas.</w:t>
      </w:r>
    </w:p>
    <w:p w14:paraId="7E1D8B83" w14:textId="2189F33E" w:rsidR="00B7723F" w:rsidRPr="00F52737" w:rsidRDefault="00EA3403" w:rsidP="00B7723F">
      <w:pPr>
        <w:pStyle w:val="BodyTextMain"/>
        <w:numPr>
          <w:ilvl w:val="0"/>
          <w:numId w:val="42"/>
        </w:numPr>
      </w:pPr>
      <w:hyperlink r:id="rId12" w:anchor="110" w:history="1">
        <w:r w:rsidR="00B7723F" w:rsidRPr="00F52737">
          <w:rPr>
            <w:bCs/>
          </w:rPr>
          <w:t>Logging</w:t>
        </w:r>
      </w:hyperlink>
      <w:r w:rsidR="00774CF0" w:rsidRPr="00F52737">
        <w:t xml:space="preserve"> </w:t>
      </w:r>
      <w:r w:rsidR="00B7723F" w:rsidRPr="00F52737">
        <w:t>and coring wells to measure</w:t>
      </w:r>
      <w:r w:rsidR="00565814">
        <w:t xml:space="preserve"> </w:t>
      </w:r>
      <w:hyperlink r:id="rId13" w:anchor="320" w:history="1">
        <w:r w:rsidR="00B7723F" w:rsidRPr="00F52737">
          <w:rPr>
            <w:bCs/>
          </w:rPr>
          <w:t>permeability</w:t>
        </w:r>
      </w:hyperlink>
      <w:r w:rsidR="00B7723F" w:rsidRPr="00F52737">
        <w:t>,</w:t>
      </w:r>
      <w:r w:rsidR="00565814">
        <w:t xml:space="preserve"> </w:t>
      </w:r>
      <w:hyperlink r:id="rId14" w:anchor="322" w:history="1">
        <w:r w:rsidR="00B7723F" w:rsidRPr="00F52737">
          <w:rPr>
            <w:bCs/>
          </w:rPr>
          <w:t>porosity</w:t>
        </w:r>
      </w:hyperlink>
      <w:r w:rsidR="00B7723F" w:rsidRPr="00F52737">
        <w:t>, formation pressure</w:t>
      </w:r>
      <w:r w:rsidR="0031080D" w:rsidRPr="00F52737">
        <w:t>,</w:t>
      </w:r>
      <w:r w:rsidR="00B7723F" w:rsidRPr="00F52737">
        <w:t xml:space="preserve"> and other properties of the </w:t>
      </w:r>
      <w:r w:rsidR="004F4D1B" w:rsidRPr="00F52737">
        <w:t xml:space="preserve">encountered </w:t>
      </w:r>
      <w:r w:rsidR="00B7723F" w:rsidRPr="00F52737">
        <w:t>geologic formation(s)</w:t>
      </w:r>
      <w:r w:rsidR="0031080D" w:rsidRPr="00F52737">
        <w:t>.</w:t>
      </w:r>
      <w:r w:rsidR="00B7723F" w:rsidRPr="00F52737">
        <w:t xml:space="preserve"> </w:t>
      </w:r>
    </w:p>
    <w:p w14:paraId="4E7E1B3F" w14:textId="44455050" w:rsidR="00B7723F" w:rsidRPr="00F52737" w:rsidRDefault="00B7723F" w:rsidP="00B7723F">
      <w:pPr>
        <w:pStyle w:val="BodyTextMain"/>
        <w:numPr>
          <w:ilvl w:val="0"/>
          <w:numId w:val="42"/>
        </w:numPr>
      </w:pPr>
      <w:r w:rsidRPr="00F52737">
        <w:t>Completing wells deemed capable of producing commercial quantities of</w:t>
      </w:r>
      <w:r w:rsidR="00565814">
        <w:t xml:space="preserve"> </w:t>
      </w:r>
      <w:hyperlink r:id="rId15" w:anchor="93" w:history="1">
        <w:r w:rsidRPr="00F52737">
          <w:rPr>
            <w:bCs/>
          </w:rPr>
          <w:t>hydrocarbons</w:t>
        </w:r>
      </w:hyperlink>
      <w:r w:rsidR="0031080D" w:rsidRPr="00F52737">
        <w:rPr>
          <w:bCs/>
        </w:rPr>
        <w:t>.</w:t>
      </w:r>
    </w:p>
    <w:p w14:paraId="56E82710" w14:textId="77777777" w:rsidR="00B7723F" w:rsidRPr="00F52737" w:rsidRDefault="00B7723F" w:rsidP="00B7723F">
      <w:pPr>
        <w:pStyle w:val="BodyTextMain"/>
        <w:numPr>
          <w:ilvl w:val="0"/>
          <w:numId w:val="42"/>
        </w:numPr>
      </w:pPr>
      <w:r w:rsidRPr="00F52737">
        <w:t>Installing treatment plants to transfer the oil to refineries.</w:t>
      </w:r>
    </w:p>
    <w:p w14:paraId="232F6F39" w14:textId="77777777" w:rsidR="00B7723F" w:rsidRPr="00F52737" w:rsidRDefault="00B7723F" w:rsidP="00B7723F">
      <w:pPr>
        <w:pStyle w:val="BodyTextMain"/>
      </w:pPr>
    </w:p>
    <w:p w14:paraId="6DCAB273" w14:textId="433818AE" w:rsidR="00B7723F" w:rsidRPr="00B96685" w:rsidRDefault="00B7723F" w:rsidP="00B7723F">
      <w:pPr>
        <w:pStyle w:val="BodyTextMain"/>
        <w:rPr>
          <w:spacing w:val="-2"/>
          <w:kern w:val="22"/>
        </w:rPr>
      </w:pPr>
      <w:r w:rsidRPr="00B96685">
        <w:rPr>
          <w:spacing w:val="-2"/>
          <w:kern w:val="22"/>
        </w:rPr>
        <w:t>For the purpose of drilling the exploration well (</w:t>
      </w:r>
      <w:r w:rsidR="004F4D1B" w:rsidRPr="00B96685">
        <w:rPr>
          <w:spacing w:val="-2"/>
          <w:kern w:val="22"/>
        </w:rPr>
        <w:t>the third phase</w:t>
      </w:r>
      <w:r w:rsidRPr="00B96685">
        <w:rPr>
          <w:spacing w:val="-2"/>
          <w:kern w:val="22"/>
        </w:rPr>
        <w:t>) and the subsequent appraisal and develo</w:t>
      </w:r>
      <w:r w:rsidR="00F53611" w:rsidRPr="00B96685">
        <w:rPr>
          <w:spacing w:val="-2"/>
          <w:kern w:val="22"/>
        </w:rPr>
        <w:t xml:space="preserve">pment wells (if any), </w:t>
      </w:r>
      <w:r w:rsidR="00F53611" w:rsidRPr="00B96685">
        <w:rPr>
          <w:rFonts w:eastAsia="Calibri"/>
          <w:spacing w:val="-2"/>
          <w:kern w:val="22"/>
        </w:rPr>
        <w:t>Indo Gas Corporation Ltd</w:t>
      </w:r>
      <w:r w:rsidR="00331518" w:rsidRPr="00B96685">
        <w:rPr>
          <w:rFonts w:eastAsia="Calibri"/>
          <w:spacing w:val="-2"/>
          <w:kern w:val="22"/>
        </w:rPr>
        <w:t>.</w:t>
      </w:r>
      <w:r w:rsidR="00F53611" w:rsidRPr="00B96685">
        <w:rPr>
          <w:rFonts w:eastAsia="Calibri"/>
          <w:spacing w:val="-2"/>
          <w:kern w:val="22"/>
        </w:rPr>
        <w:t xml:space="preserve"> </w:t>
      </w:r>
      <w:r w:rsidRPr="00B96685">
        <w:rPr>
          <w:spacing w:val="-2"/>
          <w:kern w:val="22"/>
        </w:rPr>
        <w:t xml:space="preserve">required </w:t>
      </w:r>
      <w:r w:rsidR="00893CCA" w:rsidRPr="00B96685">
        <w:rPr>
          <w:spacing w:val="-2"/>
          <w:kern w:val="22"/>
        </w:rPr>
        <w:t xml:space="preserve">the </w:t>
      </w:r>
      <w:r w:rsidRPr="00B96685">
        <w:rPr>
          <w:spacing w:val="-2"/>
          <w:kern w:val="22"/>
        </w:rPr>
        <w:t>services of a drilling contractor and</w:t>
      </w:r>
      <w:r w:rsidR="004F4D1B" w:rsidRPr="00B96685">
        <w:rPr>
          <w:spacing w:val="-2"/>
          <w:kern w:val="22"/>
        </w:rPr>
        <w:t>,</w:t>
      </w:r>
      <w:r w:rsidRPr="00B96685">
        <w:rPr>
          <w:spacing w:val="-2"/>
          <w:kern w:val="22"/>
        </w:rPr>
        <w:t xml:space="preserve"> therefore</w:t>
      </w:r>
      <w:r w:rsidR="004F4D1B" w:rsidRPr="00B96685">
        <w:rPr>
          <w:spacing w:val="-2"/>
          <w:kern w:val="22"/>
        </w:rPr>
        <w:t>,</w:t>
      </w:r>
      <w:r w:rsidRPr="00B96685">
        <w:rPr>
          <w:spacing w:val="-2"/>
          <w:kern w:val="22"/>
        </w:rPr>
        <w:t xml:space="preserve"> sent </w:t>
      </w:r>
      <w:r w:rsidR="00893CCA" w:rsidRPr="00B96685">
        <w:rPr>
          <w:spacing w:val="-2"/>
          <w:kern w:val="22"/>
        </w:rPr>
        <w:t xml:space="preserve">contractors </w:t>
      </w:r>
      <w:r w:rsidRPr="00B96685">
        <w:rPr>
          <w:spacing w:val="-2"/>
          <w:kern w:val="22"/>
        </w:rPr>
        <w:t>an invitation to tender</w:t>
      </w:r>
      <w:r w:rsidR="004F4D1B" w:rsidRPr="00B96685">
        <w:rPr>
          <w:spacing w:val="-2"/>
          <w:kern w:val="22"/>
        </w:rPr>
        <w:t xml:space="preserve"> a </w:t>
      </w:r>
      <w:r w:rsidRPr="00B96685">
        <w:rPr>
          <w:spacing w:val="-2"/>
          <w:kern w:val="22"/>
        </w:rPr>
        <w:t>b</w:t>
      </w:r>
      <w:r w:rsidR="00774CF0" w:rsidRPr="00B96685">
        <w:rPr>
          <w:spacing w:val="-2"/>
          <w:kern w:val="22"/>
        </w:rPr>
        <w:t xml:space="preserve">id. </w:t>
      </w:r>
      <w:r w:rsidR="00366E06" w:rsidRPr="00B96685">
        <w:rPr>
          <w:spacing w:val="-2"/>
          <w:kern w:val="22"/>
        </w:rPr>
        <w:t xml:space="preserve">The invitation </w:t>
      </w:r>
      <w:r w:rsidR="00774CF0" w:rsidRPr="00B96685">
        <w:rPr>
          <w:spacing w:val="-2"/>
          <w:kern w:val="22"/>
        </w:rPr>
        <w:t>wa</w:t>
      </w:r>
      <w:r w:rsidRPr="00B96685">
        <w:rPr>
          <w:spacing w:val="-2"/>
          <w:kern w:val="22"/>
        </w:rPr>
        <w:t>s normally communicated through medi</w:t>
      </w:r>
      <w:r w:rsidR="004F4D1B" w:rsidRPr="00B96685">
        <w:rPr>
          <w:spacing w:val="-2"/>
          <w:kern w:val="22"/>
        </w:rPr>
        <w:t>a</w:t>
      </w:r>
      <w:r w:rsidRPr="00B96685">
        <w:rPr>
          <w:spacing w:val="-2"/>
          <w:kern w:val="22"/>
        </w:rPr>
        <w:t xml:space="preserve"> such as newspaper, email, </w:t>
      </w:r>
      <w:r w:rsidR="00D1409D" w:rsidRPr="00B96685">
        <w:rPr>
          <w:spacing w:val="-2"/>
          <w:kern w:val="22"/>
        </w:rPr>
        <w:t xml:space="preserve">and </w:t>
      </w:r>
      <w:r w:rsidRPr="00B96685">
        <w:rPr>
          <w:spacing w:val="-2"/>
          <w:kern w:val="22"/>
        </w:rPr>
        <w:t>website</w:t>
      </w:r>
      <w:r w:rsidR="00893CCA" w:rsidRPr="00B96685">
        <w:rPr>
          <w:spacing w:val="-2"/>
          <w:kern w:val="22"/>
        </w:rPr>
        <w:t>s,</w:t>
      </w:r>
      <w:r w:rsidRPr="00B96685">
        <w:rPr>
          <w:spacing w:val="-2"/>
          <w:kern w:val="22"/>
        </w:rPr>
        <w:t xml:space="preserve"> or through a bank. Of these options</w:t>
      </w:r>
      <w:r w:rsidR="00893CCA" w:rsidRPr="00B96685">
        <w:rPr>
          <w:spacing w:val="-2"/>
          <w:kern w:val="22"/>
        </w:rPr>
        <w:t>,</w:t>
      </w:r>
      <w:r w:rsidR="00F53611" w:rsidRPr="00B96685">
        <w:rPr>
          <w:spacing w:val="-2"/>
          <w:kern w:val="22"/>
        </w:rPr>
        <w:t xml:space="preserve"> </w:t>
      </w:r>
      <w:r w:rsidR="00F53611" w:rsidRPr="00B96685">
        <w:rPr>
          <w:rFonts w:eastAsia="Calibri"/>
          <w:spacing w:val="-2"/>
          <w:kern w:val="22"/>
        </w:rPr>
        <w:t>Indo Gas Corporation Ltd</w:t>
      </w:r>
      <w:r w:rsidR="00331518" w:rsidRPr="00B96685">
        <w:rPr>
          <w:rFonts w:eastAsia="Calibri"/>
          <w:spacing w:val="-2"/>
          <w:kern w:val="22"/>
        </w:rPr>
        <w:t>.</w:t>
      </w:r>
      <w:r w:rsidR="00F53611" w:rsidRPr="00B96685">
        <w:rPr>
          <w:rFonts w:eastAsia="Calibri"/>
          <w:spacing w:val="-2"/>
          <w:kern w:val="22"/>
        </w:rPr>
        <w:t xml:space="preserve"> </w:t>
      </w:r>
      <w:r w:rsidRPr="00B96685">
        <w:rPr>
          <w:spacing w:val="-2"/>
          <w:kern w:val="22"/>
        </w:rPr>
        <w:t xml:space="preserve">chose </w:t>
      </w:r>
      <w:r w:rsidR="00774CF0" w:rsidRPr="00B96685">
        <w:rPr>
          <w:spacing w:val="-2"/>
          <w:kern w:val="22"/>
        </w:rPr>
        <w:t xml:space="preserve">the </w:t>
      </w:r>
      <w:r w:rsidRPr="00B96685">
        <w:rPr>
          <w:spacing w:val="-2"/>
          <w:kern w:val="22"/>
        </w:rPr>
        <w:t>newspaper.</w:t>
      </w:r>
    </w:p>
    <w:p w14:paraId="142CD054" w14:textId="77777777" w:rsidR="00B7723F" w:rsidRPr="00F52737" w:rsidRDefault="00B7723F" w:rsidP="00B7723F">
      <w:pPr>
        <w:pStyle w:val="BodyTextMain"/>
      </w:pPr>
    </w:p>
    <w:p w14:paraId="1640E562" w14:textId="2B9EB4E6" w:rsidR="00B7723F" w:rsidRPr="00F52737" w:rsidRDefault="00B7723F" w:rsidP="00B7723F">
      <w:pPr>
        <w:pStyle w:val="BodyTextMain"/>
      </w:pPr>
      <w:r w:rsidRPr="00F52737">
        <w:t xml:space="preserve">The </w:t>
      </w:r>
      <w:r w:rsidR="00394DCA" w:rsidRPr="00F52737">
        <w:t>i</w:t>
      </w:r>
      <w:r w:rsidRPr="00F52737">
        <w:t xml:space="preserve">nvitation to </w:t>
      </w:r>
      <w:r w:rsidR="00394DCA" w:rsidRPr="00F52737">
        <w:t>t</w:t>
      </w:r>
      <w:r w:rsidRPr="00F52737">
        <w:t>ender contained detailed information on the scope of the work involved and the requirements of the job. T</w:t>
      </w:r>
      <w:r w:rsidR="00774CF0" w:rsidRPr="00F52737">
        <w:t>he tender was broken down into two</w:t>
      </w:r>
      <w:r w:rsidRPr="00F52737">
        <w:t xml:space="preserve"> parts</w:t>
      </w:r>
      <w:r w:rsidR="00762960">
        <w:t>—</w:t>
      </w:r>
      <w:r w:rsidR="009B0838" w:rsidRPr="00F52737">
        <w:t>the technical bid and the commercial bid</w:t>
      </w:r>
      <w:r w:rsidR="00762960">
        <w:t>—and</w:t>
      </w:r>
      <w:r w:rsidR="00D1409D" w:rsidRPr="00F52737">
        <w:t xml:space="preserve"> </w:t>
      </w:r>
      <w:r w:rsidRPr="00F52737">
        <w:t xml:space="preserve">clearly </w:t>
      </w:r>
      <w:r w:rsidR="00D1409D" w:rsidRPr="00F52737">
        <w:t xml:space="preserve">stated </w:t>
      </w:r>
      <w:r w:rsidRPr="00F52737">
        <w:t xml:space="preserve">the </w:t>
      </w:r>
      <w:r w:rsidR="00D1409D" w:rsidRPr="00F52737">
        <w:t xml:space="preserve">date and time of the </w:t>
      </w:r>
      <w:r w:rsidRPr="00F52737">
        <w:t>submission deadline to ensure transparency.</w:t>
      </w:r>
    </w:p>
    <w:p w14:paraId="52ACA349" w14:textId="77777777" w:rsidR="00B7723F" w:rsidRPr="00F52737" w:rsidRDefault="00B7723F" w:rsidP="00B7723F">
      <w:pPr>
        <w:pStyle w:val="BodyTextMain"/>
      </w:pPr>
    </w:p>
    <w:p w14:paraId="44011AAF" w14:textId="281B92FC" w:rsidR="00B7723F" w:rsidRPr="00B96685" w:rsidRDefault="00B7723F" w:rsidP="00B7723F">
      <w:pPr>
        <w:pStyle w:val="BodyTextMain"/>
        <w:rPr>
          <w:spacing w:val="-4"/>
          <w:kern w:val="22"/>
        </w:rPr>
      </w:pPr>
      <w:r w:rsidRPr="00B96685">
        <w:rPr>
          <w:spacing w:val="-4"/>
          <w:kern w:val="22"/>
        </w:rPr>
        <w:t>At the time of submi</w:t>
      </w:r>
      <w:r w:rsidR="0067618D" w:rsidRPr="00B96685">
        <w:rPr>
          <w:spacing w:val="-4"/>
          <w:kern w:val="22"/>
        </w:rPr>
        <w:t>ssion</w:t>
      </w:r>
      <w:r w:rsidRPr="00B96685">
        <w:rPr>
          <w:spacing w:val="-4"/>
          <w:kern w:val="22"/>
        </w:rPr>
        <w:t xml:space="preserve">, all bidders were required </w:t>
      </w:r>
      <w:r w:rsidR="00774CF0" w:rsidRPr="00B96685">
        <w:rPr>
          <w:spacing w:val="-4"/>
          <w:kern w:val="22"/>
        </w:rPr>
        <w:t xml:space="preserve">to sign a </w:t>
      </w:r>
      <w:r w:rsidR="0067618D" w:rsidRPr="00B96685">
        <w:rPr>
          <w:spacing w:val="-4"/>
          <w:kern w:val="22"/>
        </w:rPr>
        <w:t>“</w:t>
      </w:r>
      <w:r w:rsidR="00774CF0" w:rsidRPr="00B96685">
        <w:rPr>
          <w:spacing w:val="-4"/>
          <w:kern w:val="22"/>
        </w:rPr>
        <w:t>bid bond</w:t>
      </w:r>
      <w:r w:rsidR="0067618D" w:rsidRPr="00B96685">
        <w:rPr>
          <w:spacing w:val="-4"/>
          <w:kern w:val="22"/>
        </w:rPr>
        <w:t>”</w:t>
      </w:r>
      <w:r w:rsidR="00774CF0" w:rsidRPr="00B96685">
        <w:rPr>
          <w:spacing w:val="-4"/>
          <w:kern w:val="22"/>
        </w:rPr>
        <w:t xml:space="preserve"> of six months. Under th</w:t>
      </w:r>
      <w:r w:rsidR="0067618D" w:rsidRPr="00B96685">
        <w:rPr>
          <w:spacing w:val="-4"/>
          <w:kern w:val="22"/>
        </w:rPr>
        <w:t>e</w:t>
      </w:r>
      <w:r w:rsidRPr="00B96685">
        <w:rPr>
          <w:spacing w:val="-4"/>
          <w:kern w:val="22"/>
        </w:rPr>
        <w:t xml:space="preserve"> bid bond, in </w:t>
      </w:r>
      <w:r w:rsidR="0067618D" w:rsidRPr="00B96685">
        <w:rPr>
          <w:spacing w:val="-4"/>
          <w:kern w:val="22"/>
        </w:rPr>
        <w:t xml:space="preserve">the </w:t>
      </w:r>
      <w:r w:rsidRPr="00B96685">
        <w:rPr>
          <w:spacing w:val="-4"/>
          <w:kern w:val="22"/>
        </w:rPr>
        <w:t xml:space="preserve">case </w:t>
      </w:r>
      <w:r w:rsidR="0067618D" w:rsidRPr="00B96685">
        <w:rPr>
          <w:spacing w:val="-4"/>
          <w:kern w:val="22"/>
        </w:rPr>
        <w:t xml:space="preserve">that </w:t>
      </w:r>
      <w:r w:rsidRPr="00B96685">
        <w:rPr>
          <w:spacing w:val="-4"/>
          <w:kern w:val="22"/>
        </w:rPr>
        <w:t>the bidder was not able to</w:t>
      </w:r>
      <w:r w:rsidR="00870B83" w:rsidRPr="00B96685">
        <w:rPr>
          <w:spacing w:val="-4"/>
          <w:kern w:val="22"/>
        </w:rPr>
        <w:t xml:space="preserve"> start the project</w:t>
      </w:r>
      <w:r w:rsidR="00774CF0" w:rsidRPr="00B96685">
        <w:rPr>
          <w:spacing w:val="-4"/>
          <w:kern w:val="22"/>
        </w:rPr>
        <w:t>, the bidder had to pay a sum of $</w:t>
      </w:r>
      <w:r w:rsidRPr="00B96685">
        <w:rPr>
          <w:spacing w:val="-4"/>
          <w:kern w:val="22"/>
        </w:rPr>
        <w:t>120,000 to the client.</w:t>
      </w:r>
    </w:p>
    <w:p w14:paraId="79698C61" w14:textId="77777777" w:rsidR="00B7723F" w:rsidRPr="00F52737" w:rsidRDefault="00B7723F" w:rsidP="00B7723F">
      <w:pPr>
        <w:pStyle w:val="BodyTextMain"/>
      </w:pPr>
    </w:p>
    <w:p w14:paraId="613B5927" w14:textId="77777777" w:rsidR="00B7723F" w:rsidRPr="00F52737" w:rsidRDefault="00B7723F" w:rsidP="00B7723F">
      <w:pPr>
        <w:pStyle w:val="BodyTextMain"/>
      </w:pPr>
    </w:p>
    <w:p w14:paraId="3CD80702" w14:textId="77777777" w:rsidR="00B7723F" w:rsidRPr="00F52737" w:rsidRDefault="00B7723F" w:rsidP="00565814">
      <w:pPr>
        <w:pStyle w:val="Casehead1"/>
        <w:outlineLvl w:val="0"/>
      </w:pPr>
      <w:r w:rsidRPr="00F52737">
        <w:t>The project</w:t>
      </w:r>
    </w:p>
    <w:p w14:paraId="4691A966" w14:textId="77777777" w:rsidR="00B7723F" w:rsidRPr="00F52737" w:rsidRDefault="00B7723F" w:rsidP="00B7723F">
      <w:pPr>
        <w:pStyle w:val="BodyTextMain"/>
      </w:pPr>
    </w:p>
    <w:p w14:paraId="5D1C8771" w14:textId="212D2DCB" w:rsidR="00B7723F" w:rsidRPr="00F52737" w:rsidRDefault="00B7723F" w:rsidP="00B7723F">
      <w:pPr>
        <w:pStyle w:val="BodyTextMain"/>
      </w:pPr>
      <w:r w:rsidRPr="00F52737">
        <w:t>The proje</w:t>
      </w:r>
      <w:r w:rsidR="00774CF0" w:rsidRPr="00F52737">
        <w:t xml:space="preserve">ct was to be started on </w:t>
      </w:r>
      <w:r w:rsidRPr="00F52737">
        <w:t xml:space="preserve">October </w:t>
      </w:r>
      <w:r w:rsidR="00774CF0" w:rsidRPr="00F52737">
        <w:t xml:space="preserve">1, </w:t>
      </w:r>
      <w:r w:rsidRPr="00F52737">
        <w:t xml:space="preserve">2016. </w:t>
      </w:r>
      <w:r w:rsidR="0067618D" w:rsidRPr="00F52737">
        <w:t>It</w:t>
      </w:r>
      <w:r w:rsidRPr="00F52737">
        <w:t xml:space="preserve"> was related</w:t>
      </w:r>
      <w:r w:rsidR="0067618D" w:rsidRPr="00F52737">
        <w:t xml:space="preserve"> particularly</w:t>
      </w:r>
      <w:r w:rsidRPr="00F52737">
        <w:t xml:space="preserve"> to the provision of </w:t>
      </w:r>
      <w:r w:rsidR="0067618D" w:rsidRPr="00331518">
        <w:t>a</w:t>
      </w:r>
      <w:r w:rsidR="00774CF0" w:rsidRPr="00331518">
        <w:t xml:space="preserve"> </w:t>
      </w:r>
      <w:r w:rsidRPr="00331518">
        <w:t>2</w:t>
      </w:r>
      <w:r w:rsidR="00774CF0" w:rsidRPr="00331518">
        <w:t>,</w:t>
      </w:r>
      <w:r w:rsidR="007A0945" w:rsidRPr="00331518">
        <w:t>5</w:t>
      </w:r>
      <w:r w:rsidRPr="00331518">
        <w:t xml:space="preserve">00 </w:t>
      </w:r>
      <w:r w:rsidR="0067618D" w:rsidRPr="00331518">
        <w:t>h</w:t>
      </w:r>
      <w:r w:rsidR="00F775F1" w:rsidRPr="00331518">
        <w:t>orsepower</w:t>
      </w:r>
      <w:r w:rsidR="00D42B1A" w:rsidRPr="00331518">
        <w:t xml:space="preserve"> </w:t>
      </w:r>
      <w:r w:rsidRPr="00331518">
        <w:t>(5</w:t>
      </w:r>
      <w:r w:rsidR="00774CF0" w:rsidRPr="00331518">
        <w:t>,</w:t>
      </w:r>
      <w:r w:rsidRPr="00331518">
        <w:t>000 met</w:t>
      </w:r>
      <w:r w:rsidR="00893CCA" w:rsidRPr="00331518">
        <w:t>r</w:t>
      </w:r>
      <w:r w:rsidRPr="00331518">
        <w:t>es’ depth)</w:t>
      </w:r>
      <w:r w:rsidR="0067618D" w:rsidRPr="00331518">
        <w:t xml:space="preserve"> land drilling rig</w:t>
      </w:r>
      <w:r w:rsidRPr="00331518">
        <w:t xml:space="preserve">. The term of the project was four years, and this was </w:t>
      </w:r>
      <w:r w:rsidRPr="00F52737">
        <w:lastRenderedPageBreak/>
        <w:t xml:space="preserve">extendable upon mutual consent. However, </w:t>
      </w:r>
      <w:r w:rsidRPr="007E3C52">
        <w:t>the firm commitment for</w:t>
      </w:r>
      <w:r w:rsidRPr="00F52737">
        <w:t xml:space="preserve"> engagement of </w:t>
      </w:r>
      <w:r w:rsidR="0067618D" w:rsidRPr="00F52737">
        <w:t xml:space="preserve">the </w:t>
      </w:r>
      <w:r w:rsidRPr="00F52737">
        <w:t>rig was three years</w:t>
      </w:r>
      <w:r w:rsidR="0067618D" w:rsidRPr="00F52737">
        <w:t>,</w:t>
      </w:r>
      <w:r w:rsidRPr="00F52737">
        <w:t xml:space="preserve"> </w:t>
      </w:r>
      <w:r w:rsidR="00762960">
        <w:t>at</w:t>
      </w:r>
      <w:r w:rsidRPr="00F52737">
        <w:t xml:space="preserve"> the agreed rates.</w:t>
      </w:r>
    </w:p>
    <w:p w14:paraId="2A84EEA4" w14:textId="77777777" w:rsidR="00B7723F" w:rsidRPr="00F52737" w:rsidRDefault="00B7723F" w:rsidP="00B7723F">
      <w:pPr>
        <w:pStyle w:val="BodyTextMain"/>
      </w:pPr>
    </w:p>
    <w:p w14:paraId="48C3D555" w14:textId="6C77547B" w:rsidR="00B7723F" w:rsidRPr="00F52737" w:rsidRDefault="00B7723F" w:rsidP="00B7723F">
      <w:pPr>
        <w:pStyle w:val="BodyTextMain"/>
      </w:pPr>
      <w:r w:rsidRPr="00F52737">
        <w:t xml:space="preserve">Among the other requirements of the contract were </w:t>
      </w:r>
      <w:r w:rsidR="00774CF0" w:rsidRPr="00F52737">
        <w:t>the following:</w:t>
      </w:r>
    </w:p>
    <w:p w14:paraId="1BDBE9DC" w14:textId="77777777" w:rsidR="00B7723F" w:rsidRPr="00F52737" w:rsidRDefault="00B7723F" w:rsidP="00B7723F">
      <w:pPr>
        <w:pStyle w:val="BodyTextMain"/>
      </w:pPr>
    </w:p>
    <w:p w14:paraId="5EA75770" w14:textId="2CBB676A" w:rsidR="00B7723F" w:rsidRPr="00F52737" w:rsidRDefault="00B7723F" w:rsidP="00B7723F">
      <w:pPr>
        <w:pStyle w:val="BodyTextMain"/>
        <w:numPr>
          <w:ilvl w:val="0"/>
          <w:numId w:val="43"/>
        </w:numPr>
      </w:pPr>
      <w:r w:rsidRPr="00F52737">
        <w:t xml:space="preserve">DPS was required </w:t>
      </w:r>
      <w:r w:rsidRPr="00434905">
        <w:t xml:space="preserve">to furnish a performance guarantee </w:t>
      </w:r>
      <w:r w:rsidR="00AF25CA" w:rsidRPr="00434905">
        <w:t>with</w:t>
      </w:r>
      <w:r w:rsidRPr="00434905">
        <w:t xml:space="preserve"> respect </w:t>
      </w:r>
      <w:r w:rsidR="0067618D" w:rsidRPr="00434905">
        <w:t>to</w:t>
      </w:r>
      <w:r w:rsidRPr="00434905">
        <w:t xml:space="preserve"> its obligations under the co</w:t>
      </w:r>
      <w:r w:rsidR="00774CF0" w:rsidRPr="00434905">
        <w:t>ntract for an amount equal to $</w:t>
      </w:r>
      <w:r w:rsidRPr="00434905">
        <w:t>200,000 (va</w:t>
      </w:r>
      <w:r w:rsidR="00774CF0" w:rsidRPr="00434905">
        <w:t>lid one</w:t>
      </w:r>
      <w:r w:rsidRPr="00434905">
        <w:t xml:space="preserve"> month</w:t>
      </w:r>
      <w:r w:rsidRPr="00F52737">
        <w:t xml:space="preserve"> after </w:t>
      </w:r>
      <w:r w:rsidR="0067618D" w:rsidRPr="00F52737">
        <w:t xml:space="preserve">the </w:t>
      </w:r>
      <w:r w:rsidRPr="00F52737">
        <w:t>contract</w:t>
      </w:r>
      <w:r w:rsidR="0067618D" w:rsidRPr="00F52737">
        <w:t>’s</w:t>
      </w:r>
      <w:r w:rsidRPr="00F52737">
        <w:t xml:space="preserve"> expiry).</w:t>
      </w:r>
    </w:p>
    <w:p w14:paraId="54D25E92" w14:textId="77CF042B" w:rsidR="00B7723F" w:rsidRPr="00F52737" w:rsidRDefault="00B7723F" w:rsidP="00B7723F">
      <w:pPr>
        <w:pStyle w:val="BodyTextMain"/>
        <w:numPr>
          <w:ilvl w:val="0"/>
          <w:numId w:val="43"/>
        </w:numPr>
        <w:rPr>
          <w:bCs/>
          <w:color w:val="000000"/>
        </w:rPr>
      </w:pPr>
      <w:r w:rsidRPr="00F52737">
        <w:rPr>
          <w:bCs/>
          <w:color w:val="000000"/>
        </w:rPr>
        <w:t xml:space="preserve">If DPS failed to </w:t>
      </w:r>
      <w:r w:rsidR="009B0838" w:rsidRPr="00F52737">
        <w:rPr>
          <w:bCs/>
          <w:color w:val="000000"/>
        </w:rPr>
        <w:t>commence spudding</w:t>
      </w:r>
      <w:r w:rsidR="00EA3403">
        <w:rPr>
          <w:rStyle w:val="FootnoteReference"/>
          <w:bCs/>
          <w:color w:val="000000"/>
        </w:rPr>
        <w:footnoteReference w:id="2"/>
      </w:r>
      <w:r w:rsidR="009B0838" w:rsidRPr="00F52737">
        <w:rPr>
          <w:bCs/>
          <w:color w:val="000000"/>
        </w:rPr>
        <w:t xml:space="preserve"> within the client’s specified </w:t>
      </w:r>
      <w:r w:rsidR="009B0838" w:rsidRPr="005C2C15">
        <w:rPr>
          <w:bCs/>
          <w:color w:val="000000"/>
        </w:rPr>
        <w:t>days</w:t>
      </w:r>
      <w:r w:rsidRPr="005C2C15">
        <w:rPr>
          <w:bCs/>
          <w:color w:val="000000"/>
        </w:rPr>
        <w:t>,</w:t>
      </w:r>
      <w:r w:rsidRPr="00F52737">
        <w:rPr>
          <w:bCs/>
          <w:color w:val="000000"/>
        </w:rPr>
        <w:t xml:space="preserve"> </w:t>
      </w:r>
      <w:r w:rsidR="0054013F">
        <w:rPr>
          <w:bCs/>
          <w:color w:val="000000"/>
        </w:rPr>
        <w:t>it</w:t>
      </w:r>
      <w:r w:rsidR="00762960" w:rsidRPr="00F52737">
        <w:rPr>
          <w:bCs/>
          <w:color w:val="000000"/>
        </w:rPr>
        <w:t xml:space="preserve"> </w:t>
      </w:r>
      <w:r w:rsidR="00AF25CA" w:rsidRPr="00F52737">
        <w:rPr>
          <w:bCs/>
          <w:color w:val="000000"/>
        </w:rPr>
        <w:t xml:space="preserve">had to pay </w:t>
      </w:r>
      <w:r w:rsidRPr="00F52737">
        <w:rPr>
          <w:bCs/>
          <w:color w:val="000000"/>
        </w:rPr>
        <w:t xml:space="preserve">liquidated damages of </w:t>
      </w:r>
      <w:r w:rsidR="005219BF" w:rsidRPr="00F52737">
        <w:rPr>
          <w:bCs/>
          <w:color w:val="000000"/>
        </w:rPr>
        <w:t>$</w:t>
      </w:r>
      <w:r w:rsidRPr="00F52737">
        <w:rPr>
          <w:bCs/>
          <w:color w:val="000000"/>
        </w:rPr>
        <w:t xml:space="preserve">15,000 for each day of </w:t>
      </w:r>
      <w:r w:rsidRPr="005C2C15">
        <w:rPr>
          <w:bCs/>
          <w:color w:val="000000"/>
        </w:rPr>
        <w:t>delay</w:t>
      </w:r>
      <w:r w:rsidR="005219BF" w:rsidRPr="005C2C15">
        <w:rPr>
          <w:bCs/>
          <w:color w:val="000000"/>
        </w:rPr>
        <w:t>, up to a maximum of $</w:t>
      </w:r>
      <w:r w:rsidRPr="005C2C15">
        <w:rPr>
          <w:bCs/>
          <w:color w:val="000000"/>
        </w:rPr>
        <w:t>500,000.</w:t>
      </w:r>
    </w:p>
    <w:p w14:paraId="2582DCAF" w14:textId="08B45DB5" w:rsidR="00B7723F" w:rsidRPr="00F52737" w:rsidRDefault="008B0595" w:rsidP="00B7723F">
      <w:pPr>
        <w:pStyle w:val="BodyTextMain"/>
        <w:numPr>
          <w:ilvl w:val="0"/>
          <w:numId w:val="43"/>
        </w:numPr>
        <w:rPr>
          <w:bCs/>
          <w:color w:val="000000"/>
        </w:rPr>
      </w:pPr>
      <w:r>
        <w:rPr>
          <w:bCs/>
          <w:color w:val="000000"/>
        </w:rPr>
        <w:t>L</w:t>
      </w:r>
      <w:r w:rsidR="005219BF" w:rsidRPr="00F52737">
        <w:rPr>
          <w:bCs/>
          <w:color w:val="000000"/>
        </w:rPr>
        <w:t xml:space="preserve">iquidated damages </w:t>
      </w:r>
      <w:r w:rsidR="005219BF" w:rsidRPr="00331518">
        <w:rPr>
          <w:bCs/>
        </w:rPr>
        <w:t>of $</w:t>
      </w:r>
      <w:r w:rsidR="00F321E8" w:rsidRPr="00331518">
        <w:rPr>
          <w:bCs/>
        </w:rPr>
        <w:t>10</w:t>
      </w:r>
      <w:r w:rsidR="005219BF" w:rsidRPr="00331518">
        <w:rPr>
          <w:bCs/>
        </w:rPr>
        <w:t>,</w:t>
      </w:r>
      <w:r w:rsidR="00B7723F" w:rsidRPr="00331518">
        <w:rPr>
          <w:bCs/>
        </w:rPr>
        <w:t xml:space="preserve">000 per </w:t>
      </w:r>
      <w:r w:rsidR="00B7723F" w:rsidRPr="00F52737">
        <w:rPr>
          <w:bCs/>
          <w:color w:val="000000"/>
        </w:rPr>
        <w:t>day were also to be paid if the well</w:t>
      </w:r>
      <w:r w:rsidR="0067618D" w:rsidRPr="00F52737">
        <w:rPr>
          <w:bCs/>
          <w:color w:val="000000"/>
        </w:rPr>
        <w:t>-</w:t>
      </w:r>
      <w:r w:rsidR="00B7723F" w:rsidRPr="00F52737">
        <w:rPr>
          <w:bCs/>
          <w:color w:val="000000"/>
        </w:rPr>
        <w:t>to</w:t>
      </w:r>
      <w:r w:rsidR="0067618D" w:rsidRPr="00F52737">
        <w:rPr>
          <w:bCs/>
          <w:color w:val="000000"/>
        </w:rPr>
        <w:t>-</w:t>
      </w:r>
      <w:r w:rsidR="00B7723F" w:rsidRPr="00F52737">
        <w:rPr>
          <w:bCs/>
          <w:color w:val="000000"/>
        </w:rPr>
        <w:t xml:space="preserve">well move was delayed beyond </w:t>
      </w:r>
      <w:r w:rsidR="00AF25CA" w:rsidRPr="00F52737">
        <w:rPr>
          <w:bCs/>
          <w:color w:val="000000"/>
        </w:rPr>
        <w:t xml:space="preserve">the </w:t>
      </w:r>
      <w:r w:rsidR="00B7723F" w:rsidRPr="00F52737">
        <w:rPr>
          <w:bCs/>
          <w:color w:val="000000"/>
        </w:rPr>
        <w:t>client</w:t>
      </w:r>
      <w:r w:rsidR="00AF25CA" w:rsidRPr="00F52737">
        <w:rPr>
          <w:bCs/>
          <w:color w:val="000000"/>
        </w:rPr>
        <w:t>’</w:t>
      </w:r>
      <w:r w:rsidR="00B7723F" w:rsidRPr="00F52737">
        <w:rPr>
          <w:bCs/>
          <w:color w:val="000000"/>
        </w:rPr>
        <w:t xml:space="preserve">s specified days due to </w:t>
      </w:r>
      <w:r>
        <w:rPr>
          <w:bCs/>
          <w:color w:val="000000"/>
        </w:rPr>
        <w:t>a</w:t>
      </w:r>
      <w:r w:rsidRPr="00F52737">
        <w:rPr>
          <w:bCs/>
          <w:color w:val="000000"/>
        </w:rPr>
        <w:t xml:space="preserve"> </w:t>
      </w:r>
      <w:r w:rsidR="00C33A90" w:rsidRPr="00F52737">
        <w:rPr>
          <w:bCs/>
          <w:color w:val="000000"/>
        </w:rPr>
        <w:t xml:space="preserve">fault </w:t>
      </w:r>
      <w:r w:rsidR="009B0838" w:rsidRPr="00F52737">
        <w:rPr>
          <w:bCs/>
          <w:color w:val="000000"/>
        </w:rPr>
        <w:t xml:space="preserve">attributed to </w:t>
      </w:r>
      <w:r w:rsidR="00B7723F" w:rsidRPr="00F52737">
        <w:rPr>
          <w:bCs/>
          <w:color w:val="000000"/>
        </w:rPr>
        <w:t xml:space="preserve">the contractor. </w:t>
      </w:r>
    </w:p>
    <w:p w14:paraId="2858F0A7" w14:textId="77777777" w:rsidR="00B7723F" w:rsidRPr="00F52737" w:rsidRDefault="00B7723F" w:rsidP="00B7723F">
      <w:pPr>
        <w:pStyle w:val="BodyTextMain"/>
      </w:pPr>
    </w:p>
    <w:p w14:paraId="5411A5D0" w14:textId="05BDDB6D" w:rsidR="008B0595" w:rsidRDefault="00DF19B9" w:rsidP="00B7723F">
      <w:pPr>
        <w:pStyle w:val="BodyTextMain"/>
      </w:pPr>
      <w:r>
        <w:t>In order to calculate the total cost of the job</w:t>
      </w:r>
      <w:r w:rsidRPr="009E3E7C">
        <w:t xml:space="preserve">, a Bid Summary Analysis </w:t>
      </w:r>
      <w:r w:rsidR="00412DF6" w:rsidRPr="009E3E7C">
        <w:t xml:space="preserve">(BSA) </w:t>
      </w:r>
      <w:r w:rsidRPr="009E3E7C">
        <w:t xml:space="preserve">was to be prepared. </w:t>
      </w:r>
      <w:r w:rsidR="00B7723F" w:rsidRPr="009E3E7C">
        <w:t xml:space="preserve">Although </w:t>
      </w:r>
      <w:r w:rsidR="008B0595" w:rsidRPr="009E3E7C">
        <w:t xml:space="preserve">DPS’s </w:t>
      </w:r>
      <w:r w:rsidR="00B7723F" w:rsidRPr="009E3E7C">
        <w:t>accountant and business development manager took the lead in preparing</w:t>
      </w:r>
      <w:r w:rsidR="00B7723F" w:rsidRPr="00F52737">
        <w:t xml:space="preserve"> the </w:t>
      </w:r>
      <w:r w:rsidR="00412DF6">
        <w:t>BSA</w:t>
      </w:r>
      <w:r w:rsidR="00B7723F" w:rsidRPr="00F52737">
        <w:t xml:space="preserve">, inputs </w:t>
      </w:r>
      <w:r w:rsidR="007F7DCD" w:rsidRPr="00F52737">
        <w:t>from</w:t>
      </w:r>
      <w:r w:rsidR="00B7723F" w:rsidRPr="00F52737">
        <w:t xml:space="preserve"> all departments</w:t>
      </w:r>
      <w:r w:rsidR="00AE1B1C" w:rsidRPr="00F52737">
        <w:t xml:space="preserve"> at </w:t>
      </w:r>
      <w:r w:rsidR="00AE1B1C" w:rsidRPr="00F73F41">
        <w:t>DPS</w:t>
      </w:r>
      <w:r w:rsidR="00B7723F" w:rsidRPr="00F73F41">
        <w:t xml:space="preserve"> (</w:t>
      </w:r>
      <w:r w:rsidR="005038CB" w:rsidRPr="00F73F41">
        <w:t>operations, maintenance</w:t>
      </w:r>
      <w:r w:rsidR="005038CB">
        <w:t>,</w:t>
      </w:r>
      <w:r w:rsidR="005038CB" w:rsidRPr="00F52737">
        <w:t xml:space="preserve"> supply chain</w:t>
      </w:r>
      <w:r w:rsidR="005038CB">
        <w:t>,</w:t>
      </w:r>
      <w:r w:rsidR="005038CB" w:rsidRPr="00F52737">
        <w:t xml:space="preserve"> human resources</w:t>
      </w:r>
      <w:r w:rsidR="005038CB">
        <w:t>,</w:t>
      </w:r>
      <w:r w:rsidR="005038CB" w:rsidRPr="00F52737">
        <w:t xml:space="preserve"> finance and accounts</w:t>
      </w:r>
      <w:r w:rsidR="005038CB">
        <w:t>,</w:t>
      </w:r>
      <w:r w:rsidR="005038CB" w:rsidRPr="00F52737">
        <w:t xml:space="preserve"> business development</w:t>
      </w:r>
      <w:r w:rsidR="005038CB">
        <w:t>,</w:t>
      </w:r>
      <w:r w:rsidR="005038CB" w:rsidRPr="00F52737">
        <w:t xml:space="preserve"> </w:t>
      </w:r>
      <w:r w:rsidR="00254E13">
        <w:t>legal,</w:t>
      </w:r>
      <w:r w:rsidR="005038CB">
        <w:t xml:space="preserve"> </w:t>
      </w:r>
      <w:r w:rsidR="00B3335D">
        <w:t xml:space="preserve">and </w:t>
      </w:r>
      <w:r w:rsidR="005038CB" w:rsidRPr="00F52737">
        <w:t>health, safety, and training</w:t>
      </w:r>
      <w:r w:rsidR="00B7723F" w:rsidRPr="00F52737">
        <w:t xml:space="preserve">) </w:t>
      </w:r>
      <w:r w:rsidR="00AE1B1C" w:rsidRPr="00F52737">
        <w:t>were incorporated</w:t>
      </w:r>
      <w:r w:rsidR="00B7723F" w:rsidRPr="00F52737">
        <w:t>. For all practical purp</w:t>
      </w:r>
      <w:r w:rsidR="00DD7920">
        <w:t xml:space="preserve">oses, DPS </w:t>
      </w:r>
      <w:r w:rsidR="00DD7920" w:rsidRPr="00331518">
        <w:t>assumed no liquidated</w:t>
      </w:r>
      <w:r w:rsidR="00B7723F" w:rsidRPr="00331518">
        <w:t xml:space="preserve"> damages </w:t>
      </w:r>
      <w:r w:rsidR="00B7723F" w:rsidRPr="00F52737">
        <w:t>throughout the term of the contract. The rig was to be offered in its current position</w:t>
      </w:r>
      <w:r w:rsidR="00AE1B1C" w:rsidRPr="00F52737">
        <w:t>,</w:t>
      </w:r>
      <w:r w:rsidR="00B7723F" w:rsidRPr="00F52737">
        <w:t xml:space="preserve"> which meant that no overhaul of the existing rig was needed. </w:t>
      </w:r>
    </w:p>
    <w:p w14:paraId="273E76AF" w14:textId="77777777" w:rsidR="008B0595" w:rsidRDefault="008B0595" w:rsidP="00B7723F">
      <w:pPr>
        <w:pStyle w:val="BodyTextMain"/>
      </w:pPr>
    </w:p>
    <w:p w14:paraId="771510A7" w14:textId="4130FB6F" w:rsidR="00B7723F" w:rsidRDefault="00381EC5" w:rsidP="00B7723F">
      <w:pPr>
        <w:pStyle w:val="BodyTextMain"/>
      </w:pPr>
      <w:r w:rsidRPr="00F52737">
        <w:t xml:space="preserve">The inventory at DPS included consumable parts necessary for the repair and maintenance of equipment. </w:t>
      </w:r>
      <w:r w:rsidR="008B0595">
        <w:t>For</w:t>
      </w:r>
      <w:r w:rsidR="00AE1B1C" w:rsidRPr="00F52737">
        <w:t xml:space="preserve"> inventory</w:t>
      </w:r>
      <w:r w:rsidR="00B7723F" w:rsidRPr="00F52737">
        <w:t xml:space="preserve"> </w:t>
      </w:r>
      <w:r w:rsidR="008B0595">
        <w:t>management</w:t>
      </w:r>
      <w:r w:rsidR="00B7723F" w:rsidRPr="00F52737">
        <w:t xml:space="preserve">, DPS used a </w:t>
      </w:r>
      <w:r w:rsidR="00AE1B1C" w:rsidRPr="00F52737">
        <w:t>“</w:t>
      </w:r>
      <w:r w:rsidR="00B7723F" w:rsidRPr="00F52737">
        <w:t>threshold inventory quantity</w:t>
      </w:r>
      <w:r w:rsidR="00AE1B1C" w:rsidRPr="00F52737">
        <w:t>”</w:t>
      </w:r>
      <w:r w:rsidR="00B7723F" w:rsidRPr="00F52737">
        <w:t xml:space="preserve"> system. Using </w:t>
      </w:r>
      <w:r w:rsidR="00B7723F" w:rsidRPr="007A2B07">
        <w:t>SAP</w:t>
      </w:r>
      <w:r w:rsidR="00AE1B1C" w:rsidRPr="007A2B07">
        <w:t xml:space="preserve"> (systems, applications, and products) inventory management software</w:t>
      </w:r>
      <w:r w:rsidR="00B7723F" w:rsidRPr="007A2B07">
        <w:t>, DPS tracked inventory le</w:t>
      </w:r>
      <w:r w:rsidR="00B7723F" w:rsidRPr="00F52737">
        <w:t>vels by setting threshold levels</w:t>
      </w:r>
      <w:r w:rsidR="00AE1B1C" w:rsidRPr="00F52737">
        <w:t>,</w:t>
      </w:r>
      <w:r w:rsidR="00B7723F" w:rsidRPr="00F52737">
        <w:t xml:space="preserve"> and once inventory reached th</w:t>
      </w:r>
      <w:r w:rsidR="00AE1B1C" w:rsidRPr="00F52737">
        <w:t>ose</w:t>
      </w:r>
      <w:r w:rsidR="00B7723F" w:rsidRPr="00F52737">
        <w:t xml:space="preserve"> levels, the inventory replenishment procedure was implemented. The </w:t>
      </w:r>
      <w:r w:rsidR="008B0595">
        <w:t>s</w:t>
      </w:r>
      <w:r w:rsidR="00B7723F" w:rsidRPr="00F52737">
        <w:t xml:space="preserve">upply </w:t>
      </w:r>
      <w:r w:rsidR="008B0595">
        <w:t>c</w:t>
      </w:r>
      <w:r w:rsidR="00B7723F" w:rsidRPr="00F52737">
        <w:t>hain depart</w:t>
      </w:r>
      <w:r w:rsidR="005219BF" w:rsidRPr="00F52737">
        <w:t>ment had given an estimate of $</w:t>
      </w:r>
      <w:r w:rsidR="00B7723F" w:rsidRPr="00F52737">
        <w:t xml:space="preserve">850,000 as the </w:t>
      </w:r>
      <w:r w:rsidR="005219BF" w:rsidRPr="00F52737">
        <w:t>maximum inventory level and $8</w:t>
      </w:r>
      <w:r w:rsidR="00B7723F" w:rsidRPr="00F52737">
        <w:t>3</w:t>
      </w:r>
      <w:r w:rsidR="005219BF" w:rsidRPr="00F52737">
        <w:t>,</w:t>
      </w:r>
      <w:r w:rsidR="00B7723F" w:rsidRPr="00F52737">
        <w:t>500 as the threshold inventory level. A physical count in the warehouse</w:t>
      </w:r>
      <w:r w:rsidR="00073F1C">
        <w:t xml:space="preserve"> at the headquarter building </w:t>
      </w:r>
      <w:r w:rsidR="00B7723F" w:rsidRPr="00F52737">
        <w:t>and the balance in SAP both revealed that DPS already held the maximum inventory level. Each year</w:t>
      </w:r>
      <w:r w:rsidR="008B0595">
        <w:t>,</w:t>
      </w:r>
      <w:r w:rsidR="00B7723F" w:rsidRPr="00F52737">
        <w:t xml:space="preserve"> an</w:t>
      </w:r>
      <w:r w:rsidR="005219BF" w:rsidRPr="00F52737">
        <w:t xml:space="preserve"> </w:t>
      </w:r>
      <w:r w:rsidR="005A5A87" w:rsidRPr="00F52737">
        <w:t xml:space="preserve">inventory </w:t>
      </w:r>
      <w:r w:rsidR="005219BF" w:rsidRPr="00F52737">
        <w:t>amount equal to $</w:t>
      </w:r>
      <w:r w:rsidR="00B7723F" w:rsidRPr="00F52737">
        <w:t xml:space="preserve">766,500 was to be ordered. </w:t>
      </w:r>
      <w:r w:rsidR="00073F1C">
        <w:t>After the commencement of the project, t</w:t>
      </w:r>
      <w:r w:rsidR="00B7723F" w:rsidRPr="00F52737">
        <w:t>he inventory was to be stored in a warehouse</w:t>
      </w:r>
      <w:r w:rsidR="008A20A7">
        <w:t xml:space="preserve"> </w:t>
      </w:r>
      <w:r w:rsidR="00ED6EC8">
        <w:t>at the rig site</w:t>
      </w:r>
      <w:r w:rsidR="005A5A87" w:rsidRPr="00F52737">
        <w:t>,</w:t>
      </w:r>
      <w:r w:rsidR="00B7723F" w:rsidRPr="00F52737">
        <w:t xml:space="preserve"> and the warehouse costs included </w:t>
      </w:r>
      <w:r w:rsidR="005A5A87" w:rsidRPr="00F52737">
        <w:t xml:space="preserve">the </w:t>
      </w:r>
      <w:r w:rsidR="00B7723F" w:rsidRPr="00F52737">
        <w:t>supervisor’s salary and utility b</w:t>
      </w:r>
      <w:r w:rsidR="005219BF" w:rsidRPr="00F52737">
        <w:t>ills</w:t>
      </w:r>
      <w:r w:rsidR="00EA503C" w:rsidRPr="00F52737">
        <w:t>—</w:t>
      </w:r>
      <w:r w:rsidR="005A5A87" w:rsidRPr="00F52737">
        <w:t>costs</w:t>
      </w:r>
      <w:r w:rsidR="005219BF" w:rsidRPr="00F52737">
        <w:t xml:space="preserve"> estimated to be $</w:t>
      </w:r>
      <w:r w:rsidR="00B7723F" w:rsidRPr="00F52737">
        <w:t>23,725 in the first</w:t>
      </w:r>
      <w:r w:rsidR="005219BF" w:rsidRPr="00F52737">
        <w:t xml:space="preserve"> year and </w:t>
      </w:r>
      <w:r w:rsidR="005A5A87" w:rsidRPr="00F52737">
        <w:t xml:space="preserve">to </w:t>
      </w:r>
      <w:r w:rsidR="005219BF" w:rsidRPr="00F52737">
        <w:t>rise at a rate of 10 per cent</w:t>
      </w:r>
      <w:r w:rsidR="00B7723F" w:rsidRPr="00F52737">
        <w:t xml:space="preserve"> thereafter.</w:t>
      </w:r>
    </w:p>
    <w:p w14:paraId="51C6CD23" w14:textId="5FDD1156" w:rsidR="002C37C0" w:rsidRDefault="002C37C0" w:rsidP="00B7723F">
      <w:pPr>
        <w:pStyle w:val="BodyTextMain"/>
      </w:pPr>
    </w:p>
    <w:p w14:paraId="4CD2F923" w14:textId="42DDA876" w:rsidR="002C37C0" w:rsidRPr="002C37C0" w:rsidRDefault="002C37C0" w:rsidP="002C37C0">
      <w:pPr>
        <w:pStyle w:val="BodyTextMain"/>
        <w:rPr>
          <w:color w:val="000000" w:themeColor="text1"/>
        </w:rPr>
      </w:pPr>
      <w:r w:rsidRPr="000B297B">
        <w:rPr>
          <w:color w:val="000000" w:themeColor="text1"/>
        </w:rPr>
        <w:t xml:space="preserve">The freight charges related to inventory transportation were estimated to be $50,150 per year, while the custom duties on </w:t>
      </w:r>
      <w:r w:rsidRPr="00DB6CAE">
        <w:rPr>
          <w:color w:val="000000" w:themeColor="text1"/>
        </w:rPr>
        <w:t xml:space="preserve">inventory and on equipment from abroad were estimated to be $98,550 per year. The transportation cost </w:t>
      </w:r>
      <w:r w:rsidR="00C24394">
        <w:rPr>
          <w:color w:val="000000" w:themeColor="text1"/>
        </w:rPr>
        <w:t>for repair and maintenance</w:t>
      </w:r>
      <w:r w:rsidR="00980F8C" w:rsidRPr="00DB6CAE">
        <w:rPr>
          <w:color w:val="000000" w:themeColor="text1"/>
        </w:rPr>
        <w:t xml:space="preserve"> </w:t>
      </w:r>
      <w:r w:rsidR="00300A17" w:rsidRPr="000B297B">
        <w:rPr>
          <w:color w:val="000000" w:themeColor="text1"/>
        </w:rPr>
        <w:t xml:space="preserve">was estimated to </w:t>
      </w:r>
      <w:r w:rsidR="00300A17" w:rsidRPr="00331518">
        <w:t>be $47</w:t>
      </w:r>
      <w:r w:rsidR="00331518" w:rsidRPr="00331518">
        <w:t>,</w:t>
      </w:r>
      <w:r w:rsidR="00300A17" w:rsidRPr="00331518">
        <w:t>450 in the first year and this was</w:t>
      </w:r>
      <w:r w:rsidRPr="00331518">
        <w:t xml:space="preserve"> </w:t>
      </w:r>
      <w:r w:rsidRPr="000B297B">
        <w:rPr>
          <w:color w:val="000000" w:themeColor="text1"/>
        </w:rPr>
        <w:t>expected to rise</w:t>
      </w:r>
      <w:r w:rsidR="00300A17" w:rsidRPr="000B297B">
        <w:rPr>
          <w:color w:val="000000" w:themeColor="text1"/>
        </w:rPr>
        <w:t xml:space="preserve"> by 2 per cent thereafter</w:t>
      </w:r>
      <w:r w:rsidRPr="000B297B">
        <w:rPr>
          <w:color w:val="000000" w:themeColor="text1"/>
        </w:rPr>
        <w:t xml:space="preserve">. </w:t>
      </w:r>
    </w:p>
    <w:p w14:paraId="7E2CDCA3" w14:textId="77777777" w:rsidR="00B7723F" w:rsidRPr="00F52737" w:rsidRDefault="00B7723F" w:rsidP="00B7723F">
      <w:pPr>
        <w:pStyle w:val="BodyTextMain"/>
      </w:pPr>
    </w:p>
    <w:p w14:paraId="1A1950BA" w14:textId="33A4B066" w:rsidR="00B7723F" w:rsidRPr="005204E8" w:rsidRDefault="00B7723F" w:rsidP="00B7723F">
      <w:pPr>
        <w:pStyle w:val="BodyTextMain"/>
        <w:rPr>
          <w:color w:val="548DD4" w:themeColor="text2" w:themeTint="99"/>
        </w:rPr>
      </w:pPr>
      <w:r w:rsidRPr="00F52737">
        <w:t>It was</w:t>
      </w:r>
      <w:r w:rsidR="005219BF" w:rsidRPr="00F52737">
        <w:t xml:space="preserve"> projected that there would be three well-to-</w:t>
      </w:r>
      <w:r w:rsidRPr="00F52737">
        <w:t>well moves (each having an expected duration of 11 days) each ye</w:t>
      </w:r>
      <w:r w:rsidR="005219BF" w:rsidRPr="00F52737">
        <w:t xml:space="preserve">ar. During </w:t>
      </w:r>
      <w:r w:rsidR="005A5A87" w:rsidRPr="00F52737">
        <w:t>a</w:t>
      </w:r>
      <w:r w:rsidR="005219BF" w:rsidRPr="00F52737">
        <w:t xml:space="preserve"> well-to-</w:t>
      </w:r>
      <w:r w:rsidR="005219BF" w:rsidRPr="00BE0968">
        <w:rPr>
          <w:color w:val="000000" w:themeColor="text1"/>
        </w:rPr>
        <w:t xml:space="preserve">well move, the company </w:t>
      </w:r>
      <w:r w:rsidR="009B0838" w:rsidRPr="00BE0968">
        <w:rPr>
          <w:color w:val="000000" w:themeColor="text1"/>
        </w:rPr>
        <w:t xml:space="preserve">was to </w:t>
      </w:r>
      <w:r w:rsidR="005219BF" w:rsidRPr="00BE0968">
        <w:rPr>
          <w:color w:val="000000" w:themeColor="text1"/>
        </w:rPr>
        <w:t>incur additional costs of $</w:t>
      </w:r>
      <w:r w:rsidRPr="00BE0968">
        <w:rPr>
          <w:color w:val="000000" w:themeColor="text1"/>
        </w:rPr>
        <w:t xml:space="preserve">13,000 per day in </w:t>
      </w:r>
      <w:r w:rsidR="005219BF" w:rsidRPr="00BE0968">
        <w:rPr>
          <w:color w:val="000000" w:themeColor="text1"/>
        </w:rPr>
        <w:t xml:space="preserve">the </w:t>
      </w:r>
      <w:r w:rsidRPr="00BE0968">
        <w:rPr>
          <w:color w:val="000000" w:themeColor="text1"/>
        </w:rPr>
        <w:t>form of payments to rig movers; therefore</w:t>
      </w:r>
      <w:r w:rsidR="005219BF" w:rsidRPr="00BE0968">
        <w:rPr>
          <w:color w:val="000000" w:themeColor="text1"/>
        </w:rPr>
        <w:t>, the day rate during the well-to-well move was quoted to be 140 per cent</w:t>
      </w:r>
      <w:r w:rsidRPr="00BE0968">
        <w:rPr>
          <w:color w:val="000000" w:themeColor="text1"/>
        </w:rPr>
        <w:t xml:space="preserve"> of the operating day rate. </w:t>
      </w:r>
    </w:p>
    <w:p w14:paraId="583ABE9E" w14:textId="77777777" w:rsidR="00B7723F" w:rsidRPr="005204E8" w:rsidRDefault="00B7723F" w:rsidP="00B7723F">
      <w:pPr>
        <w:pStyle w:val="BodyTextMain"/>
        <w:rPr>
          <w:color w:val="548DD4" w:themeColor="text2" w:themeTint="99"/>
        </w:rPr>
      </w:pPr>
    </w:p>
    <w:p w14:paraId="60AFA570" w14:textId="061B81FE" w:rsidR="00B7723F" w:rsidRPr="00F52737" w:rsidRDefault="00B7723F" w:rsidP="00B7723F">
      <w:pPr>
        <w:pStyle w:val="BodyTextMain"/>
      </w:pPr>
      <w:r w:rsidRPr="00F52737">
        <w:t xml:space="preserve">The operations team was </w:t>
      </w:r>
      <w:r w:rsidR="008B0595">
        <w:t xml:space="preserve">assigned </w:t>
      </w:r>
      <w:r w:rsidRPr="00F52737">
        <w:t xml:space="preserve">the responsibility of mapping the required equipment (specified </w:t>
      </w:r>
      <w:r w:rsidR="005A5A87" w:rsidRPr="00F52737">
        <w:t>in</w:t>
      </w:r>
      <w:r w:rsidRPr="00F52737">
        <w:t xml:space="preserve"> the </w:t>
      </w:r>
      <w:r w:rsidR="005A5A87" w:rsidRPr="00F52737">
        <w:t>invitation to tender</w:t>
      </w:r>
      <w:r w:rsidRPr="00F52737">
        <w:t xml:space="preserve">) with the existing equipment held by DPS. </w:t>
      </w:r>
      <w:r w:rsidR="006D0D70">
        <w:t xml:space="preserve">Part of the rig equipment was </w:t>
      </w:r>
      <w:r w:rsidR="00D0616E">
        <w:t xml:space="preserve">also </w:t>
      </w:r>
      <w:r w:rsidR="006D0D70">
        <w:t>the camp</w:t>
      </w:r>
      <w:r w:rsidR="00FB432B">
        <w:t>,</w:t>
      </w:r>
      <w:r w:rsidR="006D0D70">
        <w:t xml:space="preserve"> which had the capacity </w:t>
      </w:r>
      <w:r w:rsidR="00FB432B">
        <w:t>to</w:t>
      </w:r>
      <w:r w:rsidR="006D0D70">
        <w:t xml:space="preserve"> </w:t>
      </w:r>
      <w:r w:rsidR="00945C54">
        <w:t>accommodat</w:t>
      </w:r>
      <w:r w:rsidR="00FB432B">
        <w:t>e</w:t>
      </w:r>
      <w:r w:rsidR="006D0D70">
        <w:t xml:space="preserve"> 170 individuals. </w:t>
      </w:r>
      <w:r w:rsidRPr="00F52737">
        <w:t>After careful mapping, it was revealed that DPS had sufficient equipment (</w:t>
      </w:r>
      <w:r w:rsidR="005219BF" w:rsidRPr="00F52737">
        <w:t>see Exhibit 1</w:t>
      </w:r>
      <w:r w:rsidRPr="00F52737">
        <w:t xml:space="preserve">) except for part of </w:t>
      </w:r>
      <w:r w:rsidR="005A5A87" w:rsidRPr="00F52737">
        <w:t xml:space="preserve">the </w:t>
      </w:r>
      <w:r w:rsidRPr="00F52737">
        <w:t>rotary equipment. The expected total cost (including freight, duties on initial equipment mobilization, equipment inspection costs, pre</w:t>
      </w:r>
      <w:r w:rsidR="005A5A87" w:rsidRPr="00F52737">
        <w:t>-</w:t>
      </w:r>
      <w:r w:rsidRPr="00F52737">
        <w:lastRenderedPageBreak/>
        <w:t>commencement crew requirements</w:t>
      </w:r>
      <w:r w:rsidR="00B32CFA" w:rsidRPr="00F52737">
        <w:t>,</w:t>
      </w:r>
      <w:r w:rsidRPr="00F52737">
        <w:t xml:space="preserve"> and office set</w:t>
      </w:r>
      <w:r w:rsidR="005A5A87" w:rsidRPr="00F52737">
        <w:t>-</w:t>
      </w:r>
      <w:r w:rsidRPr="00F52737">
        <w:t>up) of</w:t>
      </w:r>
      <w:r w:rsidR="005219BF" w:rsidRPr="00F52737">
        <w:t xml:space="preserve"> the additional equipment was $</w:t>
      </w:r>
      <w:r w:rsidRPr="00F52737">
        <w:t>50,000</w:t>
      </w:r>
      <w:r w:rsidR="00B32CFA" w:rsidRPr="00F52737">
        <w:t>,</w:t>
      </w:r>
      <w:r w:rsidRPr="00F52737">
        <w:t xml:space="preserve"> and its expected useful life was 14 years. </w:t>
      </w:r>
    </w:p>
    <w:p w14:paraId="4D6AA50F" w14:textId="77777777" w:rsidR="00B7723F" w:rsidRPr="00F52737" w:rsidRDefault="00B7723F" w:rsidP="00B7723F">
      <w:pPr>
        <w:pStyle w:val="BodyTextMain"/>
      </w:pPr>
    </w:p>
    <w:p w14:paraId="0F4B1575" w14:textId="6856AA0A" w:rsidR="00B7723F" w:rsidRPr="002C37C0" w:rsidRDefault="00B7723F" w:rsidP="00B7723F">
      <w:pPr>
        <w:pStyle w:val="BodyTextMain"/>
        <w:rPr>
          <w:color w:val="000000" w:themeColor="text1"/>
        </w:rPr>
      </w:pPr>
      <w:r w:rsidRPr="00F52737">
        <w:t>The rig equipment was to be insu</w:t>
      </w:r>
      <w:r w:rsidR="005219BF" w:rsidRPr="00F52737">
        <w:t>red at an expected premium of $</w:t>
      </w:r>
      <w:r w:rsidRPr="00F52737">
        <w:t>49,640 per year. The inspection cost of the</w:t>
      </w:r>
      <w:r w:rsidR="005219BF" w:rsidRPr="00F52737">
        <w:t xml:space="preserve"> tubulars was estimated to be $</w:t>
      </w:r>
      <w:r w:rsidRPr="00F52737">
        <w:t>148,600 in the first year</w:t>
      </w:r>
      <w:r w:rsidR="00B32CFA" w:rsidRPr="00F52737">
        <w:t>, which</w:t>
      </w:r>
      <w:r w:rsidR="005219BF" w:rsidRPr="00F52737">
        <w:t xml:space="preserve"> was expected to rise </w:t>
      </w:r>
      <w:r w:rsidR="005219BF" w:rsidRPr="001A1D31">
        <w:t>by 10 per cent</w:t>
      </w:r>
      <w:r w:rsidRPr="001A1D31">
        <w:t xml:space="preserve"> every year </w:t>
      </w:r>
      <w:r w:rsidRPr="00041766">
        <w:t>thereafter.</w:t>
      </w:r>
      <w:r w:rsidR="00945C54">
        <w:t xml:space="preserve"> </w:t>
      </w:r>
      <w:r w:rsidR="007920EC">
        <w:t>DPS was to generate its own electricity for running the equipment, while t</w:t>
      </w:r>
      <w:r w:rsidR="008E178C">
        <w:t>he fuel</w:t>
      </w:r>
      <w:r w:rsidR="005418D1">
        <w:t xml:space="preserve"> (costing approximately $10,000 </w:t>
      </w:r>
      <w:r w:rsidR="00FD6FC7">
        <w:t xml:space="preserve">per day) </w:t>
      </w:r>
      <w:r w:rsidR="008E178C">
        <w:t>was to be provided directly by the client.</w:t>
      </w:r>
    </w:p>
    <w:p w14:paraId="4E82D749" w14:textId="77777777" w:rsidR="00B7723F" w:rsidRPr="00F52737" w:rsidRDefault="00B7723F" w:rsidP="00B7723F">
      <w:pPr>
        <w:pStyle w:val="BodyTextMain"/>
      </w:pPr>
    </w:p>
    <w:p w14:paraId="0C89E4B0" w14:textId="47C39334" w:rsidR="00B7723F" w:rsidRPr="00F52737" w:rsidRDefault="00B7723F" w:rsidP="00B7723F">
      <w:pPr>
        <w:pStyle w:val="BodyTextMain"/>
      </w:pPr>
      <w:r w:rsidRPr="00F52737">
        <w:t xml:space="preserve">DPS </w:t>
      </w:r>
      <w:r w:rsidR="00B76D3B" w:rsidRPr="00F52737">
        <w:t>had</w:t>
      </w:r>
      <w:r w:rsidRPr="00F52737">
        <w:t xml:space="preserve"> two groups of personnel</w:t>
      </w:r>
      <w:r w:rsidR="00B32CFA" w:rsidRPr="00F52737">
        <w:t>—</w:t>
      </w:r>
      <w:r w:rsidRPr="00F52737">
        <w:t xml:space="preserve">the rig staff and the support staff. </w:t>
      </w:r>
      <w:r w:rsidR="00434071">
        <w:t>S</w:t>
      </w:r>
      <w:r w:rsidR="00434071" w:rsidRPr="00F52737">
        <w:t xml:space="preserve">alaries </w:t>
      </w:r>
      <w:r w:rsidR="00434071">
        <w:t>for</w:t>
      </w:r>
      <w:r w:rsidR="00434071" w:rsidRPr="00F52737">
        <w:t xml:space="preserve"> the support staff </w:t>
      </w:r>
      <w:r w:rsidR="00434071">
        <w:t xml:space="preserve">(see Exhibit 2) and </w:t>
      </w:r>
      <w:r w:rsidR="00434071" w:rsidRPr="00F52737">
        <w:t xml:space="preserve">rig staff </w:t>
      </w:r>
      <w:r w:rsidR="00434071">
        <w:t>(see Exhibit 3) were</w:t>
      </w:r>
      <w:r w:rsidR="00434071" w:rsidRPr="00F52737">
        <w:t xml:space="preserve"> expected </w:t>
      </w:r>
      <w:r w:rsidR="00434071">
        <w:t>to increase</w:t>
      </w:r>
      <w:r w:rsidR="00434071" w:rsidRPr="00F52737">
        <w:t xml:space="preserve"> </w:t>
      </w:r>
      <w:r w:rsidR="00434071">
        <w:t xml:space="preserve">by </w:t>
      </w:r>
      <w:r w:rsidR="00434071" w:rsidRPr="00F52737">
        <w:t xml:space="preserve">10 per cent each year. </w:t>
      </w:r>
      <w:r w:rsidR="00F720D5">
        <w:t>The head office building was rented at a cost of $11</w:t>
      </w:r>
      <w:r w:rsidR="00FB432B">
        <w:t>,</w:t>
      </w:r>
      <w:r w:rsidR="00F720D5">
        <w:t>000</w:t>
      </w:r>
      <w:r w:rsidR="00FB432B">
        <w:t xml:space="preserve"> per </w:t>
      </w:r>
      <w:r w:rsidR="00F720D5">
        <w:t>month and the expected utility expenses of the head office were projected to be $4</w:t>
      </w:r>
      <w:r w:rsidR="00FB432B">
        <w:t>,</w:t>
      </w:r>
      <w:r w:rsidR="00F720D5">
        <w:t>400 per month</w:t>
      </w:r>
      <w:r w:rsidR="008A2E91">
        <w:t xml:space="preserve"> in the first year</w:t>
      </w:r>
      <w:r w:rsidR="00F720D5">
        <w:t xml:space="preserve">. </w:t>
      </w:r>
      <w:r w:rsidR="00071DE9">
        <w:t>After the commencement of the project, there were to be three operational rigs</w:t>
      </w:r>
      <w:r w:rsidR="00FB432B">
        <w:t>;</w:t>
      </w:r>
      <w:r w:rsidR="00071DE9">
        <w:t xml:space="preserve"> therefore</w:t>
      </w:r>
      <w:r w:rsidR="00FB432B">
        <w:t>,</w:t>
      </w:r>
      <w:r w:rsidR="00071DE9">
        <w:t xml:space="preserve"> the support staff costs, head office rent</w:t>
      </w:r>
      <w:r w:rsidR="00FB432B">
        <w:t>,</w:t>
      </w:r>
      <w:r w:rsidR="00071DE9">
        <w:t xml:space="preserve"> and utility expenses were to be distributed among all three of them equally. </w:t>
      </w:r>
    </w:p>
    <w:p w14:paraId="745C1181" w14:textId="77777777" w:rsidR="00E0105B" w:rsidRPr="00F52737" w:rsidRDefault="00E0105B" w:rsidP="00B7723F">
      <w:pPr>
        <w:pStyle w:val="BodyTextMain"/>
      </w:pPr>
    </w:p>
    <w:p w14:paraId="0798D519" w14:textId="42BFF241" w:rsidR="00B7723F" w:rsidRPr="001A1D31" w:rsidRDefault="00B7723F" w:rsidP="00B7723F">
      <w:pPr>
        <w:pStyle w:val="BodyTextMain"/>
      </w:pPr>
      <w:r w:rsidRPr="00F52737">
        <w:t>DPS</w:t>
      </w:r>
      <w:r w:rsidR="005219BF" w:rsidRPr="00F52737">
        <w:t xml:space="preserve"> would enter into a three</w:t>
      </w:r>
      <w:r w:rsidR="00B32CFA" w:rsidRPr="00F52737">
        <w:t>-</w:t>
      </w:r>
      <w:r w:rsidR="005219BF" w:rsidRPr="00F52737">
        <w:t>year</w:t>
      </w:r>
      <w:r w:rsidRPr="00F52737">
        <w:t xml:space="preserve"> agreement with a local vendor to outsou</w:t>
      </w:r>
      <w:r w:rsidR="005219BF" w:rsidRPr="00F52737">
        <w:t>rce the catering</w:t>
      </w:r>
      <w:r w:rsidR="00B76D3B" w:rsidRPr="00F52737">
        <w:t>,</w:t>
      </w:r>
      <w:r w:rsidR="005219BF" w:rsidRPr="00F52737">
        <w:t xml:space="preserve"> at a rate of $</w:t>
      </w:r>
      <w:r w:rsidRPr="00F52737">
        <w:t xml:space="preserve">1,800 per </w:t>
      </w:r>
      <w:r w:rsidRPr="001A1D31">
        <w:t>day.</w:t>
      </w:r>
      <w:r w:rsidR="005219BF" w:rsidRPr="001A1D31">
        <w:t xml:space="preserve"> This rate would increase by 5 per cent</w:t>
      </w:r>
      <w:r w:rsidRPr="001A1D31">
        <w:t xml:space="preserve"> per year. The </w:t>
      </w:r>
      <w:r w:rsidR="00A10420" w:rsidRPr="001A1D31">
        <w:t>s</w:t>
      </w:r>
      <w:r w:rsidRPr="001A1D31">
        <w:t xml:space="preserve">afety and </w:t>
      </w:r>
      <w:r w:rsidR="00A10420" w:rsidRPr="001A1D31">
        <w:t>t</w:t>
      </w:r>
      <w:r w:rsidRPr="001A1D31">
        <w:t>raining department had put</w:t>
      </w:r>
      <w:r w:rsidR="005219BF" w:rsidRPr="001A1D31">
        <w:t xml:space="preserve"> forward an estimated </w:t>
      </w:r>
      <w:r w:rsidR="00E0105B">
        <w:t xml:space="preserve">incremental </w:t>
      </w:r>
      <w:r w:rsidR="005219BF" w:rsidRPr="001A1D31">
        <w:t>cost of $</w:t>
      </w:r>
      <w:r w:rsidRPr="001A1D31">
        <w:t xml:space="preserve">65 per day for each of the three years. </w:t>
      </w:r>
      <w:r w:rsidR="00AA1902">
        <w:t>Similarly, the extr</w:t>
      </w:r>
      <w:r w:rsidR="00E61665">
        <w:t>a</w:t>
      </w:r>
      <w:r w:rsidR="00AA1902">
        <w:t xml:space="preserve"> costs of g</w:t>
      </w:r>
      <w:r w:rsidRPr="001A1D31">
        <w:t>ues</w:t>
      </w:r>
      <w:r w:rsidR="005219BF" w:rsidRPr="001A1D31">
        <w:t xml:space="preserve">t housing </w:t>
      </w:r>
      <w:r w:rsidR="00E1046B">
        <w:t xml:space="preserve">as a result of commencing this project </w:t>
      </w:r>
      <w:r w:rsidR="005219BF" w:rsidRPr="001A1D31">
        <w:t>was estimated to be $</w:t>
      </w:r>
      <w:r w:rsidRPr="001A1D31">
        <w:t>105 per day for each of the three years.</w:t>
      </w:r>
    </w:p>
    <w:p w14:paraId="0D33C493" w14:textId="77777777" w:rsidR="00B7723F" w:rsidRPr="001A1D31" w:rsidRDefault="00B7723F" w:rsidP="00B7723F">
      <w:pPr>
        <w:pStyle w:val="BodyTextMain"/>
      </w:pPr>
    </w:p>
    <w:p w14:paraId="1609007D" w14:textId="6D0C9260" w:rsidR="00B7723F" w:rsidRPr="001A1D31" w:rsidRDefault="00B7723F" w:rsidP="00B7723F">
      <w:pPr>
        <w:pStyle w:val="BodyTextMain"/>
      </w:pPr>
      <w:r w:rsidRPr="001A1D31">
        <w:t xml:space="preserve">DPS planned to rent a coaster bus for transferring employees from the </w:t>
      </w:r>
      <w:r w:rsidR="00A10420" w:rsidRPr="001A1D31">
        <w:t>point of arrival (</w:t>
      </w:r>
      <w:r w:rsidRPr="001A1D31">
        <w:t>airport</w:t>
      </w:r>
      <w:r w:rsidR="00A10420" w:rsidRPr="001A1D31">
        <w:t xml:space="preserve">, </w:t>
      </w:r>
      <w:r w:rsidRPr="001A1D31">
        <w:t>train</w:t>
      </w:r>
      <w:r w:rsidR="00A10420" w:rsidRPr="001A1D31">
        <w:t xml:space="preserve">, or </w:t>
      </w:r>
      <w:r w:rsidR="00B76D3B" w:rsidRPr="001A1D31">
        <w:t>bus</w:t>
      </w:r>
      <w:r w:rsidRPr="001A1D31">
        <w:t xml:space="preserve"> station</w:t>
      </w:r>
      <w:r w:rsidR="00A10420" w:rsidRPr="001A1D31">
        <w:t>)</w:t>
      </w:r>
      <w:r w:rsidRPr="001A1D31">
        <w:t xml:space="preserve"> to the rig site. </w:t>
      </w:r>
      <w:r w:rsidR="00B76D3B" w:rsidRPr="001A1D31">
        <w:t>I</w:t>
      </w:r>
      <w:r w:rsidRPr="001A1D31">
        <w:t xml:space="preserve">t </w:t>
      </w:r>
      <w:r w:rsidR="00B76D3B" w:rsidRPr="001A1D31">
        <w:t>also</w:t>
      </w:r>
      <w:r w:rsidRPr="001A1D31">
        <w:t xml:space="preserve"> planned to </w:t>
      </w:r>
      <w:r w:rsidR="00B76D3B" w:rsidRPr="001A1D31">
        <w:t>rent</w:t>
      </w:r>
      <w:r w:rsidRPr="001A1D31">
        <w:t xml:space="preserve"> </w:t>
      </w:r>
      <w:r w:rsidR="00B76D3B" w:rsidRPr="001A1D31">
        <w:t xml:space="preserve">a </w:t>
      </w:r>
      <w:r w:rsidRPr="001A1D31">
        <w:t>crane, fo</w:t>
      </w:r>
      <w:r w:rsidR="00A10420" w:rsidRPr="001A1D31">
        <w:t>r</w:t>
      </w:r>
      <w:r w:rsidRPr="001A1D31">
        <w:t>klift, and centrifuges. The total rent</w:t>
      </w:r>
      <w:r w:rsidR="00A21BA7" w:rsidRPr="001A1D31">
        <w:t>al cost</w:t>
      </w:r>
      <w:r w:rsidRPr="001A1D31">
        <w:t xml:space="preserve"> </w:t>
      </w:r>
      <w:r w:rsidR="00A21BA7" w:rsidRPr="001A1D31">
        <w:t>for</w:t>
      </w:r>
      <w:r w:rsidRPr="001A1D31">
        <w:t xml:space="preserve"> all </w:t>
      </w:r>
      <w:r w:rsidR="005219BF" w:rsidRPr="001A1D31">
        <w:t>items was expected to be $</w:t>
      </w:r>
      <w:r w:rsidRPr="001A1D31">
        <w:t xml:space="preserve">820 per day. </w:t>
      </w:r>
      <w:r w:rsidR="00A10420" w:rsidRPr="001A1D31">
        <w:t>In addition</w:t>
      </w:r>
      <w:r w:rsidRPr="001A1D31">
        <w:t xml:space="preserve">, </w:t>
      </w:r>
      <w:r w:rsidR="00A10420" w:rsidRPr="001A1D31">
        <w:t xml:space="preserve">DPS </w:t>
      </w:r>
      <w:r w:rsidRPr="001A1D31">
        <w:t xml:space="preserve">anticipated </w:t>
      </w:r>
      <w:r w:rsidRPr="00F127C6">
        <w:t>that misce</w:t>
      </w:r>
      <w:r w:rsidR="005219BF" w:rsidRPr="00F127C6">
        <w:t>llaneous costs</w:t>
      </w:r>
      <w:r w:rsidR="00CB68C9">
        <w:t xml:space="preserve"> of the project</w:t>
      </w:r>
      <w:r w:rsidR="005219BF" w:rsidRPr="00F127C6">
        <w:t xml:space="preserve"> w</w:t>
      </w:r>
      <w:r w:rsidR="00A21BA7" w:rsidRPr="00F127C6">
        <w:t>ould</w:t>
      </w:r>
      <w:r w:rsidR="005219BF" w:rsidRPr="001A1D31">
        <w:t xml:space="preserve"> amount to $</w:t>
      </w:r>
      <w:r w:rsidRPr="001A1D31">
        <w:t>188,750 each year.</w:t>
      </w:r>
    </w:p>
    <w:p w14:paraId="72648104" w14:textId="77777777" w:rsidR="005219BF" w:rsidRPr="001A1D31" w:rsidRDefault="005219BF" w:rsidP="00B7723F">
      <w:pPr>
        <w:pStyle w:val="BodyTextMain"/>
      </w:pPr>
    </w:p>
    <w:p w14:paraId="14B66CD8" w14:textId="0F0F4DC2" w:rsidR="00B7723F" w:rsidRPr="00331518" w:rsidRDefault="00331518" w:rsidP="00B7723F">
      <w:pPr>
        <w:pStyle w:val="BodyTextMain"/>
        <w:rPr>
          <w:spacing w:val="-2"/>
          <w:kern w:val="22"/>
        </w:rPr>
      </w:pPr>
      <w:r w:rsidRPr="00F52737">
        <w:rPr>
          <w:spacing w:val="-2"/>
          <w:kern w:val="22"/>
        </w:rPr>
        <w:t xml:space="preserve">The terms of </w:t>
      </w:r>
      <w:r w:rsidRPr="0090466F">
        <w:rPr>
          <w:spacing w:val="-2"/>
          <w:kern w:val="22"/>
        </w:rPr>
        <w:t>reference in the contract specified that the client was to pay the expected mobilization fee, but the expected demobilization fee of $2,922,335 would be borne</w:t>
      </w:r>
      <w:r>
        <w:rPr>
          <w:spacing w:val="-2"/>
          <w:kern w:val="22"/>
        </w:rPr>
        <w:t xml:space="preserve"> by DPS. </w:t>
      </w:r>
      <w:r w:rsidR="00B7723F" w:rsidRPr="001A1D31">
        <w:rPr>
          <w:spacing w:val="-2"/>
          <w:kern w:val="22"/>
        </w:rPr>
        <w:t xml:space="preserve">To start the project, DPS estimated that mobilization </w:t>
      </w:r>
      <w:r w:rsidR="00200C8D" w:rsidRPr="001A1D31">
        <w:rPr>
          <w:spacing w:val="-2"/>
          <w:kern w:val="22"/>
        </w:rPr>
        <w:t xml:space="preserve">of the rig </w:t>
      </w:r>
      <w:r w:rsidR="00B7723F" w:rsidRPr="001A1D31">
        <w:rPr>
          <w:spacing w:val="-2"/>
          <w:kern w:val="22"/>
        </w:rPr>
        <w:t>from the stack yard to the site would take 30 days a</w:t>
      </w:r>
      <w:r w:rsidR="005219BF" w:rsidRPr="001A1D31">
        <w:rPr>
          <w:spacing w:val="-2"/>
          <w:kern w:val="22"/>
        </w:rPr>
        <w:t>nd</w:t>
      </w:r>
      <w:r w:rsidR="00DD197A" w:rsidRPr="001A1D31">
        <w:rPr>
          <w:spacing w:val="-2"/>
          <w:kern w:val="22"/>
        </w:rPr>
        <w:t xml:space="preserve"> that</w:t>
      </w:r>
      <w:r w:rsidR="005219BF" w:rsidRPr="001A1D31">
        <w:rPr>
          <w:spacing w:val="-2"/>
          <w:kern w:val="22"/>
        </w:rPr>
        <w:t xml:space="preserve"> the expected cost would be $</w:t>
      </w:r>
      <w:r w:rsidR="00B7723F" w:rsidRPr="001A1D31">
        <w:rPr>
          <w:spacing w:val="-2"/>
          <w:kern w:val="22"/>
        </w:rPr>
        <w:t>582,580</w:t>
      </w:r>
      <w:r w:rsidR="00B7723F" w:rsidRPr="00F52737">
        <w:rPr>
          <w:spacing w:val="-2"/>
          <w:kern w:val="22"/>
        </w:rPr>
        <w:t xml:space="preserve">. </w:t>
      </w:r>
      <w:r w:rsidR="0090466F">
        <w:rPr>
          <w:spacing w:val="-2"/>
          <w:kern w:val="22"/>
        </w:rPr>
        <w:t xml:space="preserve">Keeping a margin </w:t>
      </w:r>
      <w:r w:rsidR="0090466F" w:rsidRPr="00331518">
        <w:rPr>
          <w:spacing w:val="-2"/>
          <w:kern w:val="22"/>
        </w:rPr>
        <w:t>of 32.6</w:t>
      </w:r>
      <w:r w:rsidR="005219BF" w:rsidRPr="00331518">
        <w:rPr>
          <w:spacing w:val="-2"/>
          <w:kern w:val="22"/>
        </w:rPr>
        <w:t xml:space="preserve"> per cent</w:t>
      </w:r>
      <w:r w:rsidR="00B7723F" w:rsidRPr="00331518">
        <w:rPr>
          <w:spacing w:val="-2"/>
          <w:kern w:val="22"/>
        </w:rPr>
        <w:t>, DPS</w:t>
      </w:r>
      <w:r w:rsidR="005219BF" w:rsidRPr="00331518">
        <w:rPr>
          <w:spacing w:val="-2"/>
          <w:kern w:val="22"/>
        </w:rPr>
        <w:t xml:space="preserve"> quoted a mobilization fee of $</w:t>
      </w:r>
      <w:r w:rsidR="00280D64" w:rsidRPr="00331518">
        <w:rPr>
          <w:spacing w:val="-2"/>
          <w:kern w:val="22"/>
        </w:rPr>
        <w:t>772,501.</w:t>
      </w:r>
    </w:p>
    <w:p w14:paraId="357A4DA5" w14:textId="77777777" w:rsidR="00B7723F" w:rsidRPr="00F52737" w:rsidRDefault="00B7723F" w:rsidP="00B7723F">
      <w:pPr>
        <w:pStyle w:val="BodyTextMain"/>
      </w:pPr>
    </w:p>
    <w:p w14:paraId="6A01F2E8" w14:textId="58BD710B" w:rsidR="000968FE" w:rsidRDefault="00B7723F" w:rsidP="00B7723F">
      <w:pPr>
        <w:pStyle w:val="BodyTextMain"/>
      </w:pPr>
      <w:r w:rsidRPr="00F52737">
        <w:t>After taking into ac</w:t>
      </w:r>
      <w:r w:rsidR="005219BF" w:rsidRPr="00F52737">
        <w:t>count the</w:t>
      </w:r>
      <w:r w:rsidRPr="00F52737">
        <w:t xml:space="preserve"> projected costs, DPS qu</w:t>
      </w:r>
      <w:r w:rsidR="005219BF" w:rsidRPr="00F52737">
        <w:t>oted an operating day rate of $</w:t>
      </w:r>
      <w:r w:rsidRPr="00F52737">
        <w:t>2</w:t>
      </w:r>
      <w:r w:rsidR="009B2B08">
        <w:t>2</w:t>
      </w:r>
      <w:r w:rsidRPr="00F52737">
        <w:t>,000</w:t>
      </w:r>
      <w:r w:rsidR="001473A0" w:rsidRPr="00F52737">
        <w:t>,</w:t>
      </w:r>
      <w:r w:rsidRPr="00F52737">
        <w:t xml:space="preserve"> and the contract required </w:t>
      </w:r>
      <w:r w:rsidR="009F4D64" w:rsidRPr="00F52737">
        <w:t xml:space="preserve">the </w:t>
      </w:r>
      <w:r w:rsidR="009B0838" w:rsidRPr="00F52737">
        <w:t>day rate</w:t>
      </w:r>
      <w:r w:rsidRPr="00F52737">
        <w:t xml:space="preserve"> to remain constant </w:t>
      </w:r>
      <w:r w:rsidRPr="00331518">
        <w:t xml:space="preserve">during the </w:t>
      </w:r>
      <w:r w:rsidR="00FA4999" w:rsidRPr="00331518">
        <w:t xml:space="preserve">firm commitment </w:t>
      </w:r>
      <w:r w:rsidRPr="00331518">
        <w:t>of the project. When asked what factors led to determin</w:t>
      </w:r>
      <w:r w:rsidR="000968FE" w:rsidRPr="00331518">
        <w:t>ing</w:t>
      </w:r>
      <w:r w:rsidRPr="00331518">
        <w:t xml:space="preserve"> the exact day rate and mobilization fee, the accountant replied that at DPS they first calculate</w:t>
      </w:r>
      <w:r w:rsidR="005219BF" w:rsidRPr="00331518">
        <w:t>d</w:t>
      </w:r>
      <w:r w:rsidRPr="00331518">
        <w:t xml:space="preserve"> the total projected costs of the project, then set a price (day rate and mobilization fee)</w:t>
      </w:r>
      <w:r w:rsidR="009F4D64" w:rsidRPr="00331518">
        <w:t>—</w:t>
      </w:r>
      <w:r w:rsidRPr="00331518">
        <w:t xml:space="preserve">keeping in mind </w:t>
      </w:r>
      <w:r w:rsidR="009F4D64" w:rsidRPr="00331518">
        <w:t>the</w:t>
      </w:r>
      <w:r w:rsidRPr="00331518">
        <w:t xml:space="preserve"> target </w:t>
      </w:r>
      <w:r w:rsidR="005219BF" w:rsidRPr="00331518">
        <w:t>earnings before interest, taxes, depreciation, and amortization</w:t>
      </w:r>
      <w:r w:rsidR="000968FE" w:rsidRPr="00331518">
        <w:t xml:space="preserve">, </w:t>
      </w:r>
      <w:r w:rsidRPr="00331518">
        <w:t>and then finally use</w:t>
      </w:r>
      <w:r w:rsidR="005219BF" w:rsidRPr="00331518">
        <w:t>d</w:t>
      </w:r>
      <w:r w:rsidRPr="00331518">
        <w:t xml:space="preserve"> competitor intelligence to make sure that the set pric</w:t>
      </w:r>
      <w:r w:rsidR="005219BF" w:rsidRPr="00331518">
        <w:t>e wa</w:t>
      </w:r>
      <w:r w:rsidRPr="00331518">
        <w:t>s not higher than that of competitors. The exact pr</w:t>
      </w:r>
      <w:r w:rsidR="005219BF" w:rsidRPr="00331518">
        <w:t>ices quoted by the competitors we</w:t>
      </w:r>
      <w:r w:rsidRPr="00331518">
        <w:t xml:space="preserve">re </w:t>
      </w:r>
      <w:r w:rsidR="00117361" w:rsidRPr="00331518">
        <w:t xml:space="preserve">obviously </w:t>
      </w:r>
      <w:r w:rsidR="00C33BDC" w:rsidRPr="00331518">
        <w:t xml:space="preserve">unknown </w:t>
      </w:r>
      <w:r w:rsidRPr="00331518">
        <w:t>at the time of pre</w:t>
      </w:r>
      <w:r w:rsidR="005219BF" w:rsidRPr="00331518">
        <w:t xml:space="preserve">paring the </w:t>
      </w:r>
      <w:r w:rsidR="00021519" w:rsidRPr="00331518">
        <w:t>BSA</w:t>
      </w:r>
      <w:r w:rsidR="000968FE" w:rsidRPr="00331518">
        <w:t>.</w:t>
      </w:r>
      <w:r w:rsidR="005219BF" w:rsidRPr="00331518">
        <w:t xml:space="preserve"> </w:t>
      </w:r>
      <w:r w:rsidR="00117361" w:rsidRPr="00331518">
        <w:t>However,</w:t>
      </w:r>
      <w:r w:rsidR="009F4D64" w:rsidRPr="00331518">
        <w:t xml:space="preserve"> </w:t>
      </w:r>
      <w:r w:rsidR="005219BF" w:rsidRPr="00331518">
        <w:t>the managers could</w:t>
      </w:r>
      <w:r w:rsidRPr="00331518">
        <w:t xml:space="preserve"> get a fair idea by looking at past rates and ongoing </w:t>
      </w:r>
      <w:r w:rsidRPr="00F52737">
        <w:t xml:space="preserve">rates in </w:t>
      </w:r>
      <w:r w:rsidR="009F4D64" w:rsidRPr="00F52737">
        <w:t xml:space="preserve">the </w:t>
      </w:r>
      <w:r w:rsidRPr="00F52737">
        <w:t xml:space="preserve">industry in the same country. </w:t>
      </w:r>
    </w:p>
    <w:p w14:paraId="4B13449B" w14:textId="77777777" w:rsidR="000968FE" w:rsidRDefault="000968FE" w:rsidP="00B7723F">
      <w:pPr>
        <w:pStyle w:val="BodyTextMain"/>
      </w:pPr>
    </w:p>
    <w:p w14:paraId="30018F1B" w14:textId="616CBE82" w:rsidR="00B7723F" w:rsidRPr="00331518" w:rsidRDefault="00C24394" w:rsidP="00B7723F">
      <w:pPr>
        <w:pStyle w:val="BodyTextMain"/>
      </w:pPr>
      <w:r w:rsidRPr="00C24394">
        <w:rPr>
          <w:bCs/>
        </w:rPr>
        <w:t>DPS assumed that all cash flows occurred at the end of each month.</w:t>
      </w:r>
      <w:r w:rsidR="00B7723F" w:rsidRPr="00C24394">
        <w:t xml:space="preserve"> The</w:t>
      </w:r>
      <w:r w:rsidR="00B7723F" w:rsidRPr="00F52737">
        <w:t xml:space="preserve"> p</w:t>
      </w:r>
      <w:r w:rsidR="005219BF" w:rsidRPr="00F52737">
        <w:t xml:space="preserve">rojected cost of capital was 11 per </w:t>
      </w:r>
      <w:r w:rsidR="005219BF" w:rsidRPr="00331518">
        <w:t>cent</w:t>
      </w:r>
      <w:r w:rsidR="007F4773" w:rsidRPr="00331518">
        <w:t xml:space="preserve"> and t</w:t>
      </w:r>
      <w:r w:rsidR="002C5A48" w:rsidRPr="00331518">
        <w:t>he</w:t>
      </w:r>
      <w:r w:rsidR="00331518">
        <w:t xml:space="preserve"> tax rate was expected to be 32 per cent</w:t>
      </w:r>
      <w:r w:rsidR="002C5A48" w:rsidRPr="00331518">
        <w:t>.</w:t>
      </w:r>
      <w:r w:rsidR="00331518">
        <w:t xml:space="preserve"> </w:t>
      </w:r>
      <w:r>
        <w:t>What was the projected cost and NPV of the project? What ethical issues could have risen during the bidding process?</w:t>
      </w:r>
    </w:p>
    <w:p w14:paraId="46DBC252" w14:textId="77777777" w:rsidR="00B7723F" w:rsidRPr="00F52737" w:rsidRDefault="00B7723F">
      <w:pPr>
        <w:spacing w:after="200" w:line="276" w:lineRule="auto"/>
        <w:rPr>
          <w:sz w:val="22"/>
          <w:szCs w:val="22"/>
        </w:rPr>
      </w:pPr>
      <w:r w:rsidRPr="00F52737">
        <w:br w:type="page"/>
      </w:r>
    </w:p>
    <w:p w14:paraId="77BA9083" w14:textId="6BA60092" w:rsidR="00B7723F" w:rsidRPr="00F52737" w:rsidRDefault="00B7723F" w:rsidP="00565814">
      <w:pPr>
        <w:pStyle w:val="ExhibitHeading"/>
        <w:outlineLvl w:val="0"/>
        <w:rPr>
          <w:rFonts w:eastAsia="Calibri"/>
        </w:rPr>
      </w:pPr>
      <w:r w:rsidRPr="00F52737">
        <w:rPr>
          <w:rFonts w:eastAsia="Calibri"/>
        </w:rPr>
        <w:lastRenderedPageBreak/>
        <w:t xml:space="preserve">Exhibit </w:t>
      </w:r>
      <w:r w:rsidRPr="00F52737">
        <w:rPr>
          <w:rFonts w:eastAsia="Calibri"/>
        </w:rPr>
        <w:fldChar w:fldCharType="begin"/>
      </w:r>
      <w:r w:rsidRPr="00F52737">
        <w:rPr>
          <w:rFonts w:eastAsia="Calibri"/>
        </w:rPr>
        <w:instrText xml:space="preserve"> SEQ Table \* ARABIC </w:instrText>
      </w:r>
      <w:r w:rsidRPr="00F52737">
        <w:rPr>
          <w:rFonts w:eastAsia="Calibri"/>
        </w:rPr>
        <w:fldChar w:fldCharType="separate"/>
      </w:r>
      <w:r w:rsidR="00D1409D" w:rsidRPr="00F52737">
        <w:rPr>
          <w:rFonts w:eastAsia="Calibri"/>
          <w:noProof/>
        </w:rPr>
        <w:t>1</w:t>
      </w:r>
      <w:r w:rsidRPr="00F52737">
        <w:rPr>
          <w:rFonts w:eastAsia="Calibri"/>
        </w:rPr>
        <w:fldChar w:fldCharType="end"/>
      </w:r>
      <w:r w:rsidR="00394DCA" w:rsidRPr="00F52737">
        <w:rPr>
          <w:rFonts w:eastAsia="Calibri"/>
        </w:rPr>
        <w:t>:</w:t>
      </w:r>
      <w:r w:rsidRPr="00F52737">
        <w:rPr>
          <w:rFonts w:eastAsia="Calibri"/>
        </w:rPr>
        <w:t xml:space="preserve"> Details of the equipment</w:t>
      </w:r>
    </w:p>
    <w:p w14:paraId="4B46F1CB" w14:textId="77777777" w:rsidR="00B7723F" w:rsidRPr="00F52737" w:rsidRDefault="00B7723F" w:rsidP="00B7723F">
      <w:pPr>
        <w:pStyle w:val="ExhibitText"/>
        <w:rPr>
          <w:rFonts w:eastAsia="Calibri"/>
        </w:rPr>
      </w:pPr>
    </w:p>
    <w:tbl>
      <w:tblPr>
        <w:tblW w:w="47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2"/>
        <w:gridCol w:w="1465"/>
        <w:gridCol w:w="1467"/>
        <w:gridCol w:w="1467"/>
        <w:gridCol w:w="1468"/>
      </w:tblGrid>
      <w:tr w:rsidR="00303D44" w:rsidRPr="00AD667C" w14:paraId="5BB1381F" w14:textId="77777777" w:rsidTr="00B96685">
        <w:trPr>
          <w:trHeight w:val="620"/>
          <w:jc w:val="center"/>
        </w:trPr>
        <w:tc>
          <w:tcPr>
            <w:tcW w:w="1780" w:type="pct"/>
            <w:shd w:val="clear" w:color="auto" w:fill="auto"/>
            <w:noWrap/>
            <w:vAlign w:val="center"/>
            <w:hideMark/>
          </w:tcPr>
          <w:p w14:paraId="7BB6CA7D" w14:textId="77777777" w:rsidR="00303D44" w:rsidRPr="00AD667C" w:rsidRDefault="00303D44" w:rsidP="00E56947">
            <w:pPr>
              <w:pStyle w:val="ExhibitText"/>
              <w:jc w:val="center"/>
              <w:rPr>
                <w:b/>
              </w:rPr>
            </w:pPr>
            <w:r w:rsidRPr="00AD667C">
              <w:rPr>
                <w:b/>
              </w:rPr>
              <w:t>Description</w:t>
            </w:r>
          </w:p>
        </w:tc>
        <w:tc>
          <w:tcPr>
            <w:tcW w:w="804" w:type="pct"/>
            <w:tcBorders>
              <w:bottom w:val="single" w:sz="4" w:space="0" w:color="auto"/>
            </w:tcBorders>
            <w:shd w:val="clear" w:color="auto" w:fill="auto"/>
            <w:noWrap/>
            <w:vAlign w:val="center"/>
            <w:hideMark/>
          </w:tcPr>
          <w:p w14:paraId="3D42095C" w14:textId="77777777" w:rsidR="00303D44" w:rsidRPr="00AD667C" w:rsidRDefault="00303D44" w:rsidP="00B96685">
            <w:pPr>
              <w:pStyle w:val="ExhibitText"/>
              <w:jc w:val="center"/>
              <w:rPr>
                <w:b/>
              </w:rPr>
            </w:pPr>
            <w:r w:rsidRPr="00AD667C">
              <w:rPr>
                <w:b/>
              </w:rPr>
              <w:t>Original</w:t>
            </w:r>
          </w:p>
          <w:p w14:paraId="2E832422" w14:textId="296DEEA2" w:rsidR="00303D44" w:rsidRPr="00AD667C" w:rsidRDefault="00303D44" w:rsidP="00B96685">
            <w:pPr>
              <w:pStyle w:val="ExhibitText"/>
              <w:jc w:val="center"/>
              <w:rPr>
                <w:b/>
              </w:rPr>
            </w:pPr>
            <w:r w:rsidRPr="00AD667C">
              <w:rPr>
                <w:b/>
              </w:rPr>
              <w:t>Cost (US$)</w:t>
            </w:r>
          </w:p>
        </w:tc>
        <w:tc>
          <w:tcPr>
            <w:tcW w:w="805" w:type="pct"/>
            <w:shd w:val="clear" w:color="auto" w:fill="auto"/>
            <w:noWrap/>
            <w:vAlign w:val="center"/>
            <w:hideMark/>
          </w:tcPr>
          <w:p w14:paraId="501BDCD5" w14:textId="77777777" w:rsidR="00303D44" w:rsidRPr="00AD667C" w:rsidRDefault="00303D44" w:rsidP="00B96685">
            <w:pPr>
              <w:pStyle w:val="ExhibitText"/>
              <w:jc w:val="center"/>
              <w:rPr>
                <w:b/>
              </w:rPr>
            </w:pPr>
            <w:r w:rsidRPr="00AD667C">
              <w:rPr>
                <w:b/>
              </w:rPr>
              <w:t>Salvage</w:t>
            </w:r>
          </w:p>
          <w:p w14:paraId="780DF69A" w14:textId="57F3B20A" w:rsidR="00303D44" w:rsidRPr="00AD667C" w:rsidRDefault="00303D44" w:rsidP="00B96685">
            <w:pPr>
              <w:pStyle w:val="ExhibitText"/>
              <w:jc w:val="center"/>
              <w:rPr>
                <w:b/>
              </w:rPr>
            </w:pPr>
            <w:r w:rsidRPr="00AD667C">
              <w:rPr>
                <w:b/>
              </w:rPr>
              <w:t>Value (US$)</w:t>
            </w:r>
          </w:p>
        </w:tc>
        <w:tc>
          <w:tcPr>
            <w:tcW w:w="805" w:type="pct"/>
            <w:shd w:val="clear" w:color="auto" w:fill="auto"/>
            <w:noWrap/>
            <w:vAlign w:val="center"/>
            <w:hideMark/>
          </w:tcPr>
          <w:p w14:paraId="7F304CF5" w14:textId="77777777" w:rsidR="00303D44" w:rsidRPr="00AD667C" w:rsidRDefault="00303D44" w:rsidP="00B96685">
            <w:pPr>
              <w:pStyle w:val="ExhibitText"/>
              <w:jc w:val="center"/>
              <w:rPr>
                <w:b/>
              </w:rPr>
            </w:pPr>
            <w:r w:rsidRPr="00AD667C">
              <w:rPr>
                <w:b/>
              </w:rPr>
              <w:t>Original</w:t>
            </w:r>
          </w:p>
          <w:p w14:paraId="4ABA725F" w14:textId="0F7E38FF" w:rsidR="00303D44" w:rsidRPr="00AD667C" w:rsidRDefault="00303D44" w:rsidP="00B96685">
            <w:pPr>
              <w:pStyle w:val="ExhibitText"/>
              <w:jc w:val="center"/>
              <w:rPr>
                <w:b/>
              </w:rPr>
            </w:pPr>
            <w:r w:rsidRPr="00AD667C">
              <w:rPr>
                <w:b/>
              </w:rPr>
              <w:t>Life Years</w:t>
            </w:r>
          </w:p>
        </w:tc>
        <w:tc>
          <w:tcPr>
            <w:tcW w:w="805" w:type="pct"/>
            <w:shd w:val="clear" w:color="auto" w:fill="auto"/>
            <w:noWrap/>
            <w:vAlign w:val="center"/>
            <w:hideMark/>
          </w:tcPr>
          <w:p w14:paraId="3108E582" w14:textId="77777777" w:rsidR="00303D44" w:rsidRPr="00AD667C" w:rsidRDefault="00303D44" w:rsidP="00B96685">
            <w:pPr>
              <w:pStyle w:val="ExhibitText"/>
              <w:jc w:val="center"/>
              <w:rPr>
                <w:b/>
              </w:rPr>
            </w:pPr>
            <w:r w:rsidRPr="00AD667C">
              <w:rPr>
                <w:b/>
              </w:rPr>
              <w:t>Remaining</w:t>
            </w:r>
          </w:p>
          <w:p w14:paraId="6DC28D3C" w14:textId="785D4C3A" w:rsidR="00303D44" w:rsidRPr="00AD667C" w:rsidRDefault="00303D44" w:rsidP="00B96685">
            <w:pPr>
              <w:pStyle w:val="ExhibitText"/>
              <w:jc w:val="center"/>
              <w:rPr>
                <w:b/>
              </w:rPr>
            </w:pPr>
            <w:r w:rsidRPr="00AD667C">
              <w:rPr>
                <w:b/>
              </w:rPr>
              <w:t>Life Years</w:t>
            </w:r>
          </w:p>
        </w:tc>
      </w:tr>
      <w:tr w:rsidR="00B7723F" w:rsidRPr="00F52737" w14:paraId="12F26F74" w14:textId="77777777" w:rsidTr="008A634F">
        <w:trPr>
          <w:trHeight w:val="288"/>
          <w:jc w:val="center"/>
        </w:trPr>
        <w:tc>
          <w:tcPr>
            <w:tcW w:w="1780" w:type="pct"/>
            <w:shd w:val="clear" w:color="auto" w:fill="auto"/>
            <w:noWrap/>
            <w:vAlign w:val="center"/>
            <w:hideMark/>
          </w:tcPr>
          <w:p w14:paraId="3882C8F6" w14:textId="77777777" w:rsidR="00B7723F" w:rsidRPr="00F52737" w:rsidRDefault="00B7723F" w:rsidP="00AD667C">
            <w:pPr>
              <w:pStyle w:val="ExhibitText"/>
              <w:jc w:val="left"/>
            </w:pPr>
            <w:r w:rsidRPr="00F52737">
              <w:t>Rotary</w:t>
            </w:r>
          </w:p>
        </w:tc>
        <w:tc>
          <w:tcPr>
            <w:tcW w:w="804" w:type="pct"/>
            <w:shd w:val="clear" w:color="auto" w:fill="auto"/>
            <w:noWrap/>
            <w:vAlign w:val="center"/>
            <w:hideMark/>
          </w:tcPr>
          <w:p w14:paraId="0C6447FB" w14:textId="77777777" w:rsidR="00B7723F" w:rsidRPr="00F52737" w:rsidRDefault="00B7723F" w:rsidP="00E56947">
            <w:pPr>
              <w:pStyle w:val="ExhibitText"/>
              <w:jc w:val="right"/>
            </w:pPr>
            <w:r w:rsidRPr="00F52737">
              <w:t>27,000,000</w:t>
            </w:r>
          </w:p>
        </w:tc>
        <w:tc>
          <w:tcPr>
            <w:tcW w:w="805" w:type="pct"/>
            <w:shd w:val="clear" w:color="auto" w:fill="auto"/>
            <w:noWrap/>
            <w:vAlign w:val="center"/>
            <w:hideMark/>
          </w:tcPr>
          <w:p w14:paraId="7E2A2E03" w14:textId="77777777" w:rsidR="00B7723F" w:rsidRPr="00F52737" w:rsidRDefault="00B7723F" w:rsidP="00E56947">
            <w:pPr>
              <w:pStyle w:val="ExhibitText"/>
              <w:jc w:val="right"/>
            </w:pPr>
            <w:r w:rsidRPr="00F52737">
              <w:t>5,420,000</w:t>
            </w:r>
          </w:p>
        </w:tc>
        <w:tc>
          <w:tcPr>
            <w:tcW w:w="805" w:type="pct"/>
            <w:shd w:val="clear" w:color="auto" w:fill="auto"/>
            <w:noWrap/>
            <w:vAlign w:val="center"/>
            <w:hideMark/>
          </w:tcPr>
          <w:p w14:paraId="33343462" w14:textId="07B3D299" w:rsidR="00B7723F" w:rsidRPr="00F52737" w:rsidRDefault="00B7723F" w:rsidP="00E56947">
            <w:pPr>
              <w:pStyle w:val="ExhibitText"/>
              <w:jc w:val="right"/>
            </w:pPr>
            <w:r w:rsidRPr="00F52737">
              <w:t>20</w:t>
            </w:r>
            <w:r w:rsidR="00E56947">
              <w:t>.0</w:t>
            </w:r>
          </w:p>
        </w:tc>
        <w:tc>
          <w:tcPr>
            <w:tcW w:w="805" w:type="pct"/>
            <w:shd w:val="clear" w:color="auto" w:fill="auto"/>
            <w:noWrap/>
            <w:vAlign w:val="center"/>
            <w:hideMark/>
          </w:tcPr>
          <w:p w14:paraId="74CA60DA" w14:textId="77777777" w:rsidR="00B7723F" w:rsidRPr="00F52737" w:rsidRDefault="00B7723F" w:rsidP="00AD667C">
            <w:pPr>
              <w:pStyle w:val="ExhibitText"/>
              <w:jc w:val="right"/>
            </w:pPr>
            <w:r w:rsidRPr="00F52737">
              <w:t>11.5</w:t>
            </w:r>
          </w:p>
        </w:tc>
      </w:tr>
      <w:tr w:rsidR="00B7723F" w:rsidRPr="00F52737" w14:paraId="0CF2718F" w14:textId="77777777" w:rsidTr="008A634F">
        <w:trPr>
          <w:trHeight w:val="288"/>
          <w:jc w:val="center"/>
        </w:trPr>
        <w:tc>
          <w:tcPr>
            <w:tcW w:w="1780" w:type="pct"/>
            <w:shd w:val="clear" w:color="auto" w:fill="auto"/>
            <w:noWrap/>
            <w:vAlign w:val="center"/>
            <w:hideMark/>
          </w:tcPr>
          <w:p w14:paraId="79AA6A1D" w14:textId="09452F38" w:rsidR="00B7723F" w:rsidRPr="00F52737" w:rsidRDefault="00B7723F" w:rsidP="00AD667C">
            <w:pPr>
              <w:pStyle w:val="ExhibitText"/>
              <w:jc w:val="left"/>
            </w:pPr>
            <w:r w:rsidRPr="00F52737">
              <w:t xml:space="preserve">Camp </w:t>
            </w:r>
            <w:r w:rsidR="00E56947">
              <w:t>and</w:t>
            </w:r>
            <w:r w:rsidRPr="00F52737">
              <w:t xml:space="preserve"> Rolling Stock</w:t>
            </w:r>
          </w:p>
        </w:tc>
        <w:tc>
          <w:tcPr>
            <w:tcW w:w="804" w:type="pct"/>
            <w:shd w:val="clear" w:color="auto" w:fill="auto"/>
            <w:noWrap/>
            <w:vAlign w:val="center"/>
            <w:hideMark/>
          </w:tcPr>
          <w:p w14:paraId="19B5C47D" w14:textId="77777777" w:rsidR="00B7723F" w:rsidRPr="00F52737" w:rsidRDefault="00B7723F" w:rsidP="00E56947">
            <w:pPr>
              <w:pStyle w:val="ExhibitText"/>
              <w:jc w:val="right"/>
            </w:pPr>
            <w:r w:rsidRPr="00F52737">
              <w:t>3,610,000</w:t>
            </w:r>
          </w:p>
        </w:tc>
        <w:tc>
          <w:tcPr>
            <w:tcW w:w="805" w:type="pct"/>
            <w:shd w:val="clear" w:color="auto" w:fill="auto"/>
            <w:noWrap/>
            <w:vAlign w:val="center"/>
            <w:hideMark/>
          </w:tcPr>
          <w:p w14:paraId="6D3F9CE4" w14:textId="3E313C34" w:rsidR="00B7723F" w:rsidRPr="00F52737" w:rsidRDefault="00565814" w:rsidP="00E56947">
            <w:pPr>
              <w:pStyle w:val="ExhibitText"/>
              <w:jc w:val="right"/>
            </w:pPr>
            <w:r>
              <w:t xml:space="preserve"> </w:t>
            </w:r>
          </w:p>
        </w:tc>
        <w:tc>
          <w:tcPr>
            <w:tcW w:w="805" w:type="pct"/>
            <w:shd w:val="clear" w:color="auto" w:fill="auto"/>
            <w:noWrap/>
            <w:vAlign w:val="center"/>
            <w:hideMark/>
          </w:tcPr>
          <w:p w14:paraId="3C72BA7C" w14:textId="3B04086F" w:rsidR="00B7723F" w:rsidRPr="00F52737" w:rsidRDefault="00B7723F" w:rsidP="00E56947">
            <w:pPr>
              <w:pStyle w:val="ExhibitText"/>
              <w:jc w:val="right"/>
            </w:pPr>
            <w:r w:rsidRPr="00F52737">
              <w:t>12</w:t>
            </w:r>
            <w:r w:rsidR="00E56947">
              <w:t>.0</w:t>
            </w:r>
          </w:p>
        </w:tc>
        <w:tc>
          <w:tcPr>
            <w:tcW w:w="805" w:type="pct"/>
            <w:shd w:val="clear" w:color="auto" w:fill="auto"/>
            <w:noWrap/>
            <w:vAlign w:val="center"/>
            <w:hideMark/>
          </w:tcPr>
          <w:p w14:paraId="1868F101" w14:textId="77777777" w:rsidR="00B7723F" w:rsidRPr="00F52737" w:rsidRDefault="00B7723F" w:rsidP="00AD667C">
            <w:pPr>
              <w:pStyle w:val="ExhibitText"/>
              <w:jc w:val="right"/>
            </w:pPr>
            <w:r w:rsidRPr="00F52737">
              <w:t>3.5</w:t>
            </w:r>
          </w:p>
        </w:tc>
      </w:tr>
      <w:tr w:rsidR="00B7723F" w:rsidRPr="00F52737" w14:paraId="539E8338" w14:textId="77777777" w:rsidTr="008A634F">
        <w:trPr>
          <w:trHeight w:val="288"/>
          <w:jc w:val="center"/>
        </w:trPr>
        <w:tc>
          <w:tcPr>
            <w:tcW w:w="1780" w:type="pct"/>
            <w:shd w:val="clear" w:color="auto" w:fill="auto"/>
            <w:noWrap/>
            <w:vAlign w:val="center"/>
            <w:hideMark/>
          </w:tcPr>
          <w:p w14:paraId="4BFB2549" w14:textId="77777777" w:rsidR="00B7723F" w:rsidRPr="00F52737" w:rsidRDefault="00B7723F" w:rsidP="00AD667C">
            <w:pPr>
              <w:pStyle w:val="ExhibitText"/>
              <w:jc w:val="left"/>
            </w:pPr>
            <w:r w:rsidRPr="00F52737">
              <w:t>Tubular</w:t>
            </w:r>
          </w:p>
        </w:tc>
        <w:tc>
          <w:tcPr>
            <w:tcW w:w="804" w:type="pct"/>
            <w:shd w:val="clear" w:color="auto" w:fill="auto"/>
            <w:noWrap/>
            <w:vAlign w:val="center"/>
            <w:hideMark/>
          </w:tcPr>
          <w:p w14:paraId="7CD22D0B" w14:textId="77777777" w:rsidR="00B7723F" w:rsidRPr="00F52737" w:rsidRDefault="00B7723F" w:rsidP="00E56947">
            <w:pPr>
              <w:pStyle w:val="ExhibitText"/>
              <w:jc w:val="right"/>
            </w:pPr>
            <w:r w:rsidRPr="00F52737">
              <w:t>2,328,087</w:t>
            </w:r>
          </w:p>
        </w:tc>
        <w:tc>
          <w:tcPr>
            <w:tcW w:w="805" w:type="pct"/>
            <w:shd w:val="clear" w:color="auto" w:fill="auto"/>
            <w:noWrap/>
            <w:vAlign w:val="center"/>
            <w:hideMark/>
          </w:tcPr>
          <w:p w14:paraId="261702CC" w14:textId="77777777" w:rsidR="00B7723F" w:rsidRPr="00F52737" w:rsidRDefault="00B7723F" w:rsidP="00E56947">
            <w:pPr>
              <w:pStyle w:val="ExhibitText"/>
              <w:jc w:val="right"/>
            </w:pPr>
          </w:p>
        </w:tc>
        <w:tc>
          <w:tcPr>
            <w:tcW w:w="805" w:type="pct"/>
            <w:shd w:val="clear" w:color="auto" w:fill="auto"/>
            <w:noWrap/>
            <w:vAlign w:val="center"/>
            <w:hideMark/>
          </w:tcPr>
          <w:p w14:paraId="5BD31311" w14:textId="38E7737B" w:rsidR="00B7723F" w:rsidRPr="00F52737" w:rsidRDefault="00B7723F" w:rsidP="00E56947">
            <w:pPr>
              <w:pStyle w:val="ExhibitText"/>
              <w:jc w:val="right"/>
            </w:pPr>
            <w:r w:rsidRPr="00F52737">
              <w:t>5</w:t>
            </w:r>
            <w:r w:rsidR="00E56947">
              <w:t>.0</w:t>
            </w:r>
          </w:p>
        </w:tc>
        <w:tc>
          <w:tcPr>
            <w:tcW w:w="805" w:type="pct"/>
            <w:shd w:val="clear" w:color="auto" w:fill="auto"/>
            <w:noWrap/>
            <w:vAlign w:val="center"/>
            <w:hideMark/>
          </w:tcPr>
          <w:p w14:paraId="4B8F4D8A" w14:textId="77777777" w:rsidR="00B7723F" w:rsidRPr="00F52737" w:rsidRDefault="00B7723F" w:rsidP="00AD667C">
            <w:pPr>
              <w:pStyle w:val="ExhibitText"/>
              <w:jc w:val="right"/>
            </w:pPr>
            <w:r w:rsidRPr="00F52737">
              <w:t>1.5</w:t>
            </w:r>
          </w:p>
        </w:tc>
      </w:tr>
      <w:tr w:rsidR="00B7723F" w:rsidRPr="00F52737" w14:paraId="298C0057" w14:textId="77777777" w:rsidTr="008A634F">
        <w:trPr>
          <w:trHeight w:val="288"/>
          <w:jc w:val="center"/>
        </w:trPr>
        <w:tc>
          <w:tcPr>
            <w:tcW w:w="1780" w:type="pct"/>
            <w:shd w:val="clear" w:color="auto" w:fill="auto"/>
            <w:noWrap/>
            <w:vAlign w:val="center"/>
            <w:hideMark/>
          </w:tcPr>
          <w:p w14:paraId="031CDE41" w14:textId="77777777" w:rsidR="00B7723F" w:rsidRPr="00F52737" w:rsidRDefault="00B7723F" w:rsidP="00AD667C">
            <w:pPr>
              <w:pStyle w:val="ExhibitText"/>
              <w:jc w:val="left"/>
            </w:pPr>
            <w:r w:rsidRPr="00F52737">
              <w:t>Fully Depreciated Tubular</w:t>
            </w:r>
          </w:p>
        </w:tc>
        <w:tc>
          <w:tcPr>
            <w:tcW w:w="804" w:type="pct"/>
            <w:shd w:val="clear" w:color="auto" w:fill="auto"/>
            <w:noWrap/>
            <w:vAlign w:val="center"/>
            <w:hideMark/>
          </w:tcPr>
          <w:p w14:paraId="05870E1A" w14:textId="77777777" w:rsidR="00B7723F" w:rsidRPr="00F52737" w:rsidRDefault="00B7723F" w:rsidP="00E56947">
            <w:pPr>
              <w:pStyle w:val="ExhibitText"/>
              <w:jc w:val="right"/>
            </w:pPr>
            <w:r w:rsidRPr="00F52737">
              <w:t>5,061,913</w:t>
            </w:r>
          </w:p>
        </w:tc>
        <w:tc>
          <w:tcPr>
            <w:tcW w:w="805" w:type="pct"/>
            <w:shd w:val="clear" w:color="auto" w:fill="auto"/>
            <w:noWrap/>
            <w:vAlign w:val="center"/>
            <w:hideMark/>
          </w:tcPr>
          <w:p w14:paraId="2934AE8D" w14:textId="01DF6DF6" w:rsidR="00B7723F" w:rsidRPr="00F52737" w:rsidRDefault="00565814" w:rsidP="00E56947">
            <w:pPr>
              <w:pStyle w:val="ExhibitText"/>
              <w:jc w:val="right"/>
            </w:pPr>
            <w:r>
              <w:t xml:space="preserve"> </w:t>
            </w:r>
          </w:p>
        </w:tc>
        <w:tc>
          <w:tcPr>
            <w:tcW w:w="805" w:type="pct"/>
            <w:shd w:val="clear" w:color="auto" w:fill="auto"/>
            <w:noWrap/>
            <w:vAlign w:val="center"/>
            <w:hideMark/>
          </w:tcPr>
          <w:p w14:paraId="65191D0B" w14:textId="74D41917" w:rsidR="00B7723F" w:rsidRPr="00F52737" w:rsidRDefault="00B7723F" w:rsidP="00E56947">
            <w:pPr>
              <w:pStyle w:val="ExhibitText"/>
              <w:jc w:val="right"/>
            </w:pPr>
            <w:r w:rsidRPr="00F52737">
              <w:t>5</w:t>
            </w:r>
            <w:r w:rsidR="00E56947">
              <w:t>.0</w:t>
            </w:r>
          </w:p>
        </w:tc>
        <w:tc>
          <w:tcPr>
            <w:tcW w:w="805" w:type="pct"/>
            <w:shd w:val="clear" w:color="auto" w:fill="auto"/>
            <w:noWrap/>
            <w:vAlign w:val="center"/>
            <w:hideMark/>
          </w:tcPr>
          <w:p w14:paraId="0F7C2B0B" w14:textId="02C84191" w:rsidR="00B7723F" w:rsidRPr="00F52737" w:rsidRDefault="00B7723F" w:rsidP="00AD667C">
            <w:pPr>
              <w:pStyle w:val="ExhibitText"/>
              <w:jc w:val="right"/>
            </w:pPr>
            <w:r w:rsidRPr="00F52737">
              <w:t>0</w:t>
            </w:r>
          </w:p>
        </w:tc>
      </w:tr>
      <w:tr w:rsidR="00B7723F" w:rsidRPr="00F52737" w14:paraId="79590CAF" w14:textId="77777777" w:rsidTr="008A634F">
        <w:trPr>
          <w:trHeight w:val="288"/>
          <w:jc w:val="center"/>
        </w:trPr>
        <w:tc>
          <w:tcPr>
            <w:tcW w:w="1780" w:type="pct"/>
            <w:shd w:val="clear" w:color="auto" w:fill="auto"/>
            <w:noWrap/>
            <w:vAlign w:val="center"/>
            <w:hideMark/>
          </w:tcPr>
          <w:p w14:paraId="7AF5DE0C" w14:textId="732D5C93" w:rsidR="00B7723F" w:rsidRPr="00E56947" w:rsidRDefault="00B7723F" w:rsidP="00AD667C">
            <w:pPr>
              <w:pStyle w:val="ExhibitText"/>
              <w:jc w:val="left"/>
            </w:pPr>
            <w:r w:rsidRPr="00E56947">
              <w:t xml:space="preserve">Total </w:t>
            </w:r>
            <w:r w:rsidR="00394DCA" w:rsidRPr="00E56947">
              <w:t>V</w:t>
            </w:r>
            <w:r w:rsidRPr="00E56947">
              <w:t xml:space="preserve">alue of </w:t>
            </w:r>
            <w:r w:rsidR="00394DCA" w:rsidRPr="00E56947">
              <w:t>E</w:t>
            </w:r>
            <w:r w:rsidRPr="00E56947">
              <w:t xml:space="preserve">xisting </w:t>
            </w:r>
            <w:r w:rsidR="00394DCA" w:rsidRPr="00E56947">
              <w:t>E</w:t>
            </w:r>
            <w:r w:rsidRPr="00E56947">
              <w:t>quipment</w:t>
            </w:r>
          </w:p>
        </w:tc>
        <w:tc>
          <w:tcPr>
            <w:tcW w:w="804" w:type="pct"/>
            <w:shd w:val="clear" w:color="auto" w:fill="auto"/>
            <w:noWrap/>
            <w:vAlign w:val="center"/>
            <w:hideMark/>
          </w:tcPr>
          <w:p w14:paraId="45546766" w14:textId="77777777" w:rsidR="00B7723F" w:rsidRPr="00E56947" w:rsidRDefault="00B7723F" w:rsidP="00E56947">
            <w:pPr>
              <w:pStyle w:val="ExhibitText"/>
              <w:jc w:val="right"/>
            </w:pPr>
            <w:r w:rsidRPr="00E56947">
              <w:t>38,000,000</w:t>
            </w:r>
          </w:p>
        </w:tc>
        <w:tc>
          <w:tcPr>
            <w:tcW w:w="805" w:type="pct"/>
            <w:shd w:val="clear" w:color="auto" w:fill="auto"/>
            <w:noWrap/>
            <w:vAlign w:val="center"/>
            <w:hideMark/>
          </w:tcPr>
          <w:p w14:paraId="520F8367" w14:textId="77777777" w:rsidR="00B7723F" w:rsidRPr="00E56947" w:rsidRDefault="00B7723F" w:rsidP="00E56947">
            <w:pPr>
              <w:pStyle w:val="ExhibitText"/>
              <w:jc w:val="right"/>
            </w:pPr>
          </w:p>
        </w:tc>
        <w:tc>
          <w:tcPr>
            <w:tcW w:w="805" w:type="pct"/>
            <w:shd w:val="clear" w:color="auto" w:fill="auto"/>
            <w:noWrap/>
            <w:vAlign w:val="center"/>
            <w:hideMark/>
          </w:tcPr>
          <w:p w14:paraId="3830EDF8" w14:textId="77777777" w:rsidR="00B7723F" w:rsidRPr="00E56947" w:rsidRDefault="00B7723F" w:rsidP="00E56947">
            <w:pPr>
              <w:pStyle w:val="ExhibitText"/>
              <w:jc w:val="right"/>
            </w:pPr>
          </w:p>
        </w:tc>
        <w:tc>
          <w:tcPr>
            <w:tcW w:w="805" w:type="pct"/>
            <w:shd w:val="clear" w:color="auto" w:fill="auto"/>
            <w:noWrap/>
            <w:vAlign w:val="center"/>
            <w:hideMark/>
          </w:tcPr>
          <w:p w14:paraId="48261DFB" w14:textId="77777777" w:rsidR="00B7723F" w:rsidRPr="00E56947" w:rsidRDefault="00B7723F" w:rsidP="00AD667C">
            <w:pPr>
              <w:pStyle w:val="ExhibitText"/>
              <w:jc w:val="right"/>
            </w:pPr>
          </w:p>
        </w:tc>
      </w:tr>
      <w:tr w:rsidR="00B96685" w:rsidRPr="00F52737" w14:paraId="67FA9A4D" w14:textId="77777777" w:rsidTr="00B96685">
        <w:trPr>
          <w:trHeight w:val="288"/>
          <w:jc w:val="center"/>
        </w:trPr>
        <w:tc>
          <w:tcPr>
            <w:tcW w:w="5000" w:type="pct"/>
            <w:gridSpan w:val="5"/>
            <w:shd w:val="clear" w:color="auto" w:fill="auto"/>
            <w:noWrap/>
            <w:vAlign w:val="center"/>
            <w:hideMark/>
          </w:tcPr>
          <w:p w14:paraId="69A7DDF3" w14:textId="62F36D1C" w:rsidR="00B96685" w:rsidRPr="00F52737" w:rsidRDefault="00B96685" w:rsidP="00B96685">
            <w:pPr>
              <w:pStyle w:val="ExhibitText"/>
              <w:jc w:val="left"/>
            </w:pPr>
            <w:r w:rsidRPr="00B3112F">
              <w:rPr>
                <w:b/>
              </w:rPr>
              <w:t>Additional Equipment</w:t>
            </w:r>
          </w:p>
        </w:tc>
      </w:tr>
      <w:tr w:rsidR="00B7723F" w:rsidRPr="00F52737" w14:paraId="3CCD4B5C" w14:textId="77777777" w:rsidTr="008A634F">
        <w:trPr>
          <w:trHeight w:val="288"/>
          <w:jc w:val="center"/>
        </w:trPr>
        <w:tc>
          <w:tcPr>
            <w:tcW w:w="1780" w:type="pct"/>
            <w:shd w:val="clear" w:color="auto" w:fill="auto"/>
            <w:noWrap/>
            <w:vAlign w:val="center"/>
            <w:hideMark/>
          </w:tcPr>
          <w:p w14:paraId="13FE72D0" w14:textId="77777777" w:rsidR="00B7723F" w:rsidRPr="00F52737" w:rsidRDefault="00B7723F" w:rsidP="00AD667C">
            <w:pPr>
              <w:pStyle w:val="ExhibitText"/>
              <w:jc w:val="left"/>
            </w:pPr>
            <w:r w:rsidRPr="00F52737">
              <w:t>Rotary</w:t>
            </w:r>
          </w:p>
        </w:tc>
        <w:tc>
          <w:tcPr>
            <w:tcW w:w="804" w:type="pct"/>
            <w:shd w:val="clear" w:color="auto" w:fill="auto"/>
            <w:noWrap/>
            <w:vAlign w:val="center"/>
            <w:hideMark/>
          </w:tcPr>
          <w:p w14:paraId="23874C30" w14:textId="77777777" w:rsidR="00B7723F" w:rsidRPr="00F52737" w:rsidRDefault="00B7723F" w:rsidP="00E56947">
            <w:pPr>
              <w:pStyle w:val="ExhibitText"/>
              <w:jc w:val="right"/>
            </w:pPr>
            <w:r w:rsidRPr="00F52737">
              <w:t>50,000</w:t>
            </w:r>
          </w:p>
        </w:tc>
        <w:tc>
          <w:tcPr>
            <w:tcW w:w="805" w:type="pct"/>
            <w:shd w:val="clear" w:color="auto" w:fill="auto"/>
            <w:noWrap/>
            <w:vAlign w:val="center"/>
            <w:hideMark/>
          </w:tcPr>
          <w:p w14:paraId="188290E0" w14:textId="738A2C63" w:rsidR="00B7723F" w:rsidRPr="00F52737" w:rsidRDefault="00565814" w:rsidP="00E56947">
            <w:pPr>
              <w:pStyle w:val="ExhibitText"/>
              <w:jc w:val="right"/>
            </w:pPr>
            <w:r>
              <w:t xml:space="preserve"> </w:t>
            </w:r>
          </w:p>
        </w:tc>
        <w:tc>
          <w:tcPr>
            <w:tcW w:w="805" w:type="pct"/>
            <w:shd w:val="clear" w:color="auto" w:fill="auto"/>
            <w:noWrap/>
            <w:vAlign w:val="center"/>
            <w:hideMark/>
          </w:tcPr>
          <w:p w14:paraId="63FCA722" w14:textId="57B6D9B2" w:rsidR="00B7723F" w:rsidRPr="00F52737" w:rsidRDefault="00B7723F" w:rsidP="00E56947">
            <w:pPr>
              <w:pStyle w:val="ExhibitText"/>
              <w:jc w:val="right"/>
            </w:pPr>
            <w:r w:rsidRPr="00F52737">
              <w:t>14</w:t>
            </w:r>
            <w:r w:rsidR="00E56947">
              <w:t>.0</w:t>
            </w:r>
          </w:p>
        </w:tc>
        <w:tc>
          <w:tcPr>
            <w:tcW w:w="805" w:type="pct"/>
            <w:shd w:val="clear" w:color="auto" w:fill="auto"/>
            <w:noWrap/>
            <w:vAlign w:val="center"/>
            <w:hideMark/>
          </w:tcPr>
          <w:p w14:paraId="6EA4A14F" w14:textId="1DC5ABC4" w:rsidR="00B7723F" w:rsidRPr="00F52737" w:rsidRDefault="00B7723F" w:rsidP="00AD667C">
            <w:pPr>
              <w:pStyle w:val="ExhibitText"/>
              <w:jc w:val="right"/>
            </w:pPr>
            <w:r w:rsidRPr="00F52737">
              <w:t>14</w:t>
            </w:r>
            <w:r w:rsidR="00E56947">
              <w:t>.0</w:t>
            </w:r>
          </w:p>
        </w:tc>
      </w:tr>
      <w:tr w:rsidR="00B7723F" w:rsidRPr="00F52737" w14:paraId="14379B1B" w14:textId="77777777" w:rsidTr="008A634F">
        <w:trPr>
          <w:trHeight w:val="288"/>
          <w:jc w:val="center"/>
        </w:trPr>
        <w:tc>
          <w:tcPr>
            <w:tcW w:w="1780" w:type="pct"/>
            <w:shd w:val="clear" w:color="auto" w:fill="auto"/>
            <w:noWrap/>
            <w:vAlign w:val="center"/>
            <w:hideMark/>
          </w:tcPr>
          <w:p w14:paraId="2AD0E569" w14:textId="4AFC6ED0" w:rsidR="00B7723F" w:rsidRPr="00CC7480" w:rsidRDefault="00B7723F" w:rsidP="00B3112F">
            <w:pPr>
              <w:pStyle w:val="ExhibitText"/>
              <w:jc w:val="left"/>
              <w:rPr>
                <w:b/>
              </w:rPr>
            </w:pPr>
            <w:r w:rsidRPr="00CC7480">
              <w:rPr>
                <w:b/>
              </w:rPr>
              <w:t xml:space="preserve">Total </w:t>
            </w:r>
          </w:p>
        </w:tc>
        <w:tc>
          <w:tcPr>
            <w:tcW w:w="804" w:type="pct"/>
            <w:shd w:val="clear" w:color="auto" w:fill="auto"/>
            <w:noWrap/>
            <w:vAlign w:val="center"/>
            <w:hideMark/>
          </w:tcPr>
          <w:p w14:paraId="2AFDB095" w14:textId="77777777" w:rsidR="00B7723F" w:rsidRPr="00CC7480" w:rsidRDefault="00B7723F" w:rsidP="00E56947">
            <w:pPr>
              <w:pStyle w:val="ExhibitText"/>
              <w:jc w:val="right"/>
              <w:rPr>
                <w:b/>
              </w:rPr>
            </w:pPr>
            <w:r w:rsidRPr="00CC7480">
              <w:rPr>
                <w:b/>
              </w:rPr>
              <w:t>38,050,000</w:t>
            </w:r>
          </w:p>
        </w:tc>
        <w:tc>
          <w:tcPr>
            <w:tcW w:w="805" w:type="pct"/>
            <w:shd w:val="clear" w:color="auto" w:fill="auto"/>
            <w:noWrap/>
            <w:vAlign w:val="center"/>
            <w:hideMark/>
          </w:tcPr>
          <w:p w14:paraId="616C09E3" w14:textId="77777777" w:rsidR="00B7723F" w:rsidRPr="00CC7480" w:rsidRDefault="00B7723F" w:rsidP="00E56947">
            <w:pPr>
              <w:pStyle w:val="ExhibitText"/>
              <w:jc w:val="right"/>
              <w:rPr>
                <w:b/>
              </w:rPr>
            </w:pPr>
            <w:r w:rsidRPr="00CC7480">
              <w:rPr>
                <w:b/>
              </w:rPr>
              <w:t>5,420,000</w:t>
            </w:r>
          </w:p>
        </w:tc>
        <w:tc>
          <w:tcPr>
            <w:tcW w:w="805" w:type="pct"/>
            <w:shd w:val="clear" w:color="auto" w:fill="auto"/>
            <w:noWrap/>
            <w:vAlign w:val="center"/>
            <w:hideMark/>
          </w:tcPr>
          <w:p w14:paraId="08C4276E" w14:textId="16D5D0C0" w:rsidR="00B7723F" w:rsidRPr="00E56947" w:rsidRDefault="00565814" w:rsidP="00E56947">
            <w:pPr>
              <w:pStyle w:val="ExhibitText"/>
              <w:jc w:val="right"/>
            </w:pPr>
            <w:r w:rsidRPr="00E56947">
              <w:t xml:space="preserve"> </w:t>
            </w:r>
          </w:p>
        </w:tc>
        <w:tc>
          <w:tcPr>
            <w:tcW w:w="805" w:type="pct"/>
            <w:shd w:val="clear" w:color="auto" w:fill="auto"/>
            <w:noWrap/>
            <w:vAlign w:val="center"/>
            <w:hideMark/>
          </w:tcPr>
          <w:p w14:paraId="682951E5" w14:textId="23B606D5" w:rsidR="00B7723F" w:rsidRPr="00E56947" w:rsidRDefault="00565814" w:rsidP="00E56947">
            <w:pPr>
              <w:pStyle w:val="ExhibitText"/>
              <w:jc w:val="right"/>
            </w:pPr>
            <w:r w:rsidRPr="00E56947">
              <w:t xml:space="preserve"> </w:t>
            </w:r>
          </w:p>
        </w:tc>
      </w:tr>
    </w:tbl>
    <w:p w14:paraId="34461747" w14:textId="77777777" w:rsidR="00B7723F" w:rsidRPr="00F52737" w:rsidRDefault="00B7723F" w:rsidP="001663FC">
      <w:pPr>
        <w:pStyle w:val="ExhibitText"/>
        <w:shd w:val="clear" w:color="auto" w:fill="FFFFFF" w:themeFill="background1"/>
        <w:rPr>
          <w:rFonts w:eastAsia="Calibri"/>
        </w:rPr>
      </w:pPr>
    </w:p>
    <w:p w14:paraId="7FF7C8AB" w14:textId="5B2A18DA" w:rsidR="00B7723F" w:rsidRPr="00AD667C" w:rsidRDefault="00B7723F" w:rsidP="001663FC">
      <w:pPr>
        <w:pStyle w:val="Footnote"/>
        <w:shd w:val="clear" w:color="auto" w:fill="FFFFFF" w:themeFill="background1"/>
        <w:rPr>
          <w:rFonts w:eastAsia="Calibri"/>
        </w:rPr>
      </w:pPr>
      <w:r w:rsidRPr="00AD667C">
        <w:rPr>
          <w:rFonts w:eastAsia="Calibri"/>
        </w:rPr>
        <w:t>Source: Company document</w:t>
      </w:r>
      <w:r w:rsidR="00394DCA" w:rsidRPr="00AD667C">
        <w:rPr>
          <w:rFonts w:eastAsia="Calibri"/>
        </w:rPr>
        <w:t>s</w:t>
      </w:r>
      <w:r w:rsidRPr="00AD667C">
        <w:rPr>
          <w:rFonts w:eastAsia="Calibri"/>
        </w:rPr>
        <w:t>.</w:t>
      </w:r>
    </w:p>
    <w:p w14:paraId="5FDA4C11" w14:textId="77777777" w:rsidR="00B7723F" w:rsidRPr="00F52737" w:rsidRDefault="00B7723F" w:rsidP="001663FC">
      <w:pPr>
        <w:pStyle w:val="ExhibitText"/>
        <w:shd w:val="clear" w:color="auto" w:fill="FFFFFF" w:themeFill="background1"/>
        <w:rPr>
          <w:rFonts w:eastAsia="Calibri"/>
        </w:rPr>
      </w:pPr>
    </w:p>
    <w:p w14:paraId="54A5236F" w14:textId="77777777" w:rsidR="00B7723F" w:rsidRPr="00F52737" w:rsidRDefault="00B7723F" w:rsidP="001663FC">
      <w:pPr>
        <w:pStyle w:val="ExhibitText"/>
        <w:shd w:val="clear" w:color="auto" w:fill="FFFFFF" w:themeFill="background1"/>
        <w:rPr>
          <w:rFonts w:eastAsia="Calibri"/>
        </w:rPr>
      </w:pPr>
    </w:p>
    <w:p w14:paraId="5E4D2B72" w14:textId="76A68D22" w:rsidR="00B7723F" w:rsidRPr="00F52737" w:rsidRDefault="00B7723F" w:rsidP="001663FC">
      <w:pPr>
        <w:pStyle w:val="ExhibitHeading"/>
        <w:shd w:val="clear" w:color="auto" w:fill="FFFFFF" w:themeFill="background1"/>
        <w:outlineLvl w:val="0"/>
        <w:rPr>
          <w:rFonts w:eastAsia="Calibri"/>
        </w:rPr>
      </w:pPr>
      <w:r w:rsidRPr="00401878">
        <w:rPr>
          <w:rFonts w:eastAsia="Calibri"/>
        </w:rPr>
        <w:t xml:space="preserve">Exhibit </w:t>
      </w:r>
      <w:r w:rsidRPr="00401878">
        <w:rPr>
          <w:rFonts w:eastAsia="Calibri"/>
        </w:rPr>
        <w:fldChar w:fldCharType="begin"/>
      </w:r>
      <w:r w:rsidRPr="00401878">
        <w:rPr>
          <w:rFonts w:eastAsia="Calibri"/>
        </w:rPr>
        <w:instrText xml:space="preserve"> SEQ Table \* ARABIC </w:instrText>
      </w:r>
      <w:r w:rsidRPr="00401878">
        <w:rPr>
          <w:rFonts w:eastAsia="Calibri"/>
        </w:rPr>
        <w:fldChar w:fldCharType="separate"/>
      </w:r>
      <w:r w:rsidR="00D1409D" w:rsidRPr="00401878">
        <w:rPr>
          <w:rFonts w:eastAsia="Calibri"/>
          <w:noProof/>
        </w:rPr>
        <w:t>2</w:t>
      </w:r>
      <w:r w:rsidRPr="00401878">
        <w:rPr>
          <w:rFonts w:eastAsia="Calibri"/>
          <w:noProof/>
        </w:rPr>
        <w:fldChar w:fldCharType="end"/>
      </w:r>
      <w:r w:rsidR="00394DCA" w:rsidRPr="00401878">
        <w:rPr>
          <w:rFonts w:eastAsia="Calibri"/>
          <w:noProof/>
        </w:rPr>
        <w:t>:</w:t>
      </w:r>
      <w:r w:rsidRPr="00401878">
        <w:rPr>
          <w:rFonts w:eastAsia="Calibri"/>
        </w:rPr>
        <w:t xml:space="preserve"> Daily projected salaries </w:t>
      </w:r>
      <w:r w:rsidR="00E56947" w:rsidRPr="00401878">
        <w:rPr>
          <w:rFonts w:eastAsia="Calibri"/>
        </w:rPr>
        <w:t>for Support Staff</w:t>
      </w:r>
      <w:r w:rsidR="00CC6F74">
        <w:rPr>
          <w:rFonts w:eastAsia="Calibri"/>
        </w:rPr>
        <w:t xml:space="preserve"> in the first year </w:t>
      </w:r>
      <w:r w:rsidR="00394DCA" w:rsidRPr="00401878">
        <w:rPr>
          <w:rFonts w:eastAsia="Calibri"/>
        </w:rPr>
        <w:t>(in us$)</w:t>
      </w:r>
    </w:p>
    <w:p w14:paraId="51889140" w14:textId="77777777" w:rsidR="00B7723F" w:rsidRPr="00F52737" w:rsidRDefault="00B7723F" w:rsidP="00B7723F">
      <w:pPr>
        <w:pStyle w:val="ExhibitText"/>
        <w:rPr>
          <w:rFonts w:eastAsia="Calibri"/>
        </w:rPr>
      </w:pPr>
    </w:p>
    <w:tbl>
      <w:tblPr>
        <w:tblW w:w="4756" w:type="pct"/>
        <w:jc w:val="center"/>
        <w:tblLook w:val="04A0" w:firstRow="1" w:lastRow="0" w:firstColumn="1" w:lastColumn="0" w:noHBand="0" w:noVBand="1"/>
      </w:tblPr>
      <w:tblGrid>
        <w:gridCol w:w="2696"/>
        <w:gridCol w:w="1317"/>
        <w:gridCol w:w="1120"/>
        <w:gridCol w:w="1220"/>
        <w:gridCol w:w="1306"/>
        <w:gridCol w:w="1450"/>
      </w:tblGrid>
      <w:tr w:rsidR="00FF1835" w:rsidRPr="00AD667C" w14:paraId="57763E1F" w14:textId="77777777" w:rsidTr="00B96685">
        <w:trPr>
          <w:trHeight w:val="288"/>
          <w:jc w:val="center"/>
        </w:trPr>
        <w:tc>
          <w:tcPr>
            <w:tcW w:w="12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9201C" w14:textId="77777777" w:rsidR="00FF1835" w:rsidRPr="00F32D6D" w:rsidRDefault="00FF1835" w:rsidP="00B96685">
            <w:pPr>
              <w:pStyle w:val="ExhibitText"/>
              <w:jc w:val="left"/>
              <w:rPr>
                <w:b/>
              </w:rPr>
            </w:pPr>
            <w:r w:rsidRPr="00F32D6D">
              <w:rPr>
                <w:b/>
              </w:rPr>
              <w:t>Position</w:t>
            </w:r>
          </w:p>
        </w:tc>
        <w:tc>
          <w:tcPr>
            <w:tcW w:w="733" w:type="pct"/>
            <w:tcBorders>
              <w:top w:val="single" w:sz="4" w:space="0" w:color="auto"/>
              <w:left w:val="nil"/>
              <w:bottom w:val="single" w:sz="4" w:space="0" w:color="auto"/>
              <w:right w:val="single" w:sz="4" w:space="0" w:color="auto"/>
            </w:tcBorders>
            <w:shd w:val="clear" w:color="auto" w:fill="auto"/>
            <w:noWrap/>
            <w:vAlign w:val="center"/>
            <w:hideMark/>
          </w:tcPr>
          <w:p w14:paraId="4D91C689" w14:textId="77777777" w:rsidR="00FF1835" w:rsidRPr="00AD667C" w:rsidRDefault="00FF1835" w:rsidP="00AD667C">
            <w:pPr>
              <w:pStyle w:val="ExhibitText"/>
              <w:jc w:val="center"/>
              <w:rPr>
                <w:b/>
              </w:rPr>
            </w:pPr>
            <w:r w:rsidRPr="00AD667C">
              <w:rPr>
                <w:b/>
              </w:rPr>
              <w:t>Salary Cost</w:t>
            </w:r>
          </w:p>
        </w:tc>
        <w:tc>
          <w:tcPr>
            <w:tcW w:w="749" w:type="pct"/>
            <w:tcBorders>
              <w:top w:val="single" w:sz="4" w:space="0" w:color="auto"/>
              <w:left w:val="nil"/>
              <w:bottom w:val="single" w:sz="4" w:space="0" w:color="auto"/>
              <w:right w:val="single" w:sz="4" w:space="0" w:color="auto"/>
            </w:tcBorders>
            <w:shd w:val="clear" w:color="auto" w:fill="auto"/>
            <w:noWrap/>
            <w:vAlign w:val="center"/>
            <w:hideMark/>
          </w:tcPr>
          <w:p w14:paraId="6C7A530E" w14:textId="77777777" w:rsidR="00FF1835" w:rsidRPr="00AD667C" w:rsidRDefault="00FF1835" w:rsidP="00AD667C">
            <w:pPr>
              <w:pStyle w:val="ExhibitText"/>
              <w:jc w:val="center"/>
              <w:rPr>
                <w:b/>
              </w:rPr>
            </w:pPr>
            <w:r w:rsidRPr="00AD667C">
              <w:rPr>
                <w:b/>
              </w:rPr>
              <w:t>Bonus</w:t>
            </w:r>
          </w:p>
        </w:tc>
        <w:tc>
          <w:tcPr>
            <w:tcW w:w="749" w:type="pct"/>
            <w:tcBorders>
              <w:top w:val="single" w:sz="4" w:space="0" w:color="auto"/>
              <w:left w:val="nil"/>
              <w:bottom w:val="single" w:sz="4" w:space="0" w:color="auto"/>
              <w:right w:val="single" w:sz="4" w:space="0" w:color="auto"/>
            </w:tcBorders>
            <w:shd w:val="clear" w:color="auto" w:fill="auto"/>
            <w:noWrap/>
            <w:vAlign w:val="center"/>
            <w:hideMark/>
          </w:tcPr>
          <w:p w14:paraId="2BD11F65" w14:textId="77777777" w:rsidR="00FF1835" w:rsidRPr="00AD667C" w:rsidRDefault="00FF1835" w:rsidP="00AD667C">
            <w:pPr>
              <w:pStyle w:val="ExhibitText"/>
              <w:jc w:val="center"/>
              <w:rPr>
                <w:b/>
              </w:rPr>
            </w:pPr>
            <w:r w:rsidRPr="00AD667C">
              <w:rPr>
                <w:b/>
              </w:rPr>
              <w:t>Others</w:t>
            </w:r>
          </w:p>
        </w:tc>
        <w:tc>
          <w:tcPr>
            <w:tcW w:w="749" w:type="pct"/>
            <w:tcBorders>
              <w:top w:val="single" w:sz="4" w:space="0" w:color="auto"/>
              <w:left w:val="nil"/>
              <w:bottom w:val="single" w:sz="4" w:space="0" w:color="auto"/>
              <w:right w:val="single" w:sz="4" w:space="0" w:color="auto"/>
            </w:tcBorders>
            <w:shd w:val="clear" w:color="auto" w:fill="auto"/>
            <w:noWrap/>
            <w:vAlign w:val="center"/>
            <w:hideMark/>
          </w:tcPr>
          <w:p w14:paraId="10AE4155" w14:textId="77777777" w:rsidR="00FF1835" w:rsidRPr="00AD667C" w:rsidRDefault="00FF1835" w:rsidP="00AD667C">
            <w:pPr>
              <w:pStyle w:val="ExhibitText"/>
              <w:jc w:val="center"/>
              <w:rPr>
                <w:b/>
              </w:rPr>
            </w:pPr>
            <w:r w:rsidRPr="00AD667C">
              <w:rPr>
                <w:b/>
              </w:rPr>
              <w:t>Travel Cost</w:t>
            </w:r>
          </w:p>
        </w:tc>
        <w:tc>
          <w:tcPr>
            <w:tcW w:w="796" w:type="pct"/>
            <w:tcBorders>
              <w:top w:val="single" w:sz="4" w:space="0" w:color="auto"/>
              <w:left w:val="nil"/>
              <w:bottom w:val="single" w:sz="4" w:space="0" w:color="auto"/>
              <w:right w:val="single" w:sz="4" w:space="0" w:color="auto"/>
            </w:tcBorders>
            <w:shd w:val="clear" w:color="auto" w:fill="auto"/>
            <w:noWrap/>
            <w:vAlign w:val="center"/>
            <w:hideMark/>
          </w:tcPr>
          <w:p w14:paraId="080D12FA" w14:textId="7A126208" w:rsidR="00FF1835" w:rsidRPr="00AD667C" w:rsidRDefault="00FF1835" w:rsidP="00AD667C">
            <w:pPr>
              <w:pStyle w:val="ExhibitText"/>
              <w:jc w:val="center"/>
              <w:rPr>
                <w:b/>
              </w:rPr>
            </w:pPr>
            <w:r>
              <w:rPr>
                <w:b/>
              </w:rPr>
              <w:t>Cost</w:t>
            </w:r>
            <w:r w:rsidRPr="00AD667C">
              <w:rPr>
                <w:b/>
              </w:rPr>
              <w:t xml:space="preserve"> per Day</w:t>
            </w:r>
          </w:p>
        </w:tc>
      </w:tr>
      <w:tr w:rsidR="00FF1835" w:rsidRPr="00F52737" w14:paraId="301B54CF" w14:textId="77777777" w:rsidTr="00B96685">
        <w:trPr>
          <w:trHeight w:val="288"/>
          <w:jc w:val="center"/>
        </w:trPr>
        <w:tc>
          <w:tcPr>
            <w:tcW w:w="1223" w:type="pct"/>
            <w:tcBorders>
              <w:top w:val="nil"/>
              <w:left w:val="single" w:sz="4" w:space="0" w:color="auto"/>
              <w:bottom w:val="single" w:sz="4" w:space="0" w:color="auto"/>
              <w:right w:val="single" w:sz="4" w:space="0" w:color="auto"/>
            </w:tcBorders>
            <w:shd w:val="clear" w:color="auto" w:fill="auto"/>
            <w:noWrap/>
            <w:vAlign w:val="center"/>
            <w:hideMark/>
          </w:tcPr>
          <w:p w14:paraId="4C0FC062" w14:textId="5FF2611D" w:rsidR="00FF1835" w:rsidRPr="008A634F" w:rsidRDefault="00FF1835" w:rsidP="00AD667C">
            <w:pPr>
              <w:pStyle w:val="ExhibitText"/>
              <w:jc w:val="left"/>
            </w:pPr>
            <w:r w:rsidRPr="008A634F">
              <w:t>Supply Chain</w:t>
            </w:r>
          </w:p>
        </w:tc>
        <w:tc>
          <w:tcPr>
            <w:tcW w:w="733" w:type="pct"/>
            <w:tcBorders>
              <w:top w:val="nil"/>
              <w:left w:val="nil"/>
              <w:bottom w:val="single" w:sz="4" w:space="0" w:color="auto"/>
              <w:right w:val="single" w:sz="4" w:space="0" w:color="auto"/>
            </w:tcBorders>
            <w:shd w:val="clear" w:color="auto" w:fill="auto"/>
            <w:noWrap/>
            <w:vAlign w:val="center"/>
            <w:hideMark/>
          </w:tcPr>
          <w:p w14:paraId="13545176" w14:textId="7A96DBD5" w:rsidR="00FF1835" w:rsidRPr="008A634F" w:rsidRDefault="00FF1835" w:rsidP="00AD667C">
            <w:pPr>
              <w:pStyle w:val="ExhibitText"/>
              <w:jc w:val="right"/>
            </w:pPr>
            <w:r w:rsidRPr="008A634F">
              <w:t>860.00</w:t>
            </w:r>
          </w:p>
        </w:tc>
        <w:tc>
          <w:tcPr>
            <w:tcW w:w="749" w:type="pct"/>
            <w:tcBorders>
              <w:top w:val="nil"/>
              <w:left w:val="nil"/>
              <w:bottom w:val="single" w:sz="4" w:space="0" w:color="auto"/>
              <w:right w:val="single" w:sz="4" w:space="0" w:color="auto"/>
            </w:tcBorders>
            <w:shd w:val="clear" w:color="auto" w:fill="auto"/>
            <w:noWrap/>
            <w:vAlign w:val="center"/>
            <w:hideMark/>
          </w:tcPr>
          <w:p w14:paraId="24C5D7E3" w14:textId="243D210D" w:rsidR="00FF1835" w:rsidRPr="008A634F" w:rsidRDefault="00FF1835" w:rsidP="00AD667C">
            <w:pPr>
              <w:pStyle w:val="ExhibitText"/>
              <w:jc w:val="right"/>
            </w:pPr>
            <w:r w:rsidRPr="008A634F">
              <w:t>70.50</w:t>
            </w:r>
          </w:p>
        </w:tc>
        <w:tc>
          <w:tcPr>
            <w:tcW w:w="749" w:type="pct"/>
            <w:tcBorders>
              <w:top w:val="nil"/>
              <w:left w:val="nil"/>
              <w:bottom w:val="single" w:sz="4" w:space="0" w:color="auto"/>
              <w:right w:val="single" w:sz="4" w:space="0" w:color="auto"/>
            </w:tcBorders>
            <w:shd w:val="clear" w:color="auto" w:fill="auto"/>
            <w:noWrap/>
            <w:vAlign w:val="center"/>
            <w:hideMark/>
          </w:tcPr>
          <w:p w14:paraId="54F7E5E6" w14:textId="77777777" w:rsidR="00FF1835" w:rsidRPr="008A634F" w:rsidRDefault="00FF1835" w:rsidP="00AD667C">
            <w:pPr>
              <w:pStyle w:val="ExhibitText"/>
              <w:jc w:val="right"/>
            </w:pPr>
            <w:r w:rsidRPr="008A634F">
              <w:t>0</w:t>
            </w:r>
          </w:p>
        </w:tc>
        <w:tc>
          <w:tcPr>
            <w:tcW w:w="749" w:type="pct"/>
            <w:tcBorders>
              <w:top w:val="nil"/>
              <w:left w:val="nil"/>
              <w:bottom w:val="single" w:sz="4" w:space="0" w:color="auto"/>
              <w:right w:val="single" w:sz="4" w:space="0" w:color="auto"/>
            </w:tcBorders>
            <w:shd w:val="clear" w:color="auto" w:fill="auto"/>
            <w:noWrap/>
            <w:vAlign w:val="center"/>
            <w:hideMark/>
          </w:tcPr>
          <w:p w14:paraId="453B7881" w14:textId="6B86DD08" w:rsidR="00FF1835" w:rsidRPr="008A634F" w:rsidRDefault="00FF1835" w:rsidP="00AD667C">
            <w:pPr>
              <w:pStyle w:val="ExhibitText"/>
              <w:jc w:val="right"/>
            </w:pPr>
            <w:r w:rsidRPr="008A634F">
              <w:t>52.50</w:t>
            </w:r>
          </w:p>
        </w:tc>
        <w:tc>
          <w:tcPr>
            <w:tcW w:w="796" w:type="pct"/>
            <w:tcBorders>
              <w:top w:val="nil"/>
              <w:left w:val="nil"/>
              <w:bottom w:val="single" w:sz="4" w:space="0" w:color="auto"/>
              <w:right w:val="single" w:sz="4" w:space="0" w:color="auto"/>
            </w:tcBorders>
            <w:shd w:val="clear" w:color="auto" w:fill="auto"/>
            <w:noWrap/>
            <w:vAlign w:val="center"/>
            <w:hideMark/>
          </w:tcPr>
          <w:p w14:paraId="158ABF70" w14:textId="480D7170" w:rsidR="00FF1835" w:rsidRPr="008A634F" w:rsidRDefault="00FF1835" w:rsidP="00AD667C">
            <w:pPr>
              <w:pStyle w:val="ExhibitText"/>
              <w:jc w:val="right"/>
            </w:pPr>
            <w:r w:rsidRPr="008A634F">
              <w:t>983.00</w:t>
            </w:r>
          </w:p>
        </w:tc>
      </w:tr>
      <w:tr w:rsidR="00E040E3" w:rsidRPr="00F52737" w14:paraId="07ECFB23" w14:textId="77777777" w:rsidTr="00B96685">
        <w:trPr>
          <w:trHeight w:val="288"/>
          <w:jc w:val="center"/>
        </w:trPr>
        <w:tc>
          <w:tcPr>
            <w:tcW w:w="1223" w:type="pct"/>
            <w:tcBorders>
              <w:top w:val="nil"/>
              <w:left w:val="single" w:sz="4" w:space="0" w:color="auto"/>
              <w:bottom w:val="single" w:sz="4" w:space="0" w:color="auto"/>
              <w:right w:val="single" w:sz="4" w:space="0" w:color="auto"/>
            </w:tcBorders>
            <w:shd w:val="clear" w:color="auto" w:fill="auto"/>
            <w:noWrap/>
            <w:vAlign w:val="center"/>
          </w:tcPr>
          <w:p w14:paraId="38ACBC80" w14:textId="04E7F8FF" w:rsidR="00E040E3" w:rsidRPr="008A634F" w:rsidRDefault="00E040E3" w:rsidP="00AD667C">
            <w:pPr>
              <w:pStyle w:val="ExhibitText"/>
              <w:jc w:val="left"/>
            </w:pPr>
            <w:r w:rsidRPr="008A634F">
              <w:t>Operations</w:t>
            </w:r>
          </w:p>
        </w:tc>
        <w:tc>
          <w:tcPr>
            <w:tcW w:w="733" w:type="pct"/>
            <w:tcBorders>
              <w:top w:val="nil"/>
              <w:left w:val="nil"/>
              <w:bottom w:val="single" w:sz="4" w:space="0" w:color="auto"/>
              <w:right w:val="single" w:sz="4" w:space="0" w:color="auto"/>
            </w:tcBorders>
            <w:shd w:val="clear" w:color="auto" w:fill="auto"/>
            <w:noWrap/>
            <w:vAlign w:val="center"/>
          </w:tcPr>
          <w:p w14:paraId="55C83E29" w14:textId="764D3D96" w:rsidR="00E040E3" w:rsidRPr="008A634F" w:rsidRDefault="00E040E3" w:rsidP="00AD667C">
            <w:pPr>
              <w:pStyle w:val="ExhibitText"/>
              <w:jc w:val="right"/>
            </w:pPr>
            <w:r w:rsidRPr="008A634F">
              <w:t>228.5</w:t>
            </w:r>
            <w:r w:rsidR="00EA3403">
              <w:t>0</w:t>
            </w:r>
          </w:p>
        </w:tc>
        <w:tc>
          <w:tcPr>
            <w:tcW w:w="749" w:type="pct"/>
            <w:tcBorders>
              <w:top w:val="nil"/>
              <w:left w:val="nil"/>
              <w:bottom w:val="single" w:sz="4" w:space="0" w:color="auto"/>
              <w:right w:val="single" w:sz="4" w:space="0" w:color="auto"/>
            </w:tcBorders>
            <w:shd w:val="clear" w:color="auto" w:fill="auto"/>
            <w:noWrap/>
            <w:vAlign w:val="center"/>
          </w:tcPr>
          <w:p w14:paraId="7E05858E" w14:textId="657370C2" w:rsidR="00E040E3" w:rsidRPr="008A634F" w:rsidRDefault="00E040E3" w:rsidP="00AD667C">
            <w:pPr>
              <w:pStyle w:val="ExhibitText"/>
              <w:jc w:val="right"/>
            </w:pPr>
            <w:r w:rsidRPr="008A634F">
              <w:t>20.25</w:t>
            </w:r>
          </w:p>
        </w:tc>
        <w:tc>
          <w:tcPr>
            <w:tcW w:w="749" w:type="pct"/>
            <w:tcBorders>
              <w:top w:val="nil"/>
              <w:left w:val="nil"/>
              <w:bottom w:val="single" w:sz="4" w:space="0" w:color="auto"/>
              <w:right w:val="single" w:sz="4" w:space="0" w:color="auto"/>
            </w:tcBorders>
            <w:shd w:val="clear" w:color="auto" w:fill="auto"/>
            <w:noWrap/>
            <w:vAlign w:val="center"/>
          </w:tcPr>
          <w:p w14:paraId="34E1908C" w14:textId="77777777" w:rsidR="00E040E3" w:rsidRPr="008A634F" w:rsidRDefault="00E040E3" w:rsidP="00AD667C">
            <w:pPr>
              <w:pStyle w:val="ExhibitText"/>
              <w:jc w:val="right"/>
            </w:pPr>
          </w:p>
        </w:tc>
        <w:tc>
          <w:tcPr>
            <w:tcW w:w="749" w:type="pct"/>
            <w:tcBorders>
              <w:top w:val="nil"/>
              <w:left w:val="nil"/>
              <w:bottom w:val="single" w:sz="4" w:space="0" w:color="auto"/>
              <w:right w:val="single" w:sz="4" w:space="0" w:color="auto"/>
            </w:tcBorders>
            <w:shd w:val="clear" w:color="auto" w:fill="auto"/>
            <w:noWrap/>
            <w:vAlign w:val="center"/>
          </w:tcPr>
          <w:p w14:paraId="4C731D5B" w14:textId="195478C4" w:rsidR="00E040E3" w:rsidRPr="008A634F" w:rsidRDefault="00E040E3" w:rsidP="00AD667C">
            <w:pPr>
              <w:pStyle w:val="ExhibitText"/>
              <w:jc w:val="right"/>
            </w:pPr>
            <w:r w:rsidRPr="008A634F">
              <w:t>26.25</w:t>
            </w:r>
          </w:p>
        </w:tc>
        <w:tc>
          <w:tcPr>
            <w:tcW w:w="796" w:type="pct"/>
            <w:tcBorders>
              <w:top w:val="nil"/>
              <w:left w:val="nil"/>
              <w:bottom w:val="single" w:sz="4" w:space="0" w:color="auto"/>
              <w:right w:val="single" w:sz="4" w:space="0" w:color="auto"/>
            </w:tcBorders>
            <w:shd w:val="clear" w:color="auto" w:fill="auto"/>
            <w:noWrap/>
            <w:vAlign w:val="center"/>
          </w:tcPr>
          <w:p w14:paraId="773A055F" w14:textId="4E9B4002" w:rsidR="00E040E3" w:rsidRPr="008A634F" w:rsidRDefault="00CB18D7" w:rsidP="00AD667C">
            <w:pPr>
              <w:pStyle w:val="ExhibitText"/>
              <w:jc w:val="right"/>
            </w:pPr>
            <w:r w:rsidRPr="008A634F">
              <w:t>275</w:t>
            </w:r>
            <w:r w:rsidR="006D4808" w:rsidRPr="008A634F">
              <w:t>.00</w:t>
            </w:r>
          </w:p>
        </w:tc>
      </w:tr>
      <w:tr w:rsidR="002C21EC" w:rsidRPr="00F52737" w14:paraId="3996ED12" w14:textId="77777777" w:rsidTr="00B96685">
        <w:trPr>
          <w:trHeight w:val="288"/>
          <w:jc w:val="center"/>
        </w:trPr>
        <w:tc>
          <w:tcPr>
            <w:tcW w:w="1223" w:type="pct"/>
            <w:tcBorders>
              <w:top w:val="nil"/>
              <w:left w:val="single" w:sz="4" w:space="0" w:color="auto"/>
              <w:bottom w:val="single" w:sz="4" w:space="0" w:color="auto"/>
              <w:right w:val="single" w:sz="4" w:space="0" w:color="auto"/>
            </w:tcBorders>
            <w:shd w:val="clear" w:color="auto" w:fill="auto"/>
            <w:noWrap/>
            <w:vAlign w:val="center"/>
            <w:hideMark/>
          </w:tcPr>
          <w:p w14:paraId="23915973" w14:textId="4AABD8F6" w:rsidR="002C21EC" w:rsidRPr="008A634F" w:rsidRDefault="002C21EC" w:rsidP="002C21EC">
            <w:pPr>
              <w:pStyle w:val="ExhibitText"/>
              <w:jc w:val="left"/>
            </w:pPr>
            <w:r w:rsidRPr="008A634F">
              <w:t>Maintenance Support</w:t>
            </w:r>
          </w:p>
        </w:tc>
        <w:tc>
          <w:tcPr>
            <w:tcW w:w="733" w:type="pct"/>
            <w:tcBorders>
              <w:top w:val="nil"/>
              <w:left w:val="nil"/>
              <w:bottom w:val="single" w:sz="4" w:space="0" w:color="auto"/>
              <w:right w:val="single" w:sz="4" w:space="0" w:color="auto"/>
            </w:tcBorders>
            <w:shd w:val="clear" w:color="auto" w:fill="auto"/>
            <w:noWrap/>
            <w:vAlign w:val="center"/>
          </w:tcPr>
          <w:p w14:paraId="1A2158DC" w14:textId="0C40A798" w:rsidR="002C21EC" w:rsidRPr="008A634F" w:rsidRDefault="002C21EC" w:rsidP="002C21EC">
            <w:pPr>
              <w:pStyle w:val="ExhibitText"/>
              <w:jc w:val="right"/>
            </w:pPr>
            <w:r w:rsidRPr="008A634F">
              <w:t>228.5</w:t>
            </w:r>
            <w:r w:rsidR="00EA3403">
              <w:t>0</w:t>
            </w:r>
            <w:bookmarkStart w:id="0" w:name="_GoBack"/>
            <w:bookmarkEnd w:id="0"/>
          </w:p>
        </w:tc>
        <w:tc>
          <w:tcPr>
            <w:tcW w:w="749" w:type="pct"/>
            <w:tcBorders>
              <w:top w:val="nil"/>
              <w:left w:val="nil"/>
              <w:bottom w:val="single" w:sz="4" w:space="0" w:color="auto"/>
              <w:right w:val="single" w:sz="4" w:space="0" w:color="auto"/>
            </w:tcBorders>
            <w:shd w:val="clear" w:color="auto" w:fill="auto"/>
            <w:noWrap/>
            <w:vAlign w:val="center"/>
          </w:tcPr>
          <w:p w14:paraId="0C5ABFB9" w14:textId="657CAA78" w:rsidR="002C21EC" w:rsidRPr="008A634F" w:rsidRDefault="002C21EC" w:rsidP="002C21EC">
            <w:pPr>
              <w:pStyle w:val="ExhibitText"/>
              <w:jc w:val="right"/>
            </w:pPr>
            <w:r w:rsidRPr="008A634F">
              <w:t>20.25</w:t>
            </w:r>
          </w:p>
        </w:tc>
        <w:tc>
          <w:tcPr>
            <w:tcW w:w="749" w:type="pct"/>
            <w:tcBorders>
              <w:top w:val="nil"/>
              <w:left w:val="nil"/>
              <w:bottom w:val="single" w:sz="4" w:space="0" w:color="auto"/>
              <w:right w:val="single" w:sz="4" w:space="0" w:color="auto"/>
            </w:tcBorders>
            <w:shd w:val="clear" w:color="auto" w:fill="auto"/>
            <w:noWrap/>
            <w:vAlign w:val="center"/>
          </w:tcPr>
          <w:p w14:paraId="1079E0D8" w14:textId="0A2994D5" w:rsidR="002C21EC" w:rsidRPr="008A634F" w:rsidRDefault="002C21EC" w:rsidP="002C21EC">
            <w:pPr>
              <w:pStyle w:val="ExhibitText"/>
              <w:jc w:val="right"/>
            </w:pPr>
          </w:p>
        </w:tc>
        <w:tc>
          <w:tcPr>
            <w:tcW w:w="749" w:type="pct"/>
            <w:tcBorders>
              <w:top w:val="nil"/>
              <w:left w:val="nil"/>
              <w:bottom w:val="single" w:sz="4" w:space="0" w:color="auto"/>
              <w:right w:val="single" w:sz="4" w:space="0" w:color="auto"/>
            </w:tcBorders>
            <w:shd w:val="clear" w:color="auto" w:fill="auto"/>
            <w:noWrap/>
            <w:vAlign w:val="center"/>
          </w:tcPr>
          <w:p w14:paraId="2EB380A2" w14:textId="7AA4A01F" w:rsidR="002C21EC" w:rsidRPr="008A634F" w:rsidRDefault="002C21EC" w:rsidP="002C21EC">
            <w:pPr>
              <w:pStyle w:val="ExhibitText"/>
              <w:jc w:val="right"/>
            </w:pPr>
            <w:r w:rsidRPr="008A634F">
              <w:t>26.25</w:t>
            </w:r>
          </w:p>
        </w:tc>
        <w:tc>
          <w:tcPr>
            <w:tcW w:w="796" w:type="pct"/>
            <w:tcBorders>
              <w:top w:val="nil"/>
              <w:left w:val="nil"/>
              <w:bottom w:val="single" w:sz="4" w:space="0" w:color="auto"/>
              <w:right w:val="single" w:sz="4" w:space="0" w:color="auto"/>
            </w:tcBorders>
            <w:shd w:val="clear" w:color="auto" w:fill="auto"/>
            <w:noWrap/>
            <w:vAlign w:val="center"/>
          </w:tcPr>
          <w:p w14:paraId="375A893D" w14:textId="699A0DB4" w:rsidR="002C21EC" w:rsidRPr="008A634F" w:rsidRDefault="002C21EC" w:rsidP="002C21EC">
            <w:pPr>
              <w:pStyle w:val="ExhibitText"/>
              <w:jc w:val="right"/>
            </w:pPr>
            <w:r w:rsidRPr="008A634F">
              <w:t>275</w:t>
            </w:r>
            <w:r w:rsidR="006D4808" w:rsidRPr="008A634F">
              <w:t>.00</w:t>
            </w:r>
          </w:p>
        </w:tc>
      </w:tr>
      <w:tr w:rsidR="002C21EC" w:rsidRPr="00F52737" w14:paraId="2A73E954" w14:textId="77777777" w:rsidTr="00B96685">
        <w:trPr>
          <w:trHeight w:val="288"/>
          <w:jc w:val="center"/>
        </w:trPr>
        <w:tc>
          <w:tcPr>
            <w:tcW w:w="1223" w:type="pct"/>
            <w:tcBorders>
              <w:top w:val="nil"/>
              <w:left w:val="single" w:sz="4" w:space="0" w:color="auto"/>
              <w:bottom w:val="single" w:sz="4" w:space="0" w:color="auto"/>
              <w:right w:val="single" w:sz="4" w:space="0" w:color="auto"/>
            </w:tcBorders>
            <w:shd w:val="clear" w:color="auto" w:fill="auto"/>
            <w:noWrap/>
            <w:vAlign w:val="center"/>
            <w:hideMark/>
          </w:tcPr>
          <w:p w14:paraId="6E119797" w14:textId="77777777" w:rsidR="002C21EC" w:rsidRPr="008A634F" w:rsidRDefault="002C21EC" w:rsidP="002C21EC">
            <w:pPr>
              <w:pStyle w:val="ExhibitText"/>
              <w:jc w:val="left"/>
            </w:pPr>
            <w:r w:rsidRPr="008A634F">
              <w:t>Finance and Accounts</w:t>
            </w:r>
          </w:p>
        </w:tc>
        <w:tc>
          <w:tcPr>
            <w:tcW w:w="733" w:type="pct"/>
            <w:tcBorders>
              <w:top w:val="nil"/>
              <w:left w:val="nil"/>
              <w:bottom w:val="single" w:sz="4" w:space="0" w:color="auto"/>
              <w:right w:val="single" w:sz="4" w:space="0" w:color="auto"/>
            </w:tcBorders>
            <w:shd w:val="clear" w:color="auto" w:fill="auto"/>
            <w:noWrap/>
            <w:vAlign w:val="center"/>
            <w:hideMark/>
          </w:tcPr>
          <w:p w14:paraId="33F163B5" w14:textId="345FB035" w:rsidR="002C21EC" w:rsidRPr="008A634F" w:rsidRDefault="002C21EC" w:rsidP="002C21EC">
            <w:pPr>
              <w:pStyle w:val="ExhibitText"/>
              <w:jc w:val="right"/>
            </w:pPr>
            <w:r w:rsidRPr="008A634F">
              <w:t>472.50</w:t>
            </w:r>
          </w:p>
        </w:tc>
        <w:tc>
          <w:tcPr>
            <w:tcW w:w="749" w:type="pct"/>
            <w:tcBorders>
              <w:top w:val="nil"/>
              <w:left w:val="nil"/>
              <w:bottom w:val="single" w:sz="4" w:space="0" w:color="auto"/>
              <w:right w:val="single" w:sz="4" w:space="0" w:color="auto"/>
            </w:tcBorders>
            <w:shd w:val="clear" w:color="auto" w:fill="auto"/>
            <w:noWrap/>
            <w:vAlign w:val="center"/>
            <w:hideMark/>
          </w:tcPr>
          <w:p w14:paraId="4E8AE74D" w14:textId="2D037998" w:rsidR="002C21EC" w:rsidRPr="008A634F" w:rsidRDefault="002C21EC" w:rsidP="002C21EC">
            <w:pPr>
              <w:pStyle w:val="ExhibitText"/>
              <w:jc w:val="right"/>
            </w:pPr>
            <w:r w:rsidRPr="008A634F">
              <w:t>37.50</w:t>
            </w:r>
          </w:p>
        </w:tc>
        <w:tc>
          <w:tcPr>
            <w:tcW w:w="749" w:type="pct"/>
            <w:tcBorders>
              <w:top w:val="nil"/>
              <w:left w:val="nil"/>
              <w:bottom w:val="single" w:sz="4" w:space="0" w:color="auto"/>
              <w:right w:val="single" w:sz="4" w:space="0" w:color="auto"/>
            </w:tcBorders>
            <w:shd w:val="clear" w:color="auto" w:fill="auto"/>
            <w:noWrap/>
            <w:vAlign w:val="center"/>
            <w:hideMark/>
          </w:tcPr>
          <w:p w14:paraId="41D858ED" w14:textId="77777777" w:rsidR="002C21EC" w:rsidRPr="008A634F" w:rsidRDefault="002C21EC" w:rsidP="002C21EC">
            <w:pPr>
              <w:pStyle w:val="ExhibitText"/>
              <w:jc w:val="right"/>
            </w:pPr>
            <w:r w:rsidRPr="008A634F">
              <w:t>0</w:t>
            </w:r>
          </w:p>
        </w:tc>
        <w:tc>
          <w:tcPr>
            <w:tcW w:w="749" w:type="pct"/>
            <w:tcBorders>
              <w:top w:val="nil"/>
              <w:left w:val="nil"/>
              <w:bottom w:val="single" w:sz="4" w:space="0" w:color="auto"/>
              <w:right w:val="single" w:sz="4" w:space="0" w:color="auto"/>
            </w:tcBorders>
            <w:shd w:val="clear" w:color="auto" w:fill="auto"/>
            <w:noWrap/>
            <w:vAlign w:val="center"/>
            <w:hideMark/>
          </w:tcPr>
          <w:p w14:paraId="23D861C7" w14:textId="32AE326E" w:rsidR="002C21EC" w:rsidRPr="008A634F" w:rsidRDefault="002C21EC" w:rsidP="002C21EC">
            <w:pPr>
              <w:pStyle w:val="ExhibitText"/>
              <w:jc w:val="right"/>
            </w:pPr>
            <w:r w:rsidRPr="008A634F">
              <w:t xml:space="preserve"> </w:t>
            </w:r>
          </w:p>
        </w:tc>
        <w:tc>
          <w:tcPr>
            <w:tcW w:w="796" w:type="pct"/>
            <w:tcBorders>
              <w:top w:val="nil"/>
              <w:left w:val="nil"/>
              <w:bottom w:val="single" w:sz="4" w:space="0" w:color="auto"/>
              <w:right w:val="single" w:sz="4" w:space="0" w:color="auto"/>
            </w:tcBorders>
            <w:shd w:val="clear" w:color="auto" w:fill="auto"/>
            <w:noWrap/>
            <w:vAlign w:val="center"/>
            <w:hideMark/>
          </w:tcPr>
          <w:p w14:paraId="3F2BD56D" w14:textId="6B681AA0" w:rsidR="002C21EC" w:rsidRPr="008A634F" w:rsidRDefault="002C21EC" w:rsidP="002C21EC">
            <w:pPr>
              <w:pStyle w:val="ExhibitText"/>
              <w:jc w:val="right"/>
            </w:pPr>
            <w:r w:rsidRPr="008A634F">
              <w:t>510.00</w:t>
            </w:r>
          </w:p>
        </w:tc>
      </w:tr>
      <w:tr w:rsidR="002C21EC" w:rsidRPr="00F52737" w14:paraId="6F047667" w14:textId="77777777" w:rsidTr="00B96685">
        <w:trPr>
          <w:trHeight w:val="288"/>
          <w:jc w:val="center"/>
        </w:trPr>
        <w:tc>
          <w:tcPr>
            <w:tcW w:w="1223" w:type="pct"/>
            <w:tcBorders>
              <w:top w:val="nil"/>
              <w:left w:val="single" w:sz="4" w:space="0" w:color="auto"/>
              <w:bottom w:val="single" w:sz="4" w:space="0" w:color="auto"/>
              <w:right w:val="single" w:sz="4" w:space="0" w:color="auto"/>
            </w:tcBorders>
            <w:shd w:val="clear" w:color="auto" w:fill="auto"/>
            <w:noWrap/>
            <w:vAlign w:val="center"/>
            <w:hideMark/>
          </w:tcPr>
          <w:p w14:paraId="3BCAF3F0" w14:textId="70848194" w:rsidR="002C21EC" w:rsidRPr="008A634F" w:rsidRDefault="002C21EC" w:rsidP="002C21EC">
            <w:pPr>
              <w:pStyle w:val="ExhibitText"/>
              <w:jc w:val="left"/>
            </w:pPr>
            <w:r w:rsidRPr="008A634F">
              <w:t>Human Resource</w:t>
            </w:r>
          </w:p>
        </w:tc>
        <w:tc>
          <w:tcPr>
            <w:tcW w:w="733" w:type="pct"/>
            <w:tcBorders>
              <w:top w:val="nil"/>
              <w:left w:val="nil"/>
              <w:bottom w:val="single" w:sz="4" w:space="0" w:color="auto"/>
              <w:right w:val="single" w:sz="4" w:space="0" w:color="auto"/>
            </w:tcBorders>
            <w:shd w:val="clear" w:color="auto" w:fill="auto"/>
            <w:noWrap/>
            <w:vAlign w:val="center"/>
            <w:hideMark/>
          </w:tcPr>
          <w:p w14:paraId="73FD0F68" w14:textId="0EA93FDC" w:rsidR="002C21EC" w:rsidRPr="008A634F" w:rsidRDefault="002C21EC" w:rsidP="002C21EC">
            <w:pPr>
              <w:pStyle w:val="ExhibitText"/>
              <w:jc w:val="right"/>
            </w:pPr>
            <w:r w:rsidRPr="008A634F">
              <w:t>455.00</w:t>
            </w:r>
          </w:p>
        </w:tc>
        <w:tc>
          <w:tcPr>
            <w:tcW w:w="749" w:type="pct"/>
            <w:tcBorders>
              <w:top w:val="nil"/>
              <w:left w:val="nil"/>
              <w:bottom w:val="single" w:sz="4" w:space="0" w:color="auto"/>
              <w:right w:val="single" w:sz="4" w:space="0" w:color="auto"/>
            </w:tcBorders>
            <w:shd w:val="clear" w:color="auto" w:fill="auto"/>
            <w:noWrap/>
            <w:vAlign w:val="center"/>
            <w:hideMark/>
          </w:tcPr>
          <w:p w14:paraId="4E450516" w14:textId="379DA5ED" w:rsidR="002C21EC" w:rsidRPr="008A634F" w:rsidRDefault="002C21EC" w:rsidP="002C21EC">
            <w:pPr>
              <w:pStyle w:val="ExhibitText"/>
              <w:jc w:val="right"/>
            </w:pPr>
            <w:r w:rsidRPr="008A634F">
              <w:t>27.00</w:t>
            </w:r>
          </w:p>
        </w:tc>
        <w:tc>
          <w:tcPr>
            <w:tcW w:w="749" w:type="pct"/>
            <w:tcBorders>
              <w:top w:val="nil"/>
              <w:left w:val="nil"/>
              <w:bottom w:val="single" w:sz="4" w:space="0" w:color="auto"/>
              <w:right w:val="single" w:sz="4" w:space="0" w:color="auto"/>
            </w:tcBorders>
            <w:shd w:val="clear" w:color="auto" w:fill="auto"/>
            <w:noWrap/>
            <w:vAlign w:val="center"/>
            <w:hideMark/>
          </w:tcPr>
          <w:p w14:paraId="48E10405" w14:textId="77777777" w:rsidR="002C21EC" w:rsidRPr="008A634F" w:rsidRDefault="002C21EC" w:rsidP="002C21EC">
            <w:pPr>
              <w:pStyle w:val="ExhibitText"/>
              <w:jc w:val="right"/>
            </w:pPr>
            <w:r w:rsidRPr="008A634F">
              <w:t>0</w:t>
            </w:r>
          </w:p>
        </w:tc>
        <w:tc>
          <w:tcPr>
            <w:tcW w:w="749" w:type="pct"/>
            <w:tcBorders>
              <w:top w:val="nil"/>
              <w:left w:val="nil"/>
              <w:bottom w:val="single" w:sz="4" w:space="0" w:color="auto"/>
              <w:right w:val="single" w:sz="4" w:space="0" w:color="auto"/>
            </w:tcBorders>
            <w:shd w:val="clear" w:color="auto" w:fill="auto"/>
            <w:noWrap/>
            <w:vAlign w:val="center"/>
            <w:hideMark/>
          </w:tcPr>
          <w:p w14:paraId="7B640449" w14:textId="5FD17FB9" w:rsidR="002C21EC" w:rsidRPr="008A634F" w:rsidRDefault="002C21EC" w:rsidP="002C21EC">
            <w:pPr>
              <w:pStyle w:val="ExhibitText"/>
              <w:jc w:val="right"/>
            </w:pPr>
            <w:r w:rsidRPr="008A634F">
              <w:t xml:space="preserve"> </w:t>
            </w:r>
          </w:p>
        </w:tc>
        <w:tc>
          <w:tcPr>
            <w:tcW w:w="796" w:type="pct"/>
            <w:tcBorders>
              <w:top w:val="nil"/>
              <w:left w:val="nil"/>
              <w:bottom w:val="single" w:sz="4" w:space="0" w:color="auto"/>
              <w:right w:val="single" w:sz="4" w:space="0" w:color="auto"/>
            </w:tcBorders>
            <w:shd w:val="clear" w:color="auto" w:fill="auto"/>
            <w:noWrap/>
            <w:vAlign w:val="center"/>
            <w:hideMark/>
          </w:tcPr>
          <w:p w14:paraId="470567DE" w14:textId="20C18BE9" w:rsidR="002C21EC" w:rsidRPr="008A634F" w:rsidRDefault="002C21EC" w:rsidP="002C21EC">
            <w:pPr>
              <w:pStyle w:val="ExhibitText"/>
              <w:jc w:val="right"/>
            </w:pPr>
            <w:r w:rsidRPr="008A634F">
              <w:t>482.00</w:t>
            </w:r>
          </w:p>
        </w:tc>
      </w:tr>
      <w:tr w:rsidR="002C21EC" w:rsidRPr="00F52737" w14:paraId="36AA5C9B" w14:textId="77777777" w:rsidTr="00B96685">
        <w:trPr>
          <w:trHeight w:val="288"/>
          <w:jc w:val="center"/>
        </w:trPr>
        <w:tc>
          <w:tcPr>
            <w:tcW w:w="1223" w:type="pct"/>
            <w:tcBorders>
              <w:top w:val="nil"/>
              <w:left w:val="single" w:sz="4" w:space="0" w:color="auto"/>
              <w:bottom w:val="single" w:sz="4" w:space="0" w:color="auto"/>
              <w:right w:val="single" w:sz="4" w:space="0" w:color="auto"/>
            </w:tcBorders>
            <w:shd w:val="clear" w:color="auto" w:fill="auto"/>
            <w:noWrap/>
            <w:vAlign w:val="center"/>
            <w:hideMark/>
          </w:tcPr>
          <w:p w14:paraId="193F4D9F" w14:textId="266C081F" w:rsidR="002C21EC" w:rsidRPr="008A634F" w:rsidRDefault="002C21EC" w:rsidP="002C21EC">
            <w:pPr>
              <w:pStyle w:val="ExhibitText"/>
              <w:jc w:val="left"/>
            </w:pPr>
            <w:r w:rsidRPr="008A634F">
              <w:t>Business Development</w:t>
            </w:r>
          </w:p>
        </w:tc>
        <w:tc>
          <w:tcPr>
            <w:tcW w:w="733" w:type="pct"/>
            <w:tcBorders>
              <w:top w:val="nil"/>
              <w:left w:val="nil"/>
              <w:bottom w:val="single" w:sz="4" w:space="0" w:color="auto"/>
              <w:right w:val="single" w:sz="4" w:space="0" w:color="auto"/>
            </w:tcBorders>
            <w:shd w:val="clear" w:color="auto" w:fill="auto"/>
            <w:noWrap/>
            <w:vAlign w:val="center"/>
            <w:hideMark/>
          </w:tcPr>
          <w:p w14:paraId="2C919E83" w14:textId="2EFDCE63" w:rsidR="002C21EC" w:rsidRPr="008A634F" w:rsidRDefault="002C21EC" w:rsidP="002C21EC">
            <w:pPr>
              <w:pStyle w:val="ExhibitText"/>
              <w:jc w:val="right"/>
            </w:pPr>
            <w:r w:rsidRPr="008A634F">
              <w:t>380.00</w:t>
            </w:r>
          </w:p>
        </w:tc>
        <w:tc>
          <w:tcPr>
            <w:tcW w:w="749" w:type="pct"/>
            <w:tcBorders>
              <w:top w:val="nil"/>
              <w:left w:val="nil"/>
              <w:bottom w:val="single" w:sz="4" w:space="0" w:color="auto"/>
              <w:right w:val="single" w:sz="4" w:space="0" w:color="auto"/>
            </w:tcBorders>
            <w:shd w:val="clear" w:color="auto" w:fill="auto"/>
            <w:noWrap/>
            <w:vAlign w:val="center"/>
            <w:hideMark/>
          </w:tcPr>
          <w:p w14:paraId="697AC195" w14:textId="6EF95384" w:rsidR="002C21EC" w:rsidRPr="008A634F" w:rsidRDefault="002C21EC" w:rsidP="002C21EC">
            <w:pPr>
              <w:pStyle w:val="ExhibitText"/>
              <w:jc w:val="right"/>
            </w:pPr>
            <w:r w:rsidRPr="008A634F">
              <w:t>60.00</w:t>
            </w:r>
          </w:p>
        </w:tc>
        <w:tc>
          <w:tcPr>
            <w:tcW w:w="749" w:type="pct"/>
            <w:tcBorders>
              <w:top w:val="nil"/>
              <w:left w:val="nil"/>
              <w:bottom w:val="single" w:sz="4" w:space="0" w:color="auto"/>
              <w:right w:val="single" w:sz="4" w:space="0" w:color="auto"/>
            </w:tcBorders>
            <w:shd w:val="clear" w:color="auto" w:fill="auto"/>
            <w:noWrap/>
            <w:vAlign w:val="center"/>
            <w:hideMark/>
          </w:tcPr>
          <w:p w14:paraId="25616199" w14:textId="77777777" w:rsidR="002C21EC" w:rsidRPr="008A634F" w:rsidRDefault="002C21EC" w:rsidP="002C21EC">
            <w:pPr>
              <w:pStyle w:val="ExhibitText"/>
              <w:jc w:val="right"/>
            </w:pPr>
            <w:r w:rsidRPr="008A634F">
              <w:t>0</w:t>
            </w:r>
          </w:p>
        </w:tc>
        <w:tc>
          <w:tcPr>
            <w:tcW w:w="749" w:type="pct"/>
            <w:tcBorders>
              <w:top w:val="nil"/>
              <w:left w:val="nil"/>
              <w:bottom w:val="single" w:sz="4" w:space="0" w:color="auto"/>
              <w:right w:val="single" w:sz="4" w:space="0" w:color="auto"/>
            </w:tcBorders>
            <w:shd w:val="clear" w:color="auto" w:fill="auto"/>
            <w:noWrap/>
            <w:vAlign w:val="center"/>
            <w:hideMark/>
          </w:tcPr>
          <w:p w14:paraId="23E9F6B6" w14:textId="031DCD47" w:rsidR="002C21EC" w:rsidRPr="008A634F" w:rsidRDefault="002C21EC" w:rsidP="002C21EC">
            <w:pPr>
              <w:pStyle w:val="ExhibitText"/>
              <w:jc w:val="right"/>
            </w:pPr>
            <w:r w:rsidRPr="008A634F">
              <w:t xml:space="preserve"> </w:t>
            </w:r>
          </w:p>
        </w:tc>
        <w:tc>
          <w:tcPr>
            <w:tcW w:w="796" w:type="pct"/>
            <w:tcBorders>
              <w:top w:val="nil"/>
              <w:left w:val="nil"/>
              <w:bottom w:val="single" w:sz="4" w:space="0" w:color="auto"/>
              <w:right w:val="single" w:sz="4" w:space="0" w:color="auto"/>
            </w:tcBorders>
            <w:shd w:val="clear" w:color="auto" w:fill="auto"/>
            <w:noWrap/>
            <w:vAlign w:val="center"/>
            <w:hideMark/>
          </w:tcPr>
          <w:p w14:paraId="61AA6C92" w14:textId="5B7C258A" w:rsidR="002C21EC" w:rsidRPr="008A634F" w:rsidRDefault="002C21EC" w:rsidP="002C21EC">
            <w:pPr>
              <w:pStyle w:val="ExhibitText"/>
              <w:jc w:val="right"/>
            </w:pPr>
            <w:r w:rsidRPr="008A634F">
              <w:t>440.00</w:t>
            </w:r>
          </w:p>
        </w:tc>
      </w:tr>
      <w:tr w:rsidR="002C21EC" w:rsidRPr="00F52737" w14:paraId="270FD9E7" w14:textId="77777777" w:rsidTr="00B96685">
        <w:trPr>
          <w:trHeight w:val="288"/>
          <w:jc w:val="center"/>
        </w:trPr>
        <w:tc>
          <w:tcPr>
            <w:tcW w:w="1223" w:type="pct"/>
            <w:tcBorders>
              <w:top w:val="nil"/>
              <w:left w:val="single" w:sz="4" w:space="0" w:color="auto"/>
              <w:bottom w:val="single" w:sz="4" w:space="0" w:color="auto"/>
              <w:right w:val="single" w:sz="4" w:space="0" w:color="auto"/>
            </w:tcBorders>
            <w:shd w:val="clear" w:color="auto" w:fill="auto"/>
            <w:noWrap/>
            <w:vAlign w:val="center"/>
            <w:hideMark/>
          </w:tcPr>
          <w:p w14:paraId="40AF6A58" w14:textId="6D59699E" w:rsidR="002C21EC" w:rsidRPr="00F32D6D" w:rsidRDefault="002C21EC" w:rsidP="002C21EC">
            <w:pPr>
              <w:pStyle w:val="ExhibitText"/>
              <w:jc w:val="left"/>
            </w:pPr>
            <w:r w:rsidRPr="00F32D6D">
              <w:t>Health, Safety, and Training</w:t>
            </w:r>
          </w:p>
        </w:tc>
        <w:tc>
          <w:tcPr>
            <w:tcW w:w="733" w:type="pct"/>
            <w:tcBorders>
              <w:top w:val="nil"/>
              <w:left w:val="nil"/>
              <w:bottom w:val="single" w:sz="4" w:space="0" w:color="auto"/>
              <w:right w:val="single" w:sz="4" w:space="0" w:color="auto"/>
            </w:tcBorders>
            <w:shd w:val="clear" w:color="auto" w:fill="auto"/>
            <w:noWrap/>
            <w:vAlign w:val="center"/>
            <w:hideMark/>
          </w:tcPr>
          <w:p w14:paraId="248F891D" w14:textId="03B016AA" w:rsidR="002C21EC" w:rsidRPr="00F52737" w:rsidRDefault="002C21EC" w:rsidP="002C21EC">
            <w:pPr>
              <w:pStyle w:val="ExhibitText"/>
              <w:jc w:val="right"/>
            </w:pPr>
            <w:r w:rsidRPr="00F52737">
              <w:t>280</w:t>
            </w:r>
            <w:r>
              <w:t>.00</w:t>
            </w:r>
          </w:p>
        </w:tc>
        <w:tc>
          <w:tcPr>
            <w:tcW w:w="749" w:type="pct"/>
            <w:tcBorders>
              <w:top w:val="nil"/>
              <w:left w:val="nil"/>
              <w:bottom w:val="single" w:sz="4" w:space="0" w:color="auto"/>
              <w:right w:val="single" w:sz="4" w:space="0" w:color="auto"/>
            </w:tcBorders>
            <w:shd w:val="clear" w:color="auto" w:fill="auto"/>
            <w:noWrap/>
            <w:vAlign w:val="center"/>
            <w:hideMark/>
          </w:tcPr>
          <w:p w14:paraId="318BDA87" w14:textId="76371E4C" w:rsidR="002C21EC" w:rsidRPr="00F52737" w:rsidRDefault="002C21EC" w:rsidP="002C21EC">
            <w:pPr>
              <w:pStyle w:val="ExhibitText"/>
              <w:jc w:val="right"/>
            </w:pPr>
            <w:r w:rsidRPr="00F52737">
              <w:t>30</w:t>
            </w:r>
            <w:r>
              <w:t>.00</w:t>
            </w:r>
          </w:p>
        </w:tc>
        <w:tc>
          <w:tcPr>
            <w:tcW w:w="749" w:type="pct"/>
            <w:tcBorders>
              <w:top w:val="nil"/>
              <w:left w:val="nil"/>
              <w:bottom w:val="single" w:sz="4" w:space="0" w:color="auto"/>
              <w:right w:val="single" w:sz="4" w:space="0" w:color="auto"/>
            </w:tcBorders>
            <w:shd w:val="clear" w:color="auto" w:fill="auto"/>
            <w:noWrap/>
            <w:vAlign w:val="center"/>
            <w:hideMark/>
          </w:tcPr>
          <w:p w14:paraId="5D4B4156" w14:textId="2958D3F1" w:rsidR="002C21EC" w:rsidRPr="00F52737" w:rsidRDefault="002C21EC" w:rsidP="002C21EC">
            <w:pPr>
              <w:pStyle w:val="ExhibitText"/>
              <w:jc w:val="right"/>
            </w:pPr>
            <w:r>
              <w:t xml:space="preserve"> </w:t>
            </w:r>
          </w:p>
        </w:tc>
        <w:tc>
          <w:tcPr>
            <w:tcW w:w="749" w:type="pct"/>
            <w:tcBorders>
              <w:top w:val="nil"/>
              <w:left w:val="nil"/>
              <w:bottom w:val="single" w:sz="4" w:space="0" w:color="auto"/>
              <w:right w:val="single" w:sz="4" w:space="0" w:color="auto"/>
            </w:tcBorders>
            <w:shd w:val="clear" w:color="auto" w:fill="auto"/>
            <w:noWrap/>
            <w:vAlign w:val="center"/>
            <w:hideMark/>
          </w:tcPr>
          <w:p w14:paraId="2B166758" w14:textId="4FC79267" w:rsidR="002C21EC" w:rsidRPr="00F52737" w:rsidRDefault="002C21EC" w:rsidP="002C21EC">
            <w:pPr>
              <w:pStyle w:val="ExhibitText"/>
              <w:jc w:val="right"/>
            </w:pPr>
            <w:r>
              <w:t xml:space="preserve"> </w:t>
            </w:r>
          </w:p>
        </w:tc>
        <w:tc>
          <w:tcPr>
            <w:tcW w:w="796" w:type="pct"/>
            <w:tcBorders>
              <w:top w:val="nil"/>
              <w:left w:val="nil"/>
              <w:bottom w:val="single" w:sz="4" w:space="0" w:color="auto"/>
              <w:right w:val="single" w:sz="4" w:space="0" w:color="auto"/>
            </w:tcBorders>
            <w:shd w:val="clear" w:color="auto" w:fill="auto"/>
            <w:noWrap/>
            <w:vAlign w:val="center"/>
            <w:hideMark/>
          </w:tcPr>
          <w:p w14:paraId="1587726A" w14:textId="6B0333C9" w:rsidR="002C21EC" w:rsidRPr="00F52737" w:rsidRDefault="002C21EC" w:rsidP="002C21EC">
            <w:pPr>
              <w:pStyle w:val="ExhibitText"/>
              <w:jc w:val="right"/>
            </w:pPr>
            <w:r w:rsidRPr="00F52737">
              <w:t>310</w:t>
            </w:r>
            <w:r>
              <w:t>.00</w:t>
            </w:r>
          </w:p>
        </w:tc>
      </w:tr>
      <w:tr w:rsidR="002C21EC" w:rsidRPr="00F52737" w14:paraId="328F908B" w14:textId="77777777" w:rsidTr="00B96685">
        <w:trPr>
          <w:trHeight w:val="288"/>
          <w:jc w:val="center"/>
        </w:trPr>
        <w:tc>
          <w:tcPr>
            <w:tcW w:w="1223" w:type="pct"/>
            <w:tcBorders>
              <w:top w:val="nil"/>
              <w:left w:val="single" w:sz="4" w:space="0" w:color="auto"/>
              <w:bottom w:val="single" w:sz="4" w:space="0" w:color="auto"/>
              <w:right w:val="single" w:sz="4" w:space="0" w:color="auto"/>
            </w:tcBorders>
            <w:shd w:val="clear" w:color="auto" w:fill="auto"/>
            <w:noWrap/>
            <w:vAlign w:val="center"/>
            <w:hideMark/>
          </w:tcPr>
          <w:p w14:paraId="26273528" w14:textId="77777777" w:rsidR="002C21EC" w:rsidRPr="00F32D6D" w:rsidRDefault="002C21EC" w:rsidP="002C21EC">
            <w:pPr>
              <w:pStyle w:val="ExhibitText"/>
              <w:jc w:val="left"/>
            </w:pPr>
            <w:r w:rsidRPr="00F32D6D">
              <w:t>Legal</w:t>
            </w:r>
          </w:p>
        </w:tc>
        <w:tc>
          <w:tcPr>
            <w:tcW w:w="733" w:type="pct"/>
            <w:tcBorders>
              <w:top w:val="nil"/>
              <w:left w:val="nil"/>
              <w:bottom w:val="single" w:sz="4" w:space="0" w:color="auto"/>
              <w:right w:val="single" w:sz="4" w:space="0" w:color="auto"/>
            </w:tcBorders>
            <w:shd w:val="clear" w:color="auto" w:fill="auto"/>
            <w:noWrap/>
            <w:vAlign w:val="center"/>
            <w:hideMark/>
          </w:tcPr>
          <w:p w14:paraId="492F08E3" w14:textId="1BFCF7DD" w:rsidR="002C21EC" w:rsidRPr="00F52737" w:rsidRDefault="002C21EC" w:rsidP="002C21EC">
            <w:pPr>
              <w:pStyle w:val="ExhibitText"/>
              <w:jc w:val="right"/>
            </w:pPr>
            <w:r w:rsidRPr="00F52737">
              <w:t>180</w:t>
            </w:r>
            <w:r>
              <w:t>.00</w:t>
            </w:r>
          </w:p>
        </w:tc>
        <w:tc>
          <w:tcPr>
            <w:tcW w:w="749" w:type="pct"/>
            <w:tcBorders>
              <w:top w:val="nil"/>
              <w:left w:val="nil"/>
              <w:bottom w:val="single" w:sz="4" w:space="0" w:color="auto"/>
              <w:right w:val="single" w:sz="4" w:space="0" w:color="auto"/>
            </w:tcBorders>
            <w:shd w:val="clear" w:color="auto" w:fill="auto"/>
            <w:noWrap/>
            <w:vAlign w:val="center"/>
            <w:hideMark/>
          </w:tcPr>
          <w:p w14:paraId="2C74BFA3" w14:textId="2BA6101D" w:rsidR="002C21EC" w:rsidRPr="00F52737" w:rsidRDefault="002C21EC" w:rsidP="002C21EC">
            <w:pPr>
              <w:pStyle w:val="ExhibitText"/>
              <w:jc w:val="right"/>
            </w:pPr>
            <w:r w:rsidRPr="00F52737">
              <w:t>15</w:t>
            </w:r>
            <w:r>
              <w:t>.00</w:t>
            </w:r>
          </w:p>
        </w:tc>
        <w:tc>
          <w:tcPr>
            <w:tcW w:w="749" w:type="pct"/>
            <w:tcBorders>
              <w:top w:val="nil"/>
              <w:left w:val="nil"/>
              <w:bottom w:val="single" w:sz="4" w:space="0" w:color="auto"/>
              <w:right w:val="single" w:sz="4" w:space="0" w:color="auto"/>
            </w:tcBorders>
            <w:shd w:val="clear" w:color="auto" w:fill="auto"/>
            <w:noWrap/>
            <w:vAlign w:val="center"/>
            <w:hideMark/>
          </w:tcPr>
          <w:p w14:paraId="15E89B85" w14:textId="36485FB2" w:rsidR="002C21EC" w:rsidRPr="00F52737" w:rsidRDefault="002C21EC" w:rsidP="002C21EC">
            <w:pPr>
              <w:pStyle w:val="ExhibitText"/>
              <w:jc w:val="right"/>
            </w:pPr>
            <w:r>
              <w:t xml:space="preserve"> </w:t>
            </w:r>
          </w:p>
        </w:tc>
        <w:tc>
          <w:tcPr>
            <w:tcW w:w="749" w:type="pct"/>
            <w:tcBorders>
              <w:top w:val="nil"/>
              <w:left w:val="nil"/>
              <w:bottom w:val="single" w:sz="4" w:space="0" w:color="auto"/>
              <w:right w:val="single" w:sz="4" w:space="0" w:color="auto"/>
            </w:tcBorders>
            <w:shd w:val="clear" w:color="auto" w:fill="auto"/>
            <w:noWrap/>
            <w:vAlign w:val="center"/>
            <w:hideMark/>
          </w:tcPr>
          <w:p w14:paraId="17A305DA" w14:textId="118C072F" w:rsidR="002C21EC" w:rsidRPr="00F52737" w:rsidRDefault="002C21EC" w:rsidP="002C21EC">
            <w:pPr>
              <w:pStyle w:val="ExhibitText"/>
              <w:jc w:val="right"/>
            </w:pPr>
            <w:r>
              <w:t xml:space="preserve"> </w:t>
            </w:r>
          </w:p>
        </w:tc>
        <w:tc>
          <w:tcPr>
            <w:tcW w:w="796" w:type="pct"/>
            <w:tcBorders>
              <w:top w:val="nil"/>
              <w:left w:val="nil"/>
              <w:bottom w:val="single" w:sz="4" w:space="0" w:color="auto"/>
              <w:right w:val="single" w:sz="4" w:space="0" w:color="auto"/>
            </w:tcBorders>
            <w:shd w:val="clear" w:color="auto" w:fill="auto"/>
            <w:noWrap/>
            <w:vAlign w:val="center"/>
            <w:hideMark/>
          </w:tcPr>
          <w:p w14:paraId="64242913" w14:textId="7BEE89FF" w:rsidR="002C21EC" w:rsidRPr="00F52737" w:rsidRDefault="002C21EC" w:rsidP="002C21EC">
            <w:pPr>
              <w:pStyle w:val="ExhibitText"/>
              <w:jc w:val="right"/>
            </w:pPr>
            <w:r w:rsidRPr="00F52737">
              <w:t>195</w:t>
            </w:r>
            <w:r>
              <w:t>.00</w:t>
            </w:r>
          </w:p>
        </w:tc>
      </w:tr>
      <w:tr w:rsidR="002C21EC" w:rsidRPr="00F52737" w14:paraId="113483FF" w14:textId="77777777" w:rsidTr="00B96685">
        <w:trPr>
          <w:trHeight w:val="288"/>
          <w:jc w:val="center"/>
        </w:trPr>
        <w:tc>
          <w:tcPr>
            <w:tcW w:w="1223" w:type="pct"/>
            <w:tcBorders>
              <w:top w:val="nil"/>
              <w:left w:val="single" w:sz="4" w:space="0" w:color="auto"/>
              <w:bottom w:val="single" w:sz="4" w:space="0" w:color="auto"/>
              <w:right w:val="single" w:sz="4" w:space="0" w:color="auto"/>
            </w:tcBorders>
            <w:shd w:val="clear" w:color="auto" w:fill="auto"/>
            <w:noWrap/>
            <w:vAlign w:val="center"/>
            <w:hideMark/>
          </w:tcPr>
          <w:p w14:paraId="48A8F81E" w14:textId="19193414" w:rsidR="002C21EC" w:rsidRPr="00F32D6D" w:rsidRDefault="002C21EC" w:rsidP="002C21EC">
            <w:pPr>
              <w:pStyle w:val="ExhibitText"/>
              <w:jc w:val="left"/>
              <w:rPr>
                <w:b/>
              </w:rPr>
            </w:pPr>
            <w:r w:rsidRPr="00F32D6D">
              <w:rPr>
                <w:b/>
              </w:rPr>
              <w:t>Total</w:t>
            </w:r>
          </w:p>
        </w:tc>
        <w:tc>
          <w:tcPr>
            <w:tcW w:w="733" w:type="pct"/>
            <w:tcBorders>
              <w:top w:val="nil"/>
              <w:left w:val="nil"/>
              <w:bottom w:val="single" w:sz="4" w:space="0" w:color="auto"/>
              <w:right w:val="single" w:sz="4" w:space="0" w:color="auto"/>
            </w:tcBorders>
            <w:shd w:val="clear" w:color="auto" w:fill="auto"/>
            <w:noWrap/>
            <w:vAlign w:val="center"/>
            <w:hideMark/>
          </w:tcPr>
          <w:p w14:paraId="154365A7" w14:textId="43FC4F8B" w:rsidR="002C21EC" w:rsidRPr="00997F84" w:rsidRDefault="002C21EC" w:rsidP="002C21EC">
            <w:pPr>
              <w:pStyle w:val="ExhibitText"/>
              <w:jc w:val="right"/>
              <w:rPr>
                <w:b/>
              </w:rPr>
            </w:pPr>
            <w:r w:rsidRPr="00997F84">
              <w:rPr>
                <w:b/>
              </w:rPr>
              <w:t xml:space="preserve"> </w:t>
            </w:r>
          </w:p>
        </w:tc>
        <w:tc>
          <w:tcPr>
            <w:tcW w:w="749" w:type="pct"/>
            <w:tcBorders>
              <w:top w:val="nil"/>
              <w:left w:val="nil"/>
              <w:bottom w:val="single" w:sz="4" w:space="0" w:color="auto"/>
              <w:right w:val="single" w:sz="4" w:space="0" w:color="auto"/>
            </w:tcBorders>
            <w:shd w:val="clear" w:color="auto" w:fill="auto"/>
            <w:noWrap/>
            <w:vAlign w:val="center"/>
            <w:hideMark/>
          </w:tcPr>
          <w:p w14:paraId="559F6779" w14:textId="41846D8C" w:rsidR="002C21EC" w:rsidRPr="00997F84" w:rsidRDefault="002C21EC" w:rsidP="002C21EC">
            <w:pPr>
              <w:pStyle w:val="ExhibitText"/>
              <w:jc w:val="right"/>
              <w:rPr>
                <w:b/>
              </w:rPr>
            </w:pPr>
            <w:r w:rsidRPr="00997F84">
              <w:rPr>
                <w:b/>
              </w:rPr>
              <w:t xml:space="preserve"> </w:t>
            </w:r>
          </w:p>
        </w:tc>
        <w:tc>
          <w:tcPr>
            <w:tcW w:w="749" w:type="pct"/>
            <w:tcBorders>
              <w:top w:val="nil"/>
              <w:left w:val="nil"/>
              <w:bottom w:val="single" w:sz="4" w:space="0" w:color="auto"/>
              <w:right w:val="single" w:sz="4" w:space="0" w:color="auto"/>
            </w:tcBorders>
            <w:shd w:val="clear" w:color="auto" w:fill="auto"/>
            <w:noWrap/>
            <w:vAlign w:val="center"/>
            <w:hideMark/>
          </w:tcPr>
          <w:p w14:paraId="5F516273" w14:textId="106B7CD6" w:rsidR="002C21EC" w:rsidRPr="00997F84" w:rsidRDefault="002C21EC" w:rsidP="002C21EC">
            <w:pPr>
              <w:pStyle w:val="ExhibitText"/>
              <w:jc w:val="right"/>
              <w:rPr>
                <w:b/>
              </w:rPr>
            </w:pPr>
            <w:r w:rsidRPr="00997F84">
              <w:rPr>
                <w:b/>
              </w:rPr>
              <w:t xml:space="preserve"> </w:t>
            </w:r>
          </w:p>
        </w:tc>
        <w:tc>
          <w:tcPr>
            <w:tcW w:w="749" w:type="pct"/>
            <w:tcBorders>
              <w:top w:val="nil"/>
              <w:left w:val="nil"/>
              <w:bottom w:val="single" w:sz="4" w:space="0" w:color="auto"/>
              <w:right w:val="single" w:sz="4" w:space="0" w:color="auto"/>
            </w:tcBorders>
            <w:shd w:val="clear" w:color="auto" w:fill="auto"/>
            <w:noWrap/>
            <w:vAlign w:val="center"/>
            <w:hideMark/>
          </w:tcPr>
          <w:p w14:paraId="503AB948" w14:textId="06A0E394" w:rsidR="002C21EC" w:rsidRPr="00997F84" w:rsidRDefault="002C21EC" w:rsidP="002C21EC">
            <w:pPr>
              <w:pStyle w:val="ExhibitText"/>
              <w:jc w:val="right"/>
              <w:rPr>
                <w:b/>
              </w:rPr>
            </w:pPr>
            <w:r w:rsidRPr="00997F84">
              <w:rPr>
                <w:b/>
              </w:rPr>
              <w:t xml:space="preserve"> </w:t>
            </w:r>
          </w:p>
        </w:tc>
        <w:tc>
          <w:tcPr>
            <w:tcW w:w="796" w:type="pct"/>
            <w:tcBorders>
              <w:top w:val="nil"/>
              <w:left w:val="nil"/>
              <w:bottom w:val="single" w:sz="4" w:space="0" w:color="auto"/>
              <w:right w:val="single" w:sz="4" w:space="0" w:color="auto"/>
            </w:tcBorders>
            <w:shd w:val="clear" w:color="auto" w:fill="auto"/>
            <w:noWrap/>
            <w:vAlign w:val="center"/>
            <w:hideMark/>
          </w:tcPr>
          <w:p w14:paraId="77E2E162" w14:textId="2BBCF9DE" w:rsidR="002C21EC" w:rsidRPr="00997F84" w:rsidRDefault="002C21EC" w:rsidP="002C21EC">
            <w:pPr>
              <w:pStyle w:val="ExhibitText"/>
              <w:jc w:val="right"/>
              <w:rPr>
                <w:b/>
              </w:rPr>
            </w:pPr>
            <w:r w:rsidRPr="00997F84">
              <w:rPr>
                <w:b/>
              </w:rPr>
              <w:t>3,470.00</w:t>
            </w:r>
          </w:p>
        </w:tc>
      </w:tr>
    </w:tbl>
    <w:p w14:paraId="26B88709" w14:textId="77777777" w:rsidR="00462143" w:rsidRPr="00F52737" w:rsidRDefault="00462143" w:rsidP="00462143">
      <w:pPr>
        <w:pStyle w:val="ExhibitText"/>
        <w:tabs>
          <w:tab w:val="left" w:pos="1518"/>
          <w:tab w:val="left" w:pos="2705"/>
          <w:tab w:val="left" w:pos="4008"/>
          <w:tab w:val="left" w:pos="4919"/>
          <w:tab w:val="left" w:pos="5794"/>
          <w:tab w:val="left" w:pos="7810"/>
        </w:tabs>
        <w:ind w:left="113"/>
        <w:jc w:val="left"/>
      </w:pPr>
    </w:p>
    <w:p w14:paraId="10211CFE" w14:textId="51414DE6" w:rsidR="00462143" w:rsidRDefault="00E56947" w:rsidP="00997F84">
      <w:pPr>
        <w:pStyle w:val="Footnote"/>
      </w:pPr>
      <w:r>
        <w:t>Source: Company documents.</w:t>
      </w:r>
    </w:p>
    <w:p w14:paraId="51565555" w14:textId="77777777" w:rsidR="00E03A1E" w:rsidRDefault="00E03A1E" w:rsidP="00997F84">
      <w:pPr>
        <w:pStyle w:val="Footnote"/>
        <w:rPr>
          <w:i/>
        </w:rPr>
      </w:pPr>
    </w:p>
    <w:p w14:paraId="62BD7A83" w14:textId="77777777" w:rsidR="008F549D" w:rsidRDefault="008F549D">
      <w:pPr>
        <w:spacing w:after="200" w:line="276" w:lineRule="auto"/>
        <w:rPr>
          <w:i/>
        </w:rPr>
        <w:sectPr w:rsidR="008F549D" w:rsidSect="00751E0B">
          <w:headerReference w:type="default" r:id="rId16"/>
          <w:pgSz w:w="12240" w:h="15840" w:code="1"/>
          <w:pgMar w:top="1080" w:right="1440" w:bottom="1440" w:left="1440" w:header="1080" w:footer="720" w:gutter="0"/>
          <w:cols w:space="720"/>
          <w:titlePg/>
          <w:docGrid w:linePitch="360"/>
        </w:sectPr>
      </w:pPr>
    </w:p>
    <w:p w14:paraId="61620301" w14:textId="6F737413" w:rsidR="00462143" w:rsidRPr="00F52737" w:rsidRDefault="00462143" w:rsidP="00565814">
      <w:pPr>
        <w:pStyle w:val="ExhibitHeading"/>
        <w:outlineLvl w:val="0"/>
      </w:pPr>
      <w:r w:rsidRPr="00F52737">
        <w:lastRenderedPageBreak/>
        <w:t xml:space="preserve">Exhibit </w:t>
      </w:r>
      <w:r w:rsidR="00E56947">
        <w:t xml:space="preserve">3: Daily </w:t>
      </w:r>
      <w:r w:rsidR="00E56947" w:rsidRPr="00460C1E">
        <w:t xml:space="preserve">Projected Salaries for Rig Staff </w:t>
      </w:r>
      <w:r w:rsidR="00CC6F74">
        <w:t xml:space="preserve">in the first year </w:t>
      </w:r>
      <w:r w:rsidR="00E56947" w:rsidRPr="00460C1E">
        <w:t>(in US$)</w:t>
      </w:r>
    </w:p>
    <w:p w14:paraId="081A2930" w14:textId="77777777" w:rsidR="00462143" w:rsidRPr="00F52737" w:rsidRDefault="00462143" w:rsidP="00462143">
      <w:pPr>
        <w:pStyle w:val="ExhibitText"/>
      </w:pPr>
    </w:p>
    <w:tbl>
      <w:tblPr>
        <w:tblW w:w="43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9"/>
        <w:gridCol w:w="1338"/>
        <w:gridCol w:w="1338"/>
        <w:gridCol w:w="1338"/>
        <w:gridCol w:w="1338"/>
        <w:gridCol w:w="1338"/>
        <w:gridCol w:w="1338"/>
        <w:gridCol w:w="1333"/>
      </w:tblGrid>
      <w:tr w:rsidR="00346C7B" w:rsidRPr="00AD667C" w14:paraId="7170498F" w14:textId="77777777" w:rsidTr="00D61FA3">
        <w:trPr>
          <w:trHeight w:val="288"/>
          <w:jc w:val="center"/>
        </w:trPr>
        <w:tc>
          <w:tcPr>
            <w:tcW w:w="1040" w:type="pct"/>
            <w:shd w:val="clear" w:color="auto" w:fill="auto"/>
            <w:noWrap/>
            <w:vAlign w:val="center"/>
            <w:hideMark/>
          </w:tcPr>
          <w:p w14:paraId="6EAAD886" w14:textId="77777777" w:rsidR="00346C7B" w:rsidRPr="00AD667C" w:rsidRDefault="00346C7B" w:rsidP="00AD667C">
            <w:pPr>
              <w:pStyle w:val="ExhibitText"/>
              <w:jc w:val="center"/>
              <w:rPr>
                <w:b/>
                <w:sz w:val="18"/>
                <w:szCs w:val="18"/>
              </w:rPr>
            </w:pPr>
            <w:r w:rsidRPr="00AD667C">
              <w:rPr>
                <w:b/>
                <w:sz w:val="18"/>
                <w:szCs w:val="18"/>
              </w:rPr>
              <w:t>Position</w:t>
            </w:r>
          </w:p>
        </w:tc>
        <w:tc>
          <w:tcPr>
            <w:tcW w:w="566" w:type="pct"/>
            <w:shd w:val="clear" w:color="auto" w:fill="auto"/>
            <w:noWrap/>
            <w:vAlign w:val="center"/>
            <w:hideMark/>
          </w:tcPr>
          <w:p w14:paraId="2B416E76" w14:textId="77777777" w:rsidR="00346C7B" w:rsidRPr="00AD667C" w:rsidRDefault="00346C7B" w:rsidP="00AD667C">
            <w:pPr>
              <w:pStyle w:val="ExhibitText"/>
              <w:jc w:val="center"/>
              <w:rPr>
                <w:b/>
                <w:sz w:val="18"/>
                <w:szCs w:val="18"/>
              </w:rPr>
            </w:pPr>
            <w:r w:rsidRPr="00AD667C">
              <w:rPr>
                <w:b/>
                <w:sz w:val="18"/>
                <w:szCs w:val="18"/>
              </w:rPr>
              <w:t>Total Personnel</w:t>
            </w:r>
          </w:p>
        </w:tc>
        <w:tc>
          <w:tcPr>
            <w:tcW w:w="566" w:type="pct"/>
            <w:shd w:val="clear" w:color="auto" w:fill="auto"/>
            <w:noWrap/>
            <w:vAlign w:val="center"/>
            <w:hideMark/>
          </w:tcPr>
          <w:p w14:paraId="5443F494" w14:textId="77777777" w:rsidR="00346C7B" w:rsidRPr="00AD667C" w:rsidRDefault="00346C7B" w:rsidP="00AD667C">
            <w:pPr>
              <w:pStyle w:val="ExhibitText"/>
              <w:jc w:val="center"/>
              <w:rPr>
                <w:b/>
                <w:sz w:val="18"/>
                <w:szCs w:val="18"/>
              </w:rPr>
            </w:pPr>
            <w:r w:rsidRPr="00AD667C">
              <w:rPr>
                <w:b/>
                <w:sz w:val="18"/>
                <w:szCs w:val="18"/>
              </w:rPr>
              <w:t>Salary Cost</w:t>
            </w:r>
          </w:p>
        </w:tc>
        <w:tc>
          <w:tcPr>
            <w:tcW w:w="566" w:type="pct"/>
            <w:shd w:val="clear" w:color="auto" w:fill="auto"/>
            <w:noWrap/>
            <w:vAlign w:val="center"/>
            <w:hideMark/>
          </w:tcPr>
          <w:p w14:paraId="4E0AC395" w14:textId="77777777" w:rsidR="00346C7B" w:rsidRPr="00AD667C" w:rsidRDefault="00346C7B" w:rsidP="00AD667C">
            <w:pPr>
              <w:pStyle w:val="ExhibitText"/>
              <w:jc w:val="center"/>
              <w:rPr>
                <w:b/>
                <w:sz w:val="18"/>
                <w:szCs w:val="18"/>
              </w:rPr>
            </w:pPr>
            <w:r w:rsidRPr="00AD667C">
              <w:rPr>
                <w:b/>
                <w:sz w:val="18"/>
                <w:szCs w:val="18"/>
              </w:rPr>
              <w:t>Crew Travel</w:t>
            </w:r>
          </w:p>
        </w:tc>
        <w:tc>
          <w:tcPr>
            <w:tcW w:w="566" w:type="pct"/>
            <w:shd w:val="clear" w:color="auto" w:fill="auto"/>
            <w:noWrap/>
            <w:vAlign w:val="center"/>
            <w:hideMark/>
          </w:tcPr>
          <w:p w14:paraId="0DFE0199" w14:textId="77777777" w:rsidR="00346C7B" w:rsidRPr="00AD667C" w:rsidRDefault="00346C7B" w:rsidP="00AD667C">
            <w:pPr>
              <w:pStyle w:val="ExhibitText"/>
              <w:jc w:val="center"/>
              <w:rPr>
                <w:b/>
                <w:sz w:val="18"/>
                <w:szCs w:val="18"/>
              </w:rPr>
            </w:pPr>
            <w:r w:rsidRPr="00AD667C">
              <w:rPr>
                <w:b/>
                <w:sz w:val="18"/>
                <w:szCs w:val="18"/>
              </w:rPr>
              <w:t>Bonus</w:t>
            </w:r>
          </w:p>
        </w:tc>
        <w:tc>
          <w:tcPr>
            <w:tcW w:w="566" w:type="pct"/>
            <w:shd w:val="clear" w:color="auto" w:fill="auto"/>
            <w:noWrap/>
            <w:vAlign w:val="center"/>
            <w:hideMark/>
          </w:tcPr>
          <w:p w14:paraId="64901595" w14:textId="77777777" w:rsidR="00346C7B" w:rsidRPr="00AD667C" w:rsidRDefault="00346C7B" w:rsidP="00AD667C">
            <w:pPr>
              <w:pStyle w:val="ExhibitText"/>
              <w:jc w:val="center"/>
              <w:rPr>
                <w:b/>
                <w:sz w:val="18"/>
                <w:szCs w:val="18"/>
              </w:rPr>
            </w:pPr>
            <w:r w:rsidRPr="00AD667C">
              <w:rPr>
                <w:b/>
                <w:sz w:val="18"/>
                <w:szCs w:val="18"/>
              </w:rPr>
              <w:t>Personal Taxes</w:t>
            </w:r>
          </w:p>
        </w:tc>
        <w:tc>
          <w:tcPr>
            <w:tcW w:w="566" w:type="pct"/>
            <w:shd w:val="clear" w:color="auto" w:fill="auto"/>
            <w:noWrap/>
            <w:vAlign w:val="center"/>
            <w:hideMark/>
          </w:tcPr>
          <w:p w14:paraId="0698EE84" w14:textId="30ABB22B" w:rsidR="00346C7B" w:rsidRPr="00AD667C" w:rsidRDefault="00346C7B" w:rsidP="00AD667C">
            <w:pPr>
              <w:pStyle w:val="ExhibitText"/>
              <w:jc w:val="center"/>
              <w:rPr>
                <w:b/>
                <w:sz w:val="18"/>
                <w:szCs w:val="18"/>
              </w:rPr>
            </w:pPr>
            <w:r w:rsidRPr="00AD667C">
              <w:rPr>
                <w:b/>
                <w:sz w:val="18"/>
                <w:szCs w:val="18"/>
              </w:rPr>
              <w:t>Cost per Employee per Day</w:t>
            </w:r>
          </w:p>
        </w:tc>
        <w:tc>
          <w:tcPr>
            <w:tcW w:w="566" w:type="pct"/>
            <w:shd w:val="clear" w:color="auto" w:fill="auto"/>
            <w:noWrap/>
            <w:vAlign w:val="center"/>
            <w:hideMark/>
          </w:tcPr>
          <w:p w14:paraId="3402FB52" w14:textId="4FD3ADCC" w:rsidR="00346C7B" w:rsidRPr="00AD667C" w:rsidRDefault="00346C7B" w:rsidP="00AD667C">
            <w:pPr>
              <w:pStyle w:val="ExhibitText"/>
              <w:jc w:val="center"/>
              <w:rPr>
                <w:b/>
                <w:sz w:val="18"/>
                <w:szCs w:val="18"/>
              </w:rPr>
            </w:pPr>
            <w:r w:rsidRPr="00AD667C">
              <w:rPr>
                <w:b/>
                <w:sz w:val="18"/>
                <w:szCs w:val="18"/>
              </w:rPr>
              <w:t xml:space="preserve">Cost per </w:t>
            </w:r>
            <w:r>
              <w:rPr>
                <w:b/>
                <w:sz w:val="18"/>
                <w:szCs w:val="18"/>
              </w:rPr>
              <w:t>D</w:t>
            </w:r>
            <w:r w:rsidRPr="00AD667C">
              <w:rPr>
                <w:b/>
                <w:sz w:val="18"/>
                <w:szCs w:val="18"/>
              </w:rPr>
              <w:t>ay</w:t>
            </w:r>
          </w:p>
        </w:tc>
      </w:tr>
      <w:tr w:rsidR="00346C7B" w:rsidRPr="00AD667C" w14:paraId="1D39D754" w14:textId="77777777" w:rsidTr="00D61FA3">
        <w:trPr>
          <w:trHeight w:val="288"/>
          <w:jc w:val="center"/>
        </w:trPr>
        <w:tc>
          <w:tcPr>
            <w:tcW w:w="1040" w:type="pct"/>
            <w:shd w:val="clear" w:color="auto" w:fill="auto"/>
            <w:noWrap/>
            <w:vAlign w:val="center"/>
            <w:hideMark/>
          </w:tcPr>
          <w:p w14:paraId="65909827" w14:textId="77777777" w:rsidR="00346C7B" w:rsidRPr="00AD667C" w:rsidRDefault="00346C7B" w:rsidP="00AD667C">
            <w:pPr>
              <w:pStyle w:val="ExhibitText"/>
              <w:jc w:val="left"/>
              <w:rPr>
                <w:sz w:val="18"/>
                <w:szCs w:val="18"/>
              </w:rPr>
            </w:pPr>
            <w:r w:rsidRPr="00AD667C">
              <w:rPr>
                <w:sz w:val="18"/>
                <w:szCs w:val="18"/>
              </w:rPr>
              <w:t>Rig Superintendent</w:t>
            </w:r>
          </w:p>
        </w:tc>
        <w:tc>
          <w:tcPr>
            <w:tcW w:w="566" w:type="pct"/>
            <w:shd w:val="clear" w:color="auto" w:fill="auto"/>
            <w:noWrap/>
            <w:vAlign w:val="center"/>
            <w:hideMark/>
          </w:tcPr>
          <w:p w14:paraId="772A0953" w14:textId="77777777" w:rsidR="00346C7B" w:rsidRPr="00AD667C" w:rsidRDefault="00346C7B" w:rsidP="00AD667C">
            <w:pPr>
              <w:pStyle w:val="ExhibitText"/>
              <w:jc w:val="right"/>
              <w:rPr>
                <w:sz w:val="18"/>
                <w:szCs w:val="18"/>
              </w:rPr>
            </w:pPr>
            <w:r w:rsidRPr="00AD667C">
              <w:rPr>
                <w:sz w:val="18"/>
                <w:szCs w:val="18"/>
              </w:rPr>
              <w:t>1</w:t>
            </w:r>
          </w:p>
        </w:tc>
        <w:tc>
          <w:tcPr>
            <w:tcW w:w="566" w:type="pct"/>
            <w:shd w:val="clear" w:color="auto" w:fill="auto"/>
            <w:noWrap/>
            <w:vAlign w:val="center"/>
            <w:hideMark/>
          </w:tcPr>
          <w:p w14:paraId="07F7A8BF" w14:textId="06FC6CD1" w:rsidR="00346C7B" w:rsidRPr="00AD667C" w:rsidRDefault="00346C7B" w:rsidP="00AD667C">
            <w:pPr>
              <w:pStyle w:val="ExhibitText"/>
              <w:jc w:val="right"/>
              <w:rPr>
                <w:sz w:val="18"/>
                <w:szCs w:val="18"/>
              </w:rPr>
            </w:pPr>
            <w:r w:rsidRPr="00AD667C">
              <w:rPr>
                <w:sz w:val="18"/>
                <w:szCs w:val="18"/>
              </w:rPr>
              <w:t>290</w:t>
            </w:r>
            <w:r>
              <w:rPr>
                <w:sz w:val="18"/>
                <w:szCs w:val="18"/>
              </w:rPr>
              <w:t>.00</w:t>
            </w:r>
          </w:p>
        </w:tc>
        <w:tc>
          <w:tcPr>
            <w:tcW w:w="566" w:type="pct"/>
            <w:shd w:val="clear" w:color="auto" w:fill="auto"/>
            <w:noWrap/>
            <w:vAlign w:val="center"/>
            <w:hideMark/>
          </w:tcPr>
          <w:p w14:paraId="43115265" w14:textId="22811D2B" w:rsidR="00346C7B" w:rsidRPr="00AD667C" w:rsidRDefault="00346C7B" w:rsidP="00AD667C">
            <w:pPr>
              <w:pStyle w:val="ExhibitText"/>
              <w:jc w:val="right"/>
              <w:rPr>
                <w:sz w:val="18"/>
                <w:szCs w:val="18"/>
              </w:rPr>
            </w:pPr>
            <w:r w:rsidRPr="00AD667C">
              <w:rPr>
                <w:sz w:val="18"/>
                <w:szCs w:val="18"/>
              </w:rPr>
              <w:t>35</w:t>
            </w:r>
            <w:r>
              <w:rPr>
                <w:sz w:val="18"/>
                <w:szCs w:val="18"/>
              </w:rPr>
              <w:t>.00</w:t>
            </w:r>
          </w:p>
        </w:tc>
        <w:tc>
          <w:tcPr>
            <w:tcW w:w="566" w:type="pct"/>
            <w:shd w:val="clear" w:color="auto" w:fill="auto"/>
            <w:noWrap/>
            <w:vAlign w:val="center"/>
            <w:hideMark/>
          </w:tcPr>
          <w:p w14:paraId="0A92D093" w14:textId="7E4E0F7F" w:rsidR="00346C7B" w:rsidRPr="00AD667C" w:rsidRDefault="00346C7B" w:rsidP="00AD667C">
            <w:pPr>
              <w:pStyle w:val="ExhibitText"/>
              <w:jc w:val="right"/>
              <w:rPr>
                <w:sz w:val="18"/>
                <w:szCs w:val="18"/>
              </w:rPr>
            </w:pPr>
            <w:r w:rsidRPr="00AD667C">
              <w:rPr>
                <w:sz w:val="18"/>
                <w:szCs w:val="18"/>
              </w:rPr>
              <w:t>0</w:t>
            </w:r>
            <w:r>
              <w:rPr>
                <w:sz w:val="18"/>
                <w:szCs w:val="18"/>
              </w:rPr>
              <w:t>.00</w:t>
            </w:r>
          </w:p>
        </w:tc>
        <w:tc>
          <w:tcPr>
            <w:tcW w:w="566" w:type="pct"/>
            <w:shd w:val="clear" w:color="auto" w:fill="auto"/>
            <w:noWrap/>
            <w:vAlign w:val="center"/>
            <w:hideMark/>
          </w:tcPr>
          <w:p w14:paraId="3D584FC0" w14:textId="39DC195A" w:rsidR="00346C7B" w:rsidRPr="00AD667C" w:rsidRDefault="00346C7B" w:rsidP="00AD667C">
            <w:pPr>
              <w:pStyle w:val="ExhibitText"/>
              <w:jc w:val="right"/>
              <w:rPr>
                <w:sz w:val="18"/>
                <w:szCs w:val="18"/>
              </w:rPr>
            </w:pPr>
            <w:r w:rsidRPr="00AD667C">
              <w:rPr>
                <w:sz w:val="18"/>
                <w:szCs w:val="18"/>
              </w:rPr>
              <w:t>32</w:t>
            </w:r>
            <w:r>
              <w:rPr>
                <w:sz w:val="18"/>
                <w:szCs w:val="18"/>
              </w:rPr>
              <w:t>.00</w:t>
            </w:r>
          </w:p>
        </w:tc>
        <w:tc>
          <w:tcPr>
            <w:tcW w:w="566" w:type="pct"/>
            <w:shd w:val="clear" w:color="auto" w:fill="auto"/>
            <w:noWrap/>
            <w:vAlign w:val="center"/>
            <w:hideMark/>
          </w:tcPr>
          <w:p w14:paraId="7FF84300" w14:textId="25834E93" w:rsidR="00346C7B" w:rsidRPr="00AD667C" w:rsidRDefault="00346C7B" w:rsidP="00AD667C">
            <w:pPr>
              <w:pStyle w:val="ExhibitText"/>
              <w:jc w:val="right"/>
              <w:rPr>
                <w:sz w:val="18"/>
                <w:szCs w:val="18"/>
              </w:rPr>
            </w:pPr>
            <w:r w:rsidRPr="00AD667C">
              <w:rPr>
                <w:sz w:val="18"/>
                <w:szCs w:val="18"/>
              </w:rPr>
              <w:t>357</w:t>
            </w:r>
            <w:r>
              <w:rPr>
                <w:sz w:val="18"/>
                <w:szCs w:val="18"/>
              </w:rPr>
              <w:t>.00</w:t>
            </w:r>
          </w:p>
        </w:tc>
        <w:tc>
          <w:tcPr>
            <w:tcW w:w="566" w:type="pct"/>
            <w:shd w:val="clear" w:color="auto" w:fill="auto"/>
            <w:noWrap/>
            <w:vAlign w:val="center"/>
            <w:hideMark/>
          </w:tcPr>
          <w:p w14:paraId="722F576D" w14:textId="664C374D" w:rsidR="00346C7B" w:rsidRPr="00AD667C" w:rsidRDefault="00346C7B" w:rsidP="00AD667C">
            <w:pPr>
              <w:pStyle w:val="ExhibitText"/>
              <w:jc w:val="right"/>
              <w:rPr>
                <w:sz w:val="18"/>
                <w:szCs w:val="18"/>
              </w:rPr>
            </w:pPr>
            <w:r w:rsidRPr="00AD667C">
              <w:rPr>
                <w:sz w:val="18"/>
                <w:szCs w:val="18"/>
              </w:rPr>
              <w:t>357</w:t>
            </w:r>
            <w:r>
              <w:rPr>
                <w:sz w:val="18"/>
                <w:szCs w:val="18"/>
              </w:rPr>
              <w:t>.00</w:t>
            </w:r>
          </w:p>
        </w:tc>
      </w:tr>
      <w:tr w:rsidR="00346C7B" w:rsidRPr="00AD667C" w14:paraId="715B3C4E" w14:textId="77777777" w:rsidTr="00D61FA3">
        <w:trPr>
          <w:trHeight w:val="288"/>
          <w:jc w:val="center"/>
        </w:trPr>
        <w:tc>
          <w:tcPr>
            <w:tcW w:w="1040" w:type="pct"/>
            <w:shd w:val="clear" w:color="auto" w:fill="auto"/>
            <w:noWrap/>
            <w:vAlign w:val="center"/>
            <w:hideMark/>
          </w:tcPr>
          <w:p w14:paraId="4F066631" w14:textId="663D011A" w:rsidR="00346C7B" w:rsidRPr="00AD667C" w:rsidRDefault="00346C7B" w:rsidP="00AD667C">
            <w:pPr>
              <w:pStyle w:val="ExhibitText"/>
              <w:jc w:val="left"/>
              <w:rPr>
                <w:sz w:val="18"/>
                <w:szCs w:val="18"/>
              </w:rPr>
            </w:pPr>
            <w:r w:rsidRPr="00AD667C">
              <w:rPr>
                <w:sz w:val="18"/>
                <w:szCs w:val="18"/>
              </w:rPr>
              <w:t>Senior Tool Pusher/Tool Pusher</w:t>
            </w:r>
          </w:p>
        </w:tc>
        <w:tc>
          <w:tcPr>
            <w:tcW w:w="566" w:type="pct"/>
            <w:shd w:val="clear" w:color="auto" w:fill="auto"/>
            <w:noWrap/>
            <w:vAlign w:val="center"/>
            <w:hideMark/>
          </w:tcPr>
          <w:p w14:paraId="438B33E0" w14:textId="77777777" w:rsidR="00346C7B" w:rsidRPr="00AD667C" w:rsidRDefault="00346C7B" w:rsidP="00AD667C">
            <w:pPr>
              <w:pStyle w:val="ExhibitText"/>
              <w:jc w:val="right"/>
              <w:rPr>
                <w:sz w:val="18"/>
                <w:szCs w:val="18"/>
              </w:rPr>
            </w:pPr>
            <w:r w:rsidRPr="00AD667C">
              <w:rPr>
                <w:sz w:val="18"/>
                <w:szCs w:val="18"/>
              </w:rPr>
              <w:t>2</w:t>
            </w:r>
          </w:p>
        </w:tc>
        <w:tc>
          <w:tcPr>
            <w:tcW w:w="566" w:type="pct"/>
            <w:shd w:val="clear" w:color="auto" w:fill="auto"/>
            <w:noWrap/>
            <w:vAlign w:val="center"/>
            <w:hideMark/>
          </w:tcPr>
          <w:p w14:paraId="3A52A7CE" w14:textId="7150432E" w:rsidR="00346C7B" w:rsidRPr="00AD667C" w:rsidRDefault="00346C7B" w:rsidP="00AD667C">
            <w:pPr>
              <w:pStyle w:val="ExhibitText"/>
              <w:jc w:val="right"/>
              <w:rPr>
                <w:sz w:val="18"/>
                <w:szCs w:val="18"/>
              </w:rPr>
            </w:pPr>
            <w:r w:rsidRPr="00AD667C">
              <w:rPr>
                <w:sz w:val="18"/>
                <w:szCs w:val="18"/>
              </w:rPr>
              <w:t>265</w:t>
            </w:r>
            <w:r>
              <w:rPr>
                <w:sz w:val="18"/>
                <w:szCs w:val="18"/>
              </w:rPr>
              <w:t>.00</w:t>
            </w:r>
          </w:p>
        </w:tc>
        <w:tc>
          <w:tcPr>
            <w:tcW w:w="566" w:type="pct"/>
            <w:shd w:val="clear" w:color="auto" w:fill="auto"/>
            <w:noWrap/>
            <w:vAlign w:val="center"/>
            <w:hideMark/>
          </w:tcPr>
          <w:p w14:paraId="0FFC69F9" w14:textId="4402017F" w:rsidR="00346C7B" w:rsidRPr="00AD667C" w:rsidRDefault="00346C7B" w:rsidP="00AD667C">
            <w:pPr>
              <w:pStyle w:val="ExhibitText"/>
              <w:jc w:val="right"/>
              <w:rPr>
                <w:sz w:val="18"/>
                <w:szCs w:val="18"/>
              </w:rPr>
            </w:pPr>
            <w:r w:rsidRPr="00AD667C">
              <w:rPr>
                <w:sz w:val="18"/>
                <w:szCs w:val="18"/>
              </w:rPr>
              <w:t>40</w:t>
            </w:r>
            <w:r>
              <w:rPr>
                <w:sz w:val="18"/>
                <w:szCs w:val="18"/>
              </w:rPr>
              <w:t>.00</w:t>
            </w:r>
          </w:p>
        </w:tc>
        <w:tc>
          <w:tcPr>
            <w:tcW w:w="566" w:type="pct"/>
            <w:shd w:val="clear" w:color="auto" w:fill="auto"/>
            <w:noWrap/>
            <w:vAlign w:val="center"/>
            <w:hideMark/>
          </w:tcPr>
          <w:p w14:paraId="617A2AA8" w14:textId="696E6D94" w:rsidR="00346C7B" w:rsidRPr="00AD667C" w:rsidRDefault="00346C7B" w:rsidP="00AD667C">
            <w:pPr>
              <w:pStyle w:val="ExhibitText"/>
              <w:jc w:val="right"/>
              <w:rPr>
                <w:sz w:val="18"/>
                <w:szCs w:val="18"/>
              </w:rPr>
            </w:pPr>
            <w:r w:rsidRPr="00AD667C">
              <w:rPr>
                <w:sz w:val="18"/>
                <w:szCs w:val="18"/>
              </w:rPr>
              <w:t>27</w:t>
            </w:r>
            <w:r>
              <w:rPr>
                <w:sz w:val="18"/>
                <w:szCs w:val="18"/>
              </w:rPr>
              <w:t>.00</w:t>
            </w:r>
          </w:p>
        </w:tc>
        <w:tc>
          <w:tcPr>
            <w:tcW w:w="566" w:type="pct"/>
            <w:shd w:val="clear" w:color="auto" w:fill="auto"/>
            <w:noWrap/>
            <w:vAlign w:val="center"/>
            <w:hideMark/>
          </w:tcPr>
          <w:p w14:paraId="26C34786" w14:textId="6B8AE971" w:rsidR="00346C7B" w:rsidRPr="00AD667C" w:rsidRDefault="00346C7B" w:rsidP="00AD667C">
            <w:pPr>
              <w:pStyle w:val="ExhibitText"/>
              <w:jc w:val="right"/>
              <w:rPr>
                <w:sz w:val="18"/>
                <w:szCs w:val="18"/>
              </w:rPr>
            </w:pPr>
            <w:r w:rsidRPr="00AD667C">
              <w:rPr>
                <w:sz w:val="18"/>
                <w:szCs w:val="18"/>
              </w:rPr>
              <w:t>125</w:t>
            </w:r>
            <w:r>
              <w:rPr>
                <w:sz w:val="18"/>
                <w:szCs w:val="18"/>
              </w:rPr>
              <w:t>.00</w:t>
            </w:r>
          </w:p>
        </w:tc>
        <w:tc>
          <w:tcPr>
            <w:tcW w:w="566" w:type="pct"/>
            <w:shd w:val="clear" w:color="auto" w:fill="auto"/>
            <w:noWrap/>
            <w:vAlign w:val="center"/>
            <w:hideMark/>
          </w:tcPr>
          <w:p w14:paraId="2C9BA703" w14:textId="1451FCF7" w:rsidR="00346C7B" w:rsidRPr="00AD667C" w:rsidRDefault="00346C7B" w:rsidP="00AD667C">
            <w:pPr>
              <w:pStyle w:val="ExhibitText"/>
              <w:jc w:val="right"/>
              <w:rPr>
                <w:sz w:val="18"/>
                <w:szCs w:val="18"/>
              </w:rPr>
            </w:pPr>
            <w:r w:rsidRPr="00AD667C">
              <w:rPr>
                <w:sz w:val="18"/>
                <w:szCs w:val="18"/>
              </w:rPr>
              <w:t>457</w:t>
            </w:r>
            <w:r>
              <w:rPr>
                <w:sz w:val="18"/>
                <w:szCs w:val="18"/>
              </w:rPr>
              <w:t>.00</w:t>
            </w:r>
          </w:p>
        </w:tc>
        <w:tc>
          <w:tcPr>
            <w:tcW w:w="566" w:type="pct"/>
            <w:shd w:val="clear" w:color="auto" w:fill="auto"/>
            <w:noWrap/>
            <w:vAlign w:val="center"/>
            <w:hideMark/>
          </w:tcPr>
          <w:p w14:paraId="6A62F4EE" w14:textId="19C53C19" w:rsidR="00346C7B" w:rsidRPr="00AD667C" w:rsidRDefault="00346C7B" w:rsidP="00AD667C">
            <w:pPr>
              <w:pStyle w:val="ExhibitText"/>
              <w:jc w:val="right"/>
              <w:rPr>
                <w:sz w:val="18"/>
                <w:szCs w:val="18"/>
              </w:rPr>
            </w:pPr>
            <w:r w:rsidRPr="00AD667C">
              <w:rPr>
                <w:sz w:val="18"/>
                <w:szCs w:val="18"/>
              </w:rPr>
              <w:t>914</w:t>
            </w:r>
            <w:r>
              <w:rPr>
                <w:sz w:val="18"/>
                <w:szCs w:val="18"/>
              </w:rPr>
              <w:t>.00</w:t>
            </w:r>
          </w:p>
        </w:tc>
      </w:tr>
      <w:tr w:rsidR="00346C7B" w:rsidRPr="00AD667C" w14:paraId="55EAA3DB" w14:textId="77777777" w:rsidTr="00D61FA3">
        <w:trPr>
          <w:trHeight w:val="288"/>
          <w:jc w:val="center"/>
        </w:trPr>
        <w:tc>
          <w:tcPr>
            <w:tcW w:w="1040" w:type="pct"/>
            <w:shd w:val="clear" w:color="auto" w:fill="auto"/>
            <w:noWrap/>
            <w:vAlign w:val="center"/>
            <w:hideMark/>
          </w:tcPr>
          <w:p w14:paraId="5425611D" w14:textId="72FE6D5C" w:rsidR="00346C7B" w:rsidRPr="00AD667C" w:rsidRDefault="00346C7B" w:rsidP="00AD667C">
            <w:pPr>
              <w:pStyle w:val="ExhibitText"/>
              <w:jc w:val="left"/>
              <w:rPr>
                <w:sz w:val="18"/>
                <w:szCs w:val="18"/>
              </w:rPr>
            </w:pPr>
            <w:r w:rsidRPr="00AD667C">
              <w:rPr>
                <w:sz w:val="18"/>
                <w:szCs w:val="18"/>
              </w:rPr>
              <w:t>Night Tool Pusher/To</w:t>
            </w:r>
            <w:r>
              <w:rPr>
                <w:sz w:val="18"/>
                <w:szCs w:val="18"/>
              </w:rPr>
              <w:t>ol</w:t>
            </w:r>
            <w:r w:rsidRPr="00AD667C">
              <w:rPr>
                <w:sz w:val="18"/>
                <w:szCs w:val="18"/>
              </w:rPr>
              <w:t xml:space="preserve"> Pusher</w:t>
            </w:r>
          </w:p>
        </w:tc>
        <w:tc>
          <w:tcPr>
            <w:tcW w:w="566" w:type="pct"/>
            <w:shd w:val="clear" w:color="auto" w:fill="auto"/>
            <w:noWrap/>
            <w:vAlign w:val="center"/>
            <w:hideMark/>
          </w:tcPr>
          <w:p w14:paraId="390B7B37" w14:textId="77777777" w:rsidR="00346C7B" w:rsidRPr="00AD667C" w:rsidRDefault="00346C7B" w:rsidP="00AD667C">
            <w:pPr>
              <w:pStyle w:val="ExhibitText"/>
              <w:jc w:val="right"/>
              <w:rPr>
                <w:sz w:val="18"/>
                <w:szCs w:val="18"/>
              </w:rPr>
            </w:pPr>
            <w:r w:rsidRPr="00AD667C">
              <w:rPr>
                <w:sz w:val="18"/>
                <w:szCs w:val="18"/>
              </w:rPr>
              <w:t>2</w:t>
            </w:r>
          </w:p>
        </w:tc>
        <w:tc>
          <w:tcPr>
            <w:tcW w:w="566" w:type="pct"/>
            <w:shd w:val="clear" w:color="auto" w:fill="auto"/>
            <w:noWrap/>
            <w:vAlign w:val="center"/>
            <w:hideMark/>
          </w:tcPr>
          <w:p w14:paraId="191E39FA" w14:textId="2C3E93B0" w:rsidR="00346C7B" w:rsidRPr="00AD667C" w:rsidRDefault="00346C7B" w:rsidP="00AD667C">
            <w:pPr>
              <w:pStyle w:val="ExhibitText"/>
              <w:jc w:val="right"/>
              <w:rPr>
                <w:sz w:val="18"/>
                <w:szCs w:val="18"/>
              </w:rPr>
            </w:pPr>
            <w:r w:rsidRPr="00AD667C">
              <w:rPr>
                <w:sz w:val="18"/>
                <w:szCs w:val="18"/>
              </w:rPr>
              <w:t>210</w:t>
            </w:r>
            <w:r>
              <w:rPr>
                <w:sz w:val="18"/>
                <w:szCs w:val="18"/>
              </w:rPr>
              <w:t>.00</w:t>
            </w:r>
          </w:p>
        </w:tc>
        <w:tc>
          <w:tcPr>
            <w:tcW w:w="566" w:type="pct"/>
            <w:shd w:val="clear" w:color="auto" w:fill="auto"/>
            <w:noWrap/>
            <w:vAlign w:val="center"/>
            <w:hideMark/>
          </w:tcPr>
          <w:p w14:paraId="37A2E883" w14:textId="19494E11" w:rsidR="00346C7B" w:rsidRPr="00AD667C" w:rsidRDefault="00346C7B" w:rsidP="00AD667C">
            <w:pPr>
              <w:pStyle w:val="ExhibitText"/>
              <w:jc w:val="right"/>
              <w:rPr>
                <w:sz w:val="18"/>
                <w:szCs w:val="18"/>
              </w:rPr>
            </w:pPr>
            <w:r w:rsidRPr="00AD667C">
              <w:rPr>
                <w:sz w:val="18"/>
                <w:szCs w:val="18"/>
              </w:rPr>
              <w:t>8</w:t>
            </w:r>
            <w:r>
              <w:rPr>
                <w:sz w:val="18"/>
                <w:szCs w:val="18"/>
              </w:rPr>
              <w:t>.00</w:t>
            </w:r>
          </w:p>
        </w:tc>
        <w:tc>
          <w:tcPr>
            <w:tcW w:w="566" w:type="pct"/>
            <w:shd w:val="clear" w:color="auto" w:fill="auto"/>
            <w:noWrap/>
            <w:vAlign w:val="center"/>
            <w:hideMark/>
          </w:tcPr>
          <w:p w14:paraId="7FBEC85F" w14:textId="59265990" w:rsidR="00346C7B" w:rsidRPr="00AD667C" w:rsidRDefault="00346C7B" w:rsidP="00AD667C">
            <w:pPr>
              <w:pStyle w:val="ExhibitText"/>
              <w:jc w:val="right"/>
              <w:rPr>
                <w:sz w:val="18"/>
                <w:szCs w:val="18"/>
              </w:rPr>
            </w:pPr>
            <w:r w:rsidRPr="00AD667C">
              <w:rPr>
                <w:sz w:val="18"/>
                <w:szCs w:val="18"/>
              </w:rPr>
              <w:t>20</w:t>
            </w:r>
            <w:r>
              <w:rPr>
                <w:sz w:val="18"/>
                <w:szCs w:val="18"/>
              </w:rPr>
              <w:t>.00</w:t>
            </w:r>
          </w:p>
        </w:tc>
        <w:tc>
          <w:tcPr>
            <w:tcW w:w="566" w:type="pct"/>
            <w:shd w:val="clear" w:color="auto" w:fill="auto"/>
            <w:noWrap/>
            <w:vAlign w:val="center"/>
            <w:hideMark/>
          </w:tcPr>
          <w:p w14:paraId="5519DC19" w14:textId="77777777" w:rsidR="00346C7B" w:rsidRPr="00AD667C" w:rsidRDefault="00346C7B" w:rsidP="00AD667C">
            <w:pPr>
              <w:pStyle w:val="ExhibitText"/>
              <w:jc w:val="right"/>
              <w:rPr>
                <w:sz w:val="18"/>
                <w:szCs w:val="18"/>
              </w:rPr>
            </w:pPr>
            <w:r w:rsidRPr="00AD667C">
              <w:rPr>
                <w:sz w:val="18"/>
                <w:szCs w:val="18"/>
              </w:rPr>
              <w:t>0</w:t>
            </w:r>
          </w:p>
        </w:tc>
        <w:tc>
          <w:tcPr>
            <w:tcW w:w="566" w:type="pct"/>
            <w:shd w:val="clear" w:color="auto" w:fill="auto"/>
            <w:noWrap/>
            <w:vAlign w:val="center"/>
            <w:hideMark/>
          </w:tcPr>
          <w:p w14:paraId="5C1D8106" w14:textId="7997301C" w:rsidR="00346C7B" w:rsidRPr="00AD667C" w:rsidRDefault="00346C7B" w:rsidP="00AD667C">
            <w:pPr>
              <w:pStyle w:val="ExhibitText"/>
              <w:jc w:val="right"/>
              <w:rPr>
                <w:sz w:val="18"/>
                <w:szCs w:val="18"/>
              </w:rPr>
            </w:pPr>
            <w:r w:rsidRPr="00AD667C">
              <w:rPr>
                <w:sz w:val="18"/>
                <w:szCs w:val="18"/>
              </w:rPr>
              <w:t>238</w:t>
            </w:r>
            <w:r>
              <w:rPr>
                <w:sz w:val="18"/>
                <w:szCs w:val="18"/>
              </w:rPr>
              <w:t>.00</w:t>
            </w:r>
          </w:p>
        </w:tc>
        <w:tc>
          <w:tcPr>
            <w:tcW w:w="566" w:type="pct"/>
            <w:shd w:val="clear" w:color="auto" w:fill="auto"/>
            <w:noWrap/>
            <w:vAlign w:val="center"/>
            <w:hideMark/>
          </w:tcPr>
          <w:p w14:paraId="72EBAA21" w14:textId="05AAEE5F" w:rsidR="00346C7B" w:rsidRPr="00AD667C" w:rsidRDefault="00346C7B" w:rsidP="00AD667C">
            <w:pPr>
              <w:pStyle w:val="ExhibitText"/>
              <w:jc w:val="right"/>
              <w:rPr>
                <w:sz w:val="18"/>
                <w:szCs w:val="18"/>
              </w:rPr>
            </w:pPr>
            <w:r w:rsidRPr="00AD667C">
              <w:rPr>
                <w:sz w:val="18"/>
                <w:szCs w:val="18"/>
              </w:rPr>
              <w:t>476</w:t>
            </w:r>
            <w:r>
              <w:rPr>
                <w:sz w:val="18"/>
                <w:szCs w:val="18"/>
              </w:rPr>
              <w:t>.00</w:t>
            </w:r>
          </w:p>
        </w:tc>
      </w:tr>
      <w:tr w:rsidR="00346C7B" w:rsidRPr="00AD667C" w14:paraId="292BB713" w14:textId="77777777" w:rsidTr="00D61FA3">
        <w:trPr>
          <w:trHeight w:val="288"/>
          <w:jc w:val="center"/>
        </w:trPr>
        <w:tc>
          <w:tcPr>
            <w:tcW w:w="1040" w:type="pct"/>
            <w:shd w:val="clear" w:color="auto" w:fill="auto"/>
            <w:noWrap/>
            <w:vAlign w:val="center"/>
            <w:hideMark/>
          </w:tcPr>
          <w:p w14:paraId="259CE9BE" w14:textId="77777777" w:rsidR="00346C7B" w:rsidRPr="00AD667C" w:rsidRDefault="00346C7B" w:rsidP="00AD667C">
            <w:pPr>
              <w:pStyle w:val="ExhibitText"/>
              <w:jc w:val="left"/>
              <w:rPr>
                <w:sz w:val="18"/>
                <w:szCs w:val="18"/>
              </w:rPr>
            </w:pPr>
            <w:r w:rsidRPr="00AD667C">
              <w:rPr>
                <w:sz w:val="18"/>
                <w:szCs w:val="18"/>
              </w:rPr>
              <w:t>Driller</w:t>
            </w:r>
          </w:p>
        </w:tc>
        <w:tc>
          <w:tcPr>
            <w:tcW w:w="566" w:type="pct"/>
            <w:shd w:val="clear" w:color="auto" w:fill="auto"/>
            <w:noWrap/>
            <w:vAlign w:val="center"/>
            <w:hideMark/>
          </w:tcPr>
          <w:p w14:paraId="0FBFE80E" w14:textId="77777777" w:rsidR="00346C7B" w:rsidRPr="00AD667C" w:rsidRDefault="00346C7B" w:rsidP="00AD667C">
            <w:pPr>
              <w:pStyle w:val="ExhibitText"/>
              <w:jc w:val="right"/>
              <w:rPr>
                <w:sz w:val="18"/>
                <w:szCs w:val="18"/>
              </w:rPr>
            </w:pPr>
            <w:r w:rsidRPr="00AD667C">
              <w:rPr>
                <w:sz w:val="18"/>
                <w:szCs w:val="18"/>
              </w:rPr>
              <w:t>4</w:t>
            </w:r>
          </w:p>
        </w:tc>
        <w:tc>
          <w:tcPr>
            <w:tcW w:w="566" w:type="pct"/>
            <w:shd w:val="clear" w:color="auto" w:fill="auto"/>
            <w:noWrap/>
            <w:vAlign w:val="center"/>
            <w:hideMark/>
          </w:tcPr>
          <w:p w14:paraId="48660B77" w14:textId="5F65EB3E" w:rsidR="00346C7B" w:rsidRPr="00AD667C" w:rsidRDefault="00346C7B" w:rsidP="00AD667C">
            <w:pPr>
              <w:pStyle w:val="ExhibitText"/>
              <w:jc w:val="right"/>
              <w:rPr>
                <w:sz w:val="18"/>
                <w:szCs w:val="18"/>
              </w:rPr>
            </w:pPr>
            <w:r w:rsidRPr="00AD667C">
              <w:rPr>
                <w:sz w:val="18"/>
                <w:szCs w:val="18"/>
              </w:rPr>
              <w:t>160</w:t>
            </w:r>
            <w:r>
              <w:rPr>
                <w:sz w:val="18"/>
                <w:szCs w:val="18"/>
              </w:rPr>
              <w:t>.00</w:t>
            </w:r>
          </w:p>
        </w:tc>
        <w:tc>
          <w:tcPr>
            <w:tcW w:w="566" w:type="pct"/>
            <w:shd w:val="clear" w:color="auto" w:fill="auto"/>
            <w:noWrap/>
            <w:vAlign w:val="center"/>
            <w:hideMark/>
          </w:tcPr>
          <w:p w14:paraId="0DD2A023" w14:textId="343874DB" w:rsidR="00346C7B" w:rsidRPr="00AD667C" w:rsidRDefault="00346C7B" w:rsidP="00AD667C">
            <w:pPr>
              <w:pStyle w:val="ExhibitText"/>
              <w:jc w:val="right"/>
              <w:rPr>
                <w:sz w:val="18"/>
                <w:szCs w:val="18"/>
              </w:rPr>
            </w:pPr>
            <w:r w:rsidRPr="00AD667C">
              <w:rPr>
                <w:sz w:val="18"/>
                <w:szCs w:val="18"/>
              </w:rPr>
              <w:t>8</w:t>
            </w:r>
            <w:r>
              <w:rPr>
                <w:sz w:val="18"/>
                <w:szCs w:val="18"/>
              </w:rPr>
              <w:t>.00</w:t>
            </w:r>
          </w:p>
        </w:tc>
        <w:tc>
          <w:tcPr>
            <w:tcW w:w="566" w:type="pct"/>
            <w:shd w:val="clear" w:color="auto" w:fill="auto"/>
            <w:noWrap/>
            <w:vAlign w:val="center"/>
            <w:hideMark/>
          </w:tcPr>
          <w:p w14:paraId="64561243" w14:textId="0B7C7670" w:rsidR="00346C7B" w:rsidRPr="00AD667C" w:rsidRDefault="00346C7B" w:rsidP="00AD667C">
            <w:pPr>
              <w:pStyle w:val="ExhibitText"/>
              <w:jc w:val="right"/>
              <w:rPr>
                <w:sz w:val="18"/>
                <w:szCs w:val="18"/>
              </w:rPr>
            </w:pPr>
            <w:r w:rsidRPr="00AD667C">
              <w:rPr>
                <w:sz w:val="18"/>
                <w:szCs w:val="18"/>
              </w:rPr>
              <w:t>12.5</w:t>
            </w:r>
            <w:r>
              <w:rPr>
                <w:sz w:val="18"/>
                <w:szCs w:val="18"/>
              </w:rPr>
              <w:t>0</w:t>
            </w:r>
          </w:p>
        </w:tc>
        <w:tc>
          <w:tcPr>
            <w:tcW w:w="566" w:type="pct"/>
            <w:shd w:val="clear" w:color="auto" w:fill="auto"/>
            <w:noWrap/>
            <w:vAlign w:val="center"/>
            <w:hideMark/>
          </w:tcPr>
          <w:p w14:paraId="55079358" w14:textId="77777777" w:rsidR="00346C7B" w:rsidRPr="00AD667C" w:rsidRDefault="00346C7B" w:rsidP="00AD667C">
            <w:pPr>
              <w:pStyle w:val="ExhibitText"/>
              <w:jc w:val="right"/>
              <w:rPr>
                <w:sz w:val="18"/>
                <w:szCs w:val="18"/>
              </w:rPr>
            </w:pPr>
            <w:r w:rsidRPr="00AD667C">
              <w:rPr>
                <w:sz w:val="18"/>
                <w:szCs w:val="18"/>
              </w:rPr>
              <w:t>0</w:t>
            </w:r>
          </w:p>
        </w:tc>
        <w:tc>
          <w:tcPr>
            <w:tcW w:w="566" w:type="pct"/>
            <w:shd w:val="clear" w:color="auto" w:fill="auto"/>
            <w:noWrap/>
            <w:vAlign w:val="center"/>
            <w:hideMark/>
          </w:tcPr>
          <w:p w14:paraId="1EAC6C3D" w14:textId="38907863" w:rsidR="00346C7B" w:rsidRPr="00AD667C" w:rsidRDefault="00346C7B" w:rsidP="00AD667C">
            <w:pPr>
              <w:pStyle w:val="ExhibitText"/>
              <w:jc w:val="right"/>
              <w:rPr>
                <w:sz w:val="18"/>
                <w:szCs w:val="18"/>
              </w:rPr>
            </w:pPr>
            <w:r w:rsidRPr="00AD667C">
              <w:rPr>
                <w:sz w:val="18"/>
                <w:szCs w:val="18"/>
              </w:rPr>
              <w:t>180.5</w:t>
            </w:r>
            <w:r>
              <w:rPr>
                <w:sz w:val="18"/>
                <w:szCs w:val="18"/>
              </w:rPr>
              <w:t>0</w:t>
            </w:r>
          </w:p>
        </w:tc>
        <w:tc>
          <w:tcPr>
            <w:tcW w:w="566" w:type="pct"/>
            <w:shd w:val="clear" w:color="auto" w:fill="auto"/>
            <w:noWrap/>
            <w:vAlign w:val="center"/>
            <w:hideMark/>
          </w:tcPr>
          <w:p w14:paraId="57C12EC2" w14:textId="1E362758" w:rsidR="00346C7B" w:rsidRPr="00AD667C" w:rsidRDefault="00346C7B" w:rsidP="00AD667C">
            <w:pPr>
              <w:pStyle w:val="ExhibitText"/>
              <w:jc w:val="right"/>
              <w:rPr>
                <w:sz w:val="18"/>
                <w:szCs w:val="18"/>
              </w:rPr>
            </w:pPr>
            <w:r w:rsidRPr="00AD667C">
              <w:rPr>
                <w:sz w:val="18"/>
                <w:szCs w:val="18"/>
              </w:rPr>
              <w:t>722</w:t>
            </w:r>
            <w:r>
              <w:rPr>
                <w:sz w:val="18"/>
                <w:szCs w:val="18"/>
              </w:rPr>
              <w:t>.00</w:t>
            </w:r>
          </w:p>
        </w:tc>
      </w:tr>
      <w:tr w:rsidR="00346C7B" w:rsidRPr="00AD667C" w14:paraId="50C73E02" w14:textId="77777777" w:rsidTr="00D61FA3">
        <w:trPr>
          <w:trHeight w:val="288"/>
          <w:jc w:val="center"/>
        </w:trPr>
        <w:tc>
          <w:tcPr>
            <w:tcW w:w="1040" w:type="pct"/>
            <w:shd w:val="clear" w:color="auto" w:fill="auto"/>
            <w:noWrap/>
            <w:vAlign w:val="center"/>
            <w:hideMark/>
          </w:tcPr>
          <w:p w14:paraId="0D1B0B47" w14:textId="1AAA294A" w:rsidR="00346C7B" w:rsidRPr="00AD667C" w:rsidRDefault="00346C7B" w:rsidP="00AD667C">
            <w:pPr>
              <w:pStyle w:val="ExhibitText"/>
              <w:jc w:val="left"/>
              <w:rPr>
                <w:sz w:val="18"/>
                <w:szCs w:val="18"/>
              </w:rPr>
            </w:pPr>
            <w:r w:rsidRPr="00AD667C">
              <w:rPr>
                <w:sz w:val="18"/>
                <w:szCs w:val="18"/>
              </w:rPr>
              <w:t>Assistant Driller</w:t>
            </w:r>
          </w:p>
        </w:tc>
        <w:tc>
          <w:tcPr>
            <w:tcW w:w="566" w:type="pct"/>
            <w:shd w:val="clear" w:color="auto" w:fill="auto"/>
            <w:noWrap/>
            <w:vAlign w:val="center"/>
            <w:hideMark/>
          </w:tcPr>
          <w:p w14:paraId="618C5F2F" w14:textId="77777777" w:rsidR="00346C7B" w:rsidRPr="00AD667C" w:rsidRDefault="00346C7B" w:rsidP="00AD667C">
            <w:pPr>
              <w:pStyle w:val="ExhibitText"/>
              <w:jc w:val="right"/>
              <w:rPr>
                <w:sz w:val="18"/>
                <w:szCs w:val="18"/>
              </w:rPr>
            </w:pPr>
            <w:r w:rsidRPr="00AD667C">
              <w:rPr>
                <w:sz w:val="18"/>
                <w:szCs w:val="18"/>
              </w:rPr>
              <w:t>4</w:t>
            </w:r>
          </w:p>
        </w:tc>
        <w:tc>
          <w:tcPr>
            <w:tcW w:w="566" w:type="pct"/>
            <w:shd w:val="clear" w:color="auto" w:fill="auto"/>
            <w:noWrap/>
            <w:vAlign w:val="center"/>
            <w:hideMark/>
          </w:tcPr>
          <w:p w14:paraId="01EB730B" w14:textId="1985F0DE" w:rsidR="00346C7B" w:rsidRPr="00AD667C" w:rsidRDefault="00346C7B" w:rsidP="00AD667C">
            <w:pPr>
              <w:pStyle w:val="ExhibitText"/>
              <w:jc w:val="right"/>
              <w:rPr>
                <w:sz w:val="18"/>
                <w:szCs w:val="18"/>
              </w:rPr>
            </w:pPr>
            <w:r w:rsidRPr="00AD667C">
              <w:rPr>
                <w:sz w:val="18"/>
                <w:szCs w:val="18"/>
              </w:rPr>
              <w:t>53</w:t>
            </w:r>
            <w:r>
              <w:rPr>
                <w:sz w:val="18"/>
                <w:szCs w:val="18"/>
              </w:rPr>
              <w:t>.00</w:t>
            </w:r>
          </w:p>
        </w:tc>
        <w:tc>
          <w:tcPr>
            <w:tcW w:w="566" w:type="pct"/>
            <w:shd w:val="clear" w:color="auto" w:fill="auto"/>
            <w:noWrap/>
            <w:vAlign w:val="center"/>
            <w:hideMark/>
          </w:tcPr>
          <w:p w14:paraId="40A91B14" w14:textId="0C3BB717" w:rsidR="00346C7B" w:rsidRPr="00AD667C" w:rsidRDefault="00346C7B" w:rsidP="00AD667C">
            <w:pPr>
              <w:pStyle w:val="ExhibitText"/>
              <w:jc w:val="right"/>
              <w:rPr>
                <w:sz w:val="18"/>
                <w:szCs w:val="18"/>
              </w:rPr>
            </w:pPr>
            <w:r w:rsidRPr="00AD667C">
              <w:rPr>
                <w:sz w:val="18"/>
                <w:szCs w:val="18"/>
              </w:rPr>
              <w:t>8</w:t>
            </w:r>
            <w:r>
              <w:rPr>
                <w:sz w:val="18"/>
                <w:szCs w:val="18"/>
              </w:rPr>
              <w:t>.00</w:t>
            </w:r>
          </w:p>
        </w:tc>
        <w:tc>
          <w:tcPr>
            <w:tcW w:w="566" w:type="pct"/>
            <w:shd w:val="clear" w:color="auto" w:fill="auto"/>
            <w:noWrap/>
            <w:vAlign w:val="center"/>
            <w:hideMark/>
          </w:tcPr>
          <w:p w14:paraId="32809CF2" w14:textId="77777777" w:rsidR="00346C7B" w:rsidRPr="00AD667C" w:rsidRDefault="00346C7B" w:rsidP="00AD667C">
            <w:pPr>
              <w:pStyle w:val="ExhibitText"/>
              <w:jc w:val="right"/>
              <w:rPr>
                <w:sz w:val="18"/>
                <w:szCs w:val="18"/>
              </w:rPr>
            </w:pPr>
            <w:r w:rsidRPr="00AD667C">
              <w:rPr>
                <w:sz w:val="18"/>
                <w:szCs w:val="18"/>
              </w:rPr>
              <w:t>3.08</w:t>
            </w:r>
          </w:p>
        </w:tc>
        <w:tc>
          <w:tcPr>
            <w:tcW w:w="566" w:type="pct"/>
            <w:shd w:val="clear" w:color="auto" w:fill="auto"/>
            <w:noWrap/>
            <w:vAlign w:val="center"/>
            <w:hideMark/>
          </w:tcPr>
          <w:p w14:paraId="0B11AFC2" w14:textId="77777777" w:rsidR="00346C7B" w:rsidRPr="00AD667C" w:rsidRDefault="00346C7B" w:rsidP="00AD667C">
            <w:pPr>
              <w:pStyle w:val="ExhibitText"/>
              <w:jc w:val="right"/>
              <w:rPr>
                <w:sz w:val="18"/>
                <w:szCs w:val="18"/>
              </w:rPr>
            </w:pPr>
            <w:r w:rsidRPr="00AD667C">
              <w:rPr>
                <w:sz w:val="18"/>
                <w:szCs w:val="18"/>
              </w:rPr>
              <w:t>0</w:t>
            </w:r>
          </w:p>
        </w:tc>
        <w:tc>
          <w:tcPr>
            <w:tcW w:w="566" w:type="pct"/>
            <w:shd w:val="clear" w:color="auto" w:fill="auto"/>
            <w:noWrap/>
            <w:vAlign w:val="center"/>
            <w:hideMark/>
          </w:tcPr>
          <w:p w14:paraId="40904FA9" w14:textId="77777777" w:rsidR="00346C7B" w:rsidRPr="00AD667C" w:rsidRDefault="00346C7B" w:rsidP="00AD667C">
            <w:pPr>
              <w:pStyle w:val="ExhibitText"/>
              <w:jc w:val="right"/>
              <w:rPr>
                <w:sz w:val="18"/>
                <w:szCs w:val="18"/>
              </w:rPr>
            </w:pPr>
            <w:r w:rsidRPr="00AD667C">
              <w:rPr>
                <w:sz w:val="18"/>
                <w:szCs w:val="18"/>
              </w:rPr>
              <w:t>64.08</w:t>
            </w:r>
          </w:p>
        </w:tc>
        <w:tc>
          <w:tcPr>
            <w:tcW w:w="566" w:type="pct"/>
            <w:shd w:val="clear" w:color="auto" w:fill="auto"/>
            <w:noWrap/>
            <w:vAlign w:val="center"/>
            <w:hideMark/>
          </w:tcPr>
          <w:p w14:paraId="7B4CEA58" w14:textId="77777777" w:rsidR="00346C7B" w:rsidRPr="00AD667C" w:rsidRDefault="00346C7B" w:rsidP="00AD667C">
            <w:pPr>
              <w:pStyle w:val="ExhibitText"/>
              <w:jc w:val="right"/>
              <w:rPr>
                <w:sz w:val="18"/>
                <w:szCs w:val="18"/>
              </w:rPr>
            </w:pPr>
            <w:r w:rsidRPr="00AD667C">
              <w:rPr>
                <w:sz w:val="18"/>
                <w:szCs w:val="18"/>
              </w:rPr>
              <w:t>256.32</w:t>
            </w:r>
          </w:p>
        </w:tc>
      </w:tr>
      <w:tr w:rsidR="00346C7B" w:rsidRPr="00AD667C" w14:paraId="376FE438" w14:textId="77777777" w:rsidTr="00D61FA3">
        <w:trPr>
          <w:trHeight w:val="288"/>
          <w:jc w:val="center"/>
        </w:trPr>
        <w:tc>
          <w:tcPr>
            <w:tcW w:w="1040" w:type="pct"/>
            <w:shd w:val="clear" w:color="auto" w:fill="auto"/>
            <w:noWrap/>
            <w:vAlign w:val="center"/>
            <w:hideMark/>
          </w:tcPr>
          <w:p w14:paraId="06A2BF4D" w14:textId="77777777" w:rsidR="00346C7B" w:rsidRPr="00AD667C" w:rsidRDefault="00346C7B" w:rsidP="00AD667C">
            <w:pPr>
              <w:pStyle w:val="ExhibitText"/>
              <w:jc w:val="left"/>
              <w:rPr>
                <w:sz w:val="18"/>
                <w:szCs w:val="18"/>
              </w:rPr>
            </w:pPr>
            <w:r w:rsidRPr="00AD667C">
              <w:rPr>
                <w:sz w:val="18"/>
                <w:szCs w:val="18"/>
              </w:rPr>
              <w:t>Derrickman</w:t>
            </w:r>
          </w:p>
        </w:tc>
        <w:tc>
          <w:tcPr>
            <w:tcW w:w="566" w:type="pct"/>
            <w:shd w:val="clear" w:color="auto" w:fill="auto"/>
            <w:noWrap/>
            <w:vAlign w:val="center"/>
            <w:hideMark/>
          </w:tcPr>
          <w:p w14:paraId="2C91A805" w14:textId="77777777" w:rsidR="00346C7B" w:rsidRPr="00AD667C" w:rsidRDefault="00346C7B" w:rsidP="00AD667C">
            <w:pPr>
              <w:pStyle w:val="ExhibitText"/>
              <w:jc w:val="right"/>
              <w:rPr>
                <w:sz w:val="18"/>
                <w:szCs w:val="18"/>
              </w:rPr>
            </w:pPr>
            <w:r w:rsidRPr="00AD667C">
              <w:rPr>
                <w:sz w:val="18"/>
                <w:szCs w:val="18"/>
              </w:rPr>
              <w:t>3</w:t>
            </w:r>
          </w:p>
        </w:tc>
        <w:tc>
          <w:tcPr>
            <w:tcW w:w="566" w:type="pct"/>
            <w:shd w:val="clear" w:color="auto" w:fill="auto"/>
            <w:noWrap/>
            <w:vAlign w:val="center"/>
            <w:hideMark/>
          </w:tcPr>
          <w:p w14:paraId="4E353520" w14:textId="040EA9FC" w:rsidR="00346C7B" w:rsidRPr="00AD667C" w:rsidRDefault="00346C7B" w:rsidP="00AD667C">
            <w:pPr>
              <w:pStyle w:val="ExhibitText"/>
              <w:jc w:val="right"/>
              <w:rPr>
                <w:sz w:val="18"/>
                <w:szCs w:val="18"/>
              </w:rPr>
            </w:pPr>
            <w:r w:rsidRPr="00AD667C">
              <w:rPr>
                <w:sz w:val="18"/>
                <w:szCs w:val="18"/>
              </w:rPr>
              <w:t>23</w:t>
            </w:r>
            <w:r>
              <w:rPr>
                <w:sz w:val="18"/>
                <w:szCs w:val="18"/>
              </w:rPr>
              <w:t>.00</w:t>
            </w:r>
          </w:p>
        </w:tc>
        <w:tc>
          <w:tcPr>
            <w:tcW w:w="566" w:type="pct"/>
            <w:shd w:val="clear" w:color="auto" w:fill="auto"/>
            <w:noWrap/>
            <w:vAlign w:val="center"/>
            <w:hideMark/>
          </w:tcPr>
          <w:p w14:paraId="6A43DA79" w14:textId="1D0D73D4" w:rsidR="00346C7B" w:rsidRPr="00AD667C" w:rsidRDefault="00346C7B" w:rsidP="00AD667C">
            <w:pPr>
              <w:pStyle w:val="ExhibitText"/>
              <w:jc w:val="right"/>
              <w:rPr>
                <w:sz w:val="18"/>
                <w:szCs w:val="18"/>
              </w:rPr>
            </w:pPr>
            <w:r w:rsidRPr="00AD667C">
              <w:rPr>
                <w:sz w:val="18"/>
                <w:szCs w:val="18"/>
              </w:rPr>
              <w:t>4</w:t>
            </w:r>
            <w:r>
              <w:rPr>
                <w:sz w:val="18"/>
                <w:szCs w:val="18"/>
              </w:rPr>
              <w:t>.00</w:t>
            </w:r>
          </w:p>
        </w:tc>
        <w:tc>
          <w:tcPr>
            <w:tcW w:w="566" w:type="pct"/>
            <w:shd w:val="clear" w:color="auto" w:fill="auto"/>
            <w:noWrap/>
            <w:vAlign w:val="center"/>
            <w:hideMark/>
          </w:tcPr>
          <w:p w14:paraId="48214998" w14:textId="74F89018" w:rsidR="00346C7B" w:rsidRPr="00AD667C" w:rsidRDefault="00346C7B" w:rsidP="00AD667C">
            <w:pPr>
              <w:pStyle w:val="ExhibitText"/>
              <w:jc w:val="right"/>
              <w:rPr>
                <w:sz w:val="18"/>
                <w:szCs w:val="18"/>
              </w:rPr>
            </w:pPr>
            <w:r w:rsidRPr="00AD667C">
              <w:rPr>
                <w:sz w:val="18"/>
                <w:szCs w:val="18"/>
              </w:rPr>
              <w:t>1.8</w:t>
            </w:r>
            <w:r>
              <w:rPr>
                <w:sz w:val="18"/>
                <w:szCs w:val="18"/>
              </w:rPr>
              <w:t>0</w:t>
            </w:r>
          </w:p>
        </w:tc>
        <w:tc>
          <w:tcPr>
            <w:tcW w:w="566" w:type="pct"/>
            <w:shd w:val="clear" w:color="auto" w:fill="auto"/>
            <w:noWrap/>
            <w:vAlign w:val="center"/>
            <w:hideMark/>
          </w:tcPr>
          <w:p w14:paraId="40112CCD" w14:textId="77777777" w:rsidR="00346C7B" w:rsidRPr="00AD667C" w:rsidRDefault="00346C7B" w:rsidP="00AD667C">
            <w:pPr>
              <w:pStyle w:val="ExhibitText"/>
              <w:jc w:val="right"/>
              <w:rPr>
                <w:sz w:val="18"/>
                <w:szCs w:val="18"/>
              </w:rPr>
            </w:pPr>
            <w:r w:rsidRPr="00AD667C">
              <w:rPr>
                <w:sz w:val="18"/>
                <w:szCs w:val="18"/>
              </w:rPr>
              <w:t>0</w:t>
            </w:r>
          </w:p>
        </w:tc>
        <w:tc>
          <w:tcPr>
            <w:tcW w:w="566" w:type="pct"/>
            <w:shd w:val="clear" w:color="auto" w:fill="auto"/>
            <w:noWrap/>
            <w:vAlign w:val="center"/>
            <w:hideMark/>
          </w:tcPr>
          <w:p w14:paraId="6DF0937B" w14:textId="31377958" w:rsidR="00346C7B" w:rsidRPr="00AD667C" w:rsidRDefault="00346C7B" w:rsidP="00AD667C">
            <w:pPr>
              <w:pStyle w:val="ExhibitText"/>
              <w:jc w:val="right"/>
              <w:rPr>
                <w:sz w:val="18"/>
                <w:szCs w:val="18"/>
              </w:rPr>
            </w:pPr>
            <w:r w:rsidRPr="00AD667C">
              <w:rPr>
                <w:sz w:val="18"/>
                <w:szCs w:val="18"/>
              </w:rPr>
              <w:t>28.8</w:t>
            </w:r>
            <w:r>
              <w:rPr>
                <w:sz w:val="18"/>
                <w:szCs w:val="18"/>
              </w:rPr>
              <w:t>0</w:t>
            </w:r>
          </w:p>
        </w:tc>
        <w:tc>
          <w:tcPr>
            <w:tcW w:w="566" w:type="pct"/>
            <w:shd w:val="clear" w:color="auto" w:fill="auto"/>
            <w:noWrap/>
            <w:vAlign w:val="center"/>
            <w:hideMark/>
          </w:tcPr>
          <w:p w14:paraId="4156BBD0" w14:textId="737EDC32" w:rsidR="00346C7B" w:rsidRPr="00AD667C" w:rsidRDefault="00346C7B" w:rsidP="00AD667C">
            <w:pPr>
              <w:pStyle w:val="ExhibitText"/>
              <w:jc w:val="right"/>
              <w:rPr>
                <w:sz w:val="18"/>
                <w:szCs w:val="18"/>
              </w:rPr>
            </w:pPr>
            <w:r w:rsidRPr="00AD667C">
              <w:rPr>
                <w:sz w:val="18"/>
                <w:szCs w:val="18"/>
              </w:rPr>
              <w:t>86.4</w:t>
            </w:r>
            <w:r>
              <w:rPr>
                <w:sz w:val="18"/>
                <w:szCs w:val="18"/>
              </w:rPr>
              <w:t>0</w:t>
            </w:r>
          </w:p>
        </w:tc>
      </w:tr>
      <w:tr w:rsidR="00346C7B" w:rsidRPr="00AD667C" w14:paraId="096134C2" w14:textId="77777777" w:rsidTr="00D61FA3">
        <w:trPr>
          <w:trHeight w:val="288"/>
          <w:jc w:val="center"/>
        </w:trPr>
        <w:tc>
          <w:tcPr>
            <w:tcW w:w="1040" w:type="pct"/>
            <w:shd w:val="clear" w:color="auto" w:fill="auto"/>
            <w:noWrap/>
            <w:vAlign w:val="center"/>
            <w:hideMark/>
          </w:tcPr>
          <w:p w14:paraId="5A930106" w14:textId="77777777" w:rsidR="00346C7B" w:rsidRPr="00AD667C" w:rsidRDefault="00346C7B" w:rsidP="00AD667C">
            <w:pPr>
              <w:pStyle w:val="ExhibitText"/>
              <w:jc w:val="left"/>
              <w:rPr>
                <w:sz w:val="18"/>
                <w:szCs w:val="18"/>
              </w:rPr>
            </w:pPr>
            <w:r w:rsidRPr="00AD667C">
              <w:rPr>
                <w:sz w:val="18"/>
                <w:szCs w:val="18"/>
              </w:rPr>
              <w:t>Floorman</w:t>
            </w:r>
          </w:p>
        </w:tc>
        <w:tc>
          <w:tcPr>
            <w:tcW w:w="566" w:type="pct"/>
            <w:shd w:val="clear" w:color="auto" w:fill="auto"/>
            <w:noWrap/>
            <w:vAlign w:val="center"/>
            <w:hideMark/>
          </w:tcPr>
          <w:p w14:paraId="549B245C" w14:textId="77777777" w:rsidR="00346C7B" w:rsidRPr="00AD667C" w:rsidRDefault="00346C7B" w:rsidP="00AD667C">
            <w:pPr>
              <w:pStyle w:val="ExhibitText"/>
              <w:jc w:val="right"/>
              <w:rPr>
                <w:sz w:val="18"/>
                <w:szCs w:val="18"/>
              </w:rPr>
            </w:pPr>
            <w:r w:rsidRPr="00AD667C">
              <w:rPr>
                <w:sz w:val="18"/>
                <w:szCs w:val="18"/>
              </w:rPr>
              <w:t>12</w:t>
            </w:r>
          </w:p>
        </w:tc>
        <w:tc>
          <w:tcPr>
            <w:tcW w:w="566" w:type="pct"/>
            <w:shd w:val="clear" w:color="auto" w:fill="auto"/>
            <w:noWrap/>
            <w:vAlign w:val="center"/>
            <w:hideMark/>
          </w:tcPr>
          <w:p w14:paraId="3EBA9016" w14:textId="59709CD2" w:rsidR="00346C7B" w:rsidRPr="00AD667C" w:rsidRDefault="00346C7B" w:rsidP="00AD667C">
            <w:pPr>
              <w:pStyle w:val="ExhibitText"/>
              <w:jc w:val="right"/>
              <w:rPr>
                <w:sz w:val="18"/>
                <w:szCs w:val="18"/>
              </w:rPr>
            </w:pPr>
            <w:r w:rsidRPr="00AD667C">
              <w:rPr>
                <w:sz w:val="18"/>
                <w:szCs w:val="18"/>
              </w:rPr>
              <w:t>20</w:t>
            </w:r>
            <w:r>
              <w:rPr>
                <w:sz w:val="18"/>
                <w:szCs w:val="18"/>
              </w:rPr>
              <w:t>.00</w:t>
            </w:r>
          </w:p>
        </w:tc>
        <w:tc>
          <w:tcPr>
            <w:tcW w:w="566" w:type="pct"/>
            <w:shd w:val="clear" w:color="auto" w:fill="auto"/>
            <w:noWrap/>
            <w:vAlign w:val="center"/>
            <w:hideMark/>
          </w:tcPr>
          <w:p w14:paraId="16366892" w14:textId="6CCA7689" w:rsidR="00346C7B" w:rsidRPr="00AD667C" w:rsidRDefault="00346C7B" w:rsidP="00AD667C">
            <w:pPr>
              <w:pStyle w:val="ExhibitText"/>
              <w:jc w:val="right"/>
              <w:rPr>
                <w:sz w:val="18"/>
                <w:szCs w:val="18"/>
              </w:rPr>
            </w:pPr>
            <w:r w:rsidRPr="00AD667C">
              <w:rPr>
                <w:sz w:val="18"/>
                <w:szCs w:val="18"/>
              </w:rPr>
              <w:t>4</w:t>
            </w:r>
            <w:r>
              <w:rPr>
                <w:sz w:val="18"/>
                <w:szCs w:val="18"/>
              </w:rPr>
              <w:t>.00</w:t>
            </w:r>
          </w:p>
        </w:tc>
        <w:tc>
          <w:tcPr>
            <w:tcW w:w="566" w:type="pct"/>
            <w:shd w:val="clear" w:color="auto" w:fill="auto"/>
            <w:noWrap/>
            <w:vAlign w:val="center"/>
            <w:hideMark/>
          </w:tcPr>
          <w:p w14:paraId="405674F1" w14:textId="77777777" w:rsidR="00346C7B" w:rsidRPr="00AD667C" w:rsidRDefault="00346C7B" w:rsidP="00AD667C">
            <w:pPr>
              <w:pStyle w:val="ExhibitText"/>
              <w:jc w:val="right"/>
              <w:rPr>
                <w:sz w:val="18"/>
                <w:szCs w:val="18"/>
              </w:rPr>
            </w:pPr>
            <w:r w:rsidRPr="00AD667C">
              <w:rPr>
                <w:sz w:val="18"/>
                <w:szCs w:val="18"/>
              </w:rPr>
              <w:t>1.17</w:t>
            </w:r>
          </w:p>
        </w:tc>
        <w:tc>
          <w:tcPr>
            <w:tcW w:w="566" w:type="pct"/>
            <w:shd w:val="clear" w:color="auto" w:fill="auto"/>
            <w:noWrap/>
            <w:vAlign w:val="center"/>
            <w:hideMark/>
          </w:tcPr>
          <w:p w14:paraId="4FD11B77" w14:textId="77777777" w:rsidR="00346C7B" w:rsidRPr="00AD667C" w:rsidRDefault="00346C7B" w:rsidP="00AD667C">
            <w:pPr>
              <w:pStyle w:val="ExhibitText"/>
              <w:jc w:val="right"/>
              <w:rPr>
                <w:sz w:val="18"/>
                <w:szCs w:val="18"/>
              </w:rPr>
            </w:pPr>
            <w:r w:rsidRPr="00AD667C">
              <w:rPr>
                <w:sz w:val="18"/>
                <w:szCs w:val="18"/>
              </w:rPr>
              <w:t>0</w:t>
            </w:r>
          </w:p>
        </w:tc>
        <w:tc>
          <w:tcPr>
            <w:tcW w:w="566" w:type="pct"/>
            <w:shd w:val="clear" w:color="auto" w:fill="auto"/>
            <w:noWrap/>
            <w:vAlign w:val="center"/>
            <w:hideMark/>
          </w:tcPr>
          <w:p w14:paraId="24177CDF" w14:textId="77777777" w:rsidR="00346C7B" w:rsidRPr="00AD667C" w:rsidRDefault="00346C7B" w:rsidP="00AD667C">
            <w:pPr>
              <w:pStyle w:val="ExhibitText"/>
              <w:jc w:val="right"/>
              <w:rPr>
                <w:sz w:val="18"/>
                <w:szCs w:val="18"/>
              </w:rPr>
            </w:pPr>
            <w:r w:rsidRPr="00AD667C">
              <w:rPr>
                <w:sz w:val="18"/>
                <w:szCs w:val="18"/>
              </w:rPr>
              <w:t>25.17</w:t>
            </w:r>
          </w:p>
        </w:tc>
        <w:tc>
          <w:tcPr>
            <w:tcW w:w="566" w:type="pct"/>
            <w:shd w:val="clear" w:color="auto" w:fill="auto"/>
            <w:noWrap/>
            <w:vAlign w:val="center"/>
            <w:hideMark/>
          </w:tcPr>
          <w:p w14:paraId="341E4C48" w14:textId="77777777" w:rsidR="00346C7B" w:rsidRPr="00AD667C" w:rsidRDefault="00346C7B" w:rsidP="00AD667C">
            <w:pPr>
              <w:pStyle w:val="ExhibitText"/>
              <w:jc w:val="right"/>
              <w:rPr>
                <w:sz w:val="18"/>
                <w:szCs w:val="18"/>
              </w:rPr>
            </w:pPr>
            <w:r w:rsidRPr="00AD667C">
              <w:rPr>
                <w:sz w:val="18"/>
                <w:szCs w:val="18"/>
              </w:rPr>
              <w:t>302.04</w:t>
            </w:r>
          </w:p>
        </w:tc>
      </w:tr>
      <w:tr w:rsidR="00346C7B" w:rsidRPr="00AD667C" w14:paraId="2747F4F3" w14:textId="77777777" w:rsidTr="00D61FA3">
        <w:trPr>
          <w:trHeight w:val="288"/>
          <w:jc w:val="center"/>
        </w:trPr>
        <w:tc>
          <w:tcPr>
            <w:tcW w:w="1040" w:type="pct"/>
            <w:shd w:val="clear" w:color="auto" w:fill="auto"/>
            <w:noWrap/>
            <w:vAlign w:val="center"/>
            <w:hideMark/>
          </w:tcPr>
          <w:p w14:paraId="7131BEB4" w14:textId="77777777" w:rsidR="00346C7B" w:rsidRPr="00AD667C" w:rsidRDefault="00346C7B" w:rsidP="00AD667C">
            <w:pPr>
              <w:pStyle w:val="ExhibitText"/>
              <w:jc w:val="left"/>
              <w:rPr>
                <w:sz w:val="18"/>
                <w:szCs w:val="18"/>
              </w:rPr>
            </w:pPr>
            <w:r w:rsidRPr="00AD667C">
              <w:rPr>
                <w:sz w:val="18"/>
                <w:szCs w:val="18"/>
              </w:rPr>
              <w:t>Roustabout</w:t>
            </w:r>
          </w:p>
        </w:tc>
        <w:tc>
          <w:tcPr>
            <w:tcW w:w="566" w:type="pct"/>
            <w:shd w:val="clear" w:color="auto" w:fill="auto"/>
            <w:noWrap/>
            <w:vAlign w:val="center"/>
            <w:hideMark/>
          </w:tcPr>
          <w:p w14:paraId="1C6E037E" w14:textId="77777777" w:rsidR="00346C7B" w:rsidRPr="00AD667C" w:rsidRDefault="00346C7B" w:rsidP="00AD667C">
            <w:pPr>
              <w:pStyle w:val="ExhibitText"/>
              <w:jc w:val="right"/>
              <w:rPr>
                <w:sz w:val="18"/>
                <w:szCs w:val="18"/>
              </w:rPr>
            </w:pPr>
            <w:r w:rsidRPr="00AD667C">
              <w:rPr>
                <w:sz w:val="18"/>
                <w:szCs w:val="18"/>
              </w:rPr>
              <w:t>12</w:t>
            </w:r>
          </w:p>
        </w:tc>
        <w:tc>
          <w:tcPr>
            <w:tcW w:w="566" w:type="pct"/>
            <w:shd w:val="clear" w:color="auto" w:fill="auto"/>
            <w:noWrap/>
            <w:vAlign w:val="center"/>
            <w:hideMark/>
          </w:tcPr>
          <w:p w14:paraId="6E9DD566" w14:textId="38CE5066" w:rsidR="00346C7B" w:rsidRPr="00AD667C" w:rsidRDefault="00346C7B" w:rsidP="00AD667C">
            <w:pPr>
              <w:pStyle w:val="ExhibitText"/>
              <w:jc w:val="right"/>
              <w:rPr>
                <w:sz w:val="18"/>
                <w:szCs w:val="18"/>
              </w:rPr>
            </w:pPr>
            <w:r w:rsidRPr="00AD667C">
              <w:rPr>
                <w:sz w:val="18"/>
                <w:szCs w:val="18"/>
              </w:rPr>
              <w:t>12</w:t>
            </w:r>
            <w:r>
              <w:rPr>
                <w:sz w:val="18"/>
                <w:szCs w:val="18"/>
              </w:rPr>
              <w:t>.00</w:t>
            </w:r>
          </w:p>
        </w:tc>
        <w:tc>
          <w:tcPr>
            <w:tcW w:w="566" w:type="pct"/>
            <w:shd w:val="clear" w:color="auto" w:fill="auto"/>
            <w:noWrap/>
            <w:vAlign w:val="center"/>
            <w:hideMark/>
          </w:tcPr>
          <w:p w14:paraId="3810AE01" w14:textId="1E104B0F" w:rsidR="00346C7B" w:rsidRPr="00AD667C" w:rsidRDefault="00346C7B" w:rsidP="00AD667C">
            <w:pPr>
              <w:pStyle w:val="ExhibitText"/>
              <w:jc w:val="right"/>
              <w:rPr>
                <w:sz w:val="18"/>
                <w:szCs w:val="18"/>
              </w:rPr>
            </w:pPr>
            <w:r w:rsidRPr="00AD667C">
              <w:rPr>
                <w:sz w:val="18"/>
                <w:szCs w:val="18"/>
              </w:rPr>
              <w:t>4</w:t>
            </w:r>
            <w:r>
              <w:rPr>
                <w:sz w:val="18"/>
                <w:szCs w:val="18"/>
              </w:rPr>
              <w:t>.00</w:t>
            </w:r>
          </w:p>
        </w:tc>
        <w:tc>
          <w:tcPr>
            <w:tcW w:w="566" w:type="pct"/>
            <w:shd w:val="clear" w:color="auto" w:fill="auto"/>
            <w:noWrap/>
            <w:vAlign w:val="center"/>
            <w:hideMark/>
          </w:tcPr>
          <w:p w14:paraId="72F03141" w14:textId="77777777" w:rsidR="00346C7B" w:rsidRPr="00AD667C" w:rsidRDefault="00346C7B" w:rsidP="00AD667C">
            <w:pPr>
              <w:pStyle w:val="ExhibitText"/>
              <w:jc w:val="right"/>
              <w:rPr>
                <w:sz w:val="18"/>
                <w:szCs w:val="18"/>
              </w:rPr>
            </w:pPr>
            <w:r w:rsidRPr="00AD667C">
              <w:rPr>
                <w:sz w:val="18"/>
                <w:szCs w:val="18"/>
              </w:rPr>
              <w:t>0.92</w:t>
            </w:r>
          </w:p>
        </w:tc>
        <w:tc>
          <w:tcPr>
            <w:tcW w:w="566" w:type="pct"/>
            <w:shd w:val="clear" w:color="auto" w:fill="auto"/>
            <w:noWrap/>
            <w:vAlign w:val="center"/>
            <w:hideMark/>
          </w:tcPr>
          <w:p w14:paraId="039E831A" w14:textId="77777777" w:rsidR="00346C7B" w:rsidRPr="00AD667C" w:rsidRDefault="00346C7B" w:rsidP="00AD667C">
            <w:pPr>
              <w:pStyle w:val="ExhibitText"/>
              <w:jc w:val="right"/>
              <w:rPr>
                <w:sz w:val="18"/>
                <w:szCs w:val="18"/>
              </w:rPr>
            </w:pPr>
            <w:r w:rsidRPr="00AD667C">
              <w:rPr>
                <w:sz w:val="18"/>
                <w:szCs w:val="18"/>
              </w:rPr>
              <w:t>0</w:t>
            </w:r>
          </w:p>
        </w:tc>
        <w:tc>
          <w:tcPr>
            <w:tcW w:w="566" w:type="pct"/>
            <w:shd w:val="clear" w:color="auto" w:fill="auto"/>
            <w:noWrap/>
            <w:vAlign w:val="center"/>
            <w:hideMark/>
          </w:tcPr>
          <w:p w14:paraId="731832EA" w14:textId="77777777" w:rsidR="00346C7B" w:rsidRPr="00AD667C" w:rsidRDefault="00346C7B" w:rsidP="00AD667C">
            <w:pPr>
              <w:pStyle w:val="ExhibitText"/>
              <w:jc w:val="right"/>
              <w:rPr>
                <w:sz w:val="18"/>
                <w:szCs w:val="18"/>
              </w:rPr>
            </w:pPr>
            <w:r w:rsidRPr="00AD667C">
              <w:rPr>
                <w:sz w:val="18"/>
                <w:szCs w:val="18"/>
              </w:rPr>
              <w:t>16.92</w:t>
            </w:r>
          </w:p>
        </w:tc>
        <w:tc>
          <w:tcPr>
            <w:tcW w:w="566" w:type="pct"/>
            <w:shd w:val="clear" w:color="auto" w:fill="auto"/>
            <w:noWrap/>
            <w:vAlign w:val="center"/>
            <w:hideMark/>
          </w:tcPr>
          <w:p w14:paraId="02663D3D" w14:textId="77777777" w:rsidR="00346C7B" w:rsidRPr="00AD667C" w:rsidRDefault="00346C7B" w:rsidP="00AD667C">
            <w:pPr>
              <w:pStyle w:val="ExhibitText"/>
              <w:jc w:val="right"/>
              <w:rPr>
                <w:sz w:val="18"/>
                <w:szCs w:val="18"/>
              </w:rPr>
            </w:pPr>
            <w:r w:rsidRPr="00AD667C">
              <w:rPr>
                <w:sz w:val="18"/>
                <w:szCs w:val="18"/>
              </w:rPr>
              <w:t>203.04</w:t>
            </w:r>
          </w:p>
        </w:tc>
      </w:tr>
      <w:tr w:rsidR="00346C7B" w:rsidRPr="00AD667C" w14:paraId="0BAB9DAC" w14:textId="77777777" w:rsidTr="00D61FA3">
        <w:trPr>
          <w:trHeight w:val="288"/>
          <w:jc w:val="center"/>
        </w:trPr>
        <w:tc>
          <w:tcPr>
            <w:tcW w:w="1040" w:type="pct"/>
            <w:shd w:val="clear" w:color="auto" w:fill="auto"/>
            <w:noWrap/>
            <w:vAlign w:val="center"/>
            <w:hideMark/>
          </w:tcPr>
          <w:p w14:paraId="0E8CD311" w14:textId="77777777" w:rsidR="00346C7B" w:rsidRPr="00AD667C" w:rsidRDefault="00346C7B" w:rsidP="00AD667C">
            <w:pPr>
              <w:pStyle w:val="ExhibitText"/>
              <w:jc w:val="left"/>
              <w:rPr>
                <w:sz w:val="18"/>
                <w:szCs w:val="18"/>
              </w:rPr>
            </w:pPr>
            <w:r w:rsidRPr="00AD667C">
              <w:rPr>
                <w:sz w:val="18"/>
                <w:szCs w:val="18"/>
              </w:rPr>
              <w:t>Rig Electrician</w:t>
            </w:r>
          </w:p>
        </w:tc>
        <w:tc>
          <w:tcPr>
            <w:tcW w:w="566" w:type="pct"/>
            <w:shd w:val="clear" w:color="auto" w:fill="auto"/>
            <w:noWrap/>
            <w:vAlign w:val="center"/>
            <w:hideMark/>
          </w:tcPr>
          <w:p w14:paraId="4B89F3EA" w14:textId="77777777" w:rsidR="00346C7B" w:rsidRPr="00AD667C" w:rsidRDefault="00346C7B" w:rsidP="00AD667C">
            <w:pPr>
              <w:pStyle w:val="ExhibitText"/>
              <w:jc w:val="right"/>
              <w:rPr>
                <w:sz w:val="18"/>
                <w:szCs w:val="18"/>
              </w:rPr>
            </w:pPr>
            <w:r w:rsidRPr="00AD667C">
              <w:rPr>
                <w:sz w:val="18"/>
                <w:szCs w:val="18"/>
              </w:rPr>
              <w:t>2</w:t>
            </w:r>
          </w:p>
        </w:tc>
        <w:tc>
          <w:tcPr>
            <w:tcW w:w="566" w:type="pct"/>
            <w:shd w:val="clear" w:color="auto" w:fill="auto"/>
            <w:noWrap/>
            <w:vAlign w:val="center"/>
            <w:hideMark/>
          </w:tcPr>
          <w:p w14:paraId="0CAC27A5" w14:textId="32C43BEF" w:rsidR="00346C7B" w:rsidRPr="00AD667C" w:rsidRDefault="00346C7B" w:rsidP="00AD667C">
            <w:pPr>
              <w:pStyle w:val="ExhibitText"/>
              <w:jc w:val="right"/>
              <w:rPr>
                <w:sz w:val="18"/>
                <w:szCs w:val="18"/>
              </w:rPr>
            </w:pPr>
            <w:r w:rsidRPr="00AD667C">
              <w:rPr>
                <w:sz w:val="18"/>
                <w:szCs w:val="18"/>
              </w:rPr>
              <w:t>215</w:t>
            </w:r>
            <w:r>
              <w:rPr>
                <w:sz w:val="18"/>
                <w:szCs w:val="18"/>
              </w:rPr>
              <w:t>.00</w:t>
            </w:r>
          </w:p>
        </w:tc>
        <w:tc>
          <w:tcPr>
            <w:tcW w:w="566" w:type="pct"/>
            <w:shd w:val="clear" w:color="auto" w:fill="auto"/>
            <w:noWrap/>
            <w:vAlign w:val="center"/>
            <w:hideMark/>
          </w:tcPr>
          <w:p w14:paraId="4379A8C0" w14:textId="646743BD" w:rsidR="00346C7B" w:rsidRPr="00AD667C" w:rsidRDefault="00346C7B" w:rsidP="00AD667C">
            <w:pPr>
              <w:pStyle w:val="ExhibitText"/>
              <w:jc w:val="right"/>
              <w:rPr>
                <w:sz w:val="18"/>
                <w:szCs w:val="18"/>
              </w:rPr>
            </w:pPr>
            <w:r w:rsidRPr="00AD667C">
              <w:rPr>
                <w:sz w:val="18"/>
                <w:szCs w:val="18"/>
              </w:rPr>
              <w:t>32</w:t>
            </w:r>
            <w:r>
              <w:rPr>
                <w:sz w:val="18"/>
                <w:szCs w:val="18"/>
              </w:rPr>
              <w:t>.00</w:t>
            </w:r>
          </w:p>
        </w:tc>
        <w:tc>
          <w:tcPr>
            <w:tcW w:w="566" w:type="pct"/>
            <w:shd w:val="clear" w:color="auto" w:fill="auto"/>
            <w:noWrap/>
            <w:vAlign w:val="center"/>
            <w:hideMark/>
          </w:tcPr>
          <w:p w14:paraId="2D4BB65A" w14:textId="77777777" w:rsidR="00346C7B" w:rsidRPr="00AD667C" w:rsidRDefault="00346C7B" w:rsidP="00AD667C">
            <w:pPr>
              <w:pStyle w:val="ExhibitText"/>
              <w:jc w:val="right"/>
              <w:rPr>
                <w:sz w:val="18"/>
                <w:szCs w:val="18"/>
              </w:rPr>
            </w:pPr>
            <w:r w:rsidRPr="00AD667C">
              <w:rPr>
                <w:sz w:val="18"/>
                <w:szCs w:val="18"/>
              </w:rPr>
              <w:t>19.83</w:t>
            </w:r>
          </w:p>
        </w:tc>
        <w:tc>
          <w:tcPr>
            <w:tcW w:w="566" w:type="pct"/>
            <w:shd w:val="clear" w:color="auto" w:fill="auto"/>
            <w:noWrap/>
            <w:vAlign w:val="center"/>
            <w:hideMark/>
          </w:tcPr>
          <w:p w14:paraId="4C9F640D" w14:textId="45661F51" w:rsidR="00346C7B" w:rsidRPr="00AD667C" w:rsidRDefault="00346C7B" w:rsidP="00AD667C">
            <w:pPr>
              <w:pStyle w:val="ExhibitText"/>
              <w:jc w:val="right"/>
              <w:rPr>
                <w:sz w:val="18"/>
                <w:szCs w:val="18"/>
              </w:rPr>
            </w:pPr>
            <w:r w:rsidRPr="00AD667C">
              <w:rPr>
                <w:sz w:val="18"/>
                <w:szCs w:val="18"/>
              </w:rPr>
              <w:t>94</w:t>
            </w:r>
            <w:r>
              <w:rPr>
                <w:sz w:val="18"/>
                <w:szCs w:val="18"/>
              </w:rPr>
              <w:t>.00</w:t>
            </w:r>
          </w:p>
        </w:tc>
        <w:tc>
          <w:tcPr>
            <w:tcW w:w="566" w:type="pct"/>
            <w:shd w:val="clear" w:color="auto" w:fill="auto"/>
            <w:noWrap/>
            <w:vAlign w:val="center"/>
            <w:hideMark/>
          </w:tcPr>
          <w:p w14:paraId="19CE19E5" w14:textId="77777777" w:rsidR="00346C7B" w:rsidRPr="00AD667C" w:rsidRDefault="00346C7B" w:rsidP="00AD667C">
            <w:pPr>
              <w:pStyle w:val="ExhibitText"/>
              <w:jc w:val="right"/>
              <w:rPr>
                <w:sz w:val="18"/>
                <w:szCs w:val="18"/>
              </w:rPr>
            </w:pPr>
            <w:r w:rsidRPr="00AD667C">
              <w:rPr>
                <w:sz w:val="18"/>
                <w:szCs w:val="18"/>
              </w:rPr>
              <w:t>360.83</w:t>
            </w:r>
          </w:p>
        </w:tc>
        <w:tc>
          <w:tcPr>
            <w:tcW w:w="566" w:type="pct"/>
            <w:shd w:val="clear" w:color="auto" w:fill="auto"/>
            <w:noWrap/>
            <w:vAlign w:val="center"/>
            <w:hideMark/>
          </w:tcPr>
          <w:p w14:paraId="12C4317F" w14:textId="77777777" w:rsidR="00346C7B" w:rsidRPr="00AD667C" w:rsidRDefault="00346C7B" w:rsidP="00AD667C">
            <w:pPr>
              <w:pStyle w:val="ExhibitText"/>
              <w:jc w:val="right"/>
              <w:rPr>
                <w:sz w:val="18"/>
                <w:szCs w:val="18"/>
              </w:rPr>
            </w:pPr>
            <w:r w:rsidRPr="00AD667C">
              <w:rPr>
                <w:sz w:val="18"/>
                <w:szCs w:val="18"/>
              </w:rPr>
              <w:t>721.66</w:t>
            </w:r>
          </w:p>
        </w:tc>
      </w:tr>
      <w:tr w:rsidR="00346C7B" w:rsidRPr="00AD667C" w14:paraId="58400CF5" w14:textId="77777777" w:rsidTr="00D61FA3">
        <w:trPr>
          <w:trHeight w:val="288"/>
          <w:jc w:val="center"/>
        </w:trPr>
        <w:tc>
          <w:tcPr>
            <w:tcW w:w="1040" w:type="pct"/>
            <w:shd w:val="clear" w:color="auto" w:fill="auto"/>
            <w:noWrap/>
            <w:vAlign w:val="center"/>
            <w:hideMark/>
          </w:tcPr>
          <w:p w14:paraId="115C3EB1" w14:textId="14C196FC" w:rsidR="00346C7B" w:rsidRPr="00AD667C" w:rsidRDefault="00346C7B" w:rsidP="00AD667C">
            <w:pPr>
              <w:pStyle w:val="ExhibitText"/>
              <w:jc w:val="left"/>
              <w:rPr>
                <w:sz w:val="18"/>
                <w:szCs w:val="18"/>
              </w:rPr>
            </w:pPr>
            <w:r w:rsidRPr="00AD667C">
              <w:rPr>
                <w:sz w:val="18"/>
                <w:szCs w:val="18"/>
              </w:rPr>
              <w:t>Ass</w:t>
            </w:r>
            <w:r>
              <w:rPr>
                <w:sz w:val="18"/>
                <w:szCs w:val="18"/>
              </w:rPr>
              <w:t>istan</w:t>
            </w:r>
            <w:r w:rsidRPr="00AD667C">
              <w:rPr>
                <w:sz w:val="18"/>
                <w:szCs w:val="18"/>
              </w:rPr>
              <w:t>t Electrician/</w:t>
            </w:r>
          </w:p>
          <w:p w14:paraId="51CC7C5E" w14:textId="74F5ECB6" w:rsidR="00346C7B" w:rsidRPr="00AD667C" w:rsidRDefault="00346C7B" w:rsidP="00AD667C">
            <w:pPr>
              <w:pStyle w:val="ExhibitText"/>
              <w:jc w:val="left"/>
              <w:rPr>
                <w:sz w:val="18"/>
                <w:szCs w:val="18"/>
              </w:rPr>
            </w:pPr>
            <w:r w:rsidRPr="00AD667C">
              <w:rPr>
                <w:sz w:val="18"/>
                <w:szCs w:val="18"/>
              </w:rPr>
              <w:t>Junior Electrician</w:t>
            </w:r>
          </w:p>
        </w:tc>
        <w:tc>
          <w:tcPr>
            <w:tcW w:w="566" w:type="pct"/>
            <w:shd w:val="clear" w:color="auto" w:fill="auto"/>
            <w:noWrap/>
            <w:vAlign w:val="center"/>
            <w:hideMark/>
          </w:tcPr>
          <w:p w14:paraId="2CCBF46C" w14:textId="77777777" w:rsidR="00346C7B" w:rsidRPr="00AD667C" w:rsidRDefault="00346C7B" w:rsidP="00AD667C">
            <w:pPr>
              <w:pStyle w:val="ExhibitText"/>
              <w:jc w:val="right"/>
              <w:rPr>
                <w:sz w:val="18"/>
                <w:szCs w:val="18"/>
              </w:rPr>
            </w:pPr>
            <w:r w:rsidRPr="00AD667C">
              <w:rPr>
                <w:sz w:val="18"/>
                <w:szCs w:val="18"/>
              </w:rPr>
              <w:t>4</w:t>
            </w:r>
          </w:p>
        </w:tc>
        <w:tc>
          <w:tcPr>
            <w:tcW w:w="566" w:type="pct"/>
            <w:shd w:val="clear" w:color="auto" w:fill="auto"/>
            <w:noWrap/>
            <w:vAlign w:val="center"/>
            <w:hideMark/>
          </w:tcPr>
          <w:p w14:paraId="0C026891" w14:textId="4A24F24C" w:rsidR="00346C7B" w:rsidRPr="00AD667C" w:rsidRDefault="00346C7B" w:rsidP="00AD667C">
            <w:pPr>
              <w:pStyle w:val="ExhibitText"/>
              <w:jc w:val="right"/>
              <w:rPr>
                <w:sz w:val="18"/>
                <w:szCs w:val="18"/>
              </w:rPr>
            </w:pPr>
            <w:r w:rsidRPr="00AD667C">
              <w:rPr>
                <w:sz w:val="18"/>
                <w:szCs w:val="18"/>
              </w:rPr>
              <w:t>38</w:t>
            </w:r>
            <w:r>
              <w:rPr>
                <w:sz w:val="18"/>
                <w:szCs w:val="18"/>
              </w:rPr>
              <w:t>.00</w:t>
            </w:r>
          </w:p>
        </w:tc>
        <w:tc>
          <w:tcPr>
            <w:tcW w:w="566" w:type="pct"/>
            <w:shd w:val="clear" w:color="auto" w:fill="auto"/>
            <w:noWrap/>
            <w:vAlign w:val="center"/>
            <w:hideMark/>
          </w:tcPr>
          <w:p w14:paraId="53722B10" w14:textId="4B9AFF99" w:rsidR="00346C7B" w:rsidRPr="00AD667C" w:rsidRDefault="00346C7B" w:rsidP="00AD667C">
            <w:pPr>
              <w:pStyle w:val="ExhibitText"/>
              <w:jc w:val="right"/>
              <w:rPr>
                <w:sz w:val="18"/>
                <w:szCs w:val="18"/>
              </w:rPr>
            </w:pPr>
            <w:r w:rsidRPr="00AD667C">
              <w:rPr>
                <w:sz w:val="18"/>
                <w:szCs w:val="18"/>
              </w:rPr>
              <w:t>4</w:t>
            </w:r>
            <w:r>
              <w:rPr>
                <w:sz w:val="18"/>
                <w:szCs w:val="18"/>
              </w:rPr>
              <w:t>.00</w:t>
            </w:r>
          </w:p>
        </w:tc>
        <w:tc>
          <w:tcPr>
            <w:tcW w:w="566" w:type="pct"/>
            <w:shd w:val="clear" w:color="auto" w:fill="auto"/>
            <w:noWrap/>
            <w:vAlign w:val="center"/>
            <w:hideMark/>
          </w:tcPr>
          <w:p w14:paraId="5DEADAFB" w14:textId="4DB11335" w:rsidR="00346C7B" w:rsidRPr="00AD667C" w:rsidRDefault="00346C7B" w:rsidP="00AD667C">
            <w:pPr>
              <w:pStyle w:val="ExhibitText"/>
              <w:jc w:val="right"/>
              <w:rPr>
                <w:sz w:val="18"/>
                <w:szCs w:val="18"/>
              </w:rPr>
            </w:pPr>
            <w:r w:rsidRPr="00AD667C">
              <w:rPr>
                <w:sz w:val="18"/>
                <w:szCs w:val="18"/>
              </w:rPr>
              <w:t>2.5</w:t>
            </w:r>
            <w:r>
              <w:rPr>
                <w:sz w:val="18"/>
                <w:szCs w:val="18"/>
              </w:rPr>
              <w:t>0</w:t>
            </w:r>
          </w:p>
        </w:tc>
        <w:tc>
          <w:tcPr>
            <w:tcW w:w="566" w:type="pct"/>
            <w:shd w:val="clear" w:color="auto" w:fill="auto"/>
            <w:noWrap/>
            <w:vAlign w:val="center"/>
            <w:hideMark/>
          </w:tcPr>
          <w:p w14:paraId="15DFA4AE" w14:textId="77777777" w:rsidR="00346C7B" w:rsidRPr="00AD667C" w:rsidRDefault="00346C7B" w:rsidP="00AD667C">
            <w:pPr>
              <w:pStyle w:val="ExhibitText"/>
              <w:jc w:val="right"/>
              <w:rPr>
                <w:sz w:val="18"/>
                <w:szCs w:val="18"/>
              </w:rPr>
            </w:pPr>
            <w:r w:rsidRPr="00AD667C">
              <w:rPr>
                <w:sz w:val="18"/>
                <w:szCs w:val="18"/>
              </w:rPr>
              <w:t>0</w:t>
            </w:r>
          </w:p>
        </w:tc>
        <w:tc>
          <w:tcPr>
            <w:tcW w:w="566" w:type="pct"/>
            <w:shd w:val="clear" w:color="auto" w:fill="auto"/>
            <w:noWrap/>
            <w:vAlign w:val="center"/>
            <w:hideMark/>
          </w:tcPr>
          <w:p w14:paraId="3FBD645A" w14:textId="0F2DFDD7" w:rsidR="00346C7B" w:rsidRPr="00AD667C" w:rsidRDefault="00346C7B" w:rsidP="00AD667C">
            <w:pPr>
              <w:pStyle w:val="ExhibitText"/>
              <w:jc w:val="right"/>
              <w:rPr>
                <w:sz w:val="18"/>
                <w:szCs w:val="18"/>
              </w:rPr>
            </w:pPr>
            <w:r w:rsidRPr="00AD667C">
              <w:rPr>
                <w:sz w:val="18"/>
                <w:szCs w:val="18"/>
              </w:rPr>
              <w:t>44.5</w:t>
            </w:r>
            <w:r>
              <w:rPr>
                <w:sz w:val="18"/>
                <w:szCs w:val="18"/>
              </w:rPr>
              <w:t>0</w:t>
            </w:r>
          </w:p>
        </w:tc>
        <w:tc>
          <w:tcPr>
            <w:tcW w:w="566" w:type="pct"/>
            <w:shd w:val="clear" w:color="auto" w:fill="auto"/>
            <w:noWrap/>
            <w:vAlign w:val="center"/>
            <w:hideMark/>
          </w:tcPr>
          <w:p w14:paraId="5FBFB2ED" w14:textId="36045189" w:rsidR="00346C7B" w:rsidRPr="00AD667C" w:rsidRDefault="00346C7B" w:rsidP="00AD667C">
            <w:pPr>
              <w:pStyle w:val="ExhibitText"/>
              <w:jc w:val="right"/>
              <w:rPr>
                <w:sz w:val="18"/>
                <w:szCs w:val="18"/>
              </w:rPr>
            </w:pPr>
            <w:r w:rsidRPr="00AD667C">
              <w:rPr>
                <w:sz w:val="18"/>
                <w:szCs w:val="18"/>
              </w:rPr>
              <w:t>178</w:t>
            </w:r>
            <w:r>
              <w:rPr>
                <w:sz w:val="18"/>
                <w:szCs w:val="18"/>
              </w:rPr>
              <w:t>.00</w:t>
            </w:r>
          </w:p>
        </w:tc>
      </w:tr>
      <w:tr w:rsidR="00346C7B" w:rsidRPr="00AD667C" w14:paraId="5F5FA7AF" w14:textId="77777777" w:rsidTr="00D61FA3">
        <w:trPr>
          <w:trHeight w:val="288"/>
          <w:jc w:val="center"/>
        </w:trPr>
        <w:tc>
          <w:tcPr>
            <w:tcW w:w="1040" w:type="pct"/>
            <w:shd w:val="clear" w:color="auto" w:fill="auto"/>
            <w:noWrap/>
            <w:vAlign w:val="center"/>
            <w:hideMark/>
          </w:tcPr>
          <w:p w14:paraId="2C3DEB32" w14:textId="77777777" w:rsidR="00346C7B" w:rsidRPr="00AD667C" w:rsidRDefault="00346C7B" w:rsidP="00AD667C">
            <w:pPr>
              <w:pStyle w:val="ExhibitText"/>
              <w:jc w:val="left"/>
              <w:rPr>
                <w:sz w:val="18"/>
                <w:szCs w:val="18"/>
              </w:rPr>
            </w:pPr>
            <w:r w:rsidRPr="00AD667C">
              <w:rPr>
                <w:sz w:val="18"/>
                <w:szCs w:val="18"/>
              </w:rPr>
              <w:t>Rig Mechanic</w:t>
            </w:r>
          </w:p>
        </w:tc>
        <w:tc>
          <w:tcPr>
            <w:tcW w:w="566" w:type="pct"/>
            <w:shd w:val="clear" w:color="auto" w:fill="auto"/>
            <w:noWrap/>
            <w:vAlign w:val="center"/>
            <w:hideMark/>
          </w:tcPr>
          <w:p w14:paraId="5E74AEFC" w14:textId="77777777" w:rsidR="00346C7B" w:rsidRPr="00AD667C" w:rsidRDefault="00346C7B" w:rsidP="00AD667C">
            <w:pPr>
              <w:pStyle w:val="ExhibitText"/>
              <w:jc w:val="right"/>
              <w:rPr>
                <w:sz w:val="18"/>
                <w:szCs w:val="18"/>
              </w:rPr>
            </w:pPr>
            <w:r w:rsidRPr="00AD667C">
              <w:rPr>
                <w:sz w:val="18"/>
                <w:szCs w:val="18"/>
              </w:rPr>
              <w:t>2</w:t>
            </w:r>
          </w:p>
        </w:tc>
        <w:tc>
          <w:tcPr>
            <w:tcW w:w="566" w:type="pct"/>
            <w:shd w:val="clear" w:color="auto" w:fill="auto"/>
            <w:noWrap/>
            <w:vAlign w:val="center"/>
            <w:hideMark/>
          </w:tcPr>
          <w:p w14:paraId="21E4B75C" w14:textId="4023E830" w:rsidR="00346C7B" w:rsidRPr="00AD667C" w:rsidRDefault="00346C7B" w:rsidP="00AD667C">
            <w:pPr>
              <w:pStyle w:val="ExhibitText"/>
              <w:jc w:val="right"/>
              <w:rPr>
                <w:sz w:val="18"/>
                <w:szCs w:val="18"/>
              </w:rPr>
            </w:pPr>
            <w:r w:rsidRPr="00AD667C">
              <w:rPr>
                <w:sz w:val="18"/>
                <w:szCs w:val="18"/>
              </w:rPr>
              <w:t>216</w:t>
            </w:r>
            <w:r>
              <w:rPr>
                <w:sz w:val="18"/>
                <w:szCs w:val="18"/>
              </w:rPr>
              <w:t>.00</w:t>
            </w:r>
          </w:p>
        </w:tc>
        <w:tc>
          <w:tcPr>
            <w:tcW w:w="566" w:type="pct"/>
            <w:shd w:val="clear" w:color="auto" w:fill="auto"/>
            <w:noWrap/>
            <w:vAlign w:val="center"/>
            <w:hideMark/>
          </w:tcPr>
          <w:p w14:paraId="5E5B10EC" w14:textId="55BD5F0B" w:rsidR="00346C7B" w:rsidRPr="00AD667C" w:rsidRDefault="00346C7B" w:rsidP="00AD667C">
            <w:pPr>
              <w:pStyle w:val="ExhibitText"/>
              <w:jc w:val="right"/>
              <w:rPr>
                <w:sz w:val="18"/>
                <w:szCs w:val="18"/>
              </w:rPr>
            </w:pPr>
            <w:r w:rsidRPr="00AD667C">
              <w:rPr>
                <w:sz w:val="18"/>
                <w:szCs w:val="18"/>
              </w:rPr>
              <w:t>36</w:t>
            </w:r>
            <w:r>
              <w:rPr>
                <w:sz w:val="18"/>
                <w:szCs w:val="18"/>
              </w:rPr>
              <w:t>.00</w:t>
            </w:r>
          </w:p>
        </w:tc>
        <w:tc>
          <w:tcPr>
            <w:tcW w:w="566" w:type="pct"/>
            <w:shd w:val="clear" w:color="auto" w:fill="auto"/>
            <w:noWrap/>
            <w:vAlign w:val="center"/>
            <w:hideMark/>
          </w:tcPr>
          <w:p w14:paraId="66A51908" w14:textId="6BBA1CB6" w:rsidR="00346C7B" w:rsidRPr="00AD667C" w:rsidRDefault="00346C7B" w:rsidP="00AD667C">
            <w:pPr>
              <w:pStyle w:val="ExhibitText"/>
              <w:jc w:val="right"/>
              <w:rPr>
                <w:sz w:val="18"/>
                <w:szCs w:val="18"/>
              </w:rPr>
            </w:pPr>
            <w:r w:rsidRPr="00AD667C">
              <w:rPr>
                <w:sz w:val="18"/>
                <w:szCs w:val="18"/>
              </w:rPr>
              <w:t>22</w:t>
            </w:r>
            <w:r>
              <w:rPr>
                <w:sz w:val="18"/>
                <w:szCs w:val="18"/>
              </w:rPr>
              <w:t>.00</w:t>
            </w:r>
          </w:p>
        </w:tc>
        <w:tc>
          <w:tcPr>
            <w:tcW w:w="566" w:type="pct"/>
            <w:shd w:val="clear" w:color="auto" w:fill="auto"/>
            <w:noWrap/>
            <w:vAlign w:val="center"/>
            <w:hideMark/>
          </w:tcPr>
          <w:p w14:paraId="66BE25F0" w14:textId="3C4C2410" w:rsidR="00346C7B" w:rsidRPr="00AD667C" w:rsidRDefault="00346C7B" w:rsidP="00AD667C">
            <w:pPr>
              <w:pStyle w:val="ExhibitText"/>
              <w:jc w:val="right"/>
              <w:rPr>
                <w:sz w:val="18"/>
                <w:szCs w:val="18"/>
              </w:rPr>
            </w:pPr>
            <w:r w:rsidRPr="00AD667C">
              <w:rPr>
                <w:sz w:val="18"/>
                <w:szCs w:val="18"/>
              </w:rPr>
              <w:t>94</w:t>
            </w:r>
            <w:r>
              <w:rPr>
                <w:sz w:val="18"/>
                <w:szCs w:val="18"/>
              </w:rPr>
              <w:t>.00</w:t>
            </w:r>
          </w:p>
        </w:tc>
        <w:tc>
          <w:tcPr>
            <w:tcW w:w="566" w:type="pct"/>
            <w:shd w:val="clear" w:color="auto" w:fill="auto"/>
            <w:noWrap/>
            <w:vAlign w:val="center"/>
            <w:hideMark/>
          </w:tcPr>
          <w:p w14:paraId="27C266D1" w14:textId="4CC8B3C1" w:rsidR="00346C7B" w:rsidRPr="00AD667C" w:rsidRDefault="00346C7B" w:rsidP="00AD667C">
            <w:pPr>
              <w:pStyle w:val="ExhibitText"/>
              <w:jc w:val="right"/>
              <w:rPr>
                <w:sz w:val="18"/>
                <w:szCs w:val="18"/>
              </w:rPr>
            </w:pPr>
            <w:r w:rsidRPr="00AD667C">
              <w:rPr>
                <w:sz w:val="18"/>
                <w:szCs w:val="18"/>
              </w:rPr>
              <w:t>368</w:t>
            </w:r>
            <w:r>
              <w:rPr>
                <w:sz w:val="18"/>
                <w:szCs w:val="18"/>
              </w:rPr>
              <w:t>.00</w:t>
            </w:r>
          </w:p>
        </w:tc>
        <w:tc>
          <w:tcPr>
            <w:tcW w:w="566" w:type="pct"/>
            <w:shd w:val="clear" w:color="auto" w:fill="auto"/>
            <w:noWrap/>
            <w:vAlign w:val="center"/>
            <w:hideMark/>
          </w:tcPr>
          <w:p w14:paraId="67EF38B7" w14:textId="446C47E9" w:rsidR="00346C7B" w:rsidRPr="00AD667C" w:rsidRDefault="00346C7B" w:rsidP="00AD667C">
            <w:pPr>
              <w:pStyle w:val="ExhibitText"/>
              <w:jc w:val="right"/>
              <w:rPr>
                <w:sz w:val="18"/>
                <w:szCs w:val="18"/>
              </w:rPr>
            </w:pPr>
            <w:r w:rsidRPr="00AD667C">
              <w:rPr>
                <w:sz w:val="18"/>
                <w:szCs w:val="18"/>
              </w:rPr>
              <w:t>736</w:t>
            </w:r>
            <w:r>
              <w:rPr>
                <w:sz w:val="18"/>
                <w:szCs w:val="18"/>
              </w:rPr>
              <w:t>.00</w:t>
            </w:r>
          </w:p>
        </w:tc>
      </w:tr>
      <w:tr w:rsidR="00346C7B" w:rsidRPr="00AD667C" w14:paraId="1704E016" w14:textId="77777777" w:rsidTr="00D61FA3">
        <w:trPr>
          <w:trHeight w:val="288"/>
          <w:jc w:val="center"/>
        </w:trPr>
        <w:tc>
          <w:tcPr>
            <w:tcW w:w="1040" w:type="pct"/>
            <w:shd w:val="clear" w:color="auto" w:fill="auto"/>
            <w:noWrap/>
            <w:vAlign w:val="center"/>
            <w:hideMark/>
          </w:tcPr>
          <w:p w14:paraId="73B0D14B" w14:textId="77777777" w:rsidR="00346C7B" w:rsidRPr="00AD667C" w:rsidRDefault="00346C7B" w:rsidP="00AD667C">
            <w:pPr>
              <w:pStyle w:val="ExhibitText"/>
              <w:jc w:val="left"/>
              <w:rPr>
                <w:sz w:val="18"/>
                <w:szCs w:val="18"/>
              </w:rPr>
            </w:pPr>
            <w:r w:rsidRPr="00AD667C">
              <w:rPr>
                <w:sz w:val="18"/>
                <w:szCs w:val="18"/>
              </w:rPr>
              <w:t>Assistant Mechanic</w:t>
            </w:r>
          </w:p>
        </w:tc>
        <w:tc>
          <w:tcPr>
            <w:tcW w:w="566" w:type="pct"/>
            <w:shd w:val="clear" w:color="auto" w:fill="auto"/>
            <w:noWrap/>
            <w:vAlign w:val="center"/>
            <w:hideMark/>
          </w:tcPr>
          <w:p w14:paraId="615A1996" w14:textId="77777777" w:rsidR="00346C7B" w:rsidRPr="00AD667C" w:rsidRDefault="00346C7B" w:rsidP="00AD667C">
            <w:pPr>
              <w:pStyle w:val="ExhibitText"/>
              <w:jc w:val="right"/>
              <w:rPr>
                <w:sz w:val="18"/>
                <w:szCs w:val="18"/>
              </w:rPr>
            </w:pPr>
            <w:r w:rsidRPr="00AD667C">
              <w:rPr>
                <w:sz w:val="18"/>
                <w:szCs w:val="18"/>
              </w:rPr>
              <w:t>2</w:t>
            </w:r>
          </w:p>
        </w:tc>
        <w:tc>
          <w:tcPr>
            <w:tcW w:w="566" w:type="pct"/>
            <w:shd w:val="clear" w:color="auto" w:fill="auto"/>
            <w:noWrap/>
            <w:vAlign w:val="center"/>
            <w:hideMark/>
          </w:tcPr>
          <w:p w14:paraId="55E67682" w14:textId="35FD2F4B" w:rsidR="00346C7B" w:rsidRPr="00AD667C" w:rsidRDefault="00346C7B" w:rsidP="00AD667C">
            <w:pPr>
              <w:pStyle w:val="ExhibitText"/>
              <w:jc w:val="right"/>
              <w:rPr>
                <w:sz w:val="18"/>
                <w:szCs w:val="18"/>
              </w:rPr>
            </w:pPr>
            <w:r w:rsidRPr="00AD667C">
              <w:rPr>
                <w:sz w:val="18"/>
                <w:szCs w:val="18"/>
              </w:rPr>
              <w:t>38</w:t>
            </w:r>
            <w:r>
              <w:rPr>
                <w:sz w:val="18"/>
                <w:szCs w:val="18"/>
              </w:rPr>
              <w:t>.00</w:t>
            </w:r>
          </w:p>
        </w:tc>
        <w:tc>
          <w:tcPr>
            <w:tcW w:w="566" w:type="pct"/>
            <w:shd w:val="clear" w:color="auto" w:fill="auto"/>
            <w:noWrap/>
            <w:vAlign w:val="center"/>
            <w:hideMark/>
          </w:tcPr>
          <w:p w14:paraId="055D3E02" w14:textId="1A3AEA69" w:rsidR="00346C7B" w:rsidRPr="00AD667C" w:rsidRDefault="00346C7B" w:rsidP="00AD667C">
            <w:pPr>
              <w:pStyle w:val="ExhibitText"/>
              <w:jc w:val="right"/>
              <w:rPr>
                <w:sz w:val="18"/>
                <w:szCs w:val="18"/>
              </w:rPr>
            </w:pPr>
            <w:r w:rsidRPr="00AD667C">
              <w:rPr>
                <w:sz w:val="18"/>
                <w:szCs w:val="18"/>
              </w:rPr>
              <w:t>4</w:t>
            </w:r>
            <w:r>
              <w:rPr>
                <w:sz w:val="18"/>
                <w:szCs w:val="18"/>
              </w:rPr>
              <w:t>.00</w:t>
            </w:r>
          </w:p>
        </w:tc>
        <w:tc>
          <w:tcPr>
            <w:tcW w:w="566" w:type="pct"/>
            <w:shd w:val="clear" w:color="auto" w:fill="auto"/>
            <w:noWrap/>
            <w:vAlign w:val="center"/>
            <w:hideMark/>
          </w:tcPr>
          <w:p w14:paraId="652091F7" w14:textId="5B6E9FB3" w:rsidR="00346C7B" w:rsidRPr="00AD667C" w:rsidRDefault="00346C7B" w:rsidP="00AD667C">
            <w:pPr>
              <w:pStyle w:val="ExhibitText"/>
              <w:jc w:val="right"/>
              <w:rPr>
                <w:sz w:val="18"/>
                <w:szCs w:val="18"/>
              </w:rPr>
            </w:pPr>
            <w:r w:rsidRPr="00AD667C">
              <w:rPr>
                <w:sz w:val="18"/>
                <w:szCs w:val="18"/>
              </w:rPr>
              <w:t>3</w:t>
            </w:r>
            <w:r>
              <w:rPr>
                <w:sz w:val="18"/>
                <w:szCs w:val="18"/>
              </w:rPr>
              <w:t>.00</w:t>
            </w:r>
          </w:p>
        </w:tc>
        <w:tc>
          <w:tcPr>
            <w:tcW w:w="566" w:type="pct"/>
            <w:shd w:val="clear" w:color="auto" w:fill="auto"/>
            <w:noWrap/>
            <w:vAlign w:val="center"/>
            <w:hideMark/>
          </w:tcPr>
          <w:p w14:paraId="2D8C9642" w14:textId="77777777" w:rsidR="00346C7B" w:rsidRPr="00AD667C" w:rsidRDefault="00346C7B" w:rsidP="00AD667C">
            <w:pPr>
              <w:pStyle w:val="ExhibitText"/>
              <w:jc w:val="right"/>
              <w:rPr>
                <w:sz w:val="18"/>
                <w:szCs w:val="18"/>
              </w:rPr>
            </w:pPr>
            <w:r w:rsidRPr="00AD667C">
              <w:rPr>
                <w:sz w:val="18"/>
                <w:szCs w:val="18"/>
              </w:rPr>
              <w:t>0</w:t>
            </w:r>
          </w:p>
        </w:tc>
        <w:tc>
          <w:tcPr>
            <w:tcW w:w="566" w:type="pct"/>
            <w:shd w:val="clear" w:color="auto" w:fill="auto"/>
            <w:noWrap/>
            <w:vAlign w:val="center"/>
            <w:hideMark/>
          </w:tcPr>
          <w:p w14:paraId="056D408A" w14:textId="6AF96C1F" w:rsidR="00346C7B" w:rsidRPr="00AD667C" w:rsidRDefault="00346C7B" w:rsidP="00AD667C">
            <w:pPr>
              <w:pStyle w:val="ExhibitText"/>
              <w:jc w:val="right"/>
              <w:rPr>
                <w:sz w:val="18"/>
                <w:szCs w:val="18"/>
              </w:rPr>
            </w:pPr>
            <w:r w:rsidRPr="00AD667C">
              <w:rPr>
                <w:sz w:val="18"/>
                <w:szCs w:val="18"/>
              </w:rPr>
              <w:t>45</w:t>
            </w:r>
            <w:r>
              <w:rPr>
                <w:sz w:val="18"/>
                <w:szCs w:val="18"/>
              </w:rPr>
              <w:t>.00</w:t>
            </w:r>
          </w:p>
        </w:tc>
        <w:tc>
          <w:tcPr>
            <w:tcW w:w="566" w:type="pct"/>
            <w:shd w:val="clear" w:color="auto" w:fill="auto"/>
            <w:noWrap/>
            <w:vAlign w:val="center"/>
            <w:hideMark/>
          </w:tcPr>
          <w:p w14:paraId="4B51AA73" w14:textId="02789590" w:rsidR="00346C7B" w:rsidRPr="00AD667C" w:rsidRDefault="00346C7B" w:rsidP="00AD667C">
            <w:pPr>
              <w:pStyle w:val="ExhibitText"/>
              <w:jc w:val="right"/>
              <w:rPr>
                <w:sz w:val="18"/>
                <w:szCs w:val="18"/>
              </w:rPr>
            </w:pPr>
            <w:r w:rsidRPr="00AD667C">
              <w:rPr>
                <w:sz w:val="18"/>
                <w:szCs w:val="18"/>
              </w:rPr>
              <w:t>90</w:t>
            </w:r>
            <w:r>
              <w:rPr>
                <w:sz w:val="18"/>
                <w:szCs w:val="18"/>
              </w:rPr>
              <w:t>.00</w:t>
            </w:r>
          </w:p>
        </w:tc>
      </w:tr>
      <w:tr w:rsidR="00346C7B" w:rsidRPr="00AD667C" w14:paraId="2BC4FE56" w14:textId="77777777" w:rsidTr="00D61FA3">
        <w:trPr>
          <w:trHeight w:val="288"/>
          <w:jc w:val="center"/>
        </w:trPr>
        <w:tc>
          <w:tcPr>
            <w:tcW w:w="1040" w:type="pct"/>
            <w:shd w:val="clear" w:color="auto" w:fill="auto"/>
            <w:noWrap/>
            <w:vAlign w:val="center"/>
            <w:hideMark/>
          </w:tcPr>
          <w:p w14:paraId="31156B75" w14:textId="77777777" w:rsidR="00346C7B" w:rsidRPr="00AD667C" w:rsidRDefault="00346C7B" w:rsidP="00AD667C">
            <w:pPr>
              <w:pStyle w:val="ExhibitText"/>
              <w:jc w:val="left"/>
              <w:rPr>
                <w:sz w:val="18"/>
                <w:szCs w:val="18"/>
              </w:rPr>
            </w:pPr>
            <w:r w:rsidRPr="00AD667C">
              <w:rPr>
                <w:sz w:val="18"/>
                <w:szCs w:val="18"/>
              </w:rPr>
              <w:t>Motorman (Mechanical)</w:t>
            </w:r>
          </w:p>
        </w:tc>
        <w:tc>
          <w:tcPr>
            <w:tcW w:w="566" w:type="pct"/>
            <w:shd w:val="clear" w:color="auto" w:fill="auto"/>
            <w:noWrap/>
            <w:vAlign w:val="center"/>
            <w:hideMark/>
          </w:tcPr>
          <w:p w14:paraId="1DC83B93" w14:textId="77777777" w:rsidR="00346C7B" w:rsidRPr="00AD667C" w:rsidRDefault="00346C7B" w:rsidP="00AD667C">
            <w:pPr>
              <w:pStyle w:val="ExhibitText"/>
              <w:jc w:val="right"/>
              <w:rPr>
                <w:sz w:val="18"/>
                <w:szCs w:val="18"/>
              </w:rPr>
            </w:pPr>
            <w:r w:rsidRPr="00AD667C">
              <w:rPr>
                <w:sz w:val="18"/>
                <w:szCs w:val="18"/>
              </w:rPr>
              <w:t>3</w:t>
            </w:r>
          </w:p>
        </w:tc>
        <w:tc>
          <w:tcPr>
            <w:tcW w:w="566" w:type="pct"/>
            <w:shd w:val="clear" w:color="auto" w:fill="auto"/>
            <w:noWrap/>
            <w:vAlign w:val="center"/>
            <w:hideMark/>
          </w:tcPr>
          <w:p w14:paraId="5DC7F963" w14:textId="423B1894" w:rsidR="00346C7B" w:rsidRPr="00AD667C" w:rsidRDefault="00346C7B" w:rsidP="00AD667C">
            <w:pPr>
              <w:pStyle w:val="ExhibitText"/>
              <w:jc w:val="right"/>
              <w:rPr>
                <w:sz w:val="18"/>
                <w:szCs w:val="18"/>
              </w:rPr>
            </w:pPr>
            <w:r w:rsidRPr="00AD667C">
              <w:rPr>
                <w:sz w:val="18"/>
                <w:szCs w:val="18"/>
              </w:rPr>
              <w:t>19</w:t>
            </w:r>
            <w:r>
              <w:rPr>
                <w:sz w:val="18"/>
                <w:szCs w:val="18"/>
              </w:rPr>
              <w:t>.00</w:t>
            </w:r>
          </w:p>
        </w:tc>
        <w:tc>
          <w:tcPr>
            <w:tcW w:w="566" w:type="pct"/>
            <w:shd w:val="clear" w:color="auto" w:fill="auto"/>
            <w:noWrap/>
            <w:vAlign w:val="center"/>
            <w:hideMark/>
          </w:tcPr>
          <w:p w14:paraId="5BB722B4" w14:textId="47FB89FD" w:rsidR="00346C7B" w:rsidRPr="00AD667C" w:rsidRDefault="00346C7B" w:rsidP="00AD667C">
            <w:pPr>
              <w:pStyle w:val="ExhibitText"/>
              <w:jc w:val="right"/>
              <w:rPr>
                <w:sz w:val="18"/>
                <w:szCs w:val="18"/>
              </w:rPr>
            </w:pPr>
            <w:r w:rsidRPr="00AD667C">
              <w:rPr>
                <w:sz w:val="18"/>
                <w:szCs w:val="18"/>
              </w:rPr>
              <w:t>4</w:t>
            </w:r>
            <w:r>
              <w:rPr>
                <w:sz w:val="18"/>
                <w:szCs w:val="18"/>
              </w:rPr>
              <w:t>.00</w:t>
            </w:r>
          </w:p>
        </w:tc>
        <w:tc>
          <w:tcPr>
            <w:tcW w:w="566" w:type="pct"/>
            <w:shd w:val="clear" w:color="auto" w:fill="auto"/>
            <w:noWrap/>
            <w:vAlign w:val="center"/>
            <w:hideMark/>
          </w:tcPr>
          <w:p w14:paraId="1BBB4822" w14:textId="3886903A" w:rsidR="00346C7B" w:rsidRPr="00AD667C" w:rsidRDefault="00346C7B" w:rsidP="00AD667C">
            <w:pPr>
              <w:pStyle w:val="ExhibitText"/>
              <w:jc w:val="right"/>
              <w:rPr>
                <w:sz w:val="18"/>
                <w:szCs w:val="18"/>
              </w:rPr>
            </w:pPr>
            <w:r w:rsidRPr="00AD667C">
              <w:rPr>
                <w:sz w:val="18"/>
                <w:szCs w:val="18"/>
              </w:rPr>
              <w:t>1.6</w:t>
            </w:r>
            <w:r>
              <w:rPr>
                <w:sz w:val="18"/>
                <w:szCs w:val="18"/>
              </w:rPr>
              <w:t>0</w:t>
            </w:r>
          </w:p>
        </w:tc>
        <w:tc>
          <w:tcPr>
            <w:tcW w:w="566" w:type="pct"/>
            <w:shd w:val="clear" w:color="auto" w:fill="auto"/>
            <w:noWrap/>
            <w:vAlign w:val="center"/>
            <w:hideMark/>
          </w:tcPr>
          <w:p w14:paraId="7ACAF3AD" w14:textId="77777777" w:rsidR="00346C7B" w:rsidRPr="00AD667C" w:rsidRDefault="00346C7B" w:rsidP="00AD667C">
            <w:pPr>
              <w:pStyle w:val="ExhibitText"/>
              <w:jc w:val="right"/>
              <w:rPr>
                <w:sz w:val="18"/>
                <w:szCs w:val="18"/>
              </w:rPr>
            </w:pPr>
            <w:r w:rsidRPr="00AD667C">
              <w:rPr>
                <w:sz w:val="18"/>
                <w:szCs w:val="18"/>
              </w:rPr>
              <w:t>0</w:t>
            </w:r>
          </w:p>
        </w:tc>
        <w:tc>
          <w:tcPr>
            <w:tcW w:w="566" w:type="pct"/>
            <w:shd w:val="clear" w:color="auto" w:fill="auto"/>
            <w:noWrap/>
            <w:vAlign w:val="center"/>
            <w:hideMark/>
          </w:tcPr>
          <w:p w14:paraId="56F31DF2" w14:textId="516D4B0E" w:rsidR="00346C7B" w:rsidRPr="00AD667C" w:rsidRDefault="00346C7B" w:rsidP="00AD667C">
            <w:pPr>
              <w:pStyle w:val="ExhibitText"/>
              <w:jc w:val="right"/>
              <w:rPr>
                <w:sz w:val="18"/>
                <w:szCs w:val="18"/>
              </w:rPr>
            </w:pPr>
            <w:r w:rsidRPr="00AD667C">
              <w:rPr>
                <w:sz w:val="18"/>
                <w:szCs w:val="18"/>
              </w:rPr>
              <w:t>24.6</w:t>
            </w:r>
            <w:r>
              <w:rPr>
                <w:sz w:val="18"/>
                <w:szCs w:val="18"/>
              </w:rPr>
              <w:t>0</w:t>
            </w:r>
          </w:p>
        </w:tc>
        <w:tc>
          <w:tcPr>
            <w:tcW w:w="566" w:type="pct"/>
            <w:shd w:val="clear" w:color="auto" w:fill="auto"/>
            <w:noWrap/>
            <w:vAlign w:val="center"/>
            <w:hideMark/>
          </w:tcPr>
          <w:p w14:paraId="47D0AE8C" w14:textId="176CC824" w:rsidR="00346C7B" w:rsidRPr="00AD667C" w:rsidRDefault="00346C7B" w:rsidP="00AD667C">
            <w:pPr>
              <w:pStyle w:val="ExhibitText"/>
              <w:jc w:val="right"/>
              <w:rPr>
                <w:sz w:val="18"/>
                <w:szCs w:val="18"/>
              </w:rPr>
            </w:pPr>
            <w:r w:rsidRPr="00AD667C">
              <w:rPr>
                <w:sz w:val="18"/>
                <w:szCs w:val="18"/>
              </w:rPr>
              <w:t>73.8</w:t>
            </w:r>
            <w:r>
              <w:rPr>
                <w:sz w:val="18"/>
                <w:szCs w:val="18"/>
              </w:rPr>
              <w:t>0</w:t>
            </w:r>
          </w:p>
        </w:tc>
      </w:tr>
      <w:tr w:rsidR="00346C7B" w:rsidRPr="00AD667C" w14:paraId="64CC393D" w14:textId="77777777" w:rsidTr="00D61FA3">
        <w:trPr>
          <w:trHeight w:val="288"/>
          <w:jc w:val="center"/>
        </w:trPr>
        <w:tc>
          <w:tcPr>
            <w:tcW w:w="1040" w:type="pct"/>
            <w:shd w:val="clear" w:color="auto" w:fill="auto"/>
            <w:noWrap/>
            <w:vAlign w:val="center"/>
            <w:hideMark/>
          </w:tcPr>
          <w:p w14:paraId="3F5DFC0A" w14:textId="1986FBA7" w:rsidR="00346C7B" w:rsidRPr="00AD667C" w:rsidRDefault="00346C7B" w:rsidP="00AD667C">
            <w:pPr>
              <w:pStyle w:val="ExhibitText"/>
              <w:jc w:val="left"/>
              <w:rPr>
                <w:sz w:val="18"/>
                <w:szCs w:val="18"/>
              </w:rPr>
            </w:pPr>
            <w:r w:rsidRPr="00AD667C">
              <w:rPr>
                <w:sz w:val="18"/>
                <w:szCs w:val="18"/>
              </w:rPr>
              <w:t>Welder</w:t>
            </w:r>
          </w:p>
        </w:tc>
        <w:tc>
          <w:tcPr>
            <w:tcW w:w="566" w:type="pct"/>
            <w:shd w:val="clear" w:color="auto" w:fill="auto"/>
            <w:noWrap/>
            <w:vAlign w:val="center"/>
            <w:hideMark/>
          </w:tcPr>
          <w:p w14:paraId="139ADA76" w14:textId="77777777" w:rsidR="00346C7B" w:rsidRPr="00AD667C" w:rsidRDefault="00346C7B" w:rsidP="00AD667C">
            <w:pPr>
              <w:pStyle w:val="ExhibitText"/>
              <w:jc w:val="right"/>
              <w:rPr>
                <w:sz w:val="18"/>
                <w:szCs w:val="18"/>
              </w:rPr>
            </w:pPr>
            <w:r w:rsidRPr="00AD667C">
              <w:rPr>
                <w:sz w:val="18"/>
                <w:szCs w:val="18"/>
              </w:rPr>
              <w:t>2</w:t>
            </w:r>
          </w:p>
        </w:tc>
        <w:tc>
          <w:tcPr>
            <w:tcW w:w="566" w:type="pct"/>
            <w:shd w:val="clear" w:color="auto" w:fill="auto"/>
            <w:noWrap/>
            <w:vAlign w:val="center"/>
            <w:hideMark/>
          </w:tcPr>
          <w:p w14:paraId="55B53FF3" w14:textId="689A0BD4" w:rsidR="00346C7B" w:rsidRPr="00AD667C" w:rsidRDefault="00346C7B" w:rsidP="00AD667C">
            <w:pPr>
              <w:pStyle w:val="ExhibitText"/>
              <w:jc w:val="right"/>
              <w:rPr>
                <w:sz w:val="18"/>
                <w:szCs w:val="18"/>
              </w:rPr>
            </w:pPr>
            <w:r w:rsidRPr="00AD667C">
              <w:rPr>
                <w:sz w:val="18"/>
                <w:szCs w:val="18"/>
              </w:rPr>
              <w:t>16</w:t>
            </w:r>
            <w:r>
              <w:rPr>
                <w:sz w:val="18"/>
                <w:szCs w:val="18"/>
              </w:rPr>
              <w:t>.00</w:t>
            </w:r>
          </w:p>
        </w:tc>
        <w:tc>
          <w:tcPr>
            <w:tcW w:w="566" w:type="pct"/>
            <w:shd w:val="clear" w:color="auto" w:fill="auto"/>
            <w:noWrap/>
            <w:vAlign w:val="center"/>
            <w:hideMark/>
          </w:tcPr>
          <w:p w14:paraId="25633129" w14:textId="402B6BAE" w:rsidR="00346C7B" w:rsidRPr="00AD667C" w:rsidRDefault="00346C7B" w:rsidP="00AD667C">
            <w:pPr>
              <w:pStyle w:val="ExhibitText"/>
              <w:jc w:val="right"/>
              <w:rPr>
                <w:sz w:val="18"/>
                <w:szCs w:val="18"/>
              </w:rPr>
            </w:pPr>
            <w:r w:rsidRPr="00AD667C">
              <w:rPr>
                <w:sz w:val="18"/>
                <w:szCs w:val="18"/>
              </w:rPr>
              <w:t>4</w:t>
            </w:r>
            <w:r>
              <w:rPr>
                <w:sz w:val="18"/>
                <w:szCs w:val="18"/>
              </w:rPr>
              <w:t>.00</w:t>
            </w:r>
          </w:p>
        </w:tc>
        <w:tc>
          <w:tcPr>
            <w:tcW w:w="566" w:type="pct"/>
            <w:shd w:val="clear" w:color="auto" w:fill="auto"/>
            <w:noWrap/>
            <w:vAlign w:val="center"/>
            <w:hideMark/>
          </w:tcPr>
          <w:p w14:paraId="6961AA3D" w14:textId="5C363606" w:rsidR="00346C7B" w:rsidRPr="00AD667C" w:rsidRDefault="00346C7B" w:rsidP="00AD667C">
            <w:pPr>
              <w:pStyle w:val="ExhibitText"/>
              <w:jc w:val="right"/>
              <w:rPr>
                <w:sz w:val="18"/>
                <w:szCs w:val="18"/>
              </w:rPr>
            </w:pPr>
            <w:r w:rsidRPr="00AD667C">
              <w:rPr>
                <w:sz w:val="18"/>
                <w:szCs w:val="18"/>
              </w:rPr>
              <w:t>1.8</w:t>
            </w:r>
            <w:r>
              <w:rPr>
                <w:sz w:val="18"/>
                <w:szCs w:val="18"/>
              </w:rPr>
              <w:t>0</w:t>
            </w:r>
          </w:p>
        </w:tc>
        <w:tc>
          <w:tcPr>
            <w:tcW w:w="566" w:type="pct"/>
            <w:shd w:val="clear" w:color="auto" w:fill="auto"/>
            <w:noWrap/>
            <w:vAlign w:val="center"/>
            <w:hideMark/>
          </w:tcPr>
          <w:p w14:paraId="62CCD6C7" w14:textId="77777777" w:rsidR="00346C7B" w:rsidRPr="00AD667C" w:rsidRDefault="00346C7B" w:rsidP="00AD667C">
            <w:pPr>
              <w:pStyle w:val="ExhibitText"/>
              <w:jc w:val="right"/>
              <w:rPr>
                <w:sz w:val="18"/>
                <w:szCs w:val="18"/>
              </w:rPr>
            </w:pPr>
            <w:r w:rsidRPr="00AD667C">
              <w:rPr>
                <w:sz w:val="18"/>
                <w:szCs w:val="18"/>
              </w:rPr>
              <w:t>0</w:t>
            </w:r>
          </w:p>
        </w:tc>
        <w:tc>
          <w:tcPr>
            <w:tcW w:w="566" w:type="pct"/>
            <w:shd w:val="clear" w:color="auto" w:fill="auto"/>
            <w:noWrap/>
            <w:vAlign w:val="center"/>
            <w:hideMark/>
          </w:tcPr>
          <w:p w14:paraId="67586A5B" w14:textId="36DC9796" w:rsidR="00346C7B" w:rsidRPr="00AD667C" w:rsidRDefault="00346C7B" w:rsidP="00AD667C">
            <w:pPr>
              <w:pStyle w:val="ExhibitText"/>
              <w:jc w:val="right"/>
              <w:rPr>
                <w:sz w:val="18"/>
                <w:szCs w:val="18"/>
              </w:rPr>
            </w:pPr>
            <w:r w:rsidRPr="00AD667C">
              <w:rPr>
                <w:sz w:val="18"/>
                <w:szCs w:val="18"/>
              </w:rPr>
              <w:t>21.8</w:t>
            </w:r>
            <w:r>
              <w:rPr>
                <w:sz w:val="18"/>
                <w:szCs w:val="18"/>
              </w:rPr>
              <w:t>0</w:t>
            </w:r>
          </w:p>
        </w:tc>
        <w:tc>
          <w:tcPr>
            <w:tcW w:w="566" w:type="pct"/>
            <w:shd w:val="clear" w:color="auto" w:fill="auto"/>
            <w:noWrap/>
            <w:vAlign w:val="center"/>
            <w:hideMark/>
          </w:tcPr>
          <w:p w14:paraId="45F50BA3" w14:textId="06F4A602" w:rsidR="00346C7B" w:rsidRPr="00AD667C" w:rsidRDefault="00346C7B" w:rsidP="00AD667C">
            <w:pPr>
              <w:pStyle w:val="ExhibitText"/>
              <w:jc w:val="right"/>
              <w:rPr>
                <w:sz w:val="18"/>
                <w:szCs w:val="18"/>
              </w:rPr>
            </w:pPr>
            <w:r w:rsidRPr="00AD667C">
              <w:rPr>
                <w:sz w:val="18"/>
                <w:szCs w:val="18"/>
              </w:rPr>
              <w:t>43.6</w:t>
            </w:r>
            <w:r>
              <w:rPr>
                <w:sz w:val="18"/>
                <w:szCs w:val="18"/>
              </w:rPr>
              <w:t>0</w:t>
            </w:r>
          </w:p>
        </w:tc>
      </w:tr>
      <w:tr w:rsidR="00346C7B" w:rsidRPr="00AD667C" w14:paraId="6E0425CC" w14:textId="77777777" w:rsidTr="00D61FA3">
        <w:trPr>
          <w:trHeight w:val="288"/>
          <w:jc w:val="center"/>
        </w:trPr>
        <w:tc>
          <w:tcPr>
            <w:tcW w:w="1040" w:type="pct"/>
            <w:shd w:val="clear" w:color="auto" w:fill="auto"/>
            <w:noWrap/>
            <w:vAlign w:val="center"/>
            <w:hideMark/>
          </w:tcPr>
          <w:p w14:paraId="09BCCEE0" w14:textId="77777777" w:rsidR="00346C7B" w:rsidRPr="00AD667C" w:rsidRDefault="00346C7B" w:rsidP="00AD667C">
            <w:pPr>
              <w:pStyle w:val="ExhibitText"/>
              <w:jc w:val="left"/>
              <w:rPr>
                <w:sz w:val="18"/>
                <w:szCs w:val="18"/>
              </w:rPr>
            </w:pPr>
            <w:r w:rsidRPr="00AD667C">
              <w:rPr>
                <w:sz w:val="18"/>
                <w:szCs w:val="18"/>
              </w:rPr>
              <w:t>Crane Operator</w:t>
            </w:r>
          </w:p>
        </w:tc>
        <w:tc>
          <w:tcPr>
            <w:tcW w:w="566" w:type="pct"/>
            <w:shd w:val="clear" w:color="auto" w:fill="auto"/>
            <w:noWrap/>
            <w:vAlign w:val="center"/>
            <w:hideMark/>
          </w:tcPr>
          <w:p w14:paraId="2B592890" w14:textId="77777777" w:rsidR="00346C7B" w:rsidRPr="00AD667C" w:rsidRDefault="00346C7B" w:rsidP="00AD667C">
            <w:pPr>
              <w:pStyle w:val="ExhibitText"/>
              <w:jc w:val="right"/>
              <w:rPr>
                <w:sz w:val="18"/>
                <w:szCs w:val="18"/>
              </w:rPr>
            </w:pPr>
            <w:r w:rsidRPr="00AD667C">
              <w:rPr>
                <w:sz w:val="18"/>
                <w:szCs w:val="18"/>
              </w:rPr>
              <w:t>3</w:t>
            </w:r>
          </w:p>
        </w:tc>
        <w:tc>
          <w:tcPr>
            <w:tcW w:w="566" w:type="pct"/>
            <w:shd w:val="clear" w:color="auto" w:fill="auto"/>
            <w:noWrap/>
            <w:vAlign w:val="center"/>
            <w:hideMark/>
          </w:tcPr>
          <w:p w14:paraId="46994607" w14:textId="5CF2F586" w:rsidR="00346C7B" w:rsidRPr="00AD667C" w:rsidRDefault="00346C7B" w:rsidP="00AD667C">
            <w:pPr>
              <w:pStyle w:val="ExhibitText"/>
              <w:jc w:val="right"/>
              <w:rPr>
                <w:sz w:val="18"/>
                <w:szCs w:val="18"/>
              </w:rPr>
            </w:pPr>
            <w:r w:rsidRPr="00AD667C">
              <w:rPr>
                <w:sz w:val="18"/>
                <w:szCs w:val="18"/>
              </w:rPr>
              <w:t>18</w:t>
            </w:r>
            <w:r>
              <w:rPr>
                <w:sz w:val="18"/>
                <w:szCs w:val="18"/>
              </w:rPr>
              <w:t>.00</w:t>
            </w:r>
          </w:p>
        </w:tc>
        <w:tc>
          <w:tcPr>
            <w:tcW w:w="566" w:type="pct"/>
            <w:shd w:val="clear" w:color="auto" w:fill="auto"/>
            <w:noWrap/>
            <w:vAlign w:val="center"/>
            <w:hideMark/>
          </w:tcPr>
          <w:p w14:paraId="012066F8" w14:textId="4ACAA795" w:rsidR="00346C7B" w:rsidRPr="00AD667C" w:rsidRDefault="00346C7B" w:rsidP="00AD667C">
            <w:pPr>
              <w:pStyle w:val="ExhibitText"/>
              <w:jc w:val="right"/>
              <w:rPr>
                <w:sz w:val="18"/>
                <w:szCs w:val="18"/>
              </w:rPr>
            </w:pPr>
            <w:r w:rsidRPr="00AD667C">
              <w:rPr>
                <w:sz w:val="18"/>
                <w:szCs w:val="18"/>
              </w:rPr>
              <w:t>4</w:t>
            </w:r>
            <w:r>
              <w:rPr>
                <w:sz w:val="18"/>
                <w:szCs w:val="18"/>
              </w:rPr>
              <w:t>.00</w:t>
            </w:r>
          </w:p>
        </w:tc>
        <w:tc>
          <w:tcPr>
            <w:tcW w:w="566" w:type="pct"/>
            <w:shd w:val="clear" w:color="auto" w:fill="auto"/>
            <w:noWrap/>
            <w:vAlign w:val="center"/>
            <w:hideMark/>
          </w:tcPr>
          <w:p w14:paraId="531AE533" w14:textId="5001BCE9" w:rsidR="00346C7B" w:rsidRPr="00AD667C" w:rsidRDefault="00346C7B" w:rsidP="00AD667C">
            <w:pPr>
              <w:pStyle w:val="ExhibitText"/>
              <w:jc w:val="right"/>
              <w:rPr>
                <w:sz w:val="18"/>
                <w:szCs w:val="18"/>
              </w:rPr>
            </w:pPr>
            <w:r w:rsidRPr="00AD667C">
              <w:rPr>
                <w:sz w:val="18"/>
                <w:szCs w:val="18"/>
              </w:rPr>
              <w:t>1.8</w:t>
            </w:r>
            <w:r>
              <w:rPr>
                <w:sz w:val="18"/>
                <w:szCs w:val="18"/>
              </w:rPr>
              <w:t>0</w:t>
            </w:r>
          </w:p>
        </w:tc>
        <w:tc>
          <w:tcPr>
            <w:tcW w:w="566" w:type="pct"/>
            <w:shd w:val="clear" w:color="auto" w:fill="auto"/>
            <w:noWrap/>
            <w:vAlign w:val="center"/>
            <w:hideMark/>
          </w:tcPr>
          <w:p w14:paraId="49D7BCB4" w14:textId="77777777" w:rsidR="00346C7B" w:rsidRPr="00AD667C" w:rsidRDefault="00346C7B" w:rsidP="00AD667C">
            <w:pPr>
              <w:pStyle w:val="ExhibitText"/>
              <w:jc w:val="right"/>
              <w:rPr>
                <w:sz w:val="18"/>
                <w:szCs w:val="18"/>
              </w:rPr>
            </w:pPr>
            <w:r w:rsidRPr="00AD667C">
              <w:rPr>
                <w:sz w:val="18"/>
                <w:szCs w:val="18"/>
              </w:rPr>
              <w:t>0</w:t>
            </w:r>
          </w:p>
        </w:tc>
        <w:tc>
          <w:tcPr>
            <w:tcW w:w="566" w:type="pct"/>
            <w:shd w:val="clear" w:color="auto" w:fill="auto"/>
            <w:noWrap/>
            <w:vAlign w:val="center"/>
            <w:hideMark/>
          </w:tcPr>
          <w:p w14:paraId="746F2F43" w14:textId="3D254776" w:rsidR="00346C7B" w:rsidRPr="00AD667C" w:rsidRDefault="00346C7B" w:rsidP="00AD667C">
            <w:pPr>
              <w:pStyle w:val="ExhibitText"/>
              <w:jc w:val="right"/>
              <w:rPr>
                <w:sz w:val="18"/>
                <w:szCs w:val="18"/>
              </w:rPr>
            </w:pPr>
            <w:r w:rsidRPr="00AD667C">
              <w:rPr>
                <w:sz w:val="18"/>
                <w:szCs w:val="18"/>
              </w:rPr>
              <w:t>23.8</w:t>
            </w:r>
            <w:r>
              <w:rPr>
                <w:sz w:val="18"/>
                <w:szCs w:val="18"/>
              </w:rPr>
              <w:t>0</w:t>
            </w:r>
          </w:p>
        </w:tc>
        <w:tc>
          <w:tcPr>
            <w:tcW w:w="566" w:type="pct"/>
            <w:shd w:val="clear" w:color="auto" w:fill="auto"/>
            <w:noWrap/>
            <w:vAlign w:val="center"/>
            <w:hideMark/>
          </w:tcPr>
          <w:p w14:paraId="6875106D" w14:textId="0384333E" w:rsidR="00346C7B" w:rsidRPr="00AD667C" w:rsidRDefault="00346C7B" w:rsidP="00AD667C">
            <w:pPr>
              <w:pStyle w:val="ExhibitText"/>
              <w:jc w:val="right"/>
              <w:rPr>
                <w:sz w:val="18"/>
                <w:szCs w:val="18"/>
              </w:rPr>
            </w:pPr>
            <w:r w:rsidRPr="00AD667C">
              <w:rPr>
                <w:sz w:val="18"/>
                <w:szCs w:val="18"/>
              </w:rPr>
              <w:t>71.4</w:t>
            </w:r>
            <w:r>
              <w:rPr>
                <w:sz w:val="18"/>
                <w:szCs w:val="18"/>
              </w:rPr>
              <w:t>0</w:t>
            </w:r>
          </w:p>
        </w:tc>
      </w:tr>
      <w:tr w:rsidR="00346C7B" w:rsidRPr="00AD667C" w14:paraId="5839F1BA" w14:textId="77777777" w:rsidTr="00D61FA3">
        <w:trPr>
          <w:trHeight w:val="288"/>
          <w:jc w:val="center"/>
        </w:trPr>
        <w:tc>
          <w:tcPr>
            <w:tcW w:w="1040" w:type="pct"/>
            <w:shd w:val="clear" w:color="auto" w:fill="auto"/>
            <w:noWrap/>
            <w:vAlign w:val="center"/>
            <w:hideMark/>
          </w:tcPr>
          <w:p w14:paraId="302AFB25" w14:textId="77777777" w:rsidR="00346C7B" w:rsidRPr="00AD667C" w:rsidRDefault="00346C7B" w:rsidP="00AD667C">
            <w:pPr>
              <w:pStyle w:val="ExhibitText"/>
              <w:jc w:val="left"/>
              <w:rPr>
                <w:sz w:val="18"/>
                <w:szCs w:val="18"/>
              </w:rPr>
            </w:pPr>
            <w:r w:rsidRPr="00AD667C">
              <w:rPr>
                <w:sz w:val="18"/>
                <w:szCs w:val="18"/>
              </w:rPr>
              <w:t>Forklift Operator</w:t>
            </w:r>
          </w:p>
        </w:tc>
        <w:tc>
          <w:tcPr>
            <w:tcW w:w="566" w:type="pct"/>
            <w:shd w:val="clear" w:color="auto" w:fill="auto"/>
            <w:noWrap/>
            <w:vAlign w:val="center"/>
            <w:hideMark/>
          </w:tcPr>
          <w:p w14:paraId="7BF193FA" w14:textId="77777777" w:rsidR="00346C7B" w:rsidRPr="00AD667C" w:rsidRDefault="00346C7B" w:rsidP="00AD667C">
            <w:pPr>
              <w:pStyle w:val="ExhibitText"/>
              <w:jc w:val="right"/>
              <w:rPr>
                <w:sz w:val="18"/>
                <w:szCs w:val="18"/>
              </w:rPr>
            </w:pPr>
            <w:r w:rsidRPr="00AD667C">
              <w:rPr>
                <w:sz w:val="18"/>
                <w:szCs w:val="18"/>
              </w:rPr>
              <w:t>3</w:t>
            </w:r>
          </w:p>
        </w:tc>
        <w:tc>
          <w:tcPr>
            <w:tcW w:w="566" w:type="pct"/>
            <w:shd w:val="clear" w:color="auto" w:fill="auto"/>
            <w:noWrap/>
            <w:vAlign w:val="center"/>
            <w:hideMark/>
          </w:tcPr>
          <w:p w14:paraId="519979FE" w14:textId="15D7CCF6" w:rsidR="00346C7B" w:rsidRPr="00AD667C" w:rsidRDefault="00346C7B" w:rsidP="00AD667C">
            <w:pPr>
              <w:pStyle w:val="ExhibitText"/>
              <w:jc w:val="right"/>
              <w:rPr>
                <w:sz w:val="18"/>
                <w:szCs w:val="18"/>
              </w:rPr>
            </w:pPr>
            <w:r w:rsidRPr="00AD667C">
              <w:rPr>
                <w:sz w:val="18"/>
                <w:szCs w:val="18"/>
              </w:rPr>
              <w:t>15</w:t>
            </w:r>
            <w:r>
              <w:rPr>
                <w:sz w:val="18"/>
                <w:szCs w:val="18"/>
              </w:rPr>
              <w:t>.00</w:t>
            </w:r>
          </w:p>
        </w:tc>
        <w:tc>
          <w:tcPr>
            <w:tcW w:w="566" w:type="pct"/>
            <w:shd w:val="clear" w:color="auto" w:fill="auto"/>
            <w:noWrap/>
            <w:vAlign w:val="center"/>
            <w:hideMark/>
          </w:tcPr>
          <w:p w14:paraId="07E9E004" w14:textId="621ED723" w:rsidR="00346C7B" w:rsidRPr="00AD667C" w:rsidRDefault="00346C7B" w:rsidP="00AD667C">
            <w:pPr>
              <w:pStyle w:val="ExhibitText"/>
              <w:jc w:val="right"/>
              <w:rPr>
                <w:sz w:val="18"/>
                <w:szCs w:val="18"/>
              </w:rPr>
            </w:pPr>
            <w:r w:rsidRPr="00AD667C">
              <w:rPr>
                <w:sz w:val="18"/>
                <w:szCs w:val="18"/>
              </w:rPr>
              <w:t>4</w:t>
            </w:r>
            <w:r>
              <w:rPr>
                <w:sz w:val="18"/>
                <w:szCs w:val="18"/>
              </w:rPr>
              <w:t>.00</w:t>
            </w:r>
          </w:p>
        </w:tc>
        <w:tc>
          <w:tcPr>
            <w:tcW w:w="566" w:type="pct"/>
            <w:shd w:val="clear" w:color="auto" w:fill="auto"/>
            <w:noWrap/>
            <w:vAlign w:val="center"/>
            <w:hideMark/>
          </w:tcPr>
          <w:p w14:paraId="3243ABA8" w14:textId="6CE8AE44" w:rsidR="00346C7B" w:rsidRPr="00AD667C" w:rsidRDefault="00346C7B" w:rsidP="00AD667C">
            <w:pPr>
              <w:pStyle w:val="ExhibitText"/>
              <w:jc w:val="right"/>
              <w:rPr>
                <w:sz w:val="18"/>
                <w:szCs w:val="18"/>
              </w:rPr>
            </w:pPr>
            <w:r w:rsidRPr="00AD667C">
              <w:rPr>
                <w:sz w:val="18"/>
                <w:szCs w:val="18"/>
              </w:rPr>
              <w:t>2.2</w:t>
            </w:r>
            <w:r>
              <w:rPr>
                <w:sz w:val="18"/>
                <w:szCs w:val="18"/>
              </w:rPr>
              <w:t>0</w:t>
            </w:r>
          </w:p>
        </w:tc>
        <w:tc>
          <w:tcPr>
            <w:tcW w:w="566" w:type="pct"/>
            <w:shd w:val="clear" w:color="auto" w:fill="auto"/>
            <w:noWrap/>
            <w:vAlign w:val="center"/>
            <w:hideMark/>
          </w:tcPr>
          <w:p w14:paraId="691D1A54" w14:textId="77777777" w:rsidR="00346C7B" w:rsidRPr="00AD667C" w:rsidRDefault="00346C7B" w:rsidP="00AD667C">
            <w:pPr>
              <w:pStyle w:val="ExhibitText"/>
              <w:jc w:val="right"/>
              <w:rPr>
                <w:sz w:val="18"/>
                <w:szCs w:val="18"/>
              </w:rPr>
            </w:pPr>
            <w:r w:rsidRPr="00AD667C">
              <w:rPr>
                <w:sz w:val="18"/>
                <w:szCs w:val="18"/>
              </w:rPr>
              <w:t>0</w:t>
            </w:r>
          </w:p>
        </w:tc>
        <w:tc>
          <w:tcPr>
            <w:tcW w:w="566" w:type="pct"/>
            <w:shd w:val="clear" w:color="auto" w:fill="auto"/>
            <w:noWrap/>
            <w:vAlign w:val="center"/>
            <w:hideMark/>
          </w:tcPr>
          <w:p w14:paraId="1C88019A" w14:textId="290CB83E" w:rsidR="00346C7B" w:rsidRPr="00AD667C" w:rsidRDefault="00346C7B" w:rsidP="00AD667C">
            <w:pPr>
              <w:pStyle w:val="ExhibitText"/>
              <w:jc w:val="right"/>
              <w:rPr>
                <w:sz w:val="18"/>
                <w:szCs w:val="18"/>
              </w:rPr>
            </w:pPr>
            <w:r w:rsidRPr="00AD667C">
              <w:rPr>
                <w:sz w:val="18"/>
                <w:szCs w:val="18"/>
              </w:rPr>
              <w:t>21.2</w:t>
            </w:r>
            <w:r>
              <w:rPr>
                <w:sz w:val="18"/>
                <w:szCs w:val="18"/>
              </w:rPr>
              <w:t>0</w:t>
            </w:r>
          </w:p>
        </w:tc>
        <w:tc>
          <w:tcPr>
            <w:tcW w:w="566" w:type="pct"/>
            <w:shd w:val="clear" w:color="auto" w:fill="auto"/>
            <w:noWrap/>
            <w:vAlign w:val="center"/>
            <w:hideMark/>
          </w:tcPr>
          <w:p w14:paraId="28B238CE" w14:textId="08AB26F7" w:rsidR="00346C7B" w:rsidRPr="00AD667C" w:rsidRDefault="00346C7B" w:rsidP="00AD667C">
            <w:pPr>
              <w:pStyle w:val="ExhibitText"/>
              <w:jc w:val="right"/>
              <w:rPr>
                <w:sz w:val="18"/>
                <w:szCs w:val="18"/>
              </w:rPr>
            </w:pPr>
            <w:r w:rsidRPr="00AD667C">
              <w:rPr>
                <w:sz w:val="18"/>
                <w:szCs w:val="18"/>
              </w:rPr>
              <w:t>63.6</w:t>
            </w:r>
            <w:r>
              <w:rPr>
                <w:sz w:val="18"/>
                <w:szCs w:val="18"/>
              </w:rPr>
              <w:t>0</w:t>
            </w:r>
          </w:p>
        </w:tc>
      </w:tr>
      <w:tr w:rsidR="00346C7B" w:rsidRPr="00AD667C" w14:paraId="7223F238" w14:textId="77777777" w:rsidTr="00D61FA3">
        <w:trPr>
          <w:trHeight w:val="288"/>
          <w:jc w:val="center"/>
        </w:trPr>
        <w:tc>
          <w:tcPr>
            <w:tcW w:w="1040" w:type="pct"/>
            <w:shd w:val="clear" w:color="auto" w:fill="auto"/>
            <w:noWrap/>
            <w:vAlign w:val="center"/>
            <w:hideMark/>
          </w:tcPr>
          <w:p w14:paraId="41FB63EE" w14:textId="6A71011E" w:rsidR="00346C7B" w:rsidRPr="00AD667C" w:rsidRDefault="00346C7B" w:rsidP="00AD667C">
            <w:pPr>
              <w:pStyle w:val="ExhibitText"/>
              <w:jc w:val="left"/>
              <w:rPr>
                <w:sz w:val="18"/>
                <w:szCs w:val="18"/>
              </w:rPr>
            </w:pPr>
            <w:r w:rsidRPr="00AD667C">
              <w:rPr>
                <w:sz w:val="18"/>
                <w:szCs w:val="18"/>
              </w:rPr>
              <w:t>Driver</w:t>
            </w:r>
          </w:p>
        </w:tc>
        <w:tc>
          <w:tcPr>
            <w:tcW w:w="566" w:type="pct"/>
            <w:shd w:val="clear" w:color="auto" w:fill="auto"/>
            <w:noWrap/>
            <w:vAlign w:val="center"/>
            <w:hideMark/>
          </w:tcPr>
          <w:p w14:paraId="643588DC" w14:textId="77777777" w:rsidR="00346C7B" w:rsidRPr="00AD667C" w:rsidRDefault="00346C7B" w:rsidP="00AD667C">
            <w:pPr>
              <w:pStyle w:val="ExhibitText"/>
              <w:jc w:val="right"/>
              <w:rPr>
                <w:sz w:val="18"/>
                <w:szCs w:val="18"/>
              </w:rPr>
            </w:pPr>
            <w:r w:rsidRPr="00AD667C">
              <w:rPr>
                <w:sz w:val="18"/>
                <w:szCs w:val="18"/>
              </w:rPr>
              <w:t>3</w:t>
            </w:r>
          </w:p>
        </w:tc>
        <w:tc>
          <w:tcPr>
            <w:tcW w:w="566" w:type="pct"/>
            <w:shd w:val="clear" w:color="auto" w:fill="auto"/>
            <w:noWrap/>
            <w:vAlign w:val="center"/>
            <w:hideMark/>
          </w:tcPr>
          <w:p w14:paraId="7716138A" w14:textId="1398FB40" w:rsidR="00346C7B" w:rsidRPr="00AD667C" w:rsidRDefault="00346C7B" w:rsidP="00AD667C">
            <w:pPr>
              <w:pStyle w:val="ExhibitText"/>
              <w:jc w:val="right"/>
              <w:rPr>
                <w:sz w:val="18"/>
                <w:szCs w:val="18"/>
              </w:rPr>
            </w:pPr>
            <w:r w:rsidRPr="00AD667C">
              <w:rPr>
                <w:sz w:val="18"/>
                <w:szCs w:val="18"/>
              </w:rPr>
              <w:t>12</w:t>
            </w:r>
            <w:r>
              <w:rPr>
                <w:sz w:val="18"/>
                <w:szCs w:val="18"/>
              </w:rPr>
              <w:t>.00</w:t>
            </w:r>
          </w:p>
        </w:tc>
        <w:tc>
          <w:tcPr>
            <w:tcW w:w="566" w:type="pct"/>
            <w:shd w:val="clear" w:color="auto" w:fill="auto"/>
            <w:noWrap/>
            <w:vAlign w:val="center"/>
            <w:hideMark/>
          </w:tcPr>
          <w:p w14:paraId="24F880F5" w14:textId="691B8ABC" w:rsidR="00346C7B" w:rsidRPr="00AD667C" w:rsidRDefault="00346C7B" w:rsidP="00AD667C">
            <w:pPr>
              <w:pStyle w:val="ExhibitText"/>
              <w:jc w:val="right"/>
              <w:rPr>
                <w:sz w:val="18"/>
                <w:szCs w:val="18"/>
              </w:rPr>
            </w:pPr>
            <w:r w:rsidRPr="00AD667C">
              <w:rPr>
                <w:sz w:val="18"/>
                <w:szCs w:val="18"/>
              </w:rPr>
              <w:t>4</w:t>
            </w:r>
            <w:r>
              <w:rPr>
                <w:sz w:val="18"/>
                <w:szCs w:val="18"/>
              </w:rPr>
              <w:t>.00</w:t>
            </w:r>
          </w:p>
        </w:tc>
        <w:tc>
          <w:tcPr>
            <w:tcW w:w="566" w:type="pct"/>
            <w:shd w:val="clear" w:color="auto" w:fill="auto"/>
            <w:noWrap/>
            <w:vAlign w:val="center"/>
            <w:hideMark/>
          </w:tcPr>
          <w:p w14:paraId="6C77F92A" w14:textId="0401A742" w:rsidR="00346C7B" w:rsidRPr="00AD667C" w:rsidRDefault="00346C7B" w:rsidP="00AD667C">
            <w:pPr>
              <w:pStyle w:val="ExhibitText"/>
              <w:jc w:val="right"/>
              <w:rPr>
                <w:sz w:val="18"/>
                <w:szCs w:val="18"/>
              </w:rPr>
            </w:pPr>
            <w:r w:rsidRPr="00AD667C">
              <w:rPr>
                <w:sz w:val="18"/>
                <w:szCs w:val="18"/>
              </w:rPr>
              <w:t>1.5</w:t>
            </w:r>
            <w:r>
              <w:rPr>
                <w:sz w:val="18"/>
                <w:szCs w:val="18"/>
              </w:rPr>
              <w:t>0</w:t>
            </w:r>
          </w:p>
        </w:tc>
        <w:tc>
          <w:tcPr>
            <w:tcW w:w="566" w:type="pct"/>
            <w:shd w:val="clear" w:color="auto" w:fill="auto"/>
            <w:noWrap/>
            <w:vAlign w:val="center"/>
            <w:hideMark/>
          </w:tcPr>
          <w:p w14:paraId="519EA902" w14:textId="77777777" w:rsidR="00346C7B" w:rsidRPr="00AD667C" w:rsidRDefault="00346C7B" w:rsidP="00AD667C">
            <w:pPr>
              <w:pStyle w:val="ExhibitText"/>
              <w:jc w:val="right"/>
              <w:rPr>
                <w:sz w:val="18"/>
                <w:szCs w:val="18"/>
              </w:rPr>
            </w:pPr>
            <w:r w:rsidRPr="00AD667C">
              <w:rPr>
                <w:sz w:val="18"/>
                <w:szCs w:val="18"/>
              </w:rPr>
              <w:t>0</w:t>
            </w:r>
          </w:p>
        </w:tc>
        <w:tc>
          <w:tcPr>
            <w:tcW w:w="566" w:type="pct"/>
            <w:shd w:val="clear" w:color="auto" w:fill="auto"/>
            <w:noWrap/>
            <w:vAlign w:val="center"/>
            <w:hideMark/>
          </w:tcPr>
          <w:p w14:paraId="4EC6892B" w14:textId="33E926E5" w:rsidR="00346C7B" w:rsidRPr="00AD667C" w:rsidRDefault="00346C7B" w:rsidP="00AD667C">
            <w:pPr>
              <w:pStyle w:val="ExhibitText"/>
              <w:jc w:val="right"/>
              <w:rPr>
                <w:sz w:val="18"/>
                <w:szCs w:val="18"/>
              </w:rPr>
            </w:pPr>
            <w:r w:rsidRPr="00AD667C">
              <w:rPr>
                <w:sz w:val="18"/>
                <w:szCs w:val="18"/>
              </w:rPr>
              <w:t>17.5</w:t>
            </w:r>
            <w:r>
              <w:rPr>
                <w:sz w:val="18"/>
                <w:szCs w:val="18"/>
              </w:rPr>
              <w:t>0</w:t>
            </w:r>
          </w:p>
        </w:tc>
        <w:tc>
          <w:tcPr>
            <w:tcW w:w="566" w:type="pct"/>
            <w:shd w:val="clear" w:color="auto" w:fill="auto"/>
            <w:noWrap/>
            <w:vAlign w:val="center"/>
            <w:hideMark/>
          </w:tcPr>
          <w:p w14:paraId="31890F7D" w14:textId="7344FCAF" w:rsidR="00346C7B" w:rsidRPr="00AD667C" w:rsidRDefault="00346C7B" w:rsidP="00AD667C">
            <w:pPr>
              <w:pStyle w:val="ExhibitText"/>
              <w:jc w:val="right"/>
              <w:rPr>
                <w:sz w:val="18"/>
                <w:szCs w:val="18"/>
              </w:rPr>
            </w:pPr>
            <w:r w:rsidRPr="00AD667C">
              <w:rPr>
                <w:sz w:val="18"/>
                <w:szCs w:val="18"/>
              </w:rPr>
              <w:t>52.5</w:t>
            </w:r>
            <w:r>
              <w:rPr>
                <w:sz w:val="18"/>
                <w:szCs w:val="18"/>
              </w:rPr>
              <w:t>0</w:t>
            </w:r>
          </w:p>
        </w:tc>
      </w:tr>
      <w:tr w:rsidR="00346C7B" w:rsidRPr="00AD667C" w14:paraId="024740C0" w14:textId="77777777" w:rsidTr="00D61FA3">
        <w:trPr>
          <w:trHeight w:val="288"/>
          <w:jc w:val="center"/>
        </w:trPr>
        <w:tc>
          <w:tcPr>
            <w:tcW w:w="1040" w:type="pct"/>
            <w:shd w:val="clear" w:color="auto" w:fill="auto"/>
            <w:noWrap/>
            <w:vAlign w:val="center"/>
            <w:hideMark/>
          </w:tcPr>
          <w:p w14:paraId="681036F1" w14:textId="77777777" w:rsidR="00346C7B" w:rsidRPr="00AD667C" w:rsidRDefault="00346C7B" w:rsidP="00AD667C">
            <w:pPr>
              <w:pStyle w:val="ExhibitText"/>
              <w:jc w:val="left"/>
              <w:rPr>
                <w:sz w:val="18"/>
                <w:szCs w:val="18"/>
              </w:rPr>
            </w:pPr>
            <w:r w:rsidRPr="00AD667C">
              <w:rPr>
                <w:sz w:val="18"/>
                <w:szCs w:val="18"/>
              </w:rPr>
              <w:t>Doctor</w:t>
            </w:r>
          </w:p>
        </w:tc>
        <w:tc>
          <w:tcPr>
            <w:tcW w:w="566" w:type="pct"/>
            <w:shd w:val="clear" w:color="auto" w:fill="auto"/>
            <w:noWrap/>
            <w:vAlign w:val="center"/>
            <w:hideMark/>
          </w:tcPr>
          <w:p w14:paraId="5118AB45" w14:textId="77777777" w:rsidR="00346C7B" w:rsidRPr="00AD667C" w:rsidRDefault="00346C7B" w:rsidP="00AD667C">
            <w:pPr>
              <w:pStyle w:val="ExhibitText"/>
              <w:jc w:val="right"/>
              <w:rPr>
                <w:sz w:val="18"/>
                <w:szCs w:val="18"/>
              </w:rPr>
            </w:pPr>
            <w:r w:rsidRPr="00AD667C">
              <w:rPr>
                <w:sz w:val="18"/>
                <w:szCs w:val="18"/>
              </w:rPr>
              <w:t>2</w:t>
            </w:r>
          </w:p>
        </w:tc>
        <w:tc>
          <w:tcPr>
            <w:tcW w:w="566" w:type="pct"/>
            <w:shd w:val="clear" w:color="auto" w:fill="auto"/>
            <w:noWrap/>
            <w:vAlign w:val="center"/>
            <w:hideMark/>
          </w:tcPr>
          <w:p w14:paraId="5A597476" w14:textId="7C7792EA" w:rsidR="00346C7B" w:rsidRPr="00AD667C" w:rsidRDefault="00346C7B" w:rsidP="00AD667C">
            <w:pPr>
              <w:pStyle w:val="ExhibitText"/>
              <w:jc w:val="right"/>
              <w:rPr>
                <w:sz w:val="18"/>
                <w:szCs w:val="18"/>
              </w:rPr>
            </w:pPr>
            <w:r w:rsidRPr="00AD667C">
              <w:rPr>
                <w:sz w:val="18"/>
                <w:szCs w:val="18"/>
              </w:rPr>
              <w:t>24</w:t>
            </w:r>
            <w:r>
              <w:rPr>
                <w:sz w:val="18"/>
                <w:szCs w:val="18"/>
              </w:rPr>
              <w:t>.00</w:t>
            </w:r>
          </w:p>
        </w:tc>
        <w:tc>
          <w:tcPr>
            <w:tcW w:w="566" w:type="pct"/>
            <w:shd w:val="clear" w:color="auto" w:fill="auto"/>
            <w:noWrap/>
            <w:vAlign w:val="center"/>
            <w:hideMark/>
          </w:tcPr>
          <w:p w14:paraId="34D5C1C3" w14:textId="603B77F5" w:rsidR="00346C7B" w:rsidRPr="00AD667C" w:rsidRDefault="00346C7B" w:rsidP="00AD667C">
            <w:pPr>
              <w:pStyle w:val="ExhibitText"/>
              <w:jc w:val="right"/>
              <w:rPr>
                <w:sz w:val="18"/>
                <w:szCs w:val="18"/>
              </w:rPr>
            </w:pPr>
            <w:r w:rsidRPr="00AD667C">
              <w:rPr>
                <w:sz w:val="18"/>
                <w:szCs w:val="18"/>
              </w:rPr>
              <w:t>8</w:t>
            </w:r>
            <w:r>
              <w:rPr>
                <w:sz w:val="18"/>
                <w:szCs w:val="18"/>
              </w:rPr>
              <w:t>.00</w:t>
            </w:r>
          </w:p>
        </w:tc>
        <w:tc>
          <w:tcPr>
            <w:tcW w:w="566" w:type="pct"/>
            <w:shd w:val="clear" w:color="auto" w:fill="auto"/>
            <w:noWrap/>
            <w:vAlign w:val="center"/>
            <w:hideMark/>
          </w:tcPr>
          <w:p w14:paraId="07772917" w14:textId="6DCA0766" w:rsidR="00346C7B" w:rsidRPr="00AD667C" w:rsidRDefault="00346C7B" w:rsidP="00AD667C">
            <w:pPr>
              <w:pStyle w:val="ExhibitText"/>
              <w:jc w:val="right"/>
              <w:rPr>
                <w:sz w:val="18"/>
                <w:szCs w:val="18"/>
              </w:rPr>
            </w:pPr>
            <w:r w:rsidRPr="00AD667C">
              <w:rPr>
                <w:sz w:val="18"/>
                <w:szCs w:val="18"/>
              </w:rPr>
              <w:t>3</w:t>
            </w:r>
            <w:r>
              <w:rPr>
                <w:sz w:val="18"/>
                <w:szCs w:val="18"/>
              </w:rPr>
              <w:t>.00</w:t>
            </w:r>
          </w:p>
        </w:tc>
        <w:tc>
          <w:tcPr>
            <w:tcW w:w="566" w:type="pct"/>
            <w:shd w:val="clear" w:color="auto" w:fill="auto"/>
            <w:noWrap/>
            <w:vAlign w:val="center"/>
            <w:hideMark/>
          </w:tcPr>
          <w:p w14:paraId="01700345" w14:textId="77777777" w:rsidR="00346C7B" w:rsidRPr="00AD667C" w:rsidRDefault="00346C7B" w:rsidP="00AD667C">
            <w:pPr>
              <w:pStyle w:val="ExhibitText"/>
              <w:jc w:val="right"/>
              <w:rPr>
                <w:sz w:val="18"/>
                <w:szCs w:val="18"/>
              </w:rPr>
            </w:pPr>
            <w:r w:rsidRPr="00AD667C">
              <w:rPr>
                <w:sz w:val="18"/>
                <w:szCs w:val="18"/>
              </w:rPr>
              <w:t>0</w:t>
            </w:r>
          </w:p>
        </w:tc>
        <w:tc>
          <w:tcPr>
            <w:tcW w:w="566" w:type="pct"/>
            <w:shd w:val="clear" w:color="auto" w:fill="auto"/>
            <w:noWrap/>
            <w:vAlign w:val="center"/>
            <w:hideMark/>
          </w:tcPr>
          <w:p w14:paraId="413A0C1D" w14:textId="258FEE8A" w:rsidR="00346C7B" w:rsidRPr="00AD667C" w:rsidRDefault="00346C7B" w:rsidP="00AD667C">
            <w:pPr>
              <w:pStyle w:val="ExhibitText"/>
              <w:jc w:val="right"/>
              <w:rPr>
                <w:sz w:val="18"/>
                <w:szCs w:val="18"/>
              </w:rPr>
            </w:pPr>
            <w:r w:rsidRPr="00AD667C">
              <w:rPr>
                <w:sz w:val="18"/>
                <w:szCs w:val="18"/>
              </w:rPr>
              <w:t>35</w:t>
            </w:r>
            <w:r>
              <w:rPr>
                <w:sz w:val="18"/>
                <w:szCs w:val="18"/>
              </w:rPr>
              <w:t>.00</w:t>
            </w:r>
          </w:p>
        </w:tc>
        <w:tc>
          <w:tcPr>
            <w:tcW w:w="566" w:type="pct"/>
            <w:shd w:val="clear" w:color="auto" w:fill="auto"/>
            <w:noWrap/>
            <w:vAlign w:val="center"/>
            <w:hideMark/>
          </w:tcPr>
          <w:p w14:paraId="6AEF8827" w14:textId="6935BECE" w:rsidR="00346C7B" w:rsidRPr="00AD667C" w:rsidRDefault="00346C7B" w:rsidP="00AD667C">
            <w:pPr>
              <w:pStyle w:val="ExhibitText"/>
              <w:jc w:val="right"/>
              <w:rPr>
                <w:sz w:val="18"/>
                <w:szCs w:val="18"/>
              </w:rPr>
            </w:pPr>
            <w:r w:rsidRPr="00AD667C">
              <w:rPr>
                <w:sz w:val="18"/>
                <w:szCs w:val="18"/>
              </w:rPr>
              <w:t>70</w:t>
            </w:r>
            <w:r>
              <w:rPr>
                <w:sz w:val="18"/>
                <w:szCs w:val="18"/>
              </w:rPr>
              <w:t>.00</w:t>
            </w:r>
          </w:p>
        </w:tc>
      </w:tr>
      <w:tr w:rsidR="00346C7B" w:rsidRPr="00AD667C" w14:paraId="2369FC43" w14:textId="77777777" w:rsidTr="00D61FA3">
        <w:trPr>
          <w:trHeight w:val="288"/>
          <w:jc w:val="center"/>
        </w:trPr>
        <w:tc>
          <w:tcPr>
            <w:tcW w:w="1040" w:type="pct"/>
            <w:shd w:val="clear" w:color="auto" w:fill="auto"/>
            <w:noWrap/>
            <w:vAlign w:val="center"/>
            <w:hideMark/>
          </w:tcPr>
          <w:p w14:paraId="028BAD8A" w14:textId="77777777" w:rsidR="00346C7B" w:rsidRPr="00AD667C" w:rsidRDefault="00346C7B" w:rsidP="00AD667C">
            <w:pPr>
              <w:pStyle w:val="ExhibitText"/>
              <w:jc w:val="left"/>
              <w:rPr>
                <w:sz w:val="18"/>
                <w:szCs w:val="18"/>
              </w:rPr>
            </w:pPr>
            <w:r w:rsidRPr="00AD667C">
              <w:rPr>
                <w:sz w:val="18"/>
                <w:szCs w:val="18"/>
              </w:rPr>
              <w:t xml:space="preserve">Radio Operator </w:t>
            </w:r>
          </w:p>
        </w:tc>
        <w:tc>
          <w:tcPr>
            <w:tcW w:w="566" w:type="pct"/>
            <w:shd w:val="clear" w:color="auto" w:fill="auto"/>
            <w:noWrap/>
            <w:vAlign w:val="center"/>
            <w:hideMark/>
          </w:tcPr>
          <w:p w14:paraId="438D4BEB" w14:textId="77777777" w:rsidR="00346C7B" w:rsidRPr="00AD667C" w:rsidRDefault="00346C7B" w:rsidP="00AD667C">
            <w:pPr>
              <w:pStyle w:val="ExhibitText"/>
              <w:jc w:val="right"/>
              <w:rPr>
                <w:sz w:val="18"/>
                <w:szCs w:val="18"/>
              </w:rPr>
            </w:pPr>
            <w:r w:rsidRPr="00AD667C">
              <w:rPr>
                <w:sz w:val="18"/>
                <w:szCs w:val="18"/>
              </w:rPr>
              <w:t>2</w:t>
            </w:r>
          </w:p>
        </w:tc>
        <w:tc>
          <w:tcPr>
            <w:tcW w:w="566" w:type="pct"/>
            <w:shd w:val="clear" w:color="auto" w:fill="auto"/>
            <w:noWrap/>
            <w:vAlign w:val="center"/>
            <w:hideMark/>
          </w:tcPr>
          <w:p w14:paraId="6F5C9464" w14:textId="1F34745F" w:rsidR="00346C7B" w:rsidRPr="00AD667C" w:rsidRDefault="00346C7B" w:rsidP="00AD667C">
            <w:pPr>
              <w:pStyle w:val="ExhibitText"/>
              <w:jc w:val="right"/>
              <w:rPr>
                <w:sz w:val="18"/>
                <w:szCs w:val="18"/>
              </w:rPr>
            </w:pPr>
            <w:r w:rsidRPr="00AD667C">
              <w:rPr>
                <w:sz w:val="18"/>
                <w:szCs w:val="18"/>
              </w:rPr>
              <w:t>15</w:t>
            </w:r>
            <w:r>
              <w:rPr>
                <w:sz w:val="18"/>
                <w:szCs w:val="18"/>
              </w:rPr>
              <w:t>.00</w:t>
            </w:r>
          </w:p>
        </w:tc>
        <w:tc>
          <w:tcPr>
            <w:tcW w:w="566" w:type="pct"/>
            <w:shd w:val="clear" w:color="auto" w:fill="auto"/>
            <w:noWrap/>
            <w:vAlign w:val="center"/>
            <w:hideMark/>
          </w:tcPr>
          <w:p w14:paraId="4DB5AB53" w14:textId="2422901D" w:rsidR="00346C7B" w:rsidRPr="00AD667C" w:rsidRDefault="00346C7B" w:rsidP="00AD667C">
            <w:pPr>
              <w:pStyle w:val="ExhibitText"/>
              <w:jc w:val="right"/>
              <w:rPr>
                <w:sz w:val="18"/>
                <w:szCs w:val="18"/>
              </w:rPr>
            </w:pPr>
            <w:r w:rsidRPr="00AD667C">
              <w:rPr>
                <w:sz w:val="18"/>
                <w:szCs w:val="18"/>
              </w:rPr>
              <w:t>4</w:t>
            </w:r>
            <w:r>
              <w:rPr>
                <w:sz w:val="18"/>
                <w:szCs w:val="18"/>
              </w:rPr>
              <w:t>.00</w:t>
            </w:r>
          </w:p>
        </w:tc>
        <w:tc>
          <w:tcPr>
            <w:tcW w:w="566" w:type="pct"/>
            <w:shd w:val="clear" w:color="auto" w:fill="auto"/>
            <w:noWrap/>
            <w:vAlign w:val="center"/>
            <w:hideMark/>
          </w:tcPr>
          <w:p w14:paraId="4D7A77AD" w14:textId="569BD0C1" w:rsidR="00346C7B" w:rsidRPr="00AD667C" w:rsidRDefault="00346C7B" w:rsidP="00AD667C">
            <w:pPr>
              <w:pStyle w:val="ExhibitText"/>
              <w:jc w:val="right"/>
              <w:rPr>
                <w:sz w:val="18"/>
                <w:szCs w:val="18"/>
              </w:rPr>
            </w:pPr>
            <w:r w:rsidRPr="00AD667C">
              <w:rPr>
                <w:sz w:val="18"/>
                <w:szCs w:val="18"/>
              </w:rPr>
              <w:t>3</w:t>
            </w:r>
            <w:r>
              <w:rPr>
                <w:sz w:val="18"/>
                <w:szCs w:val="18"/>
              </w:rPr>
              <w:t>.00</w:t>
            </w:r>
          </w:p>
        </w:tc>
        <w:tc>
          <w:tcPr>
            <w:tcW w:w="566" w:type="pct"/>
            <w:shd w:val="clear" w:color="auto" w:fill="auto"/>
            <w:noWrap/>
            <w:vAlign w:val="center"/>
            <w:hideMark/>
          </w:tcPr>
          <w:p w14:paraId="6E4E1098" w14:textId="77777777" w:rsidR="00346C7B" w:rsidRPr="00AD667C" w:rsidRDefault="00346C7B" w:rsidP="00AD667C">
            <w:pPr>
              <w:pStyle w:val="ExhibitText"/>
              <w:jc w:val="right"/>
              <w:rPr>
                <w:sz w:val="18"/>
                <w:szCs w:val="18"/>
              </w:rPr>
            </w:pPr>
            <w:r w:rsidRPr="00AD667C">
              <w:rPr>
                <w:sz w:val="18"/>
                <w:szCs w:val="18"/>
              </w:rPr>
              <w:t>0</w:t>
            </w:r>
          </w:p>
        </w:tc>
        <w:tc>
          <w:tcPr>
            <w:tcW w:w="566" w:type="pct"/>
            <w:shd w:val="clear" w:color="auto" w:fill="auto"/>
            <w:noWrap/>
            <w:vAlign w:val="center"/>
            <w:hideMark/>
          </w:tcPr>
          <w:p w14:paraId="43DF94E0" w14:textId="4113C90A" w:rsidR="00346C7B" w:rsidRPr="00AD667C" w:rsidRDefault="00346C7B" w:rsidP="00AD667C">
            <w:pPr>
              <w:pStyle w:val="ExhibitText"/>
              <w:jc w:val="right"/>
              <w:rPr>
                <w:sz w:val="18"/>
                <w:szCs w:val="18"/>
              </w:rPr>
            </w:pPr>
            <w:r w:rsidRPr="00AD667C">
              <w:rPr>
                <w:sz w:val="18"/>
                <w:szCs w:val="18"/>
              </w:rPr>
              <w:t>22</w:t>
            </w:r>
            <w:r>
              <w:rPr>
                <w:sz w:val="18"/>
                <w:szCs w:val="18"/>
              </w:rPr>
              <w:t>.00</w:t>
            </w:r>
          </w:p>
        </w:tc>
        <w:tc>
          <w:tcPr>
            <w:tcW w:w="566" w:type="pct"/>
            <w:shd w:val="clear" w:color="auto" w:fill="auto"/>
            <w:noWrap/>
            <w:vAlign w:val="center"/>
            <w:hideMark/>
          </w:tcPr>
          <w:p w14:paraId="735F2060" w14:textId="2AFA87AD" w:rsidR="00346C7B" w:rsidRPr="00AD667C" w:rsidRDefault="00346C7B" w:rsidP="00AD667C">
            <w:pPr>
              <w:pStyle w:val="ExhibitText"/>
              <w:jc w:val="right"/>
              <w:rPr>
                <w:sz w:val="18"/>
                <w:szCs w:val="18"/>
              </w:rPr>
            </w:pPr>
            <w:r w:rsidRPr="00AD667C">
              <w:rPr>
                <w:sz w:val="18"/>
                <w:szCs w:val="18"/>
              </w:rPr>
              <w:t>44</w:t>
            </w:r>
            <w:r>
              <w:rPr>
                <w:sz w:val="18"/>
                <w:szCs w:val="18"/>
              </w:rPr>
              <w:t>.00</w:t>
            </w:r>
          </w:p>
        </w:tc>
      </w:tr>
      <w:tr w:rsidR="00346C7B" w:rsidRPr="00AD667C" w14:paraId="3B4286F6" w14:textId="77777777" w:rsidTr="00D61FA3">
        <w:trPr>
          <w:trHeight w:val="288"/>
          <w:jc w:val="center"/>
        </w:trPr>
        <w:tc>
          <w:tcPr>
            <w:tcW w:w="1040" w:type="pct"/>
            <w:shd w:val="clear" w:color="auto" w:fill="auto"/>
            <w:noWrap/>
            <w:vAlign w:val="center"/>
            <w:hideMark/>
          </w:tcPr>
          <w:p w14:paraId="33FF53B5" w14:textId="77777777" w:rsidR="00346C7B" w:rsidRPr="00AD667C" w:rsidRDefault="00346C7B" w:rsidP="00AD667C">
            <w:pPr>
              <w:pStyle w:val="ExhibitText"/>
              <w:jc w:val="left"/>
              <w:rPr>
                <w:sz w:val="18"/>
                <w:szCs w:val="18"/>
              </w:rPr>
            </w:pPr>
            <w:r w:rsidRPr="00AD667C">
              <w:rPr>
                <w:sz w:val="18"/>
                <w:szCs w:val="18"/>
              </w:rPr>
              <w:t>HSE Advisor/STC</w:t>
            </w:r>
          </w:p>
        </w:tc>
        <w:tc>
          <w:tcPr>
            <w:tcW w:w="566" w:type="pct"/>
            <w:shd w:val="clear" w:color="auto" w:fill="auto"/>
            <w:noWrap/>
            <w:vAlign w:val="center"/>
            <w:hideMark/>
          </w:tcPr>
          <w:p w14:paraId="653B1786" w14:textId="77777777" w:rsidR="00346C7B" w:rsidRPr="00AD667C" w:rsidRDefault="00346C7B" w:rsidP="00AD667C">
            <w:pPr>
              <w:pStyle w:val="ExhibitText"/>
              <w:jc w:val="right"/>
              <w:rPr>
                <w:sz w:val="18"/>
                <w:szCs w:val="18"/>
              </w:rPr>
            </w:pPr>
            <w:r w:rsidRPr="00AD667C">
              <w:rPr>
                <w:sz w:val="18"/>
                <w:szCs w:val="18"/>
              </w:rPr>
              <w:t>2</w:t>
            </w:r>
          </w:p>
        </w:tc>
        <w:tc>
          <w:tcPr>
            <w:tcW w:w="566" w:type="pct"/>
            <w:shd w:val="clear" w:color="auto" w:fill="auto"/>
            <w:noWrap/>
            <w:vAlign w:val="center"/>
            <w:hideMark/>
          </w:tcPr>
          <w:p w14:paraId="22714F73" w14:textId="283F6F73" w:rsidR="00346C7B" w:rsidRPr="00AD667C" w:rsidRDefault="00346C7B" w:rsidP="00AD667C">
            <w:pPr>
              <w:pStyle w:val="ExhibitText"/>
              <w:jc w:val="right"/>
              <w:rPr>
                <w:sz w:val="18"/>
                <w:szCs w:val="18"/>
              </w:rPr>
            </w:pPr>
            <w:r w:rsidRPr="00AD667C">
              <w:rPr>
                <w:sz w:val="18"/>
                <w:szCs w:val="18"/>
              </w:rPr>
              <w:t>22</w:t>
            </w:r>
            <w:r>
              <w:rPr>
                <w:sz w:val="18"/>
                <w:szCs w:val="18"/>
              </w:rPr>
              <w:t>.00</w:t>
            </w:r>
          </w:p>
        </w:tc>
        <w:tc>
          <w:tcPr>
            <w:tcW w:w="566" w:type="pct"/>
            <w:shd w:val="clear" w:color="auto" w:fill="auto"/>
            <w:noWrap/>
            <w:vAlign w:val="center"/>
            <w:hideMark/>
          </w:tcPr>
          <w:p w14:paraId="7001B608" w14:textId="67F00931" w:rsidR="00346C7B" w:rsidRPr="00AD667C" w:rsidRDefault="00346C7B" w:rsidP="00AD667C">
            <w:pPr>
              <w:pStyle w:val="ExhibitText"/>
              <w:jc w:val="right"/>
              <w:rPr>
                <w:sz w:val="18"/>
                <w:szCs w:val="18"/>
              </w:rPr>
            </w:pPr>
            <w:r w:rsidRPr="00AD667C">
              <w:rPr>
                <w:sz w:val="18"/>
                <w:szCs w:val="18"/>
              </w:rPr>
              <w:t>8</w:t>
            </w:r>
            <w:r>
              <w:rPr>
                <w:sz w:val="18"/>
                <w:szCs w:val="18"/>
              </w:rPr>
              <w:t>.00</w:t>
            </w:r>
          </w:p>
        </w:tc>
        <w:tc>
          <w:tcPr>
            <w:tcW w:w="566" w:type="pct"/>
            <w:shd w:val="clear" w:color="auto" w:fill="auto"/>
            <w:noWrap/>
            <w:vAlign w:val="center"/>
            <w:hideMark/>
          </w:tcPr>
          <w:p w14:paraId="0CB14726" w14:textId="19CAF30A" w:rsidR="00346C7B" w:rsidRPr="00AD667C" w:rsidRDefault="00346C7B" w:rsidP="00AD667C">
            <w:pPr>
              <w:pStyle w:val="ExhibitText"/>
              <w:jc w:val="right"/>
              <w:rPr>
                <w:sz w:val="18"/>
                <w:szCs w:val="18"/>
              </w:rPr>
            </w:pPr>
            <w:r w:rsidRPr="00AD667C">
              <w:rPr>
                <w:sz w:val="18"/>
                <w:szCs w:val="18"/>
              </w:rPr>
              <w:t>3</w:t>
            </w:r>
            <w:r>
              <w:rPr>
                <w:sz w:val="18"/>
                <w:szCs w:val="18"/>
              </w:rPr>
              <w:t>.00</w:t>
            </w:r>
          </w:p>
        </w:tc>
        <w:tc>
          <w:tcPr>
            <w:tcW w:w="566" w:type="pct"/>
            <w:shd w:val="clear" w:color="auto" w:fill="auto"/>
            <w:noWrap/>
            <w:vAlign w:val="center"/>
            <w:hideMark/>
          </w:tcPr>
          <w:p w14:paraId="08032233" w14:textId="77777777" w:rsidR="00346C7B" w:rsidRPr="00AD667C" w:rsidRDefault="00346C7B" w:rsidP="00AD667C">
            <w:pPr>
              <w:pStyle w:val="ExhibitText"/>
              <w:jc w:val="right"/>
              <w:rPr>
                <w:sz w:val="18"/>
                <w:szCs w:val="18"/>
              </w:rPr>
            </w:pPr>
            <w:r w:rsidRPr="00AD667C">
              <w:rPr>
                <w:sz w:val="18"/>
                <w:szCs w:val="18"/>
              </w:rPr>
              <w:t>0</w:t>
            </w:r>
          </w:p>
        </w:tc>
        <w:tc>
          <w:tcPr>
            <w:tcW w:w="566" w:type="pct"/>
            <w:shd w:val="clear" w:color="auto" w:fill="auto"/>
            <w:noWrap/>
            <w:vAlign w:val="center"/>
            <w:hideMark/>
          </w:tcPr>
          <w:p w14:paraId="7B43A423" w14:textId="5FECFA04" w:rsidR="00346C7B" w:rsidRPr="00AD667C" w:rsidRDefault="00346C7B" w:rsidP="00AD667C">
            <w:pPr>
              <w:pStyle w:val="ExhibitText"/>
              <w:jc w:val="right"/>
              <w:rPr>
                <w:sz w:val="18"/>
                <w:szCs w:val="18"/>
              </w:rPr>
            </w:pPr>
            <w:r w:rsidRPr="00AD667C">
              <w:rPr>
                <w:sz w:val="18"/>
                <w:szCs w:val="18"/>
              </w:rPr>
              <w:t>33</w:t>
            </w:r>
            <w:r>
              <w:rPr>
                <w:sz w:val="18"/>
                <w:szCs w:val="18"/>
              </w:rPr>
              <w:t>.00</w:t>
            </w:r>
          </w:p>
        </w:tc>
        <w:tc>
          <w:tcPr>
            <w:tcW w:w="566" w:type="pct"/>
            <w:shd w:val="clear" w:color="auto" w:fill="auto"/>
            <w:noWrap/>
            <w:vAlign w:val="center"/>
            <w:hideMark/>
          </w:tcPr>
          <w:p w14:paraId="6CFCD9F5" w14:textId="1938D4D0" w:rsidR="00346C7B" w:rsidRPr="00AD667C" w:rsidRDefault="00346C7B" w:rsidP="00AD667C">
            <w:pPr>
              <w:pStyle w:val="ExhibitText"/>
              <w:jc w:val="right"/>
              <w:rPr>
                <w:sz w:val="18"/>
                <w:szCs w:val="18"/>
              </w:rPr>
            </w:pPr>
            <w:r w:rsidRPr="00AD667C">
              <w:rPr>
                <w:sz w:val="18"/>
                <w:szCs w:val="18"/>
              </w:rPr>
              <w:t>66</w:t>
            </w:r>
            <w:r>
              <w:rPr>
                <w:sz w:val="18"/>
                <w:szCs w:val="18"/>
              </w:rPr>
              <w:t>.00</w:t>
            </w:r>
          </w:p>
        </w:tc>
      </w:tr>
      <w:tr w:rsidR="00346C7B" w:rsidRPr="00AD667C" w14:paraId="5ABDD4D2" w14:textId="77777777" w:rsidTr="00D61FA3">
        <w:trPr>
          <w:trHeight w:val="288"/>
          <w:jc w:val="center"/>
        </w:trPr>
        <w:tc>
          <w:tcPr>
            <w:tcW w:w="1040" w:type="pct"/>
            <w:shd w:val="clear" w:color="auto" w:fill="auto"/>
            <w:noWrap/>
            <w:vAlign w:val="center"/>
            <w:hideMark/>
          </w:tcPr>
          <w:p w14:paraId="0240680F" w14:textId="0C44D8BC" w:rsidR="00346C7B" w:rsidRPr="00AD667C" w:rsidRDefault="00346C7B" w:rsidP="00AD667C">
            <w:pPr>
              <w:pStyle w:val="ExhibitText"/>
              <w:jc w:val="left"/>
              <w:rPr>
                <w:sz w:val="18"/>
                <w:szCs w:val="18"/>
              </w:rPr>
            </w:pPr>
            <w:r w:rsidRPr="00AD667C">
              <w:rPr>
                <w:sz w:val="18"/>
                <w:szCs w:val="18"/>
              </w:rPr>
              <w:t>Warehouse Employee</w:t>
            </w:r>
          </w:p>
        </w:tc>
        <w:tc>
          <w:tcPr>
            <w:tcW w:w="566" w:type="pct"/>
            <w:shd w:val="clear" w:color="auto" w:fill="auto"/>
            <w:noWrap/>
            <w:vAlign w:val="center"/>
            <w:hideMark/>
          </w:tcPr>
          <w:p w14:paraId="7BE4AF02" w14:textId="77777777" w:rsidR="00346C7B" w:rsidRPr="00AD667C" w:rsidRDefault="00346C7B" w:rsidP="00AD667C">
            <w:pPr>
              <w:pStyle w:val="ExhibitText"/>
              <w:jc w:val="right"/>
              <w:rPr>
                <w:sz w:val="18"/>
                <w:szCs w:val="18"/>
              </w:rPr>
            </w:pPr>
            <w:r w:rsidRPr="00AD667C">
              <w:rPr>
                <w:sz w:val="18"/>
                <w:szCs w:val="18"/>
              </w:rPr>
              <w:t>2</w:t>
            </w:r>
          </w:p>
        </w:tc>
        <w:tc>
          <w:tcPr>
            <w:tcW w:w="566" w:type="pct"/>
            <w:shd w:val="clear" w:color="auto" w:fill="auto"/>
            <w:noWrap/>
            <w:vAlign w:val="center"/>
            <w:hideMark/>
          </w:tcPr>
          <w:p w14:paraId="14839C59" w14:textId="708CB0E5" w:rsidR="00346C7B" w:rsidRPr="00AD667C" w:rsidRDefault="00346C7B" w:rsidP="00AD667C">
            <w:pPr>
              <w:pStyle w:val="ExhibitText"/>
              <w:jc w:val="right"/>
              <w:rPr>
                <w:sz w:val="18"/>
                <w:szCs w:val="18"/>
              </w:rPr>
            </w:pPr>
            <w:r w:rsidRPr="00AD667C">
              <w:rPr>
                <w:sz w:val="18"/>
                <w:szCs w:val="18"/>
              </w:rPr>
              <w:t>26</w:t>
            </w:r>
            <w:r>
              <w:rPr>
                <w:sz w:val="18"/>
                <w:szCs w:val="18"/>
              </w:rPr>
              <w:t>.00</w:t>
            </w:r>
          </w:p>
        </w:tc>
        <w:tc>
          <w:tcPr>
            <w:tcW w:w="566" w:type="pct"/>
            <w:shd w:val="clear" w:color="auto" w:fill="auto"/>
            <w:noWrap/>
            <w:vAlign w:val="center"/>
            <w:hideMark/>
          </w:tcPr>
          <w:p w14:paraId="1811B24A" w14:textId="438AD5D6" w:rsidR="00346C7B" w:rsidRPr="00AD667C" w:rsidRDefault="00346C7B" w:rsidP="00AD667C">
            <w:pPr>
              <w:pStyle w:val="ExhibitText"/>
              <w:jc w:val="right"/>
              <w:rPr>
                <w:sz w:val="18"/>
                <w:szCs w:val="18"/>
              </w:rPr>
            </w:pPr>
            <w:r w:rsidRPr="00AD667C">
              <w:rPr>
                <w:sz w:val="18"/>
                <w:szCs w:val="18"/>
              </w:rPr>
              <w:t>8</w:t>
            </w:r>
            <w:r>
              <w:rPr>
                <w:sz w:val="18"/>
                <w:szCs w:val="18"/>
              </w:rPr>
              <w:t>.00</w:t>
            </w:r>
          </w:p>
        </w:tc>
        <w:tc>
          <w:tcPr>
            <w:tcW w:w="566" w:type="pct"/>
            <w:shd w:val="clear" w:color="auto" w:fill="auto"/>
            <w:noWrap/>
            <w:vAlign w:val="center"/>
            <w:hideMark/>
          </w:tcPr>
          <w:p w14:paraId="79F17DF2" w14:textId="1DC20FFC" w:rsidR="00346C7B" w:rsidRPr="00AD667C" w:rsidRDefault="00346C7B" w:rsidP="00AD667C">
            <w:pPr>
              <w:pStyle w:val="ExhibitText"/>
              <w:jc w:val="right"/>
              <w:rPr>
                <w:sz w:val="18"/>
                <w:szCs w:val="18"/>
              </w:rPr>
            </w:pPr>
            <w:r w:rsidRPr="00AD667C">
              <w:rPr>
                <w:sz w:val="18"/>
                <w:szCs w:val="18"/>
              </w:rPr>
              <w:t>3</w:t>
            </w:r>
            <w:r>
              <w:rPr>
                <w:sz w:val="18"/>
                <w:szCs w:val="18"/>
              </w:rPr>
              <w:t>.00</w:t>
            </w:r>
          </w:p>
        </w:tc>
        <w:tc>
          <w:tcPr>
            <w:tcW w:w="566" w:type="pct"/>
            <w:shd w:val="clear" w:color="auto" w:fill="auto"/>
            <w:noWrap/>
            <w:vAlign w:val="center"/>
            <w:hideMark/>
          </w:tcPr>
          <w:p w14:paraId="4079AE8A" w14:textId="77777777" w:rsidR="00346C7B" w:rsidRPr="00AD667C" w:rsidRDefault="00346C7B" w:rsidP="00AD667C">
            <w:pPr>
              <w:pStyle w:val="ExhibitText"/>
              <w:jc w:val="right"/>
              <w:rPr>
                <w:sz w:val="18"/>
                <w:szCs w:val="18"/>
              </w:rPr>
            </w:pPr>
            <w:r w:rsidRPr="00AD667C">
              <w:rPr>
                <w:sz w:val="18"/>
                <w:szCs w:val="18"/>
              </w:rPr>
              <w:t>0</w:t>
            </w:r>
          </w:p>
        </w:tc>
        <w:tc>
          <w:tcPr>
            <w:tcW w:w="566" w:type="pct"/>
            <w:shd w:val="clear" w:color="auto" w:fill="auto"/>
            <w:noWrap/>
            <w:vAlign w:val="center"/>
            <w:hideMark/>
          </w:tcPr>
          <w:p w14:paraId="1729C744" w14:textId="518AF6AD" w:rsidR="00346C7B" w:rsidRPr="00AD667C" w:rsidRDefault="00346C7B" w:rsidP="00AD667C">
            <w:pPr>
              <w:pStyle w:val="ExhibitText"/>
              <w:jc w:val="right"/>
              <w:rPr>
                <w:sz w:val="18"/>
                <w:szCs w:val="18"/>
              </w:rPr>
            </w:pPr>
            <w:r w:rsidRPr="00AD667C">
              <w:rPr>
                <w:sz w:val="18"/>
                <w:szCs w:val="18"/>
              </w:rPr>
              <w:t>37</w:t>
            </w:r>
            <w:r>
              <w:rPr>
                <w:sz w:val="18"/>
                <w:szCs w:val="18"/>
              </w:rPr>
              <w:t>.00</w:t>
            </w:r>
          </w:p>
        </w:tc>
        <w:tc>
          <w:tcPr>
            <w:tcW w:w="566" w:type="pct"/>
            <w:shd w:val="clear" w:color="auto" w:fill="auto"/>
            <w:noWrap/>
            <w:vAlign w:val="center"/>
            <w:hideMark/>
          </w:tcPr>
          <w:p w14:paraId="38CE3B18" w14:textId="2857C8C7" w:rsidR="00346C7B" w:rsidRPr="00AD667C" w:rsidRDefault="00346C7B" w:rsidP="00AD667C">
            <w:pPr>
              <w:pStyle w:val="ExhibitText"/>
              <w:jc w:val="right"/>
              <w:rPr>
                <w:sz w:val="18"/>
                <w:szCs w:val="18"/>
              </w:rPr>
            </w:pPr>
            <w:r w:rsidRPr="00AD667C">
              <w:rPr>
                <w:sz w:val="18"/>
                <w:szCs w:val="18"/>
              </w:rPr>
              <w:t>74</w:t>
            </w:r>
            <w:r>
              <w:rPr>
                <w:sz w:val="18"/>
                <w:szCs w:val="18"/>
              </w:rPr>
              <w:t>.00</w:t>
            </w:r>
          </w:p>
        </w:tc>
      </w:tr>
      <w:tr w:rsidR="00346C7B" w:rsidRPr="00AD667C" w14:paraId="6F6E7071" w14:textId="77777777" w:rsidTr="00D61FA3">
        <w:trPr>
          <w:trHeight w:val="288"/>
          <w:jc w:val="center"/>
        </w:trPr>
        <w:tc>
          <w:tcPr>
            <w:tcW w:w="1040" w:type="pct"/>
            <w:shd w:val="clear" w:color="auto" w:fill="auto"/>
            <w:noWrap/>
            <w:vAlign w:val="center"/>
            <w:hideMark/>
          </w:tcPr>
          <w:p w14:paraId="3F9A529B" w14:textId="1A942DE3" w:rsidR="00346C7B" w:rsidRPr="00997F84" w:rsidRDefault="00346C7B" w:rsidP="00AD667C">
            <w:pPr>
              <w:pStyle w:val="ExhibitText"/>
              <w:jc w:val="left"/>
              <w:rPr>
                <w:b/>
                <w:sz w:val="18"/>
                <w:szCs w:val="18"/>
              </w:rPr>
            </w:pPr>
            <w:r w:rsidRPr="00997F84">
              <w:rPr>
                <w:b/>
                <w:sz w:val="18"/>
                <w:szCs w:val="18"/>
              </w:rPr>
              <w:t>Total</w:t>
            </w:r>
          </w:p>
        </w:tc>
        <w:tc>
          <w:tcPr>
            <w:tcW w:w="566" w:type="pct"/>
            <w:shd w:val="clear" w:color="auto" w:fill="auto"/>
            <w:noWrap/>
            <w:vAlign w:val="center"/>
            <w:hideMark/>
          </w:tcPr>
          <w:p w14:paraId="1E5FE7BE" w14:textId="6E813EE5" w:rsidR="00346C7B" w:rsidRPr="00997F84" w:rsidRDefault="005F4987" w:rsidP="00AD667C">
            <w:pPr>
              <w:pStyle w:val="ExhibitText"/>
              <w:jc w:val="right"/>
              <w:rPr>
                <w:b/>
                <w:sz w:val="18"/>
                <w:szCs w:val="18"/>
              </w:rPr>
            </w:pPr>
            <w:r>
              <w:rPr>
                <w:b/>
                <w:sz w:val="18"/>
                <w:szCs w:val="18"/>
              </w:rPr>
              <w:t>72</w:t>
            </w:r>
          </w:p>
        </w:tc>
        <w:tc>
          <w:tcPr>
            <w:tcW w:w="566" w:type="pct"/>
            <w:shd w:val="clear" w:color="auto" w:fill="auto"/>
            <w:noWrap/>
            <w:vAlign w:val="center"/>
            <w:hideMark/>
          </w:tcPr>
          <w:p w14:paraId="15AAF8B8" w14:textId="3EDC4EC9" w:rsidR="00346C7B" w:rsidRPr="00CC7480" w:rsidRDefault="00346C7B" w:rsidP="00AD667C">
            <w:pPr>
              <w:pStyle w:val="ExhibitText"/>
              <w:jc w:val="right"/>
              <w:rPr>
                <w:b/>
                <w:sz w:val="18"/>
                <w:szCs w:val="18"/>
              </w:rPr>
            </w:pPr>
            <w:r w:rsidRPr="00CC7480">
              <w:rPr>
                <w:b/>
                <w:sz w:val="18"/>
                <w:szCs w:val="18"/>
              </w:rPr>
              <w:t>1,707.00</w:t>
            </w:r>
          </w:p>
        </w:tc>
        <w:tc>
          <w:tcPr>
            <w:tcW w:w="566" w:type="pct"/>
            <w:shd w:val="clear" w:color="auto" w:fill="auto"/>
            <w:noWrap/>
            <w:vAlign w:val="center"/>
            <w:hideMark/>
          </w:tcPr>
          <w:p w14:paraId="5B145C4C" w14:textId="60B694B1" w:rsidR="00346C7B" w:rsidRPr="00CC7480" w:rsidRDefault="00346C7B" w:rsidP="00AD667C">
            <w:pPr>
              <w:pStyle w:val="ExhibitText"/>
              <w:jc w:val="right"/>
              <w:rPr>
                <w:b/>
                <w:sz w:val="18"/>
                <w:szCs w:val="18"/>
              </w:rPr>
            </w:pPr>
            <w:r w:rsidRPr="00CC7480">
              <w:rPr>
                <w:b/>
                <w:sz w:val="18"/>
                <w:szCs w:val="18"/>
              </w:rPr>
              <w:t>235.00</w:t>
            </w:r>
          </w:p>
        </w:tc>
        <w:tc>
          <w:tcPr>
            <w:tcW w:w="566" w:type="pct"/>
            <w:shd w:val="clear" w:color="auto" w:fill="auto"/>
            <w:noWrap/>
            <w:vAlign w:val="center"/>
            <w:hideMark/>
          </w:tcPr>
          <w:p w14:paraId="3725A4F4" w14:textId="108277E0" w:rsidR="00346C7B" w:rsidRPr="00CC7480" w:rsidRDefault="00346C7B" w:rsidP="00AD667C">
            <w:pPr>
              <w:pStyle w:val="ExhibitText"/>
              <w:jc w:val="right"/>
              <w:rPr>
                <w:b/>
                <w:sz w:val="18"/>
                <w:szCs w:val="18"/>
              </w:rPr>
            </w:pPr>
            <w:r w:rsidRPr="00CC7480">
              <w:rPr>
                <w:b/>
                <w:sz w:val="18"/>
                <w:szCs w:val="18"/>
              </w:rPr>
              <w:t>134.70</w:t>
            </w:r>
          </w:p>
        </w:tc>
        <w:tc>
          <w:tcPr>
            <w:tcW w:w="566" w:type="pct"/>
            <w:shd w:val="clear" w:color="auto" w:fill="auto"/>
            <w:noWrap/>
            <w:vAlign w:val="center"/>
            <w:hideMark/>
          </w:tcPr>
          <w:p w14:paraId="3A35FA36" w14:textId="200D283A" w:rsidR="00346C7B" w:rsidRPr="00CC7480" w:rsidRDefault="00346C7B" w:rsidP="00AD667C">
            <w:pPr>
              <w:pStyle w:val="ExhibitText"/>
              <w:jc w:val="right"/>
              <w:rPr>
                <w:b/>
                <w:sz w:val="18"/>
                <w:szCs w:val="18"/>
              </w:rPr>
            </w:pPr>
            <w:r w:rsidRPr="00CC7480">
              <w:rPr>
                <w:b/>
                <w:sz w:val="18"/>
                <w:szCs w:val="18"/>
              </w:rPr>
              <w:t>345.00</w:t>
            </w:r>
          </w:p>
        </w:tc>
        <w:tc>
          <w:tcPr>
            <w:tcW w:w="566" w:type="pct"/>
            <w:shd w:val="clear" w:color="auto" w:fill="auto"/>
            <w:noWrap/>
            <w:vAlign w:val="center"/>
            <w:hideMark/>
          </w:tcPr>
          <w:p w14:paraId="43CCADBA" w14:textId="7AAFCF9A" w:rsidR="00346C7B" w:rsidRPr="00CC7480" w:rsidRDefault="00346C7B" w:rsidP="00AD667C">
            <w:pPr>
              <w:pStyle w:val="ExhibitText"/>
              <w:jc w:val="right"/>
              <w:rPr>
                <w:b/>
                <w:sz w:val="18"/>
                <w:szCs w:val="18"/>
              </w:rPr>
            </w:pPr>
            <w:r w:rsidRPr="00CC7480">
              <w:rPr>
                <w:b/>
                <w:sz w:val="18"/>
                <w:szCs w:val="18"/>
              </w:rPr>
              <w:t>2,421.70</w:t>
            </w:r>
          </w:p>
        </w:tc>
        <w:tc>
          <w:tcPr>
            <w:tcW w:w="566" w:type="pct"/>
            <w:shd w:val="clear" w:color="auto" w:fill="auto"/>
            <w:noWrap/>
            <w:vAlign w:val="center"/>
            <w:hideMark/>
          </w:tcPr>
          <w:p w14:paraId="1E3196AF" w14:textId="23427A97" w:rsidR="00346C7B" w:rsidRPr="00CC7480" w:rsidRDefault="00346C7B" w:rsidP="00AD667C">
            <w:pPr>
              <w:pStyle w:val="ExhibitText"/>
              <w:jc w:val="right"/>
              <w:rPr>
                <w:b/>
                <w:sz w:val="18"/>
                <w:szCs w:val="18"/>
              </w:rPr>
            </w:pPr>
            <w:r w:rsidRPr="00CC7480">
              <w:rPr>
                <w:b/>
                <w:sz w:val="18"/>
                <w:szCs w:val="18"/>
              </w:rPr>
              <w:t>5,601.36</w:t>
            </w:r>
          </w:p>
        </w:tc>
      </w:tr>
    </w:tbl>
    <w:p w14:paraId="7ADC9A14" w14:textId="77777777" w:rsidR="00462143" w:rsidRPr="00F52737" w:rsidRDefault="00462143" w:rsidP="00462143">
      <w:pPr>
        <w:pStyle w:val="ExhibitText"/>
        <w:rPr>
          <w:rFonts w:eastAsia="Calibri"/>
        </w:rPr>
      </w:pPr>
    </w:p>
    <w:p w14:paraId="07522BD8" w14:textId="5D93F38D" w:rsidR="009D702C" w:rsidRPr="00F52737" w:rsidRDefault="009D702C" w:rsidP="001056AE">
      <w:pPr>
        <w:pStyle w:val="Footnote"/>
        <w:rPr>
          <w:rFonts w:eastAsia="Calibri"/>
        </w:rPr>
      </w:pPr>
      <w:r w:rsidRPr="00F52737">
        <w:rPr>
          <w:rFonts w:eastAsia="Calibri"/>
        </w:rPr>
        <w:t xml:space="preserve">Note: HSE = health, safety, and environment; STC = </w:t>
      </w:r>
      <w:r w:rsidR="009B0838" w:rsidRPr="00F52737">
        <w:rPr>
          <w:rFonts w:eastAsia="Calibri"/>
        </w:rPr>
        <w:t>safety and training coordinator.</w:t>
      </w:r>
    </w:p>
    <w:p w14:paraId="0C2AC946" w14:textId="6859F189" w:rsidR="00465348" w:rsidRPr="00881C96" w:rsidRDefault="00B7723F" w:rsidP="001056AE">
      <w:pPr>
        <w:pStyle w:val="Footnote"/>
        <w:rPr>
          <w:rFonts w:eastAsia="Calibri"/>
        </w:rPr>
      </w:pPr>
      <w:r w:rsidRPr="00F52737">
        <w:rPr>
          <w:rFonts w:eastAsia="Calibri"/>
        </w:rPr>
        <w:t>Source: Company document</w:t>
      </w:r>
      <w:r w:rsidR="00394DCA" w:rsidRPr="00F52737">
        <w:rPr>
          <w:rFonts w:eastAsia="Calibri"/>
        </w:rPr>
        <w:t>s</w:t>
      </w:r>
      <w:r w:rsidR="00462143" w:rsidRPr="00F52737">
        <w:rPr>
          <w:rFonts w:eastAsia="Calibri"/>
        </w:rPr>
        <w:t>.</w:t>
      </w:r>
    </w:p>
    <w:sectPr w:rsidR="00465348" w:rsidRPr="00881C96" w:rsidSect="008F549D">
      <w:headerReference w:type="default" r:id="rId17"/>
      <w:pgSz w:w="15840" w:h="12240" w:orient="landscape" w:code="1"/>
      <w:pgMar w:top="1440" w:right="1440" w:bottom="1440" w:left="108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B764EB" w16cid:durableId="1E353EE0"/>
  <w16cid:commentId w16cid:paraId="032EC3B7" w16cid:durableId="1E353C0F"/>
  <w16cid:commentId w16cid:paraId="00DBA94D" w16cid:durableId="1E353CC1"/>
  <w16cid:commentId w16cid:paraId="15512C97" w16cid:durableId="1E355B4C"/>
  <w16cid:commentId w16cid:paraId="439D80D3" w16cid:durableId="1E35470C"/>
  <w16cid:commentId w16cid:paraId="3D3BDCE7" w16cid:durableId="1E35459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53448" w14:textId="77777777" w:rsidR="0096544E" w:rsidRDefault="0096544E" w:rsidP="00D75295">
      <w:r>
        <w:separator/>
      </w:r>
    </w:p>
  </w:endnote>
  <w:endnote w:type="continuationSeparator" w:id="0">
    <w:p w14:paraId="676AC27E" w14:textId="77777777" w:rsidR="0096544E" w:rsidRDefault="0096544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80EEB" w14:textId="77777777" w:rsidR="0096544E" w:rsidRDefault="0096544E" w:rsidP="00D75295">
      <w:r>
        <w:separator/>
      </w:r>
    </w:p>
  </w:footnote>
  <w:footnote w:type="continuationSeparator" w:id="0">
    <w:p w14:paraId="5C377CC9" w14:textId="77777777" w:rsidR="0096544E" w:rsidRDefault="0096544E" w:rsidP="00D75295">
      <w:r>
        <w:continuationSeparator/>
      </w:r>
    </w:p>
  </w:footnote>
  <w:footnote w:id="1">
    <w:p w14:paraId="608D8061" w14:textId="483B48F0" w:rsidR="009169FF" w:rsidRPr="00E03A1E" w:rsidRDefault="009169FF" w:rsidP="00E03A1E">
      <w:pPr>
        <w:pStyle w:val="Footnote"/>
      </w:pPr>
      <w:r w:rsidRPr="00997F84">
        <w:rPr>
          <w:rStyle w:val="FootnoteReference"/>
        </w:rPr>
        <w:footnoteRef/>
      </w:r>
      <w:r w:rsidRPr="00E03A1E">
        <w:t xml:space="preserve"> All currency amounts are in U.S. </w:t>
      </w:r>
      <w:r w:rsidRPr="00997F84">
        <w:t>dollars</w:t>
      </w:r>
      <w:r w:rsidRPr="00E03A1E">
        <w:t xml:space="preserve"> unless otherwise specified.</w:t>
      </w:r>
    </w:p>
  </w:footnote>
  <w:footnote w:id="2">
    <w:p w14:paraId="5BDFE6B9" w14:textId="73DCBD0B" w:rsidR="00EA3403" w:rsidRPr="00EA3403" w:rsidRDefault="00EA3403" w:rsidP="00EA3403">
      <w:pPr>
        <w:pStyle w:val="Footnote"/>
        <w:rPr>
          <w:lang w:val="en-US"/>
        </w:rPr>
      </w:pPr>
      <w:r>
        <w:rPr>
          <w:rStyle w:val="FootnoteReference"/>
        </w:rPr>
        <w:footnoteRef/>
      </w:r>
      <w:r>
        <w:t xml:space="preserve"> </w:t>
      </w:r>
      <w:r>
        <w:rPr>
          <w:lang w:val="en-US"/>
        </w:rPr>
        <w:t>To spud meant to make the initial drilling for the oil.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ADEF9" w14:textId="2D37DF8E" w:rsidR="009169FF" w:rsidRPr="00C92CC4" w:rsidRDefault="009169F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A3403">
      <w:rPr>
        <w:rFonts w:ascii="Arial" w:hAnsi="Arial"/>
        <w:b/>
        <w:noProof/>
      </w:rPr>
      <w:t>5</w:t>
    </w:r>
    <w:r>
      <w:rPr>
        <w:rFonts w:ascii="Arial" w:hAnsi="Arial"/>
        <w:b/>
      </w:rPr>
      <w:fldChar w:fldCharType="end"/>
    </w:r>
    <w:r w:rsidR="00C87CB1">
      <w:rPr>
        <w:rFonts w:ascii="Arial" w:hAnsi="Arial"/>
        <w:b/>
      </w:rPr>
      <w:tab/>
      <w:t>9B18B006</w:t>
    </w:r>
  </w:p>
  <w:p w14:paraId="00B8D77E" w14:textId="77777777" w:rsidR="009169FF" w:rsidRDefault="009169FF" w:rsidP="00D13667">
    <w:pPr>
      <w:pStyle w:val="Header"/>
      <w:tabs>
        <w:tab w:val="clear" w:pos="4680"/>
      </w:tabs>
      <w:rPr>
        <w:sz w:val="18"/>
        <w:szCs w:val="18"/>
      </w:rPr>
    </w:pPr>
  </w:p>
  <w:p w14:paraId="4E2FB8DE" w14:textId="77777777" w:rsidR="009169FF" w:rsidRPr="00C92CC4" w:rsidRDefault="009169FF"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27177" w14:textId="65A7BE24" w:rsidR="009169FF" w:rsidRPr="00C92CC4" w:rsidRDefault="009169FF" w:rsidP="008F549D">
    <w:pPr>
      <w:pBdr>
        <w:bottom w:val="single" w:sz="18" w:space="1" w:color="auto"/>
      </w:pBdr>
      <w:tabs>
        <w:tab w:val="left" w:pos="-1440"/>
        <w:tab w:val="left" w:pos="-720"/>
        <w:tab w:val="right" w:pos="1323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A3403">
      <w:rPr>
        <w:rFonts w:ascii="Arial" w:hAnsi="Arial"/>
        <w:b/>
        <w:noProof/>
      </w:rPr>
      <w:t>6</w:t>
    </w:r>
    <w:r>
      <w:rPr>
        <w:rFonts w:ascii="Arial" w:hAnsi="Arial"/>
        <w:b/>
      </w:rPr>
      <w:fldChar w:fldCharType="end"/>
    </w:r>
    <w:r w:rsidR="00C87CB1">
      <w:rPr>
        <w:rFonts w:ascii="Arial" w:hAnsi="Arial"/>
        <w:b/>
      </w:rPr>
      <w:tab/>
      <w:t>9B18B006</w:t>
    </w:r>
  </w:p>
  <w:p w14:paraId="5517D519" w14:textId="77777777" w:rsidR="009169FF" w:rsidRDefault="009169FF" w:rsidP="00D13667">
    <w:pPr>
      <w:pStyle w:val="Header"/>
      <w:tabs>
        <w:tab w:val="clear" w:pos="4680"/>
      </w:tabs>
      <w:rPr>
        <w:sz w:val="18"/>
        <w:szCs w:val="18"/>
      </w:rPr>
    </w:pPr>
  </w:p>
  <w:p w14:paraId="0E56FC06" w14:textId="77777777" w:rsidR="009169FF" w:rsidRPr="00C92CC4" w:rsidRDefault="009169FF"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A0AC3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8E89F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238726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18EAD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6881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DA4C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6441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00557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74E2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EC53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27201B"/>
    <w:multiLevelType w:val="hybridMultilevel"/>
    <w:tmpl w:val="52BA3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26686F"/>
    <w:multiLevelType w:val="multilevel"/>
    <w:tmpl w:val="E7F07FF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354141"/>
    <w:multiLevelType w:val="hybridMultilevel"/>
    <w:tmpl w:val="45D0A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E351A6"/>
    <w:multiLevelType w:val="hybridMultilevel"/>
    <w:tmpl w:val="25B4D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6"/>
  </w:num>
  <w:num w:numId="3">
    <w:abstractNumId w:val="33"/>
  </w:num>
  <w:num w:numId="4">
    <w:abstractNumId w:val="15"/>
  </w:num>
  <w:num w:numId="5">
    <w:abstractNumId w:val="27"/>
  </w:num>
  <w:num w:numId="6">
    <w:abstractNumId w:val="31"/>
  </w:num>
  <w:num w:numId="7">
    <w:abstractNumId w:val="23"/>
  </w:num>
  <w:num w:numId="8">
    <w:abstractNumId w:val="32"/>
  </w:num>
  <w:num w:numId="9">
    <w:abstractNumId w:val="12"/>
  </w:num>
  <w:num w:numId="10">
    <w:abstractNumId w:val="19"/>
  </w:num>
  <w:num w:numId="11">
    <w:abstractNumId w:val="13"/>
  </w:num>
  <w:num w:numId="12">
    <w:abstractNumId w:val="38"/>
  </w:num>
  <w:num w:numId="13">
    <w:abstractNumId w:val="16"/>
  </w:num>
  <w:num w:numId="14">
    <w:abstractNumId w:val="30"/>
  </w:num>
  <w:num w:numId="15">
    <w:abstractNumId w:val="39"/>
  </w:num>
  <w:num w:numId="16">
    <w:abstractNumId w:val="18"/>
  </w:num>
  <w:num w:numId="17">
    <w:abstractNumId w:val="25"/>
  </w:num>
  <w:num w:numId="18">
    <w:abstractNumId w:val="17"/>
  </w:num>
  <w:num w:numId="19">
    <w:abstractNumId w:val="21"/>
  </w:num>
  <w:num w:numId="20">
    <w:abstractNumId w:val="37"/>
  </w:num>
  <w:num w:numId="21">
    <w:abstractNumId w:val="28"/>
  </w:num>
  <w:num w:numId="22">
    <w:abstractNumId w:val="29"/>
  </w:num>
  <w:num w:numId="23">
    <w:abstractNumId w:val="10"/>
  </w:num>
  <w:num w:numId="24">
    <w:abstractNumId w:val="14"/>
  </w:num>
  <w:num w:numId="25">
    <w:abstractNumId w:val="41"/>
  </w:num>
  <w:num w:numId="26">
    <w:abstractNumId w:val="42"/>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5"/>
  </w:num>
  <w:num w:numId="39">
    <w:abstractNumId w:val="24"/>
  </w:num>
  <w:num w:numId="40">
    <w:abstractNumId w:val="26"/>
  </w:num>
  <w:num w:numId="41">
    <w:abstractNumId w:val="11"/>
  </w:num>
  <w:num w:numId="42">
    <w:abstractNumId w:val="40"/>
  </w:num>
  <w:num w:numId="43">
    <w:abstractNumId w:val="3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179C"/>
    <w:rsid w:val="00013360"/>
    <w:rsid w:val="00016759"/>
    <w:rsid w:val="00016FF2"/>
    <w:rsid w:val="00021519"/>
    <w:rsid w:val="000216CE"/>
    <w:rsid w:val="00024ED4"/>
    <w:rsid w:val="00025DC7"/>
    <w:rsid w:val="00035F09"/>
    <w:rsid w:val="00041766"/>
    <w:rsid w:val="00043E4E"/>
    <w:rsid w:val="00044ECC"/>
    <w:rsid w:val="00044EDD"/>
    <w:rsid w:val="00045732"/>
    <w:rsid w:val="000531D3"/>
    <w:rsid w:val="0005646B"/>
    <w:rsid w:val="00060136"/>
    <w:rsid w:val="00071DE9"/>
    <w:rsid w:val="00073F1C"/>
    <w:rsid w:val="00074761"/>
    <w:rsid w:val="0008102D"/>
    <w:rsid w:val="000840E5"/>
    <w:rsid w:val="00094C0E"/>
    <w:rsid w:val="000968FE"/>
    <w:rsid w:val="000A3FB0"/>
    <w:rsid w:val="000B297B"/>
    <w:rsid w:val="000C1A34"/>
    <w:rsid w:val="000C2434"/>
    <w:rsid w:val="000D7091"/>
    <w:rsid w:val="000F0C22"/>
    <w:rsid w:val="000F6B09"/>
    <w:rsid w:val="000F6FDC"/>
    <w:rsid w:val="001024F3"/>
    <w:rsid w:val="00104567"/>
    <w:rsid w:val="00104916"/>
    <w:rsid w:val="00104AA7"/>
    <w:rsid w:val="001056AE"/>
    <w:rsid w:val="001072A4"/>
    <w:rsid w:val="00113469"/>
    <w:rsid w:val="00117361"/>
    <w:rsid w:val="0012732D"/>
    <w:rsid w:val="00132B86"/>
    <w:rsid w:val="001422FE"/>
    <w:rsid w:val="00143F25"/>
    <w:rsid w:val="001473A0"/>
    <w:rsid w:val="00150AC4"/>
    <w:rsid w:val="001518F2"/>
    <w:rsid w:val="00152682"/>
    <w:rsid w:val="00154FC9"/>
    <w:rsid w:val="001625C8"/>
    <w:rsid w:val="001663FC"/>
    <w:rsid w:val="00175CD7"/>
    <w:rsid w:val="001852DB"/>
    <w:rsid w:val="0019241A"/>
    <w:rsid w:val="001A1D31"/>
    <w:rsid w:val="001A22D1"/>
    <w:rsid w:val="001A752D"/>
    <w:rsid w:val="001A757E"/>
    <w:rsid w:val="001B5032"/>
    <w:rsid w:val="001C7777"/>
    <w:rsid w:val="001D2EDE"/>
    <w:rsid w:val="001E364F"/>
    <w:rsid w:val="001F3C22"/>
    <w:rsid w:val="001F485E"/>
    <w:rsid w:val="00200C8D"/>
    <w:rsid w:val="00203AA1"/>
    <w:rsid w:val="00213E98"/>
    <w:rsid w:val="00226E15"/>
    <w:rsid w:val="0023081A"/>
    <w:rsid w:val="00246CCE"/>
    <w:rsid w:val="00252942"/>
    <w:rsid w:val="00254E13"/>
    <w:rsid w:val="0028058F"/>
    <w:rsid w:val="00280D64"/>
    <w:rsid w:val="00285638"/>
    <w:rsid w:val="002A6F0B"/>
    <w:rsid w:val="002B53EC"/>
    <w:rsid w:val="002C21EC"/>
    <w:rsid w:val="002C37C0"/>
    <w:rsid w:val="002C5A48"/>
    <w:rsid w:val="002D1F80"/>
    <w:rsid w:val="002E63E5"/>
    <w:rsid w:val="002F460C"/>
    <w:rsid w:val="002F48D6"/>
    <w:rsid w:val="00300A17"/>
    <w:rsid w:val="00303D44"/>
    <w:rsid w:val="0031080D"/>
    <w:rsid w:val="00315C58"/>
    <w:rsid w:val="00317391"/>
    <w:rsid w:val="00326216"/>
    <w:rsid w:val="00331518"/>
    <w:rsid w:val="00336580"/>
    <w:rsid w:val="003453F5"/>
    <w:rsid w:val="00346C7B"/>
    <w:rsid w:val="00354899"/>
    <w:rsid w:val="00355FD6"/>
    <w:rsid w:val="00357710"/>
    <w:rsid w:val="00364A5C"/>
    <w:rsid w:val="00366E06"/>
    <w:rsid w:val="00373FB1"/>
    <w:rsid w:val="00381EC5"/>
    <w:rsid w:val="003901F8"/>
    <w:rsid w:val="00394DCA"/>
    <w:rsid w:val="00396C76"/>
    <w:rsid w:val="003B30D8"/>
    <w:rsid w:val="003B7EF2"/>
    <w:rsid w:val="003C1904"/>
    <w:rsid w:val="003C3FA4"/>
    <w:rsid w:val="003D559F"/>
    <w:rsid w:val="003F020B"/>
    <w:rsid w:val="003F2B0C"/>
    <w:rsid w:val="00401878"/>
    <w:rsid w:val="004105B2"/>
    <w:rsid w:val="00412DF6"/>
    <w:rsid w:val="004221E4"/>
    <w:rsid w:val="004273F8"/>
    <w:rsid w:val="00434071"/>
    <w:rsid w:val="00434905"/>
    <w:rsid w:val="004355A3"/>
    <w:rsid w:val="00436271"/>
    <w:rsid w:val="00446546"/>
    <w:rsid w:val="00452769"/>
    <w:rsid w:val="00460C1E"/>
    <w:rsid w:val="00462143"/>
    <w:rsid w:val="00465348"/>
    <w:rsid w:val="00467CFB"/>
    <w:rsid w:val="0047588F"/>
    <w:rsid w:val="00476D86"/>
    <w:rsid w:val="004B1CCB"/>
    <w:rsid w:val="004B632F"/>
    <w:rsid w:val="004C188A"/>
    <w:rsid w:val="004D3FB1"/>
    <w:rsid w:val="004D4D30"/>
    <w:rsid w:val="004D6F21"/>
    <w:rsid w:val="004D73A5"/>
    <w:rsid w:val="004F0BC9"/>
    <w:rsid w:val="004F4D1B"/>
    <w:rsid w:val="005038CB"/>
    <w:rsid w:val="0051306D"/>
    <w:rsid w:val="005160F1"/>
    <w:rsid w:val="00516956"/>
    <w:rsid w:val="005204E8"/>
    <w:rsid w:val="005219BF"/>
    <w:rsid w:val="005238C6"/>
    <w:rsid w:val="00524DDC"/>
    <w:rsid w:val="00524F2F"/>
    <w:rsid w:val="00527E5C"/>
    <w:rsid w:val="00532CF5"/>
    <w:rsid w:val="0054013F"/>
    <w:rsid w:val="005418D1"/>
    <w:rsid w:val="005451CD"/>
    <w:rsid w:val="00551A39"/>
    <w:rsid w:val="005528CB"/>
    <w:rsid w:val="00565814"/>
    <w:rsid w:val="00566771"/>
    <w:rsid w:val="00581E2E"/>
    <w:rsid w:val="00584F15"/>
    <w:rsid w:val="0059514B"/>
    <w:rsid w:val="005A1B0F"/>
    <w:rsid w:val="005A5A87"/>
    <w:rsid w:val="005C2C15"/>
    <w:rsid w:val="005D5627"/>
    <w:rsid w:val="005F32B5"/>
    <w:rsid w:val="005F4987"/>
    <w:rsid w:val="005F7E8C"/>
    <w:rsid w:val="006163F7"/>
    <w:rsid w:val="00627C63"/>
    <w:rsid w:val="00630806"/>
    <w:rsid w:val="0063350B"/>
    <w:rsid w:val="00652550"/>
    <w:rsid w:val="00652606"/>
    <w:rsid w:val="00672F87"/>
    <w:rsid w:val="0067618D"/>
    <w:rsid w:val="00687594"/>
    <w:rsid w:val="0069431C"/>
    <w:rsid w:val="006946EE"/>
    <w:rsid w:val="006A58A9"/>
    <w:rsid w:val="006A606D"/>
    <w:rsid w:val="006C0371"/>
    <w:rsid w:val="006C08B6"/>
    <w:rsid w:val="006C0B1A"/>
    <w:rsid w:val="006C6065"/>
    <w:rsid w:val="006C7F9F"/>
    <w:rsid w:val="006D0D70"/>
    <w:rsid w:val="006D3CFE"/>
    <w:rsid w:val="006D4808"/>
    <w:rsid w:val="006E2F6D"/>
    <w:rsid w:val="006E58F6"/>
    <w:rsid w:val="006E77E1"/>
    <w:rsid w:val="006F0CB9"/>
    <w:rsid w:val="006F131D"/>
    <w:rsid w:val="00711642"/>
    <w:rsid w:val="00733A7B"/>
    <w:rsid w:val="00737780"/>
    <w:rsid w:val="007507C6"/>
    <w:rsid w:val="00751E0B"/>
    <w:rsid w:val="00752BCD"/>
    <w:rsid w:val="00752FFE"/>
    <w:rsid w:val="00762960"/>
    <w:rsid w:val="00766DA1"/>
    <w:rsid w:val="00774CF0"/>
    <w:rsid w:val="00780D94"/>
    <w:rsid w:val="007866A6"/>
    <w:rsid w:val="007915BD"/>
    <w:rsid w:val="007920EC"/>
    <w:rsid w:val="007A0945"/>
    <w:rsid w:val="007A130D"/>
    <w:rsid w:val="007A2B07"/>
    <w:rsid w:val="007B3E91"/>
    <w:rsid w:val="007B7906"/>
    <w:rsid w:val="007D1A2D"/>
    <w:rsid w:val="007D4102"/>
    <w:rsid w:val="007E3C52"/>
    <w:rsid w:val="007F0A5A"/>
    <w:rsid w:val="007F43B7"/>
    <w:rsid w:val="007F4773"/>
    <w:rsid w:val="007F7DCD"/>
    <w:rsid w:val="00806324"/>
    <w:rsid w:val="00821FFC"/>
    <w:rsid w:val="008271CA"/>
    <w:rsid w:val="00833BFF"/>
    <w:rsid w:val="00834C86"/>
    <w:rsid w:val="008467D5"/>
    <w:rsid w:val="00870B83"/>
    <w:rsid w:val="00881C96"/>
    <w:rsid w:val="00885D72"/>
    <w:rsid w:val="00893CCA"/>
    <w:rsid w:val="008A0495"/>
    <w:rsid w:val="008A20A7"/>
    <w:rsid w:val="008A2E91"/>
    <w:rsid w:val="008A3879"/>
    <w:rsid w:val="008A4DC4"/>
    <w:rsid w:val="008A634F"/>
    <w:rsid w:val="008B0595"/>
    <w:rsid w:val="008B438C"/>
    <w:rsid w:val="008C0D0E"/>
    <w:rsid w:val="008C7A27"/>
    <w:rsid w:val="008D06CA"/>
    <w:rsid w:val="008D3A46"/>
    <w:rsid w:val="008D50B9"/>
    <w:rsid w:val="008E178C"/>
    <w:rsid w:val="008F549D"/>
    <w:rsid w:val="0090466F"/>
    <w:rsid w:val="009062CB"/>
    <w:rsid w:val="009067A4"/>
    <w:rsid w:val="009163E6"/>
    <w:rsid w:val="009169FF"/>
    <w:rsid w:val="00933CE7"/>
    <w:rsid w:val="00933D68"/>
    <w:rsid w:val="009340DB"/>
    <w:rsid w:val="00936516"/>
    <w:rsid w:val="00945C54"/>
    <w:rsid w:val="0094618C"/>
    <w:rsid w:val="00951D84"/>
    <w:rsid w:val="009533A7"/>
    <w:rsid w:val="009551E1"/>
    <w:rsid w:val="0095684B"/>
    <w:rsid w:val="00957D15"/>
    <w:rsid w:val="0096544E"/>
    <w:rsid w:val="00972498"/>
    <w:rsid w:val="00973903"/>
    <w:rsid w:val="0097481F"/>
    <w:rsid w:val="00974CC6"/>
    <w:rsid w:val="00976AD4"/>
    <w:rsid w:val="00980F8C"/>
    <w:rsid w:val="009825D5"/>
    <w:rsid w:val="00995547"/>
    <w:rsid w:val="00997F84"/>
    <w:rsid w:val="009A312F"/>
    <w:rsid w:val="009A5348"/>
    <w:rsid w:val="009B0838"/>
    <w:rsid w:val="009B0AB7"/>
    <w:rsid w:val="009B2B08"/>
    <w:rsid w:val="009C76D5"/>
    <w:rsid w:val="009D2140"/>
    <w:rsid w:val="009D702C"/>
    <w:rsid w:val="009E3E7C"/>
    <w:rsid w:val="009F15A1"/>
    <w:rsid w:val="009F4D64"/>
    <w:rsid w:val="009F7AA4"/>
    <w:rsid w:val="00A07087"/>
    <w:rsid w:val="00A10420"/>
    <w:rsid w:val="00A10AD7"/>
    <w:rsid w:val="00A21BA7"/>
    <w:rsid w:val="00A559DB"/>
    <w:rsid w:val="00A569EA"/>
    <w:rsid w:val="00A9488B"/>
    <w:rsid w:val="00AA1902"/>
    <w:rsid w:val="00AB3786"/>
    <w:rsid w:val="00AB4FE7"/>
    <w:rsid w:val="00AC0F3F"/>
    <w:rsid w:val="00AC7CB0"/>
    <w:rsid w:val="00AD4E82"/>
    <w:rsid w:val="00AD667C"/>
    <w:rsid w:val="00AE1B1C"/>
    <w:rsid w:val="00AF25CA"/>
    <w:rsid w:val="00AF333A"/>
    <w:rsid w:val="00AF35FC"/>
    <w:rsid w:val="00AF5556"/>
    <w:rsid w:val="00B03639"/>
    <w:rsid w:val="00B03EEC"/>
    <w:rsid w:val="00B0652A"/>
    <w:rsid w:val="00B3112F"/>
    <w:rsid w:val="00B32CFA"/>
    <w:rsid w:val="00B3335D"/>
    <w:rsid w:val="00B40937"/>
    <w:rsid w:val="00B418C2"/>
    <w:rsid w:val="00B423EF"/>
    <w:rsid w:val="00B43D11"/>
    <w:rsid w:val="00B453DE"/>
    <w:rsid w:val="00B545C8"/>
    <w:rsid w:val="00B7139A"/>
    <w:rsid w:val="00B72597"/>
    <w:rsid w:val="00B76D3B"/>
    <w:rsid w:val="00B7723F"/>
    <w:rsid w:val="00B901F9"/>
    <w:rsid w:val="00B94B0A"/>
    <w:rsid w:val="00B96685"/>
    <w:rsid w:val="00BA6CC4"/>
    <w:rsid w:val="00BB5E52"/>
    <w:rsid w:val="00BB7DED"/>
    <w:rsid w:val="00BD4F6E"/>
    <w:rsid w:val="00BD6EFB"/>
    <w:rsid w:val="00BE0968"/>
    <w:rsid w:val="00BE66E3"/>
    <w:rsid w:val="00C1584D"/>
    <w:rsid w:val="00C15BE2"/>
    <w:rsid w:val="00C24394"/>
    <w:rsid w:val="00C33A90"/>
    <w:rsid w:val="00C33BDC"/>
    <w:rsid w:val="00C3447F"/>
    <w:rsid w:val="00C65391"/>
    <w:rsid w:val="00C67102"/>
    <w:rsid w:val="00C81491"/>
    <w:rsid w:val="00C81676"/>
    <w:rsid w:val="00C85C5D"/>
    <w:rsid w:val="00C87CB1"/>
    <w:rsid w:val="00C92CC4"/>
    <w:rsid w:val="00CA0AFB"/>
    <w:rsid w:val="00CA2CE1"/>
    <w:rsid w:val="00CA3976"/>
    <w:rsid w:val="00CA50E3"/>
    <w:rsid w:val="00CA757B"/>
    <w:rsid w:val="00CB18D7"/>
    <w:rsid w:val="00CB68C9"/>
    <w:rsid w:val="00CC1787"/>
    <w:rsid w:val="00CC182C"/>
    <w:rsid w:val="00CC6F74"/>
    <w:rsid w:val="00CC7480"/>
    <w:rsid w:val="00CD0824"/>
    <w:rsid w:val="00CD2908"/>
    <w:rsid w:val="00CD6540"/>
    <w:rsid w:val="00D02D75"/>
    <w:rsid w:val="00D03A82"/>
    <w:rsid w:val="00D03C47"/>
    <w:rsid w:val="00D0616E"/>
    <w:rsid w:val="00D13667"/>
    <w:rsid w:val="00D1409D"/>
    <w:rsid w:val="00D15344"/>
    <w:rsid w:val="00D23F57"/>
    <w:rsid w:val="00D27F23"/>
    <w:rsid w:val="00D31BEC"/>
    <w:rsid w:val="00D33A85"/>
    <w:rsid w:val="00D410F1"/>
    <w:rsid w:val="00D42B1A"/>
    <w:rsid w:val="00D46373"/>
    <w:rsid w:val="00D61FA3"/>
    <w:rsid w:val="00D63150"/>
    <w:rsid w:val="00D636BA"/>
    <w:rsid w:val="00D64A32"/>
    <w:rsid w:val="00D64EFC"/>
    <w:rsid w:val="00D67095"/>
    <w:rsid w:val="00D75295"/>
    <w:rsid w:val="00D76CE9"/>
    <w:rsid w:val="00D9525B"/>
    <w:rsid w:val="00D97F12"/>
    <w:rsid w:val="00DA1AD3"/>
    <w:rsid w:val="00DA6095"/>
    <w:rsid w:val="00DB42E7"/>
    <w:rsid w:val="00DB6CAE"/>
    <w:rsid w:val="00DD197A"/>
    <w:rsid w:val="00DD4554"/>
    <w:rsid w:val="00DD7920"/>
    <w:rsid w:val="00DE01A6"/>
    <w:rsid w:val="00DE7A98"/>
    <w:rsid w:val="00DF19B9"/>
    <w:rsid w:val="00DF32C2"/>
    <w:rsid w:val="00E0105B"/>
    <w:rsid w:val="00E03A1E"/>
    <w:rsid w:val="00E040E3"/>
    <w:rsid w:val="00E1046B"/>
    <w:rsid w:val="00E23607"/>
    <w:rsid w:val="00E471A7"/>
    <w:rsid w:val="00E559D0"/>
    <w:rsid w:val="00E56947"/>
    <w:rsid w:val="00E61665"/>
    <w:rsid w:val="00E618D0"/>
    <w:rsid w:val="00E62AC3"/>
    <w:rsid w:val="00E635CF"/>
    <w:rsid w:val="00E71C2E"/>
    <w:rsid w:val="00E73143"/>
    <w:rsid w:val="00EA3403"/>
    <w:rsid w:val="00EA3B78"/>
    <w:rsid w:val="00EA503C"/>
    <w:rsid w:val="00EB2CA5"/>
    <w:rsid w:val="00EC6E0A"/>
    <w:rsid w:val="00ED27C3"/>
    <w:rsid w:val="00ED4A41"/>
    <w:rsid w:val="00ED4E18"/>
    <w:rsid w:val="00ED6EC8"/>
    <w:rsid w:val="00EE1F37"/>
    <w:rsid w:val="00EF239F"/>
    <w:rsid w:val="00EF6E67"/>
    <w:rsid w:val="00EF7C12"/>
    <w:rsid w:val="00F0159C"/>
    <w:rsid w:val="00F027C2"/>
    <w:rsid w:val="00F105B7"/>
    <w:rsid w:val="00F127C6"/>
    <w:rsid w:val="00F13220"/>
    <w:rsid w:val="00F156B8"/>
    <w:rsid w:val="00F17A21"/>
    <w:rsid w:val="00F321E8"/>
    <w:rsid w:val="00F32210"/>
    <w:rsid w:val="00F32D6D"/>
    <w:rsid w:val="00F3571D"/>
    <w:rsid w:val="00F37B27"/>
    <w:rsid w:val="00F46556"/>
    <w:rsid w:val="00F50E8F"/>
    <w:rsid w:val="00F50E91"/>
    <w:rsid w:val="00F52737"/>
    <w:rsid w:val="00F53441"/>
    <w:rsid w:val="00F53611"/>
    <w:rsid w:val="00F57D29"/>
    <w:rsid w:val="00F70615"/>
    <w:rsid w:val="00F720D5"/>
    <w:rsid w:val="00F73F41"/>
    <w:rsid w:val="00F775F1"/>
    <w:rsid w:val="00F8082D"/>
    <w:rsid w:val="00F96201"/>
    <w:rsid w:val="00FA4999"/>
    <w:rsid w:val="00FB432B"/>
    <w:rsid w:val="00FD0B18"/>
    <w:rsid w:val="00FD0C44"/>
    <w:rsid w:val="00FD2FAD"/>
    <w:rsid w:val="00FD6FC7"/>
    <w:rsid w:val="00FE124B"/>
    <w:rsid w:val="00FE320A"/>
    <w:rsid w:val="00FE408E"/>
    <w:rsid w:val="00FE714F"/>
    <w:rsid w:val="00FF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8660D7F"/>
  <w15:docId w15:val="{F2DD4765-C52F-406E-8C48-7995C7ED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5814"/>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AD667C"/>
    <w:pPr>
      <w:jc w:val="both"/>
    </w:pPr>
    <w:rPr>
      <w:rFonts w:ascii="Arial" w:hAnsi="Arial" w:cs="Arial"/>
      <w:sz w:val="17"/>
      <w:szCs w:val="17"/>
    </w:rPr>
  </w:style>
  <w:style w:type="character" w:customStyle="1" w:styleId="FootnoteChar">
    <w:name w:val="Footnote Char"/>
    <w:basedOn w:val="FootnoteTextChar"/>
    <w:link w:val="Footnote"/>
    <w:rsid w:val="00AD667C"/>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5419">
      <w:bodyDiv w:val="1"/>
      <w:marLeft w:val="0"/>
      <w:marRight w:val="0"/>
      <w:marTop w:val="0"/>
      <w:marBottom w:val="0"/>
      <w:divBdr>
        <w:top w:val="none" w:sz="0" w:space="0" w:color="auto"/>
        <w:left w:val="none" w:sz="0" w:space="0" w:color="auto"/>
        <w:bottom w:val="none" w:sz="0" w:space="0" w:color="auto"/>
        <w:right w:val="none" w:sz="0" w:space="0" w:color="auto"/>
      </w:divBdr>
    </w:div>
    <w:div w:id="83723130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eeic.indianaffairs.gov/glossary/glossary.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eic.indianaffairs.gov/glossary/glossary.ht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eic.indianaffairs.gov/glossary/glossary.htm" TargetMode="External"/><Relationship Id="rId5" Type="http://schemas.openxmlformats.org/officeDocument/2006/relationships/webSettings" Target="webSettings.xml"/><Relationship Id="rId15" Type="http://schemas.openxmlformats.org/officeDocument/2006/relationships/hyperlink" Target="https://teeic.indianaffairs.gov/glossary/glossary.htm" TargetMode="External"/><Relationship Id="rId23" Type="http://schemas.microsoft.com/office/2016/09/relationships/commentsIds" Target="commentsIds.xml"/><Relationship Id="rId10" Type="http://schemas.openxmlformats.org/officeDocument/2006/relationships/hyperlink" Target="http://www.iveycase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yperlink" Target="https://teeic.indianaffairs.gov/glossary/gloss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8D6A5-D10B-4BF1-A0C2-29277026E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2482</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2018-06-04T14:18:00Z</dcterms:created>
  <dcterms:modified xsi:type="dcterms:W3CDTF">2018-06-08T11:36:00Z</dcterms:modified>
</cp:coreProperties>
</file>