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C7481" w14:textId="77777777" w:rsidR="004D69DE" w:rsidRDefault="004D69DE" w:rsidP="00B65245">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 w:val="24"/>
          <w:szCs w:val="16"/>
        </w:rPr>
        <w:drawing>
          <wp:inline distT="0" distB="0" distL="0" distR="0" wp14:anchorId="1D8E3961" wp14:editId="743C0C46">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5FE8B27" w14:textId="77777777" w:rsidR="00856D9F" w:rsidRPr="00570447"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312D14D6" w14:textId="1D178770" w:rsidR="00D75295" w:rsidRPr="00DA76CE" w:rsidRDefault="00570447" w:rsidP="00F105B7">
      <w:pPr>
        <w:pStyle w:val="ProductNumber"/>
        <w:rPr>
          <w:lang w:val="en-GB"/>
        </w:rPr>
      </w:pPr>
      <w:r>
        <w:rPr>
          <w:lang w:val="en-GB"/>
        </w:rPr>
        <w:t>9B18</w:t>
      </w:r>
      <w:r w:rsidR="004F2E74">
        <w:rPr>
          <w:lang w:val="en-GB"/>
        </w:rPr>
        <w:t>B012</w:t>
      </w:r>
    </w:p>
    <w:p w14:paraId="29851C07" w14:textId="77777777" w:rsidR="00D75295" w:rsidRPr="00DA76CE" w:rsidRDefault="00D75295" w:rsidP="00D75295">
      <w:pPr>
        <w:jc w:val="right"/>
        <w:rPr>
          <w:rFonts w:ascii="Arial" w:hAnsi="Arial"/>
          <w:b/>
          <w:sz w:val="28"/>
          <w:szCs w:val="28"/>
          <w:lang w:val="en-GB"/>
        </w:rPr>
      </w:pPr>
    </w:p>
    <w:p w14:paraId="7290FA8D" w14:textId="77777777" w:rsidR="00866F6D" w:rsidRDefault="00866F6D" w:rsidP="00D75295">
      <w:pPr>
        <w:jc w:val="right"/>
        <w:rPr>
          <w:rFonts w:ascii="Arial" w:hAnsi="Arial"/>
          <w:b/>
          <w:sz w:val="28"/>
          <w:szCs w:val="28"/>
          <w:lang w:val="en-GB"/>
        </w:rPr>
      </w:pPr>
    </w:p>
    <w:p w14:paraId="0F59870A" w14:textId="04EB9630" w:rsidR="00013360" w:rsidRPr="004D69DE" w:rsidRDefault="004D69DE" w:rsidP="004D69DE">
      <w:pPr>
        <w:pStyle w:val="CaseTitle"/>
        <w:rPr>
          <w:rFonts w:ascii="Times New Roman" w:hAnsi="Times New Roman" w:cs="Times New Roman"/>
        </w:rPr>
      </w:pPr>
      <w:r>
        <w:rPr>
          <w:lang w:val="en-GB"/>
        </w:rPr>
        <w:t xml:space="preserve">Metta Rest Spa: Should the Stricklands Lend? </w:t>
      </w:r>
    </w:p>
    <w:p w14:paraId="789E375D" w14:textId="4479D290" w:rsidR="00013360" w:rsidRPr="00DA76CE" w:rsidRDefault="00986486" w:rsidP="00104567">
      <w:pPr>
        <w:pStyle w:val="StyleCopyrightStatementAfter0ptBottomSinglesolidline1"/>
        <w:rPr>
          <w:lang w:val="en-GB"/>
        </w:rPr>
      </w:pPr>
      <w:r w:rsidRPr="00DA76CE">
        <w:rPr>
          <w:lang w:val="en-GB"/>
        </w:rPr>
        <w:t>Lindsay Clayton</w:t>
      </w:r>
      <w:r w:rsidR="007E5921" w:rsidRPr="00DA76CE">
        <w:rPr>
          <w:lang w:val="en-GB"/>
        </w:rPr>
        <w:t xml:space="preserve"> wrote this case sol</w:t>
      </w:r>
      <w:r w:rsidR="00D75295" w:rsidRPr="00DA76CE">
        <w:rPr>
          <w:lang w:val="en-GB"/>
        </w:rPr>
        <w:t>ely to provide material f</w:t>
      </w:r>
      <w:r w:rsidR="004D69DE">
        <w:rPr>
          <w:lang w:val="en-GB"/>
        </w:rPr>
        <w:t>or class discussion. The author</w:t>
      </w:r>
      <w:r w:rsidR="00D75295" w:rsidRPr="00DA76CE">
        <w:rPr>
          <w:lang w:val="en-GB"/>
        </w:rPr>
        <w:t xml:space="preserve"> do</w:t>
      </w:r>
      <w:r w:rsidR="004D69DE">
        <w:rPr>
          <w:lang w:val="en-GB"/>
        </w:rPr>
        <w:t>es</w:t>
      </w:r>
      <w:r w:rsidR="00D75295" w:rsidRPr="00DA76CE">
        <w:rPr>
          <w:lang w:val="en-GB"/>
        </w:rPr>
        <w:t xml:space="preserve"> not intend to illustrate either effective or ineffective handling of a managerial situation. The author may have disguised certain names and other identifying information to protect confidentiality.</w:t>
      </w:r>
    </w:p>
    <w:p w14:paraId="68BED57B" w14:textId="77777777" w:rsidR="00013360" w:rsidRPr="00DA76CE" w:rsidRDefault="00013360" w:rsidP="00104567">
      <w:pPr>
        <w:pStyle w:val="StyleCopyrightStatementAfter0ptBottomSinglesolidline1"/>
        <w:rPr>
          <w:lang w:val="en-GB"/>
        </w:rPr>
      </w:pPr>
    </w:p>
    <w:p w14:paraId="3EAFCD4F" w14:textId="70684AF9" w:rsidR="004D69DE" w:rsidRPr="00E23AB7" w:rsidRDefault="004D69DE" w:rsidP="00B6524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96412E8" w14:textId="77777777" w:rsidR="004D69DE" w:rsidRPr="00E23AB7" w:rsidRDefault="004D69DE" w:rsidP="00B65245">
      <w:pPr>
        <w:tabs>
          <w:tab w:val="right" w:pos="9360"/>
        </w:tabs>
        <w:autoSpaceDE w:val="0"/>
        <w:autoSpaceDN w:val="0"/>
        <w:adjustRightInd w:val="0"/>
        <w:jc w:val="both"/>
        <w:textAlignment w:val="center"/>
        <w:rPr>
          <w:rFonts w:ascii="Arial" w:hAnsi="Arial"/>
          <w:i/>
          <w:iCs/>
          <w:color w:val="000000"/>
          <w:sz w:val="16"/>
        </w:rPr>
      </w:pPr>
    </w:p>
    <w:p w14:paraId="412BBF07" w14:textId="5E2598F9" w:rsidR="003B7EF2" w:rsidRPr="004D69DE" w:rsidRDefault="004D69DE" w:rsidP="004D69DE">
      <w:pPr>
        <w:tabs>
          <w:tab w:val="right" w:pos="9360"/>
        </w:tabs>
        <w:autoSpaceDE w:val="0"/>
        <w:autoSpaceDN w:val="0"/>
        <w:adjustRightInd w:val="0"/>
        <w:jc w:val="both"/>
        <w:textAlignment w:val="center"/>
        <w:rPr>
          <w:rFonts w:ascii="Arial" w:hAnsi="Arial"/>
          <w:i/>
          <w:iCs/>
          <w:color w:val="000000"/>
          <w:sz w:val="16"/>
        </w:rPr>
      </w:pPr>
      <w:r w:rsidRPr="00B65245">
        <w:rPr>
          <w:rFonts w:ascii="Arial" w:hAnsi="Arial"/>
          <w:i/>
          <w:iCs/>
          <w:color w:val="000000"/>
          <w:sz w:val="16"/>
        </w:rPr>
        <w:t>Copyright © 201</w:t>
      </w:r>
      <w:r w:rsidR="00570447">
        <w:rPr>
          <w:rFonts w:ascii="Arial" w:hAnsi="Arial"/>
          <w:i/>
          <w:iCs/>
          <w:color w:val="000000"/>
          <w:sz w:val="16"/>
        </w:rPr>
        <w:t>8</w:t>
      </w:r>
      <w:r w:rsidRPr="00B65245">
        <w:rPr>
          <w:rFonts w:ascii="Arial" w:hAnsi="Arial"/>
          <w:i/>
          <w:iCs/>
          <w:color w:val="000000"/>
          <w:sz w:val="16"/>
        </w:rPr>
        <w:t>, Richard Ivey School of Business Foundation</w:t>
      </w:r>
      <w:r w:rsidR="003B7EF2" w:rsidRPr="00DA76CE">
        <w:rPr>
          <w:lang w:val="en-GB"/>
        </w:rPr>
        <w:tab/>
      </w:r>
      <w:r w:rsidR="003B7EF2" w:rsidRPr="004D69DE">
        <w:rPr>
          <w:rFonts w:ascii="Arial" w:hAnsi="Arial" w:cs="Arial"/>
          <w:i/>
          <w:sz w:val="16"/>
          <w:lang w:val="en-GB"/>
        </w:rPr>
        <w:t xml:space="preserve">Version: </w:t>
      </w:r>
      <w:r w:rsidR="00361C8E" w:rsidRPr="004D69DE">
        <w:rPr>
          <w:rFonts w:ascii="Arial" w:hAnsi="Arial" w:cs="Arial"/>
          <w:i/>
          <w:sz w:val="16"/>
          <w:lang w:val="en-GB"/>
        </w:rPr>
        <w:t>201</w:t>
      </w:r>
      <w:r w:rsidR="00570447">
        <w:rPr>
          <w:rFonts w:ascii="Arial" w:hAnsi="Arial" w:cs="Arial"/>
          <w:i/>
          <w:sz w:val="16"/>
          <w:lang w:val="en-GB"/>
        </w:rPr>
        <w:t>8</w:t>
      </w:r>
      <w:r w:rsidR="00361C8E" w:rsidRPr="004D69DE">
        <w:rPr>
          <w:rFonts w:ascii="Arial" w:hAnsi="Arial" w:cs="Arial"/>
          <w:i/>
          <w:sz w:val="16"/>
          <w:lang w:val="en-GB"/>
        </w:rPr>
        <w:t>-</w:t>
      </w:r>
      <w:r w:rsidR="00570447">
        <w:rPr>
          <w:rFonts w:ascii="Arial" w:hAnsi="Arial" w:cs="Arial"/>
          <w:i/>
          <w:sz w:val="16"/>
          <w:lang w:val="en-GB"/>
        </w:rPr>
        <w:t>07</w:t>
      </w:r>
      <w:r w:rsidR="00361C8E" w:rsidRPr="004D69DE">
        <w:rPr>
          <w:rFonts w:ascii="Arial" w:hAnsi="Arial" w:cs="Arial"/>
          <w:i/>
          <w:sz w:val="16"/>
          <w:lang w:val="en-GB"/>
        </w:rPr>
        <w:t>-</w:t>
      </w:r>
      <w:r w:rsidR="005E6B75">
        <w:rPr>
          <w:rFonts w:ascii="Arial" w:hAnsi="Arial" w:cs="Arial"/>
          <w:i/>
          <w:sz w:val="16"/>
          <w:lang w:val="en-GB"/>
        </w:rPr>
        <w:t>18</w:t>
      </w:r>
    </w:p>
    <w:p w14:paraId="464C58F8" w14:textId="77777777" w:rsidR="003B7EF2" w:rsidRPr="00570447" w:rsidRDefault="003B7EF2" w:rsidP="00104567">
      <w:pPr>
        <w:pStyle w:val="StyleCopyrightStatementAfter0ptBottomSinglesolidline1"/>
        <w:rPr>
          <w:rFonts w:ascii="Times New Roman" w:hAnsi="Times New Roman"/>
          <w:i w:val="0"/>
          <w:sz w:val="20"/>
          <w:lang w:val="en-GB"/>
        </w:rPr>
      </w:pPr>
    </w:p>
    <w:p w14:paraId="10C664C5" w14:textId="77777777" w:rsidR="00986486" w:rsidRPr="00570447" w:rsidRDefault="00986486" w:rsidP="00986486">
      <w:pPr>
        <w:pStyle w:val="BodyTextMain"/>
        <w:rPr>
          <w:sz w:val="20"/>
          <w:lang w:val="en-GB"/>
        </w:rPr>
      </w:pPr>
    </w:p>
    <w:p w14:paraId="26148254" w14:textId="11701F4B" w:rsidR="00986486" w:rsidRPr="00DA76CE" w:rsidRDefault="00986486" w:rsidP="00986486">
      <w:pPr>
        <w:pStyle w:val="BodyTextMain"/>
        <w:rPr>
          <w:lang w:val="en-GB"/>
        </w:rPr>
      </w:pPr>
      <w:r w:rsidRPr="00DA76CE">
        <w:rPr>
          <w:lang w:val="en-GB"/>
        </w:rPr>
        <w:t>Dan and Deanna Strickland were vacationing in Brazil when they received a call from their daughter, Natasha S</w:t>
      </w:r>
      <w:r w:rsidR="00EE55A6" w:rsidRPr="00DA76CE">
        <w:rPr>
          <w:lang w:val="en-GB"/>
        </w:rPr>
        <w:t>tr</w:t>
      </w:r>
      <w:r w:rsidRPr="00DA76CE">
        <w:rPr>
          <w:lang w:val="en-GB"/>
        </w:rPr>
        <w:t>ickland, one of the owners of Metta Rest Spa (Metta)</w:t>
      </w:r>
      <w:r w:rsidR="00A65385" w:rsidRPr="00DA76CE">
        <w:rPr>
          <w:lang w:val="en-GB"/>
        </w:rPr>
        <w:t>, a flotation spa</w:t>
      </w:r>
      <w:r w:rsidRPr="00DA76CE">
        <w:rPr>
          <w:lang w:val="en-GB"/>
        </w:rPr>
        <w:t xml:space="preserve"> in Vancouver, </w:t>
      </w:r>
      <w:r w:rsidR="006B7319">
        <w:rPr>
          <w:lang w:val="en-GB"/>
        </w:rPr>
        <w:t>British Columbia</w:t>
      </w:r>
      <w:r w:rsidRPr="00DA76CE">
        <w:rPr>
          <w:lang w:val="en-GB"/>
        </w:rPr>
        <w:t xml:space="preserve">, Canada. The </w:t>
      </w:r>
      <w:proofErr w:type="spellStart"/>
      <w:r w:rsidRPr="00DA76CE">
        <w:rPr>
          <w:lang w:val="en-GB"/>
        </w:rPr>
        <w:t>Stricklands</w:t>
      </w:r>
      <w:proofErr w:type="spellEnd"/>
      <w:r w:rsidRPr="00DA76CE">
        <w:rPr>
          <w:lang w:val="en-GB"/>
        </w:rPr>
        <w:t xml:space="preserve"> had already invested almost </w:t>
      </w:r>
      <w:r w:rsidR="000A45E4">
        <w:rPr>
          <w:lang w:val="en-GB"/>
        </w:rPr>
        <w:t>CA</w:t>
      </w:r>
      <w:r w:rsidRPr="00DA76CE">
        <w:rPr>
          <w:lang w:val="en-GB"/>
        </w:rPr>
        <w:t>$1.2 million</w:t>
      </w:r>
      <w:r w:rsidR="000A45E4">
        <w:rPr>
          <w:rStyle w:val="FootnoteReference"/>
          <w:lang w:val="en-GB"/>
        </w:rPr>
        <w:footnoteReference w:id="1"/>
      </w:r>
      <w:r w:rsidRPr="00DA76CE">
        <w:rPr>
          <w:lang w:val="en-GB"/>
        </w:rPr>
        <w:t xml:space="preserve"> in Natasha’s business when it opened in September 2014, and Natasha was in need of another $60,000 to keep the business afloat. The </w:t>
      </w:r>
      <w:proofErr w:type="spellStart"/>
      <w:r w:rsidRPr="00DA76CE">
        <w:rPr>
          <w:lang w:val="en-GB"/>
        </w:rPr>
        <w:t>Stricklands</w:t>
      </w:r>
      <w:proofErr w:type="spellEnd"/>
      <w:r w:rsidRPr="00DA76CE">
        <w:rPr>
          <w:lang w:val="en-GB"/>
        </w:rPr>
        <w:t xml:space="preserve"> sat down to review Metta’s 2015 financial statements</w:t>
      </w:r>
      <w:r w:rsidR="00A65385" w:rsidRPr="00DA76CE">
        <w:rPr>
          <w:lang w:val="en-GB"/>
        </w:rPr>
        <w:t>,</w:t>
      </w:r>
      <w:r w:rsidRPr="00DA76CE">
        <w:rPr>
          <w:lang w:val="en-GB"/>
        </w:rPr>
        <w:t xml:space="preserve"> but </w:t>
      </w:r>
      <w:r w:rsidR="00A65385" w:rsidRPr="00DA76CE">
        <w:rPr>
          <w:lang w:val="en-GB"/>
        </w:rPr>
        <w:t xml:space="preserve">they </w:t>
      </w:r>
      <w:r w:rsidRPr="00DA76CE">
        <w:rPr>
          <w:lang w:val="en-GB"/>
        </w:rPr>
        <w:t>also wondered what other information they shou</w:t>
      </w:r>
      <w:r w:rsidR="004F2E74">
        <w:rPr>
          <w:lang w:val="en-GB"/>
        </w:rPr>
        <w:t>ld be asking Natasha for</w:t>
      </w:r>
      <w:r w:rsidR="005E6B75">
        <w:rPr>
          <w:lang w:val="en-GB"/>
        </w:rPr>
        <w:t xml:space="preserve"> </w:t>
      </w:r>
      <w:r w:rsidR="005E6B75" w:rsidRPr="00DA76CE">
        <w:rPr>
          <w:lang w:val="en-GB"/>
        </w:rPr>
        <w:t>(see Exhibit 1)</w:t>
      </w:r>
      <w:r w:rsidR="004F2E74">
        <w:rPr>
          <w:lang w:val="en-GB"/>
        </w:rPr>
        <w:t>. They needed to decide whether to invest more money in the business or not by early 2016.</w:t>
      </w:r>
    </w:p>
    <w:p w14:paraId="7BD8A329" w14:textId="77777777" w:rsidR="00986486" w:rsidRPr="00570447" w:rsidRDefault="00986486" w:rsidP="00570447">
      <w:pPr>
        <w:pStyle w:val="BodyTextMain"/>
      </w:pPr>
    </w:p>
    <w:p w14:paraId="40F84325" w14:textId="77777777" w:rsidR="00986486" w:rsidRPr="00570447" w:rsidRDefault="00986486" w:rsidP="00570447">
      <w:pPr>
        <w:pStyle w:val="BodyTextMain"/>
      </w:pPr>
    </w:p>
    <w:p w14:paraId="0F34C7F9" w14:textId="77777777" w:rsidR="00986486" w:rsidRPr="00DA76CE" w:rsidRDefault="00986486" w:rsidP="00986486">
      <w:pPr>
        <w:pStyle w:val="Casehead1"/>
        <w:rPr>
          <w:lang w:val="en-GB"/>
        </w:rPr>
      </w:pPr>
      <w:r w:rsidRPr="00DA76CE">
        <w:rPr>
          <w:lang w:val="en-GB"/>
        </w:rPr>
        <w:t>Industry</w:t>
      </w:r>
    </w:p>
    <w:p w14:paraId="76E853A6" w14:textId="77777777" w:rsidR="00986486" w:rsidRPr="00DA76CE" w:rsidRDefault="00986486" w:rsidP="00986486">
      <w:pPr>
        <w:pStyle w:val="BodyTextMain"/>
        <w:rPr>
          <w:b/>
          <w:sz w:val="20"/>
          <w:lang w:val="en-GB"/>
        </w:rPr>
      </w:pPr>
    </w:p>
    <w:p w14:paraId="39291AEA" w14:textId="7F83D753" w:rsidR="00986486" w:rsidRPr="00DA76CE" w:rsidRDefault="00986486" w:rsidP="00986486">
      <w:pPr>
        <w:pStyle w:val="BodyTextMain"/>
        <w:rPr>
          <w:lang w:val="en-GB"/>
        </w:rPr>
      </w:pPr>
      <w:r w:rsidRPr="00DA76CE">
        <w:rPr>
          <w:lang w:val="en-GB"/>
        </w:rPr>
        <w:t>Flotation therapy (“floating”) was invented by U.S. neuroscientist John Lilly in the 1950s</w:t>
      </w:r>
      <w:r w:rsidR="007B03B4" w:rsidRPr="00DA76CE">
        <w:rPr>
          <w:lang w:val="en-GB"/>
        </w:rPr>
        <w:t>.</w:t>
      </w:r>
      <w:r w:rsidRPr="00DA76CE">
        <w:rPr>
          <w:vertAlign w:val="superscript"/>
          <w:lang w:val="en-GB"/>
        </w:rPr>
        <w:footnoteReference w:id="2"/>
      </w:r>
      <w:r w:rsidRPr="00DA76CE">
        <w:rPr>
          <w:lang w:val="en-GB"/>
        </w:rPr>
        <w:t xml:space="preserve"> Floating </w:t>
      </w:r>
      <w:r w:rsidR="000A45E4">
        <w:rPr>
          <w:lang w:val="en-GB"/>
        </w:rPr>
        <w:t>was</w:t>
      </w:r>
      <w:r w:rsidRPr="00DA76CE">
        <w:rPr>
          <w:lang w:val="en-GB"/>
        </w:rPr>
        <w:t xml:space="preserve"> </w:t>
      </w:r>
      <w:proofErr w:type="gramStart"/>
      <w:r w:rsidRPr="00DA76CE">
        <w:rPr>
          <w:lang w:val="en-GB"/>
        </w:rPr>
        <w:t>based</w:t>
      </w:r>
      <w:proofErr w:type="gramEnd"/>
      <w:r w:rsidRPr="00DA76CE">
        <w:rPr>
          <w:lang w:val="en-GB"/>
        </w:rPr>
        <w:t xml:space="preserve"> on a scientific approach to relaxation called </w:t>
      </w:r>
      <w:r w:rsidR="00A65385" w:rsidRPr="00DA76CE">
        <w:rPr>
          <w:lang w:val="en-GB"/>
        </w:rPr>
        <w:t>restrictive environmental stimulation technique (</w:t>
      </w:r>
      <w:r w:rsidRPr="00DA76CE">
        <w:rPr>
          <w:lang w:val="en-GB"/>
        </w:rPr>
        <w:t>REST</w:t>
      </w:r>
      <w:r w:rsidR="00A65385" w:rsidRPr="00DA76CE">
        <w:rPr>
          <w:lang w:val="en-GB"/>
        </w:rPr>
        <w:t xml:space="preserve">), </w:t>
      </w:r>
      <w:r w:rsidRPr="00DA76CE">
        <w:rPr>
          <w:lang w:val="en-GB"/>
        </w:rPr>
        <w:t xml:space="preserve">a </w:t>
      </w:r>
      <w:r w:rsidR="00A65385" w:rsidRPr="00DA76CE">
        <w:rPr>
          <w:lang w:val="en-GB"/>
        </w:rPr>
        <w:t>sensory-</w:t>
      </w:r>
      <w:r w:rsidRPr="00DA76CE">
        <w:rPr>
          <w:lang w:val="en-GB"/>
        </w:rPr>
        <w:t>deprivation practice that allow</w:t>
      </w:r>
      <w:r w:rsidR="000A45E4">
        <w:rPr>
          <w:lang w:val="en-GB"/>
        </w:rPr>
        <w:t>ed</w:t>
      </w:r>
      <w:r w:rsidRPr="00DA76CE">
        <w:rPr>
          <w:lang w:val="en-GB"/>
        </w:rPr>
        <w:t xml:space="preserve"> someone to float </w:t>
      </w:r>
      <w:r w:rsidR="00A65385" w:rsidRPr="00DA76CE">
        <w:rPr>
          <w:lang w:val="en-GB"/>
        </w:rPr>
        <w:t xml:space="preserve">weightlessly </w:t>
      </w:r>
      <w:r w:rsidRPr="00DA76CE">
        <w:rPr>
          <w:lang w:val="en-GB"/>
        </w:rPr>
        <w:t xml:space="preserve">in a tank or pod with no sound or light (see Exhibit 2). Floating had been proven </w:t>
      </w:r>
      <w:r w:rsidR="00A65385" w:rsidRPr="00DA76CE">
        <w:rPr>
          <w:lang w:val="en-GB"/>
        </w:rPr>
        <w:t xml:space="preserve">to </w:t>
      </w:r>
      <w:r w:rsidRPr="00DA76CE">
        <w:rPr>
          <w:lang w:val="en-GB"/>
        </w:rPr>
        <w:t>relieve countless aches and pains, increase concentration, improve memory</w:t>
      </w:r>
      <w:r w:rsidR="00A65385" w:rsidRPr="00DA76CE">
        <w:rPr>
          <w:lang w:val="en-GB"/>
        </w:rPr>
        <w:t>,</w:t>
      </w:r>
      <w:r w:rsidRPr="00DA76CE">
        <w:rPr>
          <w:lang w:val="en-GB"/>
        </w:rPr>
        <w:t xml:space="preserve"> and eliminate fears and phobias</w:t>
      </w:r>
      <w:r w:rsidR="00193B14" w:rsidRPr="00DA76CE">
        <w:rPr>
          <w:lang w:val="en-GB"/>
        </w:rPr>
        <w:t>.</w:t>
      </w:r>
      <w:r w:rsidRPr="00DA76CE">
        <w:rPr>
          <w:vertAlign w:val="superscript"/>
          <w:lang w:val="en-GB"/>
        </w:rPr>
        <w:footnoteReference w:id="3"/>
      </w:r>
      <w:r w:rsidRPr="00DA76CE">
        <w:rPr>
          <w:lang w:val="en-GB"/>
        </w:rPr>
        <w:t xml:space="preserve"> Customers usually floated for 60 to 90 minutes, showering both before and after e</w:t>
      </w:r>
      <w:r w:rsidR="003E67F3">
        <w:rPr>
          <w:lang w:val="en-GB"/>
        </w:rPr>
        <w:t xml:space="preserve">ntering the float pod or tank. </w:t>
      </w:r>
      <w:r w:rsidR="00CA0163" w:rsidRPr="00DA76CE">
        <w:rPr>
          <w:lang w:val="en-GB"/>
        </w:rPr>
        <w:t>To allow customers to</w:t>
      </w:r>
      <w:r w:rsidRPr="00DA76CE">
        <w:rPr>
          <w:lang w:val="en-GB"/>
        </w:rPr>
        <w:t xml:space="preserve"> float, 800 pounds of Epsom salt </w:t>
      </w:r>
      <w:r w:rsidR="00CA0163" w:rsidRPr="00DA76CE">
        <w:rPr>
          <w:lang w:val="en-GB"/>
        </w:rPr>
        <w:t xml:space="preserve">was </w:t>
      </w:r>
      <w:r w:rsidRPr="00DA76CE">
        <w:rPr>
          <w:lang w:val="en-GB"/>
        </w:rPr>
        <w:t xml:space="preserve">added to </w:t>
      </w:r>
      <w:r w:rsidR="00CA0163" w:rsidRPr="00DA76CE">
        <w:rPr>
          <w:lang w:val="en-GB"/>
        </w:rPr>
        <w:t xml:space="preserve">each tank of </w:t>
      </w:r>
      <w:r w:rsidRPr="00DA76CE">
        <w:rPr>
          <w:lang w:val="en-GB"/>
        </w:rPr>
        <w:t xml:space="preserve">body temperature water. Between customers, water </w:t>
      </w:r>
      <w:r w:rsidR="00CA0163" w:rsidRPr="00DA76CE">
        <w:rPr>
          <w:lang w:val="en-GB"/>
        </w:rPr>
        <w:t xml:space="preserve">was </w:t>
      </w:r>
      <w:r w:rsidRPr="00DA76CE">
        <w:rPr>
          <w:lang w:val="en-GB"/>
        </w:rPr>
        <w:t xml:space="preserve">filtered three times and more salt </w:t>
      </w:r>
      <w:r w:rsidR="00CA0163" w:rsidRPr="00DA76CE">
        <w:rPr>
          <w:lang w:val="en-GB"/>
        </w:rPr>
        <w:t xml:space="preserve">was </w:t>
      </w:r>
      <w:r w:rsidRPr="00DA76CE">
        <w:rPr>
          <w:lang w:val="en-GB"/>
        </w:rPr>
        <w:t xml:space="preserve">added if the concentration </w:t>
      </w:r>
      <w:r w:rsidR="00CA0163" w:rsidRPr="00DA76CE">
        <w:rPr>
          <w:lang w:val="en-GB"/>
        </w:rPr>
        <w:t>dropped</w:t>
      </w:r>
      <w:r w:rsidRPr="00DA76CE">
        <w:rPr>
          <w:lang w:val="en-GB"/>
        </w:rPr>
        <w:t>.</w:t>
      </w:r>
    </w:p>
    <w:p w14:paraId="78FA52F4" w14:textId="77777777" w:rsidR="00986486" w:rsidRPr="00DA76CE" w:rsidRDefault="00986486" w:rsidP="00986486">
      <w:pPr>
        <w:pStyle w:val="BodyTextMain"/>
        <w:rPr>
          <w:lang w:val="en-GB"/>
        </w:rPr>
      </w:pPr>
    </w:p>
    <w:p w14:paraId="4B21F8D0" w14:textId="16DDD7BE" w:rsidR="00986486" w:rsidRPr="00570447" w:rsidRDefault="00986486" w:rsidP="00986486">
      <w:pPr>
        <w:pStyle w:val="BodyTextMain"/>
        <w:rPr>
          <w:spacing w:val="-2"/>
          <w:kern w:val="22"/>
          <w:lang w:val="en-GB"/>
        </w:rPr>
      </w:pPr>
      <w:r w:rsidRPr="00570447">
        <w:rPr>
          <w:spacing w:val="-2"/>
          <w:kern w:val="22"/>
          <w:lang w:val="en-GB"/>
        </w:rPr>
        <w:t>Floating was popular with the general public in the 1970s; however, growth was halted in the 1980s due to uneducated fears about how the AIDS virus was transmitted</w:t>
      </w:r>
      <w:r w:rsidR="00E502FC" w:rsidRPr="00570447">
        <w:rPr>
          <w:spacing w:val="-2"/>
          <w:kern w:val="22"/>
          <w:lang w:val="en-GB"/>
        </w:rPr>
        <w:t>.</w:t>
      </w:r>
      <w:r w:rsidRPr="00570447">
        <w:rPr>
          <w:spacing w:val="-2"/>
          <w:kern w:val="22"/>
          <w:vertAlign w:val="superscript"/>
          <w:lang w:val="en-GB"/>
        </w:rPr>
        <w:footnoteReference w:id="4"/>
      </w:r>
      <w:r w:rsidRPr="00570447">
        <w:rPr>
          <w:spacing w:val="-2"/>
          <w:kern w:val="22"/>
          <w:lang w:val="en-GB"/>
        </w:rPr>
        <w:t xml:space="preserve"> </w:t>
      </w:r>
      <w:r w:rsidR="00CA0163" w:rsidRPr="00570447">
        <w:rPr>
          <w:spacing w:val="-2"/>
          <w:kern w:val="22"/>
          <w:lang w:val="en-GB"/>
        </w:rPr>
        <w:t>Floating became popular once again i</w:t>
      </w:r>
      <w:r w:rsidRPr="00570447">
        <w:rPr>
          <w:spacing w:val="-2"/>
          <w:kern w:val="22"/>
          <w:lang w:val="en-GB"/>
        </w:rPr>
        <w:t>n the early 2000s</w:t>
      </w:r>
      <w:r w:rsidR="00E502FC" w:rsidRPr="00570447">
        <w:rPr>
          <w:spacing w:val="-2"/>
          <w:kern w:val="22"/>
          <w:lang w:val="en-GB"/>
        </w:rPr>
        <w:t>,</w:t>
      </w:r>
      <w:r w:rsidRPr="00570447">
        <w:rPr>
          <w:spacing w:val="-2"/>
          <w:kern w:val="22"/>
          <w:lang w:val="en-GB"/>
        </w:rPr>
        <w:t xml:space="preserve"> and in 2012, Float On (a six-tank facility located in Portland, Oregon) </w:t>
      </w:r>
      <w:r w:rsidR="00CA0163" w:rsidRPr="00570447">
        <w:rPr>
          <w:spacing w:val="-2"/>
          <w:kern w:val="22"/>
          <w:lang w:val="en-GB"/>
        </w:rPr>
        <w:t xml:space="preserve">began to host </w:t>
      </w:r>
      <w:r w:rsidRPr="00570447">
        <w:rPr>
          <w:spacing w:val="-2"/>
          <w:kern w:val="22"/>
          <w:lang w:val="en-GB"/>
        </w:rPr>
        <w:t xml:space="preserve">an annual </w:t>
      </w:r>
      <w:r w:rsidR="00CA0163" w:rsidRPr="00570447">
        <w:rPr>
          <w:spacing w:val="-2"/>
          <w:kern w:val="22"/>
          <w:lang w:val="en-GB"/>
        </w:rPr>
        <w:t xml:space="preserve">float industry conference </w:t>
      </w:r>
      <w:r w:rsidRPr="00570447">
        <w:rPr>
          <w:spacing w:val="-2"/>
          <w:kern w:val="22"/>
          <w:lang w:val="en-GB"/>
        </w:rPr>
        <w:t>for float centre owners, researchers, prospective owners, and equipment manufacturers.</w:t>
      </w:r>
      <w:r w:rsidR="003E67F3" w:rsidRPr="00570447">
        <w:rPr>
          <w:spacing w:val="-2"/>
          <w:kern w:val="22"/>
          <w:lang w:val="en-GB"/>
        </w:rPr>
        <w:t xml:space="preserve"> </w:t>
      </w:r>
      <w:r w:rsidRPr="00570447">
        <w:rPr>
          <w:spacing w:val="-2"/>
          <w:kern w:val="22"/>
          <w:lang w:val="en-GB"/>
        </w:rPr>
        <w:t xml:space="preserve">A </w:t>
      </w:r>
      <w:r w:rsidR="00CA0163" w:rsidRPr="00570447">
        <w:rPr>
          <w:spacing w:val="-2"/>
          <w:kern w:val="22"/>
          <w:lang w:val="en-GB"/>
        </w:rPr>
        <w:t xml:space="preserve">state of the float industry </w:t>
      </w:r>
      <w:r w:rsidRPr="00570447">
        <w:rPr>
          <w:spacing w:val="-2"/>
          <w:kern w:val="22"/>
          <w:lang w:val="en-GB"/>
        </w:rPr>
        <w:t>survey conducted at the annual industry conference</w:t>
      </w:r>
      <w:r w:rsidR="00CA0163" w:rsidRPr="00570447">
        <w:rPr>
          <w:spacing w:val="-2"/>
          <w:kern w:val="22"/>
          <w:lang w:val="en-GB"/>
        </w:rPr>
        <w:t xml:space="preserve"> in 2016</w:t>
      </w:r>
      <w:r w:rsidRPr="00570447">
        <w:rPr>
          <w:spacing w:val="-2"/>
          <w:kern w:val="22"/>
          <w:lang w:val="en-GB"/>
        </w:rPr>
        <w:t xml:space="preserve"> collected information from 170 current float centre owners and 247 prospective float centre owner/operators (see Exhibit 3). </w:t>
      </w:r>
    </w:p>
    <w:p w14:paraId="270203CA" w14:textId="77777777" w:rsidR="00986486" w:rsidRPr="00DA76CE" w:rsidRDefault="00986486" w:rsidP="00986486">
      <w:pPr>
        <w:pStyle w:val="Casehead1"/>
        <w:rPr>
          <w:lang w:val="en-GB"/>
        </w:rPr>
      </w:pPr>
      <w:r w:rsidRPr="00DA76CE">
        <w:rPr>
          <w:lang w:val="en-GB"/>
        </w:rPr>
        <w:lastRenderedPageBreak/>
        <w:t xml:space="preserve">Customers </w:t>
      </w:r>
    </w:p>
    <w:p w14:paraId="13581E2C" w14:textId="77777777" w:rsidR="00986486" w:rsidRPr="00570447" w:rsidRDefault="00986486" w:rsidP="00570447">
      <w:pPr>
        <w:pStyle w:val="BodyTextMain"/>
      </w:pPr>
    </w:p>
    <w:p w14:paraId="6C5D1C1F" w14:textId="71A5AE83" w:rsidR="00986486" w:rsidRPr="00DA76CE" w:rsidRDefault="00986486" w:rsidP="00FC4CE9">
      <w:pPr>
        <w:pStyle w:val="BodyTextMain"/>
        <w:rPr>
          <w:lang w:val="en-GB"/>
        </w:rPr>
      </w:pPr>
      <w:r w:rsidRPr="00DA76CE">
        <w:rPr>
          <w:lang w:val="en-GB"/>
        </w:rPr>
        <w:t xml:space="preserve">Almost anyone was </w:t>
      </w:r>
      <w:r w:rsidR="00CA0163" w:rsidRPr="00DA76CE">
        <w:rPr>
          <w:lang w:val="en-GB"/>
        </w:rPr>
        <w:t>able to</w:t>
      </w:r>
      <w:r w:rsidRPr="00DA76CE">
        <w:rPr>
          <w:lang w:val="en-GB"/>
        </w:rPr>
        <w:t xml:space="preserve"> float</w:t>
      </w:r>
      <w:r w:rsidR="005E6B75">
        <w:rPr>
          <w:lang w:val="en-GB"/>
        </w:rPr>
        <w:t>. T</w:t>
      </w:r>
      <w:r w:rsidRPr="00DA76CE">
        <w:rPr>
          <w:lang w:val="en-GB"/>
        </w:rPr>
        <w:t>here were four main reasons that customers floated:</w:t>
      </w:r>
      <w:r w:rsidR="00CA0163" w:rsidRPr="00DA76CE">
        <w:rPr>
          <w:lang w:val="en-GB"/>
        </w:rPr>
        <w:t xml:space="preserve"> to relieve s</w:t>
      </w:r>
      <w:r w:rsidRPr="00DA76CE">
        <w:rPr>
          <w:lang w:val="en-GB"/>
        </w:rPr>
        <w:t xml:space="preserve">tress and </w:t>
      </w:r>
      <w:r w:rsidR="00CA0163" w:rsidRPr="00DA76CE">
        <w:rPr>
          <w:lang w:val="en-GB"/>
        </w:rPr>
        <w:t>a</w:t>
      </w:r>
      <w:r w:rsidRPr="00DA76CE">
        <w:rPr>
          <w:lang w:val="en-GB"/>
        </w:rPr>
        <w:t>nxiety</w:t>
      </w:r>
      <w:r w:rsidR="005E6B75">
        <w:rPr>
          <w:lang w:val="en-GB"/>
        </w:rPr>
        <w:t>;</w:t>
      </w:r>
      <w:r w:rsidR="00CA0163" w:rsidRPr="00DA76CE">
        <w:rPr>
          <w:lang w:val="en-GB"/>
        </w:rPr>
        <w:t xml:space="preserve"> </w:t>
      </w:r>
      <w:r w:rsidR="00347F82">
        <w:rPr>
          <w:lang w:val="en-GB"/>
        </w:rPr>
        <w:t xml:space="preserve">to </w:t>
      </w:r>
      <w:r w:rsidR="00CA0163" w:rsidRPr="00DA76CE">
        <w:rPr>
          <w:lang w:val="en-GB"/>
        </w:rPr>
        <w:t>manage p</w:t>
      </w:r>
      <w:r w:rsidRPr="00DA76CE">
        <w:rPr>
          <w:lang w:val="en-GB"/>
        </w:rPr>
        <w:t>ain</w:t>
      </w:r>
      <w:r w:rsidR="005E6B75">
        <w:rPr>
          <w:lang w:val="en-GB"/>
        </w:rPr>
        <w:t>;</w:t>
      </w:r>
      <w:r w:rsidR="00CA0163" w:rsidRPr="00DA76CE">
        <w:rPr>
          <w:lang w:val="en-GB"/>
        </w:rPr>
        <w:t xml:space="preserve"> </w:t>
      </w:r>
      <w:r w:rsidR="00347F82">
        <w:rPr>
          <w:lang w:val="en-GB"/>
        </w:rPr>
        <w:t xml:space="preserve">to </w:t>
      </w:r>
      <w:r w:rsidR="00CA0163" w:rsidRPr="00DA76CE">
        <w:rPr>
          <w:lang w:val="en-GB"/>
        </w:rPr>
        <w:t>generate c</w:t>
      </w:r>
      <w:r w:rsidRPr="00DA76CE">
        <w:rPr>
          <w:lang w:val="en-GB"/>
        </w:rPr>
        <w:t xml:space="preserve">reativity and </w:t>
      </w:r>
      <w:r w:rsidR="005E6B75">
        <w:rPr>
          <w:lang w:val="en-GB"/>
        </w:rPr>
        <w:t>ideas;</w:t>
      </w:r>
      <w:r w:rsidR="00CA0163" w:rsidRPr="00DA76CE">
        <w:rPr>
          <w:lang w:val="en-GB"/>
        </w:rPr>
        <w:t xml:space="preserve"> and </w:t>
      </w:r>
      <w:r w:rsidR="00347F82">
        <w:rPr>
          <w:lang w:val="en-GB"/>
        </w:rPr>
        <w:t xml:space="preserve">to </w:t>
      </w:r>
      <w:r w:rsidR="00CA0163" w:rsidRPr="00DA76CE">
        <w:rPr>
          <w:lang w:val="en-GB"/>
        </w:rPr>
        <w:t>improve a</w:t>
      </w:r>
      <w:r w:rsidRPr="00DA76CE">
        <w:rPr>
          <w:lang w:val="en-GB"/>
        </w:rPr>
        <w:t xml:space="preserve">thletic </w:t>
      </w:r>
      <w:r w:rsidR="00CA0163" w:rsidRPr="00DA76CE">
        <w:rPr>
          <w:lang w:val="en-GB"/>
        </w:rPr>
        <w:t>p</w:t>
      </w:r>
      <w:r w:rsidRPr="00DA76CE">
        <w:rPr>
          <w:lang w:val="en-GB"/>
        </w:rPr>
        <w:t>erformance</w:t>
      </w:r>
      <w:r w:rsidR="00CA0163" w:rsidRPr="00DA76CE">
        <w:rPr>
          <w:lang w:val="en-GB"/>
        </w:rPr>
        <w:t>.</w:t>
      </w:r>
    </w:p>
    <w:p w14:paraId="4B0CB2F8" w14:textId="77777777" w:rsidR="00986486" w:rsidRPr="00570447" w:rsidRDefault="00986486" w:rsidP="00570447">
      <w:pPr>
        <w:pStyle w:val="BodyTextMain"/>
      </w:pPr>
    </w:p>
    <w:p w14:paraId="413AA88A" w14:textId="77777777" w:rsidR="00986486" w:rsidRPr="00570447" w:rsidRDefault="00986486" w:rsidP="00570447">
      <w:pPr>
        <w:pStyle w:val="BodyTextMain"/>
      </w:pPr>
    </w:p>
    <w:p w14:paraId="026084D0" w14:textId="77777777" w:rsidR="00986486" w:rsidRPr="00DA76CE" w:rsidRDefault="00986486" w:rsidP="00986486">
      <w:pPr>
        <w:pStyle w:val="Casehead2"/>
        <w:rPr>
          <w:lang w:val="en-GB"/>
        </w:rPr>
      </w:pPr>
      <w:r w:rsidRPr="00DA76CE">
        <w:rPr>
          <w:lang w:val="en-GB"/>
        </w:rPr>
        <w:t>Stress and Anxiety Relief</w:t>
      </w:r>
    </w:p>
    <w:p w14:paraId="4BD3C866" w14:textId="77777777" w:rsidR="00986486" w:rsidRPr="00DA76CE" w:rsidRDefault="00986486" w:rsidP="00570447">
      <w:pPr>
        <w:pStyle w:val="BodyTextMain"/>
        <w:rPr>
          <w:lang w:val="en-GB"/>
        </w:rPr>
      </w:pPr>
    </w:p>
    <w:p w14:paraId="16BBCAAD" w14:textId="34A745B4" w:rsidR="00986486" w:rsidRPr="00DA76CE" w:rsidRDefault="00986486" w:rsidP="00986486">
      <w:pPr>
        <w:pStyle w:val="BodyTextMain"/>
        <w:rPr>
          <w:lang w:val="en-GB"/>
        </w:rPr>
      </w:pPr>
      <w:r w:rsidRPr="00DA76CE">
        <w:rPr>
          <w:lang w:val="en-GB"/>
        </w:rPr>
        <w:t xml:space="preserve">Anyone who felt </w:t>
      </w:r>
      <w:r w:rsidR="00E67FC4" w:rsidRPr="00DA76CE">
        <w:rPr>
          <w:lang w:val="en-GB"/>
        </w:rPr>
        <w:t xml:space="preserve">burned </w:t>
      </w:r>
      <w:r w:rsidRPr="00DA76CE">
        <w:rPr>
          <w:lang w:val="en-GB"/>
        </w:rPr>
        <w:t>out or overwhelmed could benefit from 60- to 90-minute flotation therapy sessions</w:t>
      </w:r>
      <w:r w:rsidR="00E67FC4" w:rsidRPr="00DA76CE">
        <w:rPr>
          <w:lang w:val="en-GB"/>
        </w:rPr>
        <w:t>,</w:t>
      </w:r>
      <w:r w:rsidRPr="00DA76CE">
        <w:rPr>
          <w:lang w:val="en-GB"/>
        </w:rPr>
        <w:t xml:space="preserve"> where light and noise were eliminated. Many avid floaters described entering a deep state of relaxation or actual sleep. Flotation therapy left customers feeling relaxed and rejuvenated.</w:t>
      </w:r>
    </w:p>
    <w:p w14:paraId="3D5AFC41" w14:textId="77777777" w:rsidR="00986486" w:rsidRPr="00570447" w:rsidRDefault="00986486" w:rsidP="00570447">
      <w:pPr>
        <w:pStyle w:val="BodyTextMain"/>
      </w:pPr>
    </w:p>
    <w:p w14:paraId="668C264C" w14:textId="77777777" w:rsidR="00986486" w:rsidRPr="00570447" w:rsidRDefault="00986486" w:rsidP="00570447">
      <w:pPr>
        <w:pStyle w:val="BodyTextMain"/>
      </w:pPr>
    </w:p>
    <w:p w14:paraId="29A625E6" w14:textId="77777777" w:rsidR="00986486" w:rsidRPr="00DA76CE" w:rsidRDefault="00986486" w:rsidP="00986486">
      <w:pPr>
        <w:pStyle w:val="Casehead2"/>
        <w:rPr>
          <w:lang w:val="en-GB"/>
        </w:rPr>
      </w:pPr>
      <w:r w:rsidRPr="00DA76CE">
        <w:rPr>
          <w:lang w:val="en-GB"/>
        </w:rPr>
        <w:t>Pain Management</w:t>
      </w:r>
    </w:p>
    <w:p w14:paraId="6608BECC" w14:textId="77777777" w:rsidR="00986486" w:rsidRPr="00DA76CE" w:rsidRDefault="00986486" w:rsidP="00570447">
      <w:pPr>
        <w:pStyle w:val="BodyTextMain"/>
        <w:rPr>
          <w:lang w:val="en-GB"/>
        </w:rPr>
      </w:pPr>
    </w:p>
    <w:p w14:paraId="788C7491" w14:textId="2983A533" w:rsidR="00986486" w:rsidRPr="00DA76CE" w:rsidRDefault="00986486" w:rsidP="00986486">
      <w:pPr>
        <w:pStyle w:val="BodyTextMain"/>
        <w:rPr>
          <w:lang w:val="en-GB"/>
        </w:rPr>
      </w:pPr>
      <w:r w:rsidRPr="00DA76CE">
        <w:rPr>
          <w:lang w:val="en-GB"/>
        </w:rPr>
        <w:t>Knee pain, back pain, neck pain</w:t>
      </w:r>
      <w:r w:rsidR="00E67FC4" w:rsidRPr="00DA76CE">
        <w:rPr>
          <w:lang w:val="en-GB"/>
        </w:rPr>
        <w:t>,</w:t>
      </w:r>
      <w:r w:rsidRPr="00DA76CE">
        <w:rPr>
          <w:lang w:val="en-GB"/>
        </w:rPr>
        <w:t xml:space="preserve"> </w:t>
      </w:r>
      <w:r w:rsidR="00C019C8">
        <w:rPr>
          <w:lang w:val="en-GB"/>
        </w:rPr>
        <w:t>and</w:t>
      </w:r>
      <w:r w:rsidRPr="00DA76CE">
        <w:rPr>
          <w:lang w:val="en-GB"/>
        </w:rPr>
        <w:t xml:space="preserve"> </w:t>
      </w:r>
      <w:r w:rsidR="00E67FC4" w:rsidRPr="00DA76CE">
        <w:rPr>
          <w:lang w:val="en-GB"/>
        </w:rPr>
        <w:t>pregnancy-</w:t>
      </w:r>
      <w:r w:rsidRPr="00DA76CE">
        <w:rPr>
          <w:lang w:val="en-GB"/>
        </w:rPr>
        <w:t>related pain could all be managed effectively with flotation therapy. The weightlessness took stress off muscles, joints</w:t>
      </w:r>
      <w:r w:rsidR="00E67FC4" w:rsidRPr="00DA76CE">
        <w:rPr>
          <w:lang w:val="en-GB"/>
        </w:rPr>
        <w:t>,</w:t>
      </w:r>
      <w:r w:rsidRPr="00DA76CE">
        <w:rPr>
          <w:lang w:val="en-GB"/>
        </w:rPr>
        <w:t xml:space="preserve"> and bones</w:t>
      </w:r>
      <w:r w:rsidR="00E67FC4" w:rsidRPr="00DA76CE">
        <w:rPr>
          <w:lang w:val="en-GB"/>
        </w:rPr>
        <w:t xml:space="preserve">, </w:t>
      </w:r>
      <w:r w:rsidRPr="00DA76CE">
        <w:rPr>
          <w:lang w:val="en-GB"/>
        </w:rPr>
        <w:t>providing relief from even serious chronic pain conditions such as arthritis and fibromyalgia.</w:t>
      </w:r>
    </w:p>
    <w:p w14:paraId="3F60E46C" w14:textId="77777777" w:rsidR="00986486" w:rsidRPr="00570447" w:rsidRDefault="00986486" w:rsidP="00570447">
      <w:pPr>
        <w:pStyle w:val="BodyTextMain"/>
      </w:pPr>
    </w:p>
    <w:p w14:paraId="0327E5EB" w14:textId="77777777" w:rsidR="00986486" w:rsidRPr="00570447" w:rsidRDefault="00986486" w:rsidP="00570447">
      <w:pPr>
        <w:pStyle w:val="BodyTextMain"/>
      </w:pPr>
    </w:p>
    <w:p w14:paraId="2CAC2451" w14:textId="77777777" w:rsidR="00986486" w:rsidRPr="00DA76CE" w:rsidRDefault="00986486" w:rsidP="00986486">
      <w:pPr>
        <w:pStyle w:val="Casehead2"/>
        <w:rPr>
          <w:lang w:val="en-GB"/>
        </w:rPr>
      </w:pPr>
      <w:r w:rsidRPr="00DA76CE">
        <w:rPr>
          <w:lang w:val="en-GB"/>
        </w:rPr>
        <w:t>Creativity and Idea Generation</w:t>
      </w:r>
    </w:p>
    <w:p w14:paraId="62F9F6E4" w14:textId="77777777" w:rsidR="00986486" w:rsidRPr="00DA76CE" w:rsidRDefault="00986486" w:rsidP="00570447">
      <w:pPr>
        <w:pStyle w:val="BodyTextMain"/>
        <w:rPr>
          <w:lang w:val="en-GB"/>
        </w:rPr>
      </w:pPr>
    </w:p>
    <w:p w14:paraId="2A8173E7" w14:textId="672ACB66" w:rsidR="00986486" w:rsidRPr="00DA76CE" w:rsidRDefault="00986486" w:rsidP="00986486">
      <w:pPr>
        <w:pStyle w:val="BodyTextMain"/>
        <w:rPr>
          <w:lang w:val="en-GB"/>
        </w:rPr>
      </w:pPr>
      <w:r w:rsidRPr="00DA76CE">
        <w:rPr>
          <w:lang w:val="en-GB"/>
        </w:rPr>
        <w:t>When other senses were limited, th</w:t>
      </w:r>
      <w:r w:rsidR="00E67FC4" w:rsidRPr="00DA76CE">
        <w:rPr>
          <w:lang w:val="en-GB"/>
        </w:rPr>
        <w:t xml:space="preserve">ose </w:t>
      </w:r>
      <w:r w:rsidRPr="00DA76CE">
        <w:rPr>
          <w:lang w:val="en-GB"/>
        </w:rPr>
        <w:t xml:space="preserve">that remained could be sharpened. With no sensory information to process, the brain was free to focus on one specific problem or to wander and explore new ideas that may otherwise not have been </w:t>
      </w:r>
      <w:r w:rsidR="00E67FC4" w:rsidRPr="00DA76CE">
        <w:rPr>
          <w:lang w:val="en-GB"/>
        </w:rPr>
        <w:t>accessible</w:t>
      </w:r>
      <w:r w:rsidRPr="00DA76CE">
        <w:rPr>
          <w:lang w:val="en-GB"/>
        </w:rPr>
        <w:t xml:space="preserve">. </w:t>
      </w:r>
      <w:r w:rsidR="005E6B75">
        <w:rPr>
          <w:lang w:val="en-GB"/>
        </w:rPr>
        <w:t>Some corporations</w:t>
      </w:r>
      <w:r w:rsidRPr="00DA76CE">
        <w:rPr>
          <w:lang w:val="en-GB"/>
        </w:rPr>
        <w:t xml:space="preserve"> send employees to flotation therapy sessions followed by creative brainstorming session</w:t>
      </w:r>
      <w:r w:rsidR="00E67FC4" w:rsidRPr="00DA76CE">
        <w:rPr>
          <w:lang w:val="en-GB"/>
        </w:rPr>
        <w:t>s</w:t>
      </w:r>
      <w:r w:rsidRPr="00DA76CE">
        <w:rPr>
          <w:lang w:val="en-GB"/>
        </w:rPr>
        <w:t>. Students have experienced improved memor</w:t>
      </w:r>
      <w:r w:rsidR="00C019C8">
        <w:rPr>
          <w:lang w:val="en-GB"/>
        </w:rPr>
        <w:t>y</w:t>
      </w:r>
      <w:r w:rsidRPr="00DA76CE">
        <w:rPr>
          <w:lang w:val="en-GB"/>
        </w:rPr>
        <w:t xml:space="preserve"> and improved test scores by floating.</w:t>
      </w:r>
    </w:p>
    <w:p w14:paraId="43482E0C" w14:textId="77777777" w:rsidR="00986486" w:rsidRPr="00570447" w:rsidRDefault="00986486" w:rsidP="00570447">
      <w:pPr>
        <w:pStyle w:val="BodyTextMain"/>
      </w:pPr>
    </w:p>
    <w:p w14:paraId="431B66FD" w14:textId="77777777" w:rsidR="00986486" w:rsidRPr="00570447" w:rsidRDefault="00986486" w:rsidP="00570447">
      <w:pPr>
        <w:pStyle w:val="BodyTextMain"/>
      </w:pPr>
    </w:p>
    <w:p w14:paraId="0D4ACF94" w14:textId="77777777" w:rsidR="00986486" w:rsidRPr="00DA76CE" w:rsidRDefault="00986486" w:rsidP="00986486">
      <w:pPr>
        <w:pStyle w:val="Casehead2"/>
        <w:rPr>
          <w:lang w:val="en-GB"/>
        </w:rPr>
      </w:pPr>
      <w:r w:rsidRPr="00DA76CE">
        <w:rPr>
          <w:lang w:val="en-GB"/>
        </w:rPr>
        <w:t>Athletic Performance</w:t>
      </w:r>
    </w:p>
    <w:p w14:paraId="0A0A282D" w14:textId="77777777" w:rsidR="00986486" w:rsidRPr="00DA76CE" w:rsidRDefault="00986486" w:rsidP="00570447">
      <w:pPr>
        <w:pStyle w:val="BodyTextMain"/>
        <w:rPr>
          <w:lang w:val="en-GB"/>
        </w:rPr>
      </w:pPr>
    </w:p>
    <w:p w14:paraId="42B3FDCB" w14:textId="07AF7A0C" w:rsidR="00986486" w:rsidRPr="00DA76CE" w:rsidRDefault="00E67FC4" w:rsidP="00986486">
      <w:pPr>
        <w:pStyle w:val="BodyTextMain"/>
        <w:rPr>
          <w:lang w:val="en-GB"/>
        </w:rPr>
      </w:pPr>
      <w:r w:rsidRPr="00DA76CE">
        <w:rPr>
          <w:lang w:val="en-GB"/>
        </w:rPr>
        <w:t>Professional athletes Stephen Curry, a National Basketball Association (</w:t>
      </w:r>
      <w:r w:rsidR="00986486" w:rsidRPr="00DA76CE">
        <w:rPr>
          <w:lang w:val="en-GB"/>
        </w:rPr>
        <w:t>NBA</w:t>
      </w:r>
      <w:r w:rsidRPr="00DA76CE">
        <w:rPr>
          <w:lang w:val="en-GB"/>
        </w:rPr>
        <w:t>)</w:t>
      </w:r>
      <w:r w:rsidR="00986486" w:rsidRPr="00DA76CE">
        <w:rPr>
          <w:lang w:val="en-GB"/>
        </w:rPr>
        <w:t xml:space="preserve"> </w:t>
      </w:r>
      <w:r w:rsidRPr="00DA76CE">
        <w:rPr>
          <w:lang w:val="en-GB"/>
        </w:rPr>
        <w:t>all-star,</w:t>
      </w:r>
      <w:r w:rsidR="00986486" w:rsidRPr="00DA76CE">
        <w:rPr>
          <w:lang w:val="en-GB"/>
        </w:rPr>
        <w:t xml:space="preserve"> and </w:t>
      </w:r>
      <w:r w:rsidRPr="00DA76CE">
        <w:rPr>
          <w:lang w:val="en-GB"/>
        </w:rPr>
        <w:t>J. J. Watt, a National Football League (</w:t>
      </w:r>
      <w:r w:rsidR="00986486" w:rsidRPr="00DA76CE">
        <w:rPr>
          <w:lang w:val="en-GB"/>
        </w:rPr>
        <w:t>NFL</w:t>
      </w:r>
      <w:r w:rsidRPr="00DA76CE">
        <w:rPr>
          <w:lang w:val="en-GB"/>
        </w:rPr>
        <w:t>)</w:t>
      </w:r>
      <w:r w:rsidR="00986486" w:rsidRPr="00DA76CE">
        <w:rPr>
          <w:lang w:val="en-GB"/>
        </w:rPr>
        <w:t xml:space="preserve"> </w:t>
      </w:r>
      <w:proofErr w:type="spellStart"/>
      <w:r w:rsidR="00982A6B" w:rsidRPr="00DA76CE">
        <w:rPr>
          <w:lang w:val="en-GB"/>
        </w:rPr>
        <w:t>linebacker</w:t>
      </w:r>
      <w:proofErr w:type="spellEnd"/>
      <w:r w:rsidRPr="00DA76CE">
        <w:rPr>
          <w:lang w:val="en-GB"/>
        </w:rPr>
        <w:t>,</w:t>
      </w:r>
      <w:r w:rsidR="00986486" w:rsidRPr="00DA76CE">
        <w:rPr>
          <w:lang w:val="en-GB"/>
        </w:rPr>
        <w:t xml:space="preserve"> </w:t>
      </w:r>
      <w:r w:rsidRPr="00DA76CE">
        <w:rPr>
          <w:lang w:val="en-GB"/>
        </w:rPr>
        <w:t xml:space="preserve">had </w:t>
      </w:r>
      <w:r w:rsidR="00986486" w:rsidRPr="00DA76CE">
        <w:rPr>
          <w:lang w:val="en-GB"/>
        </w:rPr>
        <w:t>advocated for flotation therapy as a way to improve athletic performance.</w:t>
      </w:r>
      <w:r w:rsidR="005E6B75" w:rsidRPr="00DA76CE">
        <w:rPr>
          <w:vertAlign w:val="superscript"/>
          <w:lang w:val="en-GB"/>
        </w:rPr>
        <w:footnoteReference w:id="5"/>
      </w:r>
      <w:r w:rsidR="00986486" w:rsidRPr="00DA76CE">
        <w:rPr>
          <w:lang w:val="en-GB"/>
        </w:rPr>
        <w:t xml:space="preserve"> The physical benefits included pain relief, </w:t>
      </w:r>
      <w:r w:rsidRPr="00DA76CE">
        <w:rPr>
          <w:lang w:val="en-GB"/>
        </w:rPr>
        <w:t xml:space="preserve">better sleep, and </w:t>
      </w:r>
      <w:r w:rsidR="00986486" w:rsidRPr="00DA76CE">
        <w:rPr>
          <w:lang w:val="en-GB"/>
        </w:rPr>
        <w:t xml:space="preserve">healing </w:t>
      </w:r>
      <w:r w:rsidRPr="00DA76CE">
        <w:rPr>
          <w:lang w:val="en-GB"/>
        </w:rPr>
        <w:t xml:space="preserve">induced by </w:t>
      </w:r>
      <w:r w:rsidR="00986486" w:rsidRPr="00DA76CE">
        <w:rPr>
          <w:lang w:val="en-GB"/>
        </w:rPr>
        <w:t>the Epsom salt. The mental benefits were focus, positive visualization</w:t>
      </w:r>
      <w:r w:rsidRPr="00DA76CE">
        <w:rPr>
          <w:lang w:val="en-GB"/>
        </w:rPr>
        <w:t>,</w:t>
      </w:r>
      <w:r w:rsidR="00986486" w:rsidRPr="00DA76CE">
        <w:rPr>
          <w:lang w:val="en-GB"/>
        </w:rPr>
        <w:t xml:space="preserve"> and stress relief.</w:t>
      </w:r>
    </w:p>
    <w:p w14:paraId="0E1C3E79" w14:textId="77777777" w:rsidR="00986486" w:rsidRPr="00570447" w:rsidRDefault="00986486" w:rsidP="00570447">
      <w:pPr>
        <w:pStyle w:val="BodyTextMain"/>
      </w:pPr>
    </w:p>
    <w:p w14:paraId="68226CEA" w14:textId="77777777" w:rsidR="00570447" w:rsidRPr="00570447" w:rsidRDefault="00570447" w:rsidP="00570447">
      <w:pPr>
        <w:pStyle w:val="BodyTextMain"/>
      </w:pPr>
    </w:p>
    <w:p w14:paraId="3A938F78" w14:textId="77777777" w:rsidR="00986486" w:rsidRPr="00DA76CE" w:rsidRDefault="00986486" w:rsidP="00986486">
      <w:pPr>
        <w:pStyle w:val="Casehead1"/>
        <w:rPr>
          <w:lang w:val="en-GB"/>
        </w:rPr>
      </w:pPr>
      <w:r w:rsidRPr="00DA76CE">
        <w:rPr>
          <w:lang w:val="en-GB"/>
        </w:rPr>
        <w:t>Company Background</w:t>
      </w:r>
    </w:p>
    <w:p w14:paraId="49F3BF97" w14:textId="77777777" w:rsidR="00986486" w:rsidRPr="00DA76CE" w:rsidRDefault="00986486" w:rsidP="00986486">
      <w:pPr>
        <w:pStyle w:val="BodyTextMain"/>
        <w:rPr>
          <w:lang w:val="en-GB"/>
        </w:rPr>
      </w:pPr>
    </w:p>
    <w:p w14:paraId="2709EB42" w14:textId="37847B3E" w:rsidR="00986486" w:rsidRDefault="00986486" w:rsidP="00986486">
      <w:pPr>
        <w:pStyle w:val="BodyTextMain"/>
        <w:rPr>
          <w:lang w:val="en-GB"/>
        </w:rPr>
      </w:pPr>
      <w:r w:rsidRPr="00DA76CE">
        <w:rPr>
          <w:lang w:val="en-GB"/>
        </w:rPr>
        <w:t>Metta was founded by three partners</w:t>
      </w:r>
      <w:r w:rsidR="00E67FC4" w:rsidRPr="00DA76CE">
        <w:rPr>
          <w:lang w:val="en-GB"/>
        </w:rPr>
        <w:t>—</w:t>
      </w:r>
      <w:r w:rsidRPr="00DA76CE">
        <w:rPr>
          <w:lang w:val="en-GB"/>
        </w:rPr>
        <w:t>Natasha Strickland, Kimberly Paulson</w:t>
      </w:r>
      <w:r w:rsidR="00E67FC4" w:rsidRPr="00DA76CE">
        <w:rPr>
          <w:lang w:val="en-GB"/>
        </w:rPr>
        <w:t>,</w:t>
      </w:r>
      <w:r w:rsidRPr="00DA76CE">
        <w:rPr>
          <w:lang w:val="en-GB"/>
        </w:rPr>
        <w:t xml:space="preserve"> and Charlie Paulson</w:t>
      </w:r>
      <w:r w:rsidR="00E67FC4" w:rsidRPr="00DA76CE">
        <w:rPr>
          <w:lang w:val="en-GB"/>
        </w:rPr>
        <w:t xml:space="preserve">—all of whom </w:t>
      </w:r>
      <w:r w:rsidRPr="00DA76CE">
        <w:rPr>
          <w:lang w:val="en-GB"/>
        </w:rPr>
        <w:t>had been “utterly transformed” by the practice of floating</w:t>
      </w:r>
      <w:r w:rsidR="00C019C8">
        <w:rPr>
          <w:lang w:val="en-GB"/>
        </w:rPr>
        <w:t>,</w:t>
      </w:r>
      <w:r w:rsidRPr="00DA76CE">
        <w:rPr>
          <w:lang w:val="en-GB"/>
        </w:rPr>
        <w:t xml:space="preserve"> and </w:t>
      </w:r>
      <w:r w:rsidR="00E67FC4" w:rsidRPr="00DA76CE">
        <w:rPr>
          <w:lang w:val="en-GB"/>
        </w:rPr>
        <w:t xml:space="preserve">who </w:t>
      </w:r>
      <w:r w:rsidRPr="00DA76CE">
        <w:rPr>
          <w:lang w:val="en-GB"/>
        </w:rPr>
        <w:t xml:space="preserve">had a common interest in owning and operating a float centre. Metta claimed to be Vancouver’s most luxurious float spa, offering </w:t>
      </w:r>
      <w:r w:rsidR="00E67FC4" w:rsidRPr="00DA76CE">
        <w:rPr>
          <w:lang w:val="en-GB"/>
        </w:rPr>
        <w:t>state-of-the-</w:t>
      </w:r>
      <w:r w:rsidRPr="00DA76CE">
        <w:rPr>
          <w:lang w:val="en-GB"/>
        </w:rPr>
        <w:t>art relaxation treatments</w:t>
      </w:r>
      <w:r w:rsidR="00034EC1" w:rsidRPr="00DA76CE">
        <w:rPr>
          <w:lang w:val="en-GB"/>
        </w:rPr>
        <w:t xml:space="preserve"> (see Exhibit 4)</w:t>
      </w:r>
      <w:r w:rsidR="00570447">
        <w:rPr>
          <w:lang w:val="en-GB"/>
        </w:rPr>
        <w:t>.</w:t>
      </w:r>
    </w:p>
    <w:p w14:paraId="5A6A351D" w14:textId="77777777" w:rsidR="00570447" w:rsidRPr="00DA76CE" w:rsidRDefault="00570447" w:rsidP="00986486">
      <w:pPr>
        <w:pStyle w:val="BodyTextMain"/>
        <w:rPr>
          <w:lang w:val="en-GB"/>
        </w:rPr>
      </w:pPr>
    </w:p>
    <w:p w14:paraId="519638DC" w14:textId="7A77310D" w:rsidR="00986486" w:rsidRPr="00DA76CE" w:rsidRDefault="00986486" w:rsidP="00986486">
      <w:pPr>
        <w:pStyle w:val="BodyTextMain"/>
        <w:rPr>
          <w:lang w:val="en-GB"/>
        </w:rPr>
      </w:pPr>
      <w:r w:rsidRPr="00DA76CE">
        <w:rPr>
          <w:lang w:val="en-GB"/>
        </w:rPr>
        <w:t>Metta had flotation tanks in seven private rooms</w:t>
      </w:r>
      <w:r w:rsidR="00E1030E" w:rsidRPr="00DA76CE">
        <w:rPr>
          <w:lang w:val="en-GB"/>
        </w:rPr>
        <w:t>,</w:t>
      </w:r>
      <w:r w:rsidRPr="00DA76CE">
        <w:rPr>
          <w:lang w:val="en-GB"/>
        </w:rPr>
        <w:t xml:space="preserve"> each with its own shower facilities. </w:t>
      </w:r>
      <w:r w:rsidR="00E1030E" w:rsidRPr="00DA76CE">
        <w:rPr>
          <w:lang w:val="en-GB"/>
        </w:rPr>
        <w:t>Each</w:t>
      </w:r>
      <w:r w:rsidRPr="00DA76CE">
        <w:rPr>
          <w:lang w:val="en-GB"/>
        </w:rPr>
        <w:t xml:space="preserve"> room had a towel, face cloth, bath mat, neck support, earplugs, barrier cream (for any cuts), shower gel, shampoo</w:t>
      </w:r>
      <w:r w:rsidR="00E1030E" w:rsidRPr="00DA76CE">
        <w:rPr>
          <w:lang w:val="en-GB"/>
        </w:rPr>
        <w:t>,</w:t>
      </w:r>
      <w:r w:rsidRPr="00DA76CE">
        <w:rPr>
          <w:lang w:val="en-GB"/>
        </w:rPr>
        <w:t xml:space="preserve"> and conditioner. Metta’s pods were </w:t>
      </w:r>
      <w:r w:rsidR="005E6B75">
        <w:rPr>
          <w:lang w:val="en-GB"/>
        </w:rPr>
        <w:t>filtered</w:t>
      </w:r>
      <w:r w:rsidRPr="00DA76CE">
        <w:rPr>
          <w:lang w:val="en-GB"/>
        </w:rPr>
        <w:t xml:space="preserve"> after each guest float</w:t>
      </w:r>
      <w:r w:rsidR="00C019C8">
        <w:rPr>
          <w:lang w:val="en-GB"/>
        </w:rPr>
        <w:t>,</w:t>
      </w:r>
      <w:r w:rsidRPr="00DA76CE">
        <w:rPr>
          <w:lang w:val="en-GB"/>
        </w:rPr>
        <w:t xml:space="preserve"> and sanitized between guests. </w:t>
      </w:r>
      <w:r w:rsidR="00E1030E" w:rsidRPr="00DA76CE">
        <w:rPr>
          <w:lang w:val="en-GB"/>
        </w:rPr>
        <w:t>W</w:t>
      </w:r>
      <w:r w:rsidRPr="00DA76CE">
        <w:rPr>
          <w:lang w:val="en-GB"/>
        </w:rPr>
        <w:t xml:space="preserve">omen’s and </w:t>
      </w:r>
      <w:r w:rsidRPr="00DA76CE">
        <w:rPr>
          <w:lang w:val="en-GB"/>
        </w:rPr>
        <w:lastRenderedPageBreak/>
        <w:t>men’s change room</w:t>
      </w:r>
      <w:r w:rsidR="00E1030E" w:rsidRPr="00DA76CE">
        <w:rPr>
          <w:lang w:val="en-GB"/>
        </w:rPr>
        <w:t>s</w:t>
      </w:r>
      <w:r w:rsidRPr="00DA76CE">
        <w:rPr>
          <w:lang w:val="en-GB"/>
        </w:rPr>
        <w:t xml:space="preserve"> were available</w:t>
      </w:r>
      <w:r w:rsidR="00E1030E" w:rsidRPr="00DA76CE">
        <w:rPr>
          <w:lang w:val="en-GB"/>
        </w:rPr>
        <w:t>, where clients could</w:t>
      </w:r>
      <w:r w:rsidRPr="00DA76CE">
        <w:rPr>
          <w:lang w:val="en-GB"/>
        </w:rPr>
        <w:t xml:space="preserve"> </w:t>
      </w:r>
      <w:r w:rsidR="00E1030E" w:rsidRPr="00DA76CE">
        <w:rPr>
          <w:lang w:val="en-GB"/>
        </w:rPr>
        <w:t xml:space="preserve">change </w:t>
      </w:r>
      <w:r w:rsidRPr="00DA76CE">
        <w:rPr>
          <w:lang w:val="en-GB"/>
        </w:rPr>
        <w:t xml:space="preserve">into robes and slippers (provided by Metta) and lock up valuables. The change rooms were stocked with toiletry items such as lotions, cotton swabs, </w:t>
      </w:r>
      <w:r w:rsidR="00E1030E" w:rsidRPr="00DA76CE">
        <w:rPr>
          <w:lang w:val="en-GB"/>
        </w:rPr>
        <w:t xml:space="preserve">and </w:t>
      </w:r>
      <w:r w:rsidRPr="00DA76CE">
        <w:rPr>
          <w:lang w:val="en-GB"/>
        </w:rPr>
        <w:t>hair</w:t>
      </w:r>
      <w:r w:rsidR="00C019C8">
        <w:rPr>
          <w:lang w:val="en-GB"/>
        </w:rPr>
        <w:t xml:space="preserve"> </w:t>
      </w:r>
      <w:r w:rsidRPr="00DA76CE">
        <w:rPr>
          <w:lang w:val="en-GB"/>
        </w:rPr>
        <w:t>dryers. Metta</w:t>
      </w:r>
      <w:r w:rsidR="00E1030E" w:rsidRPr="00DA76CE">
        <w:rPr>
          <w:lang w:val="en-GB"/>
        </w:rPr>
        <w:t xml:space="preserve"> also</w:t>
      </w:r>
      <w:r w:rsidRPr="00DA76CE">
        <w:rPr>
          <w:lang w:val="en-GB"/>
        </w:rPr>
        <w:t xml:space="preserve"> had an infrared sauna, a reading lounge</w:t>
      </w:r>
      <w:r w:rsidR="00E1030E" w:rsidRPr="00DA76CE">
        <w:rPr>
          <w:lang w:val="en-GB"/>
        </w:rPr>
        <w:t>,</w:t>
      </w:r>
      <w:r w:rsidRPr="00DA76CE">
        <w:rPr>
          <w:lang w:val="en-GB"/>
        </w:rPr>
        <w:t xml:space="preserve"> and a yoga </w:t>
      </w:r>
      <w:r w:rsidR="00E1030E" w:rsidRPr="00DA76CE">
        <w:rPr>
          <w:lang w:val="en-GB"/>
        </w:rPr>
        <w:t xml:space="preserve">and </w:t>
      </w:r>
      <w:r w:rsidRPr="00DA76CE">
        <w:rPr>
          <w:lang w:val="en-GB"/>
        </w:rPr>
        <w:t xml:space="preserve">meditation studio. </w:t>
      </w:r>
      <w:r w:rsidR="00E1030E" w:rsidRPr="00DA76CE">
        <w:rPr>
          <w:lang w:val="en-GB"/>
        </w:rPr>
        <w:t>It</w:t>
      </w:r>
      <w:r w:rsidRPr="00DA76CE">
        <w:rPr>
          <w:lang w:val="en-GB"/>
        </w:rPr>
        <w:t xml:space="preserve"> provided a large selection of books and tea for post-flotation relaxation</w:t>
      </w:r>
      <w:r w:rsidR="00034EC1" w:rsidRPr="00DA76CE">
        <w:rPr>
          <w:lang w:val="en-GB"/>
        </w:rPr>
        <w:t>; g</w:t>
      </w:r>
      <w:r w:rsidRPr="00DA76CE">
        <w:rPr>
          <w:lang w:val="en-GB"/>
        </w:rPr>
        <w:t xml:space="preserve">uests were not hurried out of the spa. Metta bordered two </w:t>
      </w:r>
      <w:r w:rsidR="00034EC1" w:rsidRPr="00DA76CE">
        <w:rPr>
          <w:lang w:val="en-GB"/>
        </w:rPr>
        <w:t xml:space="preserve">established </w:t>
      </w:r>
      <w:r w:rsidRPr="00DA76CE">
        <w:rPr>
          <w:lang w:val="en-GB"/>
        </w:rPr>
        <w:t xml:space="preserve">neighbourhoods in Vancouver: </w:t>
      </w:r>
      <w:proofErr w:type="spellStart"/>
      <w:r w:rsidRPr="00DA76CE">
        <w:rPr>
          <w:lang w:val="en-GB"/>
        </w:rPr>
        <w:t>Kitsilano</w:t>
      </w:r>
      <w:proofErr w:type="spellEnd"/>
      <w:r w:rsidRPr="00DA76CE">
        <w:rPr>
          <w:lang w:val="en-GB"/>
        </w:rPr>
        <w:t xml:space="preserve"> and West Point Grey</w:t>
      </w:r>
      <w:r w:rsidR="00034EC1" w:rsidRPr="00DA76CE">
        <w:rPr>
          <w:lang w:val="en-GB"/>
        </w:rPr>
        <w:t xml:space="preserve"> (see</w:t>
      </w:r>
      <w:r w:rsidRPr="00DA76CE">
        <w:rPr>
          <w:lang w:val="en-GB"/>
        </w:rPr>
        <w:t xml:space="preserve"> Exhibit 5</w:t>
      </w:r>
      <w:r w:rsidR="00034EC1" w:rsidRPr="00DA76CE">
        <w:rPr>
          <w:lang w:val="en-GB"/>
        </w:rPr>
        <w:t xml:space="preserve">), and </w:t>
      </w:r>
      <w:r w:rsidRPr="00DA76CE">
        <w:rPr>
          <w:lang w:val="en-GB"/>
        </w:rPr>
        <w:t xml:space="preserve">attracted both men and women aged 18 </w:t>
      </w:r>
      <w:r w:rsidR="00034EC1" w:rsidRPr="00DA76CE">
        <w:rPr>
          <w:lang w:val="en-GB"/>
        </w:rPr>
        <w:t xml:space="preserve">to </w:t>
      </w:r>
      <w:r w:rsidRPr="00DA76CE">
        <w:rPr>
          <w:lang w:val="en-GB"/>
        </w:rPr>
        <w:t xml:space="preserve">65.  </w:t>
      </w:r>
    </w:p>
    <w:p w14:paraId="0B102A97" w14:textId="77777777" w:rsidR="00986486" w:rsidRPr="00DA76CE" w:rsidRDefault="00986486" w:rsidP="00986486">
      <w:pPr>
        <w:pStyle w:val="BodyTextMain"/>
        <w:rPr>
          <w:lang w:val="en-GB"/>
        </w:rPr>
      </w:pPr>
    </w:p>
    <w:p w14:paraId="621ED6A3" w14:textId="0F29EFEF" w:rsidR="00986486" w:rsidRPr="00DA76CE" w:rsidRDefault="00034EC1" w:rsidP="00986486">
      <w:pPr>
        <w:pStyle w:val="BodyTextMain"/>
        <w:rPr>
          <w:lang w:val="en-GB"/>
        </w:rPr>
      </w:pPr>
      <w:r w:rsidRPr="00DA76CE">
        <w:rPr>
          <w:lang w:val="en-GB"/>
        </w:rPr>
        <w:t>Neither of t</w:t>
      </w:r>
      <w:r w:rsidR="00986486" w:rsidRPr="00DA76CE">
        <w:rPr>
          <w:lang w:val="en-GB"/>
        </w:rPr>
        <w:t xml:space="preserve">he </w:t>
      </w:r>
      <w:proofErr w:type="spellStart"/>
      <w:r w:rsidR="00986486" w:rsidRPr="00DA76CE">
        <w:rPr>
          <w:lang w:val="en-GB"/>
        </w:rPr>
        <w:t>Paulson</w:t>
      </w:r>
      <w:r w:rsidRPr="00DA76CE">
        <w:rPr>
          <w:lang w:val="en-GB"/>
        </w:rPr>
        <w:t>s</w:t>
      </w:r>
      <w:proofErr w:type="spellEnd"/>
      <w:r w:rsidRPr="00DA76CE">
        <w:rPr>
          <w:lang w:val="en-GB"/>
        </w:rPr>
        <w:t>,</w:t>
      </w:r>
      <w:r w:rsidR="00986486" w:rsidRPr="00DA76CE">
        <w:rPr>
          <w:lang w:val="en-GB"/>
        </w:rPr>
        <w:t xml:space="preserve"> a married couple</w:t>
      </w:r>
      <w:r w:rsidRPr="00DA76CE">
        <w:rPr>
          <w:lang w:val="en-GB"/>
        </w:rPr>
        <w:t xml:space="preserve">, </w:t>
      </w:r>
      <w:r w:rsidR="005E6B75">
        <w:rPr>
          <w:lang w:val="en-GB"/>
        </w:rPr>
        <w:t>were</w:t>
      </w:r>
      <w:r w:rsidR="00986486" w:rsidRPr="00DA76CE">
        <w:rPr>
          <w:lang w:val="en-GB"/>
        </w:rPr>
        <w:t xml:space="preserve"> Canadian </w:t>
      </w:r>
      <w:r w:rsidRPr="00DA76CE">
        <w:rPr>
          <w:lang w:val="en-GB"/>
        </w:rPr>
        <w:t>citizen</w:t>
      </w:r>
      <w:r w:rsidR="005E6B75">
        <w:rPr>
          <w:lang w:val="en-GB"/>
        </w:rPr>
        <w:t>s</w:t>
      </w:r>
      <w:r w:rsidR="0013191D" w:rsidRPr="00DA76CE">
        <w:rPr>
          <w:lang w:val="en-GB"/>
        </w:rPr>
        <w:t xml:space="preserve">, but both had work </w:t>
      </w:r>
      <w:r w:rsidRPr="00DA76CE">
        <w:rPr>
          <w:lang w:val="en-GB"/>
        </w:rPr>
        <w:t>v</w:t>
      </w:r>
      <w:r w:rsidR="0013191D" w:rsidRPr="00DA76CE">
        <w:rPr>
          <w:lang w:val="en-GB"/>
        </w:rPr>
        <w:t>isas</w:t>
      </w:r>
      <w:r w:rsidR="00986486" w:rsidRPr="00DA76CE">
        <w:rPr>
          <w:lang w:val="en-GB"/>
        </w:rPr>
        <w:t xml:space="preserve"> </w:t>
      </w:r>
      <w:r w:rsidRPr="00DA76CE">
        <w:rPr>
          <w:lang w:val="en-GB"/>
        </w:rPr>
        <w:t xml:space="preserve">that allowed </w:t>
      </w:r>
      <w:r w:rsidR="00986486" w:rsidRPr="00DA76CE">
        <w:rPr>
          <w:lang w:val="en-GB"/>
        </w:rPr>
        <w:t>them to work in Canada for six months. At the time</w:t>
      </w:r>
      <w:r w:rsidR="00C019C8">
        <w:rPr>
          <w:lang w:val="en-GB"/>
        </w:rPr>
        <w:t xml:space="preserve"> that</w:t>
      </w:r>
      <w:r w:rsidR="00986486" w:rsidRPr="00DA76CE">
        <w:rPr>
          <w:lang w:val="en-GB"/>
        </w:rPr>
        <w:t xml:space="preserve"> Natasha asked for </w:t>
      </w:r>
      <w:r w:rsidRPr="00DA76CE">
        <w:rPr>
          <w:lang w:val="en-GB"/>
        </w:rPr>
        <w:t>a new</w:t>
      </w:r>
      <w:r w:rsidR="00986486" w:rsidRPr="00DA76CE">
        <w:rPr>
          <w:lang w:val="en-GB"/>
        </w:rPr>
        <w:t xml:space="preserve"> round of financing from the </w:t>
      </w:r>
      <w:proofErr w:type="spellStart"/>
      <w:r w:rsidR="00986486" w:rsidRPr="00DA76CE">
        <w:rPr>
          <w:lang w:val="en-GB"/>
        </w:rPr>
        <w:t>Strickland</w:t>
      </w:r>
      <w:r w:rsidR="0013191D" w:rsidRPr="00DA76CE">
        <w:rPr>
          <w:lang w:val="en-GB"/>
        </w:rPr>
        <w:t>s</w:t>
      </w:r>
      <w:proofErr w:type="spellEnd"/>
      <w:r w:rsidR="00986486" w:rsidRPr="00DA76CE">
        <w:rPr>
          <w:lang w:val="en-GB"/>
        </w:rPr>
        <w:t xml:space="preserve">, the </w:t>
      </w:r>
      <w:proofErr w:type="spellStart"/>
      <w:r w:rsidR="00986486" w:rsidRPr="00DA76CE">
        <w:rPr>
          <w:lang w:val="en-GB"/>
        </w:rPr>
        <w:t>Paulson</w:t>
      </w:r>
      <w:r w:rsidR="0013191D" w:rsidRPr="00DA76CE">
        <w:rPr>
          <w:lang w:val="en-GB"/>
        </w:rPr>
        <w:t>s</w:t>
      </w:r>
      <w:proofErr w:type="spellEnd"/>
      <w:r w:rsidR="00986486" w:rsidRPr="00DA76CE">
        <w:rPr>
          <w:lang w:val="en-GB"/>
        </w:rPr>
        <w:t xml:space="preserve"> were living in the </w:t>
      </w:r>
      <w:r w:rsidRPr="00DA76CE">
        <w:rPr>
          <w:lang w:val="en-GB"/>
        </w:rPr>
        <w:t>United States, and n</w:t>
      </w:r>
      <w:r w:rsidR="00986486" w:rsidRPr="00DA76CE">
        <w:rPr>
          <w:lang w:val="en-GB"/>
        </w:rPr>
        <w:t xml:space="preserve">either </w:t>
      </w:r>
      <w:r w:rsidRPr="00DA76CE">
        <w:rPr>
          <w:lang w:val="en-GB"/>
        </w:rPr>
        <w:t xml:space="preserve">was </w:t>
      </w:r>
      <w:r w:rsidR="00986486" w:rsidRPr="00DA76CE">
        <w:rPr>
          <w:lang w:val="en-GB"/>
        </w:rPr>
        <w:t xml:space="preserve">contributing to </w:t>
      </w:r>
      <w:r w:rsidRPr="00DA76CE">
        <w:rPr>
          <w:lang w:val="en-GB"/>
        </w:rPr>
        <w:t>Metta’s</w:t>
      </w:r>
      <w:r w:rsidR="00986486" w:rsidRPr="00DA76CE">
        <w:rPr>
          <w:lang w:val="en-GB"/>
        </w:rPr>
        <w:t xml:space="preserve"> daily operations. The intention of the partnership had been </w:t>
      </w:r>
      <w:r w:rsidR="003C345A">
        <w:rPr>
          <w:lang w:val="en-GB"/>
        </w:rPr>
        <w:t>for</w:t>
      </w:r>
      <w:r w:rsidR="00986486" w:rsidRPr="00DA76CE">
        <w:rPr>
          <w:lang w:val="en-GB"/>
        </w:rPr>
        <w:t xml:space="preserve"> Charlie </w:t>
      </w:r>
      <w:r w:rsidR="003C345A">
        <w:rPr>
          <w:lang w:val="en-GB"/>
        </w:rPr>
        <w:t>to</w:t>
      </w:r>
      <w:r w:rsidR="00986486" w:rsidRPr="00DA76CE">
        <w:rPr>
          <w:lang w:val="en-GB"/>
        </w:rPr>
        <w:t xml:space="preserve"> work the front counter and handle staffing</w:t>
      </w:r>
      <w:r w:rsidR="003C345A">
        <w:rPr>
          <w:lang w:val="en-GB"/>
        </w:rPr>
        <w:t>,</w:t>
      </w:r>
      <w:r w:rsidR="00986486" w:rsidRPr="00DA76CE">
        <w:rPr>
          <w:lang w:val="en-GB"/>
        </w:rPr>
        <w:t xml:space="preserve"> and </w:t>
      </w:r>
      <w:r w:rsidR="003C345A">
        <w:rPr>
          <w:lang w:val="en-GB"/>
        </w:rPr>
        <w:t xml:space="preserve">for </w:t>
      </w:r>
      <w:r w:rsidR="00986486" w:rsidRPr="00DA76CE">
        <w:rPr>
          <w:lang w:val="en-GB"/>
        </w:rPr>
        <w:t xml:space="preserve">Kimberly </w:t>
      </w:r>
      <w:r w:rsidR="003C345A">
        <w:rPr>
          <w:lang w:val="en-GB"/>
        </w:rPr>
        <w:t>to</w:t>
      </w:r>
      <w:r w:rsidR="003C345A" w:rsidRPr="00DA76CE">
        <w:rPr>
          <w:lang w:val="en-GB"/>
        </w:rPr>
        <w:t xml:space="preserve"> </w:t>
      </w:r>
      <w:r w:rsidR="00986486" w:rsidRPr="00DA76CE">
        <w:rPr>
          <w:lang w:val="en-GB"/>
        </w:rPr>
        <w:t xml:space="preserve">be in charge of marketing and </w:t>
      </w:r>
      <w:r w:rsidR="003C345A">
        <w:rPr>
          <w:lang w:val="en-GB"/>
        </w:rPr>
        <w:t xml:space="preserve">of </w:t>
      </w:r>
      <w:r w:rsidR="00986486" w:rsidRPr="00DA76CE">
        <w:rPr>
          <w:lang w:val="en-GB"/>
        </w:rPr>
        <w:t>developing relationships with groups of interested customers</w:t>
      </w:r>
      <w:r w:rsidRPr="00DA76CE">
        <w:rPr>
          <w:lang w:val="en-GB"/>
        </w:rPr>
        <w:t>,</w:t>
      </w:r>
      <w:r w:rsidR="00986486" w:rsidRPr="00DA76CE">
        <w:rPr>
          <w:lang w:val="en-GB"/>
        </w:rPr>
        <w:t xml:space="preserve"> such as students, new mothers, </w:t>
      </w:r>
      <w:r w:rsidRPr="00DA76CE">
        <w:rPr>
          <w:lang w:val="en-GB"/>
        </w:rPr>
        <w:t xml:space="preserve">and </w:t>
      </w:r>
      <w:r w:rsidR="00986486" w:rsidRPr="00DA76CE">
        <w:rPr>
          <w:lang w:val="en-GB"/>
        </w:rPr>
        <w:t xml:space="preserve">corporations. </w:t>
      </w:r>
      <w:r w:rsidRPr="00DA76CE">
        <w:rPr>
          <w:lang w:val="en-GB"/>
        </w:rPr>
        <w:t>Since they had contributed</w:t>
      </w:r>
      <w:r w:rsidR="00986486" w:rsidRPr="00DA76CE">
        <w:rPr>
          <w:lang w:val="en-GB"/>
        </w:rPr>
        <w:t xml:space="preserve"> neither the work that was promised</w:t>
      </w:r>
      <w:r w:rsidRPr="00DA76CE">
        <w:rPr>
          <w:lang w:val="en-GB"/>
        </w:rPr>
        <w:t xml:space="preserve"> nor</w:t>
      </w:r>
      <w:r w:rsidR="00986486" w:rsidRPr="00DA76CE">
        <w:rPr>
          <w:lang w:val="en-GB"/>
        </w:rPr>
        <w:t xml:space="preserve"> any </w:t>
      </w:r>
      <w:r w:rsidRPr="00DA76CE">
        <w:rPr>
          <w:lang w:val="en-GB"/>
        </w:rPr>
        <w:t xml:space="preserve">financial contribution </w:t>
      </w:r>
      <w:r w:rsidR="00986486" w:rsidRPr="00DA76CE">
        <w:rPr>
          <w:lang w:val="en-GB"/>
        </w:rPr>
        <w:t xml:space="preserve">to the start-up, Natasha </w:t>
      </w:r>
      <w:r w:rsidRPr="00DA76CE">
        <w:rPr>
          <w:lang w:val="en-GB"/>
        </w:rPr>
        <w:t>intended</w:t>
      </w:r>
      <w:r w:rsidR="00986486" w:rsidRPr="00DA76CE">
        <w:rPr>
          <w:lang w:val="en-GB"/>
        </w:rPr>
        <w:t xml:space="preserve"> to take over everything and handle the operations and financing on her own.</w:t>
      </w:r>
      <w:r w:rsidR="0073438B" w:rsidRPr="00DA76CE">
        <w:rPr>
          <w:lang w:val="en-GB"/>
        </w:rPr>
        <w:t xml:space="preserve"> </w:t>
      </w:r>
      <w:r w:rsidR="00986486" w:rsidRPr="00DA76CE">
        <w:rPr>
          <w:lang w:val="en-GB"/>
        </w:rPr>
        <w:t>Natasha was a yoga teacher</w:t>
      </w:r>
      <w:r w:rsidRPr="00DA76CE">
        <w:rPr>
          <w:lang w:val="en-GB"/>
        </w:rPr>
        <w:t>,</w:t>
      </w:r>
      <w:r w:rsidR="00986486" w:rsidRPr="00DA76CE">
        <w:rPr>
          <w:lang w:val="en-GB"/>
        </w:rPr>
        <w:t xml:space="preserve"> and </w:t>
      </w:r>
      <w:r w:rsidRPr="00DA76CE">
        <w:rPr>
          <w:lang w:val="en-GB"/>
        </w:rPr>
        <w:t xml:space="preserve">she </w:t>
      </w:r>
      <w:r w:rsidR="00986486" w:rsidRPr="00DA76CE">
        <w:rPr>
          <w:lang w:val="en-GB"/>
        </w:rPr>
        <w:t xml:space="preserve">continued to teach at studios in Vancouver while managing Metta.  </w:t>
      </w:r>
    </w:p>
    <w:p w14:paraId="541D1CF5" w14:textId="77777777" w:rsidR="00986486" w:rsidRPr="00570447" w:rsidRDefault="00986486" w:rsidP="00570447">
      <w:pPr>
        <w:pStyle w:val="BodyTextMain"/>
      </w:pPr>
    </w:p>
    <w:p w14:paraId="7BECB280" w14:textId="77777777" w:rsidR="00986486" w:rsidRPr="00570447" w:rsidRDefault="00986486" w:rsidP="00570447">
      <w:pPr>
        <w:pStyle w:val="BodyTextMain"/>
      </w:pPr>
    </w:p>
    <w:p w14:paraId="4288CDFD" w14:textId="77777777" w:rsidR="00986486" w:rsidRPr="00DA76CE" w:rsidRDefault="00986486" w:rsidP="00986486">
      <w:pPr>
        <w:pStyle w:val="Casehead1"/>
        <w:rPr>
          <w:lang w:val="en-GB"/>
        </w:rPr>
      </w:pPr>
      <w:r w:rsidRPr="00DA76CE">
        <w:rPr>
          <w:lang w:val="en-GB"/>
        </w:rPr>
        <w:t>Competition</w:t>
      </w:r>
    </w:p>
    <w:p w14:paraId="1553358F" w14:textId="77777777" w:rsidR="00986486" w:rsidRPr="00570447" w:rsidRDefault="00986486" w:rsidP="00570447">
      <w:pPr>
        <w:pStyle w:val="BodyTextMain"/>
      </w:pPr>
    </w:p>
    <w:p w14:paraId="1DE557E3" w14:textId="41A9E94C" w:rsidR="00986486" w:rsidRPr="00DA76CE" w:rsidRDefault="00986486" w:rsidP="00986486">
      <w:pPr>
        <w:pStyle w:val="BodyTextMain"/>
        <w:rPr>
          <w:lang w:val="en-GB"/>
        </w:rPr>
      </w:pPr>
      <w:r w:rsidRPr="00DA76CE">
        <w:rPr>
          <w:lang w:val="en-GB"/>
        </w:rPr>
        <w:t xml:space="preserve">Between 2013 and 2014, 13 float spas had opened in the </w:t>
      </w:r>
      <w:r w:rsidR="00034EC1" w:rsidRPr="00DA76CE">
        <w:rPr>
          <w:lang w:val="en-GB"/>
        </w:rPr>
        <w:t>Vancouver–</w:t>
      </w:r>
      <w:r w:rsidRPr="00DA76CE">
        <w:rPr>
          <w:lang w:val="en-GB"/>
        </w:rPr>
        <w:t xml:space="preserve">Lower Mainland </w:t>
      </w:r>
      <w:r w:rsidR="004D69DE">
        <w:rPr>
          <w:lang w:val="en-GB"/>
        </w:rPr>
        <w:t>area</w:t>
      </w:r>
      <w:r w:rsidRPr="00DA76CE">
        <w:rPr>
          <w:lang w:val="en-GB"/>
        </w:rPr>
        <w:t>.</w:t>
      </w:r>
      <w:r w:rsidR="0073438B" w:rsidRPr="00DA76CE">
        <w:rPr>
          <w:lang w:val="en-GB"/>
        </w:rPr>
        <w:t xml:space="preserve"> </w:t>
      </w:r>
      <w:r w:rsidR="00034EC1" w:rsidRPr="00DA76CE">
        <w:rPr>
          <w:lang w:val="en-GB"/>
        </w:rPr>
        <w:t xml:space="preserve">Metta’s </w:t>
      </w:r>
      <w:r w:rsidRPr="00DA76CE">
        <w:rPr>
          <w:lang w:val="en-GB"/>
        </w:rPr>
        <w:t>strongest competition came from Float House</w:t>
      </w:r>
      <w:r w:rsidR="00034EC1" w:rsidRPr="00DA76CE">
        <w:rPr>
          <w:lang w:val="en-GB"/>
        </w:rPr>
        <w:t>,</w:t>
      </w:r>
      <w:r w:rsidRPr="00DA76CE">
        <w:rPr>
          <w:lang w:val="en-GB"/>
        </w:rPr>
        <w:t xml:space="preserve"> a franchise float studio located only a few kilomet</w:t>
      </w:r>
      <w:r w:rsidR="00034EC1" w:rsidRPr="00DA76CE">
        <w:rPr>
          <w:lang w:val="en-GB"/>
        </w:rPr>
        <w:t>r</w:t>
      </w:r>
      <w:r w:rsidRPr="00DA76CE">
        <w:rPr>
          <w:lang w:val="en-GB"/>
        </w:rPr>
        <w:t xml:space="preserve">es from Metta on a </w:t>
      </w:r>
      <w:r w:rsidR="00034BD7" w:rsidRPr="00DA76CE">
        <w:rPr>
          <w:lang w:val="en-GB"/>
        </w:rPr>
        <w:t xml:space="preserve">road </w:t>
      </w:r>
      <w:r w:rsidR="00034BD7">
        <w:rPr>
          <w:lang w:val="en-GB"/>
        </w:rPr>
        <w:t xml:space="preserve">with </w:t>
      </w:r>
      <w:r w:rsidRPr="00DA76CE">
        <w:rPr>
          <w:lang w:val="en-GB"/>
        </w:rPr>
        <w:t xml:space="preserve">very busy </w:t>
      </w:r>
      <w:r w:rsidR="00034BD7">
        <w:rPr>
          <w:lang w:val="en-GB"/>
        </w:rPr>
        <w:t>car</w:t>
      </w:r>
      <w:r w:rsidRPr="00DA76CE">
        <w:rPr>
          <w:lang w:val="en-GB"/>
        </w:rPr>
        <w:t xml:space="preserve"> and foot traffic. Float House had </w:t>
      </w:r>
      <w:r w:rsidR="00034EC1" w:rsidRPr="00DA76CE">
        <w:rPr>
          <w:lang w:val="en-GB"/>
        </w:rPr>
        <w:t xml:space="preserve">access to </w:t>
      </w:r>
      <w:r w:rsidRPr="00DA76CE">
        <w:rPr>
          <w:lang w:val="en-GB"/>
        </w:rPr>
        <w:t xml:space="preserve">considerable marketing resources </w:t>
      </w:r>
      <w:r w:rsidR="00034EC1" w:rsidRPr="00DA76CE">
        <w:rPr>
          <w:lang w:val="en-GB"/>
        </w:rPr>
        <w:t xml:space="preserve">through its </w:t>
      </w:r>
      <w:r w:rsidRPr="00DA76CE">
        <w:rPr>
          <w:lang w:val="en-GB"/>
        </w:rPr>
        <w:t xml:space="preserve">franchise </w:t>
      </w:r>
      <w:r w:rsidR="00034EC1" w:rsidRPr="00DA76CE">
        <w:rPr>
          <w:lang w:val="en-GB"/>
        </w:rPr>
        <w:t>arrangement</w:t>
      </w:r>
      <w:r w:rsidRPr="00DA76CE">
        <w:rPr>
          <w:lang w:val="en-GB"/>
        </w:rPr>
        <w:t xml:space="preserve">. Float House had five locations in </w:t>
      </w:r>
      <w:r w:rsidR="00034EC1" w:rsidRPr="00DA76CE">
        <w:rPr>
          <w:lang w:val="en-GB"/>
        </w:rPr>
        <w:t>British Columbia</w:t>
      </w:r>
      <w:r w:rsidRPr="00DA76CE">
        <w:rPr>
          <w:lang w:val="en-GB"/>
        </w:rPr>
        <w:t xml:space="preserve"> and one in Edmonton</w:t>
      </w:r>
      <w:r w:rsidR="00034EC1" w:rsidRPr="00DA76CE">
        <w:rPr>
          <w:lang w:val="en-GB"/>
        </w:rPr>
        <w:t>, Alberta.</w:t>
      </w:r>
      <w:r w:rsidRPr="00DA76CE">
        <w:rPr>
          <w:vertAlign w:val="superscript"/>
          <w:lang w:val="en-GB"/>
        </w:rPr>
        <w:footnoteReference w:id="6"/>
      </w:r>
      <w:r w:rsidRPr="00DA76CE">
        <w:rPr>
          <w:lang w:val="en-GB"/>
        </w:rPr>
        <w:t xml:space="preserve"> Float House </w:t>
      </w:r>
      <w:r w:rsidR="00034EC1" w:rsidRPr="00DA76CE">
        <w:rPr>
          <w:lang w:val="en-GB"/>
        </w:rPr>
        <w:t xml:space="preserve">had a different </w:t>
      </w:r>
      <w:r w:rsidRPr="00DA76CE">
        <w:rPr>
          <w:lang w:val="en-GB"/>
        </w:rPr>
        <w:t xml:space="preserve">pricing </w:t>
      </w:r>
      <w:r w:rsidR="00034EC1" w:rsidRPr="00DA76CE">
        <w:rPr>
          <w:lang w:val="en-GB"/>
        </w:rPr>
        <w:t xml:space="preserve">structure and a different tank supplier </w:t>
      </w:r>
      <w:r w:rsidRPr="00DA76CE">
        <w:rPr>
          <w:lang w:val="en-GB"/>
        </w:rPr>
        <w:t>than Metta</w:t>
      </w:r>
      <w:r w:rsidR="00034EC1" w:rsidRPr="00DA76CE">
        <w:rPr>
          <w:lang w:val="en-GB"/>
        </w:rPr>
        <w:t xml:space="preserve">, </w:t>
      </w:r>
      <w:r w:rsidRPr="00DA76CE">
        <w:rPr>
          <w:lang w:val="en-GB"/>
        </w:rPr>
        <w:t xml:space="preserve">and </w:t>
      </w:r>
      <w:r w:rsidR="00034EC1" w:rsidRPr="00DA76CE">
        <w:rPr>
          <w:lang w:val="en-GB"/>
        </w:rPr>
        <w:t xml:space="preserve">it </w:t>
      </w:r>
      <w:r w:rsidRPr="00DA76CE">
        <w:rPr>
          <w:lang w:val="en-GB"/>
        </w:rPr>
        <w:t xml:space="preserve">had only three tanks at </w:t>
      </w:r>
      <w:r w:rsidR="00210F37">
        <w:rPr>
          <w:lang w:val="en-GB"/>
        </w:rPr>
        <w:t>its</w:t>
      </w:r>
      <w:r w:rsidRPr="00DA76CE">
        <w:rPr>
          <w:lang w:val="en-GB"/>
        </w:rPr>
        <w:t xml:space="preserve"> </w:t>
      </w:r>
      <w:r w:rsidR="00034EC1" w:rsidRPr="00DA76CE">
        <w:rPr>
          <w:lang w:val="en-GB"/>
        </w:rPr>
        <w:t xml:space="preserve">Fourth </w:t>
      </w:r>
      <w:r w:rsidRPr="00DA76CE">
        <w:rPr>
          <w:lang w:val="en-GB"/>
        </w:rPr>
        <w:t>Avenue location</w:t>
      </w:r>
      <w:r w:rsidR="005E6B75">
        <w:rPr>
          <w:lang w:val="en-GB"/>
        </w:rPr>
        <w:t xml:space="preserve"> </w:t>
      </w:r>
      <w:r w:rsidR="005E6B75" w:rsidRPr="00DA76CE">
        <w:rPr>
          <w:lang w:val="en-GB"/>
        </w:rPr>
        <w:t>(see Exhibit</w:t>
      </w:r>
      <w:r w:rsidR="005E6B75">
        <w:rPr>
          <w:lang w:val="en-GB"/>
        </w:rPr>
        <w:t>s 6</w:t>
      </w:r>
      <w:r w:rsidR="005E6B75" w:rsidRPr="00DA76CE">
        <w:rPr>
          <w:lang w:val="en-GB"/>
        </w:rPr>
        <w:t xml:space="preserve"> and</w:t>
      </w:r>
      <w:r w:rsidR="005E6B75">
        <w:rPr>
          <w:lang w:val="en-GB"/>
        </w:rPr>
        <w:t xml:space="preserve"> 7</w:t>
      </w:r>
      <w:r w:rsidR="005E6B75" w:rsidRPr="00DA76CE">
        <w:rPr>
          <w:lang w:val="en-GB"/>
        </w:rPr>
        <w:t>)</w:t>
      </w:r>
      <w:r w:rsidRPr="00DA76CE">
        <w:rPr>
          <w:lang w:val="en-GB"/>
        </w:rPr>
        <w:t>. Float House’s pods were not drained and sanitized between guests</w:t>
      </w:r>
      <w:r w:rsidR="00210F37">
        <w:rPr>
          <w:lang w:val="en-GB"/>
        </w:rPr>
        <w:t>;</w:t>
      </w:r>
      <w:r w:rsidRPr="00DA76CE">
        <w:rPr>
          <w:lang w:val="en-GB"/>
        </w:rPr>
        <w:t xml:space="preserve"> water underwent a </w:t>
      </w:r>
      <w:r w:rsidR="00D910F7" w:rsidRPr="00DA76CE">
        <w:rPr>
          <w:lang w:val="en-GB"/>
        </w:rPr>
        <w:t>triple-</w:t>
      </w:r>
      <w:r w:rsidRPr="00DA76CE">
        <w:rPr>
          <w:lang w:val="en-GB"/>
        </w:rPr>
        <w:t>sanitization and filtering process instead.</w:t>
      </w:r>
    </w:p>
    <w:p w14:paraId="02696407" w14:textId="77777777" w:rsidR="00986486" w:rsidRPr="00570447" w:rsidRDefault="00986486" w:rsidP="00570447">
      <w:pPr>
        <w:pStyle w:val="BodyTextMain"/>
      </w:pPr>
    </w:p>
    <w:p w14:paraId="202F1BBD" w14:textId="77777777" w:rsidR="00986486" w:rsidRPr="00570447" w:rsidRDefault="00986486" w:rsidP="00570447">
      <w:pPr>
        <w:pStyle w:val="BodyTextMain"/>
      </w:pPr>
    </w:p>
    <w:p w14:paraId="4A47E82B" w14:textId="77777777" w:rsidR="00986486" w:rsidRPr="00DA76CE" w:rsidRDefault="00986486" w:rsidP="0073438B">
      <w:pPr>
        <w:pStyle w:val="Casehead1"/>
        <w:keepNext/>
        <w:rPr>
          <w:lang w:val="en-GB"/>
        </w:rPr>
      </w:pPr>
      <w:r w:rsidRPr="00DA76CE">
        <w:rPr>
          <w:lang w:val="en-GB"/>
        </w:rPr>
        <w:t>Decision</w:t>
      </w:r>
    </w:p>
    <w:p w14:paraId="43A2A78A" w14:textId="77777777" w:rsidR="00986486" w:rsidRPr="00570447" w:rsidRDefault="00986486" w:rsidP="00570447">
      <w:pPr>
        <w:pStyle w:val="BodyTextMain"/>
      </w:pPr>
    </w:p>
    <w:p w14:paraId="520244E1" w14:textId="377FCCA0" w:rsidR="00986486" w:rsidRPr="00DA76CE" w:rsidRDefault="00986486" w:rsidP="0073438B">
      <w:pPr>
        <w:pStyle w:val="BodyTextMain"/>
        <w:keepNext/>
        <w:rPr>
          <w:lang w:val="en-GB"/>
        </w:rPr>
      </w:pPr>
      <w:r w:rsidRPr="00DA76CE">
        <w:rPr>
          <w:lang w:val="en-GB"/>
        </w:rPr>
        <w:t xml:space="preserve">Should Dan and Deanna Strickland invest another $60,000 in Metta Rest Spa? The </w:t>
      </w:r>
      <w:proofErr w:type="spellStart"/>
      <w:r w:rsidRPr="00DA76CE">
        <w:rPr>
          <w:lang w:val="en-GB"/>
        </w:rPr>
        <w:t>Stricklands</w:t>
      </w:r>
      <w:proofErr w:type="spellEnd"/>
      <w:r w:rsidRPr="00DA76CE">
        <w:rPr>
          <w:lang w:val="en-GB"/>
        </w:rPr>
        <w:t xml:space="preserve"> were less concerned about investing their funds at a high return than they were with supporting their daughter’s dream to own and operate a flotation therapy business; however, they also wanted to protect the money they had already invested. Was it time to give up? What additional information should the </w:t>
      </w:r>
      <w:proofErr w:type="spellStart"/>
      <w:r w:rsidRPr="00DA76CE">
        <w:rPr>
          <w:lang w:val="en-GB"/>
        </w:rPr>
        <w:t>Stricklands</w:t>
      </w:r>
      <w:proofErr w:type="spellEnd"/>
      <w:r w:rsidRPr="00DA76CE">
        <w:rPr>
          <w:lang w:val="en-GB"/>
        </w:rPr>
        <w:t xml:space="preserve"> ask for to help them make this decision? </w:t>
      </w:r>
    </w:p>
    <w:p w14:paraId="3C194D38" w14:textId="77777777" w:rsidR="00986486" w:rsidRPr="00570447" w:rsidRDefault="00986486" w:rsidP="00570447">
      <w:pPr>
        <w:pStyle w:val="BodyTextMain"/>
      </w:pPr>
    </w:p>
    <w:p w14:paraId="5D37C824" w14:textId="77777777" w:rsidR="00210F37" w:rsidRDefault="00210F37">
      <w:pPr>
        <w:spacing w:after="200" w:line="276" w:lineRule="auto"/>
        <w:rPr>
          <w:i/>
          <w:sz w:val="22"/>
          <w:szCs w:val="22"/>
          <w:lang w:val="en-GB"/>
        </w:rPr>
      </w:pPr>
      <w:r>
        <w:rPr>
          <w:i/>
          <w:lang w:val="en-GB"/>
        </w:rPr>
        <w:br w:type="page"/>
      </w:r>
    </w:p>
    <w:p w14:paraId="5A6B2C2C" w14:textId="38BC09A0" w:rsidR="0013191D" w:rsidRPr="00DA76CE" w:rsidRDefault="0013191D" w:rsidP="00982A6B">
      <w:pPr>
        <w:pStyle w:val="ExhibitHeading"/>
        <w:rPr>
          <w:lang w:val="en-GB"/>
        </w:rPr>
      </w:pPr>
      <w:r w:rsidRPr="00DA76CE">
        <w:rPr>
          <w:lang w:val="en-GB"/>
        </w:rPr>
        <w:lastRenderedPageBreak/>
        <w:t>Exhibit 1</w:t>
      </w:r>
      <w:r w:rsidR="0028534B" w:rsidRPr="00DA76CE">
        <w:rPr>
          <w:lang w:val="en-GB"/>
        </w:rPr>
        <w:t>: Metta Rest Spa</w:t>
      </w:r>
      <w:r w:rsidRPr="00DA76CE">
        <w:rPr>
          <w:lang w:val="en-GB"/>
        </w:rPr>
        <w:t xml:space="preserve"> Financial Statements</w:t>
      </w:r>
      <w:r w:rsidR="009D7AC6">
        <w:rPr>
          <w:lang w:val="en-GB"/>
        </w:rPr>
        <w:t xml:space="preserve"> (in ca$)</w:t>
      </w:r>
    </w:p>
    <w:p w14:paraId="5C8A7850" w14:textId="77777777" w:rsidR="0013191D" w:rsidRPr="00DA76CE" w:rsidRDefault="0013191D" w:rsidP="004B3FA1">
      <w:pPr>
        <w:pStyle w:val="ExhibitText"/>
        <w:rPr>
          <w:lang w:val="en-GB"/>
        </w:rPr>
      </w:pPr>
    </w:p>
    <w:p w14:paraId="47367738" w14:textId="3179C690" w:rsidR="0013191D" w:rsidRPr="00DA76CE" w:rsidRDefault="0013191D" w:rsidP="0013191D">
      <w:pPr>
        <w:jc w:val="center"/>
        <w:rPr>
          <w:rFonts w:ascii="Arial" w:hAnsi="Arial" w:cs="Arial"/>
          <w:b/>
          <w:lang w:val="en-GB"/>
        </w:rPr>
      </w:pPr>
      <w:r w:rsidRPr="00DA76CE">
        <w:rPr>
          <w:rFonts w:ascii="Arial" w:hAnsi="Arial" w:cs="Arial"/>
          <w:b/>
          <w:lang w:val="en-GB"/>
        </w:rPr>
        <w:t>Income Statement (</w:t>
      </w:r>
      <w:r w:rsidR="00193B14" w:rsidRPr="00DA76CE">
        <w:rPr>
          <w:rFonts w:ascii="Arial" w:hAnsi="Arial" w:cs="Arial"/>
          <w:b/>
          <w:lang w:val="en-GB"/>
        </w:rPr>
        <w:t xml:space="preserve">For the Year Ended </w:t>
      </w:r>
      <w:r w:rsidRPr="00DA76CE">
        <w:rPr>
          <w:rFonts w:ascii="Arial" w:hAnsi="Arial" w:cs="Arial"/>
          <w:b/>
          <w:lang w:val="en-GB"/>
        </w:rPr>
        <w:t>December 31, 2015)</w:t>
      </w:r>
    </w:p>
    <w:p w14:paraId="0F88773D" w14:textId="77777777" w:rsidR="0013191D" w:rsidRPr="00DA76CE" w:rsidRDefault="0013191D" w:rsidP="0013191D">
      <w:pPr>
        <w:ind w:left="2160"/>
        <w:rPr>
          <w:rFonts w:ascii="Arial" w:hAnsi="Arial" w:cs="Arial"/>
          <w:lang w:val="en-GB"/>
        </w:rPr>
      </w:pPr>
    </w:p>
    <w:p w14:paraId="0153151D" w14:textId="27C35EB3" w:rsidR="0013191D" w:rsidRPr="00DA76CE" w:rsidRDefault="0013191D" w:rsidP="0013191D">
      <w:pPr>
        <w:ind w:left="2160"/>
        <w:rPr>
          <w:rFonts w:ascii="Arial" w:hAnsi="Arial" w:cs="Arial"/>
          <w:lang w:val="en-GB"/>
        </w:rPr>
      </w:pPr>
      <w:r w:rsidRPr="00DA76CE">
        <w:rPr>
          <w:rFonts w:ascii="Arial" w:hAnsi="Arial" w:cs="Arial"/>
          <w:lang w:val="en-GB"/>
        </w:rPr>
        <w:t>Revenue</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193B14" w:rsidRPr="00DA76CE">
        <w:rPr>
          <w:rFonts w:ascii="Arial" w:hAnsi="Arial" w:cs="Arial"/>
          <w:lang w:val="en-GB"/>
        </w:rPr>
        <w:t xml:space="preserve"> $</w:t>
      </w:r>
      <w:r w:rsidRPr="00DA76CE">
        <w:rPr>
          <w:rFonts w:ascii="Arial" w:hAnsi="Arial" w:cs="Arial"/>
          <w:lang w:val="en-GB"/>
        </w:rPr>
        <w:t>159,177</w:t>
      </w:r>
    </w:p>
    <w:p w14:paraId="6B5DA49E" w14:textId="77777777" w:rsidR="0013191D" w:rsidRPr="00DA76CE" w:rsidRDefault="0013191D" w:rsidP="0013191D">
      <w:pPr>
        <w:ind w:left="2160"/>
        <w:rPr>
          <w:rFonts w:ascii="Arial" w:hAnsi="Arial" w:cs="Arial"/>
          <w:lang w:val="en-GB"/>
        </w:rPr>
      </w:pPr>
      <w:r w:rsidRPr="00DA76CE">
        <w:rPr>
          <w:rFonts w:ascii="Arial" w:hAnsi="Arial" w:cs="Arial"/>
          <w:lang w:val="en-GB"/>
        </w:rPr>
        <w:t>Less: Operating Expenses</w:t>
      </w:r>
    </w:p>
    <w:p w14:paraId="02812C40" w14:textId="2CED8A4E" w:rsidR="0013191D" w:rsidRPr="00DA76CE" w:rsidRDefault="0013191D" w:rsidP="0013191D">
      <w:pPr>
        <w:ind w:left="2160"/>
        <w:rPr>
          <w:rFonts w:ascii="Arial" w:hAnsi="Arial" w:cs="Arial"/>
          <w:lang w:val="en-GB"/>
        </w:rPr>
      </w:pPr>
      <w:r w:rsidRPr="00DA76CE">
        <w:rPr>
          <w:rFonts w:ascii="Arial" w:hAnsi="Arial" w:cs="Arial"/>
          <w:lang w:val="en-GB"/>
        </w:rPr>
        <w:t>Wages and Salaries (</w:t>
      </w:r>
      <w:r w:rsidR="00193B14" w:rsidRPr="00DA76CE">
        <w:rPr>
          <w:rFonts w:ascii="Arial" w:hAnsi="Arial" w:cs="Arial"/>
          <w:lang w:val="en-GB"/>
        </w:rPr>
        <w:t>I</w:t>
      </w:r>
      <w:r w:rsidRPr="00DA76CE">
        <w:rPr>
          <w:rFonts w:ascii="Arial" w:hAnsi="Arial" w:cs="Arial"/>
          <w:lang w:val="en-GB"/>
        </w:rPr>
        <w:t xml:space="preserve">ncluding </w:t>
      </w:r>
      <w:r w:rsidR="00193B14" w:rsidRPr="00DA76CE">
        <w:rPr>
          <w:rFonts w:ascii="Arial" w:hAnsi="Arial" w:cs="Arial"/>
          <w:lang w:val="en-GB"/>
        </w:rPr>
        <w:t>B</w:t>
      </w:r>
      <w:r w:rsidRPr="00DA76CE">
        <w:rPr>
          <w:rFonts w:ascii="Arial" w:hAnsi="Arial" w:cs="Arial"/>
          <w:lang w:val="en-GB"/>
        </w:rPr>
        <w:t>enefits)</w:t>
      </w:r>
      <w:r w:rsidRPr="00DA76CE">
        <w:rPr>
          <w:rFonts w:ascii="Arial" w:hAnsi="Arial" w:cs="Arial"/>
          <w:lang w:val="en-GB"/>
        </w:rPr>
        <w:tab/>
      </w:r>
      <w:r w:rsidR="004B3FA1">
        <w:rPr>
          <w:rFonts w:ascii="Arial" w:hAnsi="Arial" w:cs="Arial"/>
          <w:lang w:val="en-GB"/>
        </w:rPr>
        <w:tab/>
        <w:t xml:space="preserve">     </w:t>
      </w:r>
      <w:r w:rsidRPr="00DA76CE">
        <w:rPr>
          <w:rFonts w:ascii="Arial" w:hAnsi="Arial" w:cs="Arial"/>
          <w:lang w:val="en-GB"/>
        </w:rPr>
        <w:t>72,659</w:t>
      </w:r>
    </w:p>
    <w:p w14:paraId="308B5304" w14:textId="7D602825" w:rsidR="0013191D" w:rsidRPr="00DA76CE" w:rsidRDefault="0013191D" w:rsidP="0013191D">
      <w:pPr>
        <w:ind w:left="2160"/>
        <w:rPr>
          <w:rFonts w:ascii="Arial" w:hAnsi="Arial" w:cs="Arial"/>
          <w:lang w:val="en-GB"/>
        </w:rPr>
      </w:pPr>
      <w:r w:rsidRPr="00DA76CE">
        <w:rPr>
          <w:rFonts w:ascii="Arial" w:hAnsi="Arial" w:cs="Arial"/>
          <w:lang w:val="en-GB"/>
        </w:rPr>
        <w:t>Accounting and Legal</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6,918</w:t>
      </w:r>
    </w:p>
    <w:p w14:paraId="6BFC8A08" w14:textId="758609F7" w:rsidR="0013191D" w:rsidRPr="00DA76CE" w:rsidRDefault="0013191D" w:rsidP="0013191D">
      <w:pPr>
        <w:ind w:left="2160"/>
        <w:rPr>
          <w:rFonts w:ascii="Arial" w:hAnsi="Arial" w:cs="Arial"/>
          <w:lang w:val="en-GB"/>
        </w:rPr>
      </w:pPr>
      <w:r w:rsidRPr="00DA76CE">
        <w:rPr>
          <w:rFonts w:ascii="Arial" w:hAnsi="Arial" w:cs="Arial"/>
          <w:lang w:val="en-GB"/>
        </w:rPr>
        <w:t>Advertising and Promotion</w:t>
      </w:r>
      <w:r w:rsidRPr="00DA76CE">
        <w:rPr>
          <w:rFonts w:ascii="Arial" w:hAnsi="Arial" w:cs="Arial"/>
          <w:lang w:val="en-GB"/>
        </w:rPr>
        <w:tab/>
      </w:r>
      <w:r w:rsidRPr="00DA76CE">
        <w:rPr>
          <w:rFonts w:ascii="Arial" w:hAnsi="Arial" w:cs="Arial"/>
          <w:lang w:val="en-GB"/>
        </w:rPr>
        <w:tab/>
      </w:r>
      <w:r w:rsidR="004B3FA1">
        <w:rPr>
          <w:rFonts w:ascii="Arial" w:hAnsi="Arial" w:cs="Arial"/>
          <w:lang w:val="en-GB"/>
        </w:rPr>
        <w:tab/>
        <w:t xml:space="preserve">     </w:t>
      </w:r>
      <w:r w:rsidRPr="00DA76CE">
        <w:rPr>
          <w:rFonts w:ascii="Arial" w:hAnsi="Arial" w:cs="Arial"/>
          <w:lang w:val="en-GB"/>
        </w:rPr>
        <w:t>42,772</w:t>
      </w:r>
    </w:p>
    <w:p w14:paraId="524853FC" w14:textId="126AD711" w:rsidR="0013191D" w:rsidRPr="00DA76CE" w:rsidRDefault="0013191D" w:rsidP="0013191D">
      <w:pPr>
        <w:ind w:left="2160"/>
        <w:rPr>
          <w:rFonts w:ascii="Arial" w:hAnsi="Arial" w:cs="Arial"/>
          <w:lang w:val="en-GB"/>
        </w:rPr>
      </w:pPr>
      <w:r w:rsidRPr="00DA76CE">
        <w:rPr>
          <w:rFonts w:ascii="Arial" w:hAnsi="Arial" w:cs="Arial"/>
          <w:lang w:val="en-GB"/>
        </w:rPr>
        <w:t>Business Fees and Licences</w:t>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699</w:t>
      </w:r>
    </w:p>
    <w:p w14:paraId="3BCAC6C9" w14:textId="715CF936" w:rsidR="0013191D" w:rsidRPr="00DA76CE" w:rsidRDefault="0013191D" w:rsidP="0013191D">
      <w:pPr>
        <w:ind w:left="2160"/>
        <w:rPr>
          <w:rFonts w:ascii="Arial" w:hAnsi="Arial" w:cs="Arial"/>
          <w:lang w:val="en-GB"/>
        </w:rPr>
      </w:pPr>
      <w:r w:rsidRPr="00DA76CE">
        <w:rPr>
          <w:rFonts w:ascii="Arial" w:hAnsi="Arial" w:cs="Arial"/>
          <w:lang w:val="en-GB"/>
        </w:rPr>
        <w:t>Cleaning Services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3,900</w:t>
      </w:r>
    </w:p>
    <w:p w14:paraId="6D38D77F" w14:textId="1133A104" w:rsidR="0013191D" w:rsidRPr="00DA76CE" w:rsidRDefault="0013191D" w:rsidP="0013191D">
      <w:pPr>
        <w:ind w:left="2160"/>
        <w:rPr>
          <w:rFonts w:ascii="Arial" w:hAnsi="Arial" w:cs="Arial"/>
          <w:lang w:val="en-GB"/>
        </w:rPr>
      </w:pPr>
      <w:r w:rsidRPr="00DA76CE">
        <w:rPr>
          <w:rFonts w:ascii="Arial" w:hAnsi="Arial" w:cs="Arial"/>
          <w:lang w:val="en-GB"/>
        </w:rPr>
        <w:t>Courier and Postage</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434</w:t>
      </w:r>
    </w:p>
    <w:p w14:paraId="38B0121B" w14:textId="292BE4AF" w:rsidR="0013191D" w:rsidRPr="00DA76CE" w:rsidRDefault="0013191D" w:rsidP="0013191D">
      <w:pPr>
        <w:ind w:left="2160"/>
        <w:rPr>
          <w:rFonts w:ascii="Arial" w:hAnsi="Arial" w:cs="Arial"/>
          <w:lang w:val="en-GB"/>
        </w:rPr>
      </w:pPr>
      <w:r w:rsidRPr="00DA76CE">
        <w:rPr>
          <w:rFonts w:ascii="Arial" w:hAnsi="Arial" w:cs="Arial"/>
          <w:lang w:val="en-GB"/>
        </w:rPr>
        <w:t>Equipment Rental</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5,809</w:t>
      </w:r>
    </w:p>
    <w:p w14:paraId="55B37019" w14:textId="183609DC" w:rsidR="0013191D" w:rsidRPr="00DA76CE" w:rsidRDefault="0013191D" w:rsidP="0013191D">
      <w:pPr>
        <w:ind w:left="2160"/>
        <w:rPr>
          <w:rFonts w:ascii="Arial" w:hAnsi="Arial" w:cs="Arial"/>
          <w:lang w:val="en-GB"/>
        </w:rPr>
      </w:pPr>
      <w:r w:rsidRPr="00DA76CE">
        <w:rPr>
          <w:rFonts w:ascii="Arial" w:hAnsi="Arial" w:cs="Arial"/>
          <w:lang w:val="en-GB"/>
        </w:rPr>
        <w:t>Insurance</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7,138</w:t>
      </w:r>
    </w:p>
    <w:p w14:paraId="5FE04433" w14:textId="62AB2DC1" w:rsidR="0013191D" w:rsidRPr="00DA76CE" w:rsidRDefault="0013191D" w:rsidP="0013191D">
      <w:pPr>
        <w:ind w:left="2160"/>
        <w:rPr>
          <w:rFonts w:ascii="Arial" w:hAnsi="Arial" w:cs="Arial"/>
          <w:lang w:val="en-GB"/>
        </w:rPr>
      </w:pPr>
      <w:r w:rsidRPr="00DA76CE">
        <w:rPr>
          <w:rFonts w:ascii="Arial" w:hAnsi="Arial" w:cs="Arial"/>
          <w:lang w:val="en-GB"/>
        </w:rPr>
        <w:t>Interest and Bank Charges</w:t>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719</w:t>
      </w:r>
    </w:p>
    <w:p w14:paraId="39A53F8E" w14:textId="1D938AC1" w:rsidR="0013191D" w:rsidRPr="00DA76CE" w:rsidRDefault="0013191D" w:rsidP="0013191D">
      <w:pPr>
        <w:ind w:left="2160"/>
        <w:rPr>
          <w:rFonts w:ascii="Arial" w:hAnsi="Arial" w:cs="Arial"/>
          <w:lang w:val="en-GB"/>
        </w:rPr>
      </w:pPr>
      <w:r w:rsidRPr="00DA76CE">
        <w:rPr>
          <w:rFonts w:ascii="Arial" w:hAnsi="Arial" w:cs="Arial"/>
          <w:lang w:val="en-GB"/>
        </w:rPr>
        <w:t xml:space="preserve">Office Supplies  </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4,178</w:t>
      </w:r>
    </w:p>
    <w:p w14:paraId="1383FB10" w14:textId="478096E2" w:rsidR="0013191D" w:rsidRPr="00DA76CE" w:rsidRDefault="0013191D" w:rsidP="0013191D">
      <w:pPr>
        <w:ind w:left="2160"/>
        <w:rPr>
          <w:rFonts w:ascii="Arial" w:hAnsi="Arial" w:cs="Arial"/>
          <w:lang w:val="en-GB"/>
        </w:rPr>
      </w:pPr>
      <w:r w:rsidRPr="00DA76CE">
        <w:rPr>
          <w:rFonts w:ascii="Arial" w:hAnsi="Arial" w:cs="Arial"/>
          <w:lang w:val="en-GB"/>
        </w:rPr>
        <w:t>Meals and Entertainment</w:t>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178</w:t>
      </w:r>
    </w:p>
    <w:p w14:paraId="49434B6F" w14:textId="66AB345C" w:rsidR="0013191D" w:rsidRPr="00DA76CE" w:rsidRDefault="0013191D" w:rsidP="0013191D">
      <w:pPr>
        <w:ind w:left="2160"/>
        <w:rPr>
          <w:rFonts w:ascii="Arial" w:hAnsi="Arial" w:cs="Arial"/>
          <w:lang w:val="en-GB"/>
        </w:rPr>
      </w:pPr>
      <w:r w:rsidRPr="00DA76CE">
        <w:rPr>
          <w:rFonts w:ascii="Arial" w:hAnsi="Arial" w:cs="Arial"/>
          <w:lang w:val="en-GB"/>
        </w:rPr>
        <w:t>Research</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1,143</w:t>
      </w:r>
    </w:p>
    <w:p w14:paraId="35B1CB20" w14:textId="38388AD2" w:rsidR="0013191D" w:rsidRPr="00DA76CE" w:rsidRDefault="0013191D" w:rsidP="0013191D">
      <w:pPr>
        <w:ind w:left="2160"/>
        <w:rPr>
          <w:rFonts w:ascii="Arial" w:hAnsi="Arial" w:cs="Arial"/>
          <w:lang w:val="en-GB"/>
        </w:rPr>
      </w:pPr>
      <w:r w:rsidRPr="00DA76CE">
        <w:rPr>
          <w:rFonts w:ascii="Arial" w:hAnsi="Arial" w:cs="Arial"/>
          <w:lang w:val="en-GB"/>
        </w:rPr>
        <w:t>Rent</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160,272</w:t>
      </w:r>
    </w:p>
    <w:p w14:paraId="00CA5063" w14:textId="6425841C" w:rsidR="0013191D" w:rsidRPr="00DA76CE" w:rsidRDefault="0013191D" w:rsidP="0013191D">
      <w:pPr>
        <w:ind w:left="2160"/>
        <w:rPr>
          <w:rFonts w:ascii="Arial" w:hAnsi="Arial" w:cs="Arial"/>
          <w:lang w:val="en-GB"/>
        </w:rPr>
      </w:pPr>
      <w:r w:rsidRPr="00DA76CE">
        <w:rPr>
          <w:rFonts w:ascii="Arial" w:hAnsi="Arial" w:cs="Arial"/>
          <w:lang w:val="en-GB"/>
        </w:rPr>
        <w:t>Repair and Maintenance</w:t>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771</w:t>
      </w:r>
    </w:p>
    <w:p w14:paraId="6C7A9D8F" w14:textId="4B871B61" w:rsidR="0013191D" w:rsidRPr="00DA76CE" w:rsidRDefault="0013191D" w:rsidP="0013191D">
      <w:pPr>
        <w:ind w:left="2160"/>
        <w:rPr>
          <w:rFonts w:ascii="Arial" w:hAnsi="Arial" w:cs="Arial"/>
          <w:lang w:val="en-GB"/>
        </w:rPr>
      </w:pPr>
      <w:r w:rsidRPr="00DA76CE">
        <w:rPr>
          <w:rFonts w:ascii="Arial" w:hAnsi="Arial" w:cs="Arial"/>
          <w:lang w:val="en-GB"/>
        </w:rPr>
        <w:t xml:space="preserve">Supplies </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4B3FA1">
        <w:rPr>
          <w:rFonts w:ascii="Arial" w:hAnsi="Arial" w:cs="Arial"/>
          <w:lang w:val="en-GB"/>
        </w:rPr>
        <w:tab/>
        <w:t xml:space="preserve">     </w:t>
      </w:r>
      <w:r w:rsidRPr="00DA76CE">
        <w:rPr>
          <w:rFonts w:ascii="Arial" w:hAnsi="Arial" w:cs="Arial"/>
          <w:lang w:val="en-GB"/>
        </w:rPr>
        <w:t>17,425</w:t>
      </w:r>
    </w:p>
    <w:p w14:paraId="36FB6E9D" w14:textId="337ED48C" w:rsidR="0013191D" w:rsidRPr="00DA76CE" w:rsidRDefault="0013191D" w:rsidP="0013191D">
      <w:pPr>
        <w:ind w:left="2160"/>
        <w:rPr>
          <w:rFonts w:ascii="Arial" w:hAnsi="Arial" w:cs="Arial"/>
          <w:lang w:val="en-GB"/>
        </w:rPr>
      </w:pPr>
      <w:r w:rsidRPr="00DA76CE">
        <w:rPr>
          <w:rFonts w:ascii="Arial" w:hAnsi="Arial" w:cs="Arial"/>
          <w:lang w:val="en-GB"/>
        </w:rPr>
        <w:t>Telephone</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4B3FA1">
        <w:rPr>
          <w:rFonts w:ascii="Arial" w:hAnsi="Arial" w:cs="Arial"/>
          <w:lang w:val="en-GB"/>
        </w:rPr>
        <w:tab/>
        <w:t xml:space="preserve">       </w:t>
      </w:r>
      <w:r w:rsidRPr="00DA76CE">
        <w:rPr>
          <w:rFonts w:ascii="Arial" w:hAnsi="Arial" w:cs="Arial"/>
          <w:lang w:val="en-GB"/>
        </w:rPr>
        <w:t>2,082</w:t>
      </w:r>
    </w:p>
    <w:p w14:paraId="66CF3F32" w14:textId="34BDCDD8" w:rsidR="0013191D" w:rsidRPr="00DA76CE" w:rsidRDefault="0013191D" w:rsidP="0013191D">
      <w:pPr>
        <w:ind w:left="2160"/>
        <w:rPr>
          <w:rFonts w:ascii="Arial" w:hAnsi="Arial" w:cs="Arial"/>
          <w:lang w:val="en-GB"/>
        </w:rPr>
      </w:pPr>
      <w:r w:rsidRPr="00DA76CE">
        <w:rPr>
          <w:rFonts w:ascii="Arial" w:hAnsi="Arial" w:cs="Arial"/>
          <w:lang w:val="en-GB"/>
        </w:rPr>
        <w:t>Utilities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4B3FA1">
        <w:rPr>
          <w:rFonts w:ascii="Arial" w:hAnsi="Arial" w:cs="Arial"/>
          <w:lang w:val="en-GB"/>
        </w:rPr>
        <w:tab/>
        <w:t xml:space="preserve">     </w:t>
      </w:r>
      <w:r w:rsidRPr="00DA76CE">
        <w:rPr>
          <w:rFonts w:ascii="Arial" w:hAnsi="Arial" w:cs="Arial"/>
          <w:u w:val="single"/>
          <w:lang w:val="en-GB"/>
        </w:rPr>
        <w:t>13,268</w:t>
      </w:r>
    </w:p>
    <w:p w14:paraId="37B849EA" w14:textId="50B290CB" w:rsidR="0013191D" w:rsidRPr="00DA76CE" w:rsidRDefault="0013191D" w:rsidP="0013191D">
      <w:pPr>
        <w:ind w:left="2160"/>
        <w:rPr>
          <w:rFonts w:ascii="Arial" w:hAnsi="Arial" w:cs="Arial"/>
          <w:lang w:val="en-GB"/>
        </w:rPr>
      </w:pPr>
      <w:r w:rsidRPr="00DA76CE">
        <w:rPr>
          <w:rFonts w:ascii="Arial" w:hAnsi="Arial" w:cs="Arial"/>
          <w:lang w:val="en-GB"/>
        </w:rPr>
        <w:t>Total Operating Expenses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Pr="00DA76CE">
        <w:rPr>
          <w:rFonts w:ascii="Arial" w:hAnsi="Arial" w:cs="Arial"/>
          <w:u w:val="single"/>
          <w:lang w:val="en-GB"/>
        </w:rPr>
        <w:t>340,366</w:t>
      </w:r>
    </w:p>
    <w:p w14:paraId="33F86D4D" w14:textId="725AF0F4" w:rsidR="0013191D" w:rsidRPr="00DA76CE" w:rsidRDefault="0013191D" w:rsidP="0013191D">
      <w:pPr>
        <w:ind w:left="2160"/>
        <w:rPr>
          <w:lang w:val="en-GB"/>
        </w:rPr>
      </w:pPr>
      <w:r w:rsidRPr="00DA76CE">
        <w:rPr>
          <w:rFonts w:ascii="Arial" w:hAnsi="Arial" w:cs="Arial"/>
          <w:lang w:val="en-GB"/>
        </w:rPr>
        <w:t>Net Income (Loss)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181,189</w:t>
      </w:r>
    </w:p>
    <w:p w14:paraId="5C85EDE6" w14:textId="37388250" w:rsidR="0013191D" w:rsidRPr="00DA76CE" w:rsidRDefault="0013191D" w:rsidP="004B3FA1">
      <w:pPr>
        <w:pStyle w:val="ExhibitText"/>
        <w:rPr>
          <w:lang w:val="en-GB"/>
        </w:rPr>
      </w:pPr>
    </w:p>
    <w:p w14:paraId="5D214BF1" w14:textId="708EA9F6" w:rsidR="0013191D" w:rsidRPr="00DA76CE" w:rsidRDefault="0013191D" w:rsidP="004B3FA1">
      <w:pPr>
        <w:pStyle w:val="ExhibitText"/>
        <w:rPr>
          <w:lang w:val="en-GB"/>
        </w:rPr>
      </w:pPr>
    </w:p>
    <w:p w14:paraId="616B534F" w14:textId="5C4B0651" w:rsidR="004D69DE" w:rsidRPr="00DA76CE" w:rsidRDefault="0013191D" w:rsidP="004D69DE">
      <w:pPr>
        <w:jc w:val="center"/>
        <w:rPr>
          <w:rFonts w:ascii="Arial" w:hAnsi="Arial" w:cs="Arial"/>
          <w:lang w:val="en-GB"/>
        </w:rPr>
      </w:pPr>
      <w:r w:rsidRPr="00DA76CE">
        <w:rPr>
          <w:rFonts w:ascii="Arial" w:hAnsi="Arial" w:cs="Arial"/>
          <w:b/>
          <w:lang w:val="en-GB"/>
        </w:rPr>
        <w:t xml:space="preserve">    </w:t>
      </w:r>
      <w:r w:rsidR="000579DF" w:rsidRPr="00DA76CE">
        <w:rPr>
          <w:rFonts w:ascii="Arial" w:hAnsi="Arial" w:cs="Arial"/>
          <w:b/>
          <w:lang w:val="en-GB"/>
        </w:rPr>
        <w:t>B</w:t>
      </w:r>
      <w:r w:rsidRPr="00DA76CE">
        <w:rPr>
          <w:rFonts w:ascii="Arial" w:hAnsi="Arial" w:cs="Arial"/>
          <w:b/>
          <w:lang w:val="en-GB"/>
        </w:rPr>
        <w:t xml:space="preserve">alance </w:t>
      </w:r>
      <w:r w:rsidR="000579DF" w:rsidRPr="00DA76CE">
        <w:rPr>
          <w:rFonts w:ascii="Arial" w:hAnsi="Arial" w:cs="Arial"/>
          <w:b/>
          <w:lang w:val="en-GB"/>
        </w:rPr>
        <w:t xml:space="preserve">Sheet </w:t>
      </w:r>
      <w:r w:rsidRPr="00DA76CE">
        <w:rPr>
          <w:rFonts w:ascii="Arial" w:hAnsi="Arial" w:cs="Arial"/>
          <w:b/>
          <w:lang w:val="en-GB"/>
        </w:rPr>
        <w:t>(as of December 31</w:t>
      </w:r>
      <w:r w:rsidR="000579DF" w:rsidRPr="00DA76CE">
        <w:rPr>
          <w:rFonts w:ascii="Arial" w:hAnsi="Arial" w:cs="Arial"/>
          <w:b/>
          <w:lang w:val="en-GB"/>
        </w:rPr>
        <w:t>,</w:t>
      </w:r>
      <w:r w:rsidRPr="00DA76CE">
        <w:rPr>
          <w:rFonts w:ascii="Arial" w:hAnsi="Arial" w:cs="Arial"/>
          <w:b/>
          <w:lang w:val="en-GB"/>
        </w:rPr>
        <w:t xml:space="preserve"> 2015)</w:t>
      </w:r>
      <w:r w:rsidR="004D69DE" w:rsidRPr="00DA76CE">
        <w:rPr>
          <w:rFonts w:ascii="Arial" w:hAnsi="Arial" w:cs="Arial"/>
          <w:lang w:val="en-GB"/>
        </w:rPr>
        <w:t xml:space="preserve"> </w:t>
      </w:r>
    </w:p>
    <w:p w14:paraId="6D67FA14" w14:textId="5CED617D" w:rsidR="0013191D" w:rsidRPr="00DA76CE" w:rsidRDefault="0013191D" w:rsidP="004B3FA1">
      <w:pPr>
        <w:pStyle w:val="ExhibitText"/>
        <w:rPr>
          <w:lang w:val="en-GB"/>
        </w:rPr>
      </w:pPr>
    </w:p>
    <w:p w14:paraId="48F1BF2F" w14:textId="77777777" w:rsidR="0013191D" w:rsidRPr="00982A6B" w:rsidRDefault="0013191D" w:rsidP="0013191D">
      <w:pPr>
        <w:ind w:left="2160"/>
        <w:rPr>
          <w:rFonts w:ascii="Arial" w:hAnsi="Arial" w:cs="Arial"/>
          <w:b/>
          <w:lang w:val="en-GB"/>
        </w:rPr>
      </w:pPr>
      <w:r w:rsidRPr="00982A6B">
        <w:rPr>
          <w:rFonts w:ascii="Arial" w:hAnsi="Arial" w:cs="Arial"/>
          <w:b/>
          <w:lang w:val="en-GB"/>
        </w:rPr>
        <w:t>ASSETS</w:t>
      </w:r>
    </w:p>
    <w:p w14:paraId="7D4059E5" w14:textId="77777777" w:rsidR="0013191D" w:rsidRPr="00DA76CE" w:rsidRDefault="0013191D" w:rsidP="0013191D">
      <w:pPr>
        <w:ind w:left="2160"/>
        <w:rPr>
          <w:rFonts w:ascii="Arial" w:hAnsi="Arial" w:cs="Arial"/>
          <w:lang w:val="en-GB"/>
        </w:rPr>
      </w:pPr>
      <w:r w:rsidRPr="00DA76CE">
        <w:rPr>
          <w:rFonts w:ascii="Arial" w:hAnsi="Arial" w:cs="Arial"/>
          <w:lang w:val="en-GB"/>
        </w:rPr>
        <w:t>Current Assets:</w:t>
      </w:r>
    </w:p>
    <w:p w14:paraId="28C58EA5" w14:textId="69D070D4" w:rsidR="0013191D" w:rsidRPr="00DA76CE" w:rsidRDefault="0013191D" w:rsidP="0013191D">
      <w:pPr>
        <w:ind w:left="2160"/>
        <w:rPr>
          <w:rFonts w:ascii="Arial" w:hAnsi="Arial" w:cs="Arial"/>
          <w:lang w:val="en-GB"/>
        </w:rPr>
      </w:pPr>
      <w:r w:rsidRPr="00DA76CE">
        <w:rPr>
          <w:rFonts w:ascii="Arial" w:hAnsi="Arial" w:cs="Arial"/>
          <w:lang w:val="en-GB"/>
        </w:rPr>
        <w:t>Cash</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49,264</w:t>
      </w:r>
    </w:p>
    <w:p w14:paraId="3DFE0B83" w14:textId="7C8567E1" w:rsidR="0013191D" w:rsidRPr="00DA76CE" w:rsidRDefault="0013191D" w:rsidP="0013191D">
      <w:pPr>
        <w:ind w:left="2160"/>
        <w:rPr>
          <w:rFonts w:ascii="Arial" w:hAnsi="Arial" w:cs="Arial"/>
          <w:lang w:val="en-GB"/>
        </w:rPr>
      </w:pPr>
      <w:r w:rsidRPr="00DA76CE">
        <w:rPr>
          <w:rFonts w:ascii="Arial" w:hAnsi="Arial" w:cs="Arial"/>
          <w:lang w:val="en-GB"/>
        </w:rPr>
        <w:t>Accounts Receivable</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 xml:space="preserve">  </w:t>
      </w:r>
      <w:r w:rsidR="000579DF" w:rsidRPr="00DA76CE">
        <w:rPr>
          <w:rFonts w:ascii="Arial" w:hAnsi="Arial" w:cs="Arial"/>
          <w:lang w:val="en-GB"/>
        </w:rPr>
        <w:t xml:space="preserve"> </w:t>
      </w:r>
      <w:r w:rsidRPr="00DA76CE">
        <w:rPr>
          <w:rFonts w:ascii="Arial" w:hAnsi="Arial" w:cs="Arial"/>
          <w:lang w:val="en-GB"/>
        </w:rPr>
        <w:t xml:space="preserve">  14,192</w:t>
      </w:r>
    </w:p>
    <w:p w14:paraId="560C6393" w14:textId="01FA4D4F" w:rsidR="0013191D" w:rsidRPr="00DA76CE" w:rsidRDefault="0013191D" w:rsidP="0013191D">
      <w:pPr>
        <w:ind w:left="2160"/>
        <w:rPr>
          <w:rFonts w:ascii="Arial" w:hAnsi="Arial" w:cs="Arial"/>
          <w:lang w:val="en-GB"/>
        </w:rPr>
      </w:pPr>
      <w:r w:rsidRPr="00DA76CE">
        <w:rPr>
          <w:rFonts w:ascii="Arial" w:hAnsi="Arial" w:cs="Arial"/>
          <w:lang w:val="en-GB"/>
        </w:rPr>
        <w:t>Supplies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2,579</w:t>
      </w:r>
    </w:p>
    <w:p w14:paraId="3454E714" w14:textId="7A748199" w:rsidR="0013191D" w:rsidRPr="00DA76CE" w:rsidRDefault="0013191D" w:rsidP="0013191D">
      <w:pPr>
        <w:ind w:left="2160"/>
        <w:rPr>
          <w:rFonts w:ascii="Arial" w:hAnsi="Arial" w:cs="Arial"/>
          <w:lang w:val="en-GB"/>
        </w:rPr>
      </w:pPr>
      <w:r w:rsidRPr="00DA76CE">
        <w:rPr>
          <w:rFonts w:ascii="Arial" w:hAnsi="Arial" w:cs="Arial"/>
          <w:lang w:val="en-GB"/>
        </w:rPr>
        <w:t xml:space="preserve">Note Receivable </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 xml:space="preserve">    31,475</w:t>
      </w:r>
    </w:p>
    <w:p w14:paraId="3831BA97" w14:textId="629CC9BC" w:rsidR="0013191D" w:rsidRPr="00DA76CE" w:rsidRDefault="0013191D" w:rsidP="0013191D">
      <w:pPr>
        <w:ind w:left="2160"/>
        <w:rPr>
          <w:rFonts w:ascii="Arial" w:hAnsi="Arial" w:cs="Arial"/>
          <w:lang w:val="en-GB"/>
        </w:rPr>
      </w:pPr>
      <w:r w:rsidRPr="00DA76CE">
        <w:rPr>
          <w:rFonts w:ascii="Arial" w:hAnsi="Arial" w:cs="Arial"/>
          <w:lang w:val="en-GB"/>
        </w:rPr>
        <w:t>Deposits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u w:val="single"/>
          <w:lang w:val="en-GB"/>
        </w:rPr>
        <w:t xml:space="preserve">    14,928</w:t>
      </w:r>
    </w:p>
    <w:p w14:paraId="66D001E7" w14:textId="3A507012" w:rsidR="0013191D" w:rsidRPr="00DA76CE" w:rsidRDefault="0013191D" w:rsidP="0013191D">
      <w:pPr>
        <w:ind w:left="2160"/>
        <w:rPr>
          <w:rFonts w:ascii="Arial" w:hAnsi="Arial" w:cs="Arial"/>
          <w:lang w:val="en-GB"/>
        </w:rPr>
      </w:pPr>
      <w:r w:rsidRPr="00DA76CE">
        <w:rPr>
          <w:rFonts w:ascii="Arial" w:hAnsi="Arial" w:cs="Arial"/>
          <w:lang w:val="en-GB"/>
        </w:rPr>
        <w:t>Total Current Assets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$112,438</w:t>
      </w:r>
    </w:p>
    <w:p w14:paraId="54E5ECF5" w14:textId="77777777" w:rsidR="0013191D" w:rsidRPr="00DA76CE" w:rsidRDefault="0013191D" w:rsidP="004B3FA1">
      <w:pPr>
        <w:pStyle w:val="ExhibitText"/>
        <w:rPr>
          <w:lang w:val="en-GB"/>
        </w:rPr>
      </w:pPr>
    </w:p>
    <w:p w14:paraId="13C05E61" w14:textId="77777777" w:rsidR="0013191D" w:rsidRPr="00DA76CE" w:rsidRDefault="0013191D" w:rsidP="0013191D">
      <w:pPr>
        <w:ind w:left="2160"/>
        <w:rPr>
          <w:rFonts w:ascii="Arial" w:hAnsi="Arial" w:cs="Arial"/>
          <w:lang w:val="en-GB"/>
        </w:rPr>
      </w:pPr>
      <w:r w:rsidRPr="00DA76CE">
        <w:rPr>
          <w:rFonts w:ascii="Arial" w:hAnsi="Arial" w:cs="Arial"/>
          <w:lang w:val="en-GB"/>
        </w:rPr>
        <w:t>Capital Assets:</w:t>
      </w:r>
    </w:p>
    <w:p w14:paraId="55F16DE1" w14:textId="33F42B82" w:rsidR="0013191D" w:rsidRPr="00DA76CE" w:rsidRDefault="0013191D" w:rsidP="0013191D">
      <w:pPr>
        <w:ind w:left="2160"/>
        <w:rPr>
          <w:rFonts w:ascii="Arial" w:hAnsi="Arial" w:cs="Arial"/>
          <w:lang w:val="en-GB"/>
        </w:rPr>
      </w:pPr>
      <w:r w:rsidRPr="00DA76CE">
        <w:rPr>
          <w:rFonts w:ascii="Arial" w:hAnsi="Arial" w:cs="Arial"/>
          <w:lang w:val="en-GB"/>
        </w:rPr>
        <w:t>Tanks and Leasehold Improvements (</w:t>
      </w:r>
      <w:r w:rsidR="000579DF" w:rsidRPr="00DA76CE">
        <w:rPr>
          <w:rFonts w:ascii="Arial" w:hAnsi="Arial" w:cs="Arial"/>
          <w:lang w:val="en-GB"/>
        </w:rPr>
        <w:t>Net</w:t>
      </w:r>
      <w:r w:rsidRPr="00DA76CE">
        <w:rPr>
          <w:rFonts w:ascii="Arial" w:hAnsi="Arial" w:cs="Arial"/>
          <w:lang w:val="en-GB"/>
        </w:rPr>
        <w:t>)</w:t>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 xml:space="preserve">  656,683</w:t>
      </w:r>
    </w:p>
    <w:p w14:paraId="2A1124E2" w14:textId="50CCF90F" w:rsidR="0013191D" w:rsidRPr="00DA76CE" w:rsidRDefault="0013191D" w:rsidP="0013191D">
      <w:pPr>
        <w:ind w:left="2160"/>
        <w:rPr>
          <w:rFonts w:ascii="Arial" w:hAnsi="Arial" w:cs="Arial"/>
          <w:lang w:val="en-GB"/>
        </w:rPr>
      </w:pPr>
      <w:r w:rsidRPr="00DA76CE">
        <w:rPr>
          <w:rFonts w:ascii="Arial" w:hAnsi="Arial" w:cs="Arial"/>
          <w:lang w:val="en-GB"/>
        </w:rPr>
        <w:t>Office Furniture and Equipment</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 xml:space="preserve">    16,164</w:t>
      </w:r>
    </w:p>
    <w:p w14:paraId="6EC0CB44" w14:textId="6199D31E" w:rsidR="0013191D" w:rsidRPr="00DA76CE" w:rsidRDefault="0013191D" w:rsidP="0013191D">
      <w:pPr>
        <w:ind w:left="2160"/>
        <w:rPr>
          <w:rFonts w:ascii="Arial" w:hAnsi="Arial" w:cs="Arial"/>
          <w:lang w:val="en-GB"/>
        </w:rPr>
      </w:pPr>
      <w:r w:rsidRPr="00DA76CE">
        <w:rPr>
          <w:rFonts w:ascii="Arial" w:hAnsi="Arial" w:cs="Arial"/>
          <w:lang w:val="en-GB"/>
        </w:rPr>
        <w:t>Computers (</w:t>
      </w:r>
      <w:r w:rsidR="000579DF" w:rsidRPr="00DA76CE">
        <w:rPr>
          <w:rFonts w:ascii="Arial" w:hAnsi="Arial" w:cs="Arial"/>
          <w:lang w:val="en-GB"/>
        </w:rPr>
        <w:t>Net</w:t>
      </w:r>
      <w:r w:rsidRPr="00DA76CE">
        <w:rPr>
          <w:rFonts w:ascii="Arial" w:hAnsi="Arial" w:cs="Arial"/>
          <w:lang w:val="en-GB"/>
        </w:rPr>
        <w:t>)</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 xml:space="preserve">      2,997</w:t>
      </w:r>
    </w:p>
    <w:p w14:paraId="7542CF62" w14:textId="654522E0" w:rsidR="0013191D" w:rsidRPr="00DA76CE" w:rsidRDefault="0013191D" w:rsidP="0013191D">
      <w:pPr>
        <w:ind w:left="2160"/>
        <w:rPr>
          <w:rFonts w:ascii="Arial" w:hAnsi="Arial" w:cs="Arial"/>
          <w:lang w:val="en-GB"/>
        </w:rPr>
      </w:pPr>
      <w:r w:rsidRPr="00DA76CE">
        <w:rPr>
          <w:rFonts w:ascii="Arial" w:hAnsi="Arial" w:cs="Arial"/>
          <w:lang w:val="en-GB"/>
        </w:rPr>
        <w:t>Yoga Equipment (</w:t>
      </w:r>
      <w:r w:rsidR="000579DF" w:rsidRPr="00DA76CE">
        <w:rPr>
          <w:rFonts w:ascii="Arial" w:hAnsi="Arial" w:cs="Arial"/>
          <w:lang w:val="en-GB"/>
        </w:rPr>
        <w:t>Net</w:t>
      </w:r>
      <w:r w:rsidRPr="00DA76CE">
        <w:rPr>
          <w:rFonts w:ascii="Arial" w:hAnsi="Arial" w:cs="Arial"/>
          <w:lang w:val="en-GB"/>
        </w:rPr>
        <w:t>)</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u w:val="single"/>
          <w:lang w:val="en-GB"/>
        </w:rPr>
        <w:t xml:space="preserve">         296</w:t>
      </w:r>
    </w:p>
    <w:p w14:paraId="1F1AE128" w14:textId="3CDF923C" w:rsidR="0013191D" w:rsidRPr="00DA76CE" w:rsidRDefault="0013191D" w:rsidP="0013191D">
      <w:pPr>
        <w:ind w:left="2160"/>
        <w:rPr>
          <w:rFonts w:ascii="Arial" w:hAnsi="Arial" w:cs="Arial"/>
          <w:lang w:val="en-GB"/>
        </w:rPr>
      </w:pPr>
      <w:r w:rsidRPr="00DA76CE">
        <w:rPr>
          <w:rFonts w:ascii="Arial" w:hAnsi="Arial" w:cs="Arial"/>
          <w:lang w:val="en-GB"/>
        </w:rPr>
        <w:t>Total Capital Assets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$676,140</w:t>
      </w:r>
    </w:p>
    <w:p w14:paraId="653C8D6D" w14:textId="77777777" w:rsidR="0013191D" w:rsidRPr="00DA76CE" w:rsidRDefault="0013191D" w:rsidP="004B3FA1">
      <w:pPr>
        <w:pStyle w:val="ExhibitText"/>
        <w:rPr>
          <w:lang w:val="en-GB"/>
        </w:rPr>
      </w:pPr>
    </w:p>
    <w:p w14:paraId="5F0A7CE4" w14:textId="582920E3" w:rsidR="0013191D" w:rsidRPr="00DA76CE" w:rsidRDefault="0013191D" w:rsidP="0013191D">
      <w:pPr>
        <w:ind w:left="2160"/>
        <w:rPr>
          <w:rFonts w:ascii="Arial" w:hAnsi="Arial" w:cs="Arial"/>
          <w:lang w:val="en-GB"/>
        </w:rPr>
      </w:pPr>
      <w:r w:rsidRPr="00982A6B">
        <w:rPr>
          <w:rFonts w:ascii="Arial" w:hAnsi="Arial" w:cs="Arial"/>
          <w:b/>
          <w:lang w:val="en-GB"/>
        </w:rPr>
        <w:t>TOTAL ASSETS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$788,578</w:t>
      </w:r>
    </w:p>
    <w:p w14:paraId="30661F0E" w14:textId="77777777" w:rsidR="0013191D" w:rsidRDefault="0013191D" w:rsidP="004B3FA1">
      <w:pPr>
        <w:pStyle w:val="ExhibitText"/>
        <w:rPr>
          <w:lang w:val="en-GB"/>
        </w:rPr>
      </w:pPr>
    </w:p>
    <w:p w14:paraId="0DEBF9D4" w14:textId="30DBE76C" w:rsidR="004B3FA1" w:rsidRDefault="004B3FA1">
      <w:pPr>
        <w:spacing w:after="200" w:line="276" w:lineRule="auto"/>
        <w:rPr>
          <w:rFonts w:ascii="Arial" w:hAnsi="Arial" w:cs="Arial"/>
          <w:lang w:val="en-GB"/>
        </w:rPr>
      </w:pPr>
      <w:r>
        <w:rPr>
          <w:lang w:val="en-GB"/>
        </w:rPr>
        <w:br w:type="page"/>
      </w:r>
    </w:p>
    <w:p w14:paraId="7F49F6EB" w14:textId="7B28CD09" w:rsidR="004B3FA1" w:rsidRDefault="004B3FA1" w:rsidP="004B3FA1">
      <w:pPr>
        <w:pStyle w:val="ExhibitHeading"/>
        <w:rPr>
          <w:lang w:val="en-GB"/>
        </w:rPr>
      </w:pPr>
      <w:r>
        <w:rPr>
          <w:lang w:val="en-GB"/>
        </w:rPr>
        <w:lastRenderedPageBreak/>
        <w:t>exhibit 1 continued</w:t>
      </w:r>
    </w:p>
    <w:p w14:paraId="1CA82F3C" w14:textId="77777777" w:rsidR="004B3FA1" w:rsidRPr="00DA76CE" w:rsidRDefault="004B3FA1" w:rsidP="004B3FA1">
      <w:pPr>
        <w:pStyle w:val="ExhibitText"/>
        <w:rPr>
          <w:lang w:val="en-GB"/>
        </w:rPr>
      </w:pPr>
    </w:p>
    <w:p w14:paraId="58C228F6" w14:textId="66739F6D" w:rsidR="0013191D" w:rsidRDefault="004B3FA1" w:rsidP="0013191D">
      <w:pPr>
        <w:ind w:left="2160"/>
        <w:rPr>
          <w:rFonts w:ascii="Arial" w:hAnsi="Arial" w:cs="Arial"/>
          <w:b/>
          <w:lang w:val="en-GB"/>
        </w:rPr>
      </w:pPr>
      <w:r>
        <w:rPr>
          <w:rFonts w:ascii="Arial" w:hAnsi="Arial" w:cs="Arial"/>
          <w:b/>
          <w:lang w:val="en-GB"/>
        </w:rPr>
        <w:t xml:space="preserve">               Liabilities a</w:t>
      </w:r>
      <w:r w:rsidRPr="00982A6B">
        <w:rPr>
          <w:rFonts w:ascii="Arial" w:hAnsi="Arial" w:cs="Arial"/>
          <w:b/>
          <w:lang w:val="en-GB"/>
        </w:rPr>
        <w:t>nd Shareholders</w:t>
      </w:r>
      <w:r>
        <w:rPr>
          <w:rFonts w:ascii="Arial" w:hAnsi="Arial" w:cs="Arial"/>
          <w:b/>
          <w:lang w:val="en-GB"/>
        </w:rPr>
        <w:t>’</w:t>
      </w:r>
      <w:r w:rsidRPr="00982A6B">
        <w:rPr>
          <w:rFonts w:ascii="Arial" w:hAnsi="Arial" w:cs="Arial"/>
          <w:b/>
          <w:lang w:val="en-GB"/>
        </w:rPr>
        <w:t xml:space="preserve"> Equity</w:t>
      </w:r>
    </w:p>
    <w:p w14:paraId="264ABFAE" w14:textId="77777777" w:rsidR="004B3FA1" w:rsidRPr="00982A6B" w:rsidRDefault="004B3FA1" w:rsidP="004B3FA1">
      <w:pPr>
        <w:pStyle w:val="ExhibitText"/>
        <w:rPr>
          <w:lang w:val="en-GB"/>
        </w:rPr>
      </w:pPr>
    </w:p>
    <w:p w14:paraId="2BAA4D25" w14:textId="77777777" w:rsidR="0013191D" w:rsidRPr="00DA76CE" w:rsidRDefault="0013191D" w:rsidP="0013191D">
      <w:pPr>
        <w:ind w:left="2160"/>
        <w:rPr>
          <w:rFonts w:ascii="Arial" w:hAnsi="Arial" w:cs="Arial"/>
          <w:lang w:val="en-GB"/>
        </w:rPr>
      </w:pPr>
      <w:r w:rsidRPr="00DA76CE">
        <w:rPr>
          <w:rFonts w:ascii="Arial" w:hAnsi="Arial" w:cs="Arial"/>
          <w:lang w:val="en-GB"/>
        </w:rPr>
        <w:t>Current Liabilities:</w:t>
      </w:r>
    </w:p>
    <w:p w14:paraId="3F5E4DDF" w14:textId="2857EAAE" w:rsidR="0013191D" w:rsidRPr="00DA76CE" w:rsidRDefault="0013191D" w:rsidP="0013191D">
      <w:pPr>
        <w:ind w:left="2160"/>
        <w:rPr>
          <w:rFonts w:ascii="Arial" w:hAnsi="Arial" w:cs="Arial"/>
          <w:lang w:val="en-GB"/>
        </w:rPr>
      </w:pPr>
      <w:r w:rsidRPr="00DA76CE">
        <w:rPr>
          <w:rFonts w:ascii="Arial" w:hAnsi="Arial" w:cs="Arial"/>
          <w:lang w:val="en-GB"/>
        </w:rPr>
        <w:t>Accounts Payable</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15,065</w:t>
      </w:r>
    </w:p>
    <w:p w14:paraId="1FDE3E27" w14:textId="4FD2DFFD" w:rsidR="0013191D" w:rsidRPr="00DA76CE" w:rsidRDefault="0013191D" w:rsidP="0013191D">
      <w:pPr>
        <w:ind w:left="2160"/>
        <w:rPr>
          <w:rFonts w:ascii="Arial" w:hAnsi="Arial" w:cs="Arial"/>
          <w:lang w:val="en-GB"/>
        </w:rPr>
      </w:pPr>
      <w:r w:rsidRPr="00DA76CE">
        <w:rPr>
          <w:rFonts w:ascii="Arial" w:hAnsi="Arial" w:cs="Arial"/>
          <w:lang w:val="en-GB"/>
        </w:rPr>
        <w:t>Long-</w:t>
      </w:r>
      <w:r w:rsidR="000579DF" w:rsidRPr="00DA76CE">
        <w:rPr>
          <w:rFonts w:ascii="Arial" w:hAnsi="Arial" w:cs="Arial"/>
          <w:lang w:val="en-GB"/>
        </w:rPr>
        <w:t xml:space="preserve">Term </w:t>
      </w:r>
      <w:r w:rsidRPr="00DA76CE">
        <w:rPr>
          <w:rFonts w:ascii="Arial" w:hAnsi="Arial" w:cs="Arial"/>
          <w:lang w:val="en-GB"/>
        </w:rPr>
        <w:t>Liabilities:</w:t>
      </w:r>
    </w:p>
    <w:p w14:paraId="2C03255A" w14:textId="77777777" w:rsidR="0013191D" w:rsidRPr="00DA76CE" w:rsidRDefault="0013191D" w:rsidP="0013191D">
      <w:pPr>
        <w:ind w:left="2160"/>
        <w:rPr>
          <w:rFonts w:ascii="Arial" w:hAnsi="Arial" w:cs="Arial"/>
          <w:lang w:val="en-GB"/>
        </w:rPr>
      </w:pPr>
      <w:r w:rsidRPr="00DA76CE">
        <w:rPr>
          <w:rFonts w:ascii="Arial" w:hAnsi="Arial" w:cs="Arial"/>
          <w:lang w:val="en-GB"/>
        </w:rPr>
        <w:t>Note Payable 529802</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t>1,157,690</w:t>
      </w:r>
    </w:p>
    <w:p w14:paraId="0FBCB69B" w14:textId="333BA6FF" w:rsidR="0013191D" w:rsidRPr="00DA76CE" w:rsidRDefault="0013191D" w:rsidP="0013191D">
      <w:pPr>
        <w:ind w:left="2160"/>
        <w:rPr>
          <w:rFonts w:ascii="Arial" w:hAnsi="Arial" w:cs="Arial"/>
          <w:lang w:val="en-GB"/>
        </w:rPr>
      </w:pPr>
      <w:r w:rsidRPr="00DA76CE">
        <w:rPr>
          <w:rFonts w:ascii="Arial" w:hAnsi="Arial" w:cs="Arial"/>
          <w:lang w:val="en-GB"/>
        </w:rPr>
        <w:t>Note Payable</w:t>
      </w:r>
      <w:r w:rsidR="009D7AC6">
        <w:rPr>
          <w:rFonts w:ascii="Arial" w:hAnsi="Arial" w:cs="Arial"/>
          <w:lang w:val="en-GB"/>
        </w:rPr>
        <w:t>—</w:t>
      </w:r>
      <w:r w:rsidRPr="00DA76CE">
        <w:rPr>
          <w:rFonts w:ascii="Arial" w:hAnsi="Arial" w:cs="Arial"/>
          <w:lang w:val="en-GB"/>
        </w:rPr>
        <w:t>Leanne Strickland</w:t>
      </w:r>
      <w:r w:rsidRPr="00DA76CE">
        <w:rPr>
          <w:rFonts w:ascii="Arial" w:hAnsi="Arial" w:cs="Arial"/>
          <w:lang w:val="en-GB"/>
        </w:rPr>
        <w:tab/>
      </w:r>
      <w:r w:rsidRPr="00DA76CE">
        <w:rPr>
          <w:rFonts w:ascii="Arial" w:hAnsi="Arial" w:cs="Arial"/>
          <w:lang w:val="en-GB"/>
        </w:rPr>
        <w:tab/>
      </w:r>
      <w:r w:rsidRPr="00DA76CE">
        <w:rPr>
          <w:rFonts w:ascii="Arial" w:hAnsi="Arial" w:cs="Arial"/>
          <w:u w:val="single"/>
          <w:lang w:val="en-GB"/>
        </w:rPr>
        <w:t xml:space="preserve">     33,798</w:t>
      </w:r>
    </w:p>
    <w:p w14:paraId="426AE127" w14:textId="77777777" w:rsidR="0013191D" w:rsidRPr="00DA76CE" w:rsidRDefault="0013191D" w:rsidP="0013191D">
      <w:pPr>
        <w:ind w:left="2160"/>
        <w:rPr>
          <w:rFonts w:ascii="Arial" w:hAnsi="Arial" w:cs="Arial"/>
          <w:lang w:val="en-GB"/>
        </w:rPr>
      </w:pPr>
    </w:p>
    <w:p w14:paraId="194C5B74" w14:textId="3CDA1619" w:rsidR="0013191D" w:rsidRPr="00DA76CE" w:rsidRDefault="0013191D" w:rsidP="0013191D">
      <w:pPr>
        <w:ind w:left="2160"/>
        <w:rPr>
          <w:rFonts w:ascii="Arial" w:hAnsi="Arial" w:cs="Arial"/>
          <w:lang w:val="en-GB"/>
        </w:rPr>
      </w:pPr>
      <w:r w:rsidRPr="00DA76CE">
        <w:rPr>
          <w:rFonts w:ascii="Arial" w:hAnsi="Arial" w:cs="Arial"/>
          <w:lang w:val="en-GB"/>
        </w:rPr>
        <w:t>Total Liabilities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$1,206,553</w:t>
      </w:r>
    </w:p>
    <w:p w14:paraId="215D3328" w14:textId="77777777" w:rsidR="0013191D" w:rsidRPr="00DA76CE" w:rsidRDefault="0013191D" w:rsidP="0013191D">
      <w:pPr>
        <w:ind w:left="2160"/>
        <w:rPr>
          <w:rFonts w:ascii="Arial" w:hAnsi="Arial" w:cs="Arial"/>
          <w:lang w:val="en-GB"/>
        </w:rPr>
      </w:pPr>
    </w:p>
    <w:p w14:paraId="0F8039FC" w14:textId="158E9A25" w:rsidR="0013191D" w:rsidRPr="00DA76CE" w:rsidRDefault="0013191D" w:rsidP="0013191D">
      <w:pPr>
        <w:ind w:left="2160"/>
        <w:rPr>
          <w:rFonts w:ascii="Arial" w:hAnsi="Arial" w:cs="Arial"/>
          <w:lang w:val="en-GB"/>
        </w:rPr>
      </w:pPr>
      <w:r w:rsidRPr="00DA76CE">
        <w:rPr>
          <w:rFonts w:ascii="Arial" w:hAnsi="Arial" w:cs="Arial"/>
          <w:lang w:val="en-GB"/>
        </w:rPr>
        <w:t>Shareholder</w:t>
      </w:r>
      <w:r w:rsidR="000579DF" w:rsidRPr="00DA76CE">
        <w:rPr>
          <w:rFonts w:ascii="Arial" w:hAnsi="Arial" w:cs="Arial"/>
          <w:lang w:val="en-GB"/>
        </w:rPr>
        <w:t>s</w:t>
      </w:r>
      <w:r w:rsidRPr="00DA76CE">
        <w:rPr>
          <w:rFonts w:ascii="Arial" w:hAnsi="Arial" w:cs="Arial"/>
          <w:lang w:val="en-GB"/>
        </w:rPr>
        <w:t>’ Equity:</w:t>
      </w:r>
    </w:p>
    <w:p w14:paraId="453D31B8" w14:textId="204D8949" w:rsidR="0013191D" w:rsidRPr="00DA76CE" w:rsidRDefault="0013191D" w:rsidP="0013191D">
      <w:pPr>
        <w:ind w:left="2160"/>
        <w:rPr>
          <w:rFonts w:ascii="Arial" w:hAnsi="Arial" w:cs="Arial"/>
          <w:lang w:val="en-GB"/>
        </w:rPr>
      </w:pPr>
      <w:r w:rsidRPr="00DA76CE">
        <w:rPr>
          <w:rFonts w:ascii="Arial" w:hAnsi="Arial" w:cs="Arial"/>
          <w:lang w:val="en-GB"/>
        </w:rPr>
        <w:t>Common Shares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 xml:space="preserve"> 0</w:t>
      </w:r>
    </w:p>
    <w:p w14:paraId="57A92A06" w14:textId="441D1178" w:rsidR="0013191D" w:rsidRPr="00DA76CE" w:rsidRDefault="0013191D" w:rsidP="0013191D">
      <w:pPr>
        <w:ind w:left="2160"/>
        <w:rPr>
          <w:rFonts w:ascii="Arial" w:hAnsi="Arial" w:cs="Arial"/>
          <w:lang w:val="en-GB"/>
        </w:rPr>
      </w:pPr>
      <w:r w:rsidRPr="00DA76CE">
        <w:rPr>
          <w:rFonts w:ascii="Arial" w:hAnsi="Arial" w:cs="Arial"/>
          <w:lang w:val="en-GB"/>
        </w:rPr>
        <w:t>Retained Earnings</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Pr="00DA76CE">
        <w:rPr>
          <w:rFonts w:ascii="Arial" w:hAnsi="Arial" w:cs="Arial"/>
          <w:u w:val="single"/>
          <w:lang w:val="en-GB"/>
        </w:rPr>
        <w:t xml:space="preserve">  </w:t>
      </w:r>
      <w:r w:rsidR="000579DF" w:rsidRPr="00DA76CE">
        <w:rPr>
          <w:rFonts w:ascii="Arial" w:hAnsi="Arial" w:cs="Arial"/>
          <w:u w:val="single"/>
          <w:lang w:val="en-GB"/>
        </w:rPr>
        <w:t>−</w:t>
      </w:r>
      <w:r w:rsidRPr="00DA76CE">
        <w:rPr>
          <w:rFonts w:ascii="Arial" w:hAnsi="Arial" w:cs="Arial"/>
          <w:u w:val="single"/>
          <w:lang w:val="en-GB"/>
        </w:rPr>
        <w:t>417,975</w:t>
      </w:r>
    </w:p>
    <w:p w14:paraId="0FBDFB47" w14:textId="32C83A78" w:rsidR="0013191D" w:rsidRPr="00DA76CE" w:rsidRDefault="0013191D" w:rsidP="0013191D">
      <w:pPr>
        <w:ind w:left="2160"/>
        <w:rPr>
          <w:rFonts w:ascii="Arial" w:hAnsi="Arial" w:cs="Arial"/>
          <w:lang w:val="en-GB"/>
        </w:rPr>
      </w:pPr>
      <w:r w:rsidRPr="00DA76CE">
        <w:rPr>
          <w:rFonts w:ascii="Arial" w:hAnsi="Arial" w:cs="Arial"/>
          <w:lang w:val="en-GB"/>
        </w:rPr>
        <w:t>Total Shareholder</w:t>
      </w:r>
      <w:r w:rsidR="000579DF" w:rsidRPr="00DA76CE">
        <w:rPr>
          <w:rFonts w:ascii="Arial" w:hAnsi="Arial" w:cs="Arial"/>
          <w:lang w:val="en-GB"/>
        </w:rPr>
        <w:t>s</w:t>
      </w:r>
      <w:r w:rsidRPr="00DA76CE">
        <w:rPr>
          <w:rFonts w:ascii="Arial" w:hAnsi="Arial" w:cs="Arial"/>
          <w:lang w:val="en-GB"/>
        </w:rPr>
        <w:t>’ Equity</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w:t>
      </w:r>
      <w:r w:rsidRPr="00DA76CE">
        <w:rPr>
          <w:rFonts w:ascii="Arial" w:hAnsi="Arial" w:cs="Arial"/>
          <w:u w:val="single"/>
          <w:lang w:val="en-GB"/>
        </w:rPr>
        <w:t>$417,975</w:t>
      </w:r>
    </w:p>
    <w:p w14:paraId="065D9722" w14:textId="77777777" w:rsidR="0013191D" w:rsidRPr="00DA76CE" w:rsidRDefault="0013191D" w:rsidP="0013191D">
      <w:pPr>
        <w:ind w:left="2160"/>
        <w:rPr>
          <w:rFonts w:ascii="Arial" w:hAnsi="Arial" w:cs="Arial"/>
          <w:lang w:val="en-GB"/>
        </w:rPr>
      </w:pPr>
    </w:p>
    <w:p w14:paraId="4F7B99A4" w14:textId="77777777" w:rsidR="0013191D" w:rsidRPr="00982A6B" w:rsidRDefault="0013191D" w:rsidP="0013191D">
      <w:pPr>
        <w:ind w:left="2160"/>
        <w:rPr>
          <w:rFonts w:ascii="Arial" w:hAnsi="Arial" w:cs="Arial"/>
          <w:b/>
          <w:lang w:val="en-GB"/>
        </w:rPr>
      </w:pPr>
      <w:r w:rsidRPr="00982A6B">
        <w:rPr>
          <w:rFonts w:ascii="Arial" w:hAnsi="Arial" w:cs="Arial"/>
          <w:b/>
          <w:lang w:val="en-GB"/>
        </w:rPr>
        <w:t>TOTAL LIABILITIES AND</w:t>
      </w:r>
    </w:p>
    <w:p w14:paraId="53C1FB73" w14:textId="7CD76E75" w:rsidR="0013191D" w:rsidRPr="00DA76CE" w:rsidRDefault="0013191D" w:rsidP="0013191D">
      <w:pPr>
        <w:ind w:left="2160"/>
        <w:rPr>
          <w:rFonts w:ascii="Arial" w:hAnsi="Arial" w:cs="Arial"/>
          <w:lang w:val="en-GB"/>
        </w:rPr>
      </w:pPr>
      <w:r w:rsidRPr="00982A6B">
        <w:rPr>
          <w:rFonts w:ascii="Arial" w:hAnsi="Arial" w:cs="Arial"/>
          <w:b/>
          <w:lang w:val="en-GB"/>
        </w:rPr>
        <w:t>SHAREHOLDER</w:t>
      </w:r>
      <w:r w:rsidR="000579DF" w:rsidRPr="00982A6B">
        <w:rPr>
          <w:rFonts w:ascii="Arial" w:hAnsi="Arial" w:cs="Arial"/>
          <w:b/>
          <w:lang w:val="en-GB"/>
        </w:rPr>
        <w:t>S</w:t>
      </w:r>
      <w:r w:rsidRPr="00982A6B">
        <w:rPr>
          <w:rFonts w:ascii="Arial" w:hAnsi="Arial" w:cs="Arial"/>
          <w:b/>
          <w:lang w:val="en-GB"/>
        </w:rPr>
        <w:t>’ EQUITY</w:t>
      </w:r>
      <w:r w:rsidRPr="00DA76CE">
        <w:rPr>
          <w:rFonts w:ascii="Arial" w:hAnsi="Arial" w:cs="Arial"/>
          <w:lang w:val="en-GB"/>
        </w:rPr>
        <w:tab/>
      </w:r>
      <w:r w:rsidRPr="00DA76CE">
        <w:rPr>
          <w:rFonts w:ascii="Arial" w:hAnsi="Arial" w:cs="Arial"/>
          <w:lang w:val="en-GB"/>
        </w:rPr>
        <w:tab/>
      </w:r>
      <w:r w:rsidRPr="00DA76CE">
        <w:rPr>
          <w:rFonts w:ascii="Arial" w:hAnsi="Arial" w:cs="Arial"/>
          <w:lang w:val="en-GB"/>
        </w:rPr>
        <w:tab/>
      </w:r>
      <w:r w:rsidR="000579DF" w:rsidRPr="00DA76CE">
        <w:rPr>
          <w:rFonts w:ascii="Arial" w:hAnsi="Arial" w:cs="Arial"/>
          <w:lang w:val="en-GB"/>
        </w:rPr>
        <w:t xml:space="preserve">  </w:t>
      </w:r>
      <w:r w:rsidRPr="00DA76CE">
        <w:rPr>
          <w:rFonts w:ascii="Arial" w:hAnsi="Arial" w:cs="Arial"/>
          <w:lang w:val="en-GB"/>
        </w:rPr>
        <w:t>$788,578</w:t>
      </w:r>
    </w:p>
    <w:p w14:paraId="53D84092" w14:textId="77777777" w:rsidR="0013191D" w:rsidRPr="00DA76CE" w:rsidRDefault="0013191D" w:rsidP="0013191D">
      <w:pPr>
        <w:rPr>
          <w:lang w:val="en-GB"/>
        </w:rPr>
      </w:pPr>
    </w:p>
    <w:p w14:paraId="5A52BCD5" w14:textId="6FB56826" w:rsidR="0013191D" w:rsidRPr="00DA76CE" w:rsidRDefault="0013191D" w:rsidP="003E67F3">
      <w:pPr>
        <w:pStyle w:val="Footnote"/>
        <w:rPr>
          <w:lang w:val="en-GB"/>
        </w:rPr>
      </w:pPr>
      <w:r w:rsidRPr="00DA76CE">
        <w:rPr>
          <w:lang w:val="en-GB"/>
        </w:rPr>
        <w:t xml:space="preserve">Source: Company </w:t>
      </w:r>
      <w:r w:rsidR="0028534B" w:rsidRPr="00DA76CE">
        <w:rPr>
          <w:lang w:val="en-GB"/>
        </w:rPr>
        <w:t>files</w:t>
      </w:r>
      <w:r w:rsidRPr="00DA76CE">
        <w:rPr>
          <w:lang w:val="en-GB"/>
        </w:rPr>
        <w:t>.</w:t>
      </w:r>
    </w:p>
    <w:p w14:paraId="332317BD" w14:textId="77777777" w:rsidR="0013191D" w:rsidRPr="00DA76CE" w:rsidRDefault="0013191D" w:rsidP="0013191D">
      <w:pPr>
        <w:rPr>
          <w:lang w:val="en-GB"/>
        </w:rPr>
      </w:pPr>
    </w:p>
    <w:p w14:paraId="645277C3" w14:textId="77777777" w:rsidR="0013191D" w:rsidRPr="00DA76CE" w:rsidRDefault="0013191D" w:rsidP="0013191D">
      <w:pPr>
        <w:rPr>
          <w:lang w:val="en-GB"/>
        </w:rPr>
      </w:pPr>
    </w:p>
    <w:p w14:paraId="4AC96654" w14:textId="4550A6E4" w:rsidR="0013191D" w:rsidRPr="00DA76CE" w:rsidRDefault="0013191D" w:rsidP="0013191D">
      <w:pPr>
        <w:jc w:val="center"/>
        <w:rPr>
          <w:rFonts w:ascii="Arial" w:hAnsi="Arial" w:cs="Arial"/>
          <w:b/>
          <w:caps/>
          <w:lang w:val="en-GB" w:eastAsia="en-CA"/>
        </w:rPr>
      </w:pPr>
      <w:r w:rsidRPr="00DA76CE">
        <w:rPr>
          <w:rFonts w:ascii="Arial" w:hAnsi="Arial" w:cs="Arial"/>
          <w:b/>
          <w:caps/>
          <w:lang w:val="en-GB" w:eastAsia="en-CA"/>
        </w:rPr>
        <w:t>Exhibit 2</w:t>
      </w:r>
      <w:r w:rsidR="0028534B" w:rsidRPr="00DA76CE">
        <w:rPr>
          <w:rFonts w:ascii="Arial" w:hAnsi="Arial" w:cs="Arial"/>
          <w:b/>
          <w:caps/>
          <w:lang w:val="en-GB" w:eastAsia="en-CA"/>
        </w:rPr>
        <w:t>:</w:t>
      </w:r>
      <w:r w:rsidRPr="00DA76CE">
        <w:rPr>
          <w:rFonts w:ascii="Arial" w:hAnsi="Arial" w:cs="Arial"/>
          <w:b/>
          <w:caps/>
          <w:lang w:val="en-GB" w:eastAsia="en-CA"/>
        </w:rPr>
        <w:t xml:space="preserve"> Metta</w:t>
      </w:r>
      <w:r w:rsidR="00210F37">
        <w:rPr>
          <w:rFonts w:ascii="Arial" w:hAnsi="Arial" w:cs="Arial"/>
          <w:b/>
          <w:caps/>
          <w:lang w:val="en-GB" w:eastAsia="en-CA"/>
        </w:rPr>
        <w:t xml:space="preserve"> rest spa</w:t>
      </w:r>
      <w:r w:rsidRPr="00DA76CE">
        <w:rPr>
          <w:rFonts w:ascii="Arial" w:hAnsi="Arial" w:cs="Arial"/>
          <w:b/>
          <w:caps/>
          <w:lang w:val="en-GB" w:eastAsia="en-CA"/>
        </w:rPr>
        <w:t>’s Float Pod</w:t>
      </w:r>
    </w:p>
    <w:p w14:paraId="2B679356" w14:textId="77777777" w:rsidR="0013191D" w:rsidRPr="00DA76CE" w:rsidRDefault="0013191D" w:rsidP="0013191D">
      <w:pPr>
        <w:rPr>
          <w:lang w:val="en-GB"/>
        </w:rPr>
      </w:pPr>
    </w:p>
    <w:p w14:paraId="3F8C1685" w14:textId="77777777" w:rsidR="0013191D" w:rsidRPr="00DA76CE" w:rsidRDefault="0013191D" w:rsidP="0013191D">
      <w:pPr>
        <w:rPr>
          <w:lang w:val="en-GB"/>
        </w:rPr>
      </w:pPr>
      <w:r w:rsidRPr="00DA76CE">
        <w:rPr>
          <w:noProof/>
        </w:rPr>
        <w:drawing>
          <wp:inline distT="0" distB="0" distL="0" distR="0" wp14:anchorId="72B23C26" wp14:editId="3ABA6D86">
            <wp:extent cx="5943600" cy="396684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grayscl/>
                    </a:blip>
                    <a:stretch>
                      <a:fillRect/>
                    </a:stretch>
                  </pic:blipFill>
                  <pic:spPr>
                    <a:xfrm>
                      <a:off x="0" y="0"/>
                      <a:ext cx="5943600" cy="3966845"/>
                    </a:xfrm>
                    <a:prstGeom prst="rect">
                      <a:avLst/>
                    </a:prstGeom>
                  </pic:spPr>
                </pic:pic>
              </a:graphicData>
            </a:graphic>
          </wp:inline>
        </w:drawing>
      </w:r>
    </w:p>
    <w:p w14:paraId="7C48C2B5" w14:textId="77777777" w:rsidR="0013191D" w:rsidRPr="00DA76CE" w:rsidRDefault="0013191D" w:rsidP="003E67F3">
      <w:pPr>
        <w:pStyle w:val="Footnote"/>
        <w:rPr>
          <w:lang w:val="en-GB"/>
        </w:rPr>
      </w:pPr>
    </w:p>
    <w:p w14:paraId="0E628428" w14:textId="69F28E16" w:rsidR="0013191D" w:rsidRPr="00DA76CE" w:rsidRDefault="0013191D" w:rsidP="003E67F3">
      <w:pPr>
        <w:pStyle w:val="Footnote"/>
        <w:rPr>
          <w:lang w:val="en-GB" w:eastAsia="en-CA"/>
        </w:rPr>
      </w:pPr>
      <w:r w:rsidRPr="00DA76CE">
        <w:rPr>
          <w:lang w:val="en-GB" w:eastAsia="en-CA"/>
        </w:rPr>
        <w:t xml:space="preserve">Source: </w:t>
      </w:r>
      <w:r w:rsidR="0028534B" w:rsidRPr="00DA76CE">
        <w:rPr>
          <w:lang w:val="en-GB" w:eastAsia="en-CA"/>
        </w:rPr>
        <w:t>“Flotation Rest Tanks,” Metta Rest Spa, accessed February 28, 2017, http://restspa.ca/spa-menu/flotation-rest-tanks.</w:t>
      </w:r>
    </w:p>
    <w:p w14:paraId="17C5AB37" w14:textId="15461B2D" w:rsidR="0013191D" w:rsidRPr="004D69DE" w:rsidRDefault="004D69DE" w:rsidP="004D69DE">
      <w:pPr>
        <w:spacing w:after="200" w:line="276" w:lineRule="auto"/>
        <w:rPr>
          <w:lang w:val="en-GB" w:eastAsia="en-CA"/>
        </w:rPr>
      </w:pPr>
      <w:r>
        <w:rPr>
          <w:lang w:val="en-GB" w:eastAsia="en-CA"/>
        </w:rPr>
        <w:br w:type="page"/>
      </w:r>
    </w:p>
    <w:p w14:paraId="06D654A2" w14:textId="1941E0B3" w:rsidR="0013191D" w:rsidRPr="00DA76CE" w:rsidRDefault="0013191D" w:rsidP="0013191D">
      <w:pPr>
        <w:jc w:val="center"/>
        <w:rPr>
          <w:rFonts w:ascii="Arial" w:hAnsi="Arial" w:cs="Arial"/>
          <w:b/>
          <w:caps/>
          <w:lang w:val="en-GB" w:eastAsia="en-CA"/>
        </w:rPr>
      </w:pPr>
      <w:r w:rsidRPr="00DA76CE">
        <w:rPr>
          <w:rFonts w:ascii="Arial" w:hAnsi="Arial" w:cs="Arial"/>
          <w:b/>
          <w:caps/>
          <w:lang w:val="en-GB" w:eastAsia="en-CA"/>
        </w:rPr>
        <w:lastRenderedPageBreak/>
        <w:t>Exhibit 3</w:t>
      </w:r>
      <w:r w:rsidR="00CF6FAC" w:rsidRPr="00DA76CE">
        <w:rPr>
          <w:rFonts w:ascii="Arial" w:hAnsi="Arial" w:cs="Arial"/>
          <w:b/>
          <w:caps/>
          <w:lang w:val="en-GB" w:eastAsia="en-CA"/>
        </w:rPr>
        <w:t>:</w:t>
      </w:r>
      <w:r w:rsidRPr="00DA76CE">
        <w:rPr>
          <w:rFonts w:ascii="Arial" w:hAnsi="Arial" w:cs="Arial"/>
          <w:b/>
          <w:caps/>
          <w:lang w:val="en-GB" w:eastAsia="en-CA"/>
        </w:rPr>
        <w:t xml:space="preserve"> State of the Industry Select Survey Results</w:t>
      </w:r>
    </w:p>
    <w:p w14:paraId="6779879E" w14:textId="77777777" w:rsidR="0013191D" w:rsidRPr="00DA76CE" w:rsidRDefault="0013191D" w:rsidP="0013191D">
      <w:pPr>
        <w:jc w:val="center"/>
        <w:rPr>
          <w:rFonts w:ascii="Arial" w:hAnsi="Arial" w:cs="Arial"/>
          <w:b/>
          <w:caps/>
          <w:sz w:val="17"/>
          <w:szCs w:val="17"/>
          <w:lang w:val="en-GB" w:eastAsia="en-CA"/>
        </w:rPr>
      </w:pPr>
    </w:p>
    <w:tbl>
      <w:tblPr>
        <w:tblW w:w="9201" w:type="dxa"/>
        <w:jc w:val="center"/>
        <w:shd w:val="clear" w:color="auto" w:fill="FFFFFF" w:themeFill="background1"/>
        <w:tblLook w:val="04A0" w:firstRow="1" w:lastRow="0" w:firstColumn="1" w:lastColumn="0" w:noHBand="0" w:noVBand="1"/>
      </w:tblPr>
      <w:tblGrid>
        <w:gridCol w:w="9201"/>
      </w:tblGrid>
      <w:tr w:rsidR="0013191D" w:rsidRPr="00DA76CE" w14:paraId="5C06FC35" w14:textId="77777777" w:rsidTr="00623445">
        <w:trPr>
          <w:trHeight w:val="300"/>
          <w:jc w:val="center"/>
        </w:trPr>
        <w:tc>
          <w:tcPr>
            <w:tcW w:w="9201" w:type="dxa"/>
            <w:shd w:val="clear" w:color="auto" w:fill="FFFFFF" w:themeFill="background1"/>
            <w:noWrap/>
            <w:vAlign w:val="center"/>
            <w:hideMark/>
          </w:tcPr>
          <w:p w14:paraId="3C54A9A7" w14:textId="77777777" w:rsidR="0013191D" w:rsidRPr="00DA76CE" w:rsidRDefault="0013191D" w:rsidP="0013191D">
            <w:pPr>
              <w:rPr>
                <w:rFonts w:ascii="Calibri" w:hAnsi="Calibri" w:cs="Calibri"/>
                <w:color w:val="000000"/>
                <w:lang w:val="en-GB" w:eastAsia="en-CA"/>
              </w:rPr>
            </w:pPr>
            <w:r w:rsidRPr="00DA76CE">
              <w:rPr>
                <w:rFonts w:ascii="Calibri" w:hAnsi="Calibri" w:cs="Calibri"/>
                <w:noProof/>
                <w:color w:val="000000"/>
              </w:rPr>
              <w:drawing>
                <wp:anchor distT="0" distB="0" distL="114300" distR="114300" simplePos="0" relativeHeight="251658240" behindDoc="1" locked="0" layoutInCell="1" allowOverlap="1" wp14:anchorId="1D0880ED" wp14:editId="5D9A2A1A">
                  <wp:simplePos x="0" y="0"/>
                  <wp:positionH relativeFrom="column">
                    <wp:posOffset>-1905</wp:posOffset>
                  </wp:positionH>
                  <wp:positionV relativeFrom="paragraph">
                    <wp:posOffset>-3105785</wp:posOffset>
                  </wp:positionV>
                  <wp:extent cx="5412740" cy="3072130"/>
                  <wp:effectExtent l="0" t="0" r="16510" b="13970"/>
                  <wp:wrapTight wrapText="bothSides">
                    <wp:wrapPolygon edited="0">
                      <wp:start x="0" y="0"/>
                      <wp:lineTo x="0" y="21564"/>
                      <wp:lineTo x="21590" y="21564"/>
                      <wp:lineTo x="2159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8550"/>
            </w:tblGrid>
            <w:tr w:rsidR="0013191D" w:rsidRPr="00DA76CE" w14:paraId="0DA83AAB" w14:textId="77777777" w:rsidTr="00193B14">
              <w:trPr>
                <w:trHeight w:val="300"/>
                <w:tblCellSpacing w:w="0" w:type="dxa"/>
              </w:trPr>
              <w:tc>
                <w:tcPr>
                  <w:tcW w:w="960" w:type="dxa"/>
                  <w:tcBorders>
                    <w:top w:val="nil"/>
                    <w:left w:val="nil"/>
                    <w:bottom w:val="nil"/>
                    <w:right w:val="nil"/>
                  </w:tcBorders>
                  <w:shd w:val="clear" w:color="auto" w:fill="auto"/>
                  <w:noWrap/>
                  <w:vAlign w:val="bottom"/>
                  <w:hideMark/>
                </w:tcPr>
                <w:p w14:paraId="16FD4762" w14:textId="77777777" w:rsidR="0013191D" w:rsidRPr="00DA76CE" w:rsidRDefault="0013191D" w:rsidP="0013191D">
                  <w:pPr>
                    <w:rPr>
                      <w:rFonts w:ascii="Calibri" w:hAnsi="Calibri" w:cs="Calibri"/>
                      <w:color w:val="000000"/>
                      <w:lang w:val="en-GB" w:eastAsia="en-CA"/>
                    </w:rPr>
                  </w:pPr>
                  <w:r w:rsidRPr="00DA76CE">
                    <w:rPr>
                      <w:rFonts w:ascii="Calibri" w:hAnsi="Calibri" w:cs="Calibri"/>
                      <w:noProof/>
                      <w:color w:val="000000"/>
                    </w:rPr>
                    <w:drawing>
                      <wp:inline distT="0" distB="0" distL="0" distR="0" wp14:anchorId="3A9ABEEC" wp14:editId="7F9CF54B">
                        <wp:extent cx="5412740" cy="2977287"/>
                        <wp:effectExtent l="0" t="0" r="16510" b="139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09DF7137" w14:textId="77777777" w:rsidR="0013191D" w:rsidRPr="00DA76CE" w:rsidRDefault="0013191D" w:rsidP="0013191D">
            <w:pPr>
              <w:rPr>
                <w:rFonts w:ascii="Calibri" w:hAnsi="Calibri" w:cs="Calibri"/>
                <w:color w:val="000000"/>
                <w:lang w:val="en-GB" w:eastAsia="en-CA"/>
              </w:rPr>
            </w:pPr>
          </w:p>
        </w:tc>
      </w:tr>
    </w:tbl>
    <w:p w14:paraId="2EA49AE0" w14:textId="77777777" w:rsidR="004D69DE" w:rsidRDefault="004D69DE">
      <w:r>
        <w:rPr>
          <w:b/>
          <w:caps/>
        </w:rPr>
        <w:br w:type="page"/>
      </w:r>
    </w:p>
    <w:tbl>
      <w:tblPr>
        <w:tblW w:w="9201" w:type="dxa"/>
        <w:jc w:val="center"/>
        <w:shd w:val="clear" w:color="auto" w:fill="FFFFFF" w:themeFill="background1"/>
        <w:tblLook w:val="04A0" w:firstRow="1" w:lastRow="0" w:firstColumn="1" w:lastColumn="0" w:noHBand="0" w:noVBand="1"/>
      </w:tblPr>
      <w:tblGrid>
        <w:gridCol w:w="9201"/>
      </w:tblGrid>
      <w:tr w:rsidR="0013191D" w:rsidRPr="00DA76CE" w14:paraId="2EA51DF8" w14:textId="77777777" w:rsidTr="00623445">
        <w:trPr>
          <w:trHeight w:val="300"/>
          <w:jc w:val="center"/>
        </w:trPr>
        <w:tc>
          <w:tcPr>
            <w:tcW w:w="9201" w:type="dxa"/>
            <w:shd w:val="clear" w:color="auto" w:fill="FFFFFF" w:themeFill="background1"/>
            <w:noWrap/>
            <w:vAlign w:val="center"/>
            <w:hideMark/>
          </w:tcPr>
          <w:p w14:paraId="0C7B9504" w14:textId="545727F4" w:rsidR="0013191D" w:rsidRPr="00DA76CE" w:rsidRDefault="0013191D" w:rsidP="004D69DE">
            <w:pPr>
              <w:pStyle w:val="ExhibitHeading"/>
              <w:rPr>
                <w:lang w:val="en-GB" w:eastAsia="en-CA"/>
              </w:rPr>
            </w:pPr>
            <w:r w:rsidRPr="00DA76CE">
              <w:rPr>
                <w:lang w:val="en-GB" w:eastAsia="en-CA"/>
              </w:rPr>
              <w:lastRenderedPageBreak/>
              <w:t>EXHIBIT 3</w:t>
            </w:r>
            <w:r w:rsidR="00CF6FAC" w:rsidRPr="00DA76CE">
              <w:rPr>
                <w:lang w:val="en-GB" w:eastAsia="en-CA"/>
              </w:rPr>
              <w:t xml:space="preserve"> (</w:t>
            </w:r>
            <w:r w:rsidR="00CF6FAC" w:rsidRPr="004D69DE">
              <w:t>CONtinued</w:t>
            </w:r>
            <w:r w:rsidR="00CF6FAC" w:rsidRPr="00DA76CE">
              <w:rPr>
                <w:lang w:val="en-GB" w:eastAsia="en-CA"/>
              </w:rPr>
              <w:t>)</w:t>
            </w:r>
          </w:p>
          <w:p w14:paraId="7C1072B9" w14:textId="77777777" w:rsidR="0013191D" w:rsidRPr="00DA76CE" w:rsidRDefault="0013191D" w:rsidP="00623445">
            <w:pPr>
              <w:keepNext/>
              <w:keepLines/>
              <w:jc w:val="both"/>
              <w:rPr>
                <w:rFonts w:ascii="Arial" w:hAnsi="Arial" w:cs="Arial"/>
                <w:sz w:val="17"/>
                <w:szCs w:val="17"/>
                <w:lang w:val="en-GB"/>
              </w:rPr>
            </w:pPr>
          </w:p>
          <w:p w14:paraId="1E0E0CDC" w14:textId="77777777" w:rsidR="0013191D" w:rsidRPr="00DA76CE" w:rsidRDefault="0013191D" w:rsidP="00623445">
            <w:pPr>
              <w:keepNext/>
              <w:keepLines/>
              <w:jc w:val="center"/>
              <w:rPr>
                <w:lang w:val="en-GB" w:eastAsia="en-CA"/>
              </w:rPr>
            </w:pPr>
            <w:bookmarkStart w:id="0" w:name="_GoBack"/>
            <w:r w:rsidRPr="00DA76CE">
              <w:rPr>
                <w:noProof/>
              </w:rPr>
              <w:drawing>
                <wp:inline distT="0" distB="0" distL="0" distR="0" wp14:anchorId="26A76CCF" wp14:editId="788D872A">
                  <wp:extent cx="5493715" cy="2881630"/>
                  <wp:effectExtent l="0" t="0" r="12065" b="139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0"/>
          </w:p>
          <w:p w14:paraId="1C100BE5" w14:textId="77777777" w:rsidR="0013191D" w:rsidRPr="00DA76CE" w:rsidRDefault="0013191D" w:rsidP="00623445">
            <w:pPr>
              <w:keepNext/>
              <w:keepLines/>
              <w:jc w:val="center"/>
              <w:rPr>
                <w:lang w:val="en-GB" w:eastAsia="en-CA"/>
              </w:rPr>
            </w:pPr>
          </w:p>
        </w:tc>
      </w:tr>
      <w:tr w:rsidR="0013191D" w:rsidRPr="00DA76CE" w14:paraId="0F39DCC3" w14:textId="77777777" w:rsidTr="00623445">
        <w:trPr>
          <w:trHeight w:val="80"/>
          <w:jc w:val="center"/>
        </w:trPr>
        <w:tc>
          <w:tcPr>
            <w:tcW w:w="9201" w:type="dxa"/>
            <w:shd w:val="clear" w:color="auto" w:fill="FFFFFF" w:themeFill="background1"/>
            <w:noWrap/>
            <w:vAlign w:val="center"/>
            <w:hideMark/>
          </w:tcPr>
          <w:p w14:paraId="0F7B7B67" w14:textId="77777777" w:rsidR="0013191D" w:rsidRPr="00DA76CE" w:rsidRDefault="0013191D" w:rsidP="00623445">
            <w:pPr>
              <w:keepNext/>
              <w:keepLines/>
              <w:rPr>
                <w:lang w:val="en-GB" w:eastAsia="en-CA"/>
              </w:rPr>
            </w:pPr>
          </w:p>
        </w:tc>
      </w:tr>
      <w:tr w:rsidR="0013191D" w:rsidRPr="00DA76CE" w14:paraId="02ED64D3" w14:textId="77777777" w:rsidTr="00623445">
        <w:trPr>
          <w:trHeight w:val="300"/>
          <w:jc w:val="center"/>
        </w:trPr>
        <w:tc>
          <w:tcPr>
            <w:tcW w:w="9201" w:type="dxa"/>
            <w:shd w:val="clear" w:color="auto" w:fill="FFFFFF" w:themeFill="background1"/>
            <w:noWrap/>
            <w:vAlign w:val="center"/>
            <w:hideMark/>
          </w:tcPr>
          <w:p w14:paraId="39D6DD1D" w14:textId="77777777" w:rsidR="0013191D" w:rsidRPr="00DA76CE" w:rsidRDefault="0013191D" w:rsidP="0013191D">
            <w:pPr>
              <w:rPr>
                <w:lang w:val="en-GB" w:eastAsia="en-CA"/>
              </w:rPr>
            </w:pPr>
          </w:p>
        </w:tc>
      </w:tr>
      <w:tr w:rsidR="0013191D" w:rsidRPr="00DA76CE" w14:paraId="3A35CA2A" w14:textId="77777777" w:rsidTr="00623445">
        <w:trPr>
          <w:trHeight w:val="300"/>
          <w:jc w:val="center"/>
        </w:trPr>
        <w:tc>
          <w:tcPr>
            <w:tcW w:w="9201" w:type="dxa"/>
            <w:shd w:val="clear" w:color="auto" w:fill="FFFFFF" w:themeFill="background1"/>
            <w:noWrap/>
            <w:vAlign w:val="center"/>
            <w:hideMark/>
          </w:tcPr>
          <w:p w14:paraId="6841AA79" w14:textId="77777777" w:rsidR="0013191D" w:rsidRPr="00DA76CE" w:rsidRDefault="0013191D" w:rsidP="0013191D">
            <w:pPr>
              <w:jc w:val="center"/>
              <w:rPr>
                <w:lang w:val="en-GB" w:eastAsia="en-CA"/>
              </w:rPr>
            </w:pPr>
            <w:r w:rsidRPr="00DA76CE">
              <w:rPr>
                <w:noProof/>
              </w:rPr>
              <w:drawing>
                <wp:inline distT="0" distB="0" distL="0" distR="0" wp14:anchorId="04BB46A5" wp14:editId="095F2518">
                  <wp:extent cx="5456809" cy="2991485"/>
                  <wp:effectExtent l="0" t="0" r="10795" b="1841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664E168F" w14:textId="77777777" w:rsidR="0013191D" w:rsidRPr="00DA76CE" w:rsidRDefault="0013191D" w:rsidP="00623445">
      <w:pPr>
        <w:pStyle w:val="Footnote"/>
        <w:rPr>
          <w:lang w:val="en-GB" w:eastAsia="en-CA"/>
        </w:rPr>
      </w:pPr>
    </w:p>
    <w:p w14:paraId="2AC34F7D" w14:textId="0C56A3E5" w:rsidR="00F30B49" w:rsidRPr="00DA76CE" w:rsidRDefault="00F30B49" w:rsidP="00F30B49">
      <w:pPr>
        <w:pStyle w:val="Footnote"/>
        <w:rPr>
          <w:lang w:val="en-GB" w:eastAsia="en-CA"/>
        </w:rPr>
      </w:pPr>
      <w:r w:rsidRPr="00DA76CE">
        <w:rPr>
          <w:lang w:val="en-GB" w:eastAsia="en-CA"/>
        </w:rPr>
        <w:t xml:space="preserve">Note: Average income per float tank = </w:t>
      </w:r>
      <w:r w:rsidR="00044E59">
        <w:rPr>
          <w:lang w:val="en-GB" w:eastAsia="en-CA"/>
        </w:rPr>
        <w:t>CA</w:t>
      </w:r>
      <w:r w:rsidRPr="00DA76CE">
        <w:rPr>
          <w:lang w:val="en-GB" w:eastAsia="en-CA"/>
        </w:rPr>
        <w:t xml:space="preserve">$68,704; </w:t>
      </w:r>
      <w:r w:rsidR="00044E59">
        <w:rPr>
          <w:lang w:val="en-GB" w:eastAsia="en-CA"/>
        </w:rPr>
        <w:t>a</w:t>
      </w:r>
      <w:r w:rsidRPr="00DA76CE">
        <w:rPr>
          <w:lang w:val="en-GB" w:eastAsia="en-CA"/>
        </w:rPr>
        <w:t xml:space="preserve">verage </w:t>
      </w:r>
      <w:r w:rsidR="009A48CF" w:rsidRPr="00DA76CE">
        <w:rPr>
          <w:lang w:val="en-GB" w:eastAsia="en-CA"/>
        </w:rPr>
        <w:t xml:space="preserve">number of floats per tank (per month) = </w:t>
      </w:r>
      <w:r w:rsidRPr="00DA76CE">
        <w:rPr>
          <w:lang w:val="en-GB" w:eastAsia="en-CA"/>
        </w:rPr>
        <w:t>91</w:t>
      </w:r>
    </w:p>
    <w:p w14:paraId="4F75D75B" w14:textId="0442FE39" w:rsidR="00952C3E" w:rsidRPr="00DA76CE" w:rsidRDefault="00F30B49" w:rsidP="00623445">
      <w:pPr>
        <w:pStyle w:val="Footnote"/>
        <w:rPr>
          <w:lang w:val="en-GB" w:eastAsia="en-CA"/>
        </w:rPr>
      </w:pPr>
      <w:r w:rsidRPr="00DA76CE">
        <w:rPr>
          <w:lang w:val="en-GB" w:eastAsia="en-CA"/>
        </w:rPr>
        <w:t xml:space="preserve">Source: </w:t>
      </w:r>
      <w:r w:rsidR="000C2766" w:rsidRPr="00DA76CE">
        <w:rPr>
          <w:lang w:val="en-GB" w:eastAsia="en-CA"/>
        </w:rPr>
        <w:t>C</w:t>
      </w:r>
      <w:r w:rsidRPr="00DA76CE">
        <w:rPr>
          <w:lang w:val="en-GB" w:eastAsia="en-CA"/>
        </w:rPr>
        <w:t xml:space="preserve">reated by the </w:t>
      </w:r>
      <w:r w:rsidR="009C76AB" w:rsidRPr="00DA76CE">
        <w:rPr>
          <w:lang w:val="en-GB" w:eastAsia="en-CA"/>
        </w:rPr>
        <w:t xml:space="preserve">case </w:t>
      </w:r>
      <w:r w:rsidRPr="00DA76CE">
        <w:rPr>
          <w:lang w:val="en-GB" w:eastAsia="en-CA"/>
        </w:rPr>
        <w:t xml:space="preserve">author </w:t>
      </w:r>
      <w:r w:rsidR="000C2766" w:rsidRPr="00DA76CE">
        <w:rPr>
          <w:lang w:val="en-GB" w:eastAsia="en-CA"/>
        </w:rPr>
        <w:t>based on data from</w:t>
      </w:r>
      <w:r w:rsidRPr="00DA76CE">
        <w:rPr>
          <w:lang w:val="en-GB" w:eastAsia="en-CA"/>
        </w:rPr>
        <w:t xml:space="preserve"> </w:t>
      </w:r>
      <w:r w:rsidR="000C2766" w:rsidRPr="00DA76CE">
        <w:rPr>
          <w:lang w:val="en-GB" w:eastAsia="en-CA"/>
        </w:rPr>
        <w:t xml:space="preserve">Float Tank Solutions, </w:t>
      </w:r>
      <w:r w:rsidR="000C2766" w:rsidRPr="00623445">
        <w:rPr>
          <w:i/>
          <w:lang w:val="en-GB" w:eastAsia="en-CA"/>
        </w:rPr>
        <w:t xml:space="preserve">2016 </w:t>
      </w:r>
      <w:r w:rsidRPr="00623445">
        <w:rPr>
          <w:i/>
          <w:lang w:val="en-GB" w:eastAsia="en-CA"/>
        </w:rPr>
        <w:t xml:space="preserve">State of the </w:t>
      </w:r>
      <w:r w:rsidR="000C2766" w:rsidRPr="00623445">
        <w:rPr>
          <w:i/>
          <w:lang w:val="en-GB" w:eastAsia="en-CA"/>
        </w:rPr>
        <w:t xml:space="preserve">Float </w:t>
      </w:r>
      <w:r w:rsidRPr="00623445">
        <w:rPr>
          <w:i/>
          <w:lang w:val="en-GB" w:eastAsia="en-CA"/>
        </w:rPr>
        <w:t>Industry</w:t>
      </w:r>
      <w:r w:rsidR="000C2766" w:rsidRPr="00623445">
        <w:rPr>
          <w:i/>
          <w:lang w:val="en-GB" w:eastAsia="en-CA"/>
        </w:rPr>
        <w:t xml:space="preserve"> Report</w:t>
      </w:r>
      <w:r w:rsidR="000C2766" w:rsidRPr="00DA76CE">
        <w:rPr>
          <w:lang w:val="en-GB" w:eastAsia="en-CA"/>
        </w:rPr>
        <w:t>,</w:t>
      </w:r>
      <w:r w:rsidRPr="00DA76CE">
        <w:rPr>
          <w:lang w:val="en-GB" w:eastAsia="en-CA"/>
        </w:rPr>
        <w:t xml:space="preserve"> accessed February 28, 2017, </w:t>
      </w:r>
      <w:r w:rsidR="000C2766" w:rsidRPr="00DA76CE">
        <w:rPr>
          <w:lang w:val="en-GB" w:eastAsia="en-CA"/>
        </w:rPr>
        <w:t>www.floattanksolutions.com/product/2016-state-float-industry-report/.</w:t>
      </w:r>
    </w:p>
    <w:p w14:paraId="235348F6" w14:textId="04CFF911" w:rsidR="00952C3E" w:rsidRPr="00DA76CE" w:rsidRDefault="00952C3E" w:rsidP="00623445">
      <w:pPr>
        <w:keepNext/>
        <w:keepLines/>
        <w:jc w:val="center"/>
        <w:rPr>
          <w:rFonts w:ascii="Arial" w:eastAsiaTheme="minorHAnsi" w:hAnsi="Arial" w:cs="Arial"/>
          <w:b/>
          <w:caps/>
          <w:lang w:val="en-GB"/>
        </w:rPr>
      </w:pPr>
      <w:r w:rsidRPr="00DA76CE">
        <w:rPr>
          <w:rFonts w:ascii="Arial" w:hAnsi="Arial" w:cs="Arial"/>
          <w:b/>
          <w:caps/>
          <w:lang w:val="en-GB"/>
        </w:rPr>
        <w:lastRenderedPageBreak/>
        <w:t>Exhibit 4</w:t>
      </w:r>
      <w:r w:rsidR="00485803" w:rsidRPr="00DA76CE">
        <w:rPr>
          <w:rFonts w:ascii="Arial" w:hAnsi="Arial" w:cs="Arial"/>
          <w:b/>
          <w:caps/>
          <w:lang w:val="en-GB"/>
        </w:rPr>
        <w:t>:</w:t>
      </w:r>
      <w:r w:rsidRPr="00DA76CE">
        <w:rPr>
          <w:rFonts w:ascii="Arial" w:hAnsi="Arial" w:cs="Arial"/>
          <w:b/>
          <w:caps/>
          <w:lang w:val="en-GB"/>
        </w:rPr>
        <w:t xml:space="preserve"> Metta</w:t>
      </w:r>
      <w:r w:rsidR="00044E59">
        <w:rPr>
          <w:rFonts w:ascii="Arial" w:hAnsi="Arial" w:cs="Arial"/>
          <w:b/>
          <w:caps/>
          <w:lang w:val="en-GB"/>
        </w:rPr>
        <w:t xml:space="preserve"> rest spa</w:t>
      </w:r>
      <w:r w:rsidRPr="00DA76CE">
        <w:rPr>
          <w:rFonts w:ascii="Arial" w:hAnsi="Arial" w:cs="Arial"/>
          <w:b/>
          <w:caps/>
          <w:lang w:val="en-GB"/>
        </w:rPr>
        <w:t>'s Product Selection and Prices</w:t>
      </w:r>
      <w:r w:rsidR="00044E59">
        <w:rPr>
          <w:rFonts w:ascii="Arial" w:hAnsi="Arial" w:cs="Arial"/>
          <w:b/>
          <w:caps/>
          <w:lang w:val="en-GB"/>
        </w:rPr>
        <w:t xml:space="preserve"> (in CA$)</w:t>
      </w:r>
    </w:p>
    <w:p w14:paraId="7E4FAB87" w14:textId="77777777" w:rsidR="00952C3E" w:rsidRPr="00DA76CE" w:rsidRDefault="00952C3E" w:rsidP="00623445">
      <w:pPr>
        <w:keepNext/>
        <w:keepLines/>
        <w:jc w:val="center"/>
        <w:rPr>
          <w:rFonts w:ascii="Arial" w:hAnsi="Arial" w:cs="Arial"/>
          <w:b/>
          <w:caps/>
          <w:lang w:val="en-GB"/>
        </w:rPr>
      </w:pPr>
      <w:r w:rsidRPr="00DA76CE">
        <w:rPr>
          <w:rFonts w:ascii="Arial" w:hAnsi="Arial" w:cs="Arial"/>
          <w:b/>
          <w:caps/>
          <w:lang w:val="en-GB"/>
        </w:rPr>
        <w:fldChar w:fldCharType="begin"/>
      </w:r>
      <w:r w:rsidRPr="00DA76CE">
        <w:rPr>
          <w:rFonts w:ascii="Arial" w:hAnsi="Arial" w:cs="Arial"/>
          <w:b/>
          <w:caps/>
          <w:lang w:val="en-GB"/>
        </w:rPr>
        <w:instrText xml:space="preserve"> LINK Excel.Sheet.12 "C:\\Users\\Lindsay\\Documents\\Case Writing\\Metta Rest Spa\\Case Exhibits.xlsx" "Exhibit 4 - Products &amp; Prices!R1C1:R10C3" \a \f 4 \h  \* MERGEFORMAT </w:instrText>
      </w:r>
      <w:r w:rsidRPr="00DA76CE">
        <w:rPr>
          <w:rFonts w:ascii="Arial" w:hAnsi="Arial" w:cs="Arial"/>
          <w:b/>
          <w:caps/>
          <w:lang w:val="en-GB"/>
        </w:rPr>
        <w:fldChar w:fldCharType="separate"/>
      </w:r>
    </w:p>
    <w:tbl>
      <w:tblPr>
        <w:tblW w:w="4027" w:type="dxa"/>
        <w:jc w:val="center"/>
        <w:tblLook w:val="04A0" w:firstRow="1" w:lastRow="0" w:firstColumn="1" w:lastColumn="0" w:noHBand="0" w:noVBand="1"/>
      </w:tblPr>
      <w:tblGrid>
        <w:gridCol w:w="3037"/>
        <w:gridCol w:w="990"/>
      </w:tblGrid>
      <w:tr w:rsidR="00952C3E" w:rsidRPr="00DA76CE" w14:paraId="44C39051" w14:textId="77777777" w:rsidTr="00193B14">
        <w:trPr>
          <w:trHeight w:val="260"/>
          <w:jc w:val="center"/>
        </w:trPr>
        <w:tc>
          <w:tcPr>
            <w:tcW w:w="30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45AC5" w14:textId="77777777" w:rsidR="00952C3E" w:rsidRPr="00DA76CE" w:rsidRDefault="00952C3E" w:rsidP="00623445">
            <w:pPr>
              <w:keepNext/>
              <w:keepLines/>
              <w:rPr>
                <w:rFonts w:ascii="Arial" w:hAnsi="Arial" w:cs="Arial"/>
                <w:color w:val="000000"/>
                <w:lang w:val="en-GB" w:eastAsia="en-CA"/>
              </w:rPr>
            </w:pPr>
            <w:r w:rsidRPr="00DA76CE">
              <w:rPr>
                <w:rFonts w:ascii="Arial" w:hAnsi="Arial" w:cs="Arial"/>
                <w:color w:val="000000"/>
                <w:lang w:val="en-GB" w:eastAsia="en-CA"/>
              </w:rPr>
              <w:t>Single Session</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77CB13CD" w14:textId="77777777" w:rsidR="00952C3E" w:rsidRPr="00DA76CE" w:rsidRDefault="00952C3E" w:rsidP="00623445">
            <w:pPr>
              <w:keepNext/>
              <w:keepLines/>
              <w:jc w:val="right"/>
              <w:rPr>
                <w:rFonts w:ascii="Arial" w:hAnsi="Arial" w:cs="Arial"/>
                <w:color w:val="000000"/>
                <w:lang w:val="en-GB" w:eastAsia="en-CA"/>
              </w:rPr>
            </w:pPr>
            <w:r w:rsidRPr="00DA76CE">
              <w:rPr>
                <w:rFonts w:ascii="Arial" w:hAnsi="Arial" w:cs="Arial"/>
                <w:color w:val="000000"/>
                <w:lang w:val="en-GB" w:eastAsia="en-CA"/>
              </w:rPr>
              <w:t xml:space="preserve"> $75 </w:t>
            </w:r>
          </w:p>
        </w:tc>
      </w:tr>
      <w:tr w:rsidR="00952C3E" w:rsidRPr="00DA76CE" w14:paraId="72C61C31" w14:textId="77777777" w:rsidTr="00193B14">
        <w:trPr>
          <w:trHeight w:val="251"/>
          <w:jc w:val="center"/>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1D843C2F" w14:textId="77777777" w:rsidR="00952C3E" w:rsidRPr="00DA76CE" w:rsidRDefault="00952C3E" w:rsidP="00623445">
            <w:pPr>
              <w:keepNext/>
              <w:keepLines/>
              <w:rPr>
                <w:rFonts w:ascii="Arial" w:hAnsi="Arial" w:cs="Arial"/>
                <w:color w:val="000000"/>
                <w:lang w:val="en-GB" w:eastAsia="en-CA"/>
              </w:rPr>
            </w:pPr>
            <w:r w:rsidRPr="00DA76CE">
              <w:rPr>
                <w:rFonts w:ascii="Arial" w:hAnsi="Arial" w:cs="Arial"/>
                <w:color w:val="000000"/>
                <w:lang w:val="en-GB" w:eastAsia="en-CA"/>
              </w:rPr>
              <w:t>3-pack</w:t>
            </w:r>
          </w:p>
        </w:tc>
        <w:tc>
          <w:tcPr>
            <w:tcW w:w="990" w:type="dxa"/>
            <w:tcBorders>
              <w:top w:val="nil"/>
              <w:left w:val="nil"/>
              <w:bottom w:val="single" w:sz="4" w:space="0" w:color="auto"/>
              <w:right w:val="single" w:sz="4" w:space="0" w:color="auto"/>
            </w:tcBorders>
            <w:shd w:val="clear" w:color="auto" w:fill="auto"/>
            <w:noWrap/>
            <w:vAlign w:val="center"/>
            <w:hideMark/>
          </w:tcPr>
          <w:p w14:paraId="750598DC" w14:textId="77777777" w:rsidR="00952C3E" w:rsidRPr="00DA76CE" w:rsidRDefault="00952C3E" w:rsidP="00623445">
            <w:pPr>
              <w:keepNext/>
              <w:keepLines/>
              <w:jc w:val="right"/>
              <w:rPr>
                <w:rFonts w:ascii="Arial" w:hAnsi="Arial" w:cs="Arial"/>
                <w:color w:val="000000"/>
                <w:lang w:val="en-GB" w:eastAsia="en-CA"/>
              </w:rPr>
            </w:pPr>
            <w:r w:rsidRPr="00DA76CE">
              <w:rPr>
                <w:rFonts w:ascii="Arial" w:hAnsi="Arial" w:cs="Arial"/>
                <w:color w:val="000000"/>
                <w:lang w:val="en-GB" w:eastAsia="en-CA"/>
              </w:rPr>
              <w:t xml:space="preserve"> $165</w:t>
            </w:r>
          </w:p>
        </w:tc>
      </w:tr>
      <w:tr w:rsidR="00952C3E" w:rsidRPr="00DA76CE" w14:paraId="1503200E" w14:textId="77777777" w:rsidTr="00193B14">
        <w:trPr>
          <w:trHeight w:val="179"/>
          <w:jc w:val="center"/>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35346FC6" w14:textId="77777777" w:rsidR="00952C3E" w:rsidRPr="00DA76CE" w:rsidRDefault="00952C3E" w:rsidP="00623445">
            <w:pPr>
              <w:keepNext/>
              <w:keepLines/>
              <w:rPr>
                <w:rFonts w:ascii="Arial" w:hAnsi="Arial" w:cs="Arial"/>
                <w:color w:val="000000"/>
                <w:lang w:val="en-GB" w:eastAsia="en-CA"/>
              </w:rPr>
            </w:pPr>
            <w:r w:rsidRPr="00DA76CE">
              <w:rPr>
                <w:rFonts w:ascii="Arial" w:hAnsi="Arial" w:cs="Arial"/>
                <w:color w:val="000000"/>
                <w:lang w:val="en-GB" w:eastAsia="en-CA"/>
              </w:rPr>
              <w:t>7-pack</w:t>
            </w:r>
          </w:p>
        </w:tc>
        <w:tc>
          <w:tcPr>
            <w:tcW w:w="990" w:type="dxa"/>
            <w:tcBorders>
              <w:top w:val="nil"/>
              <w:left w:val="nil"/>
              <w:bottom w:val="single" w:sz="4" w:space="0" w:color="auto"/>
              <w:right w:val="single" w:sz="4" w:space="0" w:color="auto"/>
            </w:tcBorders>
            <w:shd w:val="clear" w:color="auto" w:fill="auto"/>
            <w:noWrap/>
            <w:vAlign w:val="center"/>
            <w:hideMark/>
          </w:tcPr>
          <w:p w14:paraId="37B0CF07" w14:textId="77777777" w:rsidR="00952C3E" w:rsidRPr="00DA76CE" w:rsidRDefault="00952C3E" w:rsidP="00623445">
            <w:pPr>
              <w:keepNext/>
              <w:keepLines/>
              <w:jc w:val="right"/>
              <w:rPr>
                <w:rFonts w:ascii="Arial" w:hAnsi="Arial" w:cs="Arial"/>
                <w:color w:val="000000"/>
                <w:lang w:val="en-GB" w:eastAsia="en-CA"/>
              </w:rPr>
            </w:pPr>
            <w:r w:rsidRPr="00DA76CE">
              <w:rPr>
                <w:rFonts w:ascii="Arial" w:hAnsi="Arial" w:cs="Arial"/>
                <w:color w:val="000000"/>
                <w:lang w:val="en-GB" w:eastAsia="en-CA"/>
              </w:rPr>
              <w:t xml:space="preserve"> $315 </w:t>
            </w:r>
          </w:p>
        </w:tc>
      </w:tr>
      <w:tr w:rsidR="00952C3E" w:rsidRPr="00DA76CE" w14:paraId="545F2C8F" w14:textId="77777777" w:rsidTr="00193B14">
        <w:trPr>
          <w:trHeight w:val="197"/>
          <w:jc w:val="center"/>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33F16AC4" w14:textId="77777777" w:rsidR="00952C3E" w:rsidRPr="00DA76CE" w:rsidRDefault="00952C3E" w:rsidP="00623445">
            <w:pPr>
              <w:keepNext/>
              <w:keepLines/>
              <w:rPr>
                <w:rFonts w:ascii="Arial" w:hAnsi="Arial" w:cs="Arial"/>
                <w:color w:val="000000"/>
                <w:lang w:val="en-GB" w:eastAsia="en-CA"/>
              </w:rPr>
            </w:pPr>
            <w:r w:rsidRPr="00DA76CE">
              <w:rPr>
                <w:rFonts w:ascii="Arial" w:hAnsi="Arial" w:cs="Arial"/>
                <w:color w:val="000000"/>
                <w:lang w:val="en-GB" w:eastAsia="en-CA"/>
              </w:rPr>
              <w:t>Membership</w:t>
            </w:r>
          </w:p>
        </w:tc>
        <w:tc>
          <w:tcPr>
            <w:tcW w:w="990" w:type="dxa"/>
            <w:tcBorders>
              <w:top w:val="nil"/>
              <w:left w:val="nil"/>
              <w:bottom w:val="single" w:sz="4" w:space="0" w:color="auto"/>
              <w:right w:val="single" w:sz="4" w:space="0" w:color="auto"/>
            </w:tcBorders>
            <w:shd w:val="clear" w:color="auto" w:fill="auto"/>
            <w:noWrap/>
            <w:vAlign w:val="center"/>
            <w:hideMark/>
          </w:tcPr>
          <w:p w14:paraId="4F99A516" w14:textId="77777777" w:rsidR="00952C3E" w:rsidRPr="00DA76CE" w:rsidRDefault="00952C3E" w:rsidP="00623445">
            <w:pPr>
              <w:keepNext/>
              <w:keepLines/>
              <w:jc w:val="right"/>
              <w:rPr>
                <w:rFonts w:ascii="Arial" w:hAnsi="Arial" w:cs="Arial"/>
                <w:color w:val="000000"/>
                <w:lang w:val="en-GB" w:eastAsia="en-CA"/>
              </w:rPr>
            </w:pPr>
            <w:r w:rsidRPr="00DA76CE">
              <w:rPr>
                <w:rFonts w:ascii="Arial" w:hAnsi="Arial" w:cs="Arial"/>
                <w:color w:val="000000"/>
                <w:lang w:val="en-GB" w:eastAsia="en-CA"/>
              </w:rPr>
              <w:t xml:space="preserve"> $50 </w:t>
            </w:r>
          </w:p>
        </w:tc>
      </w:tr>
      <w:tr w:rsidR="00952C3E" w:rsidRPr="00DA76CE" w14:paraId="4FE0F090" w14:textId="77777777" w:rsidTr="00193B14">
        <w:trPr>
          <w:trHeight w:val="233"/>
          <w:jc w:val="center"/>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623D558B" w14:textId="77777777" w:rsidR="00952C3E" w:rsidRPr="00DA76CE" w:rsidRDefault="00952C3E" w:rsidP="00623445">
            <w:pPr>
              <w:keepNext/>
              <w:keepLines/>
              <w:rPr>
                <w:rFonts w:ascii="Arial" w:hAnsi="Arial" w:cs="Arial"/>
                <w:color w:val="000000"/>
                <w:lang w:val="en-GB" w:eastAsia="en-CA"/>
              </w:rPr>
            </w:pPr>
            <w:r w:rsidRPr="00DA76CE">
              <w:rPr>
                <w:rFonts w:ascii="Arial" w:hAnsi="Arial" w:cs="Arial"/>
                <w:color w:val="000000"/>
                <w:lang w:val="en-GB" w:eastAsia="en-CA"/>
              </w:rPr>
              <w:t>Unlimited 1-month membership</w:t>
            </w:r>
          </w:p>
        </w:tc>
        <w:tc>
          <w:tcPr>
            <w:tcW w:w="990" w:type="dxa"/>
            <w:tcBorders>
              <w:top w:val="nil"/>
              <w:left w:val="nil"/>
              <w:bottom w:val="single" w:sz="4" w:space="0" w:color="auto"/>
              <w:right w:val="single" w:sz="4" w:space="0" w:color="auto"/>
            </w:tcBorders>
            <w:shd w:val="clear" w:color="auto" w:fill="auto"/>
            <w:noWrap/>
            <w:vAlign w:val="center"/>
            <w:hideMark/>
          </w:tcPr>
          <w:p w14:paraId="6607AF67" w14:textId="77777777" w:rsidR="00952C3E" w:rsidRPr="00DA76CE" w:rsidRDefault="00952C3E" w:rsidP="00623445">
            <w:pPr>
              <w:keepNext/>
              <w:keepLines/>
              <w:jc w:val="right"/>
              <w:rPr>
                <w:rFonts w:ascii="Arial" w:hAnsi="Arial" w:cs="Arial"/>
                <w:color w:val="000000"/>
                <w:lang w:val="en-GB" w:eastAsia="en-CA"/>
              </w:rPr>
            </w:pPr>
            <w:r w:rsidRPr="00DA76CE">
              <w:rPr>
                <w:rFonts w:ascii="Arial" w:hAnsi="Arial" w:cs="Arial"/>
                <w:color w:val="000000"/>
                <w:lang w:val="en-GB" w:eastAsia="en-CA"/>
              </w:rPr>
              <w:t xml:space="preserve"> $299 </w:t>
            </w:r>
          </w:p>
        </w:tc>
      </w:tr>
      <w:tr w:rsidR="00952C3E" w:rsidRPr="00DA76CE" w14:paraId="31D3FFD7" w14:textId="77777777" w:rsidTr="00193B14">
        <w:trPr>
          <w:trHeight w:val="170"/>
          <w:jc w:val="center"/>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03799E9B" w14:textId="71048781" w:rsidR="00952C3E" w:rsidRPr="00DA76CE" w:rsidRDefault="00952C3E" w:rsidP="00623445">
            <w:pPr>
              <w:keepNext/>
              <w:keepLines/>
              <w:rPr>
                <w:rFonts w:ascii="Arial" w:hAnsi="Arial" w:cs="Arial"/>
                <w:color w:val="000000"/>
                <w:lang w:val="en-GB" w:eastAsia="en-CA"/>
              </w:rPr>
            </w:pPr>
            <w:r w:rsidRPr="00DA76CE">
              <w:rPr>
                <w:rFonts w:ascii="Arial" w:hAnsi="Arial" w:cs="Arial"/>
                <w:color w:val="000000"/>
                <w:lang w:val="en-GB" w:eastAsia="en-CA"/>
              </w:rPr>
              <w:t>Unlimited 1-year</w:t>
            </w:r>
            <w:r w:rsidR="00CF6FAC" w:rsidRPr="00DA76CE">
              <w:rPr>
                <w:rFonts w:ascii="Arial" w:hAnsi="Arial" w:cs="Arial"/>
                <w:color w:val="000000"/>
                <w:lang w:val="en-GB" w:eastAsia="en-CA"/>
              </w:rPr>
              <w:t xml:space="preserve"> </w:t>
            </w:r>
            <w:r w:rsidR="0048513F">
              <w:rPr>
                <w:rFonts w:ascii="Arial" w:hAnsi="Arial" w:cs="Arial"/>
                <w:color w:val="000000"/>
                <w:lang w:val="en-GB" w:eastAsia="en-CA"/>
              </w:rPr>
              <w:t>membership</w:t>
            </w:r>
          </w:p>
        </w:tc>
        <w:tc>
          <w:tcPr>
            <w:tcW w:w="990" w:type="dxa"/>
            <w:tcBorders>
              <w:top w:val="nil"/>
              <w:left w:val="nil"/>
              <w:bottom w:val="single" w:sz="4" w:space="0" w:color="auto"/>
              <w:right w:val="single" w:sz="4" w:space="0" w:color="auto"/>
            </w:tcBorders>
            <w:shd w:val="clear" w:color="auto" w:fill="auto"/>
            <w:noWrap/>
            <w:vAlign w:val="center"/>
            <w:hideMark/>
          </w:tcPr>
          <w:p w14:paraId="6BC64F10" w14:textId="77777777" w:rsidR="00952C3E" w:rsidRPr="00DA76CE" w:rsidRDefault="00952C3E" w:rsidP="00623445">
            <w:pPr>
              <w:keepNext/>
              <w:keepLines/>
              <w:jc w:val="right"/>
              <w:rPr>
                <w:rFonts w:ascii="Arial" w:hAnsi="Arial" w:cs="Arial"/>
                <w:color w:val="000000"/>
                <w:lang w:val="en-GB" w:eastAsia="en-CA"/>
              </w:rPr>
            </w:pPr>
            <w:r w:rsidRPr="00DA76CE">
              <w:rPr>
                <w:rFonts w:ascii="Arial" w:hAnsi="Arial" w:cs="Arial"/>
                <w:color w:val="000000"/>
                <w:lang w:val="en-GB" w:eastAsia="en-CA"/>
              </w:rPr>
              <w:t xml:space="preserve"> $2,000 </w:t>
            </w:r>
          </w:p>
        </w:tc>
      </w:tr>
    </w:tbl>
    <w:p w14:paraId="053877C2" w14:textId="77777777" w:rsidR="00CF6FAC" w:rsidRPr="00DA76CE" w:rsidRDefault="00952C3E" w:rsidP="00623445">
      <w:pPr>
        <w:keepNext/>
        <w:keepLines/>
        <w:rPr>
          <w:rFonts w:ascii="Arial" w:hAnsi="Arial" w:cs="Arial"/>
          <w:sz w:val="17"/>
          <w:szCs w:val="17"/>
          <w:lang w:val="en-GB" w:eastAsia="en-CA"/>
        </w:rPr>
      </w:pPr>
      <w:r w:rsidRPr="00DA76CE">
        <w:rPr>
          <w:lang w:val="en-GB" w:eastAsia="en-CA"/>
        </w:rPr>
        <w:fldChar w:fldCharType="end"/>
      </w:r>
    </w:p>
    <w:p w14:paraId="6ED5D25D" w14:textId="7EB05677" w:rsidR="00952C3E" w:rsidRPr="00DA76CE" w:rsidRDefault="00952C3E" w:rsidP="00623445">
      <w:pPr>
        <w:keepNext/>
        <w:keepLines/>
        <w:rPr>
          <w:rFonts w:ascii="Arial" w:hAnsi="Arial" w:cs="Arial"/>
          <w:sz w:val="17"/>
          <w:szCs w:val="17"/>
          <w:lang w:val="en-GB" w:eastAsia="en-CA"/>
        </w:rPr>
      </w:pPr>
      <w:r w:rsidRPr="00DA76CE">
        <w:rPr>
          <w:rFonts w:ascii="Arial" w:hAnsi="Arial" w:cs="Arial"/>
          <w:sz w:val="17"/>
          <w:szCs w:val="17"/>
          <w:lang w:val="en-GB" w:eastAsia="en-CA"/>
        </w:rPr>
        <w:t xml:space="preserve">Source: </w:t>
      </w:r>
      <w:r w:rsidR="00CF6FAC" w:rsidRPr="00DA76CE">
        <w:rPr>
          <w:rFonts w:ascii="Arial" w:hAnsi="Arial" w:cs="Arial"/>
          <w:sz w:val="17"/>
          <w:szCs w:val="17"/>
          <w:lang w:val="en-GB" w:eastAsia="en-CA"/>
        </w:rPr>
        <w:t>Adapted from “</w:t>
      </w:r>
      <w:r w:rsidRPr="00DA76CE">
        <w:rPr>
          <w:rFonts w:ascii="Arial" w:hAnsi="Arial" w:cs="Arial"/>
          <w:sz w:val="17"/>
          <w:szCs w:val="17"/>
          <w:lang w:val="en-GB" w:eastAsia="en-CA"/>
        </w:rPr>
        <w:t>Flotation Rest Tanks,</w:t>
      </w:r>
      <w:r w:rsidR="00CF6FAC" w:rsidRPr="00DA76CE">
        <w:rPr>
          <w:rFonts w:ascii="Arial" w:hAnsi="Arial" w:cs="Arial"/>
          <w:sz w:val="17"/>
          <w:szCs w:val="17"/>
          <w:lang w:val="en-GB" w:eastAsia="en-CA"/>
        </w:rPr>
        <w:t>”</w:t>
      </w:r>
      <w:r w:rsidRPr="00DA76CE">
        <w:rPr>
          <w:rFonts w:ascii="Arial" w:hAnsi="Arial" w:cs="Arial"/>
          <w:sz w:val="17"/>
          <w:szCs w:val="17"/>
          <w:lang w:val="en-GB" w:eastAsia="en-CA"/>
        </w:rPr>
        <w:t xml:space="preserve"> </w:t>
      </w:r>
      <w:r w:rsidR="00CF6FAC" w:rsidRPr="00DA76CE">
        <w:rPr>
          <w:rFonts w:ascii="Arial" w:hAnsi="Arial" w:cs="Arial"/>
          <w:sz w:val="17"/>
          <w:szCs w:val="17"/>
          <w:lang w:val="en-GB" w:eastAsia="en-CA"/>
        </w:rPr>
        <w:t xml:space="preserve">Metta Rest Spa, </w:t>
      </w:r>
      <w:r w:rsidRPr="00DA76CE">
        <w:rPr>
          <w:rFonts w:ascii="Arial" w:hAnsi="Arial" w:cs="Arial"/>
          <w:sz w:val="17"/>
          <w:szCs w:val="17"/>
          <w:lang w:val="en-GB" w:eastAsia="en-CA"/>
        </w:rPr>
        <w:t>accessed February 28, 2017, http://restspa.ca/spa-menu/flotation-rest-tanks.</w:t>
      </w:r>
    </w:p>
    <w:p w14:paraId="3F2FD889" w14:textId="2D0AABA8" w:rsidR="00952C3E" w:rsidRPr="00DA76CE" w:rsidRDefault="00952C3E" w:rsidP="0013191D">
      <w:pPr>
        <w:jc w:val="both"/>
        <w:rPr>
          <w:rFonts w:ascii="Arial" w:hAnsi="Arial" w:cs="Arial"/>
          <w:b/>
          <w:caps/>
          <w:lang w:val="en-GB" w:eastAsia="en-CA"/>
        </w:rPr>
      </w:pPr>
    </w:p>
    <w:p w14:paraId="2992C4A1" w14:textId="77777777" w:rsidR="00952C3E" w:rsidRPr="00DA76CE" w:rsidRDefault="00952C3E" w:rsidP="0013191D">
      <w:pPr>
        <w:jc w:val="both"/>
        <w:rPr>
          <w:rFonts w:ascii="Arial" w:hAnsi="Arial" w:cs="Arial"/>
          <w:b/>
          <w:caps/>
          <w:lang w:val="en-GB" w:eastAsia="en-CA"/>
        </w:rPr>
      </w:pPr>
    </w:p>
    <w:p w14:paraId="55F526E1" w14:textId="6200C1D3" w:rsidR="00952C3E" w:rsidRPr="00DA76CE" w:rsidRDefault="00952C3E" w:rsidP="00952C3E">
      <w:pPr>
        <w:jc w:val="center"/>
        <w:rPr>
          <w:rFonts w:ascii="Arial" w:hAnsi="Arial" w:cs="Arial"/>
          <w:b/>
          <w:caps/>
          <w:lang w:val="en-GB" w:eastAsia="en-CA"/>
        </w:rPr>
      </w:pPr>
      <w:r w:rsidRPr="00DA76CE">
        <w:rPr>
          <w:rFonts w:ascii="Arial" w:hAnsi="Arial" w:cs="Arial"/>
          <w:b/>
          <w:caps/>
          <w:lang w:val="en-GB" w:eastAsia="en-CA"/>
        </w:rPr>
        <w:t>Exhibit 5</w:t>
      </w:r>
      <w:r w:rsidR="007D2D8D" w:rsidRPr="00DA76CE">
        <w:rPr>
          <w:rFonts w:ascii="Arial" w:hAnsi="Arial" w:cs="Arial"/>
          <w:b/>
          <w:caps/>
          <w:lang w:val="en-GB" w:eastAsia="en-CA"/>
        </w:rPr>
        <w:t>:</w:t>
      </w:r>
      <w:r w:rsidRPr="00DA76CE">
        <w:rPr>
          <w:rFonts w:ascii="Arial" w:hAnsi="Arial" w:cs="Arial"/>
          <w:b/>
          <w:caps/>
          <w:lang w:val="en-GB" w:eastAsia="en-CA"/>
        </w:rPr>
        <w:t xml:space="preserve"> Census Data for Kitsilano and West Point Grey</w:t>
      </w:r>
      <w:r w:rsidR="00485803" w:rsidRPr="00DA76CE">
        <w:rPr>
          <w:rFonts w:ascii="Arial" w:hAnsi="Arial" w:cs="Arial"/>
          <w:b/>
          <w:caps/>
          <w:lang w:val="en-GB" w:eastAsia="en-CA"/>
        </w:rPr>
        <w:t>, 2006</w:t>
      </w:r>
    </w:p>
    <w:p w14:paraId="29E336A4" w14:textId="77777777" w:rsidR="00952C3E" w:rsidRPr="00DA76CE" w:rsidRDefault="00952C3E" w:rsidP="0013191D">
      <w:pPr>
        <w:jc w:val="both"/>
        <w:rPr>
          <w:rFonts w:ascii="Arial" w:hAnsi="Arial" w:cs="Arial"/>
          <w:b/>
          <w:caps/>
          <w:lang w:val="en-GB" w:eastAsia="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5"/>
        <w:gridCol w:w="1217"/>
        <w:gridCol w:w="1814"/>
      </w:tblGrid>
      <w:tr w:rsidR="00952C3E" w:rsidRPr="00DA76CE" w14:paraId="606EE7E3" w14:textId="77777777" w:rsidTr="004B3FA1">
        <w:trPr>
          <w:trHeight w:hRule="exact" w:val="307"/>
          <w:jc w:val="center"/>
        </w:trPr>
        <w:tc>
          <w:tcPr>
            <w:tcW w:w="2615" w:type="dxa"/>
            <w:shd w:val="clear" w:color="auto" w:fill="auto"/>
            <w:noWrap/>
            <w:vAlign w:val="center"/>
            <w:hideMark/>
          </w:tcPr>
          <w:p w14:paraId="08B45FFC" w14:textId="1954F71E" w:rsidR="00952C3E" w:rsidRPr="00623445" w:rsidRDefault="00952C3E" w:rsidP="00623445">
            <w:pPr>
              <w:jc w:val="center"/>
              <w:rPr>
                <w:rFonts w:ascii="Arial" w:hAnsi="Arial" w:cs="Arial"/>
                <w:b/>
                <w:color w:val="000000"/>
                <w:lang w:val="en-GB" w:eastAsia="en-CA"/>
              </w:rPr>
            </w:pPr>
          </w:p>
        </w:tc>
        <w:tc>
          <w:tcPr>
            <w:tcW w:w="1217" w:type="dxa"/>
            <w:shd w:val="clear" w:color="auto" w:fill="auto"/>
            <w:noWrap/>
            <w:vAlign w:val="center"/>
            <w:hideMark/>
          </w:tcPr>
          <w:p w14:paraId="0AD2EABE" w14:textId="77777777" w:rsidR="00952C3E" w:rsidRPr="00623445" w:rsidRDefault="00952C3E" w:rsidP="00CF6FAC">
            <w:pPr>
              <w:jc w:val="center"/>
              <w:rPr>
                <w:rFonts w:ascii="Arial" w:hAnsi="Arial" w:cs="Arial"/>
                <w:b/>
                <w:color w:val="000000"/>
                <w:lang w:val="en-GB" w:eastAsia="en-CA"/>
              </w:rPr>
            </w:pPr>
            <w:proofErr w:type="spellStart"/>
            <w:r w:rsidRPr="00623445">
              <w:rPr>
                <w:rFonts w:ascii="Arial" w:hAnsi="Arial" w:cs="Arial"/>
                <w:b/>
                <w:color w:val="000000"/>
                <w:lang w:val="en-GB" w:eastAsia="en-CA"/>
              </w:rPr>
              <w:t>Kitsilano</w:t>
            </w:r>
            <w:proofErr w:type="spellEnd"/>
          </w:p>
        </w:tc>
        <w:tc>
          <w:tcPr>
            <w:tcW w:w="1814" w:type="dxa"/>
            <w:shd w:val="clear" w:color="auto" w:fill="auto"/>
            <w:noWrap/>
            <w:vAlign w:val="center"/>
            <w:hideMark/>
          </w:tcPr>
          <w:p w14:paraId="5884243C" w14:textId="77777777" w:rsidR="00952C3E" w:rsidRPr="00623445" w:rsidRDefault="00952C3E" w:rsidP="00CF6FAC">
            <w:pPr>
              <w:jc w:val="center"/>
              <w:rPr>
                <w:rFonts w:ascii="Arial" w:hAnsi="Arial" w:cs="Arial"/>
                <w:b/>
                <w:color w:val="000000"/>
                <w:lang w:val="en-GB" w:eastAsia="en-CA"/>
              </w:rPr>
            </w:pPr>
            <w:r w:rsidRPr="00623445">
              <w:rPr>
                <w:rFonts w:ascii="Arial" w:hAnsi="Arial" w:cs="Arial"/>
                <w:b/>
                <w:color w:val="000000"/>
                <w:lang w:val="en-GB" w:eastAsia="en-CA"/>
              </w:rPr>
              <w:t>West Point Grey</w:t>
            </w:r>
          </w:p>
        </w:tc>
      </w:tr>
      <w:tr w:rsidR="00952C3E" w:rsidRPr="00DA76CE" w14:paraId="3E273353" w14:textId="77777777" w:rsidTr="004B3FA1">
        <w:trPr>
          <w:trHeight w:hRule="exact" w:val="352"/>
          <w:jc w:val="center"/>
        </w:trPr>
        <w:tc>
          <w:tcPr>
            <w:tcW w:w="2615" w:type="dxa"/>
            <w:shd w:val="clear" w:color="auto" w:fill="auto"/>
            <w:noWrap/>
            <w:vAlign w:val="center"/>
            <w:hideMark/>
          </w:tcPr>
          <w:p w14:paraId="19C2E45B" w14:textId="79B3B268" w:rsidR="00952C3E" w:rsidRPr="00DA76CE" w:rsidRDefault="00952C3E" w:rsidP="00CF6FAC">
            <w:pPr>
              <w:rPr>
                <w:rFonts w:ascii="Arial" w:hAnsi="Arial" w:cs="Arial"/>
                <w:color w:val="000000"/>
                <w:lang w:val="en-GB" w:eastAsia="en-CA"/>
              </w:rPr>
            </w:pPr>
            <w:r w:rsidRPr="00DA76CE">
              <w:rPr>
                <w:rFonts w:ascii="Arial" w:hAnsi="Arial" w:cs="Arial"/>
                <w:color w:val="000000"/>
                <w:lang w:val="en-GB" w:eastAsia="en-CA"/>
              </w:rPr>
              <w:t xml:space="preserve">Total </w:t>
            </w:r>
            <w:r w:rsidR="00CF6FAC" w:rsidRPr="00DA76CE">
              <w:rPr>
                <w:rFonts w:ascii="Arial" w:hAnsi="Arial" w:cs="Arial"/>
                <w:color w:val="000000"/>
                <w:lang w:val="en-GB" w:eastAsia="en-CA"/>
              </w:rPr>
              <w:t>p</w:t>
            </w:r>
            <w:r w:rsidRPr="00DA76CE">
              <w:rPr>
                <w:rFonts w:ascii="Arial" w:hAnsi="Arial" w:cs="Arial"/>
                <w:color w:val="000000"/>
                <w:lang w:val="en-GB" w:eastAsia="en-CA"/>
              </w:rPr>
              <w:t>opulation</w:t>
            </w:r>
          </w:p>
        </w:tc>
        <w:tc>
          <w:tcPr>
            <w:tcW w:w="1217" w:type="dxa"/>
            <w:shd w:val="clear" w:color="auto" w:fill="auto"/>
            <w:noWrap/>
            <w:vAlign w:val="center"/>
            <w:hideMark/>
          </w:tcPr>
          <w:p w14:paraId="64BF3852" w14:textId="77777777" w:rsidR="00952C3E" w:rsidRPr="00DA76CE" w:rsidRDefault="00952C3E" w:rsidP="00193B14">
            <w:pPr>
              <w:jc w:val="right"/>
              <w:rPr>
                <w:rFonts w:ascii="Arial" w:hAnsi="Arial" w:cs="Arial"/>
                <w:color w:val="000000"/>
                <w:lang w:val="en-GB" w:eastAsia="en-CA"/>
              </w:rPr>
            </w:pPr>
            <w:r w:rsidRPr="00DA76CE">
              <w:rPr>
                <w:rFonts w:ascii="Arial" w:hAnsi="Arial" w:cs="Arial"/>
                <w:color w:val="000000"/>
                <w:lang w:val="en-GB" w:eastAsia="en-CA"/>
              </w:rPr>
              <w:t xml:space="preserve">41,375 </w:t>
            </w:r>
          </w:p>
        </w:tc>
        <w:tc>
          <w:tcPr>
            <w:tcW w:w="1814" w:type="dxa"/>
            <w:shd w:val="clear" w:color="auto" w:fill="auto"/>
            <w:noWrap/>
            <w:vAlign w:val="center"/>
            <w:hideMark/>
          </w:tcPr>
          <w:p w14:paraId="16E083A6" w14:textId="77777777" w:rsidR="00952C3E" w:rsidRPr="00DA76CE" w:rsidRDefault="00952C3E" w:rsidP="00193B14">
            <w:pPr>
              <w:jc w:val="right"/>
              <w:rPr>
                <w:rFonts w:ascii="Arial" w:hAnsi="Arial" w:cs="Arial"/>
                <w:color w:val="000000"/>
                <w:lang w:val="en-GB" w:eastAsia="en-CA"/>
              </w:rPr>
            </w:pPr>
            <w:r w:rsidRPr="00DA76CE">
              <w:rPr>
                <w:rFonts w:ascii="Arial" w:hAnsi="Arial" w:cs="Arial"/>
                <w:color w:val="000000"/>
                <w:lang w:val="en-GB" w:eastAsia="en-CA"/>
              </w:rPr>
              <w:t xml:space="preserve">12,795 </w:t>
            </w:r>
          </w:p>
        </w:tc>
      </w:tr>
      <w:tr w:rsidR="00952C3E" w:rsidRPr="00DA76CE" w14:paraId="1124A796" w14:textId="77777777" w:rsidTr="004B3FA1">
        <w:trPr>
          <w:trHeight w:hRule="exact" w:val="784"/>
          <w:jc w:val="center"/>
        </w:trPr>
        <w:tc>
          <w:tcPr>
            <w:tcW w:w="2615" w:type="dxa"/>
            <w:shd w:val="clear" w:color="auto" w:fill="auto"/>
            <w:noWrap/>
            <w:vAlign w:val="center"/>
            <w:hideMark/>
          </w:tcPr>
          <w:p w14:paraId="00E8BD97" w14:textId="65E5874D" w:rsidR="00952C3E" w:rsidRPr="00DA76CE" w:rsidRDefault="00952C3E">
            <w:pPr>
              <w:rPr>
                <w:rFonts w:ascii="Arial" w:hAnsi="Arial" w:cs="Arial"/>
                <w:color w:val="000000"/>
                <w:lang w:val="en-GB" w:eastAsia="en-CA"/>
              </w:rPr>
            </w:pPr>
            <w:r w:rsidRPr="00DA76CE">
              <w:rPr>
                <w:rFonts w:ascii="Arial" w:hAnsi="Arial" w:cs="Arial"/>
                <w:color w:val="000000"/>
                <w:lang w:val="en-GB" w:eastAsia="en-CA"/>
              </w:rPr>
              <w:t xml:space="preserve">Total </w:t>
            </w:r>
            <w:r w:rsidR="00CF6FAC" w:rsidRPr="00DA76CE">
              <w:rPr>
                <w:rFonts w:ascii="Arial" w:hAnsi="Arial" w:cs="Arial"/>
                <w:color w:val="000000"/>
                <w:lang w:val="en-GB" w:eastAsia="en-CA"/>
              </w:rPr>
              <w:t>p</w:t>
            </w:r>
            <w:r w:rsidRPr="00DA76CE">
              <w:rPr>
                <w:rFonts w:ascii="Arial" w:hAnsi="Arial" w:cs="Arial"/>
                <w:color w:val="000000"/>
                <w:lang w:val="en-GB" w:eastAsia="en-CA"/>
              </w:rPr>
              <w:t xml:space="preserve">opulation </w:t>
            </w:r>
            <w:r w:rsidR="00CF6FAC" w:rsidRPr="00DA76CE">
              <w:rPr>
                <w:rFonts w:ascii="Arial" w:hAnsi="Arial" w:cs="Arial"/>
                <w:color w:val="000000"/>
                <w:lang w:val="en-GB" w:eastAsia="en-CA"/>
              </w:rPr>
              <w:t>b</w:t>
            </w:r>
            <w:r w:rsidRPr="00DA76CE">
              <w:rPr>
                <w:rFonts w:ascii="Arial" w:hAnsi="Arial" w:cs="Arial"/>
                <w:color w:val="000000"/>
                <w:lang w:val="en-GB" w:eastAsia="en-CA"/>
              </w:rPr>
              <w:t>etween 18</w:t>
            </w:r>
            <w:r w:rsidR="009C76AB" w:rsidRPr="00DA76CE">
              <w:rPr>
                <w:rFonts w:ascii="Arial" w:hAnsi="Arial" w:cs="Arial"/>
                <w:color w:val="000000"/>
                <w:lang w:val="en-GB" w:eastAsia="en-CA"/>
              </w:rPr>
              <w:t xml:space="preserve"> and </w:t>
            </w:r>
            <w:r w:rsidRPr="00DA76CE">
              <w:rPr>
                <w:rFonts w:ascii="Arial" w:hAnsi="Arial" w:cs="Arial"/>
                <w:color w:val="000000"/>
                <w:lang w:val="en-GB" w:eastAsia="en-CA"/>
              </w:rPr>
              <w:t>65</w:t>
            </w:r>
            <w:r w:rsidR="007D2D8D" w:rsidRPr="00DA76CE">
              <w:rPr>
                <w:rFonts w:ascii="Arial" w:hAnsi="Arial" w:cs="Arial"/>
                <w:color w:val="000000"/>
                <w:lang w:val="en-GB" w:eastAsia="en-CA"/>
              </w:rPr>
              <w:t xml:space="preserve"> </w:t>
            </w:r>
            <w:r w:rsidR="00CF6FAC" w:rsidRPr="00DA76CE">
              <w:rPr>
                <w:rFonts w:ascii="Arial" w:hAnsi="Arial" w:cs="Arial"/>
                <w:color w:val="000000"/>
                <w:lang w:val="en-GB" w:eastAsia="en-CA"/>
              </w:rPr>
              <w:t>y</w:t>
            </w:r>
            <w:r w:rsidR="007D2D8D" w:rsidRPr="00DA76CE">
              <w:rPr>
                <w:rFonts w:ascii="Arial" w:hAnsi="Arial" w:cs="Arial"/>
                <w:color w:val="000000"/>
                <w:lang w:val="en-GB" w:eastAsia="en-CA"/>
              </w:rPr>
              <w:t xml:space="preserve">ears </w:t>
            </w:r>
            <w:r w:rsidR="00CF6FAC" w:rsidRPr="00DA76CE">
              <w:rPr>
                <w:rFonts w:ascii="Arial" w:hAnsi="Arial" w:cs="Arial"/>
                <w:color w:val="000000"/>
                <w:lang w:val="en-GB" w:eastAsia="en-CA"/>
              </w:rPr>
              <w:t>o</w:t>
            </w:r>
            <w:r w:rsidR="007D2D8D" w:rsidRPr="00DA76CE">
              <w:rPr>
                <w:rFonts w:ascii="Arial" w:hAnsi="Arial" w:cs="Arial"/>
                <w:color w:val="000000"/>
                <w:lang w:val="en-GB" w:eastAsia="en-CA"/>
              </w:rPr>
              <w:t>ld</w:t>
            </w:r>
          </w:p>
        </w:tc>
        <w:tc>
          <w:tcPr>
            <w:tcW w:w="1217" w:type="dxa"/>
            <w:shd w:val="clear" w:color="auto" w:fill="auto"/>
            <w:noWrap/>
            <w:vAlign w:val="center"/>
            <w:hideMark/>
          </w:tcPr>
          <w:p w14:paraId="7BBDF370" w14:textId="77777777" w:rsidR="00952C3E" w:rsidRPr="00DA76CE" w:rsidRDefault="00952C3E" w:rsidP="00193B14">
            <w:pPr>
              <w:jc w:val="right"/>
              <w:rPr>
                <w:rFonts w:ascii="Arial" w:hAnsi="Arial" w:cs="Arial"/>
                <w:color w:val="000000"/>
                <w:lang w:val="en-GB" w:eastAsia="en-CA"/>
              </w:rPr>
            </w:pPr>
            <w:r w:rsidRPr="00DA76CE">
              <w:rPr>
                <w:rFonts w:ascii="Arial" w:hAnsi="Arial" w:cs="Arial"/>
                <w:color w:val="000000"/>
                <w:lang w:val="en-GB" w:eastAsia="en-CA"/>
              </w:rPr>
              <w:t xml:space="preserve">32,280 </w:t>
            </w:r>
          </w:p>
        </w:tc>
        <w:tc>
          <w:tcPr>
            <w:tcW w:w="1814" w:type="dxa"/>
            <w:shd w:val="clear" w:color="auto" w:fill="auto"/>
            <w:noWrap/>
            <w:vAlign w:val="center"/>
            <w:hideMark/>
          </w:tcPr>
          <w:p w14:paraId="413108A0" w14:textId="77777777" w:rsidR="00952C3E" w:rsidRPr="00DA76CE" w:rsidRDefault="00952C3E" w:rsidP="00193B14">
            <w:pPr>
              <w:jc w:val="right"/>
              <w:rPr>
                <w:rFonts w:ascii="Arial" w:hAnsi="Arial" w:cs="Arial"/>
                <w:color w:val="000000"/>
                <w:lang w:val="en-GB" w:eastAsia="en-CA"/>
              </w:rPr>
            </w:pPr>
            <w:r w:rsidRPr="00DA76CE">
              <w:rPr>
                <w:rFonts w:ascii="Arial" w:hAnsi="Arial" w:cs="Arial"/>
                <w:color w:val="000000"/>
                <w:lang w:val="en-GB" w:eastAsia="en-CA"/>
              </w:rPr>
              <w:t xml:space="preserve">8,305 </w:t>
            </w:r>
          </w:p>
        </w:tc>
      </w:tr>
      <w:tr w:rsidR="00952C3E" w:rsidRPr="00DA76CE" w14:paraId="7E6D4FFB" w14:textId="77777777" w:rsidTr="004B3FA1">
        <w:trPr>
          <w:trHeight w:hRule="exact" w:val="460"/>
          <w:jc w:val="center"/>
        </w:trPr>
        <w:tc>
          <w:tcPr>
            <w:tcW w:w="2615" w:type="dxa"/>
            <w:shd w:val="clear" w:color="auto" w:fill="auto"/>
            <w:noWrap/>
            <w:vAlign w:val="center"/>
            <w:hideMark/>
          </w:tcPr>
          <w:p w14:paraId="463DE794" w14:textId="3A0B042E" w:rsidR="00952C3E" w:rsidRPr="00DA76CE" w:rsidRDefault="00952C3E" w:rsidP="00CF6FAC">
            <w:pPr>
              <w:rPr>
                <w:rFonts w:ascii="Arial" w:hAnsi="Arial" w:cs="Arial"/>
                <w:color w:val="000000"/>
                <w:lang w:val="en-GB" w:eastAsia="en-CA"/>
              </w:rPr>
            </w:pPr>
            <w:r w:rsidRPr="00DA76CE">
              <w:rPr>
                <w:rFonts w:ascii="Arial" w:hAnsi="Arial" w:cs="Arial"/>
                <w:color w:val="000000"/>
                <w:lang w:val="en-GB" w:eastAsia="en-CA"/>
              </w:rPr>
              <w:t xml:space="preserve">Median </w:t>
            </w:r>
            <w:r w:rsidR="00CF6FAC" w:rsidRPr="00DA76CE">
              <w:rPr>
                <w:rFonts w:ascii="Arial" w:hAnsi="Arial" w:cs="Arial"/>
                <w:color w:val="000000"/>
                <w:lang w:val="en-GB" w:eastAsia="en-CA"/>
              </w:rPr>
              <w:t>h</w:t>
            </w:r>
            <w:r w:rsidRPr="00DA76CE">
              <w:rPr>
                <w:rFonts w:ascii="Arial" w:hAnsi="Arial" w:cs="Arial"/>
                <w:color w:val="000000"/>
                <w:lang w:val="en-GB" w:eastAsia="en-CA"/>
              </w:rPr>
              <w:t xml:space="preserve">ousehold </w:t>
            </w:r>
            <w:r w:rsidR="00CF6FAC" w:rsidRPr="00DA76CE">
              <w:rPr>
                <w:rFonts w:ascii="Arial" w:hAnsi="Arial" w:cs="Arial"/>
                <w:color w:val="000000"/>
                <w:lang w:val="en-GB" w:eastAsia="en-CA"/>
              </w:rPr>
              <w:t>i</w:t>
            </w:r>
            <w:r w:rsidRPr="00DA76CE">
              <w:rPr>
                <w:rFonts w:ascii="Arial" w:hAnsi="Arial" w:cs="Arial"/>
                <w:color w:val="000000"/>
                <w:lang w:val="en-GB" w:eastAsia="en-CA"/>
              </w:rPr>
              <w:t>ncome</w:t>
            </w:r>
          </w:p>
        </w:tc>
        <w:tc>
          <w:tcPr>
            <w:tcW w:w="1217" w:type="dxa"/>
            <w:shd w:val="clear" w:color="auto" w:fill="auto"/>
            <w:noWrap/>
            <w:vAlign w:val="center"/>
            <w:hideMark/>
          </w:tcPr>
          <w:p w14:paraId="4FE9FA8C" w14:textId="5ACEEC3E" w:rsidR="00952C3E" w:rsidRPr="00DA76CE" w:rsidRDefault="00044E59" w:rsidP="00CF6FAC">
            <w:pPr>
              <w:jc w:val="right"/>
              <w:rPr>
                <w:rFonts w:ascii="Arial" w:hAnsi="Arial" w:cs="Arial"/>
                <w:color w:val="000000"/>
                <w:lang w:val="en-GB" w:eastAsia="en-CA"/>
              </w:rPr>
            </w:pPr>
            <w:r>
              <w:rPr>
                <w:rFonts w:ascii="Arial" w:hAnsi="Arial" w:cs="Arial"/>
                <w:color w:val="000000"/>
                <w:lang w:val="en-GB" w:eastAsia="en-CA"/>
              </w:rPr>
              <w:t>CA</w:t>
            </w:r>
            <w:r w:rsidR="00952C3E" w:rsidRPr="00DA76CE">
              <w:rPr>
                <w:rFonts w:ascii="Arial" w:hAnsi="Arial" w:cs="Arial"/>
                <w:color w:val="000000"/>
                <w:lang w:val="en-GB" w:eastAsia="en-CA"/>
              </w:rPr>
              <w:t>$53,000</w:t>
            </w:r>
          </w:p>
        </w:tc>
        <w:tc>
          <w:tcPr>
            <w:tcW w:w="1814" w:type="dxa"/>
            <w:shd w:val="clear" w:color="auto" w:fill="auto"/>
            <w:noWrap/>
            <w:vAlign w:val="center"/>
            <w:hideMark/>
          </w:tcPr>
          <w:p w14:paraId="5E3DA845" w14:textId="4F49F352" w:rsidR="00952C3E" w:rsidRPr="00DA76CE" w:rsidRDefault="00952C3E" w:rsidP="00CF6FAC">
            <w:pPr>
              <w:jc w:val="right"/>
              <w:rPr>
                <w:rFonts w:ascii="Arial" w:hAnsi="Arial" w:cs="Arial"/>
                <w:color w:val="000000"/>
                <w:lang w:val="en-GB" w:eastAsia="en-CA"/>
              </w:rPr>
            </w:pPr>
            <w:r w:rsidRPr="00DA76CE">
              <w:rPr>
                <w:rFonts w:ascii="Arial" w:hAnsi="Arial" w:cs="Arial"/>
                <w:color w:val="000000"/>
                <w:lang w:val="en-GB" w:eastAsia="en-CA"/>
              </w:rPr>
              <w:t xml:space="preserve"> </w:t>
            </w:r>
            <w:r w:rsidR="00044E59">
              <w:rPr>
                <w:rFonts w:ascii="Arial" w:hAnsi="Arial" w:cs="Arial"/>
                <w:color w:val="000000"/>
                <w:lang w:val="en-GB" w:eastAsia="en-CA"/>
              </w:rPr>
              <w:t>CA</w:t>
            </w:r>
            <w:r w:rsidRPr="00DA76CE">
              <w:rPr>
                <w:rFonts w:ascii="Arial" w:hAnsi="Arial" w:cs="Arial"/>
                <w:color w:val="000000"/>
                <w:lang w:val="en-GB" w:eastAsia="en-CA"/>
              </w:rPr>
              <w:t xml:space="preserve">$77,079 </w:t>
            </w:r>
          </w:p>
        </w:tc>
      </w:tr>
    </w:tbl>
    <w:p w14:paraId="4D2AA7A8" w14:textId="77777777" w:rsidR="00952C3E" w:rsidRPr="00DA76CE" w:rsidRDefault="00952C3E" w:rsidP="00623445">
      <w:pPr>
        <w:pStyle w:val="ExhibitText"/>
        <w:rPr>
          <w:lang w:val="en-GB" w:eastAsia="en-CA"/>
        </w:rPr>
      </w:pPr>
    </w:p>
    <w:p w14:paraId="5CC44FFA" w14:textId="72DA378B" w:rsidR="0013191D" w:rsidRPr="00DA76CE" w:rsidRDefault="00952C3E" w:rsidP="0013191D">
      <w:pPr>
        <w:rPr>
          <w:rFonts w:ascii="Arial" w:hAnsi="Arial" w:cs="Arial"/>
          <w:sz w:val="17"/>
          <w:szCs w:val="17"/>
          <w:lang w:val="en-GB" w:eastAsia="en-CA"/>
        </w:rPr>
      </w:pPr>
      <w:r w:rsidRPr="00DA76CE">
        <w:rPr>
          <w:rFonts w:ascii="Arial" w:hAnsi="Arial" w:cs="Arial"/>
          <w:sz w:val="17"/>
          <w:szCs w:val="17"/>
          <w:lang w:val="en-GB" w:eastAsia="en-CA"/>
        </w:rPr>
        <w:t>Note:</w:t>
      </w:r>
      <w:r w:rsidR="0013191D" w:rsidRPr="00DA76CE">
        <w:rPr>
          <w:rFonts w:ascii="Arial" w:hAnsi="Arial" w:cs="Arial"/>
          <w:sz w:val="17"/>
          <w:szCs w:val="17"/>
          <w:lang w:val="en-GB" w:eastAsia="en-CA"/>
        </w:rPr>
        <w:t xml:space="preserve"> Vancouver</w:t>
      </w:r>
      <w:r w:rsidRPr="00DA76CE">
        <w:rPr>
          <w:rFonts w:ascii="Arial" w:hAnsi="Arial" w:cs="Arial"/>
          <w:sz w:val="17"/>
          <w:szCs w:val="17"/>
          <w:lang w:val="en-GB" w:eastAsia="en-CA"/>
        </w:rPr>
        <w:t>’</w:t>
      </w:r>
      <w:r w:rsidR="0013191D" w:rsidRPr="00DA76CE">
        <w:rPr>
          <w:rFonts w:ascii="Arial" w:hAnsi="Arial" w:cs="Arial"/>
          <w:sz w:val="17"/>
          <w:szCs w:val="17"/>
          <w:lang w:val="en-GB" w:eastAsia="en-CA"/>
        </w:rPr>
        <w:t xml:space="preserve">s median household income was </w:t>
      </w:r>
      <w:r w:rsidR="00044E59">
        <w:rPr>
          <w:rFonts w:ascii="Arial" w:hAnsi="Arial" w:cs="Arial"/>
          <w:sz w:val="17"/>
          <w:szCs w:val="17"/>
          <w:lang w:val="en-GB" w:eastAsia="en-CA"/>
        </w:rPr>
        <w:t>CA</w:t>
      </w:r>
      <w:r w:rsidR="0013191D" w:rsidRPr="00DA76CE">
        <w:rPr>
          <w:rFonts w:ascii="Arial" w:hAnsi="Arial" w:cs="Arial"/>
          <w:sz w:val="17"/>
          <w:szCs w:val="17"/>
          <w:lang w:val="en-GB" w:eastAsia="en-CA"/>
        </w:rPr>
        <w:t>$47,299</w:t>
      </w:r>
    </w:p>
    <w:p w14:paraId="60790974" w14:textId="3891C7E8" w:rsidR="0013191D" w:rsidRPr="004D69DE" w:rsidRDefault="0013191D" w:rsidP="003E67F3">
      <w:pPr>
        <w:pStyle w:val="Footnote"/>
        <w:rPr>
          <w:lang w:val="en-GB" w:eastAsia="en-CA"/>
        </w:rPr>
      </w:pPr>
      <w:r w:rsidRPr="00DA76CE">
        <w:rPr>
          <w:lang w:val="en-GB" w:eastAsia="en-CA"/>
        </w:rPr>
        <w:t xml:space="preserve">Source: </w:t>
      </w:r>
      <w:r w:rsidR="007D2D8D" w:rsidRPr="00DA76CE">
        <w:rPr>
          <w:lang w:val="en-GB" w:eastAsia="en-CA"/>
        </w:rPr>
        <w:t xml:space="preserve">Created by case author based on data from </w:t>
      </w:r>
      <w:r w:rsidR="00952C3E" w:rsidRPr="00DA76CE">
        <w:rPr>
          <w:lang w:val="en-GB" w:eastAsia="en-CA"/>
        </w:rPr>
        <w:t>“</w:t>
      </w:r>
      <w:proofErr w:type="spellStart"/>
      <w:r w:rsidRPr="00DA76CE">
        <w:rPr>
          <w:lang w:val="en-GB" w:eastAsia="en-CA"/>
        </w:rPr>
        <w:t>Kitsilano</w:t>
      </w:r>
      <w:proofErr w:type="spellEnd"/>
      <w:r w:rsidRPr="00DA76CE">
        <w:rPr>
          <w:lang w:val="en-GB" w:eastAsia="en-CA"/>
        </w:rPr>
        <w:t xml:space="preserve"> Demographics</w:t>
      </w:r>
      <w:r w:rsidR="00952C3E" w:rsidRPr="00DA76CE">
        <w:rPr>
          <w:lang w:val="en-GB" w:eastAsia="en-CA"/>
        </w:rPr>
        <w:t xml:space="preserve">,” </w:t>
      </w:r>
      <w:r w:rsidRPr="00DA76CE">
        <w:rPr>
          <w:lang w:val="en-GB" w:eastAsia="en-CA"/>
        </w:rPr>
        <w:t>accessed February 28, 2017, http://vancouver.ca/commsvcs/planning/census/2006/localareas/kitsilano.pdf</w:t>
      </w:r>
      <w:r w:rsidR="00485803" w:rsidRPr="00DA76CE">
        <w:rPr>
          <w:lang w:val="en-GB" w:eastAsia="en-CA"/>
        </w:rPr>
        <w:t>; “</w:t>
      </w:r>
      <w:r w:rsidRPr="00DA76CE">
        <w:rPr>
          <w:lang w:val="en-GB" w:eastAsia="en-CA"/>
        </w:rPr>
        <w:t>West Point Grey: Neighbourhood Numbers,</w:t>
      </w:r>
      <w:r w:rsidR="00485803" w:rsidRPr="00DA76CE">
        <w:rPr>
          <w:lang w:val="en-GB" w:eastAsia="en-CA"/>
        </w:rPr>
        <w:t xml:space="preserve">” </w:t>
      </w:r>
      <w:r w:rsidR="00485803" w:rsidRPr="00623445">
        <w:rPr>
          <w:i/>
          <w:lang w:val="en-GB" w:eastAsia="en-CA"/>
        </w:rPr>
        <w:t>Vancouver Courier</w:t>
      </w:r>
      <w:r w:rsidR="00485803" w:rsidRPr="00DA76CE">
        <w:rPr>
          <w:lang w:val="en-GB" w:eastAsia="en-CA"/>
        </w:rPr>
        <w:t>, April 24, 2013,</w:t>
      </w:r>
      <w:r w:rsidRPr="00DA76CE">
        <w:rPr>
          <w:lang w:val="en-GB" w:eastAsia="en-CA"/>
        </w:rPr>
        <w:t xml:space="preserve"> accessed February 28, 2017, www.vancourier.com/community/vancouver-special/west-point-grey/west-point-grey-neighbourhood-numbers-1.376572#sthash.IEOGrzdo.dpuf.</w:t>
      </w:r>
    </w:p>
    <w:p w14:paraId="6D8EBA35" w14:textId="77777777" w:rsidR="0073438B" w:rsidRPr="00DA76CE" w:rsidRDefault="0073438B" w:rsidP="0013191D">
      <w:pPr>
        <w:jc w:val="center"/>
        <w:rPr>
          <w:rFonts w:ascii="Arial" w:hAnsi="Arial" w:cs="Arial"/>
          <w:b/>
          <w:caps/>
          <w:lang w:val="en-GB" w:eastAsia="en-CA"/>
        </w:rPr>
      </w:pPr>
    </w:p>
    <w:p w14:paraId="6E79154A" w14:textId="77777777" w:rsidR="00952C3E" w:rsidRPr="00DA76CE" w:rsidRDefault="00952C3E" w:rsidP="0013191D">
      <w:pPr>
        <w:jc w:val="center"/>
        <w:rPr>
          <w:rFonts w:ascii="Arial" w:hAnsi="Arial" w:cs="Arial"/>
          <w:b/>
          <w:caps/>
          <w:lang w:val="en-GB" w:eastAsia="en-CA"/>
        </w:rPr>
      </w:pPr>
    </w:p>
    <w:p w14:paraId="1E6C876D" w14:textId="2D6066E4" w:rsidR="0013191D" w:rsidRPr="00DA76CE" w:rsidRDefault="004D69DE" w:rsidP="00623445">
      <w:pPr>
        <w:keepNext/>
        <w:keepLines/>
        <w:jc w:val="center"/>
        <w:rPr>
          <w:rFonts w:ascii="Arial" w:hAnsi="Arial" w:cs="Arial"/>
          <w:b/>
          <w:caps/>
          <w:lang w:val="en-GB" w:eastAsia="en-CA"/>
        </w:rPr>
      </w:pPr>
      <w:r>
        <w:rPr>
          <w:rFonts w:ascii="Arial" w:hAnsi="Arial" w:cs="Arial"/>
          <w:b/>
          <w:caps/>
          <w:lang w:val="en-GB" w:eastAsia="en-CA"/>
        </w:rPr>
        <w:t>Exhibit 6</w:t>
      </w:r>
      <w:r w:rsidR="00952C3E" w:rsidRPr="00DA76CE">
        <w:rPr>
          <w:rFonts w:ascii="Arial" w:hAnsi="Arial" w:cs="Arial"/>
          <w:b/>
          <w:caps/>
          <w:lang w:val="en-GB" w:eastAsia="en-CA"/>
        </w:rPr>
        <w:t>:</w:t>
      </w:r>
      <w:r w:rsidR="0013191D" w:rsidRPr="00DA76CE">
        <w:rPr>
          <w:rFonts w:ascii="Arial" w:hAnsi="Arial" w:cs="Arial"/>
          <w:b/>
          <w:caps/>
          <w:lang w:val="en-GB" w:eastAsia="en-CA"/>
        </w:rPr>
        <w:t xml:space="preserve"> Float House Prices</w:t>
      </w:r>
      <w:r w:rsidR="00F95FF1">
        <w:rPr>
          <w:rFonts w:ascii="Arial" w:hAnsi="Arial" w:cs="Arial"/>
          <w:b/>
          <w:caps/>
          <w:lang w:val="en-GB" w:eastAsia="en-CA"/>
        </w:rPr>
        <w:t xml:space="preserve"> (in ca$)</w:t>
      </w:r>
    </w:p>
    <w:p w14:paraId="449423BC" w14:textId="77777777" w:rsidR="0013191D" w:rsidRPr="00DA76CE" w:rsidRDefault="0013191D" w:rsidP="00623445">
      <w:pPr>
        <w:keepNext/>
        <w:keepLines/>
        <w:rPr>
          <w:lang w:val="en-GB"/>
        </w:rPr>
      </w:pPr>
      <w:r w:rsidRPr="00DA76CE">
        <w:rPr>
          <w:lang w:val="en-GB"/>
        </w:rPr>
        <w:fldChar w:fldCharType="begin"/>
      </w:r>
      <w:r w:rsidRPr="00DA76CE">
        <w:rPr>
          <w:lang w:val="en-GB"/>
        </w:rPr>
        <w:instrText xml:space="preserve"> LINK Excel.Sheet.12 "C:\\Users\\Lindsay\\Documents\\Case Writing\\Metta Rest Spa\\Case Exhibits.xlsx" "Exhibit 7 - Float House Prices!R1C1:R7C3" \a \f 4 \h  \* MERGEFORMAT </w:instrText>
      </w:r>
      <w:r w:rsidRPr="00DA76CE">
        <w:rPr>
          <w:lang w:val="en-GB"/>
        </w:rPr>
        <w:fldChar w:fldCharType="separate"/>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tblGrid>
      <w:tr w:rsidR="0013191D" w:rsidRPr="00DA76CE" w14:paraId="7DB6F259" w14:textId="77777777" w:rsidTr="00193B14">
        <w:trPr>
          <w:trHeight w:val="300"/>
          <w:jc w:val="center"/>
        </w:trPr>
        <w:tc>
          <w:tcPr>
            <w:tcW w:w="1440" w:type="dxa"/>
            <w:shd w:val="clear" w:color="auto" w:fill="auto"/>
            <w:noWrap/>
            <w:vAlign w:val="center"/>
            <w:hideMark/>
          </w:tcPr>
          <w:p w14:paraId="022BB38D" w14:textId="77777777" w:rsidR="0013191D" w:rsidRPr="00DA76CE" w:rsidRDefault="0013191D" w:rsidP="00623445">
            <w:pPr>
              <w:keepNext/>
              <w:keepLines/>
              <w:rPr>
                <w:rFonts w:ascii="Arial" w:hAnsi="Arial" w:cs="Arial"/>
                <w:color w:val="000000"/>
                <w:lang w:val="en-GB" w:eastAsia="en-CA"/>
              </w:rPr>
            </w:pPr>
            <w:r w:rsidRPr="00DA76CE">
              <w:rPr>
                <w:rFonts w:ascii="Arial" w:hAnsi="Arial" w:cs="Arial"/>
                <w:color w:val="000000"/>
                <w:lang w:val="en-GB" w:eastAsia="en-CA"/>
              </w:rPr>
              <w:t>Single Float</w:t>
            </w:r>
          </w:p>
        </w:tc>
        <w:tc>
          <w:tcPr>
            <w:tcW w:w="1440" w:type="dxa"/>
            <w:shd w:val="clear" w:color="auto" w:fill="auto"/>
            <w:noWrap/>
            <w:vAlign w:val="center"/>
            <w:hideMark/>
          </w:tcPr>
          <w:p w14:paraId="6193C9F0" w14:textId="77777777" w:rsidR="0013191D" w:rsidRPr="00DA76CE" w:rsidRDefault="0013191D" w:rsidP="00623445">
            <w:pPr>
              <w:keepNext/>
              <w:keepLines/>
              <w:jc w:val="right"/>
              <w:rPr>
                <w:rFonts w:ascii="Arial" w:hAnsi="Arial" w:cs="Arial"/>
                <w:color w:val="000000"/>
                <w:lang w:val="en-GB" w:eastAsia="en-CA"/>
              </w:rPr>
            </w:pPr>
            <w:r w:rsidRPr="00DA76CE">
              <w:rPr>
                <w:rFonts w:ascii="Arial" w:hAnsi="Arial" w:cs="Arial"/>
                <w:color w:val="000000"/>
                <w:lang w:val="en-GB" w:eastAsia="en-CA"/>
              </w:rPr>
              <w:t>$75.00</w:t>
            </w:r>
          </w:p>
        </w:tc>
      </w:tr>
      <w:tr w:rsidR="0013191D" w:rsidRPr="00DA76CE" w14:paraId="7ADC2AC2" w14:textId="77777777" w:rsidTr="00193B14">
        <w:trPr>
          <w:trHeight w:val="300"/>
          <w:jc w:val="center"/>
        </w:trPr>
        <w:tc>
          <w:tcPr>
            <w:tcW w:w="1440" w:type="dxa"/>
            <w:shd w:val="clear" w:color="auto" w:fill="auto"/>
            <w:noWrap/>
            <w:vAlign w:val="center"/>
            <w:hideMark/>
          </w:tcPr>
          <w:p w14:paraId="6E7C4255" w14:textId="77777777" w:rsidR="0013191D" w:rsidRPr="00DA76CE" w:rsidRDefault="0013191D" w:rsidP="00623445">
            <w:pPr>
              <w:keepNext/>
              <w:keepLines/>
              <w:rPr>
                <w:rFonts w:ascii="Arial" w:hAnsi="Arial" w:cs="Arial"/>
                <w:color w:val="000000"/>
                <w:lang w:val="en-GB" w:eastAsia="en-CA"/>
              </w:rPr>
            </w:pPr>
            <w:r w:rsidRPr="00DA76CE">
              <w:rPr>
                <w:rFonts w:ascii="Arial" w:hAnsi="Arial" w:cs="Arial"/>
                <w:color w:val="000000"/>
                <w:lang w:val="en-GB" w:eastAsia="en-CA"/>
              </w:rPr>
              <w:t>3-pack</w:t>
            </w:r>
          </w:p>
        </w:tc>
        <w:tc>
          <w:tcPr>
            <w:tcW w:w="1440" w:type="dxa"/>
            <w:shd w:val="clear" w:color="auto" w:fill="auto"/>
            <w:noWrap/>
            <w:vAlign w:val="center"/>
            <w:hideMark/>
          </w:tcPr>
          <w:p w14:paraId="3009966A" w14:textId="77777777" w:rsidR="0013191D" w:rsidRPr="00DA76CE" w:rsidRDefault="0013191D" w:rsidP="00623445">
            <w:pPr>
              <w:keepNext/>
              <w:keepLines/>
              <w:jc w:val="right"/>
              <w:rPr>
                <w:rFonts w:ascii="Arial" w:hAnsi="Arial" w:cs="Arial"/>
                <w:color w:val="000000"/>
                <w:lang w:val="en-GB" w:eastAsia="en-CA"/>
              </w:rPr>
            </w:pPr>
            <w:r w:rsidRPr="00DA76CE">
              <w:rPr>
                <w:rFonts w:ascii="Arial" w:hAnsi="Arial" w:cs="Arial"/>
                <w:color w:val="000000"/>
                <w:lang w:val="en-GB" w:eastAsia="en-CA"/>
              </w:rPr>
              <w:t>$180.00</w:t>
            </w:r>
          </w:p>
        </w:tc>
      </w:tr>
      <w:tr w:rsidR="0013191D" w:rsidRPr="00DA76CE" w14:paraId="5F6F7CFA" w14:textId="77777777" w:rsidTr="00193B14">
        <w:trPr>
          <w:trHeight w:val="300"/>
          <w:jc w:val="center"/>
        </w:trPr>
        <w:tc>
          <w:tcPr>
            <w:tcW w:w="1440" w:type="dxa"/>
            <w:shd w:val="clear" w:color="auto" w:fill="auto"/>
            <w:noWrap/>
            <w:vAlign w:val="center"/>
            <w:hideMark/>
          </w:tcPr>
          <w:p w14:paraId="6B6154E7" w14:textId="77777777" w:rsidR="0013191D" w:rsidRPr="00DA76CE" w:rsidRDefault="0013191D" w:rsidP="00623445">
            <w:pPr>
              <w:keepNext/>
              <w:keepLines/>
              <w:rPr>
                <w:rFonts w:ascii="Arial" w:hAnsi="Arial" w:cs="Arial"/>
                <w:color w:val="000000"/>
                <w:lang w:val="en-GB" w:eastAsia="en-CA"/>
              </w:rPr>
            </w:pPr>
            <w:r w:rsidRPr="00DA76CE">
              <w:rPr>
                <w:rFonts w:ascii="Arial" w:hAnsi="Arial" w:cs="Arial"/>
                <w:color w:val="000000"/>
                <w:lang w:val="en-GB" w:eastAsia="en-CA"/>
              </w:rPr>
              <w:t>10-pack</w:t>
            </w:r>
          </w:p>
        </w:tc>
        <w:tc>
          <w:tcPr>
            <w:tcW w:w="1440" w:type="dxa"/>
            <w:shd w:val="clear" w:color="auto" w:fill="auto"/>
            <w:noWrap/>
            <w:vAlign w:val="center"/>
            <w:hideMark/>
          </w:tcPr>
          <w:p w14:paraId="100308A6" w14:textId="77777777" w:rsidR="0013191D" w:rsidRPr="00DA76CE" w:rsidRDefault="0013191D" w:rsidP="00623445">
            <w:pPr>
              <w:keepNext/>
              <w:keepLines/>
              <w:jc w:val="right"/>
              <w:rPr>
                <w:rFonts w:ascii="Arial" w:hAnsi="Arial" w:cs="Arial"/>
                <w:color w:val="000000"/>
                <w:lang w:val="en-GB" w:eastAsia="en-CA"/>
              </w:rPr>
            </w:pPr>
            <w:r w:rsidRPr="00DA76CE">
              <w:rPr>
                <w:rFonts w:ascii="Arial" w:hAnsi="Arial" w:cs="Arial"/>
                <w:color w:val="000000"/>
                <w:lang w:val="en-GB" w:eastAsia="en-CA"/>
              </w:rPr>
              <w:t>$390.00</w:t>
            </w:r>
          </w:p>
        </w:tc>
      </w:tr>
    </w:tbl>
    <w:p w14:paraId="531A7742" w14:textId="77777777" w:rsidR="0013191D" w:rsidRPr="00DA76CE" w:rsidRDefault="0013191D" w:rsidP="00623445">
      <w:pPr>
        <w:keepNext/>
        <w:keepLines/>
        <w:rPr>
          <w:rFonts w:ascii="Arial" w:hAnsi="Arial" w:cs="Arial"/>
          <w:sz w:val="17"/>
          <w:szCs w:val="17"/>
          <w:lang w:val="en-GB"/>
        </w:rPr>
      </w:pPr>
      <w:r w:rsidRPr="00DA76CE">
        <w:rPr>
          <w:rFonts w:ascii="Arial" w:hAnsi="Arial" w:cs="Arial"/>
          <w:sz w:val="17"/>
          <w:szCs w:val="17"/>
          <w:lang w:val="en-GB"/>
        </w:rPr>
        <w:fldChar w:fldCharType="end"/>
      </w:r>
    </w:p>
    <w:p w14:paraId="6C334AE1" w14:textId="379110A7" w:rsidR="004D69DE" w:rsidRDefault="0013191D" w:rsidP="003E67F3">
      <w:pPr>
        <w:pStyle w:val="Footnote"/>
        <w:rPr>
          <w:lang w:val="en-GB"/>
        </w:rPr>
      </w:pPr>
      <w:r w:rsidRPr="00DA76CE">
        <w:rPr>
          <w:lang w:val="en-GB"/>
        </w:rPr>
        <w:t xml:space="preserve">Source: </w:t>
      </w:r>
      <w:r w:rsidR="00952C3E" w:rsidRPr="00DA76CE">
        <w:rPr>
          <w:lang w:val="en-GB"/>
        </w:rPr>
        <w:t>“</w:t>
      </w:r>
      <w:r w:rsidRPr="00DA76CE">
        <w:rPr>
          <w:lang w:val="en-GB"/>
        </w:rPr>
        <w:t>Pricing and Memberships</w:t>
      </w:r>
      <w:r w:rsidR="00952C3E" w:rsidRPr="00DA76CE">
        <w:rPr>
          <w:lang w:val="en-GB"/>
        </w:rPr>
        <w:t xml:space="preserve">,” Float House, </w:t>
      </w:r>
      <w:r w:rsidRPr="00DA76CE">
        <w:rPr>
          <w:lang w:val="en-GB"/>
        </w:rPr>
        <w:t>accessed February 28, 2017, www.floathouse.ca/pricing-and-memberships.</w:t>
      </w:r>
    </w:p>
    <w:p w14:paraId="29AB9C1F" w14:textId="3EEF92E2" w:rsidR="0013191D" w:rsidRPr="004D69DE" w:rsidRDefault="004D69DE" w:rsidP="004D69DE">
      <w:pPr>
        <w:spacing w:after="200" w:line="276" w:lineRule="auto"/>
        <w:rPr>
          <w:rFonts w:ascii="Arial" w:hAnsi="Arial" w:cs="Arial"/>
          <w:sz w:val="17"/>
          <w:szCs w:val="17"/>
          <w:lang w:val="en-GB"/>
        </w:rPr>
      </w:pPr>
      <w:r>
        <w:rPr>
          <w:rFonts w:ascii="Arial" w:hAnsi="Arial" w:cs="Arial"/>
          <w:sz w:val="17"/>
          <w:szCs w:val="17"/>
          <w:lang w:val="en-GB"/>
        </w:rPr>
        <w:br w:type="page"/>
      </w:r>
    </w:p>
    <w:p w14:paraId="06CC9BAB" w14:textId="16474219" w:rsidR="0013191D" w:rsidRPr="00DA76CE" w:rsidRDefault="004D69DE" w:rsidP="0013191D">
      <w:pPr>
        <w:jc w:val="center"/>
        <w:rPr>
          <w:rFonts w:ascii="Arial" w:hAnsi="Arial" w:cs="Arial"/>
          <w:b/>
          <w:caps/>
          <w:lang w:val="en-GB" w:eastAsia="en-CA"/>
        </w:rPr>
      </w:pPr>
      <w:r>
        <w:rPr>
          <w:rFonts w:ascii="Arial" w:hAnsi="Arial" w:cs="Arial"/>
          <w:b/>
          <w:caps/>
          <w:lang w:val="en-GB" w:eastAsia="en-CA"/>
        </w:rPr>
        <w:lastRenderedPageBreak/>
        <w:t>Exhibit 7</w:t>
      </w:r>
      <w:r w:rsidR="006919C1" w:rsidRPr="00DA76CE">
        <w:rPr>
          <w:rFonts w:ascii="Arial" w:hAnsi="Arial" w:cs="Arial"/>
          <w:b/>
          <w:caps/>
          <w:lang w:val="en-GB" w:eastAsia="en-CA"/>
        </w:rPr>
        <w:t>:</w:t>
      </w:r>
      <w:r w:rsidR="0013191D" w:rsidRPr="00DA76CE">
        <w:rPr>
          <w:rFonts w:ascii="Arial" w:hAnsi="Arial" w:cs="Arial"/>
          <w:b/>
          <w:caps/>
          <w:lang w:val="en-GB" w:eastAsia="en-CA"/>
        </w:rPr>
        <w:t xml:space="preserve"> Float House Float Tanks</w:t>
      </w:r>
    </w:p>
    <w:p w14:paraId="727CA165" w14:textId="77777777" w:rsidR="0013191D" w:rsidRPr="00DA76CE" w:rsidRDefault="0013191D" w:rsidP="0013191D">
      <w:pPr>
        <w:rPr>
          <w:lang w:val="en-GB"/>
        </w:rPr>
      </w:pPr>
    </w:p>
    <w:p w14:paraId="32489B53" w14:textId="77777777" w:rsidR="0013191D" w:rsidRPr="00DA76CE" w:rsidRDefault="0013191D" w:rsidP="0013191D">
      <w:pPr>
        <w:jc w:val="center"/>
        <w:rPr>
          <w:lang w:val="en-GB"/>
        </w:rPr>
      </w:pPr>
      <w:r w:rsidRPr="00DA76CE">
        <w:rPr>
          <w:noProof/>
        </w:rPr>
        <w:drawing>
          <wp:inline distT="0" distB="0" distL="0" distR="0" wp14:anchorId="6FB7B173" wp14:editId="751F8322">
            <wp:extent cx="4572000" cy="5071872"/>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grayscl/>
                      <a:extLst>
                        <a:ext uri="{28A0092B-C50C-407E-A947-70E740481C1C}">
                          <a14:useLocalDpi xmlns:a14="http://schemas.microsoft.com/office/drawing/2010/main" val="0"/>
                        </a:ext>
                      </a:extLst>
                    </a:blip>
                    <a:stretch>
                      <a:fillRect/>
                    </a:stretch>
                  </pic:blipFill>
                  <pic:spPr>
                    <a:xfrm>
                      <a:off x="0" y="0"/>
                      <a:ext cx="4572000" cy="5071872"/>
                    </a:xfrm>
                    <a:prstGeom prst="rect">
                      <a:avLst/>
                    </a:prstGeom>
                  </pic:spPr>
                </pic:pic>
              </a:graphicData>
            </a:graphic>
          </wp:inline>
        </w:drawing>
      </w:r>
    </w:p>
    <w:p w14:paraId="267B8DE7" w14:textId="77777777" w:rsidR="0013191D" w:rsidRPr="00DA76CE" w:rsidRDefault="0013191D" w:rsidP="0013191D">
      <w:pPr>
        <w:rPr>
          <w:lang w:val="en-GB"/>
        </w:rPr>
      </w:pPr>
    </w:p>
    <w:p w14:paraId="6CFFAD15" w14:textId="6965BC09" w:rsidR="0013191D" w:rsidRPr="00DA76CE" w:rsidRDefault="0013191D" w:rsidP="0013191D">
      <w:pPr>
        <w:jc w:val="both"/>
        <w:rPr>
          <w:rFonts w:ascii="Arial" w:hAnsi="Arial" w:cs="Arial"/>
          <w:sz w:val="17"/>
          <w:szCs w:val="17"/>
          <w:lang w:val="en-GB"/>
        </w:rPr>
      </w:pPr>
      <w:r w:rsidRPr="00DA76CE">
        <w:rPr>
          <w:rFonts w:ascii="Arial" w:hAnsi="Arial" w:cs="Arial"/>
          <w:sz w:val="17"/>
          <w:szCs w:val="17"/>
          <w:lang w:val="en-GB"/>
        </w:rPr>
        <w:t xml:space="preserve">Source: </w:t>
      </w:r>
      <w:r w:rsidR="00952C3E" w:rsidRPr="00DA76CE">
        <w:rPr>
          <w:rFonts w:ascii="Arial" w:hAnsi="Arial" w:cs="Arial"/>
          <w:sz w:val="17"/>
          <w:szCs w:val="17"/>
          <w:lang w:val="en-GB"/>
        </w:rPr>
        <w:t>“</w:t>
      </w:r>
      <w:proofErr w:type="spellStart"/>
      <w:r w:rsidRPr="00DA76CE">
        <w:rPr>
          <w:rFonts w:ascii="Arial" w:hAnsi="Arial" w:cs="Arial"/>
          <w:sz w:val="17"/>
          <w:szCs w:val="17"/>
          <w:lang w:val="en-GB"/>
        </w:rPr>
        <w:t>Kitsilano</w:t>
      </w:r>
      <w:proofErr w:type="spellEnd"/>
      <w:r w:rsidR="00952C3E" w:rsidRPr="00DA76CE">
        <w:rPr>
          <w:rFonts w:ascii="Arial" w:hAnsi="Arial" w:cs="Arial"/>
          <w:sz w:val="17"/>
          <w:szCs w:val="17"/>
          <w:lang w:val="en-GB"/>
        </w:rPr>
        <w:t xml:space="preserve">,” </w:t>
      </w:r>
      <w:r w:rsidR="006919C1" w:rsidRPr="00DA76CE">
        <w:rPr>
          <w:rFonts w:ascii="Arial" w:hAnsi="Arial" w:cs="Arial"/>
          <w:sz w:val="17"/>
          <w:szCs w:val="17"/>
          <w:lang w:val="en-GB"/>
        </w:rPr>
        <w:t xml:space="preserve">Float House, </w:t>
      </w:r>
      <w:r w:rsidRPr="00DA76CE">
        <w:rPr>
          <w:rFonts w:ascii="Arial" w:hAnsi="Arial" w:cs="Arial"/>
          <w:sz w:val="17"/>
          <w:szCs w:val="17"/>
          <w:lang w:val="en-GB"/>
        </w:rPr>
        <w:t>accessed February 28, 2017, www.floathouse.ca/locations/vancouver-kitsilano/.</w:t>
      </w:r>
    </w:p>
    <w:p w14:paraId="279FFA7D" w14:textId="77777777" w:rsidR="003B7EF2" w:rsidRPr="00DA76CE" w:rsidRDefault="003B7EF2" w:rsidP="006B7F7A">
      <w:pPr>
        <w:pStyle w:val="BodyTextMain"/>
        <w:rPr>
          <w:lang w:val="en-GB"/>
        </w:rPr>
      </w:pPr>
    </w:p>
    <w:sectPr w:rsidR="003B7EF2" w:rsidRPr="00DA76CE"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24907" w14:textId="77777777" w:rsidR="00733F7D" w:rsidRDefault="00733F7D" w:rsidP="00D75295">
      <w:r>
        <w:separator/>
      </w:r>
    </w:p>
  </w:endnote>
  <w:endnote w:type="continuationSeparator" w:id="0">
    <w:p w14:paraId="13ED54C8" w14:textId="77777777" w:rsidR="00733F7D" w:rsidRDefault="00733F7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A0211" w14:textId="77777777" w:rsidR="00733F7D" w:rsidRDefault="00733F7D" w:rsidP="00D75295">
      <w:r>
        <w:separator/>
      </w:r>
    </w:p>
  </w:footnote>
  <w:footnote w:type="continuationSeparator" w:id="0">
    <w:p w14:paraId="24EC2F82" w14:textId="77777777" w:rsidR="00733F7D" w:rsidRDefault="00733F7D" w:rsidP="00D75295">
      <w:r>
        <w:continuationSeparator/>
      </w:r>
    </w:p>
  </w:footnote>
  <w:footnote w:id="1">
    <w:p w14:paraId="0A524736" w14:textId="25791917" w:rsidR="000A45E4" w:rsidRPr="003E67F3" w:rsidRDefault="000A45E4" w:rsidP="003E67F3">
      <w:pPr>
        <w:pStyle w:val="Footnote"/>
        <w:rPr>
          <w:lang w:val="en-CA"/>
        </w:rPr>
      </w:pPr>
      <w:r w:rsidRPr="003E67F3">
        <w:rPr>
          <w:rStyle w:val="FootnoteReference"/>
        </w:rPr>
        <w:footnoteRef/>
      </w:r>
      <w:r w:rsidRPr="003E67F3">
        <w:t xml:space="preserve"> </w:t>
      </w:r>
      <w:r w:rsidRPr="003E67F3">
        <w:rPr>
          <w:lang w:val="en-CA"/>
        </w:rPr>
        <w:t>All currency amounts are in Canadian dollars.</w:t>
      </w:r>
    </w:p>
  </w:footnote>
  <w:footnote w:id="2">
    <w:p w14:paraId="3CE3E17D" w14:textId="33C5B387" w:rsidR="00034EC1" w:rsidRPr="003E67F3" w:rsidRDefault="00034EC1" w:rsidP="00FC4CE9">
      <w:pPr>
        <w:pStyle w:val="Footnote"/>
      </w:pPr>
      <w:r w:rsidRPr="003E67F3">
        <w:rPr>
          <w:rStyle w:val="FootnoteReference"/>
        </w:rPr>
        <w:footnoteRef/>
      </w:r>
      <w:r w:rsidRPr="003E67F3">
        <w:t xml:space="preserve"> “The History of Floating,” Float Floatation Center and Art Gallery, accessed February 28, 2017, </w:t>
      </w:r>
      <w:r w:rsidR="003E67F3" w:rsidRPr="003E67F3">
        <w:t xml:space="preserve">www.thefloatcenter.com </w:t>
      </w:r>
      <w:r w:rsidRPr="003E67F3">
        <w:t>/history.html#.</w:t>
      </w:r>
    </w:p>
  </w:footnote>
  <w:footnote w:id="3">
    <w:p w14:paraId="0D4E4092" w14:textId="08056B37" w:rsidR="00034EC1" w:rsidRPr="00570447" w:rsidRDefault="00034EC1" w:rsidP="00FC4CE9">
      <w:pPr>
        <w:pStyle w:val="Footnote"/>
        <w:rPr>
          <w:spacing w:val="-4"/>
          <w:kern w:val="17"/>
        </w:rPr>
      </w:pPr>
      <w:r w:rsidRPr="00570447">
        <w:rPr>
          <w:rStyle w:val="FootnoteReference"/>
          <w:spacing w:val="-4"/>
          <w:kern w:val="17"/>
        </w:rPr>
        <w:footnoteRef/>
      </w:r>
      <w:r w:rsidRPr="00570447">
        <w:rPr>
          <w:spacing w:val="-4"/>
          <w:kern w:val="17"/>
        </w:rPr>
        <w:t xml:space="preserve"> “The Benefits of Floating,” </w:t>
      </w:r>
      <w:proofErr w:type="spellStart"/>
      <w:r w:rsidRPr="00570447">
        <w:rPr>
          <w:spacing w:val="-4"/>
          <w:kern w:val="17"/>
        </w:rPr>
        <w:t>Floataway</w:t>
      </w:r>
      <w:proofErr w:type="spellEnd"/>
      <w:r w:rsidRPr="00570447">
        <w:rPr>
          <w:spacing w:val="-4"/>
          <w:kern w:val="17"/>
        </w:rPr>
        <w:t>, accessed February 28, 2017, https://floataway.com/index.php/floating/the-benefits-of-floating.</w:t>
      </w:r>
    </w:p>
  </w:footnote>
  <w:footnote w:id="4">
    <w:p w14:paraId="0E0FD172" w14:textId="06D946CC" w:rsidR="00034EC1" w:rsidRPr="003E67F3" w:rsidRDefault="00034EC1" w:rsidP="00FC4CE9">
      <w:pPr>
        <w:pStyle w:val="Footnote"/>
        <w:rPr>
          <w:spacing w:val="-4"/>
        </w:rPr>
      </w:pPr>
      <w:r w:rsidRPr="003E67F3">
        <w:rPr>
          <w:rStyle w:val="FootnoteReference"/>
        </w:rPr>
        <w:footnoteRef/>
      </w:r>
      <w:r w:rsidRPr="003E67F3">
        <w:t xml:space="preserve"> Jane C. Hu</w:t>
      </w:r>
      <w:r w:rsidR="00C019C8" w:rsidRPr="003E67F3">
        <w:t>,</w:t>
      </w:r>
      <w:r w:rsidRPr="003E67F3">
        <w:t xml:space="preserve"> “Is There Any Real Science Behind The Urban Float Craze</w:t>
      </w:r>
      <w:r w:rsidR="003E67F3" w:rsidRPr="003E67F3">
        <w:t>?</w:t>
      </w:r>
      <w:r w:rsidRPr="003E67F3">
        <w:t>” Crosscut, February 13, 2015, accessed May 5, 2017, http://crosscut.com/2015/02/real-science-behind-urban-float-craze/.</w:t>
      </w:r>
    </w:p>
  </w:footnote>
  <w:footnote w:id="5">
    <w:p w14:paraId="056D5794" w14:textId="77777777" w:rsidR="005E6B75" w:rsidRDefault="005E6B75" w:rsidP="005E6B75">
      <w:pPr>
        <w:pStyle w:val="Footnote"/>
      </w:pPr>
      <w:r>
        <w:rPr>
          <w:rStyle w:val="FootnoteReference"/>
        </w:rPr>
        <w:footnoteRef/>
      </w:r>
      <w:r>
        <w:t xml:space="preserve"> “Floating for Athletic Performance,” Serene Dreams, accessed February 28, 2017, </w:t>
      </w:r>
      <w:r w:rsidRPr="0013191D">
        <w:t>http://serenedreams.com/floating-athletic-performance/</w:t>
      </w:r>
      <w:r>
        <w:t>.</w:t>
      </w:r>
    </w:p>
  </w:footnote>
  <w:footnote w:id="6">
    <w:p w14:paraId="095CE700" w14:textId="3210BFEE" w:rsidR="00034EC1" w:rsidRDefault="00034EC1" w:rsidP="00FC4CE9">
      <w:pPr>
        <w:pStyle w:val="Footnote"/>
      </w:pPr>
      <w:r>
        <w:rPr>
          <w:rStyle w:val="FootnoteReference"/>
        </w:rPr>
        <w:footnoteRef/>
      </w:r>
      <w:r>
        <w:t xml:space="preserve"> “Our Story,” Float House, accessed February 28, 2017, </w:t>
      </w:r>
      <w:r w:rsidRPr="0013191D">
        <w:t>www.floathouse.ca/our-story/</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826F9" w14:textId="0B7379C4" w:rsidR="00034EC1" w:rsidRDefault="00034EC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E6B75">
      <w:rPr>
        <w:rFonts w:ascii="Arial" w:hAnsi="Arial"/>
        <w:b/>
        <w:noProof/>
      </w:rPr>
      <w:t>9</w:t>
    </w:r>
    <w:r>
      <w:rPr>
        <w:rFonts w:ascii="Arial" w:hAnsi="Arial"/>
        <w:b/>
      </w:rPr>
      <w:fldChar w:fldCharType="end"/>
    </w:r>
    <w:r>
      <w:rPr>
        <w:rFonts w:ascii="Arial" w:hAnsi="Arial"/>
        <w:b/>
      </w:rPr>
      <w:tab/>
    </w:r>
    <w:r w:rsidR="004F2E74">
      <w:rPr>
        <w:rFonts w:ascii="Arial" w:hAnsi="Arial"/>
        <w:b/>
      </w:rPr>
      <w:t>9B18B012</w:t>
    </w:r>
  </w:p>
  <w:p w14:paraId="5C5BD2C1" w14:textId="77777777" w:rsidR="00034EC1" w:rsidRPr="00C92CC4" w:rsidRDefault="00034EC1">
    <w:pPr>
      <w:pStyle w:val="Header"/>
      <w:rPr>
        <w:sz w:val="18"/>
        <w:szCs w:val="18"/>
      </w:rPr>
    </w:pPr>
  </w:p>
  <w:p w14:paraId="49B12E13" w14:textId="77777777" w:rsidR="00034EC1" w:rsidRPr="00C92CC4" w:rsidRDefault="00034EC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82537"/>
    <w:multiLevelType w:val="hybridMultilevel"/>
    <w:tmpl w:val="C7521EA6"/>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1EC3F3B"/>
    <w:multiLevelType w:val="hybridMultilevel"/>
    <w:tmpl w:val="D236DD3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3"/>
  </w:num>
  <w:num w:numId="14">
    <w:abstractNumId w:val="21"/>
  </w:num>
  <w:num w:numId="15">
    <w:abstractNumId w:val="22"/>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1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4BD7"/>
    <w:rsid w:val="00034EC1"/>
    <w:rsid w:val="00044E59"/>
    <w:rsid w:val="00044ECC"/>
    <w:rsid w:val="000531D3"/>
    <w:rsid w:val="0005646B"/>
    <w:rsid w:val="000579DF"/>
    <w:rsid w:val="0008102D"/>
    <w:rsid w:val="00094C0E"/>
    <w:rsid w:val="000A45E4"/>
    <w:rsid w:val="000A4DD8"/>
    <w:rsid w:val="000C2766"/>
    <w:rsid w:val="000F0C22"/>
    <w:rsid w:val="000F239F"/>
    <w:rsid w:val="000F6B09"/>
    <w:rsid w:val="000F6FDC"/>
    <w:rsid w:val="00104567"/>
    <w:rsid w:val="0012732D"/>
    <w:rsid w:val="0013191D"/>
    <w:rsid w:val="00154FC9"/>
    <w:rsid w:val="00156600"/>
    <w:rsid w:val="001627FC"/>
    <w:rsid w:val="00175034"/>
    <w:rsid w:val="0019241A"/>
    <w:rsid w:val="00193B14"/>
    <w:rsid w:val="001974EB"/>
    <w:rsid w:val="001A5335"/>
    <w:rsid w:val="001A752D"/>
    <w:rsid w:val="00203AA1"/>
    <w:rsid w:val="00210F37"/>
    <w:rsid w:val="00213E98"/>
    <w:rsid w:val="002260A3"/>
    <w:rsid w:val="00283C54"/>
    <w:rsid w:val="0028534B"/>
    <w:rsid w:val="002E32F0"/>
    <w:rsid w:val="002F460C"/>
    <w:rsid w:val="002F48D6"/>
    <w:rsid w:val="003037C5"/>
    <w:rsid w:val="00314276"/>
    <w:rsid w:val="00343565"/>
    <w:rsid w:val="00347F82"/>
    <w:rsid w:val="00354899"/>
    <w:rsid w:val="00355FD6"/>
    <w:rsid w:val="00361C8E"/>
    <w:rsid w:val="00364A5C"/>
    <w:rsid w:val="00373FB1"/>
    <w:rsid w:val="003B30D8"/>
    <w:rsid w:val="003B7EF2"/>
    <w:rsid w:val="003C345A"/>
    <w:rsid w:val="003C3FA4"/>
    <w:rsid w:val="003E67F3"/>
    <w:rsid w:val="003F06A1"/>
    <w:rsid w:val="003F2B0C"/>
    <w:rsid w:val="004221E4"/>
    <w:rsid w:val="004465A4"/>
    <w:rsid w:val="00471088"/>
    <w:rsid w:val="00483AF9"/>
    <w:rsid w:val="0048513F"/>
    <w:rsid w:val="00485803"/>
    <w:rsid w:val="004B1CCB"/>
    <w:rsid w:val="004B3FA1"/>
    <w:rsid w:val="004D69DE"/>
    <w:rsid w:val="004D73A5"/>
    <w:rsid w:val="004F2E74"/>
    <w:rsid w:val="00532CF5"/>
    <w:rsid w:val="005528CB"/>
    <w:rsid w:val="00566771"/>
    <w:rsid w:val="00570447"/>
    <w:rsid w:val="00581E2E"/>
    <w:rsid w:val="00584F15"/>
    <w:rsid w:val="005B65AD"/>
    <w:rsid w:val="005E6B75"/>
    <w:rsid w:val="006163F7"/>
    <w:rsid w:val="00623445"/>
    <w:rsid w:val="00623FFA"/>
    <w:rsid w:val="00652606"/>
    <w:rsid w:val="00682754"/>
    <w:rsid w:val="006919C1"/>
    <w:rsid w:val="006A58A9"/>
    <w:rsid w:val="006A606D"/>
    <w:rsid w:val="006B7319"/>
    <w:rsid w:val="006B7F7A"/>
    <w:rsid w:val="006C0371"/>
    <w:rsid w:val="006C08B6"/>
    <w:rsid w:val="006C0B1A"/>
    <w:rsid w:val="006C4384"/>
    <w:rsid w:val="006C6065"/>
    <w:rsid w:val="006C7F9F"/>
    <w:rsid w:val="006E2F6D"/>
    <w:rsid w:val="006E58F6"/>
    <w:rsid w:val="006E77E1"/>
    <w:rsid w:val="006F131D"/>
    <w:rsid w:val="00733F7D"/>
    <w:rsid w:val="0073438B"/>
    <w:rsid w:val="00752BCD"/>
    <w:rsid w:val="00766DA1"/>
    <w:rsid w:val="00767C27"/>
    <w:rsid w:val="00782F7E"/>
    <w:rsid w:val="007866A6"/>
    <w:rsid w:val="007A130D"/>
    <w:rsid w:val="007B03B4"/>
    <w:rsid w:val="007D2D8D"/>
    <w:rsid w:val="007D4102"/>
    <w:rsid w:val="007E5921"/>
    <w:rsid w:val="007E602C"/>
    <w:rsid w:val="007F51FC"/>
    <w:rsid w:val="00821FFC"/>
    <w:rsid w:val="00827179"/>
    <w:rsid w:val="008271CA"/>
    <w:rsid w:val="008467D5"/>
    <w:rsid w:val="00856D9F"/>
    <w:rsid w:val="008575B3"/>
    <w:rsid w:val="00866F6D"/>
    <w:rsid w:val="008A4DC4"/>
    <w:rsid w:val="008D160C"/>
    <w:rsid w:val="009067A4"/>
    <w:rsid w:val="0090722E"/>
    <w:rsid w:val="009340DB"/>
    <w:rsid w:val="00952C3E"/>
    <w:rsid w:val="00972498"/>
    <w:rsid w:val="00974CC6"/>
    <w:rsid w:val="00976AD4"/>
    <w:rsid w:val="00982A6B"/>
    <w:rsid w:val="00986486"/>
    <w:rsid w:val="009929A1"/>
    <w:rsid w:val="0099313D"/>
    <w:rsid w:val="009A312F"/>
    <w:rsid w:val="009A48CF"/>
    <w:rsid w:val="009A5348"/>
    <w:rsid w:val="009A67BB"/>
    <w:rsid w:val="009B1941"/>
    <w:rsid w:val="009C76AB"/>
    <w:rsid w:val="009C76D5"/>
    <w:rsid w:val="009D3F48"/>
    <w:rsid w:val="009D7AC6"/>
    <w:rsid w:val="009F7AA4"/>
    <w:rsid w:val="00A5544C"/>
    <w:rsid w:val="00A559DB"/>
    <w:rsid w:val="00A65385"/>
    <w:rsid w:val="00AF35FC"/>
    <w:rsid w:val="00B03639"/>
    <w:rsid w:val="00B0652A"/>
    <w:rsid w:val="00B3757D"/>
    <w:rsid w:val="00B40937"/>
    <w:rsid w:val="00B423EF"/>
    <w:rsid w:val="00B453DE"/>
    <w:rsid w:val="00B4742F"/>
    <w:rsid w:val="00B901F9"/>
    <w:rsid w:val="00B961AC"/>
    <w:rsid w:val="00BB6DD5"/>
    <w:rsid w:val="00BD6EFB"/>
    <w:rsid w:val="00C019C8"/>
    <w:rsid w:val="00C15BE2"/>
    <w:rsid w:val="00C22219"/>
    <w:rsid w:val="00C31A73"/>
    <w:rsid w:val="00C3447F"/>
    <w:rsid w:val="00C81491"/>
    <w:rsid w:val="00C81676"/>
    <w:rsid w:val="00C92CC4"/>
    <w:rsid w:val="00CA0163"/>
    <w:rsid w:val="00CA0AFB"/>
    <w:rsid w:val="00CA2CE1"/>
    <w:rsid w:val="00CA3976"/>
    <w:rsid w:val="00CA757B"/>
    <w:rsid w:val="00CC1787"/>
    <w:rsid w:val="00CC182C"/>
    <w:rsid w:val="00CD0824"/>
    <w:rsid w:val="00CD2908"/>
    <w:rsid w:val="00CF6FAC"/>
    <w:rsid w:val="00D03A82"/>
    <w:rsid w:val="00D15344"/>
    <w:rsid w:val="00D31BEC"/>
    <w:rsid w:val="00D63150"/>
    <w:rsid w:val="00D64A32"/>
    <w:rsid w:val="00D64EFC"/>
    <w:rsid w:val="00D75295"/>
    <w:rsid w:val="00D76CE9"/>
    <w:rsid w:val="00D910F7"/>
    <w:rsid w:val="00D97312"/>
    <w:rsid w:val="00D97F12"/>
    <w:rsid w:val="00DA76CE"/>
    <w:rsid w:val="00DB42E7"/>
    <w:rsid w:val="00DF32C2"/>
    <w:rsid w:val="00E1030E"/>
    <w:rsid w:val="00E471A7"/>
    <w:rsid w:val="00E502FC"/>
    <w:rsid w:val="00E635CF"/>
    <w:rsid w:val="00E67FC4"/>
    <w:rsid w:val="00E8656D"/>
    <w:rsid w:val="00EB5410"/>
    <w:rsid w:val="00EC6E0A"/>
    <w:rsid w:val="00ED4E18"/>
    <w:rsid w:val="00EE1F37"/>
    <w:rsid w:val="00EE55A6"/>
    <w:rsid w:val="00F0159C"/>
    <w:rsid w:val="00F105B7"/>
    <w:rsid w:val="00F17A21"/>
    <w:rsid w:val="00F30B49"/>
    <w:rsid w:val="00F50E91"/>
    <w:rsid w:val="00F57D29"/>
    <w:rsid w:val="00F92A99"/>
    <w:rsid w:val="00F95FF1"/>
    <w:rsid w:val="00F96201"/>
    <w:rsid w:val="00FC30E9"/>
    <w:rsid w:val="00FC4CE9"/>
    <w:rsid w:val="00FD0B18"/>
    <w:rsid w:val="00FD0F82"/>
    <w:rsid w:val="00FE714F"/>
    <w:rsid w:val="00FF513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348B955"/>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CA" sz="1000">
                <a:latin typeface="Arial" panose="020B0604020202020204" pitchFamily="34" charset="0"/>
                <a:cs typeface="Arial" panose="020B0604020202020204" pitchFamily="34" charset="0"/>
              </a:rPr>
              <a:t>When did you open your doors?</a:t>
            </a:r>
          </a:p>
        </c:rich>
      </c:tx>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When did you open your doors?</c:v>
                </c:pt>
              </c:strCache>
            </c:strRef>
          </c:tx>
          <c:spPr>
            <a:solidFill>
              <a:schemeClr val="tx1">
                <a:lumMod val="50000"/>
                <a:lumOff val="50000"/>
              </a:schemeClr>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In the last 5 years</c:v>
                </c:pt>
                <c:pt idx="1">
                  <c:v>6-10 years ago</c:v>
                </c:pt>
                <c:pt idx="2">
                  <c:v>11-10 years ago</c:v>
                </c:pt>
                <c:pt idx="3">
                  <c:v>21-30 years ago</c:v>
                </c:pt>
                <c:pt idx="4">
                  <c:v>31+ years ago</c:v>
                </c:pt>
              </c:strCache>
            </c:strRef>
          </c:cat>
          <c:val>
            <c:numRef>
              <c:f>Sheet1!$B$2:$B$6</c:f>
              <c:numCache>
                <c:formatCode>General</c:formatCode>
                <c:ptCount val="5"/>
                <c:pt idx="0">
                  <c:v>149</c:v>
                </c:pt>
                <c:pt idx="1">
                  <c:v>8</c:v>
                </c:pt>
                <c:pt idx="2">
                  <c:v>9</c:v>
                </c:pt>
                <c:pt idx="3">
                  <c:v>3</c:v>
                </c:pt>
                <c:pt idx="4">
                  <c:v>1</c:v>
                </c:pt>
              </c:numCache>
            </c:numRef>
          </c:val>
        </c:ser>
        <c:dLbls>
          <c:showLegendKey val="0"/>
          <c:showVal val="0"/>
          <c:showCatName val="0"/>
          <c:showSerName val="0"/>
          <c:showPercent val="0"/>
          <c:showBubbleSize val="0"/>
        </c:dLbls>
        <c:gapWidth val="150"/>
        <c:axId val="162386680"/>
        <c:axId val="162387072"/>
      </c:barChart>
      <c:catAx>
        <c:axId val="162386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2387072"/>
        <c:crosses val="autoZero"/>
        <c:auto val="1"/>
        <c:lblAlgn val="ctr"/>
        <c:lblOffset val="100"/>
        <c:noMultiLvlLbl val="0"/>
      </c:catAx>
      <c:valAx>
        <c:axId val="16238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23866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Sheet1!$B$1</c:f>
              <c:strCache>
                <c:ptCount val="1"/>
                <c:pt idx="0">
                  <c:v>How many floats tanks does your centre have?</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One</c:v>
                </c:pt>
                <c:pt idx="1">
                  <c:v>Two</c:v>
                </c:pt>
                <c:pt idx="2">
                  <c:v>Three</c:v>
                </c:pt>
                <c:pt idx="3">
                  <c:v>Four </c:v>
                </c:pt>
                <c:pt idx="4">
                  <c:v>Five </c:v>
                </c:pt>
                <c:pt idx="5">
                  <c:v>Six</c:v>
                </c:pt>
                <c:pt idx="6">
                  <c:v>Seven</c:v>
                </c:pt>
              </c:strCache>
            </c:strRef>
          </c:cat>
          <c:val>
            <c:numRef>
              <c:f>Sheet1!$B$2:$B$8</c:f>
              <c:numCache>
                <c:formatCode>General</c:formatCode>
                <c:ptCount val="7"/>
                <c:pt idx="0">
                  <c:v>39</c:v>
                </c:pt>
                <c:pt idx="1">
                  <c:v>51</c:v>
                </c:pt>
                <c:pt idx="2">
                  <c:v>31</c:v>
                </c:pt>
                <c:pt idx="3">
                  <c:v>34</c:v>
                </c:pt>
                <c:pt idx="4">
                  <c:v>11</c:v>
                </c:pt>
                <c:pt idx="5">
                  <c:v>3</c:v>
                </c:pt>
                <c:pt idx="6">
                  <c:v>1</c:v>
                </c:pt>
              </c:numCache>
            </c:numRef>
          </c:val>
        </c:ser>
        <c:dLbls>
          <c:showLegendKey val="0"/>
          <c:showVal val="0"/>
          <c:showCatName val="0"/>
          <c:showSerName val="0"/>
          <c:showPercent val="0"/>
          <c:showBubbleSize val="0"/>
        </c:dLbls>
        <c:gapWidth val="219"/>
        <c:overlap val="-27"/>
        <c:axId val="161550856"/>
        <c:axId val="161550464"/>
      </c:barChart>
      <c:catAx>
        <c:axId val="161550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1550464"/>
        <c:crosses val="autoZero"/>
        <c:auto val="1"/>
        <c:lblAlgn val="ctr"/>
        <c:lblOffset val="100"/>
        <c:noMultiLvlLbl val="0"/>
      </c:catAx>
      <c:valAx>
        <c:axId val="16155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15508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Sheet1!$B$1</c:f>
              <c:strCache>
                <c:ptCount val="1"/>
                <c:pt idx="0">
                  <c:v>What was the most difficult part of opening?</c:v>
                </c:pt>
              </c:strCache>
            </c:strRef>
          </c:tx>
          <c:spPr>
            <a:solidFill>
              <a:schemeClr val="tx1">
                <a:lumMod val="50000"/>
                <a:lumOff val="50000"/>
              </a:schemeClr>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Finding Funding</c:v>
                </c:pt>
                <c:pt idx="1">
                  <c:v>Securing a Location</c:v>
                </c:pt>
                <c:pt idx="2">
                  <c:v>Construction</c:v>
                </c:pt>
                <c:pt idx="3">
                  <c:v>Marketing</c:v>
                </c:pt>
                <c:pt idx="4">
                  <c:v>Health Department</c:v>
                </c:pt>
                <c:pt idx="5">
                  <c:v>"Other"</c:v>
                </c:pt>
                <c:pt idx="6">
                  <c:v>No Response</c:v>
                </c:pt>
              </c:strCache>
            </c:strRef>
          </c:cat>
          <c:val>
            <c:numRef>
              <c:f>Sheet1!$B$2:$B$8</c:f>
              <c:numCache>
                <c:formatCode>General</c:formatCode>
                <c:ptCount val="7"/>
                <c:pt idx="0">
                  <c:v>13</c:v>
                </c:pt>
                <c:pt idx="1">
                  <c:v>8</c:v>
                </c:pt>
                <c:pt idx="2">
                  <c:v>54</c:v>
                </c:pt>
                <c:pt idx="3">
                  <c:v>62</c:v>
                </c:pt>
                <c:pt idx="4">
                  <c:v>18</c:v>
                </c:pt>
                <c:pt idx="5">
                  <c:v>9</c:v>
                </c:pt>
                <c:pt idx="6">
                  <c:v>6</c:v>
                </c:pt>
              </c:numCache>
            </c:numRef>
          </c:val>
        </c:ser>
        <c:dLbls>
          <c:showLegendKey val="0"/>
          <c:showVal val="0"/>
          <c:showCatName val="0"/>
          <c:showSerName val="0"/>
          <c:showPercent val="0"/>
          <c:showBubbleSize val="0"/>
        </c:dLbls>
        <c:gapWidth val="150"/>
        <c:axId val="161549680"/>
        <c:axId val="162387856"/>
      </c:barChart>
      <c:catAx>
        <c:axId val="161549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2387856"/>
        <c:crosses val="autoZero"/>
        <c:auto val="1"/>
        <c:lblAlgn val="ctr"/>
        <c:lblOffset val="100"/>
        <c:noMultiLvlLbl val="0"/>
      </c:catAx>
      <c:valAx>
        <c:axId val="16238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15496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Sheet1!$B$1</c:f>
              <c:strCache>
                <c:ptCount val="1"/>
                <c:pt idx="0">
                  <c:v>What marketing has worked best for you?</c:v>
                </c:pt>
              </c:strCache>
            </c:strRef>
          </c:tx>
          <c:spPr>
            <a:solidFill>
              <a:schemeClr val="tx1">
                <a:lumMod val="50000"/>
                <a:lumOff val="50000"/>
              </a:schemeClr>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Word of mouth/referrals</c:v>
                </c:pt>
                <c:pt idx="1">
                  <c:v>Facebook Ads</c:v>
                </c:pt>
                <c:pt idx="2">
                  <c:v>Media/Press</c:v>
                </c:pt>
                <c:pt idx="3">
                  <c:v>Sponsored Floaters</c:v>
                </c:pt>
                <c:pt idx="4">
                  <c:v>Google Ad Words</c:v>
                </c:pt>
                <c:pt idx="5">
                  <c:v>Newspaper/Magazine</c:v>
                </c:pt>
                <c:pt idx="6">
                  <c:v>Radio Ads</c:v>
                </c:pt>
                <c:pt idx="7">
                  <c:v>Groupon</c:v>
                </c:pt>
                <c:pt idx="8">
                  <c:v>Television Ads</c:v>
                </c:pt>
                <c:pt idx="9">
                  <c:v>"Other"</c:v>
                </c:pt>
                <c:pt idx="10">
                  <c:v>No response</c:v>
                </c:pt>
              </c:strCache>
            </c:strRef>
          </c:cat>
          <c:val>
            <c:numRef>
              <c:f>Sheet1!$B$2:$B$12</c:f>
              <c:numCache>
                <c:formatCode>General</c:formatCode>
                <c:ptCount val="11"/>
                <c:pt idx="0">
                  <c:v>162</c:v>
                </c:pt>
                <c:pt idx="1">
                  <c:v>120</c:v>
                </c:pt>
                <c:pt idx="2">
                  <c:v>45</c:v>
                </c:pt>
                <c:pt idx="3">
                  <c:v>39</c:v>
                </c:pt>
                <c:pt idx="4">
                  <c:v>33</c:v>
                </c:pt>
                <c:pt idx="5">
                  <c:v>25</c:v>
                </c:pt>
                <c:pt idx="6">
                  <c:v>13</c:v>
                </c:pt>
                <c:pt idx="7">
                  <c:v>9</c:v>
                </c:pt>
                <c:pt idx="8">
                  <c:v>5</c:v>
                </c:pt>
                <c:pt idx="9">
                  <c:v>22</c:v>
                </c:pt>
                <c:pt idx="10">
                  <c:v>1</c:v>
                </c:pt>
              </c:numCache>
            </c:numRef>
          </c:val>
        </c:ser>
        <c:dLbls>
          <c:showLegendKey val="0"/>
          <c:showVal val="0"/>
          <c:showCatName val="0"/>
          <c:showSerName val="0"/>
          <c:showPercent val="0"/>
          <c:showBubbleSize val="0"/>
        </c:dLbls>
        <c:gapWidth val="150"/>
        <c:axId val="162388640"/>
        <c:axId val="163991472"/>
      </c:barChart>
      <c:catAx>
        <c:axId val="162388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991472"/>
        <c:crosses val="autoZero"/>
        <c:auto val="1"/>
        <c:lblAlgn val="ctr"/>
        <c:lblOffset val="100"/>
        <c:noMultiLvlLbl val="0"/>
      </c:catAx>
      <c:valAx>
        <c:axId val="16399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23886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66693DE-6BFF-4C59-B697-BA911794960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941957C-AB09-42B8-A1CB-D8DC92445BC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2DC66-8A4C-4685-A4D5-0A911AE63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13</cp:revision>
  <cp:lastPrinted>2011-06-23T13:34:00Z</cp:lastPrinted>
  <dcterms:created xsi:type="dcterms:W3CDTF">2018-07-16T14:49:00Z</dcterms:created>
  <dcterms:modified xsi:type="dcterms:W3CDTF">2018-07-18T19:02:00Z</dcterms:modified>
</cp:coreProperties>
</file>