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5432D" w14:textId="77777777" w:rsidR="005E11F9" w:rsidRDefault="005E11F9" w:rsidP="005E11F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1B6D2418" wp14:editId="450E7EC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09EE968" w14:textId="39F2C02D" w:rsidR="005E11F9" w:rsidRDefault="00282F15" w:rsidP="005E11F9">
      <w:pPr>
        <w:pStyle w:val="ProductNumber"/>
      </w:pPr>
      <w:r>
        <w:t>9B18C009</w:t>
      </w:r>
    </w:p>
    <w:p w14:paraId="190349E7" w14:textId="77777777" w:rsidR="00D75295" w:rsidRPr="003D0BA1" w:rsidRDefault="00D75295" w:rsidP="00D75295">
      <w:pPr>
        <w:jc w:val="right"/>
        <w:rPr>
          <w:rFonts w:ascii="Arial" w:hAnsi="Arial"/>
          <w:b/>
          <w:sz w:val="28"/>
          <w:szCs w:val="28"/>
        </w:rPr>
      </w:pPr>
    </w:p>
    <w:p w14:paraId="2E36E947" w14:textId="77777777" w:rsidR="00013360" w:rsidRPr="003D0BA1" w:rsidRDefault="00013360" w:rsidP="00D75295">
      <w:pPr>
        <w:jc w:val="right"/>
        <w:rPr>
          <w:rFonts w:ascii="Arial" w:hAnsi="Arial"/>
          <w:b/>
          <w:sz w:val="28"/>
          <w:szCs w:val="28"/>
        </w:rPr>
      </w:pPr>
    </w:p>
    <w:p w14:paraId="0BA011C7" w14:textId="3853E847" w:rsidR="00013360" w:rsidRDefault="00ED3081" w:rsidP="00013360">
      <w:pPr>
        <w:pStyle w:val="CaseTitle"/>
        <w:spacing w:after="0" w:line="240" w:lineRule="auto"/>
        <w:rPr>
          <w:sz w:val="20"/>
          <w:szCs w:val="20"/>
        </w:rPr>
      </w:pPr>
      <w:r>
        <w:rPr>
          <w:rFonts w:eastAsia="Times New Roman"/>
          <w:szCs w:val="20"/>
        </w:rPr>
        <w:t xml:space="preserve">CRISIL: </w:t>
      </w:r>
      <w:r w:rsidR="00FA78FD" w:rsidRPr="00FA78FD">
        <w:rPr>
          <w:rFonts w:eastAsia="Times New Roman"/>
          <w:szCs w:val="20"/>
        </w:rPr>
        <w:t xml:space="preserve">DESIGNING A COMPELLING EMPLOYEE VALUE PROPOSITION </w:t>
      </w:r>
    </w:p>
    <w:p w14:paraId="16D6AFA0" w14:textId="77777777" w:rsidR="00CA3976" w:rsidRDefault="00CA3976" w:rsidP="00013360">
      <w:pPr>
        <w:pStyle w:val="CaseTitle"/>
        <w:spacing w:after="0" w:line="240" w:lineRule="auto"/>
        <w:rPr>
          <w:sz w:val="20"/>
          <w:szCs w:val="20"/>
        </w:rPr>
      </w:pPr>
    </w:p>
    <w:p w14:paraId="451C46AC" w14:textId="77777777" w:rsidR="00013360" w:rsidRPr="00013360" w:rsidRDefault="00013360" w:rsidP="00013360">
      <w:pPr>
        <w:pStyle w:val="CaseTitle"/>
        <w:spacing w:after="0" w:line="240" w:lineRule="auto"/>
        <w:rPr>
          <w:sz w:val="20"/>
          <w:szCs w:val="20"/>
        </w:rPr>
      </w:pPr>
    </w:p>
    <w:p w14:paraId="68CFFB24" w14:textId="05409175" w:rsidR="00627C63" w:rsidRPr="00627C63" w:rsidRDefault="005E11F9" w:rsidP="00627C63">
      <w:pPr>
        <w:pStyle w:val="StyleCopyrightStatementAfter0ptBottomSinglesolidline1"/>
      </w:pPr>
      <w:r>
        <w:t>Gordhan Saini and Anupam</w:t>
      </w:r>
      <w:r w:rsidR="000C27AD">
        <w:t xml:space="preserve"> </w:t>
      </w:r>
      <w:proofErr w:type="spellStart"/>
      <w:r w:rsidR="000C27AD">
        <w:t>Kaura</w:t>
      </w:r>
      <w:proofErr w:type="spellEnd"/>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0DE278EF" w14:textId="77777777" w:rsidR="00751E0B" w:rsidRDefault="00751E0B" w:rsidP="00751E0B">
      <w:pPr>
        <w:pStyle w:val="StyleCopyrightStatementAfter0ptBottomSinglesolidline1"/>
      </w:pPr>
    </w:p>
    <w:p w14:paraId="2FC91823" w14:textId="77777777" w:rsidR="005E11F9" w:rsidRPr="00E23AB7" w:rsidRDefault="005E11F9" w:rsidP="005E11F9">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0AFB162" w14:textId="77777777" w:rsidR="005E11F9" w:rsidRPr="00E23AB7" w:rsidRDefault="005E11F9" w:rsidP="005E11F9">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C4021E8" w14:textId="705B9A6F" w:rsidR="00751E0B" w:rsidRDefault="005E11F9" w:rsidP="005E11F9">
      <w:pPr>
        <w:pStyle w:val="StyleStyleCopyrightStatementAfter0ptBottomSinglesolid"/>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w:t>
      </w:r>
      <w:r w:rsidR="004E1ECD">
        <w:t>04-</w:t>
      </w:r>
      <w:r w:rsidR="000C27AD">
        <w:t>04</w:t>
      </w:r>
    </w:p>
    <w:p w14:paraId="13617AC1" w14:textId="77777777" w:rsidR="00751E0B" w:rsidRPr="00AC4B97" w:rsidRDefault="00751E0B" w:rsidP="00751E0B">
      <w:pPr>
        <w:pStyle w:val="StyleCopyrightStatementAfter0ptBottomSinglesolidline1"/>
        <w:rPr>
          <w:rFonts w:ascii="Times New Roman" w:hAnsi="Times New Roman"/>
        </w:rPr>
      </w:pPr>
    </w:p>
    <w:p w14:paraId="1DAEFDCE" w14:textId="77777777" w:rsidR="004B632F" w:rsidRPr="00AC4B97" w:rsidRDefault="004B632F" w:rsidP="004B632F">
      <w:pPr>
        <w:pStyle w:val="StyleCopyrightStatementAfter0ptBottomSinglesolidline1"/>
        <w:rPr>
          <w:rFonts w:ascii="Times New Roman" w:hAnsi="Times New Roman"/>
          <w:sz w:val="14"/>
        </w:rPr>
      </w:pPr>
    </w:p>
    <w:p w14:paraId="5D4B8A72" w14:textId="79833377" w:rsidR="00FA78FD" w:rsidRPr="00E27321" w:rsidRDefault="006D6529" w:rsidP="00FA78FD">
      <w:pPr>
        <w:pStyle w:val="BodyTextMain"/>
        <w:rPr>
          <w:spacing w:val="-4"/>
        </w:rPr>
      </w:pPr>
      <w:r>
        <w:rPr>
          <w:spacing w:val="-4"/>
        </w:rPr>
        <w:t xml:space="preserve">In </w:t>
      </w:r>
      <w:r w:rsidR="00FA78FD" w:rsidRPr="00E27321">
        <w:rPr>
          <w:spacing w:val="-4"/>
        </w:rPr>
        <w:t xml:space="preserve">April 2017, Anupam Kaura, </w:t>
      </w:r>
      <w:r w:rsidR="009F574B" w:rsidRPr="00E27321">
        <w:rPr>
          <w:spacing w:val="-4"/>
        </w:rPr>
        <w:t>p</w:t>
      </w:r>
      <w:r w:rsidR="00FA78FD" w:rsidRPr="00E27321">
        <w:rPr>
          <w:spacing w:val="-4"/>
        </w:rPr>
        <w:t xml:space="preserve">resident and </w:t>
      </w:r>
      <w:r w:rsidR="009F574B" w:rsidRPr="00E27321">
        <w:rPr>
          <w:spacing w:val="-4"/>
        </w:rPr>
        <w:t>h</w:t>
      </w:r>
      <w:r w:rsidR="00FA78FD" w:rsidRPr="00E27321">
        <w:rPr>
          <w:spacing w:val="-4"/>
        </w:rPr>
        <w:t>ead</w:t>
      </w:r>
      <w:r w:rsidR="00823EB1" w:rsidRPr="00E27321">
        <w:rPr>
          <w:spacing w:val="-4"/>
        </w:rPr>
        <w:t xml:space="preserve"> of</w:t>
      </w:r>
      <w:r w:rsidR="00FA78FD" w:rsidRPr="00E27321">
        <w:rPr>
          <w:spacing w:val="-4"/>
        </w:rPr>
        <w:t xml:space="preserve"> Human Resources</w:t>
      </w:r>
      <w:r w:rsidR="008A1B6A" w:rsidRPr="00E27321">
        <w:rPr>
          <w:spacing w:val="-4"/>
        </w:rPr>
        <w:t xml:space="preserve"> (HR)</w:t>
      </w:r>
      <w:r w:rsidR="00FA78FD" w:rsidRPr="00E27321">
        <w:rPr>
          <w:spacing w:val="-4"/>
        </w:rPr>
        <w:t xml:space="preserve"> </w:t>
      </w:r>
      <w:r w:rsidR="009F574B" w:rsidRPr="00E27321">
        <w:rPr>
          <w:spacing w:val="-4"/>
        </w:rPr>
        <w:t xml:space="preserve">at </w:t>
      </w:r>
      <w:r w:rsidR="00FA78FD" w:rsidRPr="00E27321">
        <w:rPr>
          <w:spacing w:val="-4"/>
        </w:rPr>
        <w:t>CRISIL</w:t>
      </w:r>
      <w:r w:rsidR="009F574B" w:rsidRPr="00E27321">
        <w:rPr>
          <w:spacing w:val="-4"/>
        </w:rPr>
        <w:t xml:space="preserve"> Limited (CRISIL)</w:t>
      </w:r>
      <w:r w:rsidR="00FA78FD" w:rsidRPr="00E27321">
        <w:rPr>
          <w:spacing w:val="-4"/>
        </w:rPr>
        <w:t xml:space="preserve">, was reading an analysis of Glassdoor reviews. </w:t>
      </w:r>
      <w:r w:rsidR="00AC4B97" w:rsidRPr="00FA78FD">
        <w:t xml:space="preserve">Glassdoor </w:t>
      </w:r>
      <w:r w:rsidR="00AC4B97">
        <w:t>was</w:t>
      </w:r>
      <w:r w:rsidR="00AC4B97" w:rsidRPr="00FA78FD">
        <w:t xml:space="preserve"> a crowdsourced-based online review platform where current and previous employees anonymously review</w:t>
      </w:r>
      <w:r w:rsidR="00AC4B97">
        <w:t>ed</w:t>
      </w:r>
      <w:r w:rsidR="00AC4B97" w:rsidRPr="00FA78FD">
        <w:t xml:space="preserve"> companies and their management.</w:t>
      </w:r>
      <w:r w:rsidR="00AC4B97">
        <w:t xml:space="preserve"> </w:t>
      </w:r>
      <w:r w:rsidR="00FA78FD" w:rsidRPr="00E27321">
        <w:rPr>
          <w:spacing w:val="-4"/>
        </w:rPr>
        <w:t>The analysis was based on over 100 reviews posted by current and previous employees of CRISIL in the previous year. The reviews reported that CRISIL was a respected brand name in the business of ratings, research, analytics</w:t>
      </w:r>
      <w:r w:rsidR="009F574B" w:rsidRPr="00E27321">
        <w:rPr>
          <w:spacing w:val="-4"/>
        </w:rPr>
        <w:t>,</w:t>
      </w:r>
      <w:r w:rsidR="00FA78FD" w:rsidRPr="00E27321">
        <w:rPr>
          <w:spacing w:val="-4"/>
        </w:rPr>
        <w:t xml:space="preserve"> and infrastructure advisory in India. Most reviews seemed to indicate that CRISIL provided enriching job content, immense growth opportunities, </w:t>
      </w:r>
      <w:r w:rsidR="009F574B" w:rsidRPr="00E27321">
        <w:rPr>
          <w:spacing w:val="-4"/>
        </w:rPr>
        <w:t xml:space="preserve">an </w:t>
      </w:r>
      <w:r w:rsidR="00FA78FD" w:rsidRPr="00E27321">
        <w:rPr>
          <w:spacing w:val="-4"/>
        </w:rPr>
        <w:t>excellent work culture</w:t>
      </w:r>
      <w:r w:rsidR="009F574B" w:rsidRPr="00E27321">
        <w:rPr>
          <w:spacing w:val="-4"/>
        </w:rPr>
        <w:t>,</w:t>
      </w:r>
      <w:r w:rsidR="00FA78FD" w:rsidRPr="00E27321">
        <w:rPr>
          <w:spacing w:val="-4"/>
        </w:rPr>
        <w:t xml:space="preserve"> and </w:t>
      </w:r>
      <w:r w:rsidR="009F574B" w:rsidRPr="00E27321">
        <w:rPr>
          <w:spacing w:val="-4"/>
        </w:rPr>
        <w:t xml:space="preserve">good </w:t>
      </w:r>
      <w:r w:rsidR="00FA78FD" w:rsidRPr="00E27321">
        <w:rPr>
          <w:spacing w:val="-4"/>
        </w:rPr>
        <w:t>work</w:t>
      </w:r>
      <w:r w:rsidR="009F574B" w:rsidRPr="00E27321">
        <w:rPr>
          <w:spacing w:val="-4"/>
        </w:rPr>
        <w:t>–</w:t>
      </w:r>
      <w:r w:rsidR="00FA78FD" w:rsidRPr="00E27321">
        <w:rPr>
          <w:spacing w:val="-4"/>
        </w:rPr>
        <w:t xml:space="preserve">life balance. However, many reviews painted a grim picture of </w:t>
      </w:r>
      <w:r w:rsidR="009F574B" w:rsidRPr="00E27321">
        <w:rPr>
          <w:spacing w:val="-4"/>
        </w:rPr>
        <w:t xml:space="preserve">the </w:t>
      </w:r>
      <w:r w:rsidR="00FA78FD" w:rsidRPr="00E27321">
        <w:rPr>
          <w:spacing w:val="-4"/>
        </w:rPr>
        <w:t xml:space="preserve">employment experience at CRISIL; for instance, </w:t>
      </w:r>
      <w:r w:rsidR="00823EB1" w:rsidRPr="00E27321">
        <w:rPr>
          <w:spacing w:val="-4"/>
        </w:rPr>
        <w:t xml:space="preserve">some </w:t>
      </w:r>
      <w:r w:rsidR="00FA78FD" w:rsidRPr="00E27321">
        <w:rPr>
          <w:spacing w:val="-4"/>
        </w:rPr>
        <w:t>employees perceived CRISIL’s compensation structure as relatively low compared to other entities in the finance and banking sector. A few segments of employees perceived poor work</w:t>
      </w:r>
      <w:r w:rsidR="009F574B" w:rsidRPr="00E27321">
        <w:rPr>
          <w:spacing w:val="-4"/>
        </w:rPr>
        <w:t>–</w:t>
      </w:r>
      <w:r w:rsidR="00FA78FD" w:rsidRPr="00E27321">
        <w:rPr>
          <w:spacing w:val="-4"/>
        </w:rPr>
        <w:t xml:space="preserve">life balance; some had concerns about </w:t>
      </w:r>
      <w:r w:rsidR="009F574B" w:rsidRPr="00E27321">
        <w:rPr>
          <w:spacing w:val="-4"/>
        </w:rPr>
        <w:t xml:space="preserve">the </w:t>
      </w:r>
      <w:r w:rsidR="00FA78FD" w:rsidRPr="00E27321">
        <w:rPr>
          <w:spacing w:val="-4"/>
        </w:rPr>
        <w:t>lack of meritocracy in the organization. While CRISIL maintained its top position in the overall Glassdoor ratings, its competitors were ahead in areas such as work</w:t>
      </w:r>
      <w:r w:rsidR="00823EB1" w:rsidRPr="00E27321">
        <w:rPr>
          <w:spacing w:val="-4"/>
        </w:rPr>
        <w:t>–</w:t>
      </w:r>
      <w:r w:rsidR="00FA78FD" w:rsidRPr="00E27321">
        <w:rPr>
          <w:spacing w:val="-4"/>
        </w:rPr>
        <w:t>life balance and career opportunities (see Exhibit 1). Further, middle</w:t>
      </w:r>
      <w:r w:rsidR="00823EB1" w:rsidRPr="00E27321">
        <w:rPr>
          <w:spacing w:val="-4"/>
        </w:rPr>
        <w:t>-</w:t>
      </w:r>
      <w:r w:rsidR="00FA78FD" w:rsidRPr="00E27321">
        <w:rPr>
          <w:spacing w:val="-4"/>
        </w:rPr>
        <w:t>level talent would acquire relevant work experience and then leave CRISIL for employment with financial institutions, banks</w:t>
      </w:r>
      <w:r w:rsidR="00823EB1" w:rsidRPr="00E27321">
        <w:rPr>
          <w:spacing w:val="-4"/>
        </w:rPr>
        <w:t>,</w:t>
      </w:r>
      <w:r w:rsidR="00FA78FD" w:rsidRPr="00E27321">
        <w:rPr>
          <w:spacing w:val="-4"/>
        </w:rPr>
        <w:t xml:space="preserve"> and start</w:t>
      </w:r>
      <w:r w:rsidR="00823EB1" w:rsidRPr="00E27321">
        <w:rPr>
          <w:spacing w:val="-4"/>
        </w:rPr>
        <w:t>-</w:t>
      </w:r>
      <w:r w:rsidR="00FA78FD" w:rsidRPr="00E27321">
        <w:rPr>
          <w:spacing w:val="-4"/>
        </w:rPr>
        <w:t>ups.</w:t>
      </w:r>
    </w:p>
    <w:p w14:paraId="360B239D" w14:textId="77777777" w:rsidR="00FA78FD" w:rsidRPr="00CE6FCF" w:rsidRDefault="00FA78FD" w:rsidP="00FA78FD">
      <w:pPr>
        <w:pStyle w:val="BodyTextMain"/>
        <w:rPr>
          <w:sz w:val="20"/>
        </w:rPr>
      </w:pPr>
    </w:p>
    <w:p w14:paraId="6461FC99" w14:textId="6DA8A017" w:rsidR="00FA78FD" w:rsidRPr="00AC4B97" w:rsidRDefault="00FA78FD" w:rsidP="00FA78FD">
      <w:pPr>
        <w:pStyle w:val="BodyTextMain"/>
        <w:rPr>
          <w:spacing w:val="-4"/>
        </w:rPr>
      </w:pPr>
      <w:r w:rsidRPr="00AC4B97">
        <w:rPr>
          <w:spacing w:val="-4"/>
        </w:rPr>
        <w:t>CRISIL commenced its operations in 1987 and had the advantage of being the first player in the ratings business in India, but with new ratings agencies entering the industry, it</w:t>
      </w:r>
      <w:r w:rsidR="00823EB1" w:rsidRPr="00AC4B97">
        <w:rPr>
          <w:spacing w:val="-4"/>
        </w:rPr>
        <w:t xml:space="preserve"> had</w:t>
      </w:r>
      <w:r w:rsidRPr="00AC4B97">
        <w:rPr>
          <w:spacing w:val="-4"/>
        </w:rPr>
        <w:t xml:space="preserve"> started </w:t>
      </w:r>
      <w:r w:rsidR="00B74D16" w:rsidRPr="00AC4B97">
        <w:rPr>
          <w:spacing w:val="-4"/>
        </w:rPr>
        <w:t xml:space="preserve">to </w:t>
      </w:r>
      <w:r w:rsidRPr="00AC4B97">
        <w:rPr>
          <w:spacing w:val="-4"/>
        </w:rPr>
        <w:t>fac</w:t>
      </w:r>
      <w:r w:rsidR="00B74D16" w:rsidRPr="00AC4B97">
        <w:rPr>
          <w:spacing w:val="-4"/>
        </w:rPr>
        <w:t>e</w:t>
      </w:r>
      <w:r w:rsidRPr="00AC4B97">
        <w:rPr>
          <w:spacing w:val="-4"/>
        </w:rPr>
        <w:t xml:space="preserve"> competition. Over the last two decades, CRISIL had diversified into several other businesses (see Exhibit</w:t>
      </w:r>
      <w:r w:rsidR="000429E8" w:rsidRPr="00AC4B97">
        <w:rPr>
          <w:spacing w:val="-4"/>
        </w:rPr>
        <w:t>s</w:t>
      </w:r>
      <w:r w:rsidRPr="00AC4B97">
        <w:rPr>
          <w:spacing w:val="-4"/>
        </w:rPr>
        <w:t xml:space="preserve"> 2 </w:t>
      </w:r>
      <w:r w:rsidR="000429E8" w:rsidRPr="00AC4B97">
        <w:rPr>
          <w:spacing w:val="-4"/>
        </w:rPr>
        <w:t>and</w:t>
      </w:r>
      <w:r w:rsidRPr="00AC4B97">
        <w:rPr>
          <w:spacing w:val="-4"/>
        </w:rPr>
        <w:t xml:space="preserve"> 3)</w:t>
      </w:r>
      <w:r w:rsidR="00823EB1" w:rsidRPr="00AC4B97">
        <w:rPr>
          <w:spacing w:val="-4"/>
        </w:rPr>
        <w:t>, and</w:t>
      </w:r>
      <w:r w:rsidR="00841A19" w:rsidRPr="00AC4B97">
        <w:rPr>
          <w:spacing w:val="-4"/>
        </w:rPr>
        <w:t xml:space="preserve"> </w:t>
      </w:r>
      <w:r w:rsidR="00823EB1" w:rsidRPr="00AC4B97">
        <w:rPr>
          <w:spacing w:val="-4"/>
        </w:rPr>
        <w:t>b</w:t>
      </w:r>
      <w:r w:rsidR="00841A19" w:rsidRPr="00AC4B97">
        <w:rPr>
          <w:spacing w:val="-4"/>
        </w:rPr>
        <w:t>y 2016</w:t>
      </w:r>
      <w:r w:rsidR="000C27AD">
        <w:rPr>
          <w:spacing w:val="-4"/>
        </w:rPr>
        <w:t>,</w:t>
      </w:r>
      <w:r w:rsidR="00823EB1" w:rsidRPr="00AC4B97">
        <w:rPr>
          <w:spacing w:val="-4"/>
        </w:rPr>
        <w:t xml:space="preserve"> it</w:t>
      </w:r>
      <w:r w:rsidR="00841A19" w:rsidRPr="00AC4B97">
        <w:rPr>
          <w:spacing w:val="-4"/>
        </w:rPr>
        <w:t xml:space="preserve"> was a global analytical company with US</w:t>
      </w:r>
      <w:r w:rsidR="00823EB1" w:rsidRPr="00AC4B97">
        <w:rPr>
          <w:spacing w:val="-4"/>
        </w:rPr>
        <w:t>$</w:t>
      </w:r>
      <w:r w:rsidR="00841A19" w:rsidRPr="00AC4B97">
        <w:rPr>
          <w:spacing w:val="-4"/>
        </w:rPr>
        <w:t>241.41 million income from operations</w:t>
      </w:r>
      <w:r w:rsidRPr="00AC4B97">
        <w:rPr>
          <w:spacing w:val="-4"/>
        </w:rPr>
        <w:t xml:space="preserve"> (</w:t>
      </w:r>
      <w:r w:rsidR="00406C54" w:rsidRPr="00AC4B97">
        <w:rPr>
          <w:spacing w:val="-4"/>
        </w:rPr>
        <w:t xml:space="preserve">see </w:t>
      </w:r>
      <w:r w:rsidRPr="00AC4B97">
        <w:rPr>
          <w:spacing w:val="-4"/>
        </w:rPr>
        <w:t xml:space="preserve">Exhibit 4). </w:t>
      </w:r>
    </w:p>
    <w:p w14:paraId="1E246D20" w14:textId="77777777" w:rsidR="00FA78FD" w:rsidRPr="00CE6FCF" w:rsidRDefault="00FA78FD" w:rsidP="00FA78FD">
      <w:pPr>
        <w:pStyle w:val="BodyTextMain"/>
        <w:rPr>
          <w:sz w:val="20"/>
        </w:rPr>
      </w:pPr>
    </w:p>
    <w:p w14:paraId="622BBA9D" w14:textId="55ABA3D7" w:rsidR="004847C8" w:rsidRDefault="004847C8" w:rsidP="00FA78FD">
      <w:pPr>
        <w:pStyle w:val="BodyTextMain"/>
        <w:rPr>
          <w:spacing w:val="-2"/>
        </w:rPr>
      </w:pPr>
      <w:r w:rsidRPr="000429E8">
        <w:rPr>
          <w:spacing w:val="-2"/>
        </w:rPr>
        <w:t>Kaura had joined CRISIL in February 2017 after nearly two decades of experience at leading banks and consulting organizations. He</w:t>
      </w:r>
      <w:r w:rsidR="00FA78FD" w:rsidRPr="000429E8">
        <w:rPr>
          <w:spacing w:val="-2"/>
        </w:rPr>
        <w:t xml:space="preserve"> </w:t>
      </w:r>
      <w:r w:rsidR="006D6529">
        <w:rPr>
          <w:spacing w:val="-2"/>
        </w:rPr>
        <w:t>wondered</w:t>
      </w:r>
      <w:r w:rsidR="00FA78FD" w:rsidRPr="000429E8">
        <w:rPr>
          <w:spacing w:val="-2"/>
        </w:rPr>
        <w:t xml:space="preserve"> how to distinctly and effectively position CRISIL in a dynamic talent market</w:t>
      </w:r>
      <w:r w:rsidRPr="000429E8">
        <w:rPr>
          <w:spacing w:val="-2"/>
        </w:rPr>
        <w:t>:</w:t>
      </w:r>
      <w:r w:rsidR="00FA78FD" w:rsidRPr="000429E8">
        <w:rPr>
          <w:spacing w:val="-2"/>
        </w:rPr>
        <w:t xml:space="preserve"> </w:t>
      </w:r>
      <w:r w:rsidRPr="000429E8">
        <w:rPr>
          <w:spacing w:val="-2"/>
        </w:rPr>
        <w:t>s</w:t>
      </w:r>
      <w:r w:rsidR="00FA78FD" w:rsidRPr="000429E8">
        <w:rPr>
          <w:spacing w:val="-2"/>
        </w:rPr>
        <w:t>hould CRISIL be competing for talent within the ratings, analytics, consulting</w:t>
      </w:r>
      <w:r w:rsidRPr="000429E8">
        <w:rPr>
          <w:spacing w:val="-2"/>
        </w:rPr>
        <w:t>,</w:t>
      </w:r>
      <w:r w:rsidR="00FA78FD" w:rsidRPr="000429E8">
        <w:rPr>
          <w:spacing w:val="-2"/>
        </w:rPr>
        <w:t xml:space="preserve"> and infrastructure advisory space, or </w:t>
      </w:r>
      <w:r w:rsidR="006D6529">
        <w:rPr>
          <w:spacing w:val="-2"/>
        </w:rPr>
        <w:t>sh</w:t>
      </w:r>
      <w:r w:rsidR="00FA78FD" w:rsidRPr="000429E8">
        <w:rPr>
          <w:spacing w:val="-2"/>
        </w:rPr>
        <w:t>ould it position itself as a preferred employer among organizations across the banking, financial services</w:t>
      </w:r>
      <w:r w:rsidR="00823EB1" w:rsidRPr="000429E8">
        <w:rPr>
          <w:spacing w:val="-2"/>
        </w:rPr>
        <w:t>,</w:t>
      </w:r>
      <w:r w:rsidR="00FA78FD" w:rsidRPr="000429E8">
        <w:rPr>
          <w:spacing w:val="-2"/>
        </w:rPr>
        <w:t xml:space="preserve"> and insurance sector? </w:t>
      </w:r>
      <w:r w:rsidRPr="000429E8">
        <w:rPr>
          <w:spacing w:val="-2"/>
        </w:rPr>
        <w:t xml:space="preserve">Having been assigned the key strategic task of designing a compelling employee value proposition (EVP) for CRISIL, Kaura </w:t>
      </w:r>
      <w:r w:rsidR="008879D6" w:rsidRPr="000429E8">
        <w:rPr>
          <w:spacing w:val="-2"/>
        </w:rPr>
        <w:t xml:space="preserve">also </w:t>
      </w:r>
      <w:r w:rsidRPr="000429E8">
        <w:rPr>
          <w:spacing w:val="-2"/>
        </w:rPr>
        <w:t>had to consider w</w:t>
      </w:r>
      <w:r w:rsidR="00FA78FD" w:rsidRPr="000429E8">
        <w:rPr>
          <w:spacing w:val="-2"/>
        </w:rPr>
        <w:t xml:space="preserve">hat the relevant and unique key facets of </w:t>
      </w:r>
      <w:r w:rsidRPr="000429E8">
        <w:rPr>
          <w:spacing w:val="-2"/>
        </w:rPr>
        <w:t xml:space="preserve">the </w:t>
      </w:r>
      <w:r w:rsidR="00FA78FD" w:rsidRPr="000429E8">
        <w:rPr>
          <w:spacing w:val="-2"/>
        </w:rPr>
        <w:t>EVP</w:t>
      </w:r>
      <w:r w:rsidRPr="000429E8">
        <w:rPr>
          <w:spacing w:val="-2"/>
        </w:rPr>
        <w:t xml:space="preserve"> could be</w:t>
      </w:r>
      <w:r w:rsidR="00FA78FD" w:rsidRPr="000429E8">
        <w:rPr>
          <w:spacing w:val="-2"/>
        </w:rPr>
        <w:t xml:space="preserve"> that would appeal to current and potential employees</w:t>
      </w:r>
      <w:r w:rsidRPr="000429E8">
        <w:rPr>
          <w:spacing w:val="-2"/>
        </w:rPr>
        <w:t>.</w:t>
      </w:r>
    </w:p>
    <w:p w14:paraId="7C2DB1C1" w14:textId="77777777" w:rsidR="00E27321" w:rsidRPr="00037C1D" w:rsidRDefault="00E27321" w:rsidP="00FA78FD">
      <w:pPr>
        <w:pStyle w:val="BodyTextMain"/>
        <w:rPr>
          <w:spacing w:val="-2"/>
          <w:sz w:val="20"/>
        </w:rPr>
      </w:pPr>
    </w:p>
    <w:p w14:paraId="696394BD" w14:textId="77777777" w:rsidR="005E11F9" w:rsidRPr="00037C1D" w:rsidRDefault="005E11F9" w:rsidP="00FA78FD">
      <w:pPr>
        <w:pStyle w:val="BodyTextMain"/>
        <w:rPr>
          <w:spacing w:val="-2"/>
          <w:sz w:val="20"/>
        </w:rPr>
      </w:pPr>
    </w:p>
    <w:p w14:paraId="6BDCA92A" w14:textId="77777777" w:rsidR="00FA78FD" w:rsidRDefault="00FA78FD" w:rsidP="00AC4B97">
      <w:pPr>
        <w:pStyle w:val="Casehead1"/>
        <w:keepNext/>
      </w:pPr>
      <w:r>
        <w:lastRenderedPageBreak/>
        <w:t>EMPLOYEE VALUE PROPOSITION DEVELOPMENT AT CRISIL</w:t>
      </w:r>
    </w:p>
    <w:p w14:paraId="0B52B243" w14:textId="77777777" w:rsidR="00FA78FD" w:rsidRPr="00CE6FCF" w:rsidRDefault="00FA78FD" w:rsidP="00AC4B97">
      <w:pPr>
        <w:pStyle w:val="BodyTextMain"/>
        <w:keepNext/>
        <w:rPr>
          <w:sz w:val="20"/>
        </w:rPr>
      </w:pPr>
    </w:p>
    <w:p w14:paraId="7E8D6D82" w14:textId="77777777" w:rsidR="00FA78FD" w:rsidRDefault="00FA78FD" w:rsidP="00AC4B97">
      <w:pPr>
        <w:pStyle w:val="Casehead2"/>
        <w:keepNext/>
      </w:pPr>
      <w:r>
        <w:t>The Need</w:t>
      </w:r>
    </w:p>
    <w:p w14:paraId="12AF04C6" w14:textId="77777777" w:rsidR="00FA78FD" w:rsidRPr="00CE6FCF" w:rsidRDefault="00FA78FD" w:rsidP="00FA78FD">
      <w:pPr>
        <w:pStyle w:val="BodyTextMain"/>
        <w:rPr>
          <w:sz w:val="20"/>
        </w:rPr>
      </w:pPr>
    </w:p>
    <w:p w14:paraId="5F56CCCF" w14:textId="72AFAEA6" w:rsidR="00FA78FD" w:rsidRPr="00AC4B97" w:rsidRDefault="00FA78FD" w:rsidP="00FA78FD">
      <w:pPr>
        <w:pStyle w:val="BodyTextMain"/>
        <w:rPr>
          <w:spacing w:val="-4"/>
        </w:rPr>
      </w:pPr>
      <w:r w:rsidRPr="00AC4B97">
        <w:rPr>
          <w:spacing w:val="-4"/>
        </w:rPr>
        <w:t>In mid-2013, CRISIL developed its</w:t>
      </w:r>
      <w:r w:rsidR="00E27321" w:rsidRPr="00AC4B97">
        <w:rPr>
          <w:spacing w:val="-4"/>
        </w:rPr>
        <w:t xml:space="preserve"> first</w:t>
      </w:r>
      <w:r w:rsidRPr="00AC4B97">
        <w:rPr>
          <w:spacing w:val="-4"/>
        </w:rPr>
        <w:t xml:space="preserve"> EVP and communicated it to various stakeholders. There were three reasons for doing this exercise</w:t>
      </w:r>
      <w:r w:rsidR="006D6529" w:rsidRPr="00AC4B97">
        <w:rPr>
          <w:spacing w:val="-4"/>
        </w:rPr>
        <w:t>. F</w:t>
      </w:r>
      <w:r w:rsidRPr="00AC4B97">
        <w:rPr>
          <w:spacing w:val="-4"/>
        </w:rPr>
        <w:t xml:space="preserve">irst, the company had grown exponentially by diversifying its customer base, entering new </w:t>
      </w:r>
      <w:r w:rsidR="00495988" w:rsidRPr="00AC4B97">
        <w:rPr>
          <w:spacing w:val="-4"/>
        </w:rPr>
        <w:t>locations</w:t>
      </w:r>
      <w:r w:rsidRPr="00AC4B97">
        <w:rPr>
          <w:spacing w:val="-4"/>
        </w:rPr>
        <w:t>, adding new offerings</w:t>
      </w:r>
      <w:r w:rsidR="00F21967" w:rsidRPr="00AC4B97">
        <w:rPr>
          <w:spacing w:val="-4"/>
        </w:rPr>
        <w:t>,</w:t>
      </w:r>
      <w:r w:rsidRPr="00AC4B97">
        <w:rPr>
          <w:spacing w:val="-4"/>
        </w:rPr>
        <w:t xml:space="preserve"> and increasing the employee count; it was perceived to be a great employer brand in the ratings business. However, it lacked a well-articulated EVP. The objective of CRISIL’s EVP initiative was to </w:t>
      </w:r>
      <w:r w:rsidR="00E27321" w:rsidRPr="00AC4B97">
        <w:rPr>
          <w:spacing w:val="-4"/>
        </w:rPr>
        <w:t>identify</w:t>
      </w:r>
      <w:r w:rsidRPr="00AC4B97">
        <w:rPr>
          <w:spacing w:val="-4"/>
        </w:rPr>
        <w:t xml:space="preserve"> a holistic employment package for CRISIL’s existing and potential employees. Second, although CRISIL was considered a great employer</w:t>
      </w:r>
      <w:r w:rsidR="006D6529" w:rsidRPr="00AC4B97">
        <w:rPr>
          <w:spacing w:val="-4"/>
        </w:rPr>
        <w:t>—</w:t>
      </w:r>
      <w:r w:rsidR="00F21967" w:rsidRPr="00AC4B97">
        <w:rPr>
          <w:spacing w:val="-4"/>
        </w:rPr>
        <w:t xml:space="preserve">one </w:t>
      </w:r>
      <w:r w:rsidRPr="00AC4B97">
        <w:rPr>
          <w:spacing w:val="-4"/>
        </w:rPr>
        <w:t>providing enriching job content</w:t>
      </w:r>
      <w:r w:rsidR="00D6523D" w:rsidRPr="00AC4B97">
        <w:rPr>
          <w:spacing w:val="-4"/>
        </w:rPr>
        <w:t xml:space="preserve"> and </w:t>
      </w:r>
      <w:r w:rsidRPr="00AC4B97">
        <w:rPr>
          <w:spacing w:val="-4"/>
        </w:rPr>
        <w:t>immense growth opportunities</w:t>
      </w:r>
      <w:r w:rsidR="006D6529" w:rsidRPr="00AC4B97">
        <w:rPr>
          <w:spacing w:val="-4"/>
        </w:rPr>
        <w:t>—</w:t>
      </w:r>
      <w:r w:rsidRPr="00AC4B97">
        <w:rPr>
          <w:spacing w:val="-4"/>
        </w:rPr>
        <w:t xml:space="preserve">its pay levels were perceived as below industry standards </w:t>
      </w:r>
      <w:r w:rsidR="006D6529" w:rsidRPr="00AC4B97">
        <w:rPr>
          <w:spacing w:val="-4"/>
        </w:rPr>
        <w:t>for</w:t>
      </w:r>
      <w:r w:rsidRPr="00AC4B97">
        <w:rPr>
          <w:spacing w:val="-4"/>
        </w:rPr>
        <w:t xml:space="preserve"> medium</w:t>
      </w:r>
      <w:r w:rsidR="00E27321" w:rsidRPr="00AC4B97">
        <w:rPr>
          <w:spacing w:val="-4"/>
        </w:rPr>
        <w:t>-</w:t>
      </w:r>
      <w:r w:rsidRPr="00AC4B97">
        <w:rPr>
          <w:spacing w:val="-4"/>
        </w:rPr>
        <w:t xml:space="preserve"> and higher</w:t>
      </w:r>
      <w:r w:rsidR="00E27321" w:rsidRPr="00AC4B97">
        <w:rPr>
          <w:spacing w:val="-4"/>
        </w:rPr>
        <w:t>-level</w:t>
      </w:r>
      <w:r w:rsidRPr="00AC4B97">
        <w:rPr>
          <w:spacing w:val="-4"/>
        </w:rPr>
        <w:t xml:space="preserve"> man</w:t>
      </w:r>
      <w:r w:rsidR="006D6529" w:rsidRPr="00AC4B97">
        <w:rPr>
          <w:spacing w:val="-4"/>
        </w:rPr>
        <w:t>a</w:t>
      </w:r>
      <w:r w:rsidRPr="00AC4B97">
        <w:rPr>
          <w:spacing w:val="-4"/>
        </w:rPr>
        <w:t xml:space="preserve">gers. </w:t>
      </w:r>
      <w:r w:rsidR="00D6523D" w:rsidRPr="00AC4B97">
        <w:rPr>
          <w:spacing w:val="-4"/>
        </w:rPr>
        <w:t>E</w:t>
      </w:r>
      <w:r w:rsidRPr="00AC4B97">
        <w:rPr>
          <w:spacing w:val="-4"/>
        </w:rPr>
        <w:t xml:space="preserve">mployees compared CRISIL’s compensation </w:t>
      </w:r>
      <w:r w:rsidR="00625F74" w:rsidRPr="00AC4B97">
        <w:rPr>
          <w:spacing w:val="-4"/>
        </w:rPr>
        <w:t xml:space="preserve">to </w:t>
      </w:r>
      <w:r w:rsidRPr="00AC4B97">
        <w:rPr>
          <w:spacing w:val="-4"/>
        </w:rPr>
        <w:t>not only its peers in the ratings, research</w:t>
      </w:r>
      <w:r w:rsidR="00F21967" w:rsidRPr="00AC4B97">
        <w:rPr>
          <w:spacing w:val="-4"/>
        </w:rPr>
        <w:t>,</w:t>
      </w:r>
      <w:r w:rsidRPr="00AC4B97">
        <w:rPr>
          <w:spacing w:val="-4"/>
        </w:rPr>
        <w:t xml:space="preserve"> and analytics business, but also investment banks, financial institutions</w:t>
      </w:r>
      <w:r w:rsidR="00625F74" w:rsidRPr="00AC4B97">
        <w:rPr>
          <w:spacing w:val="-4"/>
        </w:rPr>
        <w:t>,</w:t>
      </w:r>
      <w:r w:rsidRPr="00AC4B97">
        <w:rPr>
          <w:spacing w:val="-4"/>
        </w:rPr>
        <w:t xml:space="preserve"> and start-ups where they could seek employment at a higher compensation based on the skills and exposure</w:t>
      </w:r>
      <w:r w:rsidR="00625F74" w:rsidRPr="00AC4B97">
        <w:rPr>
          <w:spacing w:val="-4"/>
        </w:rPr>
        <w:t xml:space="preserve"> they had</w:t>
      </w:r>
      <w:r w:rsidRPr="00AC4B97">
        <w:rPr>
          <w:spacing w:val="-4"/>
        </w:rPr>
        <w:t xml:space="preserve"> acquired at CRISIL. CRISIL’s attrition rate was about 15</w:t>
      </w:r>
      <w:r w:rsidR="00625F74" w:rsidRPr="00AC4B97">
        <w:rPr>
          <w:spacing w:val="-4"/>
        </w:rPr>
        <w:t>–</w:t>
      </w:r>
      <w:r w:rsidRPr="00AC4B97">
        <w:rPr>
          <w:spacing w:val="-4"/>
        </w:rPr>
        <w:t>18 per</w:t>
      </w:r>
      <w:r w:rsidR="00625F74" w:rsidRPr="00AC4B97">
        <w:rPr>
          <w:spacing w:val="-4"/>
        </w:rPr>
        <w:t xml:space="preserve"> </w:t>
      </w:r>
      <w:r w:rsidRPr="00AC4B97">
        <w:rPr>
          <w:spacing w:val="-4"/>
        </w:rPr>
        <w:t xml:space="preserve">cent, which was within industry norms (see Exhibit 5). </w:t>
      </w:r>
      <w:r w:rsidR="006D6529" w:rsidRPr="00AC4B97">
        <w:rPr>
          <w:spacing w:val="-4"/>
        </w:rPr>
        <w:t xml:space="preserve">Therefore, </w:t>
      </w:r>
      <w:r w:rsidRPr="00AC4B97">
        <w:rPr>
          <w:spacing w:val="-4"/>
        </w:rPr>
        <w:t xml:space="preserve">the purpose </w:t>
      </w:r>
      <w:r w:rsidR="00625F74" w:rsidRPr="00AC4B97">
        <w:rPr>
          <w:spacing w:val="-4"/>
        </w:rPr>
        <w:t xml:space="preserve">of the EVP </w:t>
      </w:r>
      <w:r w:rsidRPr="00AC4B97">
        <w:rPr>
          <w:spacing w:val="-4"/>
        </w:rPr>
        <w:t>was to build awareness among existing employees about CRISIL’s strengths, thereby emphasizing its brand, job content</w:t>
      </w:r>
      <w:r w:rsidR="00625F74" w:rsidRPr="00AC4B97">
        <w:rPr>
          <w:spacing w:val="-4"/>
        </w:rPr>
        <w:t>,</w:t>
      </w:r>
      <w:r w:rsidRPr="00AC4B97">
        <w:rPr>
          <w:spacing w:val="-4"/>
        </w:rPr>
        <w:t xml:space="preserve"> and </w:t>
      </w:r>
      <w:r w:rsidR="00625F74" w:rsidRPr="00AC4B97">
        <w:rPr>
          <w:spacing w:val="-4"/>
        </w:rPr>
        <w:t xml:space="preserve">the </w:t>
      </w:r>
      <w:r w:rsidRPr="00AC4B97">
        <w:rPr>
          <w:spacing w:val="-4"/>
        </w:rPr>
        <w:t>work</w:t>
      </w:r>
      <w:r w:rsidR="00625F74" w:rsidRPr="00AC4B97">
        <w:rPr>
          <w:spacing w:val="-4"/>
        </w:rPr>
        <w:t>–</w:t>
      </w:r>
      <w:r w:rsidRPr="00AC4B97">
        <w:rPr>
          <w:spacing w:val="-4"/>
        </w:rPr>
        <w:t xml:space="preserve">life balance </w:t>
      </w:r>
      <w:r w:rsidR="00625F74" w:rsidRPr="00AC4B97">
        <w:rPr>
          <w:spacing w:val="-4"/>
        </w:rPr>
        <w:t>it offered rather than</w:t>
      </w:r>
      <w:r w:rsidRPr="00AC4B97">
        <w:rPr>
          <w:spacing w:val="-4"/>
        </w:rPr>
        <w:t xml:space="preserve"> its compensation. Third, mid-level employees believed that CRISIL offered limited growth opportunities within a few domains; for instance, if employee</w:t>
      </w:r>
      <w:r w:rsidR="006D6529" w:rsidRPr="00AC4B97">
        <w:rPr>
          <w:spacing w:val="-4"/>
        </w:rPr>
        <w:t>s</w:t>
      </w:r>
      <w:r w:rsidRPr="00AC4B97">
        <w:rPr>
          <w:spacing w:val="-4"/>
        </w:rPr>
        <w:t xml:space="preserve"> wanted to gain experience in the derivatives business, </w:t>
      </w:r>
      <w:r w:rsidR="006D6529" w:rsidRPr="00AC4B97">
        <w:rPr>
          <w:spacing w:val="-4"/>
        </w:rPr>
        <w:t>they</w:t>
      </w:r>
      <w:r w:rsidRPr="00AC4B97">
        <w:rPr>
          <w:spacing w:val="-4"/>
        </w:rPr>
        <w:t xml:space="preserve"> did not have th</w:t>
      </w:r>
      <w:r w:rsidR="00625F74" w:rsidRPr="00AC4B97">
        <w:rPr>
          <w:spacing w:val="-4"/>
        </w:rPr>
        <w:t>e</w:t>
      </w:r>
      <w:r w:rsidRPr="00AC4B97">
        <w:rPr>
          <w:spacing w:val="-4"/>
        </w:rPr>
        <w:t xml:space="preserve"> opportunity at CRISIL </w:t>
      </w:r>
      <w:r w:rsidR="00B13985" w:rsidRPr="00AC4B97">
        <w:rPr>
          <w:spacing w:val="-4"/>
        </w:rPr>
        <w:t xml:space="preserve">to do so </w:t>
      </w:r>
      <w:r w:rsidRPr="00AC4B97">
        <w:rPr>
          <w:spacing w:val="-4"/>
        </w:rPr>
        <w:t xml:space="preserve">and instead </w:t>
      </w:r>
      <w:r w:rsidR="00625F74" w:rsidRPr="00AC4B97">
        <w:rPr>
          <w:spacing w:val="-4"/>
        </w:rPr>
        <w:t>had</w:t>
      </w:r>
      <w:r w:rsidRPr="00AC4B97">
        <w:rPr>
          <w:spacing w:val="-4"/>
        </w:rPr>
        <w:t xml:space="preserve"> to seek employment with companies such as investment banks, which offered exposure in th</w:t>
      </w:r>
      <w:r w:rsidR="00B13985" w:rsidRPr="00AC4B97">
        <w:rPr>
          <w:spacing w:val="-4"/>
        </w:rPr>
        <w:t>at</w:t>
      </w:r>
      <w:r w:rsidRPr="00AC4B97">
        <w:rPr>
          <w:spacing w:val="-4"/>
        </w:rPr>
        <w:t xml:space="preserve"> area. </w:t>
      </w:r>
      <w:r w:rsidR="00C81691" w:rsidRPr="00AC4B97">
        <w:rPr>
          <w:spacing w:val="-4"/>
        </w:rPr>
        <w:t>Consequently,</w:t>
      </w:r>
      <w:r w:rsidRPr="00AC4B97">
        <w:rPr>
          <w:spacing w:val="-4"/>
        </w:rPr>
        <w:t xml:space="preserve"> the intent was to position CRISIL as an umbrella brand that offered a variety of growth opportunities. </w:t>
      </w:r>
      <w:r w:rsidR="0079325F" w:rsidRPr="00AC4B97">
        <w:rPr>
          <w:spacing w:val="-4"/>
        </w:rPr>
        <w:t>An eight-member team was set up to develop a strong EVP, which could be communicated internally to improve employee engagement and externally to promote CRISIL as a strong employer brand</w:t>
      </w:r>
      <w:r w:rsidR="009911B7" w:rsidRPr="00AC4B97">
        <w:rPr>
          <w:spacing w:val="-4"/>
        </w:rPr>
        <w:t>.</w:t>
      </w:r>
    </w:p>
    <w:p w14:paraId="1FFC19D6" w14:textId="77777777" w:rsidR="00FA78FD" w:rsidRPr="00CE6FCF" w:rsidRDefault="00FA78FD" w:rsidP="00FA78FD">
      <w:pPr>
        <w:pStyle w:val="BodyTextMain"/>
        <w:rPr>
          <w:sz w:val="20"/>
        </w:rPr>
      </w:pPr>
    </w:p>
    <w:p w14:paraId="2577EB27" w14:textId="77777777" w:rsidR="00FA78FD" w:rsidRPr="00CE6FCF" w:rsidRDefault="00FA78FD" w:rsidP="00FA78FD">
      <w:pPr>
        <w:pStyle w:val="BodyTextMain"/>
        <w:rPr>
          <w:sz w:val="20"/>
        </w:rPr>
      </w:pPr>
    </w:p>
    <w:p w14:paraId="04850ACB" w14:textId="77777777" w:rsidR="00FA78FD" w:rsidRDefault="00FA78FD" w:rsidP="00FA78FD">
      <w:pPr>
        <w:pStyle w:val="Casehead2"/>
      </w:pPr>
      <w:r>
        <w:t>EVP Themes Emerging from the Research</w:t>
      </w:r>
    </w:p>
    <w:p w14:paraId="7EFBB621" w14:textId="77777777" w:rsidR="00FA78FD" w:rsidRPr="00CE6FCF" w:rsidRDefault="00FA78FD" w:rsidP="00FA78FD">
      <w:pPr>
        <w:pStyle w:val="BodyTextMain"/>
        <w:rPr>
          <w:sz w:val="20"/>
        </w:rPr>
      </w:pPr>
    </w:p>
    <w:p w14:paraId="19870C86" w14:textId="791295B4" w:rsidR="00FA78FD" w:rsidRPr="004E1ECD" w:rsidRDefault="00FA78FD" w:rsidP="00FA78FD">
      <w:pPr>
        <w:pStyle w:val="BodyTextMain"/>
        <w:rPr>
          <w:spacing w:val="-4"/>
        </w:rPr>
      </w:pPr>
      <w:r w:rsidRPr="004E1ECD">
        <w:rPr>
          <w:spacing w:val="-4"/>
        </w:rPr>
        <w:t>The EVP development team collected data from three main sources</w:t>
      </w:r>
      <w:r w:rsidR="00B13985" w:rsidRPr="004E1ECD">
        <w:rPr>
          <w:spacing w:val="-4"/>
        </w:rPr>
        <w:t>—</w:t>
      </w:r>
      <w:r w:rsidRPr="004E1ECD">
        <w:rPr>
          <w:spacing w:val="-4"/>
        </w:rPr>
        <w:t>employee engagement surveys, exit interviews</w:t>
      </w:r>
      <w:r w:rsidR="00B13985" w:rsidRPr="004E1ECD">
        <w:rPr>
          <w:spacing w:val="-4"/>
        </w:rPr>
        <w:t>,</w:t>
      </w:r>
      <w:r w:rsidRPr="004E1ECD">
        <w:rPr>
          <w:spacing w:val="-4"/>
        </w:rPr>
        <w:t xml:space="preserve"> and focus group discussions</w:t>
      </w:r>
      <w:r w:rsidR="00B13985" w:rsidRPr="004E1ECD">
        <w:rPr>
          <w:spacing w:val="-4"/>
        </w:rPr>
        <w:t>—</w:t>
      </w:r>
      <w:r w:rsidRPr="004E1ECD">
        <w:rPr>
          <w:spacing w:val="-4"/>
        </w:rPr>
        <w:t xml:space="preserve">to </w:t>
      </w:r>
      <w:r w:rsidR="00E27321" w:rsidRPr="004E1ECD">
        <w:rPr>
          <w:spacing w:val="-4"/>
        </w:rPr>
        <w:t>determine</w:t>
      </w:r>
      <w:r w:rsidRPr="004E1ECD">
        <w:rPr>
          <w:spacing w:val="-4"/>
        </w:rPr>
        <w:t xml:space="preserve"> </w:t>
      </w:r>
      <w:r w:rsidR="00B13985" w:rsidRPr="004E1ECD">
        <w:rPr>
          <w:spacing w:val="-4"/>
        </w:rPr>
        <w:t xml:space="preserve">the </w:t>
      </w:r>
      <w:r w:rsidRPr="004E1ECD">
        <w:rPr>
          <w:spacing w:val="-4"/>
        </w:rPr>
        <w:t xml:space="preserve">major facets of </w:t>
      </w:r>
      <w:r w:rsidR="00B13985" w:rsidRPr="004E1ECD">
        <w:rPr>
          <w:spacing w:val="-4"/>
        </w:rPr>
        <w:t xml:space="preserve">the </w:t>
      </w:r>
      <w:r w:rsidRPr="004E1ECD">
        <w:rPr>
          <w:spacing w:val="-4"/>
        </w:rPr>
        <w:t xml:space="preserve">EVP. The team compiled employee engagement survey data for the last five years (see Exhibit 6). The data were analyzed to identify the top employee engagement factors. In addition, the EVP team did qualitative analysis of exit interviews and </w:t>
      </w:r>
      <w:r w:rsidR="0026691C" w:rsidRPr="004E1ECD">
        <w:rPr>
          <w:spacing w:val="-4"/>
        </w:rPr>
        <w:t>focus group discussions</w:t>
      </w:r>
      <w:r w:rsidRPr="004E1ECD">
        <w:rPr>
          <w:spacing w:val="-4"/>
        </w:rPr>
        <w:t xml:space="preserve">, covering more than 400 employees. The </w:t>
      </w:r>
      <w:r w:rsidR="0026691C" w:rsidRPr="004E1ECD">
        <w:rPr>
          <w:spacing w:val="-4"/>
        </w:rPr>
        <w:t>focus group discussions</w:t>
      </w:r>
      <w:r w:rsidRPr="004E1ECD">
        <w:rPr>
          <w:spacing w:val="-4"/>
        </w:rPr>
        <w:t xml:space="preserve"> involved people from all levels and across functions. The idea was to develop common themes </w:t>
      </w:r>
      <w:r w:rsidR="0026691C" w:rsidRPr="004E1ECD">
        <w:rPr>
          <w:spacing w:val="-4"/>
        </w:rPr>
        <w:t>that</w:t>
      </w:r>
      <w:r w:rsidRPr="004E1ECD">
        <w:rPr>
          <w:spacing w:val="-4"/>
        </w:rPr>
        <w:t xml:space="preserve"> motivated and engaged all employees. Data analysis generated the following EVP themes: job content, work environment, CRISIL as a strong brand, great leadership team, and growth and development opportunities.  </w:t>
      </w:r>
    </w:p>
    <w:p w14:paraId="6CF81FF5" w14:textId="77777777" w:rsidR="00FA78FD" w:rsidRPr="00CE6FCF" w:rsidRDefault="00FA78FD" w:rsidP="00FA78FD">
      <w:pPr>
        <w:pStyle w:val="BodyTextMain"/>
        <w:rPr>
          <w:sz w:val="20"/>
        </w:rPr>
      </w:pPr>
    </w:p>
    <w:p w14:paraId="05EEEB73" w14:textId="77777777" w:rsidR="00FA78FD" w:rsidRPr="00CE6FCF" w:rsidRDefault="00FA78FD" w:rsidP="00FA78FD">
      <w:pPr>
        <w:pStyle w:val="BodyTextMain"/>
        <w:rPr>
          <w:sz w:val="20"/>
        </w:rPr>
      </w:pPr>
    </w:p>
    <w:p w14:paraId="39CB4E8E" w14:textId="77777777" w:rsidR="00FA78FD" w:rsidRDefault="00FA78FD" w:rsidP="00FA78FD">
      <w:pPr>
        <w:pStyle w:val="Casehead2"/>
        <w:keepNext/>
      </w:pPr>
      <w:r>
        <w:t xml:space="preserve">Communication of EVP Themes </w:t>
      </w:r>
    </w:p>
    <w:p w14:paraId="479164C5" w14:textId="77777777" w:rsidR="00FA78FD" w:rsidRPr="00CE6FCF" w:rsidRDefault="00FA78FD" w:rsidP="00FA78FD">
      <w:pPr>
        <w:pStyle w:val="BodyTextMain"/>
        <w:keepNext/>
        <w:rPr>
          <w:sz w:val="20"/>
        </w:rPr>
      </w:pPr>
    </w:p>
    <w:p w14:paraId="2FD3A279" w14:textId="04810BC9" w:rsidR="00FA78FD" w:rsidRDefault="00FA78FD" w:rsidP="00406C54">
      <w:pPr>
        <w:pStyle w:val="BodyTextMain"/>
        <w:keepNext/>
      </w:pPr>
      <w:r w:rsidRPr="00FA78FD">
        <w:rPr>
          <w:spacing w:val="-2"/>
        </w:rPr>
        <w:t xml:space="preserve">Beginning </w:t>
      </w:r>
      <w:r w:rsidR="0026691C">
        <w:rPr>
          <w:spacing w:val="-2"/>
        </w:rPr>
        <w:t xml:space="preserve">in </w:t>
      </w:r>
      <w:r w:rsidRPr="00FA78FD">
        <w:rPr>
          <w:spacing w:val="-2"/>
        </w:rPr>
        <w:t xml:space="preserve">June 2013, cascade sessions were organized to communicate the five elements of </w:t>
      </w:r>
      <w:r w:rsidR="0026691C">
        <w:rPr>
          <w:spacing w:val="-2"/>
        </w:rPr>
        <w:t xml:space="preserve">the </w:t>
      </w:r>
      <w:r w:rsidRPr="00FA78FD">
        <w:rPr>
          <w:spacing w:val="-2"/>
        </w:rPr>
        <w:t xml:space="preserve">EVP. In </w:t>
      </w:r>
      <w:r w:rsidR="0026691C">
        <w:rPr>
          <w:spacing w:val="-2"/>
        </w:rPr>
        <w:t xml:space="preserve">the </w:t>
      </w:r>
      <w:r w:rsidRPr="00FA78FD">
        <w:rPr>
          <w:spacing w:val="-2"/>
        </w:rPr>
        <w:t>cascade sessions, each EVP dimension was run for about 30 to 45 days. The cascade sessions covered the EVP development process, introduced the EVP themes</w:t>
      </w:r>
      <w:r w:rsidR="0026691C">
        <w:rPr>
          <w:spacing w:val="-2"/>
        </w:rPr>
        <w:t>,</w:t>
      </w:r>
      <w:r w:rsidRPr="00FA78FD">
        <w:rPr>
          <w:spacing w:val="-2"/>
        </w:rPr>
        <w:t xml:space="preserve"> and organized activity-based learning around each theme. CRISIL Connect, CRISIL’s intranet platform, was used for all communication related to the cascade sessions. A dedicated segment, CRISIL “EDGE</w:t>
      </w:r>
      <w:r w:rsidR="00C81691">
        <w:rPr>
          <w:spacing w:val="-2"/>
        </w:rPr>
        <w:t>,</w:t>
      </w:r>
      <w:r w:rsidRPr="00FA78FD">
        <w:rPr>
          <w:spacing w:val="-2"/>
        </w:rPr>
        <w:t xml:space="preserve">” was created to publish employee interviews </w:t>
      </w:r>
      <w:r w:rsidR="0026691C">
        <w:rPr>
          <w:spacing w:val="-2"/>
        </w:rPr>
        <w:t xml:space="preserve">and </w:t>
      </w:r>
      <w:r w:rsidRPr="00FA78FD">
        <w:rPr>
          <w:spacing w:val="-2"/>
        </w:rPr>
        <w:t>share stories, leadership views</w:t>
      </w:r>
      <w:r w:rsidR="0026691C">
        <w:rPr>
          <w:spacing w:val="-2"/>
        </w:rPr>
        <w:t>,</w:t>
      </w:r>
      <w:r w:rsidRPr="00FA78FD">
        <w:rPr>
          <w:spacing w:val="-2"/>
        </w:rPr>
        <w:t xml:space="preserve"> and factoids supporting the various EVP dimensions.</w:t>
      </w:r>
      <w:r w:rsidR="001F6F6A">
        <w:rPr>
          <w:spacing w:val="-2"/>
        </w:rPr>
        <w:t xml:space="preserve"> F</w:t>
      </w:r>
      <w:r w:rsidRPr="00FA78FD">
        <w:rPr>
          <w:spacing w:val="-2"/>
        </w:rPr>
        <w:t xml:space="preserve">or instance, in the cascade session promoting the EVP dimension of growth and development, the team shared the </w:t>
      </w:r>
      <w:r w:rsidR="0026691C">
        <w:rPr>
          <w:spacing w:val="-2"/>
        </w:rPr>
        <w:t>p</w:t>
      </w:r>
      <w:r w:rsidRPr="00FA78FD">
        <w:rPr>
          <w:spacing w:val="-2"/>
        </w:rPr>
        <w:t>resident’s message, leadership highlights, employee stories with pictures, question</w:t>
      </w:r>
      <w:r w:rsidR="00C81691">
        <w:rPr>
          <w:spacing w:val="-2"/>
        </w:rPr>
        <w:t>-</w:t>
      </w:r>
      <w:r w:rsidRPr="00FA78FD">
        <w:rPr>
          <w:spacing w:val="-2"/>
        </w:rPr>
        <w:t>and</w:t>
      </w:r>
      <w:r w:rsidR="00C81691">
        <w:rPr>
          <w:spacing w:val="-2"/>
        </w:rPr>
        <w:t>-</w:t>
      </w:r>
      <w:r w:rsidRPr="00FA78FD">
        <w:rPr>
          <w:spacing w:val="-2"/>
        </w:rPr>
        <w:t>answer sessions with employees</w:t>
      </w:r>
      <w:r w:rsidR="00090C10">
        <w:rPr>
          <w:spacing w:val="-2"/>
        </w:rPr>
        <w:t>,</w:t>
      </w:r>
      <w:r w:rsidRPr="00FA78FD">
        <w:rPr>
          <w:spacing w:val="-2"/>
        </w:rPr>
        <w:t xml:space="preserve"> and a list of all employees promoted in 2012 and 2013. Growth stories of approximately 90 employees were shared in the cascade month. A career fair was organized in the CRISIL cafeteria</w:t>
      </w:r>
      <w:r w:rsidR="001030ED">
        <w:rPr>
          <w:spacing w:val="-2"/>
        </w:rPr>
        <w:t xml:space="preserve"> and a</w:t>
      </w:r>
      <w:r w:rsidR="001030ED" w:rsidRPr="00FA78FD">
        <w:rPr>
          <w:spacing w:val="-2"/>
        </w:rPr>
        <w:t>ll employees were invited</w:t>
      </w:r>
      <w:r w:rsidRPr="00FA78FD">
        <w:rPr>
          <w:spacing w:val="-2"/>
        </w:rPr>
        <w:t>. The fair had stalls for each business</w:t>
      </w:r>
      <w:r w:rsidR="00090C10">
        <w:rPr>
          <w:spacing w:val="-2"/>
        </w:rPr>
        <w:t>,</w:t>
      </w:r>
      <w:r w:rsidRPr="00FA78FD">
        <w:rPr>
          <w:spacing w:val="-2"/>
        </w:rPr>
        <w:t xml:space="preserve"> with senior business leaders </w:t>
      </w:r>
      <w:r w:rsidR="00090C10">
        <w:rPr>
          <w:spacing w:val="-2"/>
        </w:rPr>
        <w:t>and</w:t>
      </w:r>
      <w:r w:rsidRPr="00FA78FD">
        <w:rPr>
          <w:spacing w:val="-2"/>
        </w:rPr>
        <w:t xml:space="preserve"> an HR business partner</w:t>
      </w:r>
      <w:r w:rsidR="00090C10">
        <w:rPr>
          <w:spacing w:val="-2"/>
        </w:rPr>
        <w:t xml:space="preserve"> present</w:t>
      </w:r>
      <w:r w:rsidRPr="00FA78FD">
        <w:rPr>
          <w:spacing w:val="-2"/>
        </w:rPr>
        <w:t>. The</w:t>
      </w:r>
      <w:r w:rsidR="00C81691">
        <w:rPr>
          <w:spacing w:val="-2"/>
        </w:rPr>
        <w:t xml:space="preserve">se </w:t>
      </w:r>
      <w:r w:rsidR="00C81691">
        <w:rPr>
          <w:spacing w:val="-2"/>
        </w:rPr>
        <w:lastRenderedPageBreak/>
        <w:t>leaders</w:t>
      </w:r>
      <w:r w:rsidRPr="00FA78FD">
        <w:rPr>
          <w:spacing w:val="-2"/>
        </w:rPr>
        <w:t xml:space="preserve"> shared information about available opportunities and </w:t>
      </w:r>
      <w:r w:rsidR="00090C10">
        <w:rPr>
          <w:spacing w:val="-2"/>
        </w:rPr>
        <w:t xml:space="preserve">the </w:t>
      </w:r>
      <w:r w:rsidRPr="00FA78FD">
        <w:rPr>
          <w:spacing w:val="-2"/>
        </w:rPr>
        <w:t xml:space="preserve">relevant skills required for a specific role. The career fair created a unique environment </w:t>
      </w:r>
      <w:r w:rsidRPr="001030ED">
        <w:rPr>
          <w:spacing w:val="-2"/>
        </w:rPr>
        <w:t xml:space="preserve">where every business leader was approachable. The intranet was used to post vacancies, </w:t>
      </w:r>
      <w:r w:rsidR="00090C10">
        <w:rPr>
          <w:spacing w:val="-2"/>
        </w:rPr>
        <w:t>giving</w:t>
      </w:r>
      <w:r w:rsidRPr="001030ED">
        <w:rPr>
          <w:spacing w:val="-2"/>
        </w:rPr>
        <w:t xml:space="preserve"> employees the opportunity to find out about various roles available within the company. </w:t>
      </w:r>
      <w:r w:rsidRPr="001030ED">
        <w:t xml:space="preserve">Similar cascade sessions were organized for other dimensions of </w:t>
      </w:r>
      <w:r w:rsidR="001D3144">
        <w:t xml:space="preserve">the </w:t>
      </w:r>
      <w:r w:rsidRPr="001030ED">
        <w:t>EVP</w:t>
      </w:r>
      <w:r w:rsidR="00090C10">
        <w:t>,</w:t>
      </w:r>
      <w:r w:rsidRPr="001030ED">
        <w:t xml:space="preserve"> and </w:t>
      </w:r>
      <w:r w:rsidR="00090C10">
        <w:t xml:space="preserve">the </w:t>
      </w:r>
      <w:r w:rsidRPr="001030ED">
        <w:t xml:space="preserve">activities covered in each were aligned </w:t>
      </w:r>
      <w:r w:rsidR="00090C10">
        <w:t>with</w:t>
      </w:r>
      <w:r w:rsidRPr="001030ED">
        <w:t xml:space="preserve"> the relevant EVP element. </w:t>
      </w:r>
    </w:p>
    <w:p w14:paraId="650CCBAE" w14:textId="77777777" w:rsidR="00FA78FD" w:rsidRPr="00CE6FCF" w:rsidRDefault="00FA78FD" w:rsidP="00FA78FD">
      <w:pPr>
        <w:pStyle w:val="BodyTextMain"/>
        <w:rPr>
          <w:sz w:val="18"/>
        </w:rPr>
      </w:pPr>
    </w:p>
    <w:p w14:paraId="36EEB63E" w14:textId="77777777" w:rsidR="00FA78FD" w:rsidRPr="00CE6FCF" w:rsidRDefault="00FA78FD" w:rsidP="00FA78FD">
      <w:pPr>
        <w:pStyle w:val="BodyTextMain"/>
        <w:rPr>
          <w:sz w:val="18"/>
        </w:rPr>
      </w:pPr>
    </w:p>
    <w:p w14:paraId="7ED22ECD" w14:textId="77777777" w:rsidR="00FA78FD" w:rsidRDefault="00FA78FD" w:rsidP="00FA78FD">
      <w:pPr>
        <w:pStyle w:val="Casehead2"/>
      </w:pPr>
      <w:r>
        <w:t>Results</w:t>
      </w:r>
    </w:p>
    <w:p w14:paraId="605A7D36" w14:textId="77777777" w:rsidR="00FA78FD" w:rsidRPr="00CE6FCF" w:rsidRDefault="00FA78FD" w:rsidP="00FA78FD">
      <w:pPr>
        <w:pStyle w:val="BodyTextMain"/>
        <w:rPr>
          <w:sz w:val="20"/>
        </w:rPr>
      </w:pPr>
    </w:p>
    <w:p w14:paraId="0A825B82" w14:textId="2F4DA1CB" w:rsidR="00FA78FD" w:rsidRDefault="00FA78FD" w:rsidP="00FA78FD">
      <w:pPr>
        <w:pStyle w:val="BodyTextMain"/>
      </w:pPr>
      <w:r>
        <w:t xml:space="preserve">The </w:t>
      </w:r>
      <w:r w:rsidR="001030ED">
        <w:t xml:space="preserve">EVP development </w:t>
      </w:r>
      <w:r>
        <w:t>team recorded an elevated level of employee involvement in the communication exercise. Out of 3,000 employees, nearly 1,300 participated in the cascade sessions</w:t>
      </w:r>
      <w:r w:rsidR="00090C10">
        <w:t>,</w:t>
      </w:r>
      <w:r>
        <w:t xml:space="preserve"> and all business leaders participated in the career fairs. The cascade sessions created awareness about job opportunities available within CRISIL’s divisions and </w:t>
      </w:r>
      <w:r w:rsidR="00090C10">
        <w:t xml:space="preserve">the </w:t>
      </w:r>
      <w:r>
        <w:t xml:space="preserve">skills required </w:t>
      </w:r>
      <w:r w:rsidR="00090C10">
        <w:t>for</w:t>
      </w:r>
      <w:r>
        <w:t xml:space="preserve"> various roles. As a result, applications to internal job postings increased by 35 per</w:t>
      </w:r>
      <w:r w:rsidR="00090C10">
        <w:t xml:space="preserve"> </w:t>
      </w:r>
      <w:r>
        <w:t xml:space="preserve">cent in 2015 </w:t>
      </w:r>
      <w:r w:rsidR="00090C10">
        <w:t>from</w:t>
      </w:r>
      <w:r>
        <w:t xml:space="preserve"> previous years. Inter-departmental transfers increased from </w:t>
      </w:r>
      <w:r w:rsidR="00090C10">
        <w:t>7</w:t>
      </w:r>
      <w:r>
        <w:t xml:space="preserve"> per</w:t>
      </w:r>
      <w:r w:rsidR="00090C10">
        <w:t xml:space="preserve"> </w:t>
      </w:r>
      <w:r>
        <w:t>cent in 2015 to 15 per</w:t>
      </w:r>
      <w:r w:rsidR="00090C10">
        <w:t xml:space="preserve"> </w:t>
      </w:r>
      <w:r>
        <w:t>cent 2016. The attrition rate decreased from 27 per</w:t>
      </w:r>
      <w:r w:rsidR="00090C10">
        <w:t xml:space="preserve"> </w:t>
      </w:r>
      <w:r>
        <w:t>cent in 2015 to 22 per</w:t>
      </w:r>
      <w:r w:rsidR="00090C10">
        <w:t xml:space="preserve"> </w:t>
      </w:r>
      <w:r>
        <w:t>cent in 2016</w:t>
      </w:r>
      <w:r w:rsidR="00090C10">
        <w:t>,</w:t>
      </w:r>
      <w:r>
        <w:t xml:space="preserve"> and </w:t>
      </w:r>
      <w:r w:rsidR="00090C10">
        <w:t xml:space="preserve">the </w:t>
      </w:r>
      <w:r>
        <w:t xml:space="preserve">employee engagement score was at an all-time high </w:t>
      </w:r>
      <w:r w:rsidR="00554D4F">
        <w:t>o</w:t>
      </w:r>
      <w:r w:rsidR="00C81691">
        <w:t xml:space="preserve">ver </w:t>
      </w:r>
      <w:r>
        <w:t xml:space="preserve">the last 11 years. The entire EVP exercise ended in 2014 and </w:t>
      </w:r>
      <w:r w:rsidR="00090C10">
        <w:t>had</w:t>
      </w:r>
      <w:r>
        <w:t xml:space="preserve"> not </w:t>
      </w:r>
      <w:r w:rsidR="00090C10">
        <w:t xml:space="preserve">been </w:t>
      </w:r>
      <w:r>
        <w:t xml:space="preserve">revisited since then. While the effectiveness of </w:t>
      </w:r>
      <w:r w:rsidR="00554D4F">
        <w:t xml:space="preserve">the </w:t>
      </w:r>
      <w:r>
        <w:t xml:space="preserve">identified EVP drivers and their implementation approach was yet to be established from a long-term perspective, </w:t>
      </w:r>
      <w:r w:rsidR="00823EB1">
        <w:t>Kaura</w:t>
      </w:r>
      <w:r>
        <w:t xml:space="preserve"> was keen to have a finer understanding of CRISIL’s EVP from the employees’ perspective</w:t>
      </w:r>
      <w:r w:rsidR="00554D4F">
        <w:t>,</w:t>
      </w:r>
      <w:r>
        <w:t xml:space="preserve"> </w:t>
      </w:r>
      <w:r w:rsidR="004E21BC">
        <w:t>to</w:t>
      </w:r>
      <w:r>
        <w:t xml:space="preserve"> enable him to re</w:t>
      </w:r>
      <w:r w:rsidR="00554D4F">
        <w:t>-</w:t>
      </w:r>
      <w:r>
        <w:t xml:space="preserve">imagine the </w:t>
      </w:r>
      <w:r w:rsidR="00E27321">
        <w:t>EVP</w:t>
      </w:r>
      <w:r>
        <w:t>.</w:t>
      </w:r>
    </w:p>
    <w:p w14:paraId="45FD4A5D" w14:textId="77777777" w:rsidR="00FA78FD" w:rsidRPr="00CE6FCF" w:rsidRDefault="00FA78FD" w:rsidP="00FA78FD">
      <w:pPr>
        <w:pStyle w:val="BodyTextMain"/>
        <w:rPr>
          <w:sz w:val="18"/>
        </w:rPr>
      </w:pPr>
    </w:p>
    <w:p w14:paraId="211ABE35" w14:textId="77777777" w:rsidR="00FA78FD" w:rsidRPr="00CE6FCF" w:rsidRDefault="00FA78FD" w:rsidP="00FA78FD">
      <w:pPr>
        <w:pStyle w:val="BodyTextMain"/>
        <w:rPr>
          <w:sz w:val="18"/>
        </w:rPr>
      </w:pPr>
    </w:p>
    <w:p w14:paraId="19FFCABA" w14:textId="371328EA" w:rsidR="00FA78FD" w:rsidRDefault="00FA78FD" w:rsidP="00FA78FD">
      <w:pPr>
        <w:pStyle w:val="Casehead1"/>
        <w:keepNext/>
      </w:pPr>
      <w:r>
        <w:t xml:space="preserve">EMPLOYEE PERCEPTION </w:t>
      </w:r>
      <w:r w:rsidR="004E21BC">
        <w:t>of</w:t>
      </w:r>
      <w:r>
        <w:t xml:space="preserve"> RETENTION DRIVERS </w:t>
      </w:r>
    </w:p>
    <w:p w14:paraId="05110263" w14:textId="77777777" w:rsidR="00FA78FD" w:rsidRPr="00CE6FCF" w:rsidRDefault="00FA78FD" w:rsidP="00FA78FD">
      <w:pPr>
        <w:pStyle w:val="BodyTextMain"/>
        <w:keepNext/>
        <w:rPr>
          <w:sz w:val="20"/>
        </w:rPr>
      </w:pPr>
    </w:p>
    <w:p w14:paraId="78954802" w14:textId="5044A9B5" w:rsidR="00FA78FD" w:rsidRPr="004E1ECD" w:rsidRDefault="00FA78FD" w:rsidP="00FA78FD">
      <w:pPr>
        <w:pStyle w:val="BodyTextMain"/>
        <w:keepNext/>
        <w:rPr>
          <w:spacing w:val="-4"/>
        </w:rPr>
      </w:pPr>
      <w:r w:rsidRPr="004E1ECD">
        <w:rPr>
          <w:spacing w:val="-4"/>
        </w:rPr>
        <w:t xml:space="preserve">Employees perceived CRISIL’s major retention drivers to be job profile, strong client focus, quality of work, opportunity to work with talented people, work culture, supportive team members, training opportunities, a </w:t>
      </w:r>
      <w:r w:rsidR="00C81691" w:rsidRPr="004E1ECD">
        <w:rPr>
          <w:spacing w:val="-4"/>
        </w:rPr>
        <w:t xml:space="preserve">great deal </w:t>
      </w:r>
      <w:r w:rsidRPr="004E1ECD">
        <w:rPr>
          <w:spacing w:val="-4"/>
        </w:rPr>
        <w:t xml:space="preserve">of flexibility and freedom at work, CRISIL as an established brand, work environment, enormous responsibility in the initial years of </w:t>
      </w:r>
      <w:r w:rsidR="004E21BC" w:rsidRPr="004E1ECD">
        <w:rPr>
          <w:spacing w:val="-4"/>
        </w:rPr>
        <w:t xml:space="preserve">one’s </w:t>
      </w:r>
      <w:r w:rsidRPr="004E1ECD">
        <w:rPr>
          <w:spacing w:val="-4"/>
        </w:rPr>
        <w:t>career</w:t>
      </w:r>
      <w:r w:rsidR="004E21BC" w:rsidRPr="004E1ECD">
        <w:rPr>
          <w:spacing w:val="-4"/>
        </w:rPr>
        <w:t>,</w:t>
      </w:r>
      <w:r w:rsidRPr="004E1ECD">
        <w:rPr>
          <w:spacing w:val="-4"/>
        </w:rPr>
        <w:t xml:space="preserve"> and preferred employment location. </w:t>
      </w:r>
    </w:p>
    <w:p w14:paraId="11F86FD6" w14:textId="77777777" w:rsidR="00FA78FD" w:rsidRPr="00CE6FCF" w:rsidRDefault="00FA78FD" w:rsidP="00FA78FD">
      <w:pPr>
        <w:pStyle w:val="BodyTextMain"/>
        <w:rPr>
          <w:sz w:val="18"/>
        </w:rPr>
      </w:pPr>
    </w:p>
    <w:p w14:paraId="02E72902" w14:textId="77777777" w:rsidR="00FA78FD" w:rsidRPr="00CE6FCF" w:rsidRDefault="00FA78FD" w:rsidP="00FA78FD">
      <w:pPr>
        <w:pStyle w:val="BodyTextMain"/>
        <w:rPr>
          <w:sz w:val="18"/>
        </w:rPr>
      </w:pPr>
    </w:p>
    <w:p w14:paraId="791CD10B" w14:textId="77777777" w:rsidR="00FA78FD" w:rsidRDefault="00FA78FD" w:rsidP="00FA78FD">
      <w:pPr>
        <w:pStyle w:val="Casehead2"/>
      </w:pPr>
      <w:r>
        <w:t xml:space="preserve">Ample and Diverse Opportunities </w:t>
      </w:r>
    </w:p>
    <w:p w14:paraId="618C905A" w14:textId="77777777" w:rsidR="00FA78FD" w:rsidRPr="00CE6FCF" w:rsidRDefault="00FA78FD" w:rsidP="00FA78FD">
      <w:pPr>
        <w:pStyle w:val="BodyTextMain"/>
        <w:rPr>
          <w:sz w:val="20"/>
        </w:rPr>
      </w:pPr>
    </w:p>
    <w:p w14:paraId="688AB91D" w14:textId="42343549" w:rsidR="00FA78FD" w:rsidRDefault="00FA78FD" w:rsidP="00FA78FD">
      <w:pPr>
        <w:pStyle w:val="BodyTextMain"/>
      </w:pPr>
      <w:r>
        <w:t xml:space="preserve">CRISIL provided ample learning opportunities </w:t>
      </w:r>
      <w:r w:rsidR="008879D6">
        <w:t xml:space="preserve">in diverse businesses </w:t>
      </w:r>
      <w:r>
        <w:t xml:space="preserve">to employees. </w:t>
      </w:r>
      <w:r w:rsidR="00C81691">
        <w:t>A</w:t>
      </w:r>
      <w:r>
        <w:t xml:space="preserve"> senior manager</w:t>
      </w:r>
      <w:r w:rsidR="004E21BC">
        <w:t xml:space="preserve"> of</w:t>
      </w:r>
      <w:r>
        <w:t xml:space="preserve"> Global Research and Analytics, Chennai, who</w:t>
      </w:r>
      <w:r w:rsidR="004E21BC">
        <w:t xml:space="preserve"> had been</w:t>
      </w:r>
      <w:r>
        <w:t xml:space="preserve"> work</w:t>
      </w:r>
      <w:r w:rsidR="004E21BC">
        <w:t>ing</w:t>
      </w:r>
      <w:r>
        <w:t xml:space="preserve"> for CRISIL for the past 10 years</w:t>
      </w:r>
      <w:r w:rsidR="00A930AB">
        <w:t>,</w:t>
      </w:r>
      <w:r w:rsidR="00C81691">
        <w:t xml:space="preserve"> highlighted this </w:t>
      </w:r>
      <w:r w:rsidR="00E27321">
        <w:t>and</w:t>
      </w:r>
      <w:r w:rsidR="004E21BC">
        <w:t xml:space="preserve"> shared</w:t>
      </w:r>
      <w:r w:rsidR="00E27321">
        <w:t xml:space="preserve"> the following:</w:t>
      </w:r>
    </w:p>
    <w:p w14:paraId="2CEC875F" w14:textId="77777777" w:rsidR="00FA78FD" w:rsidRPr="00CE6FCF" w:rsidRDefault="00FA78FD" w:rsidP="00FA78FD">
      <w:pPr>
        <w:pStyle w:val="BodyTextMain"/>
        <w:rPr>
          <w:sz w:val="20"/>
        </w:rPr>
      </w:pPr>
    </w:p>
    <w:p w14:paraId="09120854" w14:textId="77777777" w:rsidR="00FA78FD" w:rsidRDefault="00FA78FD" w:rsidP="00FA78FD">
      <w:pPr>
        <w:pStyle w:val="BodyTextMain"/>
        <w:ind w:left="720"/>
      </w:pPr>
      <w:r>
        <w:t xml:space="preserve">One reason for stickiness is the kind of opportunities that you get at CRISIL. I feel connected with the growth of the organization even though I may not be part of each business. CRISIL’s diverse businesses provide confidence that you will always have the scope to learn and explore. Once you have spent a reasonable amount of time at a position, there is always a scope to learn; it holds me to this organization. The fact that I will always have a chance to learn and do new things is important, and I am excited about being part of CRISIL. </w:t>
      </w:r>
    </w:p>
    <w:p w14:paraId="13D63691" w14:textId="77777777" w:rsidR="00FA78FD" w:rsidRPr="00CE6FCF" w:rsidRDefault="00FA78FD" w:rsidP="00FA78FD">
      <w:pPr>
        <w:pStyle w:val="BodyTextMain"/>
        <w:rPr>
          <w:sz w:val="20"/>
        </w:rPr>
      </w:pPr>
    </w:p>
    <w:p w14:paraId="1BF8070F" w14:textId="31CE5A5B" w:rsidR="00FA78FD" w:rsidRDefault="00FA78FD" w:rsidP="00FA78FD">
      <w:pPr>
        <w:pStyle w:val="BodyTextMain"/>
      </w:pPr>
      <w:r>
        <w:t xml:space="preserve">Another senior manager recollected the initial learning opportunities she </w:t>
      </w:r>
      <w:r w:rsidR="004E21BC">
        <w:t>was given</w:t>
      </w:r>
      <w:r>
        <w:t xml:space="preserve"> at CRISIL: </w:t>
      </w:r>
    </w:p>
    <w:p w14:paraId="15338EA3" w14:textId="77777777" w:rsidR="00FA78FD" w:rsidRPr="00CE6FCF" w:rsidRDefault="00FA78FD" w:rsidP="00FA78FD">
      <w:pPr>
        <w:pStyle w:val="BodyTextMain"/>
        <w:rPr>
          <w:sz w:val="20"/>
        </w:rPr>
      </w:pPr>
    </w:p>
    <w:p w14:paraId="75F3C1ED" w14:textId="77777777" w:rsidR="00FA78FD" w:rsidRDefault="00FA78FD" w:rsidP="00FA78FD">
      <w:pPr>
        <w:pStyle w:val="BodyTextMain"/>
        <w:ind w:left="720"/>
      </w:pPr>
      <w:r>
        <w:t>I was given the opportunity to lead a team at a very early stint in my career; this has boosted my confidence to a considerable extent. The opportunities which CRISIL has given me at every stage of my career and the trust placed in my capabilities have been the greatest drivers for me as an individual and as a professional.</w:t>
      </w:r>
    </w:p>
    <w:p w14:paraId="59441379" w14:textId="77777777" w:rsidR="00FA78FD" w:rsidRDefault="00FA78FD" w:rsidP="00CE6FCF">
      <w:pPr>
        <w:pStyle w:val="Casehead2"/>
        <w:keepNext/>
      </w:pPr>
      <w:r>
        <w:lastRenderedPageBreak/>
        <w:t xml:space="preserve">Challenging Work </w:t>
      </w:r>
    </w:p>
    <w:p w14:paraId="23ABDD8E" w14:textId="77777777" w:rsidR="00FA78FD" w:rsidRPr="00CE6FCF" w:rsidRDefault="00FA78FD" w:rsidP="00CE6FCF">
      <w:pPr>
        <w:pStyle w:val="BodyTextMain"/>
        <w:keepNext/>
        <w:rPr>
          <w:sz w:val="18"/>
        </w:rPr>
      </w:pPr>
    </w:p>
    <w:p w14:paraId="68FE1B64" w14:textId="1645DE87" w:rsidR="00FA78FD" w:rsidRDefault="00FA78FD" w:rsidP="00AC4B97">
      <w:pPr>
        <w:pStyle w:val="BodyTextMain"/>
        <w:keepNext/>
      </w:pPr>
      <w:r>
        <w:t>The job profile</w:t>
      </w:r>
      <w:r w:rsidR="00EF1A30">
        <w:t>s</w:t>
      </w:r>
      <w:r>
        <w:t xml:space="preserve"> at CRISIL provided </w:t>
      </w:r>
      <w:r w:rsidR="00804647">
        <w:t>valuable</w:t>
      </w:r>
      <w:r>
        <w:t xml:space="preserve"> learning opportunities to its employees irrespective of their level within the organization. A manager who </w:t>
      </w:r>
      <w:r w:rsidR="004E21BC">
        <w:t xml:space="preserve">had </w:t>
      </w:r>
      <w:r>
        <w:t>joined CRISIL in November 2011 rec</w:t>
      </w:r>
      <w:r w:rsidR="004E21BC">
        <w:t>alled</w:t>
      </w:r>
      <w:r w:rsidR="00BE32FE">
        <w:t>,</w:t>
      </w:r>
      <w:r w:rsidR="00AC4B97">
        <w:t xml:space="preserve"> “</w:t>
      </w:r>
      <w:r>
        <w:t xml:space="preserve">The best thing about this profile </w:t>
      </w:r>
      <w:r w:rsidR="00EF1A30">
        <w:t>[</w:t>
      </w:r>
      <w:r>
        <w:t>analyst</w:t>
      </w:r>
      <w:r w:rsidR="00EF1A30">
        <w:t>]</w:t>
      </w:r>
      <w:r>
        <w:t xml:space="preserve"> is that you can talk to the main promoters of the company which you are going to rate. Talking to </w:t>
      </w:r>
      <w:r w:rsidR="00EF1A30">
        <w:t>d</w:t>
      </w:r>
      <w:r>
        <w:t xml:space="preserve">irectors and CEOs </w:t>
      </w:r>
      <w:r w:rsidR="00EF1A30">
        <w:t xml:space="preserve">[chief executive officers] </w:t>
      </w:r>
      <w:r>
        <w:t xml:space="preserve">is a unique experience and you get first-hand information from them. You are not restricted to one industry; you deal with different people </w:t>
      </w:r>
      <w:r w:rsidRPr="00E45655">
        <w:t>across different industries in India</w:t>
      </w:r>
      <w:r>
        <w:t>.</w:t>
      </w:r>
      <w:r w:rsidR="00AC4B97">
        <w:t>”</w:t>
      </w:r>
    </w:p>
    <w:p w14:paraId="776DA769" w14:textId="77777777" w:rsidR="00FA78FD" w:rsidRPr="00CE6FCF" w:rsidRDefault="00FA78FD" w:rsidP="00FA78FD">
      <w:pPr>
        <w:pStyle w:val="BodyTextMain"/>
        <w:rPr>
          <w:sz w:val="18"/>
        </w:rPr>
      </w:pPr>
    </w:p>
    <w:p w14:paraId="5DBD7386" w14:textId="4B40D271" w:rsidR="00FA78FD" w:rsidRDefault="00FA78FD" w:rsidP="00AC4B97">
      <w:pPr>
        <w:pStyle w:val="BodyTextMain"/>
      </w:pPr>
      <w:r>
        <w:t xml:space="preserve">An employee </w:t>
      </w:r>
      <w:r>
        <w:rPr>
          <w:color w:val="000000"/>
        </w:rPr>
        <w:t xml:space="preserve">who joined CRISIL about four years ago </w:t>
      </w:r>
      <w:r w:rsidR="00EF1A30">
        <w:rPr>
          <w:color w:val="000000"/>
        </w:rPr>
        <w:t xml:space="preserve">also </w:t>
      </w:r>
      <w:r>
        <w:t>shared his experience:</w:t>
      </w:r>
      <w:r w:rsidR="00AC4B97">
        <w:t xml:space="preserve"> “</w:t>
      </w:r>
      <w:r>
        <w:t xml:space="preserve">Work is challenging and it’s a front-end role in which I have to continuously engage with clients. I have a portfolio and a set of clients with whom I repeatedly engage; it has its own set of challenges. It’s about managing expectations of clients and internal expectations here </w:t>
      </w:r>
      <w:r w:rsidR="00EF1A30">
        <w:t>[at</w:t>
      </w:r>
      <w:r>
        <w:t xml:space="preserve"> CRISIL</w:t>
      </w:r>
      <w:r w:rsidR="00EF1A30">
        <w:t>]</w:t>
      </w:r>
      <w:r>
        <w:t xml:space="preserve"> also. That is a challenge which keeps me driven.</w:t>
      </w:r>
      <w:r w:rsidR="00AC4B97">
        <w:t>”</w:t>
      </w:r>
    </w:p>
    <w:p w14:paraId="4805B0DF" w14:textId="77777777" w:rsidR="00FA78FD" w:rsidRPr="00CE6FCF" w:rsidRDefault="00FA78FD" w:rsidP="00FA78FD">
      <w:pPr>
        <w:pStyle w:val="BodyTextMain"/>
        <w:rPr>
          <w:sz w:val="18"/>
        </w:rPr>
      </w:pPr>
    </w:p>
    <w:p w14:paraId="1D5F4902" w14:textId="26ED029C" w:rsidR="00FA78FD" w:rsidRDefault="00FA78FD" w:rsidP="006C4781">
      <w:pPr>
        <w:pStyle w:val="BodyTextMain"/>
        <w:keepNext/>
      </w:pPr>
      <w:r>
        <w:t>He added</w:t>
      </w:r>
      <w:r w:rsidR="004E1ECD">
        <w:t>,</w:t>
      </w:r>
      <w:r>
        <w:t xml:space="preserve"> </w:t>
      </w:r>
      <w:r w:rsidR="006C4781">
        <w:t>“</w:t>
      </w:r>
      <w:r>
        <w:t>I like the quality of the work here in terms of the actual work and the work culture. The people who work with me are of high quality, which compels me to continuously improve.</w:t>
      </w:r>
      <w:r w:rsidR="006C4781">
        <w:t>”</w:t>
      </w:r>
      <w:r>
        <w:t xml:space="preserve"> </w:t>
      </w:r>
    </w:p>
    <w:p w14:paraId="6B809E13" w14:textId="77777777" w:rsidR="00FA78FD" w:rsidRPr="00CE6FCF" w:rsidRDefault="00FA78FD" w:rsidP="00FA78FD">
      <w:pPr>
        <w:pStyle w:val="BodyTextMain"/>
        <w:rPr>
          <w:sz w:val="18"/>
        </w:rPr>
      </w:pPr>
    </w:p>
    <w:p w14:paraId="403D42A0" w14:textId="77777777" w:rsidR="00FA78FD" w:rsidRPr="00CE6FCF" w:rsidRDefault="00FA78FD" w:rsidP="00FA78FD">
      <w:pPr>
        <w:pStyle w:val="BodyTextMain"/>
        <w:rPr>
          <w:sz w:val="18"/>
        </w:rPr>
      </w:pPr>
    </w:p>
    <w:p w14:paraId="0931DA8E" w14:textId="77777777" w:rsidR="00FA78FD" w:rsidRDefault="00FA78FD" w:rsidP="00FA78FD">
      <w:pPr>
        <w:pStyle w:val="Casehead2"/>
      </w:pPr>
      <w:r>
        <w:t xml:space="preserve">Training Opportunities </w:t>
      </w:r>
    </w:p>
    <w:p w14:paraId="589A38AD" w14:textId="77777777" w:rsidR="00FA78FD" w:rsidRPr="00CE6FCF" w:rsidRDefault="00FA78FD" w:rsidP="00FA78FD">
      <w:pPr>
        <w:pStyle w:val="BodyTextMain"/>
        <w:rPr>
          <w:sz w:val="18"/>
        </w:rPr>
      </w:pPr>
    </w:p>
    <w:p w14:paraId="2F7D1C71" w14:textId="7CB9E73F" w:rsidR="00FA78FD" w:rsidRDefault="00FA78FD" w:rsidP="00FA78FD">
      <w:pPr>
        <w:pStyle w:val="BodyTextMain"/>
      </w:pPr>
      <w:r>
        <w:t xml:space="preserve">CRISIL provided several training opportunities to newcomers to hone their skills. Employees placed </w:t>
      </w:r>
      <w:r w:rsidR="00E67283">
        <w:t xml:space="preserve">great </w:t>
      </w:r>
      <w:r>
        <w:t xml:space="preserve">value on </w:t>
      </w:r>
      <w:r w:rsidR="00EF1A30">
        <w:t xml:space="preserve">the </w:t>
      </w:r>
      <w:r>
        <w:t xml:space="preserve">training opportunities provided by CRISIL; for instance, an employee who </w:t>
      </w:r>
      <w:r w:rsidR="00EF1A30">
        <w:t xml:space="preserve">had </w:t>
      </w:r>
      <w:r>
        <w:t xml:space="preserve">joined </w:t>
      </w:r>
      <w:r w:rsidR="00EF1A30">
        <w:t xml:space="preserve">the company </w:t>
      </w:r>
      <w:r>
        <w:t xml:space="preserve">after about four years of experience at a competing organization </w:t>
      </w:r>
      <w:r w:rsidR="00EF1A30">
        <w:t>said</w:t>
      </w:r>
      <w:r w:rsidR="00BE32FE">
        <w:t>,</w:t>
      </w:r>
    </w:p>
    <w:p w14:paraId="6DB8DB7D" w14:textId="77777777" w:rsidR="00FA78FD" w:rsidRPr="00CE6FCF" w:rsidRDefault="00FA78FD" w:rsidP="00FA78FD">
      <w:pPr>
        <w:pStyle w:val="BodyTextMain"/>
        <w:rPr>
          <w:sz w:val="18"/>
        </w:rPr>
      </w:pPr>
    </w:p>
    <w:p w14:paraId="67C92C57" w14:textId="7CCE45CE" w:rsidR="00FA78FD" w:rsidRDefault="00FA78FD" w:rsidP="00FA78FD">
      <w:pPr>
        <w:pStyle w:val="BodyTextMain"/>
        <w:ind w:left="720"/>
      </w:pPr>
      <w:r>
        <w:t>One thing that stood out was the training I was given at CRISIL. The comprehensive training made it easier for me to fit into the company. My previous employer did not have a formal training program; it was on-the-job training. Here at CRISIL, the training program covered all the processes and made me comfortable. For the first one and half months, it was mainly about getting to know your work</w:t>
      </w:r>
      <w:r w:rsidR="00EF1A30">
        <w:t>,</w:t>
      </w:r>
      <w:r>
        <w:t xml:space="preserve"> which helped me understand about the company and the work.</w:t>
      </w:r>
    </w:p>
    <w:p w14:paraId="2BB6EF08" w14:textId="77777777" w:rsidR="00FA78FD" w:rsidRPr="00CE6FCF" w:rsidRDefault="00FA78FD" w:rsidP="00FA78FD">
      <w:pPr>
        <w:pStyle w:val="BodyTextMain"/>
        <w:rPr>
          <w:sz w:val="18"/>
        </w:rPr>
      </w:pPr>
    </w:p>
    <w:p w14:paraId="23FCCF30" w14:textId="77777777" w:rsidR="00FA78FD" w:rsidRPr="00CE6FCF" w:rsidRDefault="00FA78FD" w:rsidP="00FA78FD">
      <w:pPr>
        <w:pStyle w:val="BodyTextMain"/>
        <w:rPr>
          <w:sz w:val="18"/>
        </w:rPr>
      </w:pPr>
    </w:p>
    <w:p w14:paraId="34A530A4" w14:textId="77777777" w:rsidR="00FA78FD" w:rsidRDefault="00FA78FD" w:rsidP="00FA78FD">
      <w:pPr>
        <w:pStyle w:val="Casehead2"/>
      </w:pPr>
      <w:r>
        <w:t>Rewarding High Performers</w:t>
      </w:r>
    </w:p>
    <w:p w14:paraId="4047D301" w14:textId="77777777" w:rsidR="00FA78FD" w:rsidRPr="004E1ECD" w:rsidRDefault="00FA78FD" w:rsidP="00FA78FD">
      <w:pPr>
        <w:pStyle w:val="BodyTextMain"/>
        <w:rPr>
          <w:spacing w:val="-4"/>
          <w:sz w:val="20"/>
        </w:rPr>
      </w:pPr>
    </w:p>
    <w:p w14:paraId="1E769586" w14:textId="79FD1274" w:rsidR="00FA78FD" w:rsidRPr="004E1ECD" w:rsidRDefault="00FA78FD" w:rsidP="00FA78FD">
      <w:pPr>
        <w:pStyle w:val="BodyTextMain"/>
        <w:rPr>
          <w:spacing w:val="-4"/>
        </w:rPr>
      </w:pPr>
      <w:r w:rsidRPr="004E1ECD">
        <w:rPr>
          <w:spacing w:val="-4"/>
        </w:rPr>
        <w:t>CRISIL recognized its employees for their outstanding performance. A senior manager</w:t>
      </w:r>
      <w:r w:rsidR="00751A78" w:rsidRPr="004E1ECD">
        <w:rPr>
          <w:spacing w:val="-4"/>
        </w:rPr>
        <w:t xml:space="preserve"> of</w:t>
      </w:r>
      <w:r w:rsidRPr="004E1ECD">
        <w:rPr>
          <w:spacing w:val="-4"/>
        </w:rPr>
        <w:t xml:space="preserve"> Rating</w:t>
      </w:r>
      <w:r w:rsidR="00E27321" w:rsidRPr="004E1ECD">
        <w:rPr>
          <w:spacing w:val="-4"/>
        </w:rPr>
        <w:t>,</w:t>
      </w:r>
      <w:r w:rsidRPr="004E1ECD">
        <w:rPr>
          <w:spacing w:val="-4"/>
        </w:rPr>
        <w:t xml:space="preserve"> Large Corporate Group,</w:t>
      </w:r>
      <w:r w:rsidR="00616EEA" w:rsidRPr="004E1ECD">
        <w:rPr>
          <w:spacing w:val="-4"/>
        </w:rPr>
        <w:t xml:space="preserve"> </w:t>
      </w:r>
      <w:r w:rsidRPr="004E1ECD">
        <w:rPr>
          <w:spacing w:val="-4"/>
        </w:rPr>
        <w:t xml:space="preserve">who had about seven years of experience, </w:t>
      </w:r>
      <w:r w:rsidR="00751A78" w:rsidRPr="004E1ECD">
        <w:rPr>
          <w:spacing w:val="-4"/>
        </w:rPr>
        <w:t>stated,</w:t>
      </w:r>
      <w:r w:rsidRPr="004E1ECD">
        <w:rPr>
          <w:spacing w:val="-4"/>
        </w:rPr>
        <w:t xml:space="preserve"> “If you do good things, you get noticed at </w:t>
      </w:r>
      <w:r w:rsidR="005D0B9D" w:rsidRPr="004E1ECD">
        <w:rPr>
          <w:spacing w:val="-4"/>
        </w:rPr>
        <w:t>[</w:t>
      </w:r>
      <w:r w:rsidRPr="004E1ECD">
        <w:rPr>
          <w:spacing w:val="-4"/>
        </w:rPr>
        <w:t>the</w:t>
      </w:r>
      <w:r w:rsidR="005D0B9D" w:rsidRPr="004E1ECD">
        <w:rPr>
          <w:spacing w:val="-4"/>
        </w:rPr>
        <w:t>]</w:t>
      </w:r>
      <w:r w:rsidRPr="004E1ECD">
        <w:rPr>
          <w:spacing w:val="-4"/>
        </w:rPr>
        <w:t xml:space="preserve"> higher level and achieve early recognition; that is the uniqueness of CRISIL.” </w:t>
      </w:r>
    </w:p>
    <w:p w14:paraId="4652E615" w14:textId="77777777" w:rsidR="00FA78FD" w:rsidRPr="004E1ECD" w:rsidRDefault="00FA78FD" w:rsidP="00FA78FD">
      <w:pPr>
        <w:pStyle w:val="BodyTextMain"/>
        <w:rPr>
          <w:spacing w:val="-4"/>
          <w:sz w:val="18"/>
        </w:rPr>
      </w:pPr>
    </w:p>
    <w:p w14:paraId="75519A81" w14:textId="24D283BD" w:rsidR="00FA78FD" w:rsidRPr="004E1ECD" w:rsidRDefault="00FA78FD" w:rsidP="00FA78FD">
      <w:pPr>
        <w:pStyle w:val="BodyTextMain"/>
        <w:rPr>
          <w:spacing w:val="-4"/>
        </w:rPr>
      </w:pPr>
      <w:r w:rsidRPr="004E1ECD">
        <w:rPr>
          <w:spacing w:val="-4"/>
        </w:rPr>
        <w:t>Another employee confirmed the provision of several rewards in CRISIL</w:t>
      </w:r>
      <w:r w:rsidR="00751A78" w:rsidRPr="004E1ECD">
        <w:rPr>
          <w:spacing w:val="-4"/>
        </w:rPr>
        <w:t>, saying,</w:t>
      </w:r>
      <w:r w:rsidRPr="004E1ECD">
        <w:rPr>
          <w:spacing w:val="-4"/>
        </w:rPr>
        <w:t xml:space="preserve"> “We have a number of rewards such as monthly rewards, quarterly rewards, etc. I received a CLAP</w:t>
      </w:r>
      <w:r w:rsidRPr="004E1ECD">
        <w:rPr>
          <w:rStyle w:val="FootnoteReference"/>
          <w:spacing w:val="-4"/>
        </w:rPr>
        <w:footnoteReference w:id="1"/>
      </w:r>
      <w:r w:rsidRPr="004E1ECD">
        <w:rPr>
          <w:spacing w:val="-4"/>
        </w:rPr>
        <w:t xml:space="preserve"> </w:t>
      </w:r>
      <w:r w:rsidR="00751A78" w:rsidRPr="004E1ECD">
        <w:rPr>
          <w:spacing w:val="-4"/>
        </w:rPr>
        <w:t>a</w:t>
      </w:r>
      <w:r w:rsidRPr="004E1ECD">
        <w:rPr>
          <w:spacing w:val="-4"/>
        </w:rPr>
        <w:t>ward in April 2017. If your team or manager or higher authority feels that you did excellent work in a quarter or month, you get rewarded.”</w:t>
      </w:r>
    </w:p>
    <w:p w14:paraId="3C7F3F98" w14:textId="77777777" w:rsidR="008879D6" w:rsidRPr="00037C1D" w:rsidRDefault="008879D6" w:rsidP="00FA78FD">
      <w:pPr>
        <w:pStyle w:val="BodyTextMain"/>
        <w:rPr>
          <w:sz w:val="18"/>
        </w:rPr>
      </w:pPr>
    </w:p>
    <w:p w14:paraId="78B7810F" w14:textId="77777777" w:rsidR="008879D6" w:rsidRPr="00037C1D" w:rsidRDefault="008879D6" w:rsidP="00FA78FD">
      <w:pPr>
        <w:pStyle w:val="BodyTextMain"/>
        <w:rPr>
          <w:sz w:val="18"/>
        </w:rPr>
      </w:pPr>
    </w:p>
    <w:p w14:paraId="4F11423A" w14:textId="3B14B710" w:rsidR="00FA78FD" w:rsidRDefault="00FA78FD" w:rsidP="00CE6FCF">
      <w:pPr>
        <w:pStyle w:val="Casehead1"/>
        <w:keepNext/>
      </w:pPr>
      <w:r>
        <w:t xml:space="preserve">EMPLOYEE PERCEPTION </w:t>
      </w:r>
      <w:r w:rsidR="009B76ED">
        <w:t>of</w:t>
      </w:r>
      <w:r>
        <w:t xml:space="preserve"> ATTRACTION DRIVERS </w:t>
      </w:r>
    </w:p>
    <w:p w14:paraId="642677DF" w14:textId="77777777" w:rsidR="00FA78FD" w:rsidRPr="00CE6FCF" w:rsidRDefault="00FA78FD" w:rsidP="00CE6FCF">
      <w:pPr>
        <w:pStyle w:val="BodyTextMain"/>
        <w:keepNext/>
        <w:rPr>
          <w:sz w:val="18"/>
        </w:rPr>
      </w:pPr>
    </w:p>
    <w:p w14:paraId="32D19249" w14:textId="5B5C2B7C" w:rsidR="00FA78FD" w:rsidRPr="000429E8" w:rsidRDefault="009B76ED" w:rsidP="00CE6FCF">
      <w:pPr>
        <w:pStyle w:val="BodyTextMain"/>
        <w:keepNext/>
      </w:pPr>
      <w:r>
        <w:t>S</w:t>
      </w:r>
      <w:r w:rsidR="00FA78FD" w:rsidRPr="000429E8">
        <w:t>everal drivers made CRISIL attractive in the employment market (see Exhibit 7). According to current employees, the major attraction drivers were</w:t>
      </w:r>
      <w:r>
        <w:t xml:space="preserve"> the </w:t>
      </w:r>
      <w:r w:rsidR="00FA78FD" w:rsidRPr="000429E8">
        <w:t>strong brand name in the ratings and analytics business, exposure to diverse clients and client-facing roles, opportunity to work with a diverse range of businesses providing different assignments, prospects to work with high quality talent, challenging work environment, friendly work culture, meritocracy</w:t>
      </w:r>
      <w:r>
        <w:t>,</w:t>
      </w:r>
      <w:r w:rsidR="00FA78FD" w:rsidRPr="000429E8">
        <w:t xml:space="preserve"> and access to senior management. CRISIL believed in </w:t>
      </w:r>
      <w:r>
        <w:t>“</w:t>
      </w:r>
      <w:r w:rsidR="00FA78FD" w:rsidRPr="000429E8">
        <w:t xml:space="preserve">snapping up the </w:t>
      </w:r>
      <w:r w:rsidR="00FA78FD" w:rsidRPr="000429E8">
        <w:lastRenderedPageBreak/>
        <w:t>good people even if there was no role for them</w:t>
      </w:r>
      <w:r>
        <w:t>.”</w:t>
      </w:r>
      <w:r w:rsidR="00FA78FD" w:rsidRPr="000429E8">
        <w:t xml:space="preserve"> In one of his pre-placement talks</w:t>
      </w:r>
      <w:r w:rsidR="00D72A6B" w:rsidRPr="000429E8">
        <w:t xml:space="preserve"> </w:t>
      </w:r>
      <w:r w:rsidR="00FA78FD" w:rsidRPr="000429E8">
        <w:t xml:space="preserve">at </w:t>
      </w:r>
      <w:r>
        <w:t xml:space="preserve">the </w:t>
      </w:r>
      <w:r w:rsidR="00FA78FD" w:rsidRPr="000429E8">
        <w:t xml:space="preserve">Indian Institute of Management Ahmedabad in 1992, CRISIL’s </w:t>
      </w:r>
      <w:r w:rsidRPr="000429E8">
        <w:t>m</w:t>
      </w:r>
      <w:r w:rsidR="00FA78FD" w:rsidRPr="000429E8">
        <w:t xml:space="preserve">anaging </w:t>
      </w:r>
      <w:r w:rsidRPr="000429E8">
        <w:t>d</w:t>
      </w:r>
      <w:r w:rsidR="00FA78FD" w:rsidRPr="000429E8">
        <w:t xml:space="preserve">irector </w:t>
      </w:r>
      <w:r w:rsidR="00C43101">
        <w:t>said</w:t>
      </w:r>
      <w:r w:rsidR="00BE32FE">
        <w:t>,</w:t>
      </w:r>
    </w:p>
    <w:p w14:paraId="2CE5C00E" w14:textId="77777777" w:rsidR="00FA78FD" w:rsidRPr="00CE6FCF" w:rsidRDefault="00FA78FD" w:rsidP="00FA78FD">
      <w:pPr>
        <w:pStyle w:val="BodyTextMain"/>
        <w:rPr>
          <w:sz w:val="20"/>
        </w:rPr>
      </w:pPr>
    </w:p>
    <w:p w14:paraId="0505A225" w14:textId="77777777" w:rsidR="00FA78FD" w:rsidRDefault="00FA78FD" w:rsidP="00FA78FD">
      <w:pPr>
        <w:pStyle w:val="BodyTextMain"/>
        <w:ind w:left="720"/>
      </w:pPr>
      <w:r>
        <w:t>Join us if you want to learn something. Join us if you want to answer some challenging questions and ask some more of your own. Don’t join us as a stepping stone because you didn’t get a job elsewhere. That way you won’t last long at CRISIL. We will pay a tenth of what the biggies will pay you. Join us with an open mind; this is where you will get a chance to shape the future of India’s financial markets. This is where you will stamp your name in the annals of India’s corporate history. Else, don’t join us.</w:t>
      </w:r>
      <w:r>
        <w:rPr>
          <w:rStyle w:val="FootnoteReference"/>
        </w:rPr>
        <w:footnoteReference w:id="2"/>
      </w:r>
      <w:r>
        <w:t xml:space="preserve"> </w:t>
      </w:r>
    </w:p>
    <w:p w14:paraId="442A1CBD" w14:textId="77777777" w:rsidR="00917F03" w:rsidRPr="00CE6FCF" w:rsidRDefault="00917F03" w:rsidP="00CE6FCF">
      <w:pPr>
        <w:pStyle w:val="BodyTextMain"/>
        <w:rPr>
          <w:sz w:val="18"/>
        </w:rPr>
      </w:pPr>
    </w:p>
    <w:p w14:paraId="1E9D5A73" w14:textId="77777777" w:rsidR="00FA78FD" w:rsidRPr="00CE6FCF" w:rsidRDefault="00FA78FD" w:rsidP="00CE6FCF">
      <w:pPr>
        <w:pStyle w:val="BodyTextMain"/>
        <w:rPr>
          <w:sz w:val="18"/>
        </w:rPr>
      </w:pPr>
    </w:p>
    <w:p w14:paraId="15A3B4D0" w14:textId="77777777" w:rsidR="00FA78FD" w:rsidRDefault="00FA78FD" w:rsidP="006C4781">
      <w:pPr>
        <w:pStyle w:val="Casehead2"/>
      </w:pPr>
      <w:r>
        <w:t>CRISIL as a Brand</w:t>
      </w:r>
    </w:p>
    <w:p w14:paraId="445C4A88" w14:textId="77777777" w:rsidR="006C4781" w:rsidRPr="00CE6FCF" w:rsidRDefault="006C4781" w:rsidP="00FA78FD">
      <w:pPr>
        <w:pStyle w:val="BodyTextMain"/>
        <w:rPr>
          <w:sz w:val="20"/>
        </w:rPr>
      </w:pPr>
    </w:p>
    <w:p w14:paraId="23A41B60" w14:textId="2043929C" w:rsidR="00FA78FD" w:rsidRDefault="00FA78FD" w:rsidP="00FA78FD">
      <w:pPr>
        <w:pStyle w:val="BodyTextMain"/>
      </w:pPr>
      <w:r>
        <w:t>CRISIL had an excellent reputation in the ratings business and was perceived as a strong employer brand by job seekers. An employee recollected</w:t>
      </w:r>
      <w:r w:rsidR="00BE32FE">
        <w:t>,</w:t>
      </w:r>
    </w:p>
    <w:p w14:paraId="69BAEECA" w14:textId="77777777" w:rsidR="006C4781" w:rsidRPr="00CE6FCF" w:rsidRDefault="006C4781" w:rsidP="00FA78FD">
      <w:pPr>
        <w:pStyle w:val="BodyTextMain"/>
        <w:rPr>
          <w:sz w:val="20"/>
        </w:rPr>
      </w:pPr>
    </w:p>
    <w:p w14:paraId="4367AF12" w14:textId="6D89F2C9" w:rsidR="00FA78FD" w:rsidRDefault="00FA78FD" w:rsidP="006C4781">
      <w:pPr>
        <w:pStyle w:val="BodyTextMain"/>
        <w:ind w:left="720"/>
      </w:pPr>
      <w:r>
        <w:t xml:space="preserve">I could see the difference in professionalism at CRISIL </w:t>
      </w:r>
      <w:r w:rsidR="00C43101">
        <w:t>[</w:t>
      </w:r>
      <w:r>
        <w:t>compared to my previous employer</w:t>
      </w:r>
      <w:r w:rsidR="00C43101">
        <w:t>]</w:t>
      </w:r>
      <w:r>
        <w:t xml:space="preserve">. In my previous company, I had no defined role and was given any job which was available. I never liked that. I have an MBA, so I expected something better, which I never got. Since CRISIL is a brand, everyone wants to be here. When I was making a presentation on ratings companies during my MBA, I knew </w:t>
      </w:r>
      <w:r w:rsidR="00A930AB">
        <w:t>t</w:t>
      </w:r>
      <w:r>
        <w:t>hat CRISIL was one of the best ratings companies. Since then, I felt</w:t>
      </w:r>
      <w:r w:rsidR="007F5621">
        <w:t xml:space="preserve"> . . .</w:t>
      </w:r>
      <w:r>
        <w:t xml:space="preserve"> if I get an opportunity to work here, I would be privileged, so I joined here. It was a dream job for me.</w:t>
      </w:r>
    </w:p>
    <w:p w14:paraId="7BB430C2" w14:textId="77777777" w:rsidR="00CC717B" w:rsidRPr="00CE6FCF" w:rsidRDefault="00CC717B" w:rsidP="00FA78FD">
      <w:pPr>
        <w:pStyle w:val="BodyTextMain"/>
        <w:rPr>
          <w:sz w:val="20"/>
        </w:rPr>
      </w:pPr>
    </w:p>
    <w:p w14:paraId="4ABF7FE8" w14:textId="77777777" w:rsidR="00FA78FD" w:rsidRDefault="00FA78FD" w:rsidP="00FA78FD">
      <w:pPr>
        <w:pStyle w:val="BodyTextMain"/>
      </w:pPr>
      <w:r>
        <w:t>Another employee explained his reasons for joining CRISIL as follows:</w:t>
      </w:r>
      <w:r w:rsidR="006C4781">
        <w:t xml:space="preserve"> </w:t>
      </w:r>
      <w:r>
        <w:t>“I worked for a competing company for four years, which gave me a good background of the kind of work at CRISIL. In this industry, CRISIL is the best brand name. The processes are much more streamlined and defined here.”</w:t>
      </w:r>
    </w:p>
    <w:p w14:paraId="2F9AC3D2" w14:textId="77777777" w:rsidR="00FA78FD" w:rsidRPr="00CE6FCF" w:rsidRDefault="00FA78FD" w:rsidP="00FA78FD">
      <w:pPr>
        <w:pStyle w:val="BodyTextMain"/>
        <w:rPr>
          <w:sz w:val="20"/>
        </w:rPr>
      </w:pPr>
    </w:p>
    <w:p w14:paraId="5F570F47" w14:textId="77777777" w:rsidR="006C4781" w:rsidRPr="00CE6FCF" w:rsidRDefault="006C4781" w:rsidP="00FA78FD">
      <w:pPr>
        <w:pStyle w:val="BodyTextMain"/>
        <w:rPr>
          <w:sz w:val="20"/>
        </w:rPr>
      </w:pPr>
    </w:p>
    <w:p w14:paraId="29F1F547" w14:textId="77777777" w:rsidR="00FA78FD" w:rsidRDefault="00FA78FD" w:rsidP="006C4781">
      <w:pPr>
        <w:pStyle w:val="Casehead2"/>
      </w:pPr>
      <w:r>
        <w:t>Job Profile</w:t>
      </w:r>
    </w:p>
    <w:p w14:paraId="425B8081" w14:textId="77777777" w:rsidR="006C4781" w:rsidRPr="00CE6FCF" w:rsidRDefault="006C4781" w:rsidP="00FA78FD">
      <w:pPr>
        <w:pStyle w:val="BodyTextMain"/>
        <w:rPr>
          <w:sz w:val="20"/>
        </w:rPr>
      </w:pPr>
    </w:p>
    <w:p w14:paraId="4B5DBB4A" w14:textId="3DF2F9C4" w:rsidR="00FA78FD" w:rsidRDefault="00FA78FD" w:rsidP="00FA78FD">
      <w:pPr>
        <w:pStyle w:val="BodyTextMain"/>
      </w:pPr>
      <w:r>
        <w:t xml:space="preserve">CRISIL promised </w:t>
      </w:r>
      <w:r w:rsidR="007F5621">
        <w:t xml:space="preserve">fresh recruits </w:t>
      </w:r>
      <w:r>
        <w:t>work profile</w:t>
      </w:r>
      <w:r w:rsidR="003907E3">
        <w:t>s</w:t>
      </w:r>
      <w:r>
        <w:t xml:space="preserve"> that </w:t>
      </w:r>
      <w:r w:rsidR="003907E3">
        <w:t>w</w:t>
      </w:r>
      <w:r w:rsidR="007F5621">
        <w:t xml:space="preserve">ould </w:t>
      </w:r>
      <w:r w:rsidR="003907E3">
        <w:t>give them</w:t>
      </w:r>
      <w:r>
        <w:t xml:space="preserve"> diverse exposure and </w:t>
      </w:r>
      <w:r w:rsidR="003907E3">
        <w:t xml:space="preserve">an opportunity to </w:t>
      </w:r>
      <w:r>
        <w:t xml:space="preserve">grow </w:t>
      </w:r>
      <w:r w:rsidR="007F5621">
        <w:t>quickly</w:t>
      </w:r>
      <w:r>
        <w:t xml:space="preserve"> in the initial stages of their career. An employee who had a four-year stint at Irevna, a subsidiary of CRISIL </w:t>
      </w:r>
      <w:r w:rsidR="007F5621">
        <w:t>in</w:t>
      </w:r>
      <w:r>
        <w:t xml:space="preserve"> Hangzhou, China, shared the expe</w:t>
      </w:r>
      <w:r w:rsidR="006C4781">
        <w:t xml:space="preserve">rience of </w:t>
      </w:r>
      <w:r w:rsidR="007F5621">
        <w:t xml:space="preserve">hiring </w:t>
      </w:r>
      <w:r w:rsidR="006C4781">
        <w:t>a Chinese graduate:</w:t>
      </w:r>
    </w:p>
    <w:p w14:paraId="65E6EB55" w14:textId="77777777" w:rsidR="006C4781" w:rsidRPr="001156A4" w:rsidRDefault="006C4781" w:rsidP="00FA78FD">
      <w:pPr>
        <w:pStyle w:val="BodyTextMain"/>
        <w:rPr>
          <w:sz w:val="20"/>
        </w:rPr>
      </w:pPr>
    </w:p>
    <w:p w14:paraId="66DF19D5" w14:textId="0FED84C1" w:rsidR="00FA78FD" w:rsidRDefault="00FA78FD" w:rsidP="006C4781">
      <w:pPr>
        <w:pStyle w:val="BodyTextMain"/>
        <w:ind w:left="720"/>
      </w:pPr>
      <w:r>
        <w:t>I interviewed a young lady for a health</w:t>
      </w:r>
      <w:r w:rsidR="007F5621">
        <w:t xml:space="preserve"> </w:t>
      </w:r>
      <w:r>
        <w:t xml:space="preserve">care research role. She had another offer and asked me why she should choose CRISIL. I told her to work with us for a week and if she did not like us, she could leave; I would not question her. She joined </w:t>
      </w:r>
      <w:r w:rsidR="00D6753C">
        <w:t>[</w:t>
      </w:r>
      <w:r>
        <w:t>and stayed with CRISIL</w:t>
      </w:r>
      <w:r w:rsidR="00D6753C">
        <w:t>]</w:t>
      </w:r>
      <w:r>
        <w:t xml:space="preserve"> and said that it was unfortunate that she did not know a company like CRISIL</w:t>
      </w:r>
      <w:r w:rsidR="007F5621">
        <w:t xml:space="preserve"> . . .</w:t>
      </w:r>
      <w:r>
        <w:t xml:space="preserve"> in China.</w:t>
      </w:r>
    </w:p>
    <w:p w14:paraId="17EEE72F" w14:textId="77777777" w:rsidR="00FA78FD" w:rsidRPr="001156A4" w:rsidRDefault="00FA78FD" w:rsidP="00FA78FD">
      <w:pPr>
        <w:pStyle w:val="BodyTextMain"/>
        <w:rPr>
          <w:sz w:val="20"/>
        </w:rPr>
      </w:pPr>
    </w:p>
    <w:p w14:paraId="4327B1A4" w14:textId="17292380" w:rsidR="00FA78FD" w:rsidRDefault="00FA78FD" w:rsidP="00FA78FD">
      <w:pPr>
        <w:pStyle w:val="BodyTextMain"/>
      </w:pPr>
      <w:r>
        <w:t>Another employee reflected</w:t>
      </w:r>
      <w:r w:rsidR="007F5621">
        <w:t>,</w:t>
      </w:r>
      <w:r w:rsidR="006C4781">
        <w:t xml:space="preserve"> </w:t>
      </w:r>
      <w:r>
        <w:t>“CRISIL does not restrict you to just your job. It gives you the freedom to be a part of many other activities along with your job. Every day with new team members, you learn new things. I am here for that.”</w:t>
      </w:r>
    </w:p>
    <w:p w14:paraId="32DF0A4C" w14:textId="77777777" w:rsidR="008879D6" w:rsidRPr="00037C1D" w:rsidRDefault="008879D6" w:rsidP="00FA78FD">
      <w:pPr>
        <w:pStyle w:val="BodyTextMain"/>
        <w:rPr>
          <w:sz w:val="20"/>
        </w:rPr>
      </w:pPr>
    </w:p>
    <w:p w14:paraId="319AC42D" w14:textId="02316497" w:rsidR="008879D6" w:rsidRPr="00037C1D" w:rsidRDefault="008879D6" w:rsidP="00FA78FD">
      <w:pPr>
        <w:pStyle w:val="BodyTextMain"/>
        <w:rPr>
          <w:sz w:val="20"/>
        </w:rPr>
      </w:pPr>
    </w:p>
    <w:p w14:paraId="61D28940" w14:textId="77777777" w:rsidR="00FA78FD" w:rsidRDefault="00FA78FD" w:rsidP="000429E8">
      <w:pPr>
        <w:pStyle w:val="Casehead2"/>
        <w:keepNext/>
      </w:pPr>
      <w:r>
        <w:t>Work Culture</w:t>
      </w:r>
    </w:p>
    <w:p w14:paraId="64E851A9" w14:textId="77777777" w:rsidR="006C4781" w:rsidRPr="001156A4" w:rsidRDefault="006C4781" w:rsidP="000429E8">
      <w:pPr>
        <w:pStyle w:val="BodyTextMain"/>
        <w:keepNext/>
        <w:rPr>
          <w:sz w:val="18"/>
        </w:rPr>
      </w:pPr>
    </w:p>
    <w:p w14:paraId="3F91B270" w14:textId="4513BB52" w:rsidR="00FA78FD" w:rsidRPr="006C4781" w:rsidRDefault="00FA78FD" w:rsidP="000429E8">
      <w:pPr>
        <w:pStyle w:val="BodyTextMain"/>
        <w:keepNext/>
        <w:rPr>
          <w:spacing w:val="-2"/>
        </w:rPr>
      </w:pPr>
      <w:r w:rsidRPr="006C4781">
        <w:rPr>
          <w:spacing w:val="-2"/>
        </w:rPr>
        <w:t xml:space="preserve">Employees felt that, in addition to other things, CRISIL’s culture was an important attraction driver. An employee who returned to CRISIL’s Chennai office after a four-year stint at </w:t>
      </w:r>
      <w:proofErr w:type="spellStart"/>
      <w:r w:rsidRPr="006C4781">
        <w:rPr>
          <w:spacing w:val="-2"/>
        </w:rPr>
        <w:t>Irevna</w:t>
      </w:r>
      <w:proofErr w:type="spellEnd"/>
      <w:r w:rsidRPr="006C4781">
        <w:rPr>
          <w:spacing w:val="-2"/>
        </w:rPr>
        <w:t xml:space="preserve"> recollected his </w:t>
      </w:r>
      <w:proofErr w:type="spellStart"/>
      <w:r w:rsidRPr="006C4781">
        <w:rPr>
          <w:spacing w:val="-2"/>
        </w:rPr>
        <w:t>rejoining</w:t>
      </w:r>
      <w:proofErr w:type="spellEnd"/>
      <w:r w:rsidRPr="006C4781">
        <w:rPr>
          <w:spacing w:val="-2"/>
        </w:rPr>
        <w:t xml:space="preserve"> experience</w:t>
      </w:r>
      <w:r w:rsidR="00970082">
        <w:rPr>
          <w:spacing w:val="-2"/>
        </w:rPr>
        <w:t>:</w:t>
      </w:r>
      <w:r w:rsidRPr="006C4781">
        <w:rPr>
          <w:spacing w:val="-2"/>
        </w:rPr>
        <w:t xml:space="preserve"> “Overall</w:t>
      </w:r>
      <w:r w:rsidR="00D6753C">
        <w:rPr>
          <w:spacing w:val="-2"/>
        </w:rPr>
        <w:t>,</w:t>
      </w:r>
      <w:r w:rsidRPr="006C4781">
        <w:rPr>
          <w:spacing w:val="-2"/>
        </w:rPr>
        <w:t xml:space="preserve"> </w:t>
      </w:r>
      <w:r w:rsidR="00D6753C">
        <w:rPr>
          <w:spacing w:val="-2"/>
        </w:rPr>
        <w:t>[</w:t>
      </w:r>
      <w:r w:rsidRPr="006C4781">
        <w:rPr>
          <w:spacing w:val="-2"/>
        </w:rPr>
        <w:t>the</w:t>
      </w:r>
      <w:r w:rsidR="00D6753C">
        <w:rPr>
          <w:spacing w:val="-2"/>
        </w:rPr>
        <w:t>]</w:t>
      </w:r>
      <w:r w:rsidRPr="006C4781">
        <w:rPr>
          <w:spacing w:val="-2"/>
        </w:rPr>
        <w:t xml:space="preserve"> work environment is friendly and helpful. I just moved back to India after four </w:t>
      </w:r>
      <w:r w:rsidRPr="006C4781">
        <w:rPr>
          <w:spacing w:val="-2"/>
        </w:rPr>
        <w:lastRenderedPageBreak/>
        <w:t>years. I did not have to take up a formal route and check with HR on every little thing. They are more than willing to help.” He added</w:t>
      </w:r>
      <w:r w:rsidR="00250D13">
        <w:rPr>
          <w:spacing w:val="-2"/>
        </w:rPr>
        <w:t>,</w:t>
      </w:r>
      <w:r w:rsidRPr="006C4781">
        <w:rPr>
          <w:spacing w:val="-2"/>
        </w:rPr>
        <w:t xml:space="preserve"> “I have not been here for long and when I came back, I felt as if I am back home. This defines the overall culture in terms of relationships with colleagues, which is very friendly and open</w:t>
      </w:r>
      <w:r w:rsidR="00D6753C">
        <w:rPr>
          <w:spacing w:val="-2"/>
        </w:rPr>
        <w:t>—</w:t>
      </w:r>
      <w:r w:rsidRPr="006C4781">
        <w:rPr>
          <w:spacing w:val="-2"/>
        </w:rPr>
        <w:t xml:space="preserve">not only with people at the same level, but also across levels. The management is quite accessible.” </w:t>
      </w:r>
    </w:p>
    <w:p w14:paraId="537737B2" w14:textId="77777777" w:rsidR="00FA78FD" w:rsidRPr="001156A4" w:rsidRDefault="00FA78FD" w:rsidP="00FA78FD">
      <w:pPr>
        <w:pStyle w:val="BodyTextMain"/>
        <w:rPr>
          <w:sz w:val="20"/>
        </w:rPr>
      </w:pPr>
    </w:p>
    <w:p w14:paraId="1FA08CAB" w14:textId="4202B0B1" w:rsidR="00FA78FD" w:rsidRPr="004E1ECD" w:rsidRDefault="00FA78FD" w:rsidP="00FA78FD">
      <w:pPr>
        <w:pStyle w:val="BodyTextMain"/>
        <w:rPr>
          <w:spacing w:val="-4"/>
        </w:rPr>
      </w:pPr>
      <w:r w:rsidRPr="004E1ECD">
        <w:rPr>
          <w:spacing w:val="-4"/>
        </w:rPr>
        <w:t>Another employee compared CRISIL’s culture with his previous employer</w:t>
      </w:r>
      <w:r w:rsidR="00D6753C" w:rsidRPr="004E1ECD">
        <w:rPr>
          <w:spacing w:val="-4"/>
        </w:rPr>
        <w:t xml:space="preserve"> by saying,</w:t>
      </w:r>
      <w:r w:rsidRPr="004E1ECD">
        <w:rPr>
          <w:color w:val="000000"/>
          <w:spacing w:val="-4"/>
        </w:rPr>
        <w:t xml:space="preserve"> “</w:t>
      </w:r>
      <w:r w:rsidRPr="004E1ECD">
        <w:rPr>
          <w:spacing w:val="-4"/>
        </w:rPr>
        <w:t xml:space="preserve">There </w:t>
      </w:r>
      <w:r w:rsidR="00D6753C" w:rsidRPr="004E1ECD">
        <w:rPr>
          <w:spacing w:val="-4"/>
        </w:rPr>
        <w:t>[</w:t>
      </w:r>
      <w:r w:rsidRPr="004E1ECD">
        <w:rPr>
          <w:spacing w:val="-4"/>
        </w:rPr>
        <w:t>at the previous employer</w:t>
      </w:r>
      <w:r w:rsidR="00D6753C" w:rsidRPr="004E1ECD">
        <w:rPr>
          <w:spacing w:val="-4"/>
        </w:rPr>
        <w:t>]</w:t>
      </w:r>
      <w:r w:rsidRPr="004E1ECD">
        <w:rPr>
          <w:spacing w:val="-4"/>
        </w:rPr>
        <w:t xml:space="preserve"> were multiple levels and it was very autocratic. CRISIL is a sea change in terms of culture; you can walk into any senior’s office and have a discussion. This is the major difference that I have found here.” </w:t>
      </w:r>
    </w:p>
    <w:p w14:paraId="6D415043" w14:textId="77777777" w:rsidR="00FA78FD" w:rsidRPr="001156A4" w:rsidRDefault="00FA78FD" w:rsidP="00FA78FD">
      <w:pPr>
        <w:pStyle w:val="BodyTextMain"/>
        <w:rPr>
          <w:sz w:val="18"/>
        </w:rPr>
      </w:pPr>
    </w:p>
    <w:p w14:paraId="7DB119DD" w14:textId="77777777" w:rsidR="006C4781" w:rsidRPr="001156A4" w:rsidRDefault="006C4781" w:rsidP="00FA78FD">
      <w:pPr>
        <w:pStyle w:val="BodyTextMain"/>
        <w:rPr>
          <w:sz w:val="18"/>
        </w:rPr>
      </w:pPr>
    </w:p>
    <w:p w14:paraId="0E3A397C" w14:textId="2D64A363" w:rsidR="00FA78FD" w:rsidRDefault="004E2F59" w:rsidP="006C4781">
      <w:pPr>
        <w:pStyle w:val="Casehead1"/>
      </w:pPr>
      <w:r>
        <w:t>going</w:t>
      </w:r>
      <w:r w:rsidR="00FA78FD">
        <w:t xml:space="preserve"> BEYOND ITS RESPONSIBILITIES AS AN EMPLOYER</w:t>
      </w:r>
    </w:p>
    <w:p w14:paraId="6ABC09CF" w14:textId="77777777" w:rsidR="006C4781" w:rsidRPr="001156A4" w:rsidRDefault="006C4781" w:rsidP="00FA78FD">
      <w:pPr>
        <w:pStyle w:val="BodyTextMain"/>
        <w:rPr>
          <w:sz w:val="20"/>
        </w:rPr>
      </w:pPr>
    </w:p>
    <w:p w14:paraId="4AD13A24" w14:textId="559BEF92" w:rsidR="00FA78FD" w:rsidRDefault="003907E3" w:rsidP="00FA78FD">
      <w:pPr>
        <w:pStyle w:val="BodyTextMain"/>
      </w:pPr>
      <w:r>
        <w:t xml:space="preserve">Employees believed </w:t>
      </w:r>
      <w:r w:rsidR="00FA78FD">
        <w:t xml:space="preserve">CRISIL went beyond its basic responsibilities as an employer </w:t>
      </w:r>
      <w:r>
        <w:t>in considering</w:t>
      </w:r>
      <w:r w:rsidR="00FA78FD">
        <w:t xml:space="preserve"> employees’ personal and family needs. An employee emphasized this by recalling an example of a colleague </w:t>
      </w:r>
      <w:r w:rsidR="00D6753C">
        <w:t>o</w:t>
      </w:r>
      <w:r w:rsidR="00FA78FD">
        <w:t>n her team:</w:t>
      </w:r>
    </w:p>
    <w:p w14:paraId="57B05F27" w14:textId="77777777" w:rsidR="006C4781" w:rsidRPr="001156A4" w:rsidRDefault="006C4781" w:rsidP="00FA78FD">
      <w:pPr>
        <w:pStyle w:val="BodyTextMain"/>
        <w:rPr>
          <w:sz w:val="20"/>
        </w:rPr>
      </w:pPr>
    </w:p>
    <w:p w14:paraId="243F4079" w14:textId="77777777" w:rsidR="00FA78FD" w:rsidRDefault="00FA78FD" w:rsidP="006C4781">
      <w:pPr>
        <w:pStyle w:val="BodyTextMain"/>
        <w:ind w:left="720"/>
      </w:pPr>
      <w:r>
        <w:t>My colleague’s father suffered a heart attack; he resided in another city. We have a certain limit for our medical insurance and my colleague had exhausted that amount. The HR team extended support by offering funds and arranging for resources at the city where my colleague’s father resided. Not all organizations would go out of the way to do things like this for their employees.</w:t>
      </w:r>
    </w:p>
    <w:p w14:paraId="29992B9D" w14:textId="77777777" w:rsidR="00FA78FD" w:rsidRPr="001156A4" w:rsidRDefault="00FA78FD" w:rsidP="00FA78FD">
      <w:pPr>
        <w:pStyle w:val="BodyTextMain"/>
        <w:rPr>
          <w:sz w:val="20"/>
        </w:rPr>
      </w:pPr>
    </w:p>
    <w:p w14:paraId="742AEEB6" w14:textId="29B8F82D" w:rsidR="00FA78FD" w:rsidRDefault="00FA78FD" w:rsidP="00FA78FD">
      <w:pPr>
        <w:pStyle w:val="BodyTextMain"/>
      </w:pPr>
      <w:r>
        <w:t xml:space="preserve">A senior manager highlighted </w:t>
      </w:r>
      <w:r w:rsidR="001A6B8A">
        <w:t xml:space="preserve">the way CRISIL </w:t>
      </w:r>
      <w:r w:rsidR="003907E3">
        <w:t>tried to go</w:t>
      </w:r>
      <w:r w:rsidR="001A6B8A">
        <w:t xml:space="preserve"> out of its way for employees</w:t>
      </w:r>
      <w:r>
        <w:t xml:space="preserve">: </w:t>
      </w:r>
    </w:p>
    <w:p w14:paraId="2E14C3AA" w14:textId="77777777" w:rsidR="006C4781" w:rsidRPr="001156A4" w:rsidRDefault="006C4781" w:rsidP="00FA78FD">
      <w:pPr>
        <w:pStyle w:val="BodyTextMain"/>
        <w:rPr>
          <w:sz w:val="20"/>
        </w:rPr>
      </w:pPr>
    </w:p>
    <w:p w14:paraId="6DA31ADC" w14:textId="3D550190" w:rsidR="00FA78FD" w:rsidRDefault="00FA78FD" w:rsidP="006C4781">
      <w:pPr>
        <w:pStyle w:val="BodyTextMain"/>
        <w:ind w:left="720"/>
      </w:pPr>
      <w:r>
        <w:t>When employees want a location change, we have always tried our best to facilitate that. A person may have to wait for some time for this to materialize, but as an organization, we are always open to facilitating that. In fact, when my wife was pregnant, I was based in Chennai, and I requested for a transfer to the Mumbai office for four months so that I could make frequent trips to my hometown</w:t>
      </w:r>
      <w:r w:rsidR="00CC4D21">
        <w:t xml:space="preserve"> </w:t>
      </w:r>
      <w:r w:rsidR="00D6753C">
        <w:t>[</w:t>
      </w:r>
      <w:r>
        <w:t>Indore</w:t>
      </w:r>
      <w:r w:rsidR="00D6753C">
        <w:t>]</w:t>
      </w:r>
      <w:r>
        <w:t xml:space="preserve"> to take care of her. CRISIL facilitated that promptly.</w:t>
      </w:r>
    </w:p>
    <w:p w14:paraId="254A5C6A" w14:textId="77777777" w:rsidR="00E42E9B" w:rsidRPr="001156A4" w:rsidRDefault="00E42E9B" w:rsidP="001156A4">
      <w:pPr>
        <w:pStyle w:val="BodyTextMain"/>
        <w:rPr>
          <w:sz w:val="20"/>
        </w:rPr>
      </w:pPr>
    </w:p>
    <w:p w14:paraId="30C816F7" w14:textId="77777777" w:rsidR="00E42E9B" w:rsidRPr="001156A4" w:rsidRDefault="00E42E9B" w:rsidP="001156A4">
      <w:pPr>
        <w:pStyle w:val="BodyTextMain"/>
        <w:rPr>
          <w:sz w:val="20"/>
        </w:rPr>
      </w:pPr>
    </w:p>
    <w:p w14:paraId="0725CE03" w14:textId="77777777" w:rsidR="00FA78FD" w:rsidRDefault="00FA78FD" w:rsidP="006C4781">
      <w:pPr>
        <w:pStyle w:val="Casehead1"/>
      </w:pPr>
      <w:r>
        <w:t>AREAS OF CONCERN</w:t>
      </w:r>
    </w:p>
    <w:p w14:paraId="505CF91E" w14:textId="77777777" w:rsidR="00FA78FD" w:rsidRPr="001156A4" w:rsidRDefault="00FA78FD" w:rsidP="00FA78FD">
      <w:pPr>
        <w:pStyle w:val="BodyTextMain"/>
        <w:rPr>
          <w:sz w:val="20"/>
        </w:rPr>
      </w:pPr>
    </w:p>
    <w:p w14:paraId="19CDDE4D" w14:textId="77777777" w:rsidR="00FA78FD" w:rsidRDefault="00FA78FD" w:rsidP="006C4781">
      <w:pPr>
        <w:pStyle w:val="Casehead2"/>
      </w:pPr>
      <w:r>
        <w:t>Compensation</w:t>
      </w:r>
    </w:p>
    <w:p w14:paraId="09D5E0C1" w14:textId="77777777" w:rsidR="00A51A67" w:rsidRPr="001156A4" w:rsidRDefault="00A51A67" w:rsidP="001156A4">
      <w:pPr>
        <w:pStyle w:val="BodyTextMain"/>
        <w:rPr>
          <w:sz w:val="20"/>
        </w:rPr>
      </w:pPr>
    </w:p>
    <w:p w14:paraId="6D1C091A" w14:textId="41BA9D9B" w:rsidR="00CC4D21" w:rsidRDefault="00FA78FD" w:rsidP="00FA78FD">
      <w:pPr>
        <w:pStyle w:val="BodyTextMain"/>
      </w:pPr>
      <w:r>
        <w:t xml:space="preserve">Employees perceived that CRISIL’s compensation </w:t>
      </w:r>
      <w:r w:rsidR="00D6753C">
        <w:t>was</w:t>
      </w:r>
      <w:r>
        <w:t xml:space="preserve"> below industry standards, which </w:t>
      </w:r>
      <w:r w:rsidR="00D6753C">
        <w:t>could have been</w:t>
      </w:r>
      <w:r>
        <w:t xml:space="preserve"> one of the reasons for employee attrition. </w:t>
      </w:r>
      <w:r w:rsidR="00CC4D21">
        <w:t>In July 2017, the average age of employees at CRISIL was 30.6 years</w:t>
      </w:r>
      <w:r w:rsidR="00BE32FE">
        <w:t>.</w:t>
      </w:r>
      <w:r w:rsidR="00CC4D21">
        <w:t xml:space="preserve"> </w:t>
      </w:r>
      <w:r w:rsidR="00BE32FE">
        <w:t>Y</w:t>
      </w:r>
      <w:r w:rsidR="00CC4D21">
        <w:t>oung people comprised a sizable chunk of</w:t>
      </w:r>
      <w:r w:rsidR="00BE32FE">
        <w:t xml:space="preserve"> the</w:t>
      </w:r>
      <w:r w:rsidR="00CC4D21">
        <w:t xml:space="preserve"> total employee strength of about 4,000 employees</w:t>
      </w:r>
      <w:r w:rsidR="00BE32FE">
        <w:t>,</w:t>
      </w:r>
      <w:r w:rsidR="00CC4D21">
        <w:t xml:space="preserve"> and </w:t>
      </w:r>
      <w:r w:rsidR="00BE32FE">
        <w:t>their</w:t>
      </w:r>
      <w:r w:rsidR="00CC4D21">
        <w:t xml:space="preserve"> expectations</w:t>
      </w:r>
      <w:r w:rsidR="00BE32FE">
        <w:t xml:space="preserve"> were diverse</w:t>
      </w:r>
      <w:r w:rsidR="00CC4D21">
        <w:t xml:space="preserve">. </w:t>
      </w:r>
      <w:r w:rsidR="00BE32FE">
        <w:t>One</w:t>
      </w:r>
      <w:r w:rsidR="00CC4D21">
        <w:t xml:space="preserve"> employee shared</w:t>
      </w:r>
      <w:r w:rsidR="00BE32FE">
        <w:t>,</w:t>
      </w:r>
    </w:p>
    <w:p w14:paraId="6796251A" w14:textId="77777777" w:rsidR="006C4781" w:rsidRPr="004E1ECD" w:rsidRDefault="006C4781" w:rsidP="00FA78FD">
      <w:pPr>
        <w:pStyle w:val="BodyTextMain"/>
        <w:rPr>
          <w:spacing w:val="-4"/>
          <w:sz w:val="20"/>
        </w:rPr>
      </w:pPr>
    </w:p>
    <w:p w14:paraId="061A3DA0" w14:textId="5654CF52" w:rsidR="00FA78FD" w:rsidRPr="004E1ECD" w:rsidRDefault="00FA78FD" w:rsidP="006C4781">
      <w:pPr>
        <w:pStyle w:val="BodyTextMain"/>
        <w:ind w:left="720"/>
        <w:rPr>
          <w:spacing w:val="-4"/>
        </w:rPr>
      </w:pPr>
      <w:r w:rsidRPr="004E1ECD">
        <w:rPr>
          <w:spacing w:val="-4"/>
        </w:rPr>
        <w:t xml:space="preserve">I feel that opportunities have opened up in the last couple of years. The mindset of </w:t>
      </w:r>
      <w:r w:rsidR="00BE32FE" w:rsidRPr="004E1ECD">
        <w:rPr>
          <w:spacing w:val="-4"/>
        </w:rPr>
        <w:t>[</w:t>
      </w:r>
      <w:r w:rsidRPr="004E1ECD">
        <w:rPr>
          <w:spacing w:val="-4"/>
        </w:rPr>
        <w:t>the</w:t>
      </w:r>
      <w:r w:rsidR="00BE32FE" w:rsidRPr="004E1ECD">
        <w:rPr>
          <w:spacing w:val="-4"/>
        </w:rPr>
        <w:t>]</w:t>
      </w:r>
      <w:r w:rsidRPr="004E1ECD">
        <w:rPr>
          <w:spacing w:val="-4"/>
        </w:rPr>
        <w:t xml:space="preserve"> new generation is different. After a year or two, if employees feel that their compensation is not at par with their peers, they do not think twice about quitting their job. This generation does not think too much about career; compensation is an important driver. We should have a system where we consider the current generation’s expectations. I believe that perhaps CRISIL is not the highest pay master; if the pay is an important criterion for youngsters to stay, then something needs to be done about this. </w:t>
      </w:r>
    </w:p>
    <w:p w14:paraId="7C4151C9" w14:textId="77777777" w:rsidR="00E205D1" w:rsidRPr="006C4781" w:rsidRDefault="00E205D1" w:rsidP="006C4781">
      <w:pPr>
        <w:pStyle w:val="BodyTextMain"/>
        <w:ind w:left="720"/>
        <w:rPr>
          <w:spacing w:val="-2"/>
        </w:rPr>
      </w:pPr>
    </w:p>
    <w:p w14:paraId="1676FBBB" w14:textId="5C17A848" w:rsidR="00FA78FD" w:rsidRDefault="00FA78FD" w:rsidP="00FA78FD">
      <w:pPr>
        <w:pStyle w:val="BodyTextMain"/>
      </w:pPr>
      <w:r>
        <w:t>While employees were not actively looking for opportunities outside CRISIL, some employees were tempted to accept any offer with higher pay from other organizations (</w:t>
      </w:r>
      <w:r w:rsidR="00BE32FE">
        <w:t>s</w:t>
      </w:r>
      <w:r>
        <w:t>ee Exhibit 8).</w:t>
      </w:r>
      <w:r w:rsidR="001216EC">
        <w:t xml:space="preserve"> </w:t>
      </w:r>
      <w:r>
        <w:t>In a few</w:t>
      </w:r>
      <w:r w:rsidR="00E72A88">
        <w:t xml:space="preserve"> </w:t>
      </w:r>
      <w:r>
        <w:t>divisions, the attrition rate ranged between 20 and 24 per</w:t>
      </w:r>
      <w:r w:rsidR="00BE32FE">
        <w:t xml:space="preserve"> </w:t>
      </w:r>
      <w:r>
        <w:t>cent, which was considered high.</w:t>
      </w:r>
      <w:r w:rsidR="00C32646">
        <w:t xml:space="preserve"> </w:t>
      </w:r>
      <w:r>
        <w:t xml:space="preserve">CRISIL’s initial philosophy about compensation was best captured in the following </w:t>
      </w:r>
      <w:r w:rsidR="00BE32FE">
        <w:t xml:space="preserve">statement from </w:t>
      </w:r>
      <w:r w:rsidR="009B76ED">
        <w:t>pre-placement talks</w:t>
      </w:r>
      <w:r>
        <w:t xml:space="preserve"> at</w:t>
      </w:r>
      <w:r w:rsidR="00BE32FE">
        <w:t xml:space="preserve"> the</w:t>
      </w:r>
      <w:r>
        <w:t xml:space="preserve"> </w:t>
      </w:r>
      <w:r w:rsidR="00C43101" w:rsidRPr="0081434A">
        <w:t>Indian Institute of Management Ahmedabad</w:t>
      </w:r>
      <w:r>
        <w:t>:</w:t>
      </w:r>
    </w:p>
    <w:p w14:paraId="6DA3F91E" w14:textId="77777777" w:rsidR="00FA78FD" w:rsidRDefault="00FA78FD" w:rsidP="006C4781">
      <w:pPr>
        <w:pStyle w:val="BodyTextMain"/>
        <w:ind w:left="720"/>
      </w:pPr>
      <w:r>
        <w:lastRenderedPageBreak/>
        <w:t>Our philosophy is that if the employer gives you one cup of tea, you should generate four cups of tea for the employer. One cup of tea is paid as tax. The second cup of tea is given to the promoters or shareholders as dividend. The third cup of tea is reserves. The fourth cup is given back to you as reward. If you generate five cups of tea, you will get that fifth cup as extra reward. As long as you can produce four cups of tea for your employer, you will never find it difficult to maintain your job. That’s CRISIL. That’s our philosophy.</w:t>
      </w:r>
      <w:r>
        <w:rPr>
          <w:rStyle w:val="FootnoteReference"/>
        </w:rPr>
        <w:footnoteReference w:id="3"/>
      </w:r>
      <w:r>
        <w:t xml:space="preserve"> </w:t>
      </w:r>
    </w:p>
    <w:p w14:paraId="4698D8FA" w14:textId="77777777" w:rsidR="00FA78FD" w:rsidRPr="001156A4" w:rsidRDefault="00FA78FD" w:rsidP="001156A4">
      <w:pPr>
        <w:pStyle w:val="BodyTextMain"/>
        <w:rPr>
          <w:sz w:val="18"/>
        </w:rPr>
      </w:pPr>
    </w:p>
    <w:p w14:paraId="70C8CA01" w14:textId="77777777" w:rsidR="00D324AD" w:rsidRPr="001156A4" w:rsidRDefault="00D324AD" w:rsidP="001156A4">
      <w:pPr>
        <w:pStyle w:val="BodyTextMain"/>
        <w:rPr>
          <w:sz w:val="18"/>
        </w:rPr>
      </w:pPr>
    </w:p>
    <w:p w14:paraId="61FA8ABD" w14:textId="77777777" w:rsidR="00FA78FD" w:rsidRDefault="00FA78FD" w:rsidP="006C4781">
      <w:pPr>
        <w:pStyle w:val="Casehead2"/>
      </w:pPr>
      <w:r>
        <w:t>Performance Appraisals</w:t>
      </w:r>
    </w:p>
    <w:p w14:paraId="63A95098" w14:textId="77777777" w:rsidR="006C4781" w:rsidRPr="001156A4" w:rsidRDefault="006C4781" w:rsidP="00FA78FD">
      <w:pPr>
        <w:pStyle w:val="BodyTextMain"/>
        <w:rPr>
          <w:sz w:val="20"/>
        </w:rPr>
      </w:pPr>
    </w:p>
    <w:p w14:paraId="7185D28C" w14:textId="2106055E" w:rsidR="00FA78FD" w:rsidRPr="004E1ECD" w:rsidRDefault="00FA78FD" w:rsidP="00FA78FD">
      <w:pPr>
        <w:pStyle w:val="BodyTextMain"/>
        <w:rPr>
          <w:spacing w:val="-2"/>
        </w:rPr>
      </w:pPr>
      <w:r w:rsidRPr="004E1ECD">
        <w:rPr>
          <w:spacing w:val="-2"/>
        </w:rPr>
        <w:t xml:space="preserve">CRISIL took the appraisal process seriously and established </w:t>
      </w:r>
      <w:r w:rsidR="00FC38AB" w:rsidRPr="004E1ECD">
        <w:rPr>
          <w:spacing w:val="-2"/>
        </w:rPr>
        <w:t xml:space="preserve">an appraisal system </w:t>
      </w:r>
      <w:r w:rsidR="00BE32FE" w:rsidRPr="004E1ECD">
        <w:rPr>
          <w:spacing w:val="-2"/>
        </w:rPr>
        <w:t>it</w:t>
      </w:r>
      <w:r w:rsidR="00FC38AB" w:rsidRPr="004E1ECD">
        <w:rPr>
          <w:spacing w:val="-2"/>
        </w:rPr>
        <w:t xml:space="preserve"> deemed to be</w:t>
      </w:r>
      <w:r w:rsidRPr="004E1ECD">
        <w:rPr>
          <w:spacing w:val="-2"/>
        </w:rPr>
        <w:t xml:space="preserve"> rigorous, fair, objective</w:t>
      </w:r>
      <w:r w:rsidR="00BE32FE" w:rsidRPr="004E1ECD">
        <w:rPr>
          <w:spacing w:val="-2"/>
        </w:rPr>
        <w:t>,</w:t>
      </w:r>
      <w:r w:rsidRPr="004E1ECD">
        <w:rPr>
          <w:spacing w:val="-2"/>
        </w:rPr>
        <w:t xml:space="preserve"> and transparent. However, employees had mixed opinions about it. For example, </w:t>
      </w:r>
      <w:r w:rsidR="00F86DF9" w:rsidRPr="004E1ECD">
        <w:rPr>
          <w:spacing w:val="-2"/>
        </w:rPr>
        <w:t>one</w:t>
      </w:r>
      <w:r w:rsidRPr="004E1ECD">
        <w:rPr>
          <w:spacing w:val="-2"/>
        </w:rPr>
        <w:t xml:space="preserve"> employee </w:t>
      </w:r>
      <w:r w:rsidR="00F86DF9" w:rsidRPr="004E1ECD">
        <w:rPr>
          <w:spacing w:val="-2"/>
        </w:rPr>
        <w:t>said</w:t>
      </w:r>
      <w:r w:rsidR="00BE32FE" w:rsidRPr="004E1ECD">
        <w:rPr>
          <w:spacing w:val="-2"/>
        </w:rPr>
        <w:t>,</w:t>
      </w:r>
      <w:r w:rsidRPr="004E1ECD">
        <w:rPr>
          <w:spacing w:val="-2"/>
        </w:rPr>
        <w:t xml:space="preserve"> </w:t>
      </w:r>
    </w:p>
    <w:p w14:paraId="35EB4450" w14:textId="77777777" w:rsidR="006C4781" w:rsidRPr="00037C1D" w:rsidRDefault="006C4781" w:rsidP="00FA78FD">
      <w:pPr>
        <w:pStyle w:val="BodyTextMain"/>
        <w:rPr>
          <w:sz w:val="18"/>
        </w:rPr>
      </w:pPr>
    </w:p>
    <w:p w14:paraId="1DA889DB" w14:textId="129FC3D3" w:rsidR="00FA78FD" w:rsidRDefault="00FA78FD" w:rsidP="006C4781">
      <w:pPr>
        <w:pStyle w:val="BodyTextMain"/>
        <w:ind w:left="720"/>
      </w:pPr>
      <w:r>
        <w:t>Appraisal is always tricky. You cannot rate everyone at the same level. You will always have some people who feel they are underrated. I think that it is natural during the appraisal process. But over the years, we have tried to make it as transparent and mathematical as possible. It’s very structured. For example, X percentage of weight is assigned to client feedback, Y percentage of weight is assigned to managerial feedback</w:t>
      </w:r>
      <w:r w:rsidR="00BE32FE">
        <w:t>,</w:t>
      </w:r>
      <w:r>
        <w:t xml:space="preserve"> and Z percentage </w:t>
      </w:r>
      <w:r w:rsidR="00BE32FE">
        <w:t>to</w:t>
      </w:r>
      <w:r>
        <w:t xml:space="preserve"> self-assessment. And if someone has gone beyond what was expected of him, that also gets rewarded.</w:t>
      </w:r>
    </w:p>
    <w:p w14:paraId="65BD5366" w14:textId="77777777" w:rsidR="00FA78FD" w:rsidRPr="001156A4" w:rsidRDefault="00FA78FD" w:rsidP="00FA78FD">
      <w:pPr>
        <w:pStyle w:val="BodyTextMain"/>
        <w:rPr>
          <w:sz w:val="20"/>
        </w:rPr>
      </w:pPr>
    </w:p>
    <w:p w14:paraId="2B355CC7" w14:textId="0B96B39A" w:rsidR="00FA78FD" w:rsidRDefault="00FA78FD" w:rsidP="00FA78FD">
      <w:pPr>
        <w:pStyle w:val="BodyTextMain"/>
      </w:pPr>
      <w:r>
        <w:t xml:space="preserve">A senior manager </w:t>
      </w:r>
      <w:r w:rsidR="005D0B9D">
        <w:t>explained the appraisal system as follows:</w:t>
      </w:r>
      <w:r>
        <w:t xml:space="preserve"> </w:t>
      </w:r>
    </w:p>
    <w:p w14:paraId="39350746" w14:textId="77777777" w:rsidR="006C4781" w:rsidRPr="001156A4" w:rsidRDefault="006C4781" w:rsidP="00FA78FD">
      <w:pPr>
        <w:pStyle w:val="BodyTextMain"/>
        <w:rPr>
          <w:sz w:val="20"/>
        </w:rPr>
      </w:pPr>
    </w:p>
    <w:p w14:paraId="4264DF1F" w14:textId="33C1470A" w:rsidR="00FA78FD" w:rsidRDefault="00FA78FD" w:rsidP="006C4781">
      <w:pPr>
        <w:pStyle w:val="BodyTextMain"/>
        <w:ind w:left="720"/>
      </w:pPr>
      <w:r>
        <w:t xml:space="preserve">We have a bell curve and we try to fit employees on the rating scale of 1 to 4 </w:t>
      </w:r>
      <w:r w:rsidR="004E0A0A">
        <w:t>[</w:t>
      </w:r>
      <w:r>
        <w:t>4 being the highest</w:t>
      </w:r>
      <w:r w:rsidR="004E0A0A">
        <w:t>]</w:t>
      </w:r>
      <w:r>
        <w:t xml:space="preserve">. Most employees fall into a medium category </w:t>
      </w:r>
      <w:r w:rsidR="004E0A0A">
        <w:t>[</w:t>
      </w:r>
      <w:r>
        <w:t>i.e., 2</w:t>
      </w:r>
      <w:r w:rsidR="004E0A0A">
        <w:t>]</w:t>
      </w:r>
      <w:r w:rsidR="00646126">
        <w:t>,</w:t>
      </w:r>
      <w:r>
        <w:t xml:space="preserve"> and the differentiation between categories 2 and 3 is extremely high. There are lots of employees in category 2 who are closer to category 3 but end up being in category 2 because they need to be fitted into the distribution curve, which is demotivating to employees. The difference between somebody who does</w:t>
      </w:r>
      <w:r w:rsidR="00646126">
        <w:t xml:space="preserve"> . . .</w:t>
      </w:r>
      <w:r>
        <w:t xml:space="preserve"> average work and somebody who does more than what is expected is very minimal.</w:t>
      </w:r>
    </w:p>
    <w:p w14:paraId="32D0882C" w14:textId="77777777" w:rsidR="0001367C" w:rsidRPr="001156A4" w:rsidRDefault="0001367C" w:rsidP="001156A4">
      <w:pPr>
        <w:pStyle w:val="BodyTextMain"/>
        <w:rPr>
          <w:sz w:val="18"/>
        </w:rPr>
      </w:pPr>
    </w:p>
    <w:p w14:paraId="0504C6A5" w14:textId="77777777" w:rsidR="0001367C" w:rsidRPr="001156A4" w:rsidRDefault="0001367C" w:rsidP="001156A4">
      <w:pPr>
        <w:pStyle w:val="BodyTextMain"/>
        <w:rPr>
          <w:sz w:val="18"/>
        </w:rPr>
      </w:pPr>
    </w:p>
    <w:p w14:paraId="2345666F" w14:textId="77777777" w:rsidR="00FA78FD" w:rsidRDefault="00FA78FD" w:rsidP="006C4781">
      <w:pPr>
        <w:pStyle w:val="Casehead2"/>
        <w:keepNext/>
      </w:pPr>
      <w:r>
        <w:t xml:space="preserve">Uniformity in Employment Experience across Locations </w:t>
      </w:r>
    </w:p>
    <w:p w14:paraId="38777688" w14:textId="77777777" w:rsidR="006C4781" w:rsidRPr="001156A4" w:rsidRDefault="006C4781" w:rsidP="006C4781">
      <w:pPr>
        <w:pStyle w:val="BodyTextMain"/>
        <w:keepNext/>
        <w:rPr>
          <w:sz w:val="20"/>
        </w:rPr>
      </w:pPr>
    </w:p>
    <w:p w14:paraId="5A0B20D0" w14:textId="0BC9D3A4" w:rsidR="00FA78FD" w:rsidRDefault="00FA78FD" w:rsidP="0001367C">
      <w:pPr>
        <w:pStyle w:val="BodyTextMain"/>
        <w:keepNext/>
      </w:pPr>
      <w:r>
        <w:t xml:space="preserve">CRISIL strived to achieve consistency in its operating style in different </w:t>
      </w:r>
      <w:r w:rsidR="00495988">
        <w:t>locations</w:t>
      </w:r>
      <w:r w:rsidR="0001367C">
        <w:t xml:space="preserve">. </w:t>
      </w:r>
      <w:r>
        <w:t xml:space="preserve">However, </w:t>
      </w:r>
      <w:r w:rsidR="00FB2DDB">
        <w:t xml:space="preserve">the </w:t>
      </w:r>
      <w:r>
        <w:t>employment experience varied across various locations</w:t>
      </w:r>
      <w:r w:rsidR="00F86DF9">
        <w:t>,</w:t>
      </w:r>
      <w:r>
        <w:t xml:space="preserve"> as pointed out by </w:t>
      </w:r>
      <w:r w:rsidR="00F86DF9">
        <w:t>one</w:t>
      </w:r>
      <w:r>
        <w:t xml:space="preserve"> employee: </w:t>
      </w:r>
    </w:p>
    <w:p w14:paraId="77F6AA7E" w14:textId="77777777" w:rsidR="006C4781" w:rsidRPr="001156A4" w:rsidRDefault="006C4781" w:rsidP="00FA78FD">
      <w:pPr>
        <w:pStyle w:val="BodyTextMain"/>
        <w:rPr>
          <w:sz w:val="20"/>
        </w:rPr>
      </w:pPr>
    </w:p>
    <w:p w14:paraId="4CF7A94C" w14:textId="58C8ECDB" w:rsidR="00FA78FD" w:rsidRPr="004E1ECD" w:rsidRDefault="00FA78FD" w:rsidP="006C4781">
      <w:pPr>
        <w:pStyle w:val="BodyTextMain"/>
        <w:ind w:left="720"/>
        <w:rPr>
          <w:b/>
          <w:spacing w:val="-4"/>
        </w:rPr>
      </w:pPr>
      <w:r w:rsidRPr="004E1ECD">
        <w:rPr>
          <w:spacing w:val="-4"/>
        </w:rPr>
        <w:t xml:space="preserve">Here </w:t>
      </w:r>
      <w:r w:rsidR="00646126" w:rsidRPr="004E1ECD">
        <w:rPr>
          <w:spacing w:val="-4"/>
        </w:rPr>
        <w:t>[</w:t>
      </w:r>
      <w:r w:rsidRPr="004E1ECD">
        <w:rPr>
          <w:spacing w:val="-4"/>
        </w:rPr>
        <w:t>in Chennai</w:t>
      </w:r>
      <w:r w:rsidR="00646126" w:rsidRPr="004E1ECD">
        <w:rPr>
          <w:spacing w:val="-4"/>
        </w:rPr>
        <w:t>]</w:t>
      </w:r>
      <w:r w:rsidRPr="004E1ECD">
        <w:rPr>
          <w:spacing w:val="-4"/>
        </w:rPr>
        <w:t xml:space="preserve">, we do not have a dedicated HR. The onboarding experience, which is carried out by junior executives, does not provide the needed connect with </w:t>
      </w:r>
      <w:r w:rsidR="00FB2DDB" w:rsidRPr="004E1ECD">
        <w:rPr>
          <w:spacing w:val="-4"/>
        </w:rPr>
        <w:t xml:space="preserve">[the] </w:t>
      </w:r>
      <w:r w:rsidRPr="004E1ECD">
        <w:rPr>
          <w:spacing w:val="-4"/>
        </w:rPr>
        <w:t xml:space="preserve">HR </w:t>
      </w:r>
      <w:r w:rsidR="00FB2DDB" w:rsidRPr="004E1ECD">
        <w:rPr>
          <w:spacing w:val="-4"/>
        </w:rPr>
        <w:t>t</w:t>
      </w:r>
      <w:r w:rsidRPr="004E1ECD">
        <w:rPr>
          <w:spacing w:val="-4"/>
        </w:rPr>
        <w:t>eam</w:t>
      </w:r>
      <w:r w:rsidR="003C01C6" w:rsidRPr="004E1ECD">
        <w:rPr>
          <w:spacing w:val="-4"/>
        </w:rPr>
        <w:t>,</w:t>
      </w:r>
      <w:r w:rsidRPr="004E1ECD">
        <w:rPr>
          <w:spacing w:val="-4"/>
        </w:rPr>
        <w:t xml:space="preserve"> as they are not physically present here. Newcomers do not feel welcome. The onboarding experience is more like a form filling exercise. A wider HR connect on the day of onboarding is required, especially because the kind of people we get are changing these days. Our recruits are very young and fresh out of college and have a lot of expectations seeing onboarding at IT </w:t>
      </w:r>
      <w:r w:rsidR="00FB2DDB" w:rsidRPr="004E1ECD">
        <w:rPr>
          <w:spacing w:val="-4"/>
        </w:rPr>
        <w:t xml:space="preserve">[information technology] </w:t>
      </w:r>
      <w:r w:rsidRPr="004E1ECD">
        <w:rPr>
          <w:spacing w:val="-4"/>
        </w:rPr>
        <w:t xml:space="preserve">companies such as TCS </w:t>
      </w:r>
      <w:r w:rsidR="00FB2DDB" w:rsidRPr="004E1ECD">
        <w:rPr>
          <w:spacing w:val="-4"/>
        </w:rPr>
        <w:t xml:space="preserve">[Tata Consultancy Services Limited] </w:t>
      </w:r>
      <w:r w:rsidRPr="004E1ECD">
        <w:rPr>
          <w:spacing w:val="-4"/>
        </w:rPr>
        <w:t>and Infosys</w:t>
      </w:r>
      <w:r w:rsidR="00CE5E93" w:rsidRPr="004E1ECD">
        <w:rPr>
          <w:spacing w:val="-4"/>
        </w:rPr>
        <w:t xml:space="preserve"> [Infosys Limited]</w:t>
      </w:r>
      <w:r w:rsidRPr="004E1ECD">
        <w:rPr>
          <w:spacing w:val="-4"/>
        </w:rPr>
        <w:t>. But this problem may be Chennai cent</w:t>
      </w:r>
      <w:r w:rsidR="00E205D1" w:rsidRPr="004E1ECD">
        <w:rPr>
          <w:spacing w:val="-4"/>
        </w:rPr>
        <w:t>re</w:t>
      </w:r>
      <w:r w:rsidR="00CE5E93" w:rsidRPr="004E1ECD">
        <w:rPr>
          <w:spacing w:val="-4"/>
        </w:rPr>
        <w:t>-</w:t>
      </w:r>
      <w:r w:rsidRPr="004E1ECD">
        <w:rPr>
          <w:spacing w:val="-4"/>
        </w:rPr>
        <w:t>specific.</w:t>
      </w:r>
    </w:p>
    <w:p w14:paraId="54269675" w14:textId="77777777" w:rsidR="00FA78FD" w:rsidRPr="001156A4" w:rsidRDefault="00FA78FD" w:rsidP="00FA78FD">
      <w:pPr>
        <w:pStyle w:val="BodyTextMain"/>
        <w:rPr>
          <w:sz w:val="20"/>
        </w:rPr>
      </w:pPr>
    </w:p>
    <w:p w14:paraId="6766FC24" w14:textId="77777777" w:rsidR="006C4781" w:rsidRPr="001156A4" w:rsidRDefault="006C4781" w:rsidP="00FA78FD">
      <w:pPr>
        <w:pStyle w:val="BodyTextMain"/>
        <w:rPr>
          <w:sz w:val="20"/>
        </w:rPr>
      </w:pPr>
    </w:p>
    <w:p w14:paraId="74E3D1A8" w14:textId="77777777" w:rsidR="00FA78FD" w:rsidRDefault="00FA78FD" w:rsidP="006C4781">
      <w:pPr>
        <w:pStyle w:val="Casehead1"/>
      </w:pPr>
      <w:r>
        <w:t>THE PRESENT</w:t>
      </w:r>
    </w:p>
    <w:p w14:paraId="62EF1F67" w14:textId="77777777" w:rsidR="006C4781" w:rsidRPr="001156A4" w:rsidRDefault="006C4781" w:rsidP="00FA78FD">
      <w:pPr>
        <w:pStyle w:val="BodyTextMain"/>
        <w:rPr>
          <w:sz w:val="20"/>
        </w:rPr>
      </w:pPr>
    </w:p>
    <w:p w14:paraId="11525C92" w14:textId="22D8D43A" w:rsidR="00D13D29" w:rsidRDefault="00FA78FD" w:rsidP="00FA78FD">
      <w:pPr>
        <w:pStyle w:val="BodyTextMain"/>
      </w:pPr>
      <w:r>
        <w:t xml:space="preserve">With a view to ensure the needed impetus on the people agenda, </w:t>
      </w:r>
      <w:r w:rsidR="00823EB1">
        <w:t>Kaura</w:t>
      </w:r>
      <w:r>
        <w:t xml:space="preserve"> and his team, along with business heads</w:t>
      </w:r>
      <w:r w:rsidR="004D568C">
        <w:t>,</w:t>
      </w:r>
      <w:r>
        <w:t xml:space="preserve"> had embarked on specific talent and people initiatives. These include</w:t>
      </w:r>
      <w:r w:rsidR="003C01C6">
        <w:t>d a</w:t>
      </w:r>
      <w:r>
        <w:t xml:space="preserve"> stepped</w:t>
      </w:r>
      <w:r w:rsidR="003C01C6">
        <w:t>-</w:t>
      </w:r>
      <w:r>
        <w:t xml:space="preserve">up focus on ongoing </w:t>
      </w:r>
      <w:r>
        <w:lastRenderedPageBreak/>
        <w:t>employee engagement and communication initiatives by leaders and middle managers</w:t>
      </w:r>
      <w:r w:rsidR="004D568C">
        <w:t>;</w:t>
      </w:r>
      <w:r>
        <w:t xml:space="preserve"> HR </w:t>
      </w:r>
      <w:r w:rsidR="003C01C6">
        <w:t>b</w:t>
      </w:r>
      <w:r>
        <w:t xml:space="preserve">usiness </w:t>
      </w:r>
      <w:r w:rsidR="003C01C6">
        <w:t>p</w:t>
      </w:r>
      <w:r>
        <w:t>artners with key talent and high performers; focused leadership development for emerging leaders (about 350 middle to senior managers); roll</w:t>
      </w:r>
      <w:r w:rsidR="004D568C">
        <w:t xml:space="preserve">ing </w:t>
      </w:r>
      <w:r>
        <w:t xml:space="preserve">out boot camps for specific skill-building in multiple businesses, and other training programs for employees in international locations; </w:t>
      </w:r>
      <w:r w:rsidR="004E0A0A">
        <w:t xml:space="preserve">and </w:t>
      </w:r>
      <w:r w:rsidR="004D568C">
        <w:t xml:space="preserve">a </w:t>
      </w:r>
      <w:r>
        <w:t xml:space="preserve">stepped-up focus on campus engagement and </w:t>
      </w:r>
      <w:r w:rsidR="004D568C">
        <w:t xml:space="preserve">the </w:t>
      </w:r>
      <w:r>
        <w:t>selection process</w:t>
      </w:r>
      <w:r w:rsidR="004D568C">
        <w:t>,</w:t>
      </w:r>
      <w:r>
        <w:t xml:space="preserve"> with emphasis on pre-placement offers</w:t>
      </w:r>
      <w:r w:rsidR="00C95F0A">
        <w:t xml:space="preserve"> and</w:t>
      </w:r>
      <w:r>
        <w:t xml:space="preserve"> </w:t>
      </w:r>
      <w:r w:rsidR="00C95F0A">
        <w:t xml:space="preserve">on </w:t>
      </w:r>
      <w:r>
        <w:t>leveraging digital (mobile app</w:t>
      </w:r>
      <w:r w:rsidR="004D568C">
        <w:t>lication</w:t>
      </w:r>
      <w:r w:rsidR="004E0A0A">
        <w:t xml:space="preserve"> (app)</w:t>
      </w:r>
      <w:r>
        <w:t>) channels for junior hires</w:t>
      </w:r>
      <w:r w:rsidR="004E0A0A">
        <w:t>—</w:t>
      </w:r>
      <w:r>
        <w:t>a</w:t>
      </w:r>
      <w:r w:rsidR="004E0A0A">
        <w:t>n</w:t>
      </w:r>
      <w:r>
        <w:t xml:space="preserve"> engaging employee well-being app</w:t>
      </w:r>
      <w:r w:rsidR="004E0A0A">
        <w:t>,</w:t>
      </w:r>
      <w:r>
        <w:t xml:space="preserve"> and an online marketplace app hosting exciting deals and discounts. Both apps had high usage and serv</w:t>
      </w:r>
      <w:r w:rsidR="004E0A0A">
        <w:t>ed</w:t>
      </w:r>
      <w:r>
        <w:t xml:space="preserve"> as good engagement levers. </w:t>
      </w:r>
    </w:p>
    <w:p w14:paraId="23D9FE27" w14:textId="77777777" w:rsidR="00D13D29" w:rsidRPr="00037C1D" w:rsidRDefault="00D13D29" w:rsidP="00FA78FD">
      <w:pPr>
        <w:pStyle w:val="BodyTextMain"/>
        <w:rPr>
          <w:sz w:val="20"/>
        </w:rPr>
      </w:pPr>
    </w:p>
    <w:p w14:paraId="0A94988C" w14:textId="73527176" w:rsidR="00FA78FD" w:rsidRDefault="00FA78FD" w:rsidP="00FA78FD">
      <w:pPr>
        <w:pStyle w:val="BodyTextMain"/>
      </w:pPr>
      <w:r>
        <w:t>The company had recently switched to a simpler and scalable employee engagement survey tool that supported sharper analytics and decision-making capabilit</w:t>
      </w:r>
      <w:r w:rsidR="004E0A0A">
        <w:t>ies</w:t>
      </w:r>
      <w:r>
        <w:t xml:space="preserve">. The company was also evaluating </w:t>
      </w:r>
      <w:r w:rsidR="00D13D29">
        <w:t>the implementation</w:t>
      </w:r>
      <w:r w:rsidR="00860847">
        <w:t>,</w:t>
      </w:r>
      <w:r w:rsidR="00D13D29">
        <w:t xml:space="preserve"> </w:t>
      </w:r>
      <w:r w:rsidR="00C95F0A">
        <w:t>over the next few months</w:t>
      </w:r>
      <w:r w:rsidR="00860847">
        <w:t>,</w:t>
      </w:r>
      <w:r w:rsidR="00C95F0A">
        <w:t xml:space="preserve"> </w:t>
      </w:r>
      <w:r w:rsidR="00D13D29">
        <w:t xml:space="preserve">of </w:t>
      </w:r>
      <w:r>
        <w:t xml:space="preserve">a more intuitive, </w:t>
      </w:r>
      <w:r w:rsidR="00D30A8C">
        <w:t>modern</w:t>
      </w:r>
      <w:r w:rsidR="00860847">
        <w:t>,</w:t>
      </w:r>
      <w:r>
        <w:t xml:space="preserve"> interactive intranet. </w:t>
      </w:r>
      <w:r w:rsidR="00E27321">
        <w:t>Initiatives to promote instant recognition and grant quarterly awards were being steered with greater precision.</w:t>
      </w:r>
      <w:r>
        <w:t xml:space="preserve"> In 2017, CRISIL was shortlisted </w:t>
      </w:r>
      <w:r w:rsidR="00D13D29">
        <w:t xml:space="preserve">by an external body </w:t>
      </w:r>
      <w:r>
        <w:t xml:space="preserve">as one of the top 20 employers for </w:t>
      </w:r>
      <w:r w:rsidR="00860847">
        <w:t>female</w:t>
      </w:r>
      <w:r>
        <w:t xml:space="preserve"> employees, a</w:t>
      </w:r>
      <w:r w:rsidR="00D13D29">
        <w:t>n improvement from its</w:t>
      </w:r>
      <w:r>
        <w:t xml:space="preserve"> 68</w:t>
      </w:r>
      <w:r w:rsidRPr="000429E8">
        <w:t>th</w:t>
      </w:r>
      <w:r>
        <w:t xml:space="preserve"> position the previous year in the same study. Gender statistics at the middle levels </w:t>
      </w:r>
      <w:r w:rsidR="00D13D29">
        <w:t>had seen</w:t>
      </w:r>
      <w:r>
        <w:t xml:space="preserve"> a healthy uptick over the past two years. </w:t>
      </w:r>
      <w:r w:rsidR="00D13D29">
        <w:t>Also, in early 2017, t</w:t>
      </w:r>
      <w:r>
        <w:t>he company rolled</w:t>
      </w:r>
      <w:r w:rsidR="00D13D29">
        <w:t xml:space="preserve"> </w:t>
      </w:r>
      <w:r>
        <w:t>out a few employee policies such as sabbatical</w:t>
      </w:r>
      <w:r w:rsidR="00C95F0A">
        <w:t>s</w:t>
      </w:r>
      <w:r>
        <w:t>, flexible working hours</w:t>
      </w:r>
      <w:r w:rsidR="00D13D29">
        <w:t>,</w:t>
      </w:r>
      <w:r>
        <w:t xml:space="preserve"> and paternity leave.</w:t>
      </w:r>
    </w:p>
    <w:p w14:paraId="01ACFC71" w14:textId="77777777" w:rsidR="00FA78FD" w:rsidRPr="004E1ECD" w:rsidRDefault="00FA78FD" w:rsidP="00FA78FD">
      <w:pPr>
        <w:pStyle w:val="BodyTextMain"/>
        <w:rPr>
          <w:sz w:val="18"/>
        </w:rPr>
      </w:pPr>
    </w:p>
    <w:p w14:paraId="645D3CC3" w14:textId="77777777" w:rsidR="006C4781" w:rsidRPr="004E1ECD" w:rsidRDefault="006C4781" w:rsidP="00FA78FD">
      <w:pPr>
        <w:pStyle w:val="BodyTextMain"/>
        <w:rPr>
          <w:sz w:val="18"/>
        </w:rPr>
      </w:pPr>
    </w:p>
    <w:p w14:paraId="67F0EA25" w14:textId="77777777" w:rsidR="00FA78FD" w:rsidRDefault="00FA78FD" w:rsidP="006C4781">
      <w:pPr>
        <w:pStyle w:val="Casehead1"/>
      </w:pPr>
      <w:r>
        <w:t>THE WAY AHEAD</w:t>
      </w:r>
    </w:p>
    <w:p w14:paraId="20536E1A" w14:textId="77777777" w:rsidR="006C4781" w:rsidRPr="00CE6FCF" w:rsidRDefault="006C4781" w:rsidP="00FA78FD">
      <w:pPr>
        <w:pStyle w:val="BodyTextMain"/>
        <w:rPr>
          <w:sz w:val="20"/>
        </w:rPr>
      </w:pPr>
    </w:p>
    <w:p w14:paraId="3BB39B0F" w14:textId="22717988" w:rsidR="00432C99" w:rsidRPr="004E1ECD" w:rsidRDefault="004D568C" w:rsidP="00FA78FD">
      <w:pPr>
        <w:pStyle w:val="BodyTextMain"/>
        <w:rPr>
          <w:spacing w:val="-2"/>
        </w:rPr>
      </w:pPr>
      <w:r w:rsidRPr="004E1ECD">
        <w:rPr>
          <w:spacing w:val="-2"/>
        </w:rPr>
        <w:t>T</w:t>
      </w:r>
      <w:r w:rsidR="00FA78FD" w:rsidRPr="004E1ECD">
        <w:rPr>
          <w:spacing w:val="-2"/>
        </w:rPr>
        <w:t xml:space="preserve">wo important questions required immediate attention by </w:t>
      </w:r>
      <w:r w:rsidR="00823EB1" w:rsidRPr="004E1ECD">
        <w:rPr>
          <w:spacing w:val="-2"/>
        </w:rPr>
        <w:t>Kaura</w:t>
      </w:r>
      <w:r w:rsidR="00FA78FD" w:rsidRPr="004E1ECD">
        <w:rPr>
          <w:spacing w:val="-2"/>
        </w:rPr>
        <w:t xml:space="preserve"> and his HR team. </w:t>
      </w:r>
      <w:r w:rsidR="00D30A8C" w:rsidRPr="004E1ECD">
        <w:rPr>
          <w:spacing w:val="-2"/>
        </w:rPr>
        <w:t>The f</w:t>
      </w:r>
      <w:r w:rsidR="00FA78FD" w:rsidRPr="004E1ECD">
        <w:rPr>
          <w:spacing w:val="-2"/>
        </w:rPr>
        <w:t xml:space="preserve">irst </w:t>
      </w:r>
      <w:r w:rsidR="00D30A8C" w:rsidRPr="004E1ECD">
        <w:rPr>
          <w:spacing w:val="-2"/>
        </w:rPr>
        <w:t xml:space="preserve">was </w:t>
      </w:r>
      <w:r w:rsidR="00FA78FD" w:rsidRPr="004E1ECD">
        <w:rPr>
          <w:spacing w:val="-2"/>
        </w:rPr>
        <w:t>how to position CRISIL as an employer in the competitive talent market</w:t>
      </w:r>
      <w:r w:rsidR="00C95F0A" w:rsidRPr="004E1ECD">
        <w:rPr>
          <w:spacing w:val="-2"/>
        </w:rPr>
        <w:t>—s</w:t>
      </w:r>
      <w:r w:rsidR="00FA78FD" w:rsidRPr="004E1ECD">
        <w:rPr>
          <w:spacing w:val="-2"/>
        </w:rPr>
        <w:t>hould it be competing for talent within the ratings, analytics, consulting</w:t>
      </w:r>
      <w:r w:rsidR="00D30A8C" w:rsidRPr="004E1ECD">
        <w:rPr>
          <w:spacing w:val="-2"/>
        </w:rPr>
        <w:t>,</w:t>
      </w:r>
      <w:r w:rsidR="00FA78FD" w:rsidRPr="004E1ECD">
        <w:rPr>
          <w:spacing w:val="-2"/>
        </w:rPr>
        <w:t xml:space="preserve"> and advisory industry, or</w:t>
      </w:r>
      <w:r w:rsidR="00D30A8C" w:rsidRPr="004E1ECD">
        <w:rPr>
          <w:spacing w:val="-2"/>
        </w:rPr>
        <w:t xml:space="preserve"> should it</w:t>
      </w:r>
      <w:r w:rsidR="00FA78FD" w:rsidRPr="004E1ECD">
        <w:rPr>
          <w:spacing w:val="-2"/>
        </w:rPr>
        <w:t xml:space="preserve"> position itself as a preferred employer competing with organizations across industries? A bigger challenge was address</w:t>
      </w:r>
      <w:r w:rsidR="00D30A8C" w:rsidRPr="004E1ECD">
        <w:rPr>
          <w:spacing w:val="-2"/>
        </w:rPr>
        <w:t>ing</w:t>
      </w:r>
      <w:r w:rsidR="00FA78FD" w:rsidRPr="004E1ECD">
        <w:rPr>
          <w:spacing w:val="-2"/>
        </w:rPr>
        <w:t xml:space="preserve"> the competition posed by employers outside the ratings and analytics business such as banking and financial institutions and </w:t>
      </w:r>
      <w:r w:rsidR="00D30A8C" w:rsidRPr="004E1ECD">
        <w:rPr>
          <w:spacing w:val="-2"/>
        </w:rPr>
        <w:t>modern</w:t>
      </w:r>
      <w:r w:rsidR="00FA78FD" w:rsidRPr="004E1ECD">
        <w:rPr>
          <w:spacing w:val="-2"/>
        </w:rPr>
        <w:t xml:space="preserve"> start</w:t>
      </w:r>
      <w:r w:rsidR="00D30A8C" w:rsidRPr="004E1ECD">
        <w:rPr>
          <w:spacing w:val="-2"/>
        </w:rPr>
        <w:t>-</w:t>
      </w:r>
      <w:r w:rsidR="00FA78FD" w:rsidRPr="004E1ECD">
        <w:rPr>
          <w:spacing w:val="-2"/>
        </w:rPr>
        <w:t>ups.</w:t>
      </w:r>
      <w:r w:rsidR="00073C08" w:rsidRPr="004E1ECD">
        <w:rPr>
          <w:spacing w:val="-2"/>
        </w:rPr>
        <w:t xml:space="preserve"> </w:t>
      </w:r>
    </w:p>
    <w:p w14:paraId="74507074" w14:textId="77777777" w:rsidR="00432C99" w:rsidRPr="004E1ECD" w:rsidRDefault="00432C99" w:rsidP="00FA78FD">
      <w:pPr>
        <w:pStyle w:val="BodyTextMain"/>
        <w:rPr>
          <w:spacing w:val="-2"/>
          <w:sz w:val="20"/>
        </w:rPr>
      </w:pPr>
    </w:p>
    <w:p w14:paraId="4CF70275" w14:textId="37E737DC" w:rsidR="00422220" w:rsidRPr="004E1ECD" w:rsidRDefault="00C95F0A" w:rsidP="00AA57FA">
      <w:pPr>
        <w:pStyle w:val="BodyTextMain"/>
        <w:rPr>
          <w:spacing w:val="-4"/>
        </w:rPr>
      </w:pPr>
      <w:r w:rsidRPr="004E1ECD">
        <w:rPr>
          <w:spacing w:val="-4"/>
        </w:rPr>
        <w:t>Second,</w:t>
      </w:r>
      <w:r w:rsidR="00FA78FD" w:rsidRPr="004E1ECD">
        <w:rPr>
          <w:spacing w:val="-4"/>
        </w:rPr>
        <w:t xml:space="preserve"> what could be a compelling EVP for CRISIL that would resonate with</w:t>
      </w:r>
      <w:r w:rsidRPr="004E1ECD">
        <w:rPr>
          <w:spacing w:val="-4"/>
        </w:rPr>
        <w:t xml:space="preserve"> both</w:t>
      </w:r>
      <w:r w:rsidR="00FA78FD" w:rsidRPr="004E1ECD">
        <w:rPr>
          <w:spacing w:val="-4"/>
        </w:rPr>
        <w:t xml:space="preserve"> current employees </w:t>
      </w:r>
      <w:r w:rsidRPr="004E1ECD">
        <w:rPr>
          <w:spacing w:val="-4"/>
        </w:rPr>
        <w:t>and</w:t>
      </w:r>
      <w:r w:rsidR="00FA78FD" w:rsidRPr="004E1ECD">
        <w:rPr>
          <w:spacing w:val="-4"/>
        </w:rPr>
        <w:t xml:space="preserve"> prospective employees? </w:t>
      </w:r>
      <w:r w:rsidR="007852DE" w:rsidRPr="004E1ECD">
        <w:rPr>
          <w:spacing w:val="-4"/>
        </w:rPr>
        <w:t>S</w:t>
      </w:r>
      <w:r w:rsidR="00FA78FD" w:rsidRPr="004E1ECD">
        <w:rPr>
          <w:spacing w:val="-4"/>
        </w:rPr>
        <w:t xml:space="preserve">ub-questions </w:t>
      </w:r>
      <w:r w:rsidR="007852DE" w:rsidRPr="004E1ECD">
        <w:rPr>
          <w:spacing w:val="-4"/>
        </w:rPr>
        <w:t>followed from</w:t>
      </w:r>
      <w:r w:rsidR="00FA78FD" w:rsidRPr="004E1ECD">
        <w:rPr>
          <w:spacing w:val="-4"/>
        </w:rPr>
        <w:t xml:space="preserve"> this question</w:t>
      </w:r>
      <w:r w:rsidR="007852DE" w:rsidRPr="004E1ECD">
        <w:rPr>
          <w:spacing w:val="-4"/>
        </w:rPr>
        <w:t>, including</w:t>
      </w:r>
      <w:r w:rsidR="00FA78FD" w:rsidRPr="004E1ECD">
        <w:rPr>
          <w:spacing w:val="-4"/>
        </w:rPr>
        <w:t xml:space="preserve"> </w:t>
      </w:r>
      <w:r w:rsidR="007852DE" w:rsidRPr="004E1ECD">
        <w:rPr>
          <w:spacing w:val="-4"/>
        </w:rPr>
        <w:t>w</w:t>
      </w:r>
      <w:r w:rsidR="00FA78FD" w:rsidRPr="004E1ECD">
        <w:rPr>
          <w:spacing w:val="-4"/>
        </w:rPr>
        <w:t xml:space="preserve">hether the themes </w:t>
      </w:r>
      <w:r w:rsidR="007852DE" w:rsidRPr="004E1ECD">
        <w:rPr>
          <w:spacing w:val="-4"/>
        </w:rPr>
        <w:t xml:space="preserve">that had </w:t>
      </w:r>
      <w:r w:rsidR="00FA78FD" w:rsidRPr="004E1ECD">
        <w:rPr>
          <w:spacing w:val="-4"/>
        </w:rPr>
        <w:t>emerged from the earlier EVP development exercise truly represented the current EVP</w:t>
      </w:r>
      <w:r w:rsidR="007852DE" w:rsidRPr="004E1ECD">
        <w:rPr>
          <w:spacing w:val="-4"/>
        </w:rPr>
        <w:t>, and</w:t>
      </w:r>
      <w:r w:rsidR="00FA78FD" w:rsidRPr="004E1ECD">
        <w:rPr>
          <w:spacing w:val="-4"/>
        </w:rPr>
        <w:t xml:space="preserve"> </w:t>
      </w:r>
      <w:r w:rsidR="007852DE" w:rsidRPr="004E1ECD">
        <w:rPr>
          <w:spacing w:val="-4"/>
        </w:rPr>
        <w:t xml:space="preserve">whether </w:t>
      </w:r>
      <w:r w:rsidR="00FA78FD" w:rsidRPr="004E1ECD">
        <w:rPr>
          <w:spacing w:val="-4"/>
        </w:rPr>
        <w:t>th</w:t>
      </w:r>
      <w:r w:rsidR="007852DE" w:rsidRPr="004E1ECD">
        <w:rPr>
          <w:spacing w:val="-4"/>
        </w:rPr>
        <w:t>ey</w:t>
      </w:r>
      <w:r w:rsidR="00FA78FD" w:rsidRPr="004E1ECD">
        <w:rPr>
          <w:spacing w:val="-4"/>
        </w:rPr>
        <w:t xml:space="preserve"> </w:t>
      </w:r>
      <w:r w:rsidR="007852DE" w:rsidRPr="004E1ECD">
        <w:rPr>
          <w:spacing w:val="-4"/>
        </w:rPr>
        <w:t xml:space="preserve">were </w:t>
      </w:r>
      <w:r w:rsidRPr="004E1ECD">
        <w:rPr>
          <w:spacing w:val="-4"/>
        </w:rPr>
        <w:t xml:space="preserve">sufficiently </w:t>
      </w:r>
      <w:r w:rsidR="00FA78FD" w:rsidRPr="004E1ECD">
        <w:rPr>
          <w:spacing w:val="-4"/>
        </w:rPr>
        <w:t xml:space="preserve">compelling in </w:t>
      </w:r>
      <w:r w:rsidR="007852DE" w:rsidRPr="004E1ECD">
        <w:rPr>
          <w:spacing w:val="-4"/>
        </w:rPr>
        <w:t>the current</w:t>
      </w:r>
      <w:r w:rsidR="00FA78FD" w:rsidRPr="004E1ECD">
        <w:rPr>
          <w:spacing w:val="-4"/>
        </w:rPr>
        <w:t xml:space="preserve"> challenging environment and for diverse employee segments</w:t>
      </w:r>
      <w:r w:rsidR="007852DE" w:rsidRPr="004E1ECD">
        <w:rPr>
          <w:spacing w:val="-4"/>
        </w:rPr>
        <w:t>.</w:t>
      </w:r>
      <w:r w:rsidR="00FA78FD" w:rsidRPr="004E1ECD">
        <w:rPr>
          <w:spacing w:val="-4"/>
        </w:rPr>
        <w:t xml:space="preserve"> </w:t>
      </w:r>
      <w:r w:rsidR="007852DE" w:rsidRPr="004E1ECD">
        <w:rPr>
          <w:spacing w:val="-4"/>
        </w:rPr>
        <w:t>Further, h</w:t>
      </w:r>
      <w:r w:rsidR="00FA78FD" w:rsidRPr="004E1ECD">
        <w:rPr>
          <w:spacing w:val="-4"/>
        </w:rPr>
        <w:t xml:space="preserve">ow </w:t>
      </w:r>
      <w:r w:rsidR="007852DE" w:rsidRPr="004E1ECD">
        <w:rPr>
          <w:spacing w:val="-4"/>
        </w:rPr>
        <w:t>could the company</w:t>
      </w:r>
      <w:r w:rsidR="00FA78FD" w:rsidRPr="004E1ECD">
        <w:rPr>
          <w:spacing w:val="-4"/>
        </w:rPr>
        <w:t xml:space="preserve"> provide a uniform employment experience across different </w:t>
      </w:r>
      <w:r w:rsidR="00495988" w:rsidRPr="004E1ECD">
        <w:rPr>
          <w:spacing w:val="-4"/>
        </w:rPr>
        <w:t>locations</w:t>
      </w:r>
      <w:r w:rsidR="00FA78FD" w:rsidRPr="004E1ECD">
        <w:rPr>
          <w:spacing w:val="-4"/>
        </w:rPr>
        <w:t xml:space="preserve">? How relevant was the initial compensation philosophy in a war-for-talent scenario not only within the industry but also across industries? Should compensation be a part of </w:t>
      </w:r>
      <w:r w:rsidR="007852DE" w:rsidRPr="004E1ECD">
        <w:rPr>
          <w:spacing w:val="-4"/>
        </w:rPr>
        <w:t xml:space="preserve">the </w:t>
      </w:r>
      <w:r w:rsidR="00FA78FD" w:rsidRPr="004E1ECD">
        <w:rPr>
          <w:spacing w:val="-4"/>
        </w:rPr>
        <w:t>EVP or c</w:t>
      </w:r>
      <w:r w:rsidR="007852DE" w:rsidRPr="004E1ECD">
        <w:rPr>
          <w:spacing w:val="-4"/>
        </w:rPr>
        <w:t>ould</w:t>
      </w:r>
      <w:r w:rsidR="00FA78FD" w:rsidRPr="004E1ECD">
        <w:rPr>
          <w:spacing w:val="-4"/>
        </w:rPr>
        <w:t xml:space="preserve"> some other stronger aspects of CRISIL’s employment experience act as a substitute for compensation? If so, what could those aspects</w:t>
      </w:r>
      <w:r w:rsidR="007852DE" w:rsidRPr="004E1ECD">
        <w:rPr>
          <w:spacing w:val="-4"/>
        </w:rPr>
        <w:t xml:space="preserve"> be</w:t>
      </w:r>
      <w:r w:rsidR="00FA78FD" w:rsidRPr="004E1ECD">
        <w:rPr>
          <w:spacing w:val="-4"/>
        </w:rPr>
        <w:t xml:space="preserve">? Lastly, </w:t>
      </w:r>
      <w:r w:rsidR="00432C99" w:rsidRPr="004E1ECD">
        <w:rPr>
          <w:spacing w:val="-4"/>
        </w:rPr>
        <w:t>w</w:t>
      </w:r>
      <w:r w:rsidR="00FA78FD" w:rsidRPr="004E1ECD">
        <w:rPr>
          <w:spacing w:val="-4"/>
        </w:rPr>
        <w:t xml:space="preserve">hat changes would have made </w:t>
      </w:r>
      <w:r w:rsidR="00432C99" w:rsidRPr="004E1ECD">
        <w:rPr>
          <w:spacing w:val="-4"/>
        </w:rPr>
        <w:t xml:space="preserve">earlier </w:t>
      </w:r>
      <w:r w:rsidR="00FA78FD" w:rsidRPr="004E1ECD">
        <w:rPr>
          <w:spacing w:val="-4"/>
        </w:rPr>
        <w:t xml:space="preserve">EVP communication to current and prospective employees more effective? Such insights would help </w:t>
      </w:r>
      <w:r w:rsidR="00823EB1" w:rsidRPr="004E1ECD">
        <w:rPr>
          <w:spacing w:val="-4"/>
        </w:rPr>
        <w:t>Kaura</w:t>
      </w:r>
      <w:r w:rsidR="00FA78FD" w:rsidRPr="004E1ECD">
        <w:rPr>
          <w:spacing w:val="-4"/>
        </w:rPr>
        <w:t xml:space="preserve"> in designing a new plan for EVP communication.</w:t>
      </w:r>
      <w:r w:rsidR="00432C99" w:rsidRPr="004E1ECD">
        <w:rPr>
          <w:spacing w:val="-4"/>
        </w:rPr>
        <w:t xml:space="preserve"> </w:t>
      </w:r>
    </w:p>
    <w:p w14:paraId="3B262722" w14:textId="77777777" w:rsidR="00422220" w:rsidRPr="00CE6FCF" w:rsidRDefault="00422220" w:rsidP="00AA57FA">
      <w:pPr>
        <w:pStyle w:val="BodyTextMain"/>
        <w:rPr>
          <w:spacing w:val="-2"/>
          <w:sz w:val="20"/>
        </w:rPr>
      </w:pPr>
    </w:p>
    <w:p w14:paraId="41B81B05" w14:textId="6B6AF8AE" w:rsidR="006C4781" w:rsidRDefault="00422220" w:rsidP="00AA57FA">
      <w:pPr>
        <w:pStyle w:val="BodyTextMain"/>
        <w:rPr>
          <w:spacing w:val="-2"/>
        </w:rPr>
      </w:pPr>
      <w:r w:rsidRPr="006C4781">
        <w:rPr>
          <w:spacing w:val="-2"/>
        </w:rPr>
        <w:t xml:space="preserve">The above questions </w:t>
      </w:r>
      <w:r w:rsidR="00FA78FD" w:rsidRPr="006C4781">
        <w:rPr>
          <w:spacing w:val="-2"/>
        </w:rPr>
        <w:t>need</w:t>
      </w:r>
      <w:r w:rsidR="007852DE">
        <w:rPr>
          <w:spacing w:val="-2"/>
        </w:rPr>
        <w:t>ed</w:t>
      </w:r>
      <w:r w:rsidR="00FA78FD" w:rsidRPr="006C4781">
        <w:rPr>
          <w:spacing w:val="-2"/>
        </w:rPr>
        <w:t xml:space="preserve"> to be answered before the </w:t>
      </w:r>
      <w:r w:rsidR="007A709B">
        <w:rPr>
          <w:spacing w:val="-2"/>
        </w:rPr>
        <w:t xml:space="preserve">pre-placement </w:t>
      </w:r>
      <w:r w:rsidR="00FA78FD" w:rsidRPr="006C4781">
        <w:rPr>
          <w:spacing w:val="-2"/>
        </w:rPr>
        <w:t>season</w:t>
      </w:r>
      <w:r w:rsidR="00AA57FA">
        <w:rPr>
          <w:spacing w:val="-2"/>
        </w:rPr>
        <w:t xml:space="preserve"> </w:t>
      </w:r>
      <w:r w:rsidR="00FA78FD" w:rsidRPr="006C4781">
        <w:rPr>
          <w:spacing w:val="-2"/>
        </w:rPr>
        <w:t>beg</w:t>
      </w:r>
      <w:r w:rsidR="007852DE">
        <w:rPr>
          <w:spacing w:val="-2"/>
        </w:rPr>
        <w:t>an</w:t>
      </w:r>
      <w:r w:rsidR="00FA78FD" w:rsidRPr="006C4781">
        <w:rPr>
          <w:spacing w:val="-2"/>
        </w:rPr>
        <w:t xml:space="preserve"> in September 2017. Further, answer</w:t>
      </w:r>
      <w:r w:rsidR="007852DE">
        <w:rPr>
          <w:spacing w:val="-2"/>
        </w:rPr>
        <w:t>ing</w:t>
      </w:r>
      <w:r w:rsidR="00FA78FD" w:rsidRPr="006C4781">
        <w:rPr>
          <w:spacing w:val="-2"/>
        </w:rPr>
        <w:t xml:space="preserve"> th</w:t>
      </w:r>
      <w:r w:rsidR="007852DE">
        <w:rPr>
          <w:spacing w:val="-2"/>
        </w:rPr>
        <w:t>o</w:t>
      </w:r>
      <w:r w:rsidR="00FA78FD" w:rsidRPr="006C4781">
        <w:rPr>
          <w:spacing w:val="-2"/>
        </w:rPr>
        <w:t>se questions w</w:t>
      </w:r>
      <w:r w:rsidR="007852DE">
        <w:rPr>
          <w:spacing w:val="-2"/>
        </w:rPr>
        <w:t>ould</w:t>
      </w:r>
      <w:r w:rsidR="00FA78FD" w:rsidRPr="006C4781">
        <w:rPr>
          <w:spacing w:val="-2"/>
        </w:rPr>
        <w:t xml:space="preserve"> help </w:t>
      </w:r>
      <w:r w:rsidR="00823EB1">
        <w:rPr>
          <w:spacing w:val="-2"/>
        </w:rPr>
        <w:t>Kaura</w:t>
      </w:r>
      <w:r w:rsidR="00FA78FD" w:rsidRPr="006C4781">
        <w:rPr>
          <w:spacing w:val="-2"/>
        </w:rPr>
        <w:t xml:space="preserve"> and his team reimagin</w:t>
      </w:r>
      <w:r w:rsidR="00860847">
        <w:rPr>
          <w:spacing w:val="-2"/>
        </w:rPr>
        <w:t>e</w:t>
      </w:r>
      <w:r w:rsidR="00FA78FD" w:rsidRPr="006C4781">
        <w:rPr>
          <w:spacing w:val="-2"/>
        </w:rPr>
        <w:t xml:space="preserve"> CRISIL’s employer brand and communicat</w:t>
      </w:r>
      <w:r w:rsidR="00860847">
        <w:rPr>
          <w:spacing w:val="-2"/>
        </w:rPr>
        <w:t>e</w:t>
      </w:r>
      <w:r w:rsidR="00FA78FD" w:rsidRPr="006C4781">
        <w:rPr>
          <w:spacing w:val="-2"/>
        </w:rPr>
        <w:t xml:space="preserve"> the same to current and potential employees. With these thoughts in mind, </w:t>
      </w:r>
      <w:r w:rsidR="00823EB1">
        <w:rPr>
          <w:spacing w:val="-2"/>
        </w:rPr>
        <w:t>Kaura</w:t>
      </w:r>
      <w:r w:rsidR="00FA78FD" w:rsidRPr="006C4781">
        <w:rPr>
          <w:spacing w:val="-2"/>
        </w:rPr>
        <w:t xml:space="preserve"> closed the Glassdoor analysis summary report and proceeded </w:t>
      </w:r>
      <w:r w:rsidR="00C95F0A">
        <w:rPr>
          <w:spacing w:val="-2"/>
        </w:rPr>
        <w:t>to</w:t>
      </w:r>
      <w:r w:rsidR="00FA78FD" w:rsidRPr="006C4781">
        <w:rPr>
          <w:spacing w:val="-2"/>
        </w:rPr>
        <w:t xml:space="preserve"> another meeting.</w:t>
      </w:r>
      <w:r w:rsidR="006C4781">
        <w:rPr>
          <w:spacing w:val="-2"/>
        </w:rPr>
        <w:br w:type="page"/>
      </w:r>
    </w:p>
    <w:p w14:paraId="4EF15639" w14:textId="77777777" w:rsidR="00871764" w:rsidRPr="00871764" w:rsidRDefault="00871764" w:rsidP="00871764">
      <w:pPr>
        <w:pStyle w:val="ExhibitHeading"/>
        <w:rPr>
          <w:rStyle w:val="Heading1Char"/>
          <w:rFonts w:eastAsia="Batang" w:cs="Arial"/>
          <w:b/>
          <w:bCs w:val="0"/>
          <w:color w:val="auto"/>
          <w:szCs w:val="20"/>
          <w:lang w:val="en-US" w:eastAsia="en-US"/>
        </w:rPr>
      </w:pPr>
      <w:r w:rsidRPr="00871764">
        <w:rPr>
          <w:rStyle w:val="Heading1Char"/>
          <w:rFonts w:eastAsia="Batang" w:cs="Arial"/>
          <w:b/>
          <w:bCs w:val="0"/>
          <w:color w:val="auto"/>
          <w:szCs w:val="20"/>
          <w:lang w:val="en-US" w:eastAsia="en-US"/>
        </w:rPr>
        <w:lastRenderedPageBreak/>
        <w:t>EXHIBIT 1: GLASSDOOR RATINGS OF CRISIL AND OTHER AGENCIES</w:t>
      </w:r>
    </w:p>
    <w:p w14:paraId="1B85A685" w14:textId="77777777" w:rsidR="00871764" w:rsidRDefault="00871764" w:rsidP="00871764">
      <w:pPr>
        <w:pStyle w:val="NoSpacing"/>
        <w:jc w:val="center"/>
        <w:rPr>
          <w:rFonts w:ascii="Times New Roman" w:hAnsi="Times New Roman"/>
        </w:rPr>
      </w:pPr>
    </w:p>
    <w:tbl>
      <w:tblPr>
        <w:tblStyle w:val="TableGrid"/>
        <w:tblW w:w="8815" w:type="dxa"/>
        <w:jc w:val="center"/>
        <w:tblLook w:val="04A0" w:firstRow="1" w:lastRow="0" w:firstColumn="1" w:lastColumn="0" w:noHBand="0" w:noVBand="1"/>
      </w:tblPr>
      <w:tblGrid>
        <w:gridCol w:w="2515"/>
        <w:gridCol w:w="1115"/>
        <w:gridCol w:w="868"/>
        <w:gridCol w:w="1069"/>
        <w:gridCol w:w="966"/>
        <w:gridCol w:w="1137"/>
        <w:gridCol w:w="1145"/>
      </w:tblGrid>
      <w:tr w:rsidR="00871764" w:rsidRPr="00871764" w14:paraId="14BA7BDD" w14:textId="77777777" w:rsidTr="00871764">
        <w:trPr>
          <w:jc w:val="center"/>
        </w:trPr>
        <w:tc>
          <w:tcPr>
            <w:tcW w:w="2515" w:type="dxa"/>
          </w:tcPr>
          <w:p w14:paraId="7151FFAD" w14:textId="77777777" w:rsidR="00871764" w:rsidRPr="00871764" w:rsidRDefault="00871764" w:rsidP="000429E8">
            <w:pPr>
              <w:pStyle w:val="ExhibitText"/>
              <w:jc w:val="center"/>
              <w:rPr>
                <w:b/>
              </w:rPr>
            </w:pPr>
            <w:r w:rsidRPr="00871764">
              <w:rPr>
                <w:b/>
              </w:rPr>
              <w:t>Parameters</w:t>
            </w:r>
          </w:p>
        </w:tc>
        <w:tc>
          <w:tcPr>
            <w:tcW w:w="1115" w:type="dxa"/>
          </w:tcPr>
          <w:p w14:paraId="71CA7500" w14:textId="77777777" w:rsidR="00871764" w:rsidRPr="00871764" w:rsidRDefault="00871764" w:rsidP="000429E8">
            <w:pPr>
              <w:pStyle w:val="ExhibitText"/>
              <w:jc w:val="center"/>
              <w:rPr>
                <w:b/>
              </w:rPr>
            </w:pPr>
            <w:r w:rsidRPr="00871764">
              <w:rPr>
                <w:b/>
              </w:rPr>
              <w:t>CRISIL</w:t>
            </w:r>
          </w:p>
          <w:p w14:paraId="7EF7633A" w14:textId="77777777" w:rsidR="00871764" w:rsidRPr="00871764" w:rsidRDefault="00871764" w:rsidP="000429E8">
            <w:pPr>
              <w:pStyle w:val="ExhibitText"/>
              <w:jc w:val="center"/>
              <w:rPr>
                <w:b/>
              </w:rPr>
            </w:pPr>
            <w:r w:rsidRPr="00871764">
              <w:rPr>
                <w:b/>
              </w:rPr>
              <w:t>(518)</w:t>
            </w:r>
          </w:p>
        </w:tc>
        <w:tc>
          <w:tcPr>
            <w:tcW w:w="868" w:type="dxa"/>
          </w:tcPr>
          <w:p w14:paraId="73A6AD5D" w14:textId="77777777" w:rsidR="00871764" w:rsidRPr="00871764" w:rsidRDefault="00871764" w:rsidP="000429E8">
            <w:pPr>
              <w:pStyle w:val="ExhibitText"/>
              <w:jc w:val="center"/>
              <w:rPr>
                <w:b/>
              </w:rPr>
            </w:pPr>
            <w:r w:rsidRPr="00871764">
              <w:rPr>
                <w:b/>
              </w:rPr>
              <w:t>ICRA (78)</w:t>
            </w:r>
          </w:p>
        </w:tc>
        <w:tc>
          <w:tcPr>
            <w:tcW w:w="1069" w:type="dxa"/>
          </w:tcPr>
          <w:p w14:paraId="5C55CE62" w14:textId="77777777" w:rsidR="00871764" w:rsidRPr="00871764" w:rsidRDefault="00871764" w:rsidP="000429E8">
            <w:pPr>
              <w:pStyle w:val="ExhibitText"/>
              <w:jc w:val="center"/>
              <w:rPr>
                <w:b/>
              </w:rPr>
            </w:pPr>
            <w:r w:rsidRPr="00871764">
              <w:rPr>
                <w:b/>
              </w:rPr>
              <w:t>SMERA (23)</w:t>
            </w:r>
          </w:p>
        </w:tc>
        <w:tc>
          <w:tcPr>
            <w:tcW w:w="966" w:type="dxa"/>
          </w:tcPr>
          <w:p w14:paraId="62DB5A58" w14:textId="77777777" w:rsidR="00871764" w:rsidRPr="00871764" w:rsidRDefault="00871764" w:rsidP="000429E8">
            <w:pPr>
              <w:pStyle w:val="ExhibitText"/>
              <w:jc w:val="center"/>
              <w:rPr>
                <w:b/>
              </w:rPr>
            </w:pPr>
            <w:r w:rsidRPr="00871764">
              <w:rPr>
                <w:b/>
              </w:rPr>
              <w:t>CARE (48)</w:t>
            </w:r>
          </w:p>
        </w:tc>
        <w:tc>
          <w:tcPr>
            <w:tcW w:w="1137" w:type="dxa"/>
          </w:tcPr>
          <w:p w14:paraId="1425CC85" w14:textId="77777777" w:rsidR="00871764" w:rsidRPr="00871764" w:rsidRDefault="00871764" w:rsidP="000429E8">
            <w:pPr>
              <w:pStyle w:val="ExhibitText"/>
              <w:jc w:val="center"/>
              <w:rPr>
                <w:b/>
              </w:rPr>
            </w:pPr>
            <w:r w:rsidRPr="00871764">
              <w:rPr>
                <w:b/>
              </w:rPr>
              <w:t>ONICRA (62)</w:t>
            </w:r>
          </w:p>
        </w:tc>
        <w:tc>
          <w:tcPr>
            <w:tcW w:w="1145" w:type="dxa"/>
          </w:tcPr>
          <w:p w14:paraId="0923C909" w14:textId="3B16D609" w:rsidR="00871764" w:rsidRPr="00871764" w:rsidRDefault="00871764" w:rsidP="000429E8">
            <w:pPr>
              <w:pStyle w:val="ExhibitText"/>
              <w:jc w:val="center"/>
              <w:rPr>
                <w:b/>
              </w:rPr>
            </w:pPr>
            <w:r w:rsidRPr="00871764">
              <w:rPr>
                <w:b/>
              </w:rPr>
              <w:t>FITCH</w:t>
            </w:r>
          </w:p>
          <w:p w14:paraId="3CE41305" w14:textId="77777777" w:rsidR="00871764" w:rsidRPr="00871764" w:rsidRDefault="00871764" w:rsidP="000429E8">
            <w:pPr>
              <w:pStyle w:val="ExhibitText"/>
              <w:jc w:val="center"/>
              <w:rPr>
                <w:b/>
              </w:rPr>
            </w:pPr>
            <w:r w:rsidRPr="00871764">
              <w:rPr>
                <w:b/>
              </w:rPr>
              <w:t>(34)</w:t>
            </w:r>
          </w:p>
        </w:tc>
      </w:tr>
      <w:tr w:rsidR="00871764" w14:paraId="09541226" w14:textId="77777777" w:rsidTr="00871764">
        <w:trPr>
          <w:jc w:val="center"/>
        </w:trPr>
        <w:tc>
          <w:tcPr>
            <w:tcW w:w="2515" w:type="dxa"/>
          </w:tcPr>
          <w:p w14:paraId="512E86FB" w14:textId="77777777" w:rsidR="00871764" w:rsidRDefault="00871764" w:rsidP="00871764">
            <w:pPr>
              <w:pStyle w:val="ExhibitText"/>
            </w:pPr>
            <w:r>
              <w:t xml:space="preserve">Overall </w:t>
            </w:r>
          </w:p>
        </w:tc>
        <w:tc>
          <w:tcPr>
            <w:tcW w:w="1115" w:type="dxa"/>
          </w:tcPr>
          <w:p w14:paraId="00FD1FC8" w14:textId="77777777" w:rsidR="00871764" w:rsidRDefault="00871764" w:rsidP="000429E8">
            <w:pPr>
              <w:pStyle w:val="ExhibitText"/>
              <w:jc w:val="right"/>
            </w:pPr>
            <w:r>
              <w:t>3.1</w:t>
            </w:r>
          </w:p>
        </w:tc>
        <w:tc>
          <w:tcPr>
            <w:tcW w:w="868" w:type="dxa"/>
          </w:tcPr>
          <w:p w14:paraId="09B8F1E8" w14:textId="77777777" w:rsidR="00871764" w:rsidRDefault="00871764" w:rsidP="000429E8">
            <w:pPr>
              <w:pStyle w:val="ExhibitText"/>
              <w:jc w:val="right"/>
            </w:pPr>
            <w:r>
              <w:t>2.8</w:t>
            </w:r>
          </w:p>
        </w:tc>
        <w:tc>
          <w:tcPr>
            <w:tcW w:w="1069" w:type="dxa"/>
          </w:tcPr>
          <w:p w14:paraId="1725183E" w14:textId="77777777" w:rsidR="00871764" w:rsidRDefault="00871764" w:rsidP="000429E8">
            <w:pPr>
              <w:pStyle w:val="ExhibitText"/>
              <w:jc w:val="right"/>
            </w:pPr>
            <w:r>
              <w:t>2.8</w:t>
            </w:r>
          </w:p>
        </w:tc>
        <w:tc>
          <w:tcPr>
            <w:tcW w:w="966" w:type="dxa"/>
          </w:tcPr>
          <w:p w14:paraId="051FC207" w14:textId="77777777" w:rsidR="00871764" w:rsidRDefault="00871764" w:rsidP="000429E8">
            <w:pPr>
              <w:pStyle w:val="ExhibitText"/>
              <w:jc w:val="right"/>
            </w:pPr>
            <w:r>
              <w:t>2.9</w:t>
            </w:r>
          </w:p>
        </w:tc>
        <w:tc>
          <w:tcPr>
            <w:tcW w:w="1137" w:type="dxa"/>
          </w:tcPr>
          <w:p w14:paraId="2E634AEB" w14:textId="77777777" w:rsidR="00871764" w:rsidRDefault="00871764" w:rsidP="000429E8">
            <w:pPr>
              <w:pStyle w:val="ExhibitText"/>
              <w:jc w:val="right"/>
            </w:pPr>
            <w:r>
              <w:t>2.3</w:t>
            </w:r>
          </w:p>
        </w:tc>
        <w:tc>
          <w:tcPr>
            <w:tcW w:w="1145" w:type="dxa"/>
          </w:tcPr>
          <w:p w14:paraId="323DD654" w14:textId="77777777" w:rsidR="00871764" w:rsidRDefault="00871764" w:rsidP="000429E8">
            <w:pPr>
              <w:pStyle w:val="ExhibitText"/>
              <w:jc w:val="right"/>
            </w:pPr>
            <w:r>
              <w:t>2.3</w:t>
            </w:r>
          </w:p>
        </w:tc>
      </w:tr>
      <w:tr w:rsidR="00871764" w14:paraId="1455F881" w14:textId="77777777" w:rsidTr="00871764">
        <w:trPr>
          <w:jc w:val="center"/>
        </w:trPr>
        <w:tc>
          <w:tcPr>
            <w:tcW w:w="2515" w:type="dxa"/>
          </w:tcPr>
          <w:p w14:paraId="7948EB6B" w14:textId="77777777" w:rsidR="00871764" w:rsidRDefault="00871764" w:rsidP="00871764">
            <w:pPr>
              <w:pStyle w:val="ExhibitText"/>
            </w:pPr>
            <w:r>
              <w:t>Culture and Values</w:t>
            </w:r>
          </w:p>
        </w:tc>
        <w:tc>
          <w:tcPr>
            <w:tcW w:w="1115" w:type="dxa"/>
          </w:tcPr>
          <w:p w14:paraId="7D7C657C" w14:textId="77777777" w:rsidR="00871764" w:rsidRDefault="00871764" w:rsidP="000429E8">
            <w:pPr>
              <w:pStyle w:val="ExhibitText"/>
              <w:jc w:val="right"/>
            </w:pPr>
            <w:r>
              <w:t>3.3</w:t>
            </w:r>
          </w:p>
        </w:tc>
        <w:tc>
          <w:tcPr>
            <w:tcW w:w="868" w:type="dxa"/>
          </w:tcPr>
          <w:p w14:paraId="284E4726" w14:textId="77777777" w:rsidR="00871764" w:rsidRDefault="00871764" w:rsidP="000429E8">
            <w:pPr>
              <w:pStyle w:val="ExhibitText"/>
              <w:jc w:val="right"/>
            </w:pPr>
            <w:r>
              <w:t>2.5</w:t>
            </w:r>
          </w:p>
        </w:tc>
        <w:tc>
          <w:tcPr>
            <w:tcW w:w="1069" w:type="dxa"/>
          </w:tcPr>
          <w:p w14:paraId="5E0C5571" w14:textId="77777777" w:rsidR="00871764" w:rsidRDefault="00871764" w:rsidP="000429E8">
            <w:pPr>
              <w:pStyle w:val="ExhibitText"/>
              <w:jc w:val="right"/>
            </w:pPr>
            <w:r>
              <w:t>2.8</w:t>
            </w:r>
          </w:p>
        </w:tc>
        <w:tc>
          <w:tcPr>
            <w:tcW w:w="966" w:type="dxa"/>
          </w:tcPr>
          <w:p w14:paraId="1A36CBAF" w14:textId="77777777" w:rsidR="00871764" w:rsidRDefault="00871764" w:rsidP="000429E8">
            <w:pPr>
              <w:pStyle w:val="ExhibitText"/>
              <w:jc w:val="right"/>
            </w:pPr>
            <w:r>
              <w:t>2.5</w:t>
            </w:r>
          </w:p>
        </w:tc>
        <w:tc>
          <w:tcPr>
            <w:tcW w:w="1137" w:type="dxa"/>
          </w:tcPr>
          <w:p w14:paraId="4330C72D" w14:textId="77777777" w:rsidR="00871764" w:rsidRDefault="00871764" w:rsidP="000429E8">
            <w:pPr>
              <w:pStyle w:val="ExhibitText"/>
              <w:jc w:val="right"/>
            </w:pPr>
            <w:r>
              <w:t>2.2</w:t>
            </w:r>
          </w:p>
        </w:tc>
        <w:tc>
          <w:tcPr>
            <w:tcW w:w="1145" w:type="dxa"/>
          </w:tcPr>
          <w:p w14:paraId="4155D194" w14:textId="77777777" w:rsidR="00871764" w:rsidRDefault="00871764" w:rsidP="000429E8">
            <w:pPr>
              <w:pStyle w:val="ExhibitText"/>
              <w:jc w:val="right"/>
            </w:pPr>
            <w:r>
              <w:t>2.3</w:t>
            </w:r>
          </w:p>
        </w:tc>
      </w:tr>
      <w:tr w:rsidR="00871764" w14:paraId="038A5F99" w14:textId="77777777" w:rsidTr="00871764">
        <w:trPr>
          <w:jc w:val="center"/>
        </w:trPr>
        <w:tc>
          <w:tcPr>
            <w:tcW w:w="2515" w:type="dxa"/>
          </w:tcPr>
          <w:p w14:paraId="412B2941" w14:textId="58EE6754" w:rsidR="00871764" w:rsidRDefault="00871764" w:rsidP="006A4001">
            <w:pPr>
              <w:pStyle w:val="ExhibitText"/>
            </w:pPr>
            <w:r>
              <w:t>Work</w:t>
            </w:r>
            <w:r w:rsidR="00C95F0A">
              <w:t>–</w:t>
            </w:r>
            <w:r>
              <w:t xml:space="preserve">Life Balance </w:t>
            </w:r>
          </w:p>
        </w:tc>
        <w:tc>
          <w:tcPr>
            <w:tcW w:w="1115" w:type="dxa"/>
          </w:tcPr>
          <w:p w14:paraId="2FDA8BE4" w14:textId="77777777" w:rsidR="00871764" w:rsidRDefault="00871764" w:rsidP="000429E8">
            <w:pPr>
              <w:pStyle w:val="ExhibitText"/>
              <w:jc w:val="right"/>
            </w:pPr>
            <w:r>
              <w:t>3.2</w:t>
            </w:r>
          </w:p>
        </w:tc>
        <w:tc>
          <w:tcPr>
            <w:tcW w:w="868" w:type="dxa"/>
          </w:tcPr>
          <w:p w14:paraId="6E35652B" w14:textId="77777777" w:rsidR="00871764" w:rsidRDefault="00871764" w:rsidP="000429E8">
            <w:pPr>
              <w:pStyle w:val="ExhibitText"/>
              <w:jc w:val="right"/>
            </w:pPr>
            <w:r>
              <w:t>3.5</w:t>
            </w:r>
          </w:p>
        </w:tc>
        <w:tc>
          <w:tcPr>
            <w:tcW w:w="1069" w:type="dxa"/>
          </w:tcPr>
          <w:p w14:paraId="11771D6F" w14:textId="77777777" w:rsidR="00871764" w:rsidRDefault="00871764" w:rsidP="000429E8">
            <w:pPr>
              <w:pStyle w:val="ExhibitText"/>
              <w:jc w:val="right"/>
            </w:pPr>
            <w:r>
              <w:t>2.1</w:t>
            </w:r>
          </w:p>
        </w:tc>
        <w:tc>
          <w:tcPr>
            <w:tcW w:w="966" w:type="dxa"/>
          </w:tcPr>
          <w:p w14:paraId="21B0D3B6" w14:textId="77777777" w:rsidR="00871764" w:rsidRDefault="00871764" w:rsidP="000429E8">
            <w:pPr>
              <w:pStyle w:val="ExhibitText"/>
              <w:jc w:val="right"/>
            </w:pPr>
            <w:r>
              <w:t>3.6</w:t>
            </w:r>
          </w:p>
        </w:tc>
        <w:tc>
          <w:tcPr>
            <w:tcW w:w="1137" w:type="dxa"/>
          </w:tcPr>
          <w:p w14:paraId="17B6C34A" w14:textId="77777777" w:rsidR="00871764" w:rsidRDefault="00871764" w:rsidP="000429E8">
            <w:pPr>
              <w:pStyle w:val="ExhibitText"/>
              <w:jc w:val="right"/>
            </w:pPr>
            <w:r>
              <w:t>2.5</w:t>
            </w:r>
          </w:p>
        </w:tc>
        <w:tc>
          <w:tcPr>
            <w:tcW w:w="1145" w:type="dxa"/>
          </w:tcPr>
          <w:p w14:paraId="596E9D03" w14:textId="77777777" w:rsidR="00871764" w:rsidRDefault="00871764" w:rsidP="000429E8">
            <w:pPr>
              <w:pStyle w:val="ExhibitText"/>
              <w:jc w:val="right"/>
            </w:pPr>
            <w:r>
              <w:t>2.8</w:t>
            </w:r>
          </w:p>
        </w:tc>
      </w:tr>
      <w:tr w:rsidR="00871764" w14:paraId="69E5F0D6" w14:textId="77777777" w:rsidTr="00871764">
        <w:trPr>
          <w:jc w:val="center"/>
        </w:trPr>
        <w:tc>
          <w:tcPr>
            <w:tcW w:w="2515" w:type="dxa"/>
          </w:tcPr>
          <w:p w14:paraId="6E822C72" w14:textId="77777777" w:rsidR="00871764" w:rsidRDefault="00871764" w:rsidP="00871764">
            <w:pPr>
              <w:pStyle w:val="ExhibitText"/>
            </w:pPr>
            <w:r>
              <w:t xml:space="preserve">Senior Management </w:t>
            </w:r>
          </w:p>
        </w:tc>
        <w:tc>
          <w:tcPr>
            <w:tcW w:w="1115" w:type="dxa"/>
          </w:tcPr>
          <w:p w14:paraId="12F016A4" w14:textId="77777777" w:rsidR="00871764" w:rsidRDefault="00871764" w:rsidP="000429E8">
            <w:pPr>
              <w:pStyle w:val="ExhibitText"/>
              <w:jc w:val="right"/>
            </w:pPr>
            <w:r>
              <w:t>2.8</w:t>
            </w:r>
          </w:p>
        </w:tc>
        <w:tc>
          <w:tcPr>
            <w:tcW w:w="868" w:type="dxa"/>
          </w:tcPr>
          <w:p w14:paraId="1FA1438F" w14:textId="77777777" w:rsidR="00871764" w:rsidRDefault="00871764" w:rsidP="000429E8">
            <w:pPr>
              <w:pStyle w:val="ExhibitText"/>
              <w:jc w:val="right"/>
            </w:pPr>
            <w:r>
              <w:t>2.5</w:t>
            </w:r>
          </w:p>
        </w:tc>
        <w:tc>
          <w:tcPr>
            <w:tcW w:w="1069" w:type="dxa"/>
          </w:tcPr>
          <w:p w14:paraId="08A97E59" w14:textId="77777777" w:rsidR="00871764" w:rsidRDefault="00871764" w:rsidP="000429E8">
            <w:pPr>
              <w:pStyle w:val="ExhibitText"/>
              <w:jc w:val="right"/>
            </w:pPr>
            <w:r>
              <w:t>2.5</w:t>
            </w:r>
          </w:p>
        </w:tc>
        <w:tc>
          <w:tcPr>
            <w:tcW w:w="966" w:type="dxa"/>
          </w:tcPr>
          <w:p w14:paraId="6960D50D" w14:textId="77777777" w:rsidR="00871764" w:rsidRDefault="00871764" w:rsidP="000429E8">
            <w:pPr>
              <w:pStyle w:val="ExhibitText"/>
              <w:jc w:val="right"/>
            </w:pPr>
            <w:r>
              <w:t>2.5</w:t>
            </w:r>
          </w:p>
        </w:tc>
        <w:tc>
          <w:tcPr>
            <w:tcW w:w="1137" w:type="dxa"/>
          </w:tcPr>
          <w:p w14:paraId="42DA40D2" w14:textId="77777777" w:rsidR="00871764" w:rsidRDefault="00871764" w:rsidP="000429E8">
            <w:pPr>
              <w:pStyle w:val="ExhibitText"/>
              <w:jc w:val="right"/>
            </w:pPr>
            <w:r>
              <w:t>2.1</w:t>
            </w:r>
          </w:p>
        </w:tc>
        <w:tc>
          <w:tcPr>
            <w:tcW w:w="1145" w:type="dxa"/>
          </w:tcPr>
          <w:p w14:paraId="49F57DBF" w14:textId="77777777" w:rsidR="00871764" w:rsidRDefault="00871764" w:rsidP="000429E8">
            <w:pPr>
              <w:pStyle w:val="ExhibitText"/>
              <w:jc w:val="right"/>
            </w:pPr>
            <w:r>
              <w:t>1.9</w:t>
            </w:r>
          </w:p>
        </w:tc>
      </w:tr>
      <w:tr w:rsidR="00871764" w14:paraId="27B26F5F" w14:textId="77777777" w:rsidTr="00871764">
        <w:trPr>
          <w:jc w:val="center"/>
        </w:trPr>
        <w:tc>
          <w:tcPr>
            <w:tcW w:w="2515" w:type="dxa"/>
          </w:tcPr>
          <w:p w14:paraId="35552386" w14:textId="77777777" w:rsidR="00871764" w:rsidRDefault="00871764" w:rsidP="00871764">
            <w:pPr>
              <w:pStyle w:val="ExhibitText"/>
            </w:pPr>
            <w:r>
              <w:t xml:space="preserve">Compensation Benefits </w:t>
            </w:r>
          </w:p>
        </w:tc>
        <w:tc>
          <w:tcPr>
            <w:tcW w:w="1115" w:type="dxa"/>
          </w:tcPr>
          <w:p w14:paraId="1E40A718" w14:textId="77777777" w:rsidR="00871764" w:rsidRDefault="00871764" w:rsidP="000429E8">
            <w:pPr>
              <w:pStyle w:val="ExhibitText"/>
              <w:jc w:val="right"/>
            </w:pPr>
            <w:r>
              <w:t>2.6</w:t>
            </w:r>
          </w:p>
        </w:tc>
        <w:tc>
          <w:tcPr>
            <w:tcW w:w="868" w:type="dxa"/>
          </w:tcPr>
          <w:p w14:paraId="31570E46" w14:textId="77777777" w:rsidR="00871764" w:rsidRDefault="00871764" w:rsidP="000429E8">
            <w:pPr>
              <w:pStyle w:val="ExhibitText"/>
              <w:jc w:val="right"/>
            </w:pPr>
            <w:r>
              <w:t>2.5</w:t>
            </w:r>
          </w:p>
        </w:tc>
        <w:tc>
          <w:tcPr>
            <w:tcW w:w="1069" w:type="dxa"/>
          </w:tcPr>
          <w:p w14:paraId="73CB6300" w14:textId="77777777" w:rsidR="00871764" w:rsidRDefault="00871764" w:rsidP="000429E8">
            <w:pPr>
              <w:pStyle w:val="ExhibitText"/>
              <w:jc w:val="right"/>
            </w:pPr>
            <w:r>
              <w:t>2.2</w:t>
            </w:r>
          </w:p>
        </w:tc>
        <w:tc>
          <w:tcPr>
            <w:tcW w:w="966" w:type="dxa"/>
          </w:tcPr>
          <w:p w14:paraId="5CA1F374" w14:textId="77777777" w:rsidR="00871764" w:rsidRDefault="00871764" w:rsidP="000429E8">
            <w:pPr>
              <w:pStyle w:val="ExhibitText"/>
              <w:jc w:val="right"/>
            </w:pPr>
            <w:r>
              <w:t>2.0</w:t>
            </w:r>
          </w:p>
        </w:tc>
        <w:tc>
          <w:tcPr>
            <w:tcW w:w="1137" w:type="dxa"/>
          </w:tcPr>
          <w:p w14:paraId="4C059E1A" w14:textId="77777777" w:rsidR="00871764" w:rsidRDefault="00871764" w:rsidP="000429E8">
            <w:pPr>
              <w:pStyle w:val="ExhibitText"/>
              <w:jc w:val="right"/>
            </w:pPr>
            <w:r>
              <w:t>2.4</w:t>
            </w:r>
          </w:p>
        </w:tc>
        <w:tc>
          <w:tcPr>
            <w:tcW w:w="1145" w:type="dxa"/>
          </w:tcPr>
          <w:p w14:paraId="0E8F3A0B" w14:textId="77777777" w:rsidR="00871764" w:rsidRDefault="00871764" w:rsidP="000429E8">
            <w:pPr>
              <w:pStyle w:val="ExhibitText"/>
              <w:jc w:val="right"/>
            </w:pPr>
            <w:r>
              <w:t>2.6</w:t>
            </w:r>
          </w:p>
        </w:tc>
      </w:tr>
      <w:tr w:rsidR="00871764" w14:paraId="6A2A7136" w14:textId="77777777" w:rsidTr="00871764">
        <w:trPr>
          <w:jc w:val="center"/>
        </w:trPr>
        <w:tc>
          <w:tcPr>
            <w:tcW w:w="2515" w:type="dxa"/>
          </w:tcPr>
          <w:p w14:paraId="03674BE8" w14:textId="77777777" w:rsidR="00871764" w:rsidRDefault="00871764" w:rsidP="00871764">
            <w:pPr>
              <w:pStyle w:val="ExhibitText"/>
            </w:pPr>
            <w:r>
              <w:t xml:space="preserve">Career Opportunities </w:t>
            </w:r>
          </w:p>
        </w:tc>
        <w:tc>
          <w:tcPr>
            <w:tcW w:w="1115" w:type="dxa"/>
          </w:tcPr>
          <w:p w14:paraId="2CD7C632" w14:textId="77777777" w:rsidR="00871764" w:rsidRDefault="00871764" w:rsidP="000429E8">
            <w:pPr>
              <w:pStyle w:val="ExhibitText"/>
              <w:jc w:val="right"/>
            </w:pPr>
            <w:r>
              <w:t>3.0</w:t>
            </w:r>
          </w:p>
        </w:tc>
        <w:tc>
          <w:tcPr>
            <w:tcW w:w="868" w:type="dxa"/>
          </w:tcPr>
          <w:p w14:paraId="6CDB2781" w14:textId="77777777" w:rsidR="00871764" w:rsidRDefault="00871764" w:rsidP="000429E8">
            <w:pPr>
              <w:pStyle w:val="ExhibitText"/>
              <w:jc w:val="right"/>
            </w:pPr>
            <w:r>
              <w:t>2.7</w:t>
            </w:r>
          </w:p>
        </w:tc>
        <w:tc>
          <w:tcPr>
            <w:tcW w:w="1069" w:type="dxa"/>
          </w:tcPr>
          <w:p w14:paraId="2E877AAC" w14:textId="77777777" w:rsidR="00871764" w:rsidRDefault="00871764" w:rsidP="000429E8">
            <w:pPr>
              <w:pStyle w:val="ExhibitText"/>
              <w:jc w:val="right"/>
            </w:pPr>
            <w:r>
              <w:t>2.9</w:t>
            </w:r>
          </w:p>
        </w:tc>
        <w:tc>
          <w:tcPr>
            <w:tcW w:w="966" w:type="dxa"/>
          </w:tcPr>
          <w:p w14:paraId="1E79E73D" w14:textId="77777777" w:rsidR="00871764" w:rsidRDefault="00871764" w:rsidP="000429E8">
            <w:pPr>
              <w:pStyle w:val="ExhibitText"/>
              <w:jc w:val="right"/>
            </w:pPr>
            <w:r>
              <w:t>3.1</w:t>
            </w:r>
          </w:p>
        </w:tc>
        <w:tc>
          <w:tcPr>
            <w:tcW w:w="1137" w:type="dxa"/>
          </w:tcPr>
          <w:p w14:paraId="45A8BEF7" w14:textId="77777777" w:rsidR="00871764" w:rsidRDefault="00871764" w:rsidP="000429E8">
            <w:pPr>
              <w:pStyle w:val="ExhibitText"/>
              <w:jc w:val="right"/>
            </w:pPr>
            <w:r>
              <w:t>2.5</w:t>
            </w:r>
          </w:p>
        </w:tc>
        <w:tc>
          <w:tcPr>
            <w:tcW w:w="1145" w:type="dxa"/>
          </w:tcPr>
          <w:p w14:paraId="75B2DF38" w14:textId="77777777" w:rsidR="00871764" w:rsidRDefault="00871764" w:rsidP="000429E8">
            <w:pPr>
              <w:pStyle w:val="ExhibitText"/>
              <w:jc w:val="right"/>
            </w:pPr>
            <w:r>
              <w:t>2.4</w:t>
            </w:r>
          </w:p>
        </w:tc>
      </w:tr>
    </w:tbl>
    <w:p w14:paraId="794606D8" w14:textId="77777777" w:rsidR="00871764" w:rsidRDefault="00871764" w:rsidP="00871764">
      <w:pPr>
        <w:ind w:left="284"/>
      </w:pPr>
    </w:p>
    <w:p w14:paraId="0E8191B2" w14:textId="12C487C0" w:rsidR="00871764" w:rsidRPr="00871764" w:rsidRDefault="00871764" w:rsidP="00871764">
      <w:pPr>
        <w:pStyle w:val="Footnote"/>
      </w:pPr>
      <w:r w:rsidRPr="00871764">
        <w:t xml:space="preserve">Note: </w:t>
      </w:r>
      <w:r w:rsidR="004D3C31">
        <w:t>The number</w:t>
      </w:r>
      <w:r w:rsidRPr="00871764">
        <w:t xml:space="preserve"> values in parenthes</w:t>
      </w:r>
      <w:r w:rsidR="004D3C31">
        <w:t>e</w:t>
      </w:r>
      <w:r w:rsidRPr="00871764">
        <w:t xml:space="preserve">s represent </w:t>
      </w:r>
      <w:r w:rsidR="004D3C31">
        <w:t xml:space="preserve">the </w:t>
      </w:r>
      <w:r w:rsidRPr="00871764">
        <w:t xml:space="preserve">number of Glassdoor reviews; </w:t>
      </w:r>
      <w:r w:rsidR="004D3C31">
        <w:t>r</w:t>
      </w:r>
      <w:r w:rsidRPr="00871764">
        <w:t>ating</w:t>
      </w:r>
      <w:r w:rsidR="004D3C31">
        <w:t>s</w:t>
      </w:r>
      <w:r w:rsidRPr="00871764">
        <w:t xml:space="preserve">: 1 </w:t>
      </w:r>
      <w:r w:rsidR="004D3C31">
        <w:t>=</w:t>
      </w:r>
      <w:r w:rsidRPr="00871764">
        <w:t xml:space="preserve"> very poor; 5 </w:t>
      </w:r>
      <w:r w:rsidR="004D3C31">
        <w:t>=</w:t>
      </w:r>
      <w:r w:rsidRPr="00871764">
        <w:t xml:space="preserve"> very good; ICRA</w:t>
      </w:r>
      <w:r w:rsidR="004D3C31">
        <w:t xml:space="preserve"> =</w:t>
      </w:r>
      <w:r w:rsidRPr="00871764">
        <w:t xml:space="preserve"> Investment Information and Credit Rating Agency of India Limited; SMERA</w:t>
      </w:r>
      <w:r w:rsidR="004D3C31">
        <w:t xml:space="preserve"> =</w:t>
      </w:r>
      <w:r w:rsidRPr="00871764">
        <w:t xml:space="preserve"> SMERA Ratings Ltd; CARE</w:t>
      </w:r>
      <w:r w:rsidR="004D3C31">
        <w:t xml:space="preserve"> = </w:t>
      </w:r>
      <w:r w:rsidRPr="00871764">
        <w:t>Credit Analysis and Research Ltd; ONICRA</w:t>
      </w:r>
      <w:r w:rsidR="004D3C31">
        <w:t xml:space="preserve"> =</w:t>
      </w:r>
      <w:r w:rsidRPr="00871764">
        <w:t xml:space="preserve"> Onida Individual Credit Rating Agency of India</w:t>
      </w:r>
      <w:r w:rsidRPr="00871764">
        <w:tab/>
      </w:r>
    </w:p>
    <w:p w14:paraId="1BBF0BA5" w14:textId="1CA599B9" w:rsidR="00871764" w:rsidRPr="00871764" w:rsidRDefault="00871764" w:rsidP="00871764">
      <w:pPr>
        <w:pStyle w:val="Footnote"/>
      </w:pPr>
      <w:r w:rsidRPr="00871764">
        <w:t xml:space="preserve">Source: Created by </w:t>
      </w:r>
      <w:r w:rsidR="004D3C31">
        <w:t xml:space="preserve">the </w:t>
      </w:r>
      <w:r w:rsidRPr="00871764">
        <w:t xml:space="preserve">case authors based on </w:t>
      </w:r>
      <w:r w:rsidR="004D3C31">
        <w:t>Glassdoor ratings</w:t>
      </w:r>
      <w:r w:rsidR="004D55DA">
        <w:t xml:space="preserve">: “Company Reviews: CRISIL,” </w:t>
      </w:r>
      <w:proofErr w:type="spellStart"/>
      <w:r w:rsidR="004D55DA">
        <w:t>glassdoor</w:t>
      </w:r>
      <w:proofErr w:type="spellEnd"/>
      <w:r w:rsidR="004D55DA">
        <w:t xml:space="preserve">, </w:t>
      </w:r>
      <w:r w:rsidR="004D3C31">
        <w:t xml:space="preserve">accessed August 25, 2017, </w:t>
      </w:r>
      <w:r w:rsidR="00E27321" w:rsidRPr="005E11F9">
        <w:t>https://www.glassdoor.co.in/Reviews/CRISIL-Reviews-E325773.htm#trends-overallRating</w:t>
      </w:r>
      <w:r w:rsidRPr="00871764">
        <w:t>.</w:t>
      </w:r>
    </w:p>
    <w:p w14:paraId="0B2E7257" w14:textId="77777777" w:rsidR="00871764" w:rsidRPr="00871764" w:rsidRDefault="00871764" w:rsidP="00871764">
      <w:pPr>
        <w:pStyle w:val="BodyTextMain"/>
      </w:pPr>
    </w:p>
    <w:p w14:paraId="0FE52C54" w14:textId="4786F284" w:rsidR="00871764" w:rsidRPr="00871764" w:rsidRDefault="00871764" w:rsidP="00871764">
      <w:pPr>
        <w:pStyle w:val="BodyTextMain"/>
      </w:pPr>
    </w:p>
    <w:p w14:paraId="65E2593F" w14:textId="77777777" w:rsidR="00871764" w:rsidRDefault="00871764" w:rsidP="00871764">
      <w:pPr>
        <w:pStyle w:val="ExhibitHeading"/>
      </w:pPr>
      <w:r w:rsidRPr="00871764">
        <w:t>EXHIBIT 2: ABOUT CRISIL</w:t>
      </w:r>
    </w:p>
    <w:p w14:paraId="3786B1B6" w14:textId="77777777" w:rsidR="00871764" w:rsidRPr="00871764" w:rsidRDefault="00871764" w:rsidP="00871764">
      <w:pPr>
        <w:pStyle w:val="BodyTextMain"/>
      </w:pPr>
    </w:p>
    <w:p w14:paraId="455C5534" w14:textId="2F050F60" w:rsidR="00871764" w:rsidRDefault="00871764" w:rsidP="00871764">
      <w:pPr>
        <w:pStyle w:val="ExhibitText"/>
      </w:pPr>
      <w:r>
        <w:t xml:space="preserve">CRISIL, India’s first credit rating agency, was incorporated on January </w:t>
      </w:r>
      <w:r w:rsidR="006A4001">
        <w:t xml:space="preserve">29, </w:t>
      </w:r>
      <w:r>
        <w:t xml:space="preserve">1987, promoted </w:t>
      </w:r>
      <w:r w:rsidR="006A4001">
        <w:t xml:space="preserve">at that time </w:t>
      </w:r>
      <w:r>
        <w:t>by the Industrial Credit and Investment Corporation of India, Unit Trust of India, Housing Development Finance Corporation</w:t>
      </w:r>
      <w:r w:rsidR="006A4001">
        <w:t>,</w:t>
      </w:r>
      <w:r>
        <w:t xml:space="preserve"> and other financial institutions. In 1990, the CRISILCARD Service</w:t>
      </w:r>
      <w:r w:rsidR="006A4001">
        <w:t>—</w:t>
      </w:r>
      <w:r>
        <w:t>providing comprehensive information and analytical opinion on India’s corporate entities</w:t>
      </w:r>
      <w:r w:rsidR="006A4001">
        <w:t>—</w:t>
      </w:r>
      <w:r>
        <w:t xml:space="preserve">was launched. Despite initial market resistance </w:t>
      </w:r>
      <w:r w:rsidR="006A4001">
        <w:t>to the</w:t>
      </w:r>
      <w:r>
        <w:t xml:space="preserve"> acceptance of credit ratings, in 1991 CRISIL began to acquire brand identity with a reputation for analytical rigo</w:t>
      </w:r>
      <w:r w:rsidR="006A4001">
        <w:t>u</w:t>
      </w:r>
      <w:r>
        <w:t xml:space="preserve">r and independence. In 1993, CRISIL launched its </w:t>
      </w:r>
      <w:r w:rsidR="006A4001">
        <w:t>initial public offering</w:t>
      </w:r>
      <w:r>
        <w:t xml:space="preserve"> with 2,000,000 shares sold at a premium of US</w:t>
      </w:r>
      <w:r w:rsidR="006A4001">
        <w:t>$</w:t>
      </w:r>
      <w:r>
        <w:t>0.62 per share</w:t>
      </w:r>
      <w:r w:rsidR="006A4001">
        <w:t>,</w:t>
      </w:r>
      <w:r>
        <w:t xml:space="preserve"> which was oversubscribed 2.47 times. </w:t>
      </w:r>
    </w:p>
    <w:p w14:paraId="023D8DAD" w14:textId="77777777" w:rsidR="00871764" w:rsidRDefault="00871764" w:rsidP="00871764">
      <w:pPr>
        <w:pStyle w:val="ExhibitText"/>
      </w:pPr>
    </w:p>
    <w:p w14:paraId="0E70DAE6" w14:textId="5B8B7AF0" w:rsidR="00871764" w:rsidRDefault="00871764" w:rsidP="00871764">
      <w:pPr>
        <w:pStyle w:val="ExhibitText"/>
      </w:pPr>
      <w:r>
        <w:t xml:space="preserve">In 1996, CRISIL forged a strategic business alliance with </w:t>
      </w:r>
      <w:r w:rsidR="006A4001">
        <w:t xml:space="preserve">global ratings group </w:t>
      </w:r>
      <w:r>
        <w:t xml:space="preserve">Standard &amp; Poor’s </w:t>
      </w:r>
      <w:r w:rsidR="006A4001">
        <w:t xml:space="preserve">Financial Services LLC </w:t>
      </w:r>
      <w:r>
        <w:t xml:space="preserve">(S&amp;P). Initially, S&amp;P had </w:t>
      </w:r>
      <w:r w:rsidR="00746830">
        <w:t xml:space="preserve">a </w:t>
      </w:r>
      <w:r>
        <w:t>9.68 per</w:t>
      </w:r>
      <w:r w:rsidR="00746830">
        <w:t xml:space="preserve"> </w:t>
      </w:r>
      <w:r>
        <w:t>cent stake in CRISIL</w:t>
      </w:r>
      <w:r w:rsidR="00746830">
        <w:t>;</w:t>
      </w:r>
      <w:r>
        <w:t xml:space="preserve"> later</w:t>
      </w:r>
      <w:r w:rsidR="00746830">
        <w:t>,</w:t>
      </w:r>
      <w:r>
        <w:t xml:space="preserve"> in 2005, S&amp;P acquired majority control of CRISIL. The alliance with S&amp;P added to CRISIL’s expertise in methodologies and provided exposure to the international rating markets. CRISIL made three main acquisitions to diversify its offerings. In 2000, CRISIL acquired Information Products and Research Services (India) Pvt. Ltd.</w:t>
      </w:r>
      <w:r w:rsidR="00746830">
        <w:t>,</w:t>
      </w:r>
      <w:r>
        <w:t xml:space="preserve"> which strengthened its research business and made it India’s leading provider of integrated research. In 2005, CRISIL acquired Irevna</w:t>
      </w:r>
      <w:r w:rsidR="00746830" w:rsidRPr="00B6217D">
        <w:t>,</w:t>
      </w:r>
      <w:r w:rsidRPr="006026EA">
        <w:t xml:space="preserve"> </w:t>
      </w:r>
      <w:r w:rsidR="00746830" w:rsidRPr="006026EA">
        <w:t>a leading global equity research and analytics company</w:t>
      </w:r>
      <w:r w:rsidR="00746830">
        <w:t>, which</w:t>
      </w:r>
      <w:r>
        <w:t xml:space="preserve"> added equity research to its offerings</w:t>
      </w:r>
      <w:r w:rsidR="00746830">
        <w:t>,</w:t>
      </w:r>
      <w:r>
        <w:t xml:space="preserve"> and in 2012</w:t>
      </w:r>
      <w:r w:rsidR="00DD4462">
        <w:t>,</w:t>
      </w:r>
      <w:r>
        <w:t xml:space="preserve"> acquired U</w:t>
      </w:r>
      <w:r w:rsidR="00746830">
        <w:t>.</w:t>
      </w:r>
      <w:r>
        <w:t>K</w:t>
      </w:r>
      <w:r w:rsidR="00746830">
        <w:t>.</w:t>
      </w:r>
      <w:r>
        <w:t>-based Coalition</w:t>
      </w:r>
      <w:r w:rsidR="00746830">
        <w:t xml:space="preserve"> Development Ltd.</w:t>
      </w:r>
      <w:r>
        <w:t xml:space="preserve">, a company providing high-end analytics to global investment banks. </w:t>
      </w:r>
    </w:p>
    <w:p w14:paraId="1A8A741D" w14:textId="77777777" w:rsidR="00871764" w:rsidRDefault="00871764" w:rsidP="00871764">
      <w:pPr>
        <w:pStyle w:val="ExhibitText"/>
      </w:pPr>
    </w:p>
    <w:p w14:paraId="4C953CC0" w14:textId="0A9AE4F6" w:rsidR="00871764" w:rsidRDefault="00871764" w:rsidP="00871764">
      <w:pPr>
        <w:pStyle w:val="ExhibitText"/>
      </w:pPr>
      <w:r>
        <w:t>In 2011, CRISIL had revenue of US</w:t>
      </w:r>
      <w:r w:rsidR="00746830">
        <w:t>$</w:t>
      </w:r>
      <w:r>
        <w:t>124.84 million, growing at a compounded annual growth rate of 32 per</w:t>
      </w:r>
      <w:r w:rsidR="00746830">
        <w:t xml:space="preserve"> </w:t>
      </w:r>
      <w:r>
        <w:t>cent over the preceding 10 years. By 2016, CRISIL was a global analytical company providing ratings, research, risk</w:t>
      </w:r>
      <w:r w:rsidR="00746830">
        <w:t>,</w:t>
      </w:r>
      <w:r>
        <w:t xml:space="preserve"> and policy advisory services with US</w:t>
      </w:r>
      <w:r w:rsidR="00746830">
        <w:t>$</w:t>
      </w:r>
      <w:r>
        <w:t>241.41 million income from operations</w:t>
      </w:r>
      <w:r w:rsidR="00746830">
        <w:t>,</w:t>
      </w:r>
      <w:r>
        <w:t xml:space="preserve"> a </w:t>
      </w:r>
      <w:r w:rsidR="00746830">
        <w:t>compound annual growth rate</w:t>
      </w:r>
      <w:r>
        <w:t xml:space="preserve"> of 16 per</w:t>
      </w:r>
      <w:r w:rsidR="00746830">
        <w:t xml:space="preserve"> </w:t>
      </w:r>
      <w:r>
        <w:t>cent</w:t>
      </w:r>
      <w:r w:rsidR="00746830">
        <w:t>,</w:t>
      </w:r>
      <w:r>
        <w:t xml:space="preserve"> and profit after tax of US</w:t>
      </w:r>
      <w:r w:rsidR="00746830">
        <w:t>$</w:t>
      </w:r>
      <w:r>
        <w:t>50.87 million.</w:t>
      </w:r>
    </w:p>
    <w:p w14:paraId="14485EC7" w14:textId="77777777" w:rsidR="00871764" w:rsidRDefault="00871764" w:rsidP="00871764">
      <w:pPr>
        <w:tabs>
          <w:tab w:val="center" w:pos="4680"/>
        </w:tabs>
        <w:jc w:val="both"/>
      </w:pPr>
    </w:p>
    <w:p w14:paraId="3768C7A5" w14:textId="61C71E49" w:rsidR="00871764" w:rsidRDefault="00871764" w:rsidP="00871764">
      <w:pPr>
        <w:pStyle w:val="Footnote"/>
        <w:rPr>
          <w:lang w:val="en-IN"/>
        </w:rPr>
      </w:pPr>
      <w:r w:rsidRPr="00BB6087">
        <w:t xml:space="preserve">Source: </w:t>
      </w:r>
      <w:r w:rsidRPr="00BB6087">
        <w:rPr>
          <w:spacing w:val="-3"/>
        </w:rPr>
        <w:t xml:space="preserve">Compiled by case authors based on </w:t>
      </w:r>
      <w:r w:rsidR="00A66BA6" w:rsidRPr="00871764">
        <w:t xml:space="preserve">Hemanth Gorur and Sumit Chowdhury, </w:t>
      </w:r>
      <w:r w:rsidR="00A66BA6" w:rsidRPr="006026EA">
        <w:rPr>
          <w:i/>
        </w:rPr>
        <w:t>Doing What is Right: The CRISIL Story</w:t>
      </w:r>
      <w:r w:rsidR="00A66BA6" w:rsidRPr="00871764">
        <w:t xml:space="preserve"> (Chennai</w:t>
      </w:r>
      <w:r w:rsidR="006A4001">
        <w:t>, India</w:t>
      </w:r>
      <w:r w:rsidR="00A66BA6" w:rsidRPr="00871764">
        <w:t>: Westland</w:t>
      </w:r>
      <w:r w:rsidR="006A4001">
        <w:t xml:space="preserve"> Books</w:t>
      </w:r>
      <w:r w:rsidR="00A66BA6" w:rsidRPr="00871764">
        <w:t xml:space="preserve"> Ltd, 2012)</w:t>
      </w:r>
      <w:r w:rsidR="006A4001">
        <w:t>:</w:t>
      </w:r>
      <w:r w:rsidR="00A66BA6" w:rsidRPr="00871764">
        <w:t xml:space="preserve"> xix</w:t>
      </w:r>
      <w:r w:rsidR="00A66BA6">
        <w:t>;</w:t>
      </w:r>
      <w:r w:rsidR="00A66BA6" w:rsidRPr="00871764">
        <w:t xml:space="preserve"> </w:t>
      </w:r>
      <w:r w:rsidR="00A66BA6">
        <w:t>“Our History,” CRISIL</w:t>
      </w:r>
      <w:r w:rsidR="00F905F4">
        <w:t>: An S&amp;P Global Company</w:t>
      </w:r>
      <w:r w:rsidR="00A66BA6">
        <w:t xml:space="preserve">, accessed August 18, 2017, </w:t>
      </w:r>
      <w:r w:rsidR="00A66BA6" w:rsidRPr="00A66BA6">
        <w:t>https://www.crisil.com/en/home/about-us/our-history.html</w:t>
      </w:r>
      <w:r w:rsidR="00A66BA6">
        <w:t>;</w:t>
      </w:r>
      <w:r>
        <w:t xml:space="preserve"> </w:t>
      </w:r>
      <w:r w:rsidR="00F905F4">
        <w:t xml:space="preserve">“Analytics of Conviction: CRISIL Limited, Annual Report 2016,” </w:t>
      </w:r>
      <w:r w:rsidRPr="00BB6087">
        <w:rPr>
          <w:lang w:val="en-IN"/>
        </w:rPr>
        <w:t>CRISIL</w:t>
      </w:r>
      <w:r w:rsidR="00F905F4">
        <w:rPr>
          <w:lang w:val="en-IN"/>
        </w:rPr>
        <w:t>: An S&amp;P Global Company</w:t>
      </w:r>
      <w:r w:rsidR="00A66BA6">
        <w:rPr>
          <w:lang w:val="en-IN"/>
        </w:rPr>
        <w:t>,</w:t>
      </w:r>
      <w:r w:rsidR="006A4001">
        <w:rPr>
          <w:lang w:val="en-IN"/>
        </w:rPr>
        <w:t xml:space="preserve"> accessed August 18, 2017</w:t>
      </w:r>
      <w:r w:rsidR="00F905F4">
        <w:rPr>
          <w:lang w:val="en-IN"/>
        </w:rPr>
        <w:t xml:space="preserve">, </w:t>
      </w:r>
      <w:r w:rsidR="00F905F4" w:rsidRPr="00F905F4">
        <w:rPr>
          <w:lang w:val="en-IN"/>
        </w:rPr>
        <w:t>https://www.crisil.com/content/dam/crisil/investors/annual-reports/2016/crisil-ar-2016-interactive.pdf</w:t>
      </w:r>
      <w:r w:rsidRPr="00BB6087">
        <w:rPr>
          <w:lang w:val="en-IN"/>
        </w:rPr>
        <w:t>.</w:t>
      </w:r>
    </w:p>
    <w:p w14:paraId="49BFC621" w14:textId="6CE2618C" w:rsidR="00746830" w:rsidRDefault="00746830">
      <w:pPr>
        <w:spacing w:after="200" w:line="276" w:lineRule="auto"/>
        <w:rPr>
          <w:sz w:val="22"/>
          <w:szCs w:val="22"/>
          <w:lang w:val="en-IN"/>
        </w:rPr>
      </w:pPr>
      <w:r>
        <w:rPr>
          <w:sz w:val="22"/>
          <w:szCs w:val="22"/>
          <w:lang w:val="en-IN"/>
        </w:rPr>
        <w:br w:type="page"/>
      </w:r>
    </w:p>
    <w:p w14:paraId="5D20BAE0" w14:textId="77777777" w:rsidR="00871764" w:rsidRDefault="00871764" w:rsidP="00871764">
      <w:pPr>
        <w:pStyle w:val="ExhibitHeading"/>
        <w:keepNext/>
      </w:pPr>
      <w:r>
        <w:lastRenderedPageBreak/>
        <w:t>EXHIBIT 3: CRISIL’S BUSINESSES</w:t>
      </w:r>
    </w:p>
    <w:p w14:paraId="4BAE09E0" w14:textId="77777777" w:rsidR="00871764" w:rsidRPr="00871764" w:rsidRDefault="00871764" w:rsidP="00871764">
      <w:pPr>
        <w:pStyle w:val="BodyTextMain"/>
        <w:keepNext/>
        <w:rPr>
          <w:sz w:val="20"/>
        </w:rPr>
      </w:pPr>
    </w:p>
    <w:p w14:paraId="6EBDC2CB" w14:textId="77777777" w:rsidR="00871764" w:rsidRDefault="00871764" w:rsidP="00871764">
      <w:pPr>
        <w:pStyle w:val="Casehead2"/>
        <w:keepNext/>
      </w:pPr>
      <w:r>
        <w:t xml:space="preserve">CRISIL Ratings </w:t>
      </w:r>
    </w:p>
    <w:p w14:paraId="00E6DF95" w14:textId="77777777" w:rsidR="00871764" w:rsidRPr="00871764" w:rsidRDefault="00871764" w:rsidP="00871764">
      <w:pPr>
        <w:pStyle w:val="BodyTextMain"/>
        <w:rPr>
          <w:sz w:val="20"/>
        </w:rPr>
      </w:pPr>
    </w:p>
    <w:p w14:paraId="341C1818" w14:textId="7F3B1B42" w:rsidR="00871764" w:rsidRPr="00871764" w:rsidRDefault="00871764" w:rsidP="00871764">
      <w:pPr>
        <w:pStyle w:val="ExhibitText"/>
        <w:rPr>
          <w:sz w:val="19"/>
          <w:szCs w:val="19"/>
        </w:rPr>
      </w:pPr>
      <w:r w:rsidRPr="00871764">
        <w:rPr>
          <w:sz w:val="19"/>
          <w:szCs w:val="19"/>
        </w:rPr>
        <w:t>CRISIL provided services in the range of debt instruments: bank loans, certificates of deposit, commercial paper, non-convertible debentures, bank hybrid capital instruments, asset and mortgage-backed securities, perpetual bonds, and partial guarantees. CRISIL’s clients included 23 of the Bombay Stock Exchange constituent companies and 39 of the National Stock Exchange</w:t>
      </w:r>
      <w:r w:rsidR="00746830">
        <w:rPr>
          <w:sz w:val="19"/>
          <w:szCs w:val="19"/>
        </w:rPr>
        <w:t xml:space="preserve"> of India</w:t>
      </w:r>
      <w:r w:rsidRPr="00871764">
        <w:rPr>
          <w:sz w:val="19"/>
          <w:szCs w:val="19"/>
        </w:rPr>
        <w:t xml:space="preserve">’s NIFTY </w:t>
      </w:r>
      <w:r w:rsidR="00746830">
        <w:rPr>
          <w:sz w:val="19"/>
          <w:szCs w:val="19"/>
        </w:rPr>
        <w:t xml:space="preserve">50 </w:t>
      </w:r>
      <w:r w:rsidRPr="00871764">
        <w:rPr>
          <w:sz w:val="19"/>
          <w:szCs w:val="19"/>
        </w:rPr>
        <w:t>constituent companies, accounting for 80 per</w:t>
      </w:r>
      <w:r w:rsidR="00746830">
        <w:rPr>
          <w:sz w:val="19"/>
          <w:szCs w:val="19"/>
        </w:rPr>
        <w:t xml:space="preserve"> </w:t>
      </w:r>
      <w:r w:rsidRPr="00871764">
        <w:rPr>
          <w:sz w:val="19"/>
          <w:szCs w:val="19"/>
        </w:rPr>
        <w:t xml:space="preserve">cent of the equity market capitalization. CRISIL had ratings on more than 25,400 large and mid-scale corporates and financial institutions in India. In 2005, CRISIL pioneered a globally unique and affordable rating service for </w:t>
      </w:r>
      <w:r w:rsidR="00346C8D">
        <w:rPr>
          <w:sz w:val="19"/>
          <w:szCs w:val="19"/>
        </w:rPr>
        <w:t>s</w:t>
      </w:r>
      <w:r w:rsidRPr="00871764">
        <w:rPr>
          <w:sz w:val="19"/>
          <w:szCs w:val="19"/>
        </w:rPr>
        <w:t xml:space="preserve">mall and </w:t>
      </w:r>
      <w:r w:rsidR="00346C8D">
        <w:rPr>
          <w:sz w:val="19"/>
          <w:szCs w:val="19"/>
        </w:rPr>
        <w:t>m</w:t>
      </w:r>
      <w:r w:rsidRPr="00871764">
        <w:rPr>
          <w:sz w:val="19"/>
          <w:szCs w:val="19"/>
        </w:rPr>
        <w:t xml:space="preserve">edium </w:t>
      </w:r>
      <w:r w:rsidR="00346C8D">
        <w:rPr>
          <w:sz w:val="19"/>
          <w:szCs w:val="19"/>
        </w:rPr>
        <w:t>e</w:t>
      </w:r>
      <w:r w:rsidRPr="00871764">
        <w:rPr>
          <w:sz w:val="19"/>
          <w:szCs w:val="19"/>
        </w:rPr>
        <w:t xml:space="preserve">nterprises. CRISIL had also assessed and rated 111,000 </w:t>
      </w:r>
      <w:r w:rsidR="00346C8D">
        <w:rPr>
          <w:sz w:val="19"/>
          <w:szCs w:val="19"/>
        </w:rPr>
        <w:t>m</w:t>
      </w:r>
      <w:r w:rsidRPr="00871764">
        <w:rPr>
          <w:sz w:val="19"/>
          <w:szCs w:val="19"/>
        </w:rPr>
        <w:t xml:space="preserve">icro, </w:t>
      </w:r>
      <w:r w:rsidR="00346C8D">
        <w:rPr>
          <w:sz w:val="19"/>
          <w:szCs w:val="19"/>
        </w:rPr>
        <w:t>s</w:t>
      </w:r>
      <w:r w:rsidRPr="00871764">
        <w:rPr>
          <w:sz w:val="19"/>
          <w:szCs w:val="19"/>
        </w:rPr>
        <w:t>mall</w:t>
      </w:r>
      <w:r w:rsidR="00346C8D">
        <w:rPr>
          <w:sz w:val="19"/>
          <w:szCs w:val="19"/>
        </w:rPr>
        <w:t>,</w:t>
      </w:r>
      <w:r w:rsidRPr="00871764">
        <w:rPr>
          <w:sz w:val="19"/>
          <w:szCs w:val="19"/>
        </w:rPr>
        <w:t xml:space="preserve"> and </w:t>
      </w:r>
      <w:r w:rsidR="00346C8D">
        <w:rPr>
          <w:sz w:val="19"/>
          <w:szCs w:val="19"/>
        </w:rPr>
        <w:t>m</w:t>
      </w:r>
      <w:r w:rsidRPr="00871764">
        <w:rPr>
          <w:sz w:val="19"/>
          <w:szCs w:val="19"/>
        </w:rPr>
        <w:t xml:space="preserve">edium </w:t>
      </w:r>
      <w:r w:rsidR="00346C8D">
        <w:rPr>
          <w:sz w:val="19"/>
          <w:szCs w:val="19"/>
        </w:rPr>
        <w:t>e</w:t>
      </w:r>
      <w:r w:rsidRPr="00871764">
        <w:rPr>
          <w:sz w:val="19"/>
          <w:szCs w:val="19"/>
        </w:rPr>
        <w:t xml:space="preserve">nterprises in India, the highest number anywhere in the world. </w:t>
      </w:r>
    </w:p>
    <w:p w14:paraId="34D516B4" w14:textId="77777777" w:rsidR="00871764" w:rsidRPr="00871764" w:rsidRDefault="00871764" w:rsidP="00871764">
      <w:pPr>
        <w:pStyle w:val="BodyTextMain"/>
        <w:rPr>
          <w:sz w:val="20"/>
        </w:rPr>
      </w:pPr>
    </w:p>
    <w:p w14:paraId="6DD4CF64" w14:textId="77777777" w:rsidR="00871764" w:rsidRPr="00871764" w:rsidRDefault="00871764" w:rsidP="00871764">
      <w:pPr>
        <w:pStyle w:val="BodyTextMain"/>
        <w:rPr>
          <w:sz w:val="20"/>
        </w:rPr>
      </w:pPr>
    </w:p>
    <w:p w14:paraId="18252947" w14:textId="77777777" w:rsidR="00871764" w:rsidRDefault="00871764" w:rsidP="00871764">
      <w:pPr>
        <w:pStyle w:val="Casehead2"/>
      </w:pPr>
      <w:r>
        <w:t xml:space="preserve">CRISIL Global Research and Analytics (GR&amp;A) </w:t>
      </w:r>
    </w:p>
    <w:p w14:paraId="64AD40EA" w14:textId="77777777" w:rsidR="00871764" w:rsidRPr="00871764" w:rsidRDefault="00871764" w:rsidP="00871764">
      <w:pPr>
        <w:pStyle w:val="BodyTextMain"/>
        <w:rPr>
          <w:sz w:val="20"/>
        </w:rPr>
      </w:pPr>
    </w:p>
    <w:p w14:paraId="65A02CB8" w14:textId="550FC71B" w:rsidR="00871764" w:rsidRPr="00871764" w:rsidRDefault="00871764" w:rsidP="00871764">
      <w:pPr>
        <w:pStyle w:val="ExhibitText"/>
        <w:rPr>
          <w:strike/>
          <w:sz w:val="19"/>
          <w:szCs w:val="19"/>
        </w:rPr>
      </w:pPr>
      <w:r w:rsidRPr="00871764">
        <w:rPr>
          <w:sz w:val="19"/>
          <w:szCs w:val="19"/>
        </w:rPr>
        <w:t>CRISIL’s GR&amp;A was the world’s largest and top-ranked provider of high-end research and analytics services. GR&amp;A provided custom research, business</w:t>
      </w:r>
      <w:r w:rsidR="00B6217D">
        <w:rPr>
          <w:sz w:val="19"/>
          <w:szCs w:val="19"/>
        </w:rPr>
        <w:t>,</w:t>
      </w:r>
      <w:r w:rsidRPr="00871764">
        <w:rPr>
          <w:sz w:val="19"/>
          <w:szCs w:val="19"/>
        </w:rPr>
        <w:t xml:space="preserve"> and marketing analytics across sectors such as technology, telecom, energy, materials, health</w:t>
      </w:r>
      <w:r w:rsidR="00B6217D">
        <w:rPr>
          <w:sz w:val="19"/>
          <w:szCs w:val="19"/>
        </w:rPr>
        <w:t xml:space="preserve"> </w:t>
      </w:r>
      <w:r w:rsidRPr="00871764">
        <w:rPr>
          <w:sz w:val="19"/>
          <w:szCs w:val="19"/>
        </w:rPr>
        <w:t>care, pharmaceuticals, consumer packaged goods, and industrials. CRISIL’s research and analytics services covered more than 3</w:t>
      </w:r>
      <w:r w:rsidR="00B6217D">
        <w:rPr>
          <w:sz w:val="19"/>
          <w:szCs w:val="19"/>
        </w:rPr>
        <w:t>,</w:t>
      </w:r>
      <w:r w:rsidRPr="00871764">
        <w:rPr>
          <w:sz w:val="19"/>
          <w:szCs w:val="19"/>
        </w:rPr>
        <w:t>300 stocks and 3</w:t>
      </w:r>
      <w:r w:rsidR="00B6217D">
        <w:rPr>
          <w:sz w:val="19"/>
          <w:szCs w:val="19"/>
        </w:rPr>
        <w:t>,</w:t>
      </w:r>
      <w:r w:rsidRPr="00871764">
        <w:rPr>
          <w:sz w:val="19"/>
          <w:szCs w:val="19"/>
        </w:rPr>
        <w:t>400 credits globally</w:t>
      </w:r>
      <w:r w:rsidR="00B6217D">
        <w:rPr>
          <w:sz w:val="19"/>
          <w:szCs w:val="19"/>
        </w:rPr>
        <w:t>;</w:t>
      </w:r>
      <w:r w:rsidRPr="00871764">
        <w:rPr>
          <w:sz w:val="19"/>
          <w:szCs w:val="19"/>
        </w:rPr>
        <w:t xml:space="preserve"> </w:t>
      </w:r>
      <w:r w:rsidR="00B6217D">
        <w:rPr>
          <w:sz w:val="19"/>
          <w:szCs w:val="19"/>
        </w:rPr>
        <w:t xml:space="preserve">and </w:t>
      </w:r>
      <w:r w:rsidRPr="00871764">
        <w:rPr>
          <w:sz w:val="19"/>
          <w:szCs w:val="19"/>
        </w:rPr>
        <w:t>75 global banks, insurance companies, consulting firms, private equity players</w:t>
      </w:r>
      <w:r w:rsidR="00B6217D">
        <w:rPr>
          <w:sz w:val="19"/>
          <w:szCs w:val="19"/>
        </w:rPr>
        <w:t>,</w:t>
      </w:r>
      <w:r w:rsidRPr="00871764">
        <w:rPr>
          <w:sz w:val="19"/>
          <w:szCs w:val="19"/>
        </w:rPr>
        <w:t xml:space="preserve"> and asset management firms. CRISIL had research cent</w:t>
      </w:r>
      <w:r w:rsidR="00B6217D">
        <w:rPr>
          <w:sz w:val="19"/>
          <w:szCs w:val="19"/>
        </w:rPr>
        <w:t>r</w:t>
      </w:r>
      <w:r w:rsidRPr="00871764">
        <w:rPr>
          <w:sz w:val="19"/>
          <w:szCs w:val="19"/>
        </w:rPr>
        <w:t>es in Argentina, China, India</w:t>
      </w:r>
      <w:r w:rsidR="00B6217D">
        <w:rPr>
          <w:sz w:val="19"/>
          <w:szCs w:val="19"/>
        </w:rPr>
        <w:t>,</w:t>
      </w:r>
      <w:r w:rsidRPr="00871764">
        <w:rPr>
          <w:sz w:val="19"/>
          <w:szCs w:val="19"/>
        </w:rPr>
        <w:t xml:space="preserve"> and Poland, working with clients across several time zones and in multiple languages. The GR&amp;A business had over 2</w:t>
      </w:r>
      <w:r w:rsidR="00B6217D">
        <w:rPr>
          <w:sz w:val="19"/>
          <w:szCs w:val="19"/>
        </w:rPr>
        <w:t>,</w:t>
      </w:r>
      <w:r w:rsidRPr="00871764">
        <w:rPr>
          <w:sz w:val="19"/>
          <w:szCs w:val="19"/>
        </w:rPr>
        <w:t>300 employees, 75 per</w:t>
      </w:r>
      <w:r w:rsidR="00B6217D">
        <w:rPr>
          <w:sz w:val="19"/>
          <w:szCs w:val="19"/>
        </w:rPr>
        <w:t xml:space="preserve"> </w:t>
      </w:r>
      <w:r w:rsidRPr="00871764">
        <w:rPr>
          <w:sz w:val="19"/>
          <w:szCs w:val="19"/>
        </w:rPr>
        <w:t>cent of whom had advanced degrees in finance, accounting</w:t>
      </w:r>
      <w:r w:rsidR="00B6217D">
        <w:rPr>
          <w:sz w:val="19"/>
          <w:szCs w:val="19"/>
        </w:rPr>
        <w:t>,</w:t>
      </w:r>
      <w:r w:rsidRPr="00871764">
        <w:rPr>
          <w:sz w:val="19"/>
          <w:szCs w:val="19"/>
        </w:rPr>
        <w:t xml:space="preserve"> and management. CRISIL employed the largest number of </w:t>
      </w:r>
      <w:r w:rsidR="00B6217D">
        <w:rPr>
          <w:sz w:val="19"/>
          <w:szCs w:val="19"/>
        </w:rPr>
        <w:t>c</w:t>
      </w:r>
      <w:r w:rsidRPr="00871764">
        <w:rPr>
          <w:sz w:val="19"/>
          <w:szCs w:val="19"/>
        </w:rPr>
        <w:t xml:space="preserve">hartered </w:t>
      </w:r>
      <w:r w:rsidR="00B6217D">
        <w:rPr>
          <w:sz w:val="19"/>
          <w:szCs w:val="19"/>
        </w:rPr>
        <w:t>f</w:t>
      </w:r>
      <w:r w:rsidRPr="00871764">
        <w:rPr>
          <w:sz w:val="19"/>
          <w:szCs w:val="19"/>
        </w:rPr>
        <w:t xml:space="preserve">inancial </w:t>
      </w:r>
      <w:r w:rsidR="00B6217D">
        <w:rPr>
          <w:sz w:val="19"/>
          <w:szCs w:val="19"/>
        </w:rPr>
        <w:t>a</w:t>
      </w:r>
      <w:r w:rsidRPr="00871764">
        <w:rPr>
          <w:sz w:val="19"/>
          <w:szCs w:val="19"/>
        </w:rPr>
        <w:t>nalyst</w:t>
      </w:r>
      <w:r w:rsidR="00B6217D">
        <w:rPr>
          <w:sz w:val="19"/>
          <w:szCs w:val="19"/>
        </w:rPr>
        <w:t>s</w:t>
      </w:r>
      <w:r w:rsidRPr="00871764">
        <w:rPr>
          <w:sz w:val="19"/>
          <w:szCs w:val="19"/>
        </w:rPr>
        <w:t xml:space="preserve"> in India.</w:t>
      </w:r>
    </w:p>
    <w:p w14:paraId="4CE07545" w14:textId="77777777" w:rsidR="00871764" w:rsidRPr="00871764" w:rsidRDefault="00871764" w:rsidP="00871764">
      <w:pPr>
        <w:pStyle w:val="BodyTextMain"/>
        <w:rPr>
          <w:sz w:val="20"/>
        </w:rPr>
      </w:pPr>
    </w:p>
    <w:p w14:paraId="59FFBD85" w14:textId="77777777" w:rsidR="00871764" w:rsidRPr="00871764" w:rsidRDefault="00871764" w:rsidP="00871764">
      <w:pPr>
        <w:pStyle w:val="BodyTextMain"/>
        <w:rPr>
          <w:sz w:val="20"/>
        </w:rPr>
      </w:pPr>
    </w:p>
    <w:p w14:paraId="43166EE8" w14:textId="77777777" w:rsidR="00871764" w:rsidRDefault="00871764" w:rsidP="00871764">
      <w:pPr>
        <w:pStyle w:val="Casehead2"/>
      </w:pPr>
      <w:r>
        <w:t>CRISIL Research</w:t>
      </w:r>
    </w:p>
    <w:p w14:paraId="4EA9A115" w14:textId="77777777" w:rsidR="00871764" w:rsidRPr="00871764" w:rsidRDefault="00871764" w:rsidP="00871764">
      <w:pPr>
        <w:pStyle w:val="BodyTextMain"/>
        <w:rPr>
          <w:sz w:val="20"/>
        </w:rPr>
      </w:pPr>
    </w:p>
    <w:p w14:paraId="5C95848F" w14:textId="5B61FF49" w:rsidR="00871764" w:rsidRPr="00871764" w:rsidRDefault="00871764" w:rsidP="00871764">
      <w:pPr>
        <w:pStyle w:val="ExhibitText"/>
        <w:rPr>
          <w:sz w:val="19"/>
          <w:szCs w:val="19"/>
        </w:rPr>
      </w:pPr>
      <w:r w:rsidRPr="00871764">
        <w:rPr>
          <w:sz w:val="19"/>
          <w:szCs w:val="19"/>
        </w:rPr>
        <w:t>CRISIL Research provided the most comprehensive and independent coverage on the Indian economy, industries</w:t>
      </w:r>
      <w:r w:rsidR="00B6217D">
        <w:rPr>
          <w:sz w:val="19"/>
          <w:szCs w:val="19"/>
        </w:rPr>
        <w:t>,</w:t>
      </w:r>
      <w:r w:rsidRPr="00871764">
        <w:rPr>
          <w:sz w:val="19"/>
          <w:szCs w:val="19"/>
        </w:rPr>
        <w:t xml:space="preserve"> and companies. This integrated offering of research under these three verticals along with customized research was one of the key differentiators of CRISIL Research. </w:t>
      </w:r>
      <w:r w:rsidRPr="00B6217D">
        <w:rPr>
          <w:i/>
          <w:sz w:val="19"/>
          <w:szCs w:val="19"/>
        </w:rPr>
        <w:t>Economy Research</w:t>
      </w:r>
      <w:r w:rsidRPr="00871764">
        <w:rPr>
          <w:sz w:val="19"/>
          <w:szCs w:val="19"/>
        </w:rPr>
        <w:t xml:space="preserve"> covered an in-depth analysis of short</w:t>
      </w:r>
      <w:r w:rsidR="00B6217D">
        <w:rPr>
          <w:sz w:val="19"/>
          <w:szCs w:val="19"/>
        </w:rPr>
        <w:t>-</w:t>
      </w:r>
      <w:r w:rsidRPr="00871764">
        <w:rPr>
          <w:sz w:val="19"/>
          <w:szCs w:val="19"/>
        </w:rPr>
        <w:t xml:space="preserve"> and medium-term trends, and outlook on key macro-economic variables, events, policies</w:t>
      </w:r>
      <w:r w:rsidR="00B6217D">
        <w:rPr>
          <w:sz w:val="19"/>
          <w:szCs w:val="19"/>
        </w:rPr>
        <w:t>,</w:t>
      </w:r>
      <w:r w:rsidRPr="00871764">
        <w:rPr>
          <w:sz w:val="19"/>
          <w:szCs w:val="19"/>
        </w:rPr>
        <w:t xml:space="preserve"> and economic issues. </w:t>
      </w:r>
      <w:r w:rsidRPr="00871764">
        <w:rPr>
          <w:i/>
          <w:sz w:val="19"/>
          <w:szCs w:val="19"/>
        </w:rPr>
        <w:t>Industry Research</w:t>
      </w:r>
      <w:r w:rsidRPr="00871764">
        <w:rPr>
          <w:sz w:val="19"/>
          <w:szCs w:val="19"/>
        </w:rPr>
        <w:t xml:space="preserve"> covered detailed research on around 86 sectors such as real estate, infrastructure, logistics, and </w:t>
      </w:r>
      <w:r w:rsidR="00B6217D">
        <w:rPr>
          <w:sz w:val="19"/>
          <w:szCs w:val="19"/>
        </w:rPr>
        <w:t>small and medium-sized enterprises</w:t>
      </w:r>
      <w:r w:rsidRPr="00871764">
        <w:rPr>
          <w:sz w:val="19"/>
          <w:szCs w:val="19"/>
        </w:rPr>
        <w:t xml:space="preserve">, and on emerging segments of the economy. </w:t>
      </w:r>
      <w:r w:rsidRPr="00871764">
        <w:rPr>
          <w:i/>
          <w:sz w:val="19"/>
          <w:szCs w:val="19"/>
        </w:rPr>
        <w:t>Company Reports</w:t>
      </w:r>
      <w:r w:rsidRPr="00871764">
        <w:rPr>
          <w:sz w:val="19"/>
          <w:szCs w:val="19"/>
        </w:rPr>
        <w:t xml:space="preserve"> covered data analysis of the top</w:t>
      </w:r>
      <w:r w:rsidR="00B6217D">
        <w:rPr>
          <w:sz w:val="19"/>
          <w:szCs w:val="19"/>
        </w:rPr>
        <w:t xml:space="preserve"> </w:t>
      </w:r>
      <w:r w:rsidRPr="00871764">
        <w:rPr>
          <w:sz w:val="19"/>
          <w:szCs w:val="19"/>
        </w:rPr>
        <w:t xml:space="preserve">150 listed companies. </w:t>
      </w:r>
      <w:r w:rsidRPr="00871764">
        <w:rPr>
          <w:i/>
          <w:sz w:val="19"/>
          <w:szCs w:val="19"/>
        </w:rPr>
        <w:t>Customized Research</w:t>
      </w:r>
      <w:r w:rsidRPr="00871764">
        <w:rPr>
          <w:sz w:val="19"/>
          <w:szCs w:val="19"/>
        </w:rPr>
        <w:t xml:space="preserve"> covered studies like project feasibility, market sizing, demand estimations, customized credit reports, regional demand</w:t>
      </w:r>
      <w:r w:rsidR="00B6217D">
        <w:rPr>
          <w:sz w:val="19"/>
          <w:szCs w:val="19"/>
        </w:rPr>
        <w:t>,</w:t>
      </w:r>
      <w:r w:rsidRPr="00871764">
        <w:rPr>
          <w:sz w:val="19"/>
          <w:szCs w:val="19"/>
        </w:rPr>
        <w:t xml:space="preserve"> and growth strategies. Additionally, CRISIL ranked Indian mutual funds covering 78 per</w:t>
      </w:r>
      <w:r w:rsidR="00B6217D">
        <w:rPr>
          <w:sz w:val="19"/>
          <w:szCs w:val="19"/>
        </w:rPr>
        <w:t xml:space="preserve"> </w:t>
      </w:r>
      <w:r w:rsidRPr="00871764">
        <w:rPr>
          <w:sz w:val="19"/>
          <w:szCs w:val="19"/>
        </w:rPr>
        <w:t>cent of assets under management, valued at US</w:t>
      </w:r>
      <w:r w:rsidR="00B6217D">
        <w:rPr>
          <w:sz w:val="19"/>
          <w:szCs w:val="19"/>
        </w:rPr>
        <w:t>$</w:t>
      </w:r>
      <w:r w:rsidRPr="00871764">
        <w:rPr>
          <w:sz w:val="19"/>
          <w:szCs w:val="19"/>
        </w:rPr>
        <w:t>190 billion. CRISIL Research worked with nearly 1,000 Indian and global clients, including 90 per</w:t>
      </w:r>
      <w:r w:rsidR="00B6217D">
        <w:rPr>
          <w:sz w:val="19"/>
          <w:szCs w:val="19"/>
        </w:rPr>
        <w:t xml:space="preserve"> </w:t>
      </w:r>
      <w:r w:rsidRPr="00871764">
        <w:rPr>
          <w:sz w:val="19"/>
          <w:szCs w:val="19"/>
        </w:rPr>
        <w:t>cent of India’s banking industry by asset base, 15 of the top Indian companies by market capitalization</w:t>
      </w:r>
      <w:r w:rsidR="00B6217D">
        <w:rPr>
          <w:sz w:val="19"/>
          <w:szCs w:val="19"/>
        </w:rPr>
        <w:t>,</w:t>
      </w:r>
      <w:r w:rsidRPr="00871764">
        <w:rPr>
          <w:sz w:val="19"/>
          <w:szCs w:val="19"/>
        </w:rPr>
        <w:t xml:space="preserve"> and all Indian mutual fund and life insurance companies. </w:t>
      </w:r>
    </w:p>
    <w:p w14:paraId="6F0B4B4C" w14:textId="77777777" w:rsidR="00871764" w:rsidRPr="00871764" w:rsidRDefault="00871764" w:rsidP="00871764">
      <w:pPr>
        <w:pStyle w:val="BodyTextMain"/>
        <w:rPr>
          <w:sz w:val="20"/>
        </w:rPr>
      </w:pPr>
    </w:p>
    <w:p w14:paraId="1F548B49" w14:textId="77777777" w:rsidR="00871764" w:rsidRPr="00871764" w:rsidRDefault="00871764" w:rsidP="00871764">
      <w:pPr>
        <w:pStyle w:val="BodyTextMain"/>
        <w:rPr>
          <w:sz w:val="20"/>
        </w:rPr>
      </w:pPr>
    </w:p>
    <w:p w14:paraId="09703FEC" w14:textId="77777777" w:rsidR="00871764" w:rsidRDefault="00871764" w:rsidP="00871764">
      <w:pPr>
        <w:pStyle w:val="Casehead2"/>
      </w:pPr>
      <w:r>
        <w:t>CRISIL Risk and Infrastructure Solutions</w:t>
      </w:r>
    </w:p>
    <w:p w14:paraId="3250F064" w14:textId="77777777" w:rsidR="00871764" w:rsidRPr="00871764" w:rsidRDefault="00871764" w:rsidP="00871764">
      <w:pPr>
        <w:pStyle w:val="BodyTextMain"/>
        <w:rPr>
          <w:sz w:val="20"/>
        </w:rPr>
      </w:pPr>
    </w:p>
    <w:p w14:paraId="6622F3E2" w14:textId="6D68A02E" w:rsidR="00871764" w:rsidRPr="00871764" w:rsidRDefault="00871764" w:rsidP="00871764">
      <w:pPr>
        <w:pStyle w:val="ExhibitText"/>
        <w:rPr>
          <w:sz w:val="19"/>
          <w:szCs w:val="19"/>
        </w:rPr>
      </w:pPr>
      <w:r w:rsidRPr="00871764">
        <w:rPr>
          <w:sz w:val="19"/>
          <w:szCs w:val="19"/>
        </w:rPr>
        <w:t xml:space="preserve">CRISIL </w:t>
      </w:r>
      <w:r w:rsidR="00B6217D">
        <w:rPr>
          <w:sz w:val="19"/>
          <w:szCs w:val="19"/>
        </w:rPr>
        <w:t>r</w:t>
      </w:r>
      <w:r w:rsidRPr="00871764">
        <w:rPr>
          <w:sz w:val="19"/>
          <w:szCs w:val="19"/>
        </w:rPr>
        <w:t xml:space="preserve">isk and </w:t>
      </w:r>
      <w:r w:rsidR="00B6217D">
        <w:rPr>
          <w:sz w:val="19"/>
          <w:szCs w:val="19"/>
        </w:rPr>
        <w:t>i</w:t>
      </w:r>
      <w:r w:rsidRPr="00871764">
        <w:rPr>
          <w:sz w:val="19"/>
          <w:szCs w:val="19"/>
        </w:rPr>
        <w:t>nfrastructure service</w:t>
      </w:r>
      <w:r w:rsidR="00B6217D">
        <w:rPr>
          <w:sz w:val="19"/>
          <w:szCs w:val="19"/>
        </w:rPr>
        <w:t>s</w:t>
      </w:r>
      <w:r w:rsidRPr="00871764">
        <w:rPr>
          <w:sz w:val="19"/>
          <w:szCs w:val="19"/>
        </w:rPr>
        <w:t xml:space="preserve"> were provided by CRISIL Risk and Infrastructure Solutions Limited (CRIS), a wholly-owned subsidiary of CRISIL. CRIS provided a comprehensive range of risk management tools, analytics, solutions</w:t>
      </w:r>
      <w:r w:rsidR="00B6217D">
        <w:rPr>
          <w:sz w:val="19"/>
          <w:szCs w:val="19"/>
        </w:rPr>
        <w:t>,</w:t>
      </w:r>
      <w:r w:rsidRPr="00871764">
        <w:rPr>
          <w:sz w:val="19"/>
          <w:szCs w:val="19"/>
        </w:rPr>
        <w:t xml:space="preserve"> and infrastructure advisory in urban energy, natural resources, transport</w:t>
      </w:r>
      <w:r w:rsidR="00B6217D">
        <w:rPr>
          <w:sz w:val="19"/>
          <w:szCs w:val="19"/>
        </w:rPr>
        <w:t>,</w:t>
      </w:r>
      <w:r w:rsidRPr="00871764">
        <w:rPr>
          <w:sz w:val="19"/>
          <w:szCs w:val="19"/>
        </w:rPr>
        <w:t xml:space="preserve"> and logistics. CRISIL helped over 70 banks and financial institutions adopt best practices in risk management</w:t>
      </w:r>
      <w:r w:rsidR="00B6217D">
        <w:rPr>
          <w:sz w:val="19"/>
          <w:szCs w:val="19"/>
        </w:rPr>
        <w:t>;</w:t>
      </w:r>
      <w:r w:rsidRPr="00871764">
        <w:rPr>
          <w:sz w:val="19"/>
          <w:szCs w:val="19"/>
        </w:rPr>
        <w:t xml:space="preserve"> undert</w:t>
      </w:r>
      <w:r w:rsidR="00B6217D">
        <w:rPr>
          <w:sz w:val="19"/>
          <w:szCs w:val="19"/>
        </w:rPr>
        <w:t>ook</w:t>
      </w:r>
      <w:r w:rsidRPr="00871764">
        <w:rPr>
          <w:sz w:val="19"/>
          <w:szCs w:val="19"/>
        </w:rPr>
        <w:t xml:space="preserve"> risk management assignments in 20 countries</w:t>
      </w:r>
      <w:r w:rsidR="00B6217D">
        <w:rPr>
          <w:sz w:val="19"/>
          <w:szCs w:val="19"/>
        </w:rPr>
        <w:t>;</w:t>
      </w:r>
      <w:r w:rsidRPr="00871764">
        <w:rPr>
          <w:sz w:val="19"/>
          <w:szCs w:val="19"/>
        </w:rPr>
        <w:t xml:space="preserve"> and provided risk management solutions to </w:t>
      </w:r>
      <w:r w:rsidR="00B6217D">
        <w:rPr>
          <w:sz w:val="19"/>
          <w:szCs w:val="19"/>
        </w:rPr>
        <w:t>nine</w:t>
      </w:r>
      <w:r w:rsidRPr="00871764">
        <w:rPr>
          <w:sz w:val="19"/>
          <w:szCs w:val="19"/>
        </w:rPr>
        <w:t xml:space="preserve"> of the top 10 banks in India. CRIS had more than 100 employees with rich and diverse experience of working end-to-end on public</w:t>
      </w:r>
      <w:r w:rsidR="00B6217D">
        <w:rPr>
          <w:sz w:val="19"/>
          <w:szCs w:val="19"/>
        </w:rPr>
        <w:t>–</w:t>
      </w:r>
      <w:r w:rsidRPr="00871764">
        <w:rPr>
          <w:sz w:val="19"/>
          <w:szCs w:val="19"/>
        </w:rPr>
        <w:t>private partnership, reforms, business assessment</w:t>
      </w:r>
      <w:r w:rsidR="00B6217D">
        <w:rPr>
          <w:sz w:val="19"/>
          <w:szCs w:val="19"/>
        </w:rPr>
        <w:t>,</w:t>
      </w:r>
      <w:r w:rsidRPr="00871764">
        <w:rPr>
          <w:sz w:val="19"/>
          <w:szCs w:val="19"/>
        </w:rPr>
        <w:t xml:space="preserve"> and financing matters in infrastructure sectors. CRIS operated in India and 22 other emerging economies.</w:t>
      </w:r>
    </w:p>
    <w:p w14:paraId="65F310D9" w14:textId="77777777" w:rsidR="00871764" w:rsidRPr="00871764" w:rsidRDefault="00871764" w:rsidP="00871764">
      <w:pPr>
        <w:pStyle w:val="NoSpacing"/>
        <w:jc w:val="center"/>
        <w:rPr>
          <w:rFonts w:ascii="Times New Roman" w:hAnsi="Times New Roman"/>
          <w:spacing w:val="-3"/>
          <w:sz w:val="20"/>
        </w:rPr>
      </w:pPr>
    </w:p>
    <w:p w14:paraId="38DA3651" w14:textId="2F5627B4" w:rsidR="00871764" w:rsidRDefault="00871764" w:rsidP="00871764">
      <w:pPr>
        <w:pStyle w:val="Footnote"/>
      </w:pPr>
      <w:r>
        <w:t xml:space="preserve">Source: Compiled by </w:t>
      </w:r>
      <w:r w:rsidR="004D3C31">
        <w:t xml:space="preserve">the </w:t>
      </w:r>
      <w:r>
        <w:t xml:space="preserve">case authors based on </w:t>
      </w:r>
      <w:r w:rsidR="004D3C31">
        <w:t>“What We Do</w:t>
      </w:r>
      <w:r w:rsidR="0022176F">
        <w:t>: We Watch the Industry Ecosystem for Disruptions and Opportunities</w:t>
      </w:r>
      <w:r w:rsidR="004D3C31">
        <w:t>,” CRISIL</w:t>
      </w:r>
      <w:r w:rsidR="0022176F">
        <w:t>: An S&amp;P Global Company</w:t>
      </w:r>
      <w:r w:rsidR="004D3C31">
        <w:t xml:space="preserve">, accessed August 18, 2017, </w:t>
      </w:r>
      <w:r w:rsidR="00282F15" w:rsidRPr="00282F15">
        <w:t>https://www.crisil.com/en/home/what-we-do.html</w:t>
      </w:r>
      <w:r>
        <w:t>.</w:t>
      </w:r>
    </w:p>
    <w:p w14:paraId="6C0B7272" w14:textId="77777777" w:rsidR="00282F15" w:rsidRDefault="00282F15" w:rsidP="00871764">
      <w:pPr>
        <w:pStyle w:val="Footnote"/>
      </w:pPr>
    </w:p>
    <w:p w14:paraId="2BFA5EC5" w14:textId="77777777" w:rsidR="00871764" w:rsidRDefault="00871764" w:rsidP="00871764">
      <w:pPr>
        <w:pStyle w:val="ExhibitHeading"/>
      </w:pPr>
      <w:r>
        <w:lastRenderedPageBreak/>
        <w:t>EXHIBIT 4: CRISIL FINANCIAL HIGHLIGHTS (IN MILLION US$)</w:t>
      </w:r>
    </w:p>
    <w:p w14:paraId="3F1279A4" w14:textId="77777777" w:rsidR="00871764" w:rsidRPr="00871764" w:rsidRDefault="00871764" w:rsidP="00871764">
      <w:pPr>
        <w:rPr>
          <w:lang w:val="x-none" w:eastAsia="x-none"/>
        </w:rPr>
      </w:pPr>
    </w:p>
    <w:tbl>
      <w:tblPr>
        <w:tblStyle w:val="TableGrid"/>
        <w:tblW w:w="8788" w:type="dxa"/>
        <w:jc w:val="center"/>
        <w:tblLook w:val="04A0" w:firstRow="1" w:lastRow="0" w:firstColumn="1" w:lastColumn="0" w:noHBand="0" w:noVBand="1"/>
      </w:tblPr>
      <w:tblGrid>
        <w:gridCol w:w="851"/>
        <w:gridCol w:w="1838"/>
        <w:gridCol w:w="1228"/>
        <w:gridCol w:w="1328"/>
        <w:gridCol w:w="1417"/>
        <w:gridCol w:w="2126"/>
      </w:tblGrid>
      <w:tr w:rsidR="00871764" w:rsidRPr="00006C39" w14:paraId="144F7A37" w14:textId="77777777" w:rsidTr="006026EA">
        <w:trPr>
          <w:trHeight w:val="113"/>
          <w:jc w:val="center"/>
        </w:trPr>
        <w:tc>
          <w:tcPr>
            <w:tcW w:w="851" w:type="dxa"/>
          </w:tcPr>
          <w:p w14:paraId="42D16CC2" w14:textId="77777777" w:rsidR="00871764" w:rsidRPr="00006C39" w:rsidRDefault="00871764" w:rsidP="00871764">
            <w:pPr>
              <w:pStyle w:val="ExhibitText"/>
              <w:jc w:val="center"/>
              <w:rPr>
                <w:b/>
                <w:sz w:val="18"/>
                <w:szCs w:val="18"/>
              </w:rPr>
            </w:pPr>
            <w:r w:rsidRPr="00006C39">
              <w:rPr>
                <w:b/>
                <w:sz w:val="18"/>
                <w:szCs w:val="18"/>
              </w:rPr>
              <w:t>Year</w:t>
            </w:r>
          </w:p>
        </w:tc>
        <w:tc>
          <w:tcPr>
            <w:tcW w:w="1838" w:type="dxa"/>
          </w:tcPr>
          <w:p w14:paraId="774622B1" w14:textId="5BF00D9A" w:rsidR="00871764" w:rsidRPr="00006C39" w:rsidRDefault="00871764" w:rsidP="006A4001">
            <w:pPr>
              <w:pStyle w:val="ExhibitText"/>
              <w:jc w:val="center"/>
              <w:rPr>
                <w:b/>
                <w:sz w:val="18"/>
                <w:szCs w:val="18"/>
              </w:rPr>
            </w:pPr>
            <w:r w:rsidRPr="00006C39">
              <w:rPr>
                <w:b/>
                <w:sz w:val="18"/>
                <w:szCs w:val="18"/>
              </w:rPr>
              <w:t xml:space="preserve">Income from </w:t>
            </w:r>
            <w:r w:rsidR="004D3C31">
              <w:rPr>
                <w:b/>
                <w:sz w:val="18"/>
                <w:szCs w:val="18"/>
              </w:rPr>
              <w:t>O</w:t>
            </w:r>
            <w:r w:rsidRPr="00006C39">
              <w:rPr>
                <w:b/>
                <w:sz w:val="18"/>
                <w:szCs w:val="18"/>
              </w:rPr>
              <w:t>perations</w:t>
            </w:r>
          </w:p>
        </w:tc>
        <w:tc>
          <w:tcPr>
            <w:tcW w:w="1228" w:type="dxa"/>
          </w:tcPr>
          <w:p w14:paraId="58ADE6CC" w14:textId="77777777" w:rsidR="00871764" w:rsidRPr="00006C39" w:rsidRDefault="00871764" w:rsidP="00871764">
            <w:pPr>
              <w:pStyle w:val="ExhibitText"/>
              <w:jc w:val="center"/>
              <w:rPr>
                <w:b/>
                <w:sz w:val="18"/>
                <w:szCs w:val="18"/>
              </w:rPr>
            </w:pPr>
            <w:r w:rsidRPr="00006C39">
              <w:rPr>
                <w:b/>
                <w:sz w:val="18"/>
                <w:szCs w:val="18"/>
              </w:rPr>
              <w:t>EBITDA</w:t>
            </w:r>
          </w:p>
        </w:tc>
        <w:tc>
          <w:tcPr>
            <w:tcW w:w="1328" w:type="dxa"/>
          </w:tcPr>
          <w:p w14:paraId="227BFBC0" w14:textId="2346A823" w:rsidR="00871764" w:rsidRPr="00006C39" w:rsidRDefault="00871764" w:rsidP="006A4001">
            <w:pPr>
              <w:pStyle w:val="ExhibitText"/>
              <w:jc w:val="center"/>
              <w:rPr>
                <w:b/>
                <w:sz w:val="18"/>
                <w:szCs w:val="18"/>
              </w:rPr>
            </w:pPr>
            <w:r w:rsidRPr="00006C39">
              <w:rPr>
                <w:b/>
                <w:sz w:val="18"/>
                <w:szCs w:val="18"/>
              </w:rPr>
              <w:t xml:space="preserve">Profit before </w:t>
            </w:r>
            <w:r w:rsidR="004D3C31">
              <w:rPr>
                <w:b/>
                <w:sz w:val="18"/>
                <w:szCs w:val="18"/>
              </w:rPr>
              <w:t>T</w:t>
            </w:r>
            <w:r w:rsidRPr="00006C39">
              <w:rPr>
                <w:b/>
                <w:sz w:val="18"/>
                <w:szCs w:val="18"/>
              </w:rPr>
              <w:t>ax</w:t>
            </w:r>
          </w:p>
        </w:tc>
        <w:tc>
          <w:tcPr>
            <w:tcW w:w="1417" w:type="dxa"/>
          </w:tcPr>
          <w:p w14:paraId="0975ADD9" w14:textId="68ACFC5D" w:rsidR="00871764" w:rsidRPr="00006C39" w:rsidRDefault="00871764" w:rsidP="006A4001">
            <w:pPr>
              <w:pStyle w:val="ExhibitText"/>
              <w:jc w:val="center"/>
              <w:rPr>
                <w:b/>
                <w:sz w:val="18"/>
                <w:szCs w:val="18"/>
              </w:rPr>
            </w:pPr>
            <w:r w:rsidRPr="00006C39">
              <w:rPr>
                <w:b/>
                <w:sz w:val="18"/>
                <w:szCs w:val="18"/>
              </w:rPr>
              <w:t xml:space="preserve">Profit after </w:t>
            </w:r>
            <w:r w:rsidR="004D3C31">
              <w:rPr>
                <w:b/>
                <w:sz w:val="18"/>
                <w:szCs w:val="18"/>
              </w:rPr>
              <w:t>T</w:t>
            </w:r>
            <w:r w:rsidRPr="00006C39">
              <w:rPr>
                <w:b/>
                <w:sz w:val="18"/>
                <w:szCs w:val="18"/>
              </w:rPr>
              <w:t>ax</w:t>
            </w:r>
          </w:p>
        </w:tc>
        <w:tc>
          <w:tcPr>
            <w:tcW w:w="2126" w:type="dxa"/>
          </w:tcPr>
          <w:p w14:paraId="029B210C" w14:textId="4F5A57B9" w:rsidR="00871764" w:rsidRPr="00006C39" w:rsidRDefault="00871764" w:rsidP="006A4001">
            <w:pPr>
              <w:pStyle w:val="ExhibitText"/>
              <w:jc w:val="center"/>
              <w:rPr>
                <w:b/>
                <w:sz w:val="18"/>
                <w:szCs w:val="18"/>
              </w:rPr>
            </w:pPr>
            <w:r w:rsidRPr="00006C39">
              <w:rPr>
                <w:b/>
                <w:sz w:val="18"/>
                <w:szCs w:val="18"/>
              </w:rPr>
              <w:t xml:space="preserve">Revenue per </w:t>
            </w:r>
            <w:r w:rsidR="004D3C31">
              <w:rPr>
                <w:b/>
                <w:sz w:val="18"/>
                <w:szCs w:val="18"/>
              </w:rPr>
              <w:t>E</w:t>
            </w:r>
            <w:r w:rsidRPr="00006C39">
              <w:rPr>
                <w:b/>
                <w:sz w:val="18"/>
                <w:szCs w:val="18"/>
              </w:rPr>
              <w:t xml:space="preserve">mployee </w:t>
            </w:r>
            <w:bookmarkStart w:id="0" w:name="_GoBack"/>
            <w:r w:rsidRPr="00006C39">
              <w:rPr>
                <w:b/>
                <w:sz w:val="18"/>
                <w:szCs w:val="18"/>
              </w:rPr>
              <w:t>(in US</w:t>
            </w:r>
            <w:bookmarkEnd w:id="0"/>
            <w:r w:rsidRPr="00006C39">
              <w:rPr>
                <w:b/>
                <w:sz w:val="18"/>
                <w:szCs w:val="18"/>
              </w:rPr>
              <w:t>$)</w:t>
            </w:r>
          </w:p>
        </w:tc>
      </w:tr>
      <w:tr w:rsidR="00871764" w:rsidRPr="00006C39" w14:paraId="4C790CEE" w14:textId="77777777" w:rsidTr="006026EA">
        <w:trPr>
          <w:trHeight w:val="113"/>
          <w:jc w:val="center"/>
        </w:trPr>
        <w:tc>
          <w:tcPr>
            <w:tcW w:w="851" w:type="dxa"/>
          </w:tcPr>
          <w:p w14:paraId="481053F1" w14:textId="77777777" w:rsidR="00871764" w:rsidRPr="00006C39" w:rsidRDefault="00871764" w:rsidP="00871764">
            <w:pPr>
              <w:pStyle w:val="ExhibitText"/>
              <w:rPr>
                <w:sz w:val="18"/>
                <w:szCs w:val="18"/>
              </w:rPr>
            </w:pPr>
            <w:r w:rsidRPr="00006C39">
              <w:rPr>
                <w:sz w:val="18"/>
                <w:szCs w:val="18"/>
              </w:rPr>
              <w:t>2016</w:t>
            </w:r>
          </w:p>
        </w:tc>
        <w:tc>
          <w:tcPr>
            <w:tcW w:w="1838" w:type="dxa"/>
          </w:tcPr>
          <w:p w14:paraId="35712BBA" w14:textId="77777777" w:rsidR="00871764" w:rsidRPr="00006C39" w:rsidRDefault="00871764" w:rsidP="00871764">
            <w:pPr>
              <w:pStyle w:val="ExhibitText"/>
              <w:jc w:val="right"/>
              <w:rPr>
                <w:color w:val="000000"/>
                <w:sz w:val="18"/>
                <w:szCs w:val="18"/>
              </w:rPr>
            </w:pPr>
            <w:r w:rsidRPr="00006C39">
              <w:rPr>
                <w:color w:val="000000"/>
                <w:sz w:val="18"/>
                <w:szCs w:val="18"/>
              </w:rPr>
              <w:t>241.42</w:t>
            </w:r>
          </w:p>
        </w:tc>
        <w:tc>
          <w:tcPr>
            <w:tcW w:w="1228" w:type="dxa"/>
          </w:tcPr>
          <w:p w14:paraId="51A75CFB" w14:textId="77777777" w:rsidR="00871764" w:rsidRPr="00006C39" w:rsidRDefault="00871764" w:rsidP="00871764">
            <w:pPr>
              <w:pStyle w:val="ExhibitText"/>
              <w:jc w:val="right"/>
              <w:rPr>
                <w:color w:val="000000"/>
                <w:sz w:val="18"/>
                <w:szCs w:val="18"/>
              </w:rPr>
            </w:pPr>
            <w:r w:rsidRPr="00006C39">
              <w:rPr>
                <w:color w:val="000000"/>
                <w:sz w:val="18"/>
                <w:szCs w:val="18"/>
              </w:rPr>
              <w:t>72.10</w:t>
            </w:r>
          </w:p>
        </w:tc>
        <w:tc>
          <w:tcPr>
            <w:tcW w:w="1328" w:type="dxa"/>
          </w:tcPr>
          <w:p w14:paraId="1CA6DDEE" w14:textId="77777777" w:rsidR="00871764" w:rsidRPr="00006C39" w:rsidRDefault="00871764" w:rsidP="00871764">
            <w:pPr>
              <w:pStyle w:val="ExhibitText"/>
              <w:jc w:val="right"/>
              <w:rPr>
                <w:color w:val="000000"/>
                <w:sz w:val="18"/>
                <w:szCs w:val="18"/>
              </w:rPr>
            </w:pPr>
            <w:r w:rsidRPr="00006C39">
              <w:rPr>
                <w:color w:val="000000"/>
                <w:sz w:val="18"/>
                <w:szCs w:val="18"/>
              </w:rPr>
              <w:t>74.28</w:t>
            </w:r>
          </w:p>
        </w:tc>
        <w:tc>
          <w:tcPr>
            <w:tcW w:w="1417" w:type="dxa"/>
          </w:tcPr>
          <w:p w14:paraId="489CB7A5" w14:textId="77777777" w:rsidR="00871764" w:rsidRPr="00006C39" w:rsidRDefault="00871764" w:rsidP="00871764">
            <w:pPr>
              <w:pStyle w:val="ExhibitText"/>
              <w:jc w:val="right"/>
              <w:rPr>
                <w:color w:val="000000"/>
                <w:sz w:val="18"/>
                <w:szCs w:val="18"/>
              </w:rPr>
            </w:pPr>
            <w:r w:rsidRPr="00006C39">
              <w:rPr>
                <w:color w:val="000000"/>
                <w:sz w:val="18"/>
                <w:szCs w:val="18"/>
              </w:rPr>
              <w:t>50.87</w:t>
            </w:r>
          </w:p>
        </w:tc>
        <w:tc>
          <w:tcPr>
            <w:tcW w:w="2126" w:type="dxa"/>
          </w:tcPr>
          <w:p w14:paraId="3F3E1A05" w14:textId="77777777" w:rsidR="00871764" w:rsidRPr="00006C39" w:rsidRDefault="00871764" w:rsidP="00871764">
            <w:pPr>
              <w:pStyle w:val="ExhibitText"/>
              <w:jc w:val="right"/>
              <w:rPr>
                <w:color w:val="000000"/>
                <w:sz w:val="18"/>
                <w:szCs w:val="18"/>
              </w:rPr>
            </w:pPr>
            <w:r w:rsidRPr="00006C39">
              <w:rPr>
                <w:color w:val="000000"/>
                <w:sz w:val="18"/>
                <w:szCs w:val="18"/>
              </w:rPr>
              <w:t>62,578</w:t>
            </w:r>
          </w:p>
        </w:tc>
      </w:tr>
      <w:tr w:rsidR="00871764" w:rsidRPr="00006C39" w14:paraId="32817608" w14:textId="77777777" w:rsidTr="006026EA">
        <w:trPr>
          <w:trHeight w:val="113"/>
          <w:jc w:val="center"/>
        </w:trPr>
        <w:tc>
          <w:tcPr>
            <w:tcW w:w="851" w:type="dxa"/>
          </w:tcPr>
          <w:p w14:paraId="5AF1DB81" w14:textId="77777777" w:rsidR="00871764" w:rsidRPr="00006C39" w:rsidRDefault="00871764" w:rsidP="00871764">
            <w:pPr>
              <w:pStyle w:val="ExhibitText"/>
              <w:rPr>
                <w:sz w:val="18"/>
                <w:szCs w:val="18"/>
              </w:rPr>
            </w:pPr>
            <w:r w:rsidRPr="00006C39">
              <w:rPr>
                <w:sz w:val="18"/>
                <w:szCs w:val="18"/>
              </w:rPr>
              <w:t>2015</w:t>
            </w:r>
          </w:p>
        </w:tc>
        <w:tc>
          <w:tcPr>
            <w:tcW w:w="1838" w:type="dxa"/>
          </w:tcPr>
          <w:p w14:paraId="0B7EC3ED" w14:textId="77777777" w:rsidR="00871764" w:rsidRPr="00006C39" w:rsidRDefault="00871764" w:rsidP="00871764">
            <w:pPr>
              <w:pStyle w:val="ExhibitText"/>
              <w:jc w:val="right"/>
              <w:rPr>
                <w:color w:val="000000"/>
                <w:sz w:val="18"/>
                <w:szCs w:val="18"/>
              </w:rPr>
            </w:pPr>
            <w:r w:rsidRPr="00006C39">
              <w:rPr>
                <w:color w:val="000000"/>
                <w:sz w:val="18"/>
                <w:szCs w:val="18"/>
              </w:rPr>
              <w:t>215.36</w:t>
            </w:r>
          </w:p>
        </w:tc>
        <w:tc>
          <w:tcPr>
            <w:tcW w:w="1228" w:type="dxa"/>
          </w:tcPr>
          <w:p w14:paraId="192F0955" w14:textId="77777777" w:rsidR="00871764" w:rsidRPr="00006C39" w:rsidRDefault="00871764" w:rsidP="00871764">
            <w:pPr>
              <w:pStyle w:val="ExhibitText"/>
              <w:jc w:val="right"/>
              <w:rPr>
                <w:color w:val="000000"/>
                <w:sz w:val="18"/>
                <w:szCs w:val="18"/>
              </w:rPr>
            </w:pPr>
            <w:r w:rsidRPr="00006C39">
              <w:rPr>
                <w:color w:val="000000"/>
                <w:sz w:val="18"/>
                <w:szCs w:val="18"/>
              </w:rPr>
              <w:t>62.42</w:t>
            </w:r>
          </w:p>
        </w:tc>
        <w:tc>
          <w:tcPr>
            <w:tcW w:w="1328" w:type="dxa"/>
          </w:tcPr>
          <w:p w14:paraId="3C85B821" w14:textId="77777777" w:rsidR="00871764" w:rsidRPr="00006C39" w:rsidRDefault="00871764" w:rsidP="00871764">
            <w:pPr>
              <w:pStyle w:val="ExhibitText"/>
              <w:jc w:val="right"/>
              <w:rPr>
                <w:color w:val="000000"/>
                <w:sz w:val="18"/>
                <w:szCs w:val="18"/>
              </w:rPr>
            </w:pPr>
            <w:r w:rsidRPr="00006C39">
              <w:rPr>
                <w:color w:val="000000"/>
                <w:sz w:val="18"/>
                <w:szCs w:val="18"/>
              </w:rPr>
              <w:t>63.36</w:t>
            </w:r>
          </w:p>
        </w:tc>
        <w:tc>
          <w:tcPr>
            <w:tcW w:w="1417" w:type="dxa"/>
          </w:tcPr>
          <w:p w14:paraId="70F590F1" w14:textId="77777777" w:rsidR="00871764" w:rsidRPr="00006C39" w:rsidRDefault="00871764" w:rsidP="00871764">
            <w:pPr>
              <w:pStyle w:val="ExhibitText"/>
              <w:jc w:val="right"/>
              <w:rPr>
                <w:color w:val="000000"/>
                <w:sz w:val="18"/>
                <w:szCs w:val="18"/>
              </w:rPr>
            </w:pPr>
            <w:r w:rsidRPr="00006C39">
              <w:rPr>
                <w:color w:val="000000"/>
                <w:sz w:val="18"/>
                <w:szCs w:val="18"/>
              </w:rPr>
              <w:t>44.48</w:t>
            </w:r>
          </w:p>
        </w:tc>
        <w:tc>
          <w:tcPr>
            <w:tcW w:w="2126" w:type="dxa"/>
          </w:tcPr>
          <w:p w14:paraId="17C66E48" w14:textId="77777777" w:rsidR="00871764" w:rsidRPr="00006C39" w:rsidRDefault="00871764" w:rsidP="00871764">
            <w:pPr>
              <w:pStyle w:val="ExhibitText"/>
              <w:jc w:val="right"/>
              <w:rPr>
                <w:color w:val="000000"/>
                <w:sz w:val="18"/>
                <w:szCs w:val="18"/>
              </w:rPr>
            </w:pPr>
            <w:r w:rsidRPr="00006C39">
              <w:rPr>
                <w:color w:val="000000"/>
                <w:sz w:val="18"/>
                <w:szCs w:val="18"/>
              </w:rPr>
              <w:t>59,301</w:t>
            </w:r>
          </w:p>
        </w:tc>
      </w:tr>
      <w:tr w:rsidR="00871764" w:rsidRPr="00006C39" w14:paraId="16334550" w14:textId="77777777" w:rsidTr="006026EA">
        <w:trPr>
          <w:trHeight w:val="113"/>
          <w:jc w:val="center"/>
        </w:trPr>
        <w:tc>
          <w:tcPr>
            <w:tcW w:w="851" w:type="dxa"/>
          </w:tcPr>
          <w:p w14:paraId="2B99DB63" w14:textId="77777777" w:rsidR="00871764" w:rsidRPr="00006C39" w:rsidRDefault="00871764" w:rsidP="00871764">
            <w:pPr>
              <w:pStyle w:val="ExhibitText"/>
              <w:rPr>
                <w:sz w:val="18"/>
                <w:szCs w:val="18"/>
              </w:rPr>
            </w:pPr>
            <w:r w:rsidRPr="00006C39">
              <w:rPr>
                <w:sz w:val="18"/>
                <w:szCs w:val="18"/>
              </w:rPr>
              <w:t>2014</w:t>
            </w:r>
          </w:p>
        </w:tc>
        <w:tc>
          <w:tcPr>
            <w:tcW w:w="1838" w:type="dxa"/>
          </w:tcPr>
          <w:p w14:paraId="48822D92" w14:textId="77777777" w:rsidR="00871764" w:rsidRPr="00006C39" w:rsidRDefault="00871764" w:rsidP="00871764">
            <w:pPr>
              <w:pStyle w:val="ExhibitText"/>
              <w:jc w:val="right"/>
              <w:rPr>
                <w:color w:val="000000"/>
                <w:sz w:val="18"/>
                <w:szCs w:val="18"/>
              </w:rPr>
            </w:pPr>
            <w:r w:rsidRPr="00006C39">
              <w:rPr>
                <w:color w:val="000000"/>
                <w:sz w:val="18"/>
                <w:szCs w:val="18"/>
              </w:rPr>
              <w:t>195.54</w:t>
            </w:r>
          </w:p>
        </w:tc>
        <w:tc>
          <w:tcPr>
            <w:tcW w:w="1228" w:type="dxa"/>
          </w:tcPr>
          <w:p w14:paraId="451B1441" w14:textId="77777777" w:rsidR="00871764" w:rsidRPr="00006C39" w:rsidRDefault="00871764" w:rsidP="00871764">
            <w:pPr>
              <w:pStyle w:val="ExhibitText"/>
              <w:jc w:val="right"/>
              <w:rPr>
                <w:color w:val="000000"/>
                <w:sz w:val="18"/>
                <w:szCs w:val="18"/>
              </w:rPr>
            </w:pPr>
            <w:r w:rsidRPr="00006C39">
              <w:rPr>
                <w:color w:val="000000"/>
                <w:sz w:val="18"/>
                <w:szCs w:val="18"/>
              </w:rPr>
              <w:t>60.55</w:t>
            </w:r>
          </w:p>
        </w:tc>
        <w:tc>
          <w:tcPr>
            <w:tcW w:w="1328" w:type="dxa"/>
          </w:tcPr>
          <w:p w14:paraId="3AE4CFC4" w14:textId="77777777" w:rsidR="00871764" w:rsidRPr="00006C39" w:rsidRDefault="00871764" w:rsidP="00871764">
            <w:pPr>
              <w:pStyle w:val="ExhibitText"/>
              <w:jc w:val="right"/>
              <w:rPr>
                <w:color w:val="000000"/>
                <w:sz w:val="18"/>
                <w:szCs w:val="18"/>
              </w:rPr>
            </w:pPr>
            <w:r w:rsidRPr="00006C39">
              <w:rPr>
                <w:color w:val="000000"/>
                <w:sz w:val="18"/>
                <w:szCs w:val="18"/>
              </w:rPr>
              <w:t>58.68</w:t>
            </w:r>
          </w:p>
        </w:tc>
        <w:tc>
          <w:tcPr>
            <w:tcW w:w="1417" w:type="dxa"/>
          </w:tcPr>
          <w:p w14:paraId="770356FC" w14:textId="77777777" w:rsidR="00871764" w:rsidRPr="00006C39" w:rsidRDefault="00871764" w:rsidP="00871764">
            <w:pPr>
              <w:pStyle w:val="ExhibitText"/>
              <w:jc w:val="right"/>
              <w:rPr>
                <w:color w:val="000000"/>
                <w:sz w:val="18"/>
                <w:szCs w:val="18"/>
              </w:rPr>
            </w:pPr>
            <w:r w:rsidRPr="00006C39">
              <w:rPr>
                <w:color w:val="000000"/>
                <w:sz w:val="18"/>
                <w:szCs w:val="18"/>
              </w:rPr>
              <w:t>41.82</w:t>
            </w:r>
          </w:p>
        </w:tc>
        <w:tc>
          <w:tcPr>
            <w:tcW w:w="2126" w:type="dxa"/>
          </w:tcPr>
          <w:p w14:paraId="562CF802" w14:textId="77777777" w:rsidR="00871764" w:rsidRPr="00006C39" w:rsidRDefault="00871764" w:rsidP="00871764">
            <w:pPr>
              <w:pStyle w:val="ExhibitText"/>
              <w:jc w:val="right"/>
              <w:rPr>
                <w:color w:val="000000"/>
                <w:sz w:val="18"/>
                <w:szCs w:val="18"/>
              </w:rPr>
            </w:pPr>
            <w:r w:rsidRPr="00006C39">
              <w:rPr>
                <w:color w:val="000000"/>
                <w:sz w:val="18"/>
                <w:szCs w:val="18"/>
              </w:rPr>
              <w:t>56,648</w:t>
            </w:r>
          </w:p>
        </w:tc>
      </w:tr>
      <w:tr w:rsidR="00871764" w:rsidRPr="00006C39" w14:paraId="6175D961" w14:textId="77777777" w:rsidTr="006026EA">
        <w:trPr>
          <w:trHeight w:val="113"/>
          <w:jc w:val="center"/>
        </w:trPr>
        <w:tc>
          <w:tcPr>
            <w:tcW w:w="851" w:type="dxa"/>
          </w:tcPr>
          <w:p w14:paraId="47F6C6B5" w14:textId="77777777" w:rsidR="00871764" w:rsidRPr="00006C39" w:rsidRDefault="00871764" w:rsidP="00871764">
            <w:pPr>
              <w:pStyle w:val="ExhibitText"/>
              <w:rPr>
                <w:sz w:val="18"/>
                <w:szCs w:val="18"/>
              </w:rPr>
            </w:pPr>
            <w:r w:rsidRPr="00006C39">
              <w:rPr>
                <w:sz w:val="18"/>
                <w:szCs w:val="18"/>
              </w:rPr>
              <w:t>2013</w:t>
            </w:r>
          </w:p>
        </w:tc>
        <w:tc>
          <w:tcPr>
            <w:tcW w:w="1838" w:type="dxa"/>
          </w:tcPr>
          <w:p w14:paraId="6131F3E1" w14:textId="77777777" w:rsidR="00871764" w:rsidRPr="00006C39" w:rsidRDefault="00871764" w:rsidP="00871764">
            <w:pPr>
              <w:pStyle w:val="ExhibitText"/>
              <w:jc w:val="right"/>
              <w:rPr>
                <w:color w:val="000000"/>
                <w:sz w:val="18"/>
                <w:szCs w:val="18"/>
              </w:rPr>
            </w:pPr>
            <w:r w:rsidRPr="00006C39">
              <w:rPr>
                <w:color w:val="000000"/>
                <w:sz w:val="18"/>
                <w:szCs w:val="18"/>
              </w:rPr>
              <w:t>173.38</w:t>
            </w:r>
          </w:p>
        </w:tc>
        <w:tc>
          <w:tcPr>
            <w:tcW w:w="1228" w:type="dxa"/>
          </w:tcPr>
          <w:p w14:paraId="5465EEAE" w14:textId="77777777" w:rsidR="00871764" w:rsidRPr="00006C39" w:rsidRDefault="00871764" w:rsidP="00871764">
            <w:pPr>
              <w:pStyle w:val="ExhibitText"/>
              <w:jc w:val="right"/>
              <w:rPr>
                <w:color w:val="000000"/>
                <w:sz w:val="18"/>
                <w:szCs w:val="18"/>
              </w:rPr>
            </w:pPr>
            <w:r w:rsidRPr="00006C39">
              <w:rPr>
                <w:color w:val="000000"/>
                <w:sz w:val="18"/>
                <w:szCs w:val="18"/>
              </w:rPr>
              <w:t>56.34</w:t>
            </w:r>
          </w:p>
        </w:tc>
        <w:tc>
          <w:tcPr>
            <w:tcW w:w="1328" w:type="dxa"/>
          </w:tcPr>
          <w:p w14:paraId="65827149" w14:textId="77777777" w:rsidR="00871764" w:rsidRPr="00006C39" w:rsidRDefault="00871764" w:rsidP="00871764">
            <w:pPr>
              <w:pStyle w:val="ExhibitText"/>
              <w:jc w:val="right"/>
              <w:rPr>
                <w:color w:val="000000"/>
                <w:sz w:val="18"/>
                <w:szCs w:val="18"/>
              </w:rPr>
            </w:pPr>
            <w:r w:rsidRPr="00006C39">
              <w:rPr>
                <w:color w:val="000000"/>
                <w:sz w:val="18"/>
                <w:szCs w:val="18"/>
              </w:rPr>
              <w:t>56.02</w:t>
            </w:r>
          </w:p>
        </w:tc>
        <w:tc>
          <w:tcPr>
            <w:tcW w:w="1417" w:type="dxa"/>
          </w:tcPr>
          <w:p w14:paraId="5840E2D2" w14:textId="77777777" w:rsidR="00871764" w:rsidRPr="00006C39" w:rsidRDefault="00871764" w:rsidP="00871764">
            <w:pPr>
              <w:pStyle w:val="ExhibitText"/>
              <w:jc w:val="right"/>
              <w:rPr>
                <w:color w:val="000000"/>
                <w:sz w:val="18"/>
                <w:szCs w:val="18"/>
              </w:rPr>
            </w:pPr>
            <w:r w:rsidRPr="00006C39">
              <w:rPr>
                <w:color w:val="000000"/>
                <w:sz w:val="18"/>
                <w:szCs w:val="18"/>
              </w:rPr>
              <w:t>39.64</w:t>
            </w:r>
          </w:p>
        </w:tc>
        <w:tc>
          <w:tcPr>
            <w:tcW w:w="2126" w:type="dxa"/>
          </w:tcPr>
          <w:p w14:paraId="4C4A824E" w14:textId="77777777" w:rsidR="00871764" w:rsidRPr="00006C39" w:rsidRDefault="00871764" w:rsidP="00871764">
            <w:pPr>
              <w:pStyle w:val="ExhibitText"/>
              <w:jc w:val="right"/>
              <w:rPr>
                <w:color w:val="000000"/>
                <w:sz w:val="18"/>
                <w:szCs w:val="18"/>
              </w:rPr>
            </w:pPr>
            <w:r w:rsidRPr="00006C39">
              <w:rPr>
                <w:color w:val="000000"/>
                <w:sz w:val="18"/>
                <w:szCs w:val="18"/>
              </w:rPr>
              <w:t>50,562</w:t>
            </w:r>
          </w:p>
        </w:tc>
      </w:tr>
      <w:tr w:rsidR="00871764" w:rsidRPr="00006C39" w14:paraId="752BE0C3" w14:textId="77777777" w:rsidTr="006026EA">
        <w:trPr>
          <w:trHeight w:val="113"/>
          <w:jc w:val="center"/>
        </w:trPr>
        <w:tc>
          <w:tcPr>
            <w:tcW w:w="851" w:type="dxa"/>
          </w:tcPr>
          <w:p w14:paraId="01213F6D" w14:textId="77777777" w:rsidR="00871764" w:rsidRPr="00006C39" w:rsidRDefault="00871764" w:rsidP="00871764">
            <w:pPr>
              <w:pStyle w:val="ExhibitText"/>
              <w:rPr>
                <w:sz w:val="18"/>
                <w:szCs w:val="18"/>
              </w:rPr>
            </w:pPr>
            <w:r w:rsidRPr="00006C39">
              <w:rPr>
                <w:sz w:val="18"/>
                <w:szCs w:val="18"/>
              </w:rPr>
              <w:t>2012</w:t>
            </w:r>
          </w:p>
        </w:tc>
        <w:tc>
          <w:tcPr>
            <w:tcW w:w="1838" w:type="dxa"/>
          </w:tcPr>
          <w:p w14:paraId="738ADC43" w14:textId="77777777" w:rsidR="00871764" w:rsidRPr="00006C39" w:rsidRDefault="00871764" w:rsidP="00871764">
            <w:pPr>
              <w:pStyle w:val="ExhibitText"/>
              <w:jc w:val="right"/>
              <w:rPr>
                <w:color w:val="000000"/>
                <w:sz w:val="18"/>
                <w:szCs w:val="18"/>
              </w:rPr>
            </w:pPr>
            <w:r w:rsidRPr="00006C39">
              <w:rPr>
                <w:color w:val="000000"/>
                <w:sz w:val="18"/>
                <w:szCs w:val="18"/>
              </w:rPr>
              <w:t>152.62</w:t>
            </w:r>
          </w:p>
        </w:tc>
        <w:tc>
          <w:tcPr>
            <w:tcW w:w="1228" w:type="dxa"/>
          </w:tcPr>
          <w:p w14:paraId="3130E1DD" w14:textId="77777777" w:rsidR="00871764" w:rsidRPr="00006C39" w:rsidRDefault="00871764" w:rsidP="00871764">
            <w:pPr>
              <w:pStyle w:val="ExhibitText"/>
              <w:jc w:val="right"/>
              <w:rPr>
                <w:color w:val="000000"/>
                <w:sz w:val="18"/>
                <w:szCs w:val="18"/>
              </w:rPr>
            </w:pPr>
            <w:r w:rsidRPr="00006C39">
              <w:rPr>
                <w:color w:val="000000"/>
                <w:sz w:val="18"/>
                <w:szCs w:val="18"/>
              </w:rPr>
              <w:t>51.19</w:t>
            </w:r>
          </w:p>
        </w:tc>
        <w:tc>
          <w:tcPr>
            <w:tcW w:w="1328" w:type="dxa"/>
          </w:tcPr>
          <w:p w14:paraId="3B55B37A" w14:textId="77777777" w:rsidR="00871764" w:rsidRPr="00006C39" w:rsidRDefault="00871764" w:rsidP="00871764">
            <w:pPr>
              <w:pStyle w:val="ExhibitText"/>
              <w:jc w:val="right"/>
              <w:rPr>
                <w:color w:val="000000"/>
                <w:sz w:val="18"/>
                <w:szCs w:val="18"/>
              </w:rPr>
            </w:pPr>
            <w:r w:rsidRPr="00006C39">
              <w:rPr>
                <w:color w:val="000000"/>
                <w:sz w:val="18"/>
                <w:szCs w:val="18"/>
              </w:rPr>
              <w:t>49.00</w:t>
            </w:r>
          </w:p>
        </w:tc>
        <w:tc>
          <w:tcPr>
            <w:tcW w:w="1417" w:type="dxa"/>
          </w:tcPr>
          <w:p w14:paraId="61D32124" w14:textId="77777777" w:rsidR="00871764" w:rsidRPr="00006C39" w:rsidRDefault="00871764" w:rsidP="00871764">
            <w:pPr>
              <w:pStyle w:val="ExhibitText"/>
              <w:jc w:val="right"/>
              <w:rPr>
                <w:color w:val="000000"/>
                <w:sz w:val="18"/>
                <w:szCs w:val="18"/>
              </w:rPr>
            </w:pPr>
            <w:r w:rsidRPr="00006C39">
              <w:rPr>
                <w:color w:val="000000"/>
                <w:sz w:val="18"/>
                <w:szCs w:val="18"/>
              </w:rPr>
              <w:t>34.18</w:t>
            </w:r>
          </w:p>
        </w:tc>
        <w:tc>
          <w:tcPr>
            <w:tcW w:w="2126" w:type="dxa"/>
          </w:tcPr>
          <w:p w14:paraId="7BAB4967" w14:textId="77777777" w:rsidR="00871764" w:rsidRPr="00006C39" w:rsidRDefault="00871764" w:rsidP="00871764">
            <w:pPr>
              <w:pStyle w:val="ExhibitText"/>
              <w:jc w:val="right"/>
              <w:rPr>
                <w:color w:val="000000"/>
                <w:sz w:val="18"/>
                <w:szCs w:val="18"/>
              </w:rPr>
            </w:pPr>
            <w:r w:rsidRPr="00006C39">
              <w:rPr>
                <w:color w:val="000000"/>
                <w:sz w:val="18"/>
                <w:szCs w:val="18"/>
              </w:rPr>
              <w:t>45,880</w:t>
            </w:r>
          </w:p>
        </w:tc>
      </w:tr>
      <w:tr w:rsidR="00871764" w:rsidRPr="00006C39" w14:paraId="47247BEF" w14:textId="77777777" w:rsidTr="006026EA">
        <w:trPr>
          <w:trHeight w:val="113"/>
          <w:jc w:val="center"/>
        </w:trPr>
        <w:tc>
          <w:tcPr>
            <w:tcW w:w="851" w:type="dxa"/>
          </w:tcPr>
          <w:p w14:paraId="2F5A8BDB" w14:textId="77777777" w:rsidR="00871764" w:rsidRPr="00006C39" w:rsidRDefault="00871764" w:rsidP="00871764">
            <w:pPr>
              <w:pStyle w:val="ExhibitText"/>
              <w:rPr>
                <w:sz w:val="18"/>
                <w:szCs w:val="18"/>
              </w:rPr>
            </w:pPr>
            <w:r w:rsidRPr="00006C39">
              <w:rPr>
                <w:sz w:val="18"/>
                <w:szCs w:val="18"/>
              </w:rPr>
              <w:t>2011</w:t>
            </w:r>
          </w:p>
        </w:tc>
        <w:tc>
          <w:tcPr>
            <w:tcW w:w="1838" w:type="dxa"/>
          </w:tcPr>
          <w:p w14:paraId="3FB42381" w14:textId="77777777" w:rsidR="00871764" w:rsidRPr="00006C39" w:rsidRDefault="00871764" w:rsidP="00871764">
            <w:pPr>
              <w:pStyle w:val="ExhibitText"/>
              <w:jc w:val="right"/>
              <w:rPr>
                <w:color w:val="000000"/>
                <w:sz w:val="18"/>
                <w:szCs w:val="18"/>
              </w:rPr>
            </w:pPr>
            <w:r w:rsidRPr="00006C39">
              <w:rPr>
                <w:color w:val="000000"/>
                <w:sz w:val="18"/>
                <w:szCs w:val="18"/>
              </w:rPr>
              <w:t>125.94</w:t>
            </w:r>
          </w:p>
        </w:tc>
        <w:tc>
          <w:tcPr>
            <w:tcW w:w="1228" w:type="dxa"/>
          </w:tcPr>
          <w:p w14:paraId="7CC2E89F" w14:textId="77777777" w:rsidR="00871764" w:rsidRPr="00006C39" w:rsidRDefault="00871764" w:rsidP="00871764">
            <w:pPr>
              <w:pStyle w:val="ExhibitText"/>
              <w:jc w:val="right"/>
              <w:rPr>
                <w:color w:val="000000"/>
                <w:sz w:val="18"/>
                <w:szCs w:val="18"/>
              </w:rPr>
            </w:pPr>
            <w:r w:rsidRPr="00006C39">
              <w:rPr>
                <w:color w:val="000000"/>
                <w:sz w:val="18"/>
                <w:szCs w:val="18"/>
              </w:rPr>
              <w:t>40.89</w:t>
            </w:r>
          </w:p>
        </w:tc>
        <w:tc>
          <w:tcPr>
            <w:tcW w:w="1328" w:type="dxa"/>
          </w:tcPr>
          <w:p w14:paraId="5C631704" w14:textId="77777777" w:rsidR="00871764" w:rsidRPr="00006C39" w:rsidRDefault="00871764" w:rsidP="00871764">
            <w:pPr>
              <w:pStyle w:val="ExhibitText"/>
              <w:jc w:val="right"/>
              <w:rPr>
                <w:color w:val="000000"/>
                <w:sz w:val="18"/>
                <w:szCs w:val="18"/>
              </w:rPr>
            </w:pPr>
            <w:r w:rsidRPr="00006C39">
              <w:rPr>
                <w:color w:val="000000"/>
                <w:sz w:val="18"/>
                <w:szCs w:val="18"/>
              </w:rPr>
              <w:t>42.92</w:t>
            </w:r>
          </w:p>
        </w:tc>
        <w:tc>
          <w:tcPr>
            <w:tcW w:w="1417" w:type="dxa"/>
          </w:tcPr>
          <w:p w14:paraId="6076ED03" w14:textId="77777777" w:rsidR="00871764" w:rsidRPr="00006C39" w:rsidRDefault="00871764" w:rsidP="00871764">
            <w:pPr>
              <w:pStyle w:val="ExhibitText"/>
              <w:jc w:val="right"/>
              <w:rPr>
                <w:color w:val="000000"/>
                <w:sz w:val="18"/>
                <w:szCs w:val="18"/>
              </w:rPr>
            </w:pPr>
            <w:r w:rsidRPr="00006C39">
              <w:rPr>
                <w:color w:val="000000"/>
                <w:sz w:val="18"/>
                <w:szCs w:val="18"/>
              </w:rPr>
              <w:t>31.52</w:t>
            </w:r>
          </w:p>
        </w:tc>
        <w:tc>
          <w:tcPr>
            <w:tcW w:w="2126" w:type="dxa"/>
          </w:tcPr>
          <w:p w14:paraId="4D6F6FE5" w14:textId="77777777" w:rsidR="00871764" w:rsidRPr="00006C39" w:rsidRDefault="00871764" w:rsidP="00871764">
            <w:pPr>
              <w:pStyle w:val="ExhibitText"/>
              <w:jc w:val="right"/>
              <w:rPr>
                <w:color w:val="000000"/>
                <w:sz w:val="18"/>
                <w:szCs w:val="18"/>
              </w:rPr>
            </w:pPr>
            <w:r w:rsidRPr="00006C39">
              <w:rPr>
                <w:color w:val="000000"/>
                <w:sz w:val="18"/>
                <w:szCs w:val="18"/>
              </w:rPr>
              <w:t>41,979</w:t>
            </w:r>
          </w:p>
        </w:tc>
      </w:tr>
      <w:tr w:rsidR="00871764" w:rsidRPr="00006C39" w14:paraId="091C1238" w14:textId="77777777" w:rsidTr="006026EA">
        <w:trPr>
          <w:trHeight w:val="113"/>
          <w:jc w:val="center"/>
        </w:trPr>
        <w:tc>
          <w:tcPr>
            <w:tcW w:w="851" w:type="dxa"/>
          </w:tcPr>
          <w:p w14:paraId="5DB34E33" w14:textId="77777777" w:rsidR="00871764" w:rsidRPr="00006C39" w:rsidRDefault="00871764" w:rsidP="00871764">
            <w:pPr>
              <w:pStyle w:val="ExhibitText"/>
              <w:rPr>
                <w:sz w:val="18"/>
                <w:szCs w:val="18"/>
              </w:rPr>
            </w:pPr>
            <w:r w:rsidRPr="00006C39">
              <w:rPr>
                <w:sz w:val="18"/>
                <w:szCs w:val="18"/>
              </w:rPr>
              <w:t>2010</w:t>
            </w:r>
          </w:p>
        </w:tc>
        <w:tc>
          <w:tcPr>
            <w:tcW w:w="1838" w:type="dxa"/>
          </w:tcPr>
          <w:p w14:paraId="42CBD437" w14:textId="77777777" w:rsidR="00871764" w:rsidRPr="00006C39" w:rsidRDefault="00871764" w:rsidP="00871764">
            <w:pPr>
              <w:pStyle w:val="ExhibitText"/>
              <w:jc w:val="right"/>
              <w:rPr>
                <w:color w:val="000000"/>
                <w:sz w:val="18"/>
                <w:szCs w:val="18"/>
              </w:rPr>
            </w:pPr>
            <w:r w:rsidRPr="00006C39">
              <w:rPr>
                <w:color w:val="000000"/>
                <w:sz w:val="18"/>
                <w:szCs w:val="18"/>
              </w:rPr>
              <w:t>98.00</w:t>
            </w:r>
          </w:p>
        </w:tc>
        <w:tc>
          <w:tcPr>
            <w:tcW w:w="1228" w:type="dxa"/>
          </w:tcPr>
          <w:p w14:paraId="20992C15" w14:textId="77777777" w:rsidR="00871764" w:rsidRPr="00006C39" w:rsidRDefault="00871764" w:rsidP="00871764">
            <w:pPr>
              <w:pStyle w:val="ExhibitText"/>
              <w:jc w:val="right"/>
              <w:rPr>
                <w:color w:val="000000"/>
                <w:sz w:val="18"/>
                <w:szCs w:val="18"/>
              </w:rPr>
            </w:pPr>
            <w:r w:rsidRPr="00006C39">
              <w:rPr>
                <w:color w:val="000000"/>
                <w:sz w:val="18"/>
                <w:szCs w:val="18"/>
              </w:rPr>
              <w:t>33.55</w:t>
            </w:r>
          </w:p>
        </w:tc>
        <w:tc>
          <w:tcPr>
            <w:tcW w:w="1328" w:type="dxa"/>
          </w:tcPr>
          <w:p w14:paraId="2F3CDCE6" w14:textId="77777777" w:rsidR="00871764" w:rsidRPr="00006C39" w:rsidRDefault="00871764" w:rsidP="00871764">
            <w:pPr>
              <w:pStyle w:val="ExhibitText"/>
              <w:jc w:val="right"/>
              <w:rPr>
                <w:color w:val="000000"/>
                <w:sz w:val="18"/>
                <w:szCs w:val="18"/>
              </w:rPr>
            </w:pPr>
            <w:r w:rsidRPr="00006C39">
              <w:rPr>
                <w:color w:val="000000"/>
                <w:sz w:val="18"/>
                <w:szCs w:val="18"/>
              </w:rPr>
              <w:t>41.67</w:t>
            </w:r>
          </w:p>
        </w:tc>
        <w:tc>
          <w:tcPr>
            <w:tcW w:w="1417" w:type="dxa"/>
          </w:tcPr>
          <w:p w14:paraId="4CF33108" w14:textId="77777777" w:rsidR="00871764" w:rsidRPr="00006C39" w:rsidRDefault="00871764" w:rsidP="00871764">
            <w:pPr>
              <w:pStyle w:val="ExhibitText"/>
              <w:jc w:val="right"/>
              <w:rPr>
                <w:color w:val="000000"/>
                <w:sz w:val="18"/>
                <w:szCs w:val="18"/>
              </w:rPr>
            </w:pPr>
            <w:r w:rsidRPr="00006C39">
              <w:rPr>
                <w:color w:val="000000"/>
                <w:sz w:val="18"/>
                <w:szCs w:val="18"/>
              </w:rPr>
              <w:t>25.75</w:t>
            </w:r>
          </w:p>
        </w:tc>
        <w:tc>
          <w:tcPr>
            <w:tcW w:w="2126" w:type="dxa"/>
          </w:tcPr>
          <w:p w14:paraId="28ACD2B4" w14:textId="77777777" w:rsidR="00871764" w:rsidRPr="00006C39" w:rsidRDefault="00871764" w:rsidP="00871764">
            <w:pPr>
              <w:pStyle w:val="ExhibitText"/>
              <w:jc w:val="right"/>
              <w:rPr>
                <w:color w:val="000000"/>
                <w:sz w:val="18"/>
                <w:szCs w:val="18"/>
              </w:rPr>
            </w:pPr>
            <w:r w:rsidRPr="00006C39">
              <w:rPr>
                <w:color w:val="000000"/>
                <w:sz w:val="18"/>
                <w:szCs w:val="18"/>
              </w:rPr>
              <w:t>39,482</w:t>
            </w:r>
          </w:p>
        </w:tc>
      </w:tr>
      <w:tr w:rsidR="00871764" w:rsidRPr="00006C39" w14:paraId="3CC37C8D" w14:textId="77777777" w:rsidTr="006026EA">
        <w:trPr>
          <w:trHeight w:val="113"/>
          <w:jc w:val="center"/>
        </w:trPr>
        <w:tc>
          <w:tcPr>
            <w:tcW w:w="851" w:type="dxa"/>
          </w:tcPr>
          <w:p w14:paraId="14F3A51F" w14:textId="77777777" w:rsidR="00871764" w:rsidRPr="00006C39" w:rsidRDefault="00871764" w:rsidP="00871764">
            <w:pPr>
              <w:pStyle w:val="ExhibitText"/>
              <w:rPr>
                <w:sz w:val="18"/>
                <w:szCs w:val="18"/>
              </w:rPr>
            </w:pPr>
            <w:r w:rsidRPr="00006C39">
              <w:rPr>
                <w:sz w:val="18"/>
                <w:szCs w:val="18"/>
              </w:rPr>
              <w:t>2009</w:t>
            </w:r>
          </w:p>
        </w:tc>
        <w:tc>
          <w:tcPr>
            <w:tcW w:w="1838" w:type="dxa"/>
          </w:tcPr>
          <w:p w14:paraId="62124145" w14:textId="77777777" w:rsidR="00871764" w:rsidRPr="00006C39" w:rsidRDefault="00871764" w:rsidP="00871764">
            <w:pPr>
              <w:pStyle w:val="ExhibitText"/>
              <w:jc w:val="right"/>
              <w:rPr>
                <w:color w:val="000000"/>
                <w:sz w:val="18"/>
                <w:szCs w:val="18"/>
              </w:rPr>
            </w:pPr>
            <w:r w:rsidRPr="00006C39">
              <w:rPr>
                <w:color w:val="000000"/>
                <w:sz w:val="18"/>
                <w:szCs w:val="18"/>
              </w:rPr>
              <w:t>83.80</w:t>
            </w:r>
          </w:p>
        </w:tc>
        <w:tc>
          <w:tcPr>
            <w:tcW w:w="1228" w:type="dxa"/>
          </w:tcPr>
          <w:p w14:paraId="715ED7F1" w14:textId="77777777" w:rsidR="00871764" w:rsidRPr="00006C39" w:rsidRDefault="00871764" w:rsidP="00871764">
            <w:pPr>
              <w:pStyle w:val="ExhibitText"/>
              <w:jc w:val="right"/>
              <w:rPr>
                <w:color w:val="000000"/>
                <w:sz w:val="18"/>
                <w:szCs w:val="18"/>
              </w:rPr>
            </w:pPr>
            <w:r w:rsidRPr="00006C39">
              <w:rPr>
                <w:color w:val="000000"/>
                <w:sz w:val="18"/>
                <w:szCs w:val="18"/>
              </w:rPr>
              <w:t>31.05</w:t>
            </w:r>
          </w:p>
        </w:tc>
        <w:tc>
          <w:tcPr>
            <w:tcW w:w="1328" w:type="dxa"/>
          </w:tcPr>
          <w:p w14:paraId="5E8F3D9F" w14:textId="77777777" w:rsidR="00871764" w:rsidRPr="00006C39" w:rsidRDefault="00871764" w:rsidP="00871764">
            <w:pPr>
              <w:pStyle w:val="ExhibitText"/>
              <w:jc w:val="right"/>
              <w:rPr>
                <w:color w:val="000000"/>
                <w:sz w:val="18"/>
                <w:szCs w:val="18"/>
              </w:rPr>
            </w:pPr>
            <w:r w:rsidRPr="00006C39">
              <w:rPr>
                <w:color w:val="000000"/>
                <w:sz w:val="18"/>
                <w:szCs w:val="18"/>
              </w:rPr>
              <w:t>32.30</w:t>
            </w:r>
          </w:p>
        </w:tc>
        <w:tc>
          <w:tcPr>
            <w:tcW w:w="1417" w:type="dxa"/>
          </w:tcPr>
          <w:p w14:paraId="383BED61" w14:textId="77777777" w:rsidR="00871764" w:rsidRPr="00006C39" w:rsidRDefault="00871764" w:rsidP="00871764">
            <w:pPr>
              <w:pStyle w:val="ExhibitText"/>
              <w:jc w:val="right"/>
              <w:rPr>
                <w:color w:val="000000"/>
                <w:sz w:val="18"/>
                <w:szCs w:val="18"/>
              </w:rPr>
            </w:pPr>
            <w:r w:rsidRPr="00006C39">
              <w:rPr>
                <w:color w:val="000000"/>
                <w:sz w:val="18"/>
                <w:szCs w:val="18"/>
              </w:rPr>
              <w:t>25.12</w:t>
            </w:r>
          </w:p>
        </w:tc>
        <w:tc>
          <w:tcPr>
            <w:tcW w:w="2126" w:type="dxa"/>
          </w:tcPr>
          <w:p w14:paraId="6E0E7C4D" w14:textId="77777777" w:rsidR="00871764" w:rsidRPr="00006C39" w:rsidRDefault="00871764" w:rsidP="00871764">
            <w:pPr>
              <w:pStyle w:val="ExhibitText"/>
              <w:jc w:val="right"/>
              <w:rPr>
                <w:color w:val="000000"/>
                <w:sz w:val="18"/>
                <w:szCs w:val="18"/>
              </w:rPr>
            </w:pPr>
            <w:r w:rsidRPr="00006C39">
              <w:rPr>
                <w:color w:val="000000"/>
                <w:sz w:val="18"/>
                <w:szCs w:val="18"/>
              </w:rPr>
              <w:t>40,730</w:t>
            </w:r>
          </w:p>
        </w:tc>
      </w:tr>
      <w:tr w:rsidR="00871764" w:rsidRPr="00006C39" w14:paraId="30F71E8D" w14:textId="77777777" w:rsidTr="006026EA">
        <w:trPr>
          <w:trHeight w:val="113"/>
          <w:jc w:val="center"/>
        </w:trPr>
        <w:tc>
          <w:tcPr>
            <w:tcW w:w="851" w:type="dxa"/>
          </w:tcPr>
          <w:p w14:paraId="328DFA53" w14:textId="77777777" w:rsidR="00871764" w:rsidRPr="00006C39" w:rsidRDefault="00871764" w:rsidP="00871764">
            <w:pPr>
              <w:pStyle w:val="ExhibitText"/>
              <w:rPr>
                <w:sz w:val="18"/>
                <w:szCs w:val="18"/>
              </w:rPr>
            </w:pPr>
            <w:r w:rsidRPr="00006C39">
              <w:rPr>
                <w:sz w:val="18"/>
                <w:szCs w:val="18"/>
              </w:rPr>
              <w:t>2008</w:t>
            </w:r>
          </w:p>
        </w:tc>
        <w:tc>
          <w:tcPr>
            <w:tcW w:w="1838" w:type="dxa"/>
          </w:tcPr>
          <w:p w14:paraId="0BC91879" w14:textId="77777777" w:rsidR="00871764" w:rsidRPr="00006C39" w:rsidRDefault="00871764" w:rsidP="00871764">
            <w:pPr>
              <w:pStyle w:val="ExhibitText"/>
              <w:jc w:val="right"/>
              <w:rPr>
                <w:color w:val="000000"/>
                <w:sz w:val="18"/>
                <w:szCs w:val="18"/>
              </w:rPr>
            </w:pPr>
            <w:r w:rsidRPr="00006C39">
              <w:rPr>
                <w:color w:val="000000"/>
                <w:sz w:val="18"/>
                <w:szCs w:val="18"/>
              </w:rPr>
              <w:t>80.37</w:t>
            </w:r>
          </w:p>
        </w:tc>
        <w:tc>
          <w:tcPr>
            <w:tcW w:w="1228" w:type="dxa"/>
          </w:tcPr>
          <w:p w14:paraId="3CBC9706" w14:textId="77777777" w:rsidR="00871764" w:rsidRPr="00006C39" w:rsidRDefault="00871764" w:rsidP="00871764">
            <w:pPr>
              <w:pStyle w:val="ExhibitText"/>
              <w:jc w:val="right"/>
              <w:rPr>
                <w:color w:val="000000"/>
                <w:sz w:val="18"/>
                <w:szCs w:val="18"/>
              </w:rPr>
            </w:pPr>
            <w:r w:rsidRPr="00006C39">
              <w:rPr>
                <w:color w:val="000000"/>
                <w:sz w:val="18"/>
                <w:szCs w:val="18"/>
              </w:rPr>
              <w:t>27.93</w:t>
            </w:r>
          </w:p>
        </w:tc>
        <w:tc>
          <w:tcPr>
            <w:tcW w:w="1328" w:type="dxa"/>
          </w:tcPr>
          <w:p w14:paraId="29FA9C72" w14:textId="77777777" w:rsidR="00871764" w:rsidRPr="00006C39" w:rsidRDefault="00871764" w:rsidP="00871764">
            <w:pPr>
              <w:pStyle w:val="ExhibitText"/>
              <w:jc w:val="right"/>
              <w:rPr>
                <w:color w:val="000000"/>
                <w:sz w:val="18"/>
                <w:szCs w:val="18"/>
              </w:rPr>
            </w:pPr>
            <w:r w:rsidRPr="00006C39">
              <w:rPr>
                <w:color w:val="000000"/>
                <w:sz w:val="18"/>
                <w:szCs w:val="18"/>
              </w:rPr>
              <w:t>29.18</w:t>
            </w:r>
          </w:p>
        </w:tc>
        <w:tc>
          <w:tcPr>
            <w:tcW w:w="1417" w:type="dxa"/>
          </w:tcPr>
          <w:p w14:paraId="0E507E09" w14:textId="77777777" w:rsidR="00871764" w:rsidRPr="00006C39" w:rsidRDefault="00871764" w:rsidP="00871764">
            <w:pPr>
              <w:pStyle w:val="ExhibitText"/>
              <w:jc w:val="right"/>
              <w:rPr>
                <w:color w:val="000000"/>
                <w:sz w:val="18"/>
                <w:szCs w:val="18"/>
              </w:rPr>
            </w:pPr>
            <w:r w:rsidRPr="00006C39">
              <w:rPr>
                <w:color w:val="000000"/>
                <w:sz w:val="18"/>
                <w:szCs w:val="18"/>
              </w:rPr>
              <w:t>22.00</w:t>
            </w:r>
          </w:p>
        </w:tc>
        <w:tc>
          <w:tcPr>
            <w:tcW w:w="2126" w:type="dxa"/>
          </w:tcPr>
          <w:p w14:paraId="40FFD0B9" w14:textId="77777777" w:rsidR="00871764" w:rsidRPr="00006C39" w:rsidRDefault="00871764" w:rsidP="00871764">
            <w:pPr>
              <w:pStyle w:val="ExhibitText"/>
              <w:jc w:val="right"/>
              <w:rPr>
                <w:color w:val="000000"/>
                <w:sz w:val="18"/>
                <w:szCs w:val="18"/>
              </w:rPr>
            </w:pPr>
            <w:r w:rsidRPr="00006C39">
              <w:rPr>
                <w:color w:val="000000"/>
                <w:sz w:val="18"/>
                <w:szCs w:val="18"/>
              </w:rPr>
              <w:t>43,383</w:t>
            </w:r>
          </w:p>
        </w:tc>
      </w:tr>
      <w:tr w:rsidR="00871764" w:rsidRPr="00006C39" w14:paraId="7C5A5101" w14:textId="77777777" w:rsidTr="006026EA">
        <w:trPr>
          <w:trHeight w:val="113"/>
          <w:jc w:val="center"/>
        </w:trPr>
        <w:tc>
          <w:tcPr>
            <w:tcW w:w="851" w:type="dxa"/>
          </w:tcPr>
          <w:p w14:paraId="135BDCCB" w14:textId="77777777" w:rsidR="00871764" w:rsidRPr="00006C39" w:rsidRDefault="00871764" w:rsidP="00871764">
            <w:pPr>
              <w:pStyle w:val="ExhibitText"/>
              <w:rPr>
                <w:sz w:val="18"/>
                <w:szCs w:val="18"/>
              </w:rPr>
            </w:pPr>
            <w:r w:rsidRPr="00006C39">
              <w:rPr>
                <w:sz w:val="18"/>
                <w:szCs w:val="18"/>
              </w:rPr>
              <w:t>2007</w:t>
            </w:r>
          </w:p>
        </w:tc>
        <w:tc>
          <w:tcPr>
            <w:tcW w:w="1838" w:type="dxa"/>
          </w:tcPr>
          <w:p w14:paraId="46321BDB" w14:textId="77777777" w:rsidR="00871764" w:rsidRPr="00006C39" w:rsidRDefault="00871764" w:rsidP="00871764">
            <w:pPr>
              <w:pStyle w:val="ExhibitText"/>
              <w:jc w:val="right"/>
              <w:rPr>
                <w:color w:val="000000"/>
                <w:sz w:val="18"/>
                <w:szCs w:val="18"/>
              </w:rPr>
            </w:pPr>
            <w:r w:rsidRPr="00006C39">
              <w:rPr>
                <w:color w:val="000000"/>
                <w:sz w:val="18"/>
                <w:szCs w:val="18"/>
              </w:rPr>
              <w:t>63.05</w:t>
            </w:r>
          </w:p>
        </w:tc>
        <w:tc>
          <w:tcPr>
            <w:tcW w:w="1228" w:type="dxa"/>
          </w:tcPr>
          <w:p w14:paraId="0B637EAC" w14:textId="77777777" w:rsidR="00871764" w:rsidRPr="00006C39" w:rsidRDefault="00871764" w:rsidP="00871764">
            <w:pPr>
              <w:pStyle w:val="ExhibitText"/>
              <w:jc w:val="right"/>
              <w:rPr>
                <w:color w:val="000000"/>
                <w:sz w:val="18"/>
                <w:szCs w:val="18"/>
              </w:rPr>
            </w:pPr>
            <w:r w:rsidRPr="00006C39">
              <w:rPr>
                <w:color w:val="000000"/>
                <w:sz w:val="18"/>
                <w:szCs w:val="18"/>
              </w:rPr>
              <w:t>18.26</w:t>
            </w:r>
          </w:p>
        </w:tc>
        <w:tc>
          <w:tcPr>
            <w:tcW w:w="1328" w:type="dxa"/>
          </w:tcPr>
          <w:p w14:paraId="02FF455C" w14:textId="77777777" w:rsidR="00871764" w:rsidRPr="00006C39" w:rsidRDefault="00871764" w:rsidP="00871764">
            <w:pPr>
              <w:pStyle w:val="ExhibitText"/>
              <w:jc w:val="right"/>
              <w:rPr>
                <w:color w:val="000000"/>
                <w:sz w:val="18"/>
                <w:szCs w:val="18"/>
              </w:rPr>
            </w:pPr>
            <w:r w:rsidRPr="00006C39">
              <w:rPr>
                <w:color w:val="000000"/>
                <w:sz w:val="18"/>
                <w:szCs w:val="18"/>
              </w:rPr>
              <w:t>17.32</w:t>
            </w:r>
          </w:p>
        </w:tc>
        <w:tc>
          <w:tcPr>
            <w:tcW w:w="1417" w:type="dxa"/>
          </w:tcPr>
          <w:p w14:paraId="161488BB" w14:textId="77777777" w:rsidR="00871764" w:rsidRPr="00006C39" w:rsidRDefault="00871764" w:rsidP="00871764">
            <w:pPr>
              <w:pStyle w:val="ExhibitText"/>
              <w:jc w:val="right"/>
              <w:rPr>
                <w:color w:val="000000"/>
                <w:sz w:val="18"/>
                <w:szCs w:val="18"/>
              </w:rPr>
            </w:pPr>
            <w:r w:rsidRPr="00006C39">
              <w:rPr>
                <w:color w:val="000000"/>
                <w:sz w:val="18"/>
                <w:szCs w:val="18"/>
              </w:rPr>
              <w:t>13.11</w:t>
            </w:r>
          </w:p>
        </w:tc>
        <w:tc>
          <w:tcPr>
            <w:tcW w:w="2126" w:type="dxa"/>
          </w:tcPr>
          <w:p w14:paraId="2CCE2B27" w14:textId="77777777" w:rsidR="00871764" w:rsidRPr="00006C39" w:rsidRDefault="00871764" w:rsidP="00871764">
            <w:pPr>
              <w:pStyle w:val="ExhibitText"/>
              <w:jc w:val="right"/>
              <w:rPr>
                <w:color w:val="000000"/>
                <w:sz w:val="18"/>
                <w:szCs w:val="18"/>
              </w:rPr>
            </w:pPr>
            <w:r w:rsidRPr="00006C39">
              <w:rPr>
                <w:color w:val="000000"/>
                <w:sz w:val="18"/>
                <w:szCs w:val="18"/>
              </w:rPr>
              <w:t>39,014</w:t>
            </w:r>
          </w:p>
        </w:tc>
      </w:tr>
    </w:tbl>
    <w:p w14:paraId="2FE28B66" w14:textId="77777777" w:rsidR="00871764" w:rsidRDefault="00871764" w:rsidP="00871764">
      <w:pPr>
        <w:rPr>
          <w:spacing w:val="-3"/>
          <w:sz w:val="22"/>
          <w:szCs w:val="22"/>
        </w:rPr>
      </w:pPr>
    </w:p>
    <w:p w14:paraId="210AA199" w14:textId="439C6958" w:rsidR="00871764" w:rsidRDefault="00871764" w:rsidP="00871764">
      <w:pPr>
        <w:pStyle w:val="Footnote"/>
      </w:pPr>
      <w:r>
        <w:t xml:space="preserve">Note: </w:t>
      </w:r>
      <w:r w:rsidR="004E14AE">
        <w:t xml:space="preserve">EBITDA = </w:t>
      </w:r>
      <w:r w:rsidR="00A66BA6">
        <w:t>e</w:t>
      </w:r>
      <w:r w:rsidR="004E14AE" w:rsidRPr="004E14AE">
        <w:t>arnings before interest, tax</w:t>
      </w:r>
      <w:r w:rsidR="00B6217D">
        <w:t>es</w:t>
      </w:r>
      <w:r w:rsidR="004E14AE" w:rsidRPr="004E14AE">
        <w:t>, depreciation</w:t>
      </w:r>
      <w:r w:rsidR="00A66BA6">
        <w:t>,</w:t>
      </w:r>
      <w:r w:rsidR="004E14AE" w:rsidRPr="004E14AE">
        <w:t xml:space="preserve"> and amortization</w:t>
      </w:r>
    </w:p>
    <w:p w14:paraId="2FE62062" w14:textId="2C60DCE1" w:rsidR="00871764" w:rsidRDefault="00871764" w:rsidP="00871764">
      <w:pPr>
        <w:pStyle w:val="Footnote"/>
      </w:pPr>
      <w:r>
        <w:t xml:space="preserve">Source: </w:t>
      </w:r>
      <w:r w:rsidR="0022176F">
        <w:t xml:space="preserve">“Analytics of Conviction: CRISIL Limited, Annual Report 2016,” </w:t>
      </w:r>
      <w:r w:rsidR="0022176F" w:rsidRPr="00BB6087">
        <w:rPr>
          <w:lang w:val="en-IN"/>
        </w:rPr>
        <w:t>CRISIL</w:t>
      </w:r>
      <w:r w:rsidR="0022176F">
        <w:rPr>
          <w:lang w:val="en-IN"/>
        </w:rPr>
        <w:t xml:space="preserve">: An S&amp;P Global Company, accessed August 18, 2017, </w:t>
      </w:r>
      <w:r w:rsidR="0022176F" w:rsidRPr="00F905F4">
        <w:rPr>
          <w:lang w:val="en-IN"/>
        </w:rPr>
        <w:t>https://www.crisil.com/content/dam/crisil/investors/annual-reports/2016/crisil-ar-2016-interactive.pdf</w:t>
      </w:r>
      <w:r w:rsidR="0022176F" w:rsidRPr="00BB6087">
        <w:rPr>
          <w:lang w:val="en-IN"/>
        </w:rPr>
        <w:t>.</w:t>
      </w:r>
    </w:p>
    <w:p w14:paraId="686B0C42" w14:textId="77777777" w:rsidR="00871764" w:rsidRDefault="00871764" w:rsidP="006026EA">
      <w:pPr>
        <w:pStyle w:val="Footnote"/>
      </w:pPr>
    </w:p>
    <w:p w14:paraId="173DE4E8" w14:textId="77777777" w:rsidR="00282F15" w:rsidRDefault="00282F15" w:rsidP="006026EA">
      <w:pPr>
        <w:pStyle w:val="Footnote"/>
      </w:pPr>
    </w:p>
    <w:p w14:paraId="6DC2402D" w14:textId="08942186" w:rsidR="00871764" w:rsidRDefault="00871764" w:rsidP="00871764">
      <w:pPr>
        <w:pStyle w:val="ExhibitHeading"/>
      </w:pPr>
      <w:r>
        <w:rPr>
          <w:spacing w:val="-3"/>
        </w:rPr>
        <w:t xml:space="preserve">EXHIBIT 5: </w:t>
      </w:r>
      <w:r>
        <w:t>ANNUAL EXIT DATA (2014–JULY 2017)</w:t>
      </w:r>
    </w:p>
    <w:p w14:paraId="5024F662" w14:textId="77777777" w:rsidR="00871764" w:rsidRDefault="00871764" w:rsidP="00871764">
      <w:pPr>
        <w:pStyle w:val="BodyTextMain"/>
      </w:pPr>
    </w:p>
    <w:tbl>
      <w:tblPr>
        <w:tblStyle w:val="TableGrid"/>
        <w:tblW w:w="8735" w:type="dxa"/>
        <w:jc w:val="center"/>
        <w:tblLook w:val="04A0" w:firstRow="1" w:lastRow="0" w:firstColumn="1" w:lastColumn="0" w:noHBand="0" w:noVBand="1"/>
      </w:tblPr>
      <w:tblGrid>
        <w:gridCol w:w="2879"/>
        <w:gridCol w:w="1306"/>
        <w:gridCol w:w="1306"/>
        <w:gridCol w:w="1399"/>
        <w:gridCol w:w="1845"/>
      </w:tblGrid>
      <w:tr w:rsidR="00871764" w:rsidRPr="00006C39" w14:paraId="527A2911" w14:textId="77777777" w:rsidTr="006026EA">
        <w:trPr>
          <w:trHeight w:val="231"/>
          <w:jc w:val="center"/>
        </w:trPr>
        <w:tc>
          <w:tcPr>
            <w:tcW w:w="2879" w:type="dxa"/>
          </w:tcPr>
          <w:p w14:paraId="350CE724" w14:textId="77777777" w:rsidR="00871764" w:rsidRPr="00006C39" w:rsidRDefault="00871764" w:rsidP="006026EA">
            <w:pPr>
              <w:pStyle w:val="ExhibitText"/>
              <w:jc w:val="center"/>
              <w:rPr>
                <w:b/>
                <w:sz w:val="18"/>
                <w:szCs w:val="18"/>
              </w:rPr>
            </w:pPr>
            <w:r w:rsidRPr="00006C39">
              <w:rPr>
                <w:b/>
                <w:sz w:val="18"/>
                <w:szCs w:val="18"/>
              </w:rPr>
              <w:t>Duration of Stay</w:t>
            </w:r>
          </w:p>
        </w:tc>
        <w:tc>
          <w:tcPr>
            <w:tcW w:w="1306" w:type="dxa"/>
            <w:noWrap/>
            <w:hideMark/>
          </w:tcPr>
          <w:p w14:paraId="4B0C2C3D" w14:textId="77777777" w:rsidR="00871764" w:rsidRPr="00006C39" w:rsidRDefault="00871764" w:rsidP="00FD6AA7">
            <w:pPr>
              <w:pStyle w:val="ExhibitText"/>
              <w:jc w:val="center"/>
              <w:rPr>
                <w:b/>
                <w:sz w:val="18"/>
                <w:szCs w:val="18"/>
              </w:rPr>
            </w:pPr>
            <w:r w:rsidRPr="00006C39">
              <w:rPr>
                <w:b/>
                <w:sz w:val="18"/>
                <w:szCs w:val="18"/>
              </w:rPr>
              <w:t>2014</w:t>
            </w:r>
          </w:p>
        </w:tc>
        <w:tc>
          <w:tcPr>
            <w:tcW w:w="1306" w:type="dxa"/>
            <w:noWrap/>
            <w:hideMark/>
          </w:tcPr>
          <w:p w14:paraId="2D0A0A09" w14:textId="77777777" w:rsidR="00871764" w:rsidRPr="00006C39" w:rsidRDefault="00871764" w:rsidP="00922772">
            <w:pPr>
              <w:pStyle w:val="ExhibitText"/>
              <w:jc w:val="center"/>
              <w:rPr>
                <w:b/>
                <w:sz w:val="18"/>
                <w:szCs w:val="18"/>
              </w:rPr>
            </w:pPr>
            <w:r w:rsidRPr="00006C39">
              <w:rPr>
                <w:b/>
                <w:sz w:val="18"/>
                <w:szCs w:val="18"/>
              </w:rPr>
              <w:t>2015</w:t>
            </w:r>
          </w:p>
        </w:tc>
        <w:tc>
          <w:tcPr>
            <w:tcW w:w="1399" w:type="dxa"/>
            <w:noWrap/>
            <w:hideMark/>
          </w:tcPr>
          <w:p w14:paraId="752FC7FE" w14:textId="77777777" w:rsidR="00871764" w:rsidRPr="00006C39" w:rsidRDefault="00871764" w:rsidP="003907E3">
            <w:pPr>
              <w:pStyle w:val="ExhibitText"/>
              <w:jc w:val="center"/>
              <w:rPr>
                <w:b/>
                <w:sz w:val="18"/>
                <w:szCs w:val="18"/>
              </w:rPr>
            </w:pPr>
            <w:r w:rsidRPr="00006C39">
              <w:rPr>
                <w:b/>
                <w:sz w:val="18"/>
                <w:szCs w:val="18"/>
              </w:rPr>
              <w:t>2016</w:t>
            </w:r>
          </w:p>
        </w:tc>
        <w:tc>
          <w:tcPr>
            <w:tcW w:w="1845" w:type="dxa"/>
            <w:noWrap/>
            <w:hideMark/>
          </w:tcPr>
          <w:p w14:paraId="45185B7A" w14:textId="08D27E2D" w:rsidR="00871764" w:rsidRPr="00006C39" w:rsidRDefault="00FD6AA7" w:rsidP="003907E3">
            <w:pPr>
              <w:pStyle w:val="ExhibitText"/>
              <w:jc w:val="center"/>
              <w:rPr>
                <w:b/>
                <w:sz w:val="18"/>
                <w:szCs w:val="18"/>
              </w:rPr>
            </w:pPr>
            <w:r>
              <w:rPr>
                <w:b/>
                <w:sz w:val="18"/>
                <w:szCs w:val="18"/>
              </w:rPr>
              <w:t>January–</w:t>
            </w:r>
            <w:r w:rsidR="00871764" w:rsidRPr="00006C39">
              <w:rPr>
                <w:b/>
                <w:sz w:val="18"/>
                <w:szCs w:val="18"/>
              </w:rPr>
              <w:t>July 2017</w:t>
            </w:r>
          </w:p>
        </w:tc>
      </w:tr>
      <w:tr w:rsidR="00871764" w:rsidRPr="00006C39" w14:paraId="4B41F470" w14:textId="77777777" w:rsidTr="006026EA">
        <w:trPr>
          <w:trHeight w:val="231"/>
          <w:jc w:val="center"/>
        </w:trPr>
        <w:tc>
          <w:tcPr>
            <w:tcW w:w="2879" w:type="dxa"/>
          </w:tcPr>
          <w:p w14:paraId="33865189" w14:textId="77777777" w:rsidR="00871764" w:rsidRPr="00006C39" w:rsidRDefault="00871764" w:rsidP="00871764">
            <w:pPr>
              <w:pStyle w:val="ExhibitText"/>
              <w:rPr>
                <w:sz w:val="18"/>
                <w:szCs w:val="18"/>
              </w:rPr>
            </w:pPr>
            <w:r w:rsidRPr="00006C39">
              <w:rPr>
                <w:sz w:val="18"/>
                <w:szCs w:val="18"/>
              </w:rPr>
              <w:t>Less than one year</w:t>
            </w:r>
          </w:p>
        </w:tc>
        <w:tc>
          <w:tcPr>
            <w:tcW w:w="1306" w:type="dxa"/>
            <w:noWrap/>
          </w:tcPr>
          <w:p w14:paraId="42F2BEE0" w14:textId="77777777" w:rsidR="00871764" w:rsidRPr="00006C39" w:rsidRDefault="00871764" w:rsidP="00871764">
            <w:pPr>
              <w:pStyle w:val="ExhibitText"/>
              <w:jc w:val="right"/>
              <w:rPr>
                <w:sz w:val="18"/>
                <w:szCs w:val="18"/>
                <w:lang w:val="en-IN" w:eastAsia="en-IN"/>
              </w:rPr>
            </w:pPr>
            <w:r w:rsidRPr="00006C39">
              <w:rPr>
                <w:sz w:val="18"/>
                <w:szCs w:val="18"/>
              </w:rPr>
              <w:t>344</w:t>
            </w:r>
          </w:p>
        </w:tc>
        <w:tc>
          <w:tcPr>
            <w:tcW w:w="1306" w:type="dxa"/>
            <w:noWrap/>
          </w:tcPr>
          <w:p w14:paraId="75916380" w14:textId="77777777" w:rsidR="00871764" w:rsidRPr="00006C39" w:rsidRDefault="00871764" w:rsidP="00871764">
            <w:pPr>
              <w:pStyle w:val="ExhibitText"/>
              <w:jc w:val="right"/>
              <w:rPr>
                <w:sz w:val="18"/>
                <w:szCs w:val="18"/>
              </w:rPr>
            </w:pPr>
            <w:r w:rsidRPr="00006C39">
              <w:rPr>
                <w:sz w:val="18"/>
                <w:szCs w:val="18"/>
              </w:rPr>
              <w:t>331</w:t>
            </w:r>
          </w:p>
        </w:tc>
        <w:tc>
          <w:tcPr>
            <w:tcW w:w="1399" w:type="dxa"/>
            <w:noWrap/>
          </w:tcPr>
          <w:p w14:paraId="65A31451" w14:textId="77777777" w:rsidR="00871764" w:rsidRPr="00006C39" w:rsidRDefault="00871764" w:rsidP="00871764">
            <w:pPr>
              <w:pStyle w:val="ExhibitText"/>
              <w:jc w:val="right"/>
              <w:rPr>
                <w:sz w:val="18"/>
                <w:szCs w:val="18"/>
              </w:rPr>
            </w:pPr>
            <w:r w:rsidRPr="00006C39">
              <w:rPr>
                <w:sz w:val="18"/>
                <w:szCs w:val="18"/>
              </w:rPr>
              <w:t>320</w:t>
            </w:r>
          </w:p>
        </w:tc>
        <w:tc>
          <w:tcPr>
            <w:tcW w:w="1845" w:type="dxa"/>
            <w:noWrap/>
          </w:tcPr>
          <w:p w14:paraId="3C4F5A24" w14:textId="77777777" w:rsidR="00871764" w:rsidRPr="00006C39" w:rsidRDefault="00871764" w:rsidP="00871764">
            <w:pPr>
              <w:pStyle w:val="ExhibitText"/>
              <w:jc w:val="right"/>
              <w:rPr>
                <w:sz w:val="18"/>
                <w:szCs w:val="18"/>
              </w:rPr>
            </w:pPr>
            <w:r w:rsidRPr="00006C39">
              <w:rPr>
                <w:sz w:val="18"/>
                <w:szCs w:val="18"/>
              </w:rPr>
              <w:t>150</w:t>
            </w:r>
          </w:p>
        </w:tc>
      </w:tr>
      <w:tr w:rsidR="00871764" w:rsidRPr="00006C39" w14:paraId="1FE8C688" w14:textId="77777777" w:rsidTr="006026EA">
        <w:trPr>
          <w:trHeight w:val="231"/>
          <w:jc w:val="center"/>
        </w:trPr>
        <w:tc>
          <w:tcPr>
            <w:tcW w:w="2879" w:type="dxa"/>
          </w:tcPr>
          <w:p w14:paraId="3C4B52F7" w14:textId="2A9827F7" w:rsidR="00871764" w:rsidRPr="00006C39" w:rsidRDefault="00871764" w:rsidP="00FD6AA7">
            <w:pPr>
              <w:pStyle w:val="ExhibitText"/>
              <w:rPr>
                <w:sz w:val="18"/>
                <w:szCs w:val="18"/>
              </w:rPr>
            </w:pPr>
            <w:r w:rsidRPr="00006C39">
              <w:rPr>
                <w:sz w:val="18"/>
                <w:szCs w:val="18"/>
              </w:rPr>
              <w:t>1</w:t>
            </w:r>
            <w:r w:rsidR="00FD6AA7">
              <w:rPr>
                <w:sz w:val="18"/>
                <w:szCs w:val="18"/>
              </w:rPr>
              <w:t>–</w:t>
            </w:r>
            <w:r w:rsidRPr="00006C39">
              <w:rPr>
                <w:sz w:val="18"/>
                <w:szCs w:val="18"/>
              </w:rPr>
              <w:t xml:space="preserve">3 </w:t>
            </w:r>
            <w:r w:rsidR="00FD6AA7">
              <w:rPr>
                <w:sz w:val="18"/>
                <w:szCs w:val="18"/>
              </w:rPr>
              <w:t>y</w:t>
            </w:r>
            <w:r w:rsidRPr="00006C39">
              <w:rPr>
                <w:sz w:val="18"/>
                <w:szCs w:val="18"/>
              </w:rPr>
              <w:t>ear</w:t>
            </w:r>
            <w:r w:rsidR="00FD6AA7">
              <w:rPr>
                <w:sz w:val="18"/>
                <w:szCs w:val="18"/>
              </w:rPr>
              <w:t>s</w:t>
            </w:r>
          </w:p>
        </w:tc>
        <w:tc>
          <w:tcPr>
            <w:tcW w:w="1306" w:type="dxa"/>
            <w:noWrap/>
          </w:tcPr>
          <w:p w14:paraId="30BAA53F" w14:textId="77777777" w:rsidR="00871764" w:rsidRPr="00006C39" w:rsidRDefault="00871764" w:rsidP="00871764">
            <w:pPr>
              <w:pStyle w:val="ExhibitText"/>
              <w:jc w:val="right"/>
              <w:rPr>
                <w:sz w:val="18"/>
                <w:szCs w:val="18"/>
                <w:lang w:val="en-IN" w:eastAsia="en-IN"/>
              </w:rPr>
            </w:pPr>
            <w:r w:rsidRPr="00006C39">
              <w:rPr>
                <w:sz w:val="18"/>
                <w:szCs w:val="18"/>
              </w:rPr>
              <w:t>304</w:t>
            </w:r>
          </w:p>
        </w:tc>
        <w:tc>
          <w:tcPr>
            <w:tcW w:w="1306" w:type="dxa"/>
            <w:noWrap/>
          </w:tcPr>
          <w:p w14:paraId="036241B9" w14:textId="77777777" w:rsidR="00871764" w:rsidRPr="00006C39" w:rsidRDefault="00871764" w:rsidP="00871764">
            <w:pPr>
              <w:pStyle w:val="ExhibitText"/>
              <w:jc w:val="right"/>
              <w:rPr>
                <w:sz w:val="18"/>
                <w:szCs w:val="18"/>
              </w:rPr>
            </w:pPr>
            <w:r w:rsidRPr="00006C39">
              <w:rPr>
                <w:sz w:val="18"/>
                <w:szCs w:val="18"/>
              </w:rPr>
              <w:t>280</w:t>
            </w:r>
          </w:p>
        </w:tc>
        <w:tc>
          <w:tcPr>
            <w:tcW w:w="1399" w:type="dxa"/>
            <w:noWrap/>
          </w:tcPr>
          <w:p w14:paraId="6B8015E5" w14:textId="77777777" w:rsidR="00871764" w:rsidRPr="00006C39" w:rsidRDefault="00871764" w:rsidP="00871764">
            <w:pPr>
              <w:pStyle w:val="ExhibitText"/>
              <w:jc w:val="right"/>
              <w:rPr>
                <w:sz w:val="18"/>
                <w:szCs w:val="18"/>
              </w:rPr>
            </w:pPr>
            <w:r w:rsidRPr="00006C39">
              <w:rPr>
                <w:sz w:val="18"/>
                <w:szCs w:val="18"/>
              </w:rPr>
              <w:t>235</w:t>
            </w:r>
          </w:p>
        </w:tc>
        <w:tc>
          <w:tcPr>
            <w:tcW w:w="1845" w:type="dxa"/>
            <w:noWrap/>
          </w:tcPr>
          <w:p w14:paraId="2BD4DB2B" w14:textId="77777777" w:rsidR="00871764" w:rsidRPr="00006C39" w:rsidRDefault="00871764" w:rsidP="00871764">
            <w:pPr>
              <w:pStyle w:val="ExhibitText"/>
              <w:jc w:val="right"/>
              <w:rPr>
                <w:sz w:val="18"/>
                <w:szCs w:val="18"/>
              </w:rPr>
            </w:pPr>
            <w:r w:rsidRPr="00006C39">
              <w:rPr>
                <w:sz w:val="18"/>
                <w:szCs w:val="18"/>
              </w:rPr>
              <w:t>133</w:t>
            </w:r>
          </w:p>
        </w:tc>
      </w:tr>
      <w:tr w:rsidR="00871764" w:rsidRPr="00006C39" w14:paraId="1ECE94B0" w14:textId="77777777" w:rsidTr="006026EA">
        <w:trPr>
          <w:trHeight w:val="231"/>
          <w:jc w:val="center"/>
        </w:trPr>
        <w:tc>
          <w:tcPr>
            <w:tcW w:w="2879" w:type="dxa"/>
          </w:tcPr>
          <w:p w14:paraId="401514F1" w14:textId="3DAF4FFE" w:rsidR="00871764" w:rsidRPr="00006C39" w:rsidRDefault="00871764" w:rsidP="00FD6AA7">
            <w:pPr>
              <w:pStyle w:val="ExhibitText"/>
              <w:rPr>
                <w:sz w:val="18"/>
                <w:szCs w:val="18"/>
              </w:rPr>
            </w:pPr>
            <w:r w:rsidRPr="00006C39">
              <w:rPr>
                <w:sz w:val="18"/>
                <w:szCs w:val="18"/>
              </w:rPr>
              <w:t>3</w:t>
            </w:r>
            <w:r w:rsidR="00FD6AA7">
              <w:rPr>
                <w:sz w:val="18"/>
                <w:szCs w:val="18"/>
              </w:rPr>
              <w:t>–</w:t>
            </w:r>
            <w:r w:rsidRPr="00006C39">
              <w:rPr>
                <w:sz w:val="18"/>
                <w:szCs w:val="18"/>
              </w:rPr>
              <w:t xml:space="preserve">5 </w:t>
            </w:r>
            <w:r w:rsidR="00FD6AA7">
              <w:rPr>
                <w:sz w:val="18"/>
                <w:szCs w:val="18"/>
              </w:rPr>
              <w:t>y</w:t>
            </w:r>
            <w:r w:rsidRPr="00006C39">
              <w:rPr>
                <w:sz w:val="18"/>
                <w:szCs w:val="18"/>
              </w:rPr>
              <w:t>ear</w:t>
            </w:r>
            <w:r w:rsidR="00FD6AA7">
              <w:rPr>
                <w:sz w:val="18"/>
                <w:szCs w:val="18"/>
              </w:rPr>
              <w:t>s</w:t>
            </w:r>
          </w:p>
        </w:tc>
        <w:tc>
          <w:tcPr>
            <w:tcW w:w="1306" w:type="dxa"/>
            <w:noWrap/>
          </w:tcPr>
          <w:p w14:paraId="03D12A9C" w14:textId="77777777" w:rsidR="00871764" w:rsidRPr="00006C39" w:rsidRDefault="00871764" w:rsidP="00871764">
            <w:pPr>
              <w:pStyle w:val="ExhibitText"/>
              <w:jc w:val="right"/>
              <w:rPr>
                <w:sz w:val="18"/>
                <w:szCs w:val="18"/>
                <w:lang w:val="en-IN" w:eastAsia="en-IN"/>
              </w:rPr>
            </w:pPr>
            <w:r w:rsidRPr="00006C39">
              <w:rPr>
                <w:sz w:val="18"/>
                <w:szCs w:val="18"/>
              </w:rPr>
              <w:t>210</w:t>
            </w:r>
          </w:p>
        </w:tc>
        <w:tc>
          <w:tcPr>
            <w:tcW w:w="1306" w:type="dxa"/>
            <w:noWrap/>
          </w:tcPr>
          <w:p w14:paraId="0A5C59F9" w14:textId="77777777" w:rsidR="00871764" w:rsidRPr="00006C39" w:rsidRDefault="00871764" w:rsidP="00871764">
            <w:pPr>
              <w:pStyle w:val="ExhibitText"/>
              <w:jc w:val="right"/>
              <w:rPr>
                <w:sz w:val="18"/>
                <w:szCs w:val="18"/>
              </w:rPr>
            </w:pPr>
            <w:r w:rsidRPr="00006C39">
              <w:rPr>
                <w:sz w:val="18"/>
                <w:szCs w:val="18"/>
              </w:rPr>
              <w:t>230</w:t>
            </w:r>
          </w:p>
        </w:tc>
        <w:tc>
          <w:tcPr>
            <w:tcW w:w="1399" w:type="dxa"/>
            <w:noWrap/>
          </w:tcPr>
          <w:p w14:paraId="13F45AE2" w14:textId="77777777" w:rsidR="00871764" w:rsidRPr="00006C39" w:rsidRDefault="00871764" w:rsidP="00871764">
            <w:pPr>
              <w:pStyle w:val="ExhibitText"/>
              <w:jc w:val="right"/>
              <w:rPr>
                <w:sz w:val="18"/>
                <w:szCs w:val="18"/>
              </w:rPr>
            </w:pPr>
            <w:r w:rsidRPr="00006C39">
              <w:rPr>
                <w:sz w:val="18"/>
                <w:szCs w:val="18"/>
              </w:rPr>
              <w:t>190</w:t>
            </w:r>
          </w:p>
        </w:tc>
        <w:tc>
          <w:tcPr>
            <w:tcW w:w="1845" w:type="dxa"/>
            <w:noWrap/>
          </w:tcPr>
          <w:p w14:paraId="204F5723" w14:textId="77777777" w:rsidR="00871764" w:rsidRPr="00006C39" w:rsidRDefault="00871764" w:rsidP="00871764">
            <w:pPr>
              <w:pStyle w:val="ExhibitText"/>
              <w:jc w:val="right"/>
              <w:rPr>
                <w:sz w:val="18"/>
                <w:szCs w:val="18"/>
              </w:rPr>
            </w:pPr>
            <w:r w:rsidRPr="00006C39">
              <w:rPr>
                <w:sz w:val="18"/>
                <w:szCs w:val="18"/>
              </w:rPr>
              <w:t>98</w:t>
            </w:r>
          </w:p>
        </w:tc>
      </w:tr>
      <w:tr w:rsidR="00871764" w:rsidRPr="00006C39" w14:paraId="7E9301AD" w14:textId="77777777" w:rsidTr="006026EA">
        <w:trPr>
          <w:trHeight w:val="231"/>
          <w:jc w:val="center"/>
        </w:trPr>
        <w:tc>
          <w:tcPr>
            <w:tcW w:w="2879" w:type="dxa"/>
          </w:tcPr>
          <w:p w14:paraId="762AD589" w14:textId="099CA68F" w:rsidR="00871764" w:rsidRPr="00006C39" w:rsidRDefault="00871764" w:rsidP="00FD6AA7">
            <w:pPr>
              <w:pStyle w:val="ExhibitText"/>
              <w:rPr>
                <w:sz w:val="18"/>
                <w:szCs w:val="18"/>
              </w:rPr>
            </w:pPr>
            <w:r w:rsidRPr="00006C39">
              <w:rPr>
                <w:sz w:val="18"/>
                <w:szCs w:val="18"/>
              </w:rPr>
              <w:t xml:space="preserve">More than 5 </w:t>
            </w:r>
            <w:r w:rsidR="00FD6AA7">
              <w:rPr>
                <w:sz w:val="18"/>
                <w:szCs w:val="18"/>
              </w:rPr>
              <w:t>y</w:t>
            </w:r>
            <w:r w:rsidRPr="00006C39">
              <w:rPr>
                <w:sz w:val="18"/>
                <w:szCs w:val="18"/>
              </w:rPr>
              <w:t>ear</w:t>
            </w:r>
            <w:r w:rsidR="00FD6AA7">
              <w:rPr>
                <w:sz w:val="18"/>
                <w:szCs w:val="18"/>
              </w:rPr>
              <w:t>s</w:t>
            </w:r>
          </w:p>
        </w:tc>
        <w:tc>
          <w:tcPr>
            <w:tcW w:w="1306" w:type="dxa"/>
            <w:noWrap/>
            <w:hideMark/>
          </w:tcPr>
          <w:p w14:paraId="644EF269" w14:textId="77777777" w:rsidR="00871764" w:rsidRPr="00006C39" w:rsidRDefault="00871764" w:rsidP="00871764">
            <w:pPr>
              <w:pStyle w:val="ExhibitText"/>
              <w:jc w:val="right"/>
              <w:rPr>
                <w:sz w:val="18"/>
                <w:szCs w:val="18"/>
              </w:rPr>
            </w:pPr>
            <w:r w:rsidRPr="00006C39">
              <w:rPr>
                <w:sz w:val="18"/>
                <w:szCs w:val="18"/>
              </w:rPr>
              <w:t>134</w:t>
            </w:r>
          </w:p>
        </w:tc>
        <w:tc>
          <w:tcPr>
            <w:tcW w:w="1306" w:type="dxa"/>
            <w:noWrap/>
            <w:hideMark/>
          </w:tcPr>
          <w:p w14:paraId="43B699E9" w14:textId="77777777" w:rsidR="00871764" w:rsidRPr="00006C39" w:rsidRDefault="00871764" w:rsidP="00871764">
            <w:pPr>
              <w:pStyle w:val="ExhibitText"/>
              <w:jc w:val="right"/>
              <w:rPr>
                <w:sz w:val="18"/>
                <w:szCs w:val="18"/>
              </w:rPr>
            </w:pPr>
            <w:r w:rsidRPr="00006C39">
              <w:rPr>
                <w:sz w:val="18"/>
                <w:szCs w:val="18"/>
              </w:rPr>
              <w:t>116</w:t>
            </w:r>
          </w:p>
        </w:tc>
        <w:tc>
          <w:tcPr>
            <w:tcW w:w="1399" w:type="dxa"/>
            <w:noWrap/>
            <w:hideMark/>
          </w:tcPr>
          <w:p w14:paraId="4F3B4B79" w14:textId="77777777" w:rsidR="00871764" w:rsidRPr="00006C39" w:rsidRDefault="00871764" w:rsidP="00871764">
            <w:pPr>
              <w:pStyle w:val="ExhibitText"/>
              <w:jc w:val="right"/>
              <w:rPr>
                <w:sz w:val="18"/>
                <w:szCs w:val="18"/>
              </w:rPr>
            </w:pPr>
            <w:r w:rsidRPr="00006C39">
              <w:rPr>
                <w:sz w:val="18"/>
                <w:szCs w:val="18"/>
              </w:rPr>
              <w:t>111</w:t>
            </w:r>
          </w:p>
        </w:tc>
        <w:tc>
          <w:tcPr>
            <w:tcW w:w="1845" w:type="dxa"/>
            <w:noWrap/>
            <w:hideMark/>
          </w:tcPr>
          <w:p w14:paraId="30CB33E7" w14:textId="77777777" w:rsidR="00871764" w:rsidRPr="00006C39" w:rsidRDefault="00871764" w:rsidP="00871764">
            <w:pPr>
              <w:pStyle w:val="ExhibitText"/>
              <w:jc w:val="right"/>
              <w:rPr>
                <w:sz w:val="18"/>
                <w:szCs w:val="18"/>
              </w:rPr>
            </w:pPr>
            <w:r w:rsidRPr="00006C39">
              <w:rPr>
                <w:sz w:val="18"/>
                <w:szCs w:val="18"/>
              </w:rPr>
              <w:t>44</w:t>
            </w:r>
          </w:p>
        </w:tc>
      </w:tr>
      <w:tr w:rsidR="00871764" w:rsidRPr="00006C39" w14:paraId="30BFA6BC" w14:textId="77777777" w:rsidTr="006026EA">
        <w:trPr>
          <w:trHeight w:val="231"/>
          <w:jc w:val="center"/>
        </w:trPr>
        <w:tc>
          <w:tcPr>
            <w:tcW w:w="2879" w:type="dxa"/>
          </w:tcPr>
          <w:p w14:paraId="68B4451A" w14:textId="5B716EB7" w:rsidR="00871764" w:rsidRPr="00006C39" w:rsidRDefault="00871764" w:rsidP="00FD6AA7">
            <w:pPr>
              <w:pStyle w:val="ExhibitText"/>
              <w:rPr>
                <w:sz w:val="18"/>
                <w:szCs w:val="18"/>
              </w:rPr>
            </w:pPr>
            <w:r w:rsidRPr="00006C39">
              <w:rPr>
                <w:sz w:val="18"/>
                <w:szCs w:val="18"/>
              </w:rPr>
              <w:t>Total (</w:t>
            </w:r>
            <w:r w:rsidR="00FD6AA7">
              <w:rPr>
                <w:sz w:val="18"/>
                <w:szCs w:val="18"/>
              </w:rPr>
              <w:t>t</w:t>
            </w:r>
            <w:r w:rsidRPr="00006C39">
              <w:rPr>
                <w:sz w:val="18"/>
                <w:szCs w:val="18"/>
              </w:rPr>
              <w:t xml:space="preserve">otal </w:t>
            </w:r>
            <w:r w:rsidR="00FD6AA7">
              <w:rPr>
                <w:sz w:val="18"/>
                <w:szCs w:val="18"/>
              </w:rPr>
              <w:t>h</w:t>
            </w:r>
            <w:r w:rsidRPr="00006C39">
              <w:rPr>
                <w:sz w:val="18"/>
                <w:szCs w:val="18"/>
              </w:rPr>
              <w:t>ead</w:t>
            </w:r>
            <w:r w:rsidR="00FD6AA7">
              <w:rPr>
                <w:sz w:val="18"/>
                <w:szCs w:val="18"/>
              </w:rPr>
              <w:t xml:space="preserve"> </w:t>
            </w:r>
            <w:r w:rsidRPr="00006C39">
              <w:rPr>
                <w:sz w:val="18"/>
                <w:szCs w:val="18"/>
              </w:rPr>
              <w:t>count</w:t>
            </w:r>
            <w:r w:rsidR="00FD6AA7">
              <w:rPr>
                <w:sz w:val="18"/>
                <w:szCs w:val="18"/>
              </w:rPr>
              <w:t xml:space="preserve"> number</w:t>
            </w:r>
            <w:r w:rsidRPr="00006C39">
              <w:rPr>
                <w:sz w:val="18"/>
                <w:szCs w:val="18"/>
              </w:rPr>
              <w:t>)</w:t>
            </w:r>
          </w:p>
        </w:tc>
        <w:tc>
          <w:tcPr>
            <w:tcW w:w="1306" w:type="dxa"/>
            <w:noWrap/>
            <w:hideMark/>
          </w:tcPr>
          <w:p w14:paraId="66CBEF01" w14:textId="53C0CE7E" w:rsidR="00871764" w:rsidRPr="00006C39" w:rsidRDefault="00871764" w:rsidP="00871764">
            <w:pPr>
              <w:pStyle w:val="ExhibitText"/>
              <w:jc w:val="right"/>
              <w:rPr>
                <w:sz w:val="18"/>
                <w:szCs w:val="18"/>
              </w:rPr>
            </w:pPr>
            <w:r w:rsidRPr="00006C39">
              <w:rPr>
                <w:sz w:val="18"/>
                <w:szCs w:val="18"/>
              </w:rPr>
              <w:t>992 (3</w:t>
            </w:r>
            <w:r w:rsidR="00FD6AA7">
              <w:rPr>
                <w:sz w:val="18"/>
                <w:szCs w:val="18"/>
              </w:rPr>
              <w:t>,</w:t>
            </w:r>
            <w:r w:rsidRPr="00006C39">
              <w:rPr>
                <w:sz w:val="18"/>
                <w:szCs w:val="18"/>
              </w:rPr>
              <w:t>522)</w:t>
            </w:r>
          </w:p>
        </w:tc>
        <w:tc>
          <w:tcPr>
            <w:tcW w:w="1306" w:type="dxa"/>
            <w:noWrap/>
            <w:hideMark/>
          </w:tcPr>
          <w:p w14:paraId="389CDD2B" w14:textId="26BE968F" w:rsidR="00871764" w:rsidRPr="00006C39" w:rsidRDefault="00871764" w:rsidP="00871764">
            <w:pPr>
              <w:pStyle w:val="ExhibitText"/>
              <w:jc w:val="right"/>
              <w:rPr>
                <w:sz w:val="18"/>
                <w:szCs w:val="18"/>
              </w:rPr>
            </w:pPr>
            <w:r w:rsidRPr="00006C39">
              <w:rPr>
                <w:sz w:val="18"/>
                <w:szCs w:val="18"/>
              </w:rPr>
              <w:t>957 (3</w:t>
            </w:r>
            <w:r w:rsidR="00FD6AA7">
              <w:rPr>
                <w:sz w:val="18"/>
                <w:szCs w:val="18"/>
              </w:rPr>
              <w:t>,</w:t>
            </w:r>
            <w:r w:rsidRPr="00006C39">
              <w:rPr>
                <w:sz w:val="18"/>
                <w:szCs w:val="18"/>
              </w:rPr>
              <w:t>753)</w:t>
            </w:r>
          </w:p>
        </w:tc>
        <w:tc>
          <w:tcPr>
            <w:tcW w:w="1399" w:type="dxa"/>
            <w:noWrap/>
            <w:hideMark/>
          </w:tcPr>
          <w:p w14:paraId="74DD925C" w14:textId="78A2BD2B" w:rsidR="00871764" w:rsidRPr="00006C39" w:rsidRDefault="00871764" w:rsidP="00871764">
            <w:pPr>
              <w:pStyle w:val="ExhibitText"/>
              <w:jc w:val="right"/>
              <w:rPr>
                <w:sz w:val="18"/>
                <w:szCs w:val="18"/>
              </w:rPr>
            </w:pPr>
            <w:r w:rsidRPr="00006C39">
              <w:rPr>
                <w:sz w:val="18"/>
                <w:szCs w:val="18"/>
              </w:rPr>
              <w:t>856 (3</w:t>
            </w:r>
            <w:r w:rsidR="00FD6AA7">
              <w:rPr>
                <w:sz w:val="18"/>
                <w:szCs w:val="18"/>
              </w:rPr>
              <w:t>,</w:t>
            </w:r>
            <w:r w:rsidRPr="00006C39">
              <w:rPr>
                <w:sz w:val="18"/>
                <w:szCs w:val="18"/>
              </w:rPr>
              <w:t>972)</w:t>
            </w:r>
          </w:p>
        </w:tc>
        <w:tc>
          <w:tcPr>
            <w:tcW w:w="1845" w:type="dxa"/>
            <w:noWrap/>
            <w:hideMark/>
          </w:tcPr>
          <w:p w14:paraId="7344C828" w14:textId="164016EE" w:rsidR="00871764" w:rsidRPr="00006C39" w:rsidRDefault="00871764" w:rsidP="00871764">
            <w:pPr>
              <w:pStyle w:val="ExhibitText"/>
              <w:jc w:val="right"/>
              <w:rPr>
                <w:sz w:val="18"/>
                <w:szCs w:val="18"/>
              </w:rPr>
            </w:pPr>
            <w:r w:rsidRPr="00006C39">
              <w:rPr>
                <w:sz w:val="18"/>
                <w:szCs w:val="18"/>
              </w:rPr>
              <w:t>425 (3</w:t>
            </w:r>
            <w:r w:rsidR="00FD6AA7">
              <w:rPr>
                <w:sz w:val="18"/>
                <w:szCs w:val="18"/>
              </w:rPr>
              <w:t>,</w:t>
            </w:r>
            <w:r w:rsidRPr="00006C39">
              <w:rPr>
                <w:sz w:val="18"/>
                <w:szCs w:val="18"/>
              </w:rPr>
              <w:t>950)</w:t>
            </w:r>
          </w:p>
        </w:tc>
      </w:tr>
      <w:tr w:rsidR="00871764" w:rsidRPr="00006C39" w14:paraId="5E155383" w14:textId="77777777" w:rsidTr="006026EA">
        <w:trPr>
          <w:trHeight w:val="231"/>
          <w:jc w:val="center"/>
        </w:trPr>
        <w:tc>
          <w:tcPr>
            <w:tcW w:w="2879" w:type="dxa"/>
          </w:tcPr>
          <w:p w14:paraId="436C4C0B" w14:textId="4B31B372" w:rsidR="00871764" w:rsidRPr="006026EA" w:rsidRDefault="00871764" w:rsidP="006026EA">
            <w:pPr>
              <w:pStyle w:val="ExhibitText"/>
              <w:jc w:val="center"/>
              <w:rPr>
                <w:b/>
                <w:sz w:val="18"/>
                <w:szCs w:val="18"/>
              </w:rPr>
            </w:pPr>
            <w:r w:rsidRPr="006026EA">
              <w:rPr>
                <w:b/>
                <w:sz w:val="18"/>
                <w:szCs w:val="18"/>
              </w:rPr>
              <w:t xml:space="preserve">Reasons </w:t>
            </w:r>
            <w:r w:rsidR="00FD6AA7" w:rsidRPr="006026EA">
              <w:rPr>
                <w:b/>
                <w:sz w:val="18"/>
                <w:szCs w:val="18"/>
              </w:rPr>
              <w:t>for</w:t>
            </w:r>
            <w:r w:rsidRPr="006026EA">
              <w:rPr>
                <w:b/>
                <w:sz w:val="18"/>
                <w:szCs w:val="18"/>
              </w:rPr>
              <w:t xml:space="preserve"> Attrition</w:t>
            </w:r>
          </w:p>
        </w:tc>
        <w:tc>
          <w:tcPr>
            <w:tcW w:w="1306" w:type="dxa"/>
            <w:noWrap/>
          </w:tcPr>
          <w:p w14:paraId="2CAE225B" w14:textId="77777777" w:rsidR="00871764" w:rsidRPr="006026EA" w:rsidRDefault="00871764" w:rsidP="006026EA">
            <w:pPr>
              <w:pStyle w:val="ExhibitText"/>
              <w:jc w:val="center"/>
              <w:rPr>
                <w:b/>
                <w:sz w:val="18"/>
                <w:szCs w:val="18"/>
              </w:rPr>
            </w:pPr>
            <w:r w:rsidRPr="006026EA">
              <w:rPr>
                <w:b/>
                <w:sz w:val="18"/>
                <w:szCs w:val="18"/>
              </w:rPr>
              <w:t>2014</w:t>
            </w:r>
          </w:p>
        </w:tc>
        <w:tc>
          <w:tcPr>
            <w:tcW w:w="1306" w:type="dxa"/>
            <w:noWrap/>
          </w:tcPr>
          <w:p w14:paraId="2F68C72A" w14:textId="77777777" w:rsidR="00871764" w:rsidRPr="006026EA" w:rsidRDefault="00871764" w:rsidP="006026EA">
            <w:pPr>
              <w:pStyle w:val="ExhibitText"/>
              <w:jc w:val="center"/>
              <w:rPr>
                <w:b/>
                <w:sz w:val="18"/>
                <w:szCs w:val="18"/>
              </w:rPr>
            </w:pPr>
            <w:r w:rsidRPr="006026EA">
              <w:rPr>
                <w:b/>
                <w:sz w:val="18"/>
                <w:szCs w:val="18"/>
              </w:rPr>
              <w:t>2015</w:t>
            </w:r>
          </w:p>
        </w:tc>
        <w:tc>
          <w:tcPr>
            <w:tcW w:w="1399" w:type="dxa"/>
            <w:noWrap/>
          </w:tcPr>
          <w:p w14:paraId="61AD6262" w14:textId="77777777" w:rsidR="00871764" w:rsidRPr="006026EA" w:rsidRDefault="00871764" w:rsidP="006026EA">
            <w:pPr>
              <w:pStyle w:val="ExhibitText"/>
              <w:jc w:val="center"/>
              <w:rPr>
                <w:b/>
                <w:sz w:val="18"/>
                <w:szCs w:val="18"/>
              </w:rPr>
            </w:pPr>
            <w:r w:rsidRPr="006026EA">
              <w:rPr>
                <w:b/>
                <w:sz w:val="18"/>
                <w:szCs w:val="18"/>
              </w:rPr>
              <w:t>2016</w:t>
            </w:r>
          </w:p>
        </w:tc>
        <w:tc>
          <w:tcPr>
            <w:tcW w:w="1845" w:type="dxa"/>
            <w:noWrap/>
          </w:tcPr>
          <w:p w14:paraId="53A4386B" w14:textId="4CBE0A09" w:rsidR="00871764" w:rsidRPr="006026EA" w:rsidRDefault="00FD6AA7" w:rsidP="006026EA">
            <w:pPr>
              <w:pStyle w:val="ExhibitText"/>
              <w:jc w:val="center"/>
              <w:rPr>
                <w:b/>
                <w:sz w:val="18"/>
                <w:szCs w:val="18"/>
              </w:rPr>
            </w:pPr>
            <w:r w:rsidRPr="006026EA">
              <w:rPr>
                <w:b/>
                <w:sz w:val="18"/>
                <w:szCs w:val="18"/>
              </w:rPr>
              <w:t>January–</w:t>
            </w:r>
            <w:r w:rsidR="00871764" w:rsidRPr="006026EA">
              <w:rPr>
                <w:b/>
                <w:sz w:val="18"/>
                <w:szCs w:val="18"/>
              </w:rPr>
              <w:t>July 2017</w:t>
            </w:r>
          </w:p>
        </w:tc>
      </w:tr>
      <w:tr w:rsidR="00871764" w:rsidRPr="00006C39" w14:paraId="4801D6E3" w14:textId="77777777" w:rsidTr="006026EA">
        <w:trPr>
          <w:trHeight w:val="231"/>
          <w:jc w:val="center"/>
        </w:trPr>
        <w:tc>
          <w:tcPr>
            <w:tcW w:w="2879" w:type="dxa"/>
          </w:tcPr>
          <w:p w14:paraId="73319EFB" w14:textId="3193CB25" w:rsidR="00871764" w:rsidRPr="00006C39" w:rsidRDefault="00871764" w:rsidP="00FD6AA7">
            <w:pPr>
              <w:pStyle w:val="ExhibitText"/>
              <w:rPr>
                <w:sz w:val="18"/>
                <w:szCs w:val="18"/>
              </w:rPr>
            </w:pPr>
            <w:r w:rsidRPr="00006C39">
              <w:rPr>
                <w:sz w:val="18"/>
                <w:szCs w:val="18"/>
              </w:rPr>
              <w:t xml:space="preserve">Better </w:t>
            </w:r>
            <w:r w:rsidR="00FD6AA7">
              <w:rPr>
                <w:sz w:val="18"/>
                <w:szCs w:val="18"/>
              </w:rPr>
              <w:t>o</w:t>
            </w:r>
            <w:r w:rsidRPr="00006C39">
              <w:rPr>
                <w:sz w:val="18"/>
                <w:szCs w:val="18"/>
              </w:rPr>
              <w:t>pportunity</w:t>
            </w:r>
            <w:r w:rsidR="00FD6AA7">
              <w:rPr>
                <w:sz w:val="18"/>
                <w:szCs w:val="18"/>
              </w:rPr>
              <w:t xml:space="preserve"> elsewhere</w:t>
            </w:r>
          </w:p>
        </w:tc>
        <w:tc>
          <w:tcPr>
            <w:tcW w:w="1306" w:type="dxa"/>
            <w:noWrap/>
          </w:tcPr>
          <w:p w14:paraId="51ACED95" w14:textId="77777777" w:rsidR="00871764" w:rsidRPr="00006C39" w:rsidRDefault="00871764" w:rsidP="00871764">
            <w:pPr>
              <w:pStyle w:val="ExhibitText"/>
              <w:jc w:val="right"/>
              <w:rPr>
                <w:sz w:val="18"/>
                <w:szCs w:val="18"/>
              </w:rPr>
            </w:pPr>
            <w:r w:rsidRPr="00006C39">
              <w:rPr>
                <w:sz w:val="18"/>
                <w:szCs w:val="18"/>
              </w:rPr>
              <w:t>223</w:t>
            </w:r>
          </w:p>
        </w:tc>
        <w:tc>
          <w:tcPr>
            <w:tcW w:w="1306" w:type="dxa"/>
            <w:noWrap/>
          </w:tcPr>
          <w:p w14:paraId="72234445" w14:textId="77777777" w:rsidR="00871764" w:rsidRPr="00006C39" w:rsidRDefault="00871764" w:rsidP="00871764">
            <w:pPr>
              <w:pStyle w:val="ExhibitText"/>
              <w:jc w:val="right"/>
              <w:rPr>
                <w:sz w:val="18"/>
                <w:szCs w:val="18"/>
              </w:rPr>
            </w:pPr>
            <w:r w:rsidRPr="00006C39">
              <w:rPr>
                <w:sz w:val="18"/>
                <w:szCs w:val="18"/>
              </w:rPr>
              <w:t>309</w:t>
            </w:r>
          </w:p>
        </w:tc>
        <w:tc>
          <w:tcPr>
            <w:tcW w:w="1399" w:type="dxa"/>
            <w:noWrap/>
          </w:tcPr>
          <w:p w14:paraId="4DFEEE6C" w14:textId="77777777" w:rsidR="00871764" w:rsidRPr="00006C39" w:rsidRDefault="00871764" w:rsidP="00871764">
            <w:pPr>
              <w:pStyle w:val="ExhibitText"/>
              <w:jc w:val="right"/>
              <w:rPr>
                <w:sz w:val="18"/>
                <w:szCs w:val="18"/>
              </w:rPr>
            </w:pPr>
            <w:r w:rsidRPr="00006C39">
              <w:rPr>
                <w:sz w:val="18"/>
                <w:szCs w:val="18"/>
              </w:rPr>
              <w:t>414</w:t>
            </w:r>
          </w:p>
        </w:tc>
        <w:tc>
          <w:tcPr>
            <w:tcW w:w="1845" w:type="dxa"/>
            <w:noWrap/>
          </w:tcPr>
          <w:p w14:paraId="480D79AE" w14:textId="77777777" w:rsidR="00871764" w:rsidRPr="00006C39" w:rsidRDefault="00871764" w:rsidP="00871764">
            <w:pPr>
              <w:pStyle w:val="ExhibitText"/>
              <w:jc w:val="right"/>
              <w:rPr>
                <w:sz w:val="18"/>
                <w:szCs w:val="18"/>
              </w:rPr>
            </w:pPr>
            <w:r w:rsidRPr="00006C39">
              <w:rPr>
                <w:sz w:val="18"/>
                <w:szCs w:val="18"/>
              </w:rPr>
              <w:t>206</w:t>
            </w:r>
          </w:p>
        </w:tc>
      </w:tr>
      <w:tr w:rsidR="00871764" w:rsidRPr="00006C39" w14:paraId="53A03E64" w14:textId="77777777" w:rsidTr="006026EA">
        <w:trPr>
          <w:trHeight w:val="231"/>
          <w:jc w:val="center"/>
        </w:trPr>
        <w:tc>
          <w:tcPr>
            <w:tcW w:w="2879" w:type="dxa"/>
          </w:tcPr>
          <w:p w14:paraId="099D91AB" w14:textId="288B8867" w:rsidR="00871764" w:rsidRPr="00006C39" w:rsidRDefault="00871764" w:rsidP="00FD6AA7">
            <w:pPr>
              <w:pStyle w:val="ExhibitText"/>
              <w:rPr>
                <w:sz w:val="18"/>
                <w:szCs w:val="18"/>
              </w:rPr>
            </w:pPr>
            <w:r w:rsidRPr="00006C39">
              <w:rPr>
                <w:sz w:val="18"/>
                <w:szCs w:val="18"/>
              </w:rPr>
              <w:t xml:space="preserve">Moved </w:t>
            </w:r>
            <w:r w:rsidR="00FD6AA7">
              <w:rPr>
                <w:sz w:val="18"/>
                <w:szCs w:val="18"/>
              </w:rPr>
              <w:t>o</w:t>
            </w:r>
            <w:r w:rsidRPr="00006C39">
              <w:rPr>
                <w:sz w:val="18"/>
                <w:szCs w:val="18"/>
              </w:rPr>
              <w:t xml:space="preserve">ut of </w:t>
            </w:r>
            <w:r w:rsidR="00FD6AA7">
              <w:rPr>
                <w:sz w:val="18"/>
                <w:szCs w:val="18"/>
              </w:rPr>
              <w:t>a</w:t>
            </w:r>
            <w:r w:rsidRPr="00006C39">
              <w:rPr>
                <w:sz w:val="18"/>
                <w:szCs w:val="18"/>
              </w:rPr>
              <w:t>rea</w:t>
            </w:r>
          </w:p>
        </w:tc>
        <w:tc>
          <w:tcPr>
            <w:tcW w:w="1306" w:type="dxa"/>
            <w:noWrap/>
          </w:tcPr>
          <w:p w14:paraId="7CEA005E" w14:textId="77777777" w:rsidR="00871764" w:rsidRPr="00006C39" w:rsidRDefault="00871764" w:rsidP="00871764">
            <w:pPr>
              <w:pStyle w:val="ExhibitText"/>
              <w:jc w:val="right"/>
              <w:rPr>
                <w:sz w:val="18"/>
                <w:szCs w:val="18"/>
              </w:rPr>
            </w:pPr>
            <w:r w:rsidRPr="00006C39">
              <w:rPr>
                <w:sz w:val="18"/>
                <w:szCs w:val="18"/>
              </w:rPr>
              <w:t>43</w:t>
            </w:r>
          </w:p>
        </w:tc>
        <w:tc>
          <w:tcPr>
            <w:tcW w:w="1306" w:type="dxa"/>
            <w:noWrap/>
          </w:tcPr>
          <w:p w14:paraId="381D1FA5" w14:textId="77777777" w:rsidR="00871764" w:rsidRPr="00006C39" w:rsidRDefault="00871764" w:rsidP="00871764">
            <w:pPr>
              <w:pStyle w:val="ExhibitText"/>
              <w:jc w:val="right"/>
              <w:rPr>
                <w:sz w:val="18"/>
                <w:szCs w:val="18"/>
              </w:rPr>
            </w:pPr>
            <w:r w:rsidRPr="00006C39">
              <w:rPr>
                <w:sz w:val="18"/>
                <w:szCs w:val="18"/>
              </w:rPr>
              <w:t>17</w:t>
            </w:r>
          </w:p>
        </w:tc>
        <w:tc>
          <w:tcPr>
            <w:tcW w:w="1399" w:type="dxa"/>
            <w:noWrap/>
          </w:tcPr>
          <w:p w14:paraId="5053BC68" w14:textId="77777777" w:rsidR="00871764" w:rsidRPr="00006C39" w:rsidRDefault="00871764" w:rsidP="00871764">
            <w:pPr>
              <w:pStyle w:val="ExhibitText"/>
              <w:jc w:val="right"/>
              <w:rPr>
                <w:sz w:val="18"/>
                <w:szCs w:val="18"/>
              </w:rPr>
            </w:pPr>
            <w:r w:rsidRPr="00006C39">
              <w:rPr>
                <w:sz w:val="18"/>
                <w:szCs w:val="18"/>
              </w:rPr>
              <w:t>61</w:t>
            </w:r>
          </w:p>
        </w:tc>
        <w:tc>
          <w:tcPr>
            <w:tcW w:w="1845" w:type="dxa"/>
            <w:noWrap/>
          </w:tcPr>
          <w:p w14:paraId="376FB5DA" w14:textId="77777777" w:rsidR="00871764" w:rsidRPr="00006C39" w:rsidRDefault="00871764" w:rsidP="00871764">
            <w:pPr>
              <w:pStyle w:val="ExhibitText"/>
              <w:jc w:val="right"/>
              <w:rPr>
                <w:sz w:val="18"/>
                <w:szCs w:val="18"/>
              </w:rPr>
            </w:pPr>
            <w:r w:rsidRPr="00006C39">
              <w:rPr>
                <w:sz w:val="18"/>
                <w:szCs w:val="18"/>
              </w:rPr>
              <w:t>41</w:t>
            </w:r>
          </w:p>
        </w:tc>
      </w:tr>
      <w:tr w:rsidR="00871764" w:rsidRPr="00006C39" w14:paraId="13C99F5F" w14:textId="77777777" w:rsidTr="006026EA">
        <w:trPr>
          <w:trHeight w:val="231"/>
          <w:jc w:val="center"/>
        </w:trPr>
        <w:tc>
          <w:tcPr>
            <w:tcW w:w="2879" w:type="dxa"/>
          </w:tcPr>
          <w:p w14:paraId="45866622" w14:textId="0BFC9A2F" w:rsidR="00871764" w:rsidRPr="00006C39" w:rsidRDefault="00871764" w:rsidP="00FD6AA7">
            <w:pPr>
              <w:pStyle w:val="ExhibitText"/>
              <w:rPr>
                <w:sz w:val="18"/>
                <w:szCs w:val="18"/>
              </w:rPr>
            </w:pPr>
            <w:r w:rsidRPr="00006C39">
              <w:rPr>
                <w:sz w:val="18"/>
                <w:szCs w:val="18"/>
              </w:rPr>
              <w:t xml:space="preserve">Personal </w:t>
            </w:r>
            <w:r w:rsidR="00FD6AA7">
              <w:rPr>
                <w:sz w:val="18"/>
                <w:szCs w:val="18"/>
              </w:rPr>
              <w:t>r</w:t>
            </w:r>
            <w:r w:rsidRPr="00006C39">
              <w:rPr>
                <w:sz w:val="18"/>
                <w:szCs w:val="18"/>
              </w:rPr>
              <w:t>eason</w:t>
            </w:r>
            <w:r w:rsidR="00FD6AA7">
              <w:rPr>
                <w:sz w:val="18"/>
                <w:szCs w:val="18"/>
              </w:rPr>
              <w:t>s</w:t>
            </w:r>
          </w:p>
        </w:tc>
        <w:tc>
          <w:tcPr>
            <w:tcW w:w="1306" w:type="dxa"/>
            <w:noWrap/>
          </w:tcPr>
          <w:p w14:paraId="5008FE18" w14:textId="77777777" w:rsidR="00871764" w:rsidRPr="00006C39" w:rsidRDefault="00871764" w:rsidP="00871764">
            <w:pPr>
              <w:pStyle w:val="ExhibitText"/>
              <w:jc w:val="right"/>
              <w:rPr>
                <w:sz w:val="18"/>
                <w:szCs w:val="18"/>
              </w:rPr>
            </w:pPr>
            <w:r w:rsidRPr="00006C39">
              <w:rPr>
                <w:sz w:val="18"/>
                <w:szCs w:val="18"/>
              </w:rPr>
              <w:t>626</w:t>
            </w:r>
          </w:p>
        </w:tc>
        <w:tc>
          <w:tcPr>
            <w:tcW w:w="1306" w:type="dxa"/>
            <w:noWrap/>
          </w:tcPr>
          <w:p w14:paraId="0408AD19" w14:textId="77777777" w:rsidR="00871764" w:rsidRPr="00006C39" w:rsidRDefault="00871764" w:rsidP="00871764">
            <w:pPr>
              <w:pStyle w:val="ExhibitText"/>
              <w:jc w:val="right"/>
              <w:rPr>
                <w:sz w:val="18"/>
                <w:szCs w:val="18"/>
              </w:rPr>
            </w:pPr>
            <w:r w:rsidRPr="00006C39">
              <w:rPr>
                <w:sz w:val="18"/>
                <w:szCs w:val="18"/>
              </w:rPr>
              <w:t>548</w:t>
            </w:r>
          </w:p>
        </w:tc>
        <w:tc>
          <w:tcPr>
            <w:tcW w:w="1399" w:type="dxa"/>
            <w:noWrap/>
          </w:tcPr>
          <w:p w14:paraId="5BE54B68" w14:textId="77777777" w:rsidR="00871764" w:rsidRPr="00006C39" w:rsidRDefault="00871764" w:rsidP="00871764">
            <w:pPr>
              <w:pStyle w:val="ExhibitText"/>
              <w:jc w:val="right"/>
              <w:rPr>
                <w:sz w:val="18"/>
                <w:szCs w:val="18"/>
              </w:rPr>
            </w:pPr>
            <w:r w:rsidRPr="00006C39">
              <w:rPr>
                <w:sz w:val="18"/>
                <w:szCs w:val="18"/>
              </w:rPr>
              <w:t>171</w:t>
            </w:r>
          </w:p>
        </w:tc>
        <w:tc>
          <w:tcPr>
            <w:tcW w:w="1845" w:type="dxa"/>
            <w:noWrap/>
          </w:tcPr>
          <w:p w14:paraId="068ABEE2" w14:textId="77777777" w:rsidR="00871764" w:rsidRPr="00006C39" w:rsidRDefault="00871764" w:rsidP="00871764">
            <w:pPr>
              <w:pStyle w:val="ExhibitText"/>
              <w:jc w:val="right"/>
              <w:rPr>
                <w:sz w:val="18"/>
                <w:szCs w:val="18"/>
              </w:rPr>
            </w:pPr>
            <w:r w:rsidRPr="00006C39">
              <w:rPr>
                <w:sz w:val="18"/>
                <w:szCs w:val="18"/>
              </w:rPr>
              <w:t>106</w:t>
            </w:r>
          </w:p>
        </w:tc>
      </w:tr>
      <w:tr w:rsidR="00871764" w:rsidRPr="00006C39" w14:paraId="160005A3" w14:textId="77777777" w:rsidTr="006026EA">
        <w:trPr>
          <w:trHeight w:val="231"/>
          <w:jc w:val="center"/>
        </w:trPr>
        <w:tc>
          <w:tcPr>
            <w:tcW w:w="2879" w:type="dxa"/>
          </w:tcPr>
          <w:p w14:paraId="38F3CCFD" w14:textId="74B3AA7A" w:rsidR="00871764" w:rsidRPr="00006C39" w:rsidRDefault="00871764" w:rsidP="00FD6AA7">
            <w:pPr>
              <w:pStyle w:val="ExhibitText"/>
              <w:rPr>
                <w:sz w:val="18"/>
                <w:szCs w:val="18"/>
              </w:rPr>
            </w:pPr>
            <w:r w:rsidRPr="00006C39">
              <w:rPr>
                <w:sz w:val="18"/>
                <w:szCs w:val="18"/>
              </w:rPr>
              <w:t xml:space="preserve">Return to </w:t>
            </w:r>
            <w:r w:rsidR="00FD6AA7">
              <w:rPr>
                <w:sz w:val="18"/>
                <w:szCs w:val="18"/>
              </w:rPr>
              <w:t>s</w:t>
            </w:r>
            <w:r w:rsidRPr="00006C39">
              <w:rPr>
                <w:sz w:val="18"/>
                <w:szCs w:val="18"/>
              </w:rPr>
              <w:t>chool</w:t>
            </w:r>
          </w:p>
        </w:tc>
        <w:tc>
          <w:tcPr>
            <w:tcW w:w="1306" w:type="dxa"/>
            <w:noWrap/>
          </w:tcPr>
          <w:p w14:paraId="7C0BD8B4" w14:textId="77777777" w:rsidR="00871764" w:rsidRPr="00006C39" w:rsidRDefault="00871764" w:rsidP="00871764">
            <w:pPr>
              <w:pStyle w:val="ExhibitText"/>
              <w:jc w:val="right"/>
              <w:rPr>
                <w:sz w:val="18"/>
                <w:szCs w:val="18"/>
              </w:rPr>
            </w:pPr>
            <w:r w:rsidRPr="00006C39">
              <w:rPr>
                <w:sz w:val="18"/>
                <w:szCs w:val="18"/>
              </w:rPr>
              <w:t>59</w:t>
            </w:r>
          </w:p>
        </w:tc>
        <w:tc>
          <w:tcPr>
            <w:tcW w:w="1306" w:type="dxa"/>
            <w:noWrap/>
          </w:tcPr>
          <w:p w14:paraId="6D856693" w14:textId="77777777" w:rsidR="00871764" w:rsidRPr="00006C39" w:rsidRDefault="00871764" w:rsidP="00871764">
            <w:pPr>
              <w:pStyle w:val="ExhibitText"/>
              <w:jc w:val="right"/>
              <w:rPr>
                <w:sz w:val="18"/>
                <w:szCs w:val="18"/>
              </w:rPr>
            </w:pPr>
            <w:r w:rsidRPr="00006C39">
              <w:rPr>
                <w:sz w:val="18"/>
                <w:szCs w:val="18"/>
              </w:rPr>
              <w:t>43</w:t>
            </w:r>
          </w:p>
        </w:tc>
        <w:tc>
          <w:tcPr>
            <w:tcW w:w="1399" w:type="dxa"/>
            <w:noWrap/>
          </w:tcPr>
          <w:p w14:paraId="31BD18E7" w14:textId="77777777" w:rsidR="00871764" w:rsidRPr="00006C39" w:rsidRDefault="00871764" w:rsidP="00871764">
            <w:pPr>
              <w:pStyle w:val="ExhibitText"/>
              <w:jc w:val="right"/>
              <w:rPr>
                <w:sz w:val="18"/>
                <w:szCs w:val="18"/>
              </w:rPr>
            </w:pPr>
            <w:r w:rsidRPr="00006C39">
              <w:rPr>
                <w:sz w:val="18"/>
                <w:szCs w:val="18"/>
              </w:rPr>
              <w:t>55</w:t>
            </w:r>
          </w:p>
        </w:tc>
        <w:tc>
          <w:tcPr>
            <w:tcW w:w="1845" w:type="dxa"/>
            <w:noWrap/>
          </w:tcPr>
          <w:p w14:paraId="3E71275E" w14:textId="77777777" w:rsidR="00871764" w:rsidRPr="00006C39" w:rsidRDefault="00871764" w:rsidP="00871764">
            <w:pPr>
              <w:pStyle w:val="ExhibitText"/>
              <w:jc w:val="right"/>
              <w:rPr>
                <w:sz w:val="18"/>
                <w:szCs w:val="18"/>
              </w:rPr>
            </w:pPr>
            <w:r w:rsidRPr="00006C39">
              <w:rPr>
                <w:sz w:val="18"/>
                <w:szCs w:val="18"/>
              </w:rPr>
              <w:t>35</w:t>
            </w:r>
          </w:p>
        </w:tc>
      </w:tr>
      <w:tr w:rsidR="00871764" w:rsidRPr="00006C39" w14:paraId="7160B8D2" w14:textId="77777777" w:rsidTr="006026EA">
        <w:trPr>
          <w:trHeight w:val="231"/>
          <w:jc w:val="center"/>
        </w:trPr>
        <w:tc>
          <w:tcPr>
            <w:tcW w:w="2879" w:type="dxa"/>
          </w:tcPr>
          <w:p w14:paraId="19E4F271" w14:textId="77777777" w:rsidR="00871764" w:rsidRPr="00006C39" w:rsidRDefault="00871764" w:rsidP="00871764">
            <w:pPr>
              <w:pStyle w:val="ExhibitText"/>
              <w:rPr>
                <w:sz w:val="18"/>
                <w:szCs w:val="18"/>
              </w:rPr>
            </w:pPr>
            <w:r w:rsidRPr="00006C39">
              <w:rPr>
                <w:sz w:val="18"/>
                <w:szCs w:val="18"/>
              </w:rPr>
              <w:t xml:space="preserve">Others </w:t>
            </w:r>
          </w:p>
        </w:tc>
        <w:tc>
          <w:tcPr>
            <w:tcW w:w="1306" w:type="dxa"/>
            <w:noWrap/>
          </w:tcPr>
          <w:p w14:paraId="7F35A3AD" w14:textId="77777777" w:rsidR="00871764" w:rsidRPr="00006C39" w:rsidRDefault="00871764" w:rsidP="00871764">
            <w:pPr>
              <w:pStyle w:val="ExhibitText"/>
              <w:jc w:val="right"/>
              <w:rPr>
                <w:sz w:val="18"/>
                <w:szCs w:val="18"/>
              </w:rPr>
            </w:pPr>
            <w:r w:rsidRPr="00006C39">
              <w:rPr>
                <w:sz w:val="18"/>
                <w:szCs w:val="18"/>
              </w:rPr>
              <w:t>41</w:t>
            </w:r>
          </w:p>
        </w:tc>
        <w:tc>
          <w:tcPr>
            <w:tcW w:w="1306" w:type="dxa"/>
            <w:noWrap/>
          </w:tcPr>
          <w:p w14:paraId="47D520C1" w14:textId="77777777" w:rsidR="00871764" w:rsidRPr="00006C39" w:rsidRDefault="00871764" w:rsidP="00871764">
            <w:pPr>
              <w:pStyle w:val="ExhibitText"/>
              <w:jc w:val="right"/>
              <w:rPr>
                <w:sz w:val="18"/>
                <w:szCs w:val="18"/>
              </w:rPr>
            </w:pPr>
            <w:r w:rsidRPr="00006C39">
              <w:rPr>
                <w:sz w:val="18"/>
                <w:szCs w:val="18"/>
              </w:rPr>
              <w:t>40</w:t>
            </w:r>
          </w:p>
        </w:tc>
        <w:tc>
          <w:tcPr>
            <w:tcW w:w="1399" w:type="dxa"/>
            <w:noWrap/>
          </w:tcPr>
          <w:p w14:paraId="56565E29" w14:textId="77777777" w:rsidR="00871764" w:rsidRPr="00006C39" w:rsidRDefault="00871764" w:rsidP="00871764">
            <w:pPr>
              <w:pStyle w:val="ExhibitText"/>
              <w:jc w:val="right"/>
              <w:rPr>
                <w:sz w:val="18"/>
                <w:szCs w:val="18"/>
              </w:rPr>
            </w:pPr>
            <w:r w:rsidRPr="00006C39">
              <w:rPr>
                <w:sz w:val="18"/>
                <w:szCs w:val="18"/>
              </w:rPr>
              <w:t>155</w:t>
            </w:r>
          </w:p>
        </w:tc>
        <w:tc>
          <w:tcPr>
            <w:tcW w:w="1845" w:type="dxa"/>
            <w:noWrap/>
          </w:tcPr>
          <w:p w14:paraId="4A6720C3" w14:textId="77777777" w:rsidR="00871764" w:rsidRPr="00006C39" w:rsidRDefault="00871764" w:rsidP="00871764">
            <w:pPr>
              <w:pStyle w:val="ExhibitText"/>
              <w:jc w:val="right"/>
              <w:rPr>
                <w:sz w:val="18"/>
                <w:szCs w:val="18"/>
              </w:rPr>
            </w:pPr>
            <w:r w:rsidRPr="00006C39">
              <w:rPr>
                <w:sz w:val="18"/>
                <w:szCs w:val="18"/>
              </w:rPr>
              <w:t>37</w:t>
            </w:r>
          </w:p>
        </w:tc>
      </w:tr>
      <w:tr w:rsidR="00871764" w:rsidRPr="00006C39" w14:paraId="387D67E7" w14:textId="77777777" w:rsidTr="006026EA">
        <w:trPr>
          <w:trHeight w:val="231"/>
          <w:jc w:val="center"/>
        </w:trPr>
        <w:tc>
          <w:tcPr>
            <w:tcW w:w="2879" w:type="dxa"/>
          </w:tcPr>
          <w:p w14:paraId="269F4448" w14:textId="77777777" w:rsidR="00871764" w:rsidRPr="00006C39" w:rsidRDefault="00871764" w:rsidP="00871764">
            <w:pPr>
              <w:pStyle w:val="ExhibitText"/>
              <w:rPr>
                <w:sz w:val="18"/>
                <w:szCs w:val="18"/>
              </w:rPr>
            </w:pPr>
            <w:r w:rsidRPr="00006C39">
              <w:rPr>
                <w:sz w:val="18"/>
                <w:szCs w:val="18"/>
              </w:rPr>
              <w:t>Total</w:t>
            </w:r>
          </w:p>
        </w:tc>
        <w:tc>
          <w:tcPr>
            <w:tcW w:w="1306" w:type="dxa"/>
            <w:noWrap/>
          </w:tcPr>
          <w:p w14:paraId="470B3886" w14:textId="77777777" w:rsidR="00871764" w:rsidRPr="00006C39" w:rsidRDefault="00871764" w:rsidP="00871764">
            <w:pPr>
              <w:pStyle w:val="ExhibitText"/>
              <w:jc w:val="right"/>
              <w:rPr>
                <w:sz w:val="18"/>
                <w:szCs w:val="18"/>
              </w:rPr>
            </w:pPr>
            <w:r w:rsidRPr="00006C39">
              <w:rPr>
                <w:sz w:val="18"/>
                <w:szCs w:val="18"/>
              </w:rPr>
              <w:t>992</w:t>
            </w:r>
          </w:p>
        </w:tc>
        <w:tc>
          <w:tcPr>
            <w:tcW w:w="1306" w:type="dxa"/>
            <w:noWrap/>
          </w:tcPr>
          <w:p w14:paraId="148459A1" w14:textId="77777777" w:rsidR="00871764" w:rsidRPr="00006C39" w:rsidRDefault="00871764" w:rsidP="00871764">
            <w:pPr>
              <w:pStyle w:val="ExhibitText"/>
              <w:jc w:val="right"/>
              <w:rPr>
                <w:sz w:val="18"/>
                <w:szCs w:val="18"/>
              </w:rPr>
            </w:pPr>
            <w:r w:rsidRPr="00006C39">
              <w:rPr>
                <w:sz w:val="18"/>
                <w:szCs w:val="18"/>
              </w:rPr>
              <w:t>957</w:t>
            </w:r>
          </w:p>
        </w:tc>
        <w:tc>
          <w:tcPr>
            <w:tcW w:w="1399" w:type="dxa"/>
            <w:noWrap/>
          </w:tcPr>
          <w:p w14:paraId="346F2D03" w14:textId="77777777" w:rsidR="00871764" w:rsidRPr="00006C39" w:rsidRDefault="00871764" w:rsidP="00871764">
            <w:pPr>
              <w:pStyle w:val="ExhibitText"/>
              <w:jc w:val="right"/>
              <w:rPr>
                <w:sz w:val="18"/>
                <w:szCs w:val="18"/>
              </w:rPr>
            </w:pPr>
            <w:r w:rsidRPr="00006C39">
              <w:rPr>
                <w:sz w:val="18"/>
                <w:szCs w:val="18"/>
              </w:rPr>
              <w:t>856</w:t>
            </w:r>
          </w:p>
        </w:tc>
        <w:tc>
          <w:tcPr>
            <w:tcW w:w="1845" w:type="dxa"/>
            <w:noWrap/>
          </w:tcPr>
          <w:p w14:paraId="281E966C" w14:textId="77777777" w:rsidR="00871764" w:rsidRPr="00006C39" w:rsidRDefault="00871764" w:rsidP="00871764">
            <w:pPr>
              <w:pStyle w:val="ExhibitText"/>
              <w:jc w:val="right"/>
              <w:rPr>
                <w:sz w:val="18"/>
                <w:szCs w:val="18"/>
              </w:rPr>
            </w:pPr>
            <w:r w:rsidRPr="00006C39">
              <w:rPr>
                <w:sz w:val="18"/>
                <w:szCs w:val="18"/>
              </w:rPr>
              <w:t>425</w:t>
            </w:r>
          </w:p>
        </w:tc>
      </w:tr>
    </w:tbl>
    <w:p w14:paraId="3E07EB60" w14:textId="77777777" w:rsidR="00871764" w:rsidRDefault="00871764" w:rsidP="00871764">
      <w:pPr>
        <w:rPr>
          <w:spacing w:val="-3"/>
          <w:sz w:val="22"/>
          <w:szCs w:val="22"/>
        </w:rPr>
      </w:pPr>
    </w:p>
    <w:p w14:paraId="50DD8F46" w14:textId="362DC383" w:rsidR="00871764" w:rsidRDefault="00871764" w:rsidP="00871764">
      <w:pPr>
        <w:pStyle w:val="Footnote"/>
      </w:pPr>
      <w:r>
        <w:t xml:space="preserve">Note: </w:t>
      </w:r>
      <w:r w:rsidR="00A66BA6">
        <w:t xml:space="preserve">The number </w:t>
      </w:r>
      <w:r>
        <w:t>value in parenthes</w:t>
      </w:r>
      <w:r w:rsidR="00A66BA6">
        <w:t>e</w:t>
      </w:r>
      <w:r>
        <w:t>s represents total head</w:t>
      </w:r>
      <w:r w:rsidR="00A66BA6">
        <w:t xml:space="preserve"> </w:t>
      </w:r>
      <w:r>
        <w:t>count.</w:t>
      </w:r>
    </w:p>
    <w:p w14:paraId="5ECE629E" w14:textId="77777777" w:rsidR="00871764" w:rsidRDefault="00871764" w:rsidP="00871764">
      <w:pPr>
        <w:pStyle w:val="Footnote"/>
      </w:pPr>
      <w:r>
        <w:t>Source: Created by case authors based on company files.</w:t>
      </w:r>
    </w:p>
    <w:p w14:paraId="54813C84" w14:textId="77777777" w:rsidR="00871764" w:rsidRDefault="00871764" w:rsidP="006026EA">
      <w:pPr>
        <w:pStyle w:val="Footnote"/>
      </w:pPr>
    </w:p>
    <w:p w14:paraId="1B0680E0" w14:textId="77777777" w:rsidR="004E1ECD" w:rsidRPr="00871764" w:rsidRDefault="004E1ECD" w:rsidP="006026EA">
      <w:pPr>
        <w:pStyle w:val="Footnote"/>
      </w:pPr>
    </w:p>
    <w:p w14:paraId="163FE928" w14:textId="77777777" w:rsidR="00282F15" w:rsidRDefault="00282F15">
      <w:pPr>
        <w:spacing w:after="200" w:line="276" w:lineRule="auto"/>
        <w:rPr>
          <w:rFonts w:ascii="Arial" w:hAnsi="Arial" w:cs="Arial"/>
          <w:b/>
          <w:caps/>
        </w:rPr>
      </w:pPr>
      <w:r>
        <w:br w:type="page"/>
      </w:r>
    </w:p>
    <w:p w14:paraId="383DCBF8" w14:textId="3C835AD1" w:rsidR="0022176F" w:rsidRDefault="00871764" w:rsidP="00871764">
      <w:pPr>
        <w:pStyle w:val="ExhibitHeading"/>
      </w:pPr>
      <w:r w:rsidRPr="00871764">
        <w:lastRenderedPageBreak/>
        <w:t>EXHIBIT 6: STRENGTH AND OPPORTUNITIES AREAS BASED ON EMPLOYEE ENGAGEMENT SURVEY RESULTS (2014</w:t>
      </w:r>
      <w:r w:rsidR="00FD6AA7">
        <w:t>–</w:t>
      </w:r>
      <w:r w:rsidRPr="00871764">
        <w:t>2016)</w:t>
      </w:r>
    </w:p>
    <w:p w14:paraId="53F21EF4" w14:textId="77777777" w:rsidR="00871764" w:rsidRPr="00871764" w:rsidRDefault="00871764" w:rsidP="00871764">
      <w:pPr>
        <w:pStyle w:val="ExhibitHeading"/>
      </w:pPr>
    </w:p>
    <w:tbl>
      <w:tblPr>
        <w:tblStyle w:val="TableGrid"/>
        <w:tblW w:w="5935" w:type="dxa"/>
        <w:jc w:val="center"/>
        <w:tblLook w:val="04A0" w:firstRow="1" w:lastRow="0" w:firstColumn="1" w:lastColumn="0" w:noHBand="0" w:noVBand="1"/>
      </w:tblPr>
      <w:tblGrid>
        <w:gridCol w:w="4315"/>
        <w:gridCol w:w="1620"/>
      </w:tblGrid>
      <w:tr w:rsidR="00871764" w:rsidRPr="00006C39" w14:paraId="442E1813" w14:textId="77777777" w:rsidTr="00006C39">
        <w:trPr>
          <w:trHeight w:val="170"/>
          <w:jc w:val="center"/>
        </w:trPr>
        <w:tc>
          <w:tcPr>
            <w:tcW w:w="4315" w:type="dxa"/>
          </w:tcPr>
          <w:p w14:paraId="0A9A537B" w14:textId="77777777" w:rsidR="00871764" w:rsidRPr="006026EA" w:rsidRDefault="00871764" w:rsidP="006026EA">
            <w:pPr>
              <w:pStyle w:val="ExhibitText"/>
              <w:jc w:val="center"/>
              <w:rPr>
                <w:b/>
                <w:sz w:val="18"/>
                <w:szCs w:val="18"/>
              </w:rPr>
            </w:pPr>
            <w:r w:rsidRPr="006026EA">
              <w:rPr>
                <w:b/>
                <w:sz w:val="18"/>
                <w:szCs w:val="18"/>
              </w:rPr>
              <w:t xml:space="preserve">Employee Engagement: </w:t>
            </w:r>
            <w:r w:rsidRPr="006026EA">
              <w:rPr>
                <w:b/>
                <w:i/>
                <w:sz w:val="18"/>
                <w:szCs w:val="18"/>
              </w:rPr>
              <w:t>Strength Areas</w:t>
            </w:r>
          </w:p>
        </w:tc>
        <w:tc>
          <w:tcPr>
            <w:tcW w:w="1620" w:type="dxa"/>
          </w:tcPr>
          <w:p w14:paraId="5D814B2E" w14:textId="3B22E0E0" w:rsidR="00871764" w:rsidRPr="006026EA" w:rsidRDefault="00871764" w:rsidP="00FD6AA7">
            <w:pPr>
              <w:pStyle w:val="ExhibitText"/>
              <w:rPr>
                <w:b/>
                <w:sz w:val="18"/>
                <w:szCs w:val="18"/>
              </w:rPr>
            </w:pPr>
            <w:r w:rsidRPr="006026EA">
              <w:rPr>
                <w:b/>
                <w:sz w:val="18"/>
                <w:szCs w:val="18"/>
              </w:rPr>
              <w:t>2014</w:t>
            </w:r>
            <w:r w:rsidR="00FD6AA7" w:rsidRPr="006026EA">
              <w:rPr>
                <w:b/>
                <w:sz w:val="18"/>
                <w:szCs w:val="18"/>
              </w:rPr>
              <w:t>–</w:t>
            </w:r>
            <w:r w:rsidRPr="006026EA">
              <w:rPr>
                <w:b/>
                <w:sz w:val="18"/>
                <w:szCs w:val="18"/>
              </w:rPr>
              <w:t>16 Rank</w:t>
            </w:r>
          </w:p>
        </w:tc>
      </w:tr>
      <w:tr w:rsidR="00871764" w:rsidRPr="00006C39" w14:paraId="3FE73F22" w14:textId="77777777" w:rsidTr="00006C39">
        <w:trPr>
          <w:trHeight w:val="170"/>
          <w:jc w:val="center"/>
        </w:trPr>
        <w:tc>
          <w:tcPr>
            <w:tcW w:w="4315" w:type="dxa"/>
          </w:tcPr>
          <w:p w14:paraId="375E6E1D" w14:textId="77777777" w:rsidR="00871764" w:rsidRPr="00006C39" w:rsidRDefault="00871764" w:rsidP="00006C39">
            <w:pPr>
              <w:pStyle w:val="ExhibitText"/>
              <w:rPr>
                <w:sz w:val="18"/>
                <w:szCs w:val="18"/>
              </w:rPr>
            </w:pPr>
            <w:r w:rsidRPr="00006C39">
              <w:rPr>
                <w:sz w:val="18"/>
                <w:szCs w:val="18"/>
              </w:rPr>
              <w:t>Customer Focus</w:t>
            </w:r>
          </w:p>
        </w:tc>
        <w:tc>
          <w:tcPr>
            <w:tcW w:w="1620" w:type="dxa"/>
          </w:tcPr>
          <w:p w14:paraId="3CB326E0" w14:textId="77777777" w:rsidR="00871764" w:rsidRPr="00006C39" w:rsidRDefault="00871764" w:rsidP="00006C39">
            <w:pPr>
              <w:pStyle w:val="ExhibitText"/>
              <w:jc w:val="center"/>
              <w:rPr>
                <w:sz w:val="18"/>
                <w:szCs w:val="18"/>
              </w:rPr>
            </w:pPr>
            <w:r w:rsidRPr="00006C39">
              <w:rPr>
                <w:sz w:val="18"/>
                <w:szCs w:val="18"/>
              </w:rPr>
              <w:t>1</w:t>
            </w:r>
          </w:p>
        </w:tc>
      </w:tr>
      <w:tr w:rsidR="00871764" w:rsidRPr="00006C39" w14:paraId="7B4611B1" w14:textId="77777777" w:rsidTr="00006C39">
        <w:trPr>
          <w:trHeight w:val="170"/>
          <w:jc w:val="center"/>
        </w:trPr>
        <w:tc>
          <w:tcPr>
            <w:tcW w:w="4315" w:type="dxa"/>
          </w:tcPr>
          <w:p w14:paraId="256DDA70" w14:textId="7424C418" w:rsidR="00871764" w:rsidRPr="00006C39" w:rsidRDefault="00871764" w:rsidP="00006C39">
            <w:pPr>
              <w:pStyle w:val="ExhibitText"/>
              <w:rPr>
                <w:sz w:val="18"/>
                <w:szCs w:val="18"/>
              </w:rPr>
            </w:pPr>
            <w:r w:rsidRPr="00006C39">
              <w:rPr>
                <w:sz w:val="18"/>
                <w:szCs w:val="18"/>
              </w:rPr>
              <w:t>Co-workers Co</w:t>
            </w:r>
            <w:r w:rsidR="00FD6AA7">
              <w:rPr>
                <w:sz w:val="18"/>
                <w:szCs w:val="18"/>
              </w:rPr>
              <w:t>-</w:t>
            </w:r>
            <w:r w:rsidRPr="00006C39">
              <w:rPr>
                <w:sz w:val="18"/>
                <w:szCs w:val="18"/>
              </w:rPr>
              <w:t>operation &amp; Support</w:t>
            </w:r>
          </w:p>
        </w:tc>
        <w:tc>
          <w:tcPr>
            <w:tcW w:w="1620" w:type="dxa"/>
          </w:tcPr>
          <w:p w14:paraId="0261C16D" w14:textId="77777777" w:rsidR="00871764" w:rsidRPr="00006C39" w:rsidRDefault="00871764" w:rsidP="00006C39">
            <w:pPr>
              <w:pStyle w:val="ExhibitText"/>
              <w:jc w:val="center"/>
              <w:rPr>
                <w:sz w:val="18"/>
                <w:szCs w:val="18"/>
              </w:rPr>
            </w:pPr>
            <w:r w:rsidRPr="00006C39">
              <w:rPr>
                <w:sz w:val="18"/>
                <w:szCs w:val="18"/>
              </w:rPr>
              <w:t>2</w:t>
            </w:r>
          </w:p>
        </w:tc>
      </w:tr>
      <w:tr w:rsidR="00871764" w:rsidRPr="00006C39" w14:paraId="5453F2FC" w14:textId="77777777" w:rsidTr="00006C39">
        <w:trPr>
          <w:trHeight w:val="170"/>
          <w:jc w:val="center"/>
        </w:trPr>
        <w:tc>
          <w:tcPr>
            <w:tcW w:w="4315" w:type="dxa"/>
          </w:tcPr>
          <w:p w14:paraId="4A219BC1" w14:textId="77777777" w:rsidR="00871764" w:rsidRPr="00006C39" w:rsidRDefault="00871764" w:rsidP="00006C39">
            <w:pPr>
              <w:pStyle w:val="ExhibitText"/>
              <w:rPr>
                <w:sz w:val="18"/>
                <w:szCs w:val="18"/>
              </w:rPr>
            </w:pPr>
            <w:r w:rsidRPr="00006C39">
              <w:rPr>
                <w:sz w:val="18"/>
                <w:szCs w:val="18"/>
              </w:rPr>
              <w:t xml:space="preserve">Policies </w:t>
            </w:r>
          </w:p>
        </w:tc>
        <w:tc>
          <w:tcPr>
            <w:tcW w:w="1620" w:type="dxa"/>
          </w:tcPr>
          <w:p w14:paraId="06610D9D" w14:textId="77777777" w:rsidR="00871764" w:rsidRPr="00006C39" w:rsidRDefault="00871764" w:rsidP="00006C39">
            <w:pPr>
              <w:pStyle w:val="ExhibitText"/>
              <w:jc w:val="center"/>
              <w:rPr>
                <w:sz w:val="18"/>
                <w:szCs w:val="18"/>
              </w:rPr>
            </w:pPr>
            <w:r w:rsidRPr="00006C39">
              <w:rPr>
                <w:sz w:val="18"/>
                <w:szCs w:val="18"/>
              </w:rPr>
              <w:t>3</w:t>
            </w:r>
          </w:p>
        </w:tc>
      </w:tr>
      <w:tr w:rsidR="00871764" w:rsidRPr="00006C39" w14:paraId="53F223BD" w14:textId="77777777" w:rsidTr="00006C39">
        <w:trPr>
          <w:trHeight w:val="170"/>
          <w:jc w:val="center"/>
        </w:trPr>
        <w:tc>
          <w:tcPr>
            <w:tcW w:w="4315" w:type="dxa"/>
          </w:tcPr>
          <w:p w14:paraId="339D9B2B" w14:textId="77777777" w:rsidR="00871764" w:rsidRPr="006026EA" w:rsidRDefault="00871764" w:rsidP="006026EA">
            <w:pPr>
              <w:pStyle w:val="ExhibitText"/>
              <w:jc w:val="center"/>
              <w:rPr>
                <w:b/>
                <w:i/>
                <w:sz w:val="18"/>
                <w:szCs w:val="18"/>
              </w:rPr>
            </w:pPr>
            <w:r w:rsidRPr="006026EA">
              <w:rPr>
                <w:b/>
                <w:sz w:val="18"/>
                <w:szCs w:val="18"/>
              </w:rPr>
              <w:t xml:space="preserve">Employee Engagement: </w:t>
            </w:r>
            <w:r w:rsidRPr="006026EA">
              <w:rPr>
                <w:b/>
                <w:i/>
                <w:sz w:val="18"/>
                <w:szCs w:val="18"/>
              </w:rPr>
              <w:t>Opportunities Areas</w:t>
            </w:r>
          </w:p>
        </w:tc>
        <w:tc>
          <w:tcPr>
            <w:tcW w:w="1620" w:type="dxa"/>
          </w:tcPr>
          <w:p w14:paraId="4056907F" w14:textId="77777777" w:rsidR="00871764" w:rsidRPr="00006C39" w:rsidRDefault="00871764" w:rsidP="00006C39">
            <w:pPr>
              <w:pStyle w:val="ExhibitText"/>
              <w:jc w:val="center"/>
              <w:rPr>
                <w:sz w:val="18"/>
                <w:szCs w:val="18"/>
              </w:rPr>
            </w:pPr>
          </w:p>
        </w:tc>
      </w:tr>
      <w:tr w:rsidR="00871764" w:rsidRPr="00006C39" w14:paraId="275DFEF6" w14:textId="77777777" w:rsidTr="00006C39">
        <w:trPr>
          <w:trHeight w:val="170"/>
          <w:jc w:val="center"/>
        </w:trPr>
        <w:tc>
          <w:tcPr>
            <w:tcW w:w="4315" w:type="dxa"/>
          </w:tcPr>
          <w:p w14:paraId="0B51EE11" w14:textId="77777777" w:rsidR="00871764" w:rsidRPr="00006C39" w:rsidRDefault="00871764" w:rsidP="00006C39">
            <w:pPr>
              <w:pStyle w:val="ExhibitText"/>
              <w:rPr>
                <w:sz w:val="18"/>
                <w:szCs w:val="18"/>
              </w:rPr>
            </w:pPr>
            <w:r w:rsidRPr="00006C39">
              <w:rPr>
                <w:sz w:val="18"/>
                <w:szCs w:val="18"/>
              </w:rPr>
              <w:t>Opportunity for Growth &amp; Development</w:t>
            </w:r>
          </w:p>
        </w:tc>
        <w:tc>
          <w:tcPr>
            <w:tcW w:w="1620" w:type="dxa"/>
          </w:tcPr>
          <w:p w14:paraId="6126C4EF" w14:textId="77777777" w:rsidR="00871764" w:rsidRPr="00006C39" w:rsidRDefault="00871764" w:rsidP="00006C39">
            <w:pPr>
              <w:pStyle w:val="ExhibitText"/>
              <w:jc w:val="center"/>
              <w:rPr>
                <w:sz w:val="18"/>
                <w:szCs w:val="18"/>
              </w:rPr>
            </w:pPr>
            <w:r w:rsidRPr="00006C39">
              <w:rPr>
                <w:sz w:val="18"/>
                <w:szCs w:val="18"/>
              </w:rPr>
              <w:t>11</w:t>
            </w:r>
          </w:p>
        </w:tc>
      </w:tr>
      <w:tr w:rsidR="00871764" w:rsidRPr="00006C39" w14:paraId="7C906C4F" w14:textId="77777777" w:rsidTr="00006C39">
        <w:trPr>
          <w:trHeight w:val="170"/>
          <w:jc w:val="center"/>
        </w:trPr>
        <w:tc>
          <w:tcPr>
            <w:tcW w:w="4315" w:type="dxa"/>
          </w:tcPr>
          <w:p w14:paraId="5C0AD9B0" w14:textId="77777777" w:rsidR="00871764" w:rsidRPr="00006C39" w:rsidRDefault="00871764" w:rsidP="00006C39">
            <w:pPr>
              <w:pStyle w:val="ExhibitText"/>
              <w:rPr>
                <w:sz w:val="18"/>
                <w:szCs w:val="18"/>
              </w:rPr>
            </w:pPr>
            <w:r w:rsidRPr="00006C39">
              <w:rPr>
                <w:sz w:val="18"/>
                <w:szCs w:val="18"/>
              </w:rPr>
              <w:t>Recognition</w:t>
            </w:r>
          </w:p>
        </w:tc>
        <w:tc>
          <w:tcPr>
            <w:tcW w:w="1620" w:type="dxa"/>
          </w:tcPr>
          <w:p w14:paraId="274E293A" w14:textId="77777777" w:rsidR="00871764" w:rsidRPr="00006C39" w:rsidRDefault="00871764" w:rsidP="00006C39">
            <w:pPr>
              <w:pStyle w:val="ExhibitText"/>
              <w:jc w:val="center"/>
              <w:rPr>
                <w:sz w:val="18"/>
                <w:szCs w:val="18"/>
              </w:rPr>
            </w:pPr>
            <w:r w:rsidRPr="00006C39">
              <w:rPr>
                <w:sz w:val="18"/>
                <w:szCs w:val="18"/>
              </w:rPr>
              <w:t>12</w:t>
            </w:r>
          </w:p>
        </w:tc>
      </w:tr>
      <w:tr w:rsidR="00871764" w:rsidRPr="00006C39" w14:paraId="272F2929" w14:textId="77777777" w:rsidTr="00006C39">
        <w:trPr>
          <w:trHeight w:val="170"/>
          <w:jc w:val="center"/>
        </w:trPr>
        <w:tc>
          <w:tcPr>
            <w:tcW w:w="4315" w:type="dxa"/>
          </w:tcPr>
          <w:p w14:paraId="4B981586" w14:textId="77777777" w:rsidR="00871764" w:rsidRPr="00006C39" w:rsidRDefault="00871764" w:rsidP="00006C39">
            <w:pPr>
              <w:pStyle w:val="ExhibitText"/>
              <w:rPr>
                <w:sz w:val="18"/>
                <w:szCs w:val="18"/>
              </w:rPr>
            </w:pPr>
            <w:r w:rsidRPr="00006C39">
              <w:rPr>
                <w:sz w:val="18"/>
                <w:szCs w:val="18"/>
              </w:rPr>
              <w:t xml:space="preserve">Compensation </w:t>
            </w:r>
          </w:p>
        </w:tc>
        <w:tc>
          <w:tcPr>
            <w:tcW w:w="1620" w:type="dxa"/>
          </w:tcPr>
          <w:p w14:paraId="247E9537" w14:textId="77777777" w:rsidR="00871764" w:rsidRPr="00006C39" w:rsidRDefault="00871764" w:rsidP="00006C39">
            <w:pPr>
              <w:pStyle w:val="ExhibitText"/>
              <w:jc w:val="center"/>
              <w:rPr>
                <w:sz w:val="18"/>
                <w:szCs w:val="18"/>
              </w:rPr>
            </w:pPr>
            <w:r w:rsidRPr="00006C39">
              <w:rPr>
                <w:sz w:val="18"/>
                <w:szCs w:val="18"/>
              </w:rPr>
              <w:t>13</w:t>
            </w:r>
          </w:p>
        </w:tc>
      </w:tr>
    </w:tbl>
    <w:p w14:paraId="00D02902" w14:textId="77777777" w:rsidR="0022176F" w:rsidRDefault="0022176F" w:rsidP="00871764">
      <w:pPr>
        <w:ind w:left="142"/>
        <w:rPr>
          <w:spacing w:val="-3"/>
          <w:sz w:val="22"/>
          <w:szCs w:val="22"/>
        </w:rPr>
      </w:pPr>
    </w:p>
    <w:p w14:paraId="6E0CC09B" w14:textId="713C9C9E" w:rsidR="00871764" w:rsidRPr="00871764" w:rsidRDefault="00871764" w:rsidP="004E1ECD">
      <w:pPr>
        <w:pStyle w:val="Footnote"/>
        <w:keepNext/>
      </w:pPr>
      <w:r w:rsidRPr="00871764">
        <w:t>Note: Strength and opportunities areas remained same from 2014 to 2016</w:t>
      </w:r>
      <w:r w:rsidR="00FD6AA7">
        <w:t>.</w:t>
      </w:r>
      <w:r w:rsidRPr="00871764">
        <w:t xml:space="preserve"> </w:t>
      </w:r>
      <w:r w:rsidR="00FD6AA7">
        <w:t xml:space="preserve">The </w:t>
      </w:r>
      <w:r w:rsidRPr="00871764">
        <w:t>Employee Engagement Survey covered 13 areas. Other dimensions measured in the surveys include</w:t>
      </w:r>
      <w:r w:rsidR="00FD6AA7">
        <w:t>d</w:t>
      </w:r>
      <w:r w:rsidRPr="00871764">
        <w:t xml:space="preserve"> Business Leader, Job Content, Relationship with Reporting Manager, Senior Management, Work Environment, Work</w:t>
      </w:r>
      <w:r w:rsidR="00FD6AA7">
        <w:t>–</w:t>
      </w:r>
      <w:r w:rsidRPr="00871764">
        <w:t>Life Balance</w:t>
      </w:r>
      <w:r w:rsidR="00FD6AA7">
        <w:t>,</w:t>
      </w:r>
      <w:r w:rsidRPr="00871764">
        <w:t xml:space="preserve"> and Engagement</w:t>
      </w:r>
      <w:r w:rsidR="0022176F">
        <w:t>.</w:t>
      </w:r>
    </w:p>
    <w:p w14:paraId="7A45ED52" w14:textId="746B38BE" w:rsidR="00871764" w:rsidRDefault="00871764" w:rsidP="004E1ECD">
      <w:pPr>
        <w:pStyle w:val="Footnote"/>
        <w:keepNext/>
      </w:pPr>
      <w:r w:rsidRPr="00871764">
        <w:t xml:space="preserve">Source: Created by </w:t>
      </w:r>
      <w:r w:rsidR="00FD6AA7">
        <w:t xml:space="preserve">the </w:t>
      </w:r>
      <w:r w:rsidRPr="00871764">
        <w:t>case authors based on company files.</w:t>
      </w:r>
    </w:p>
    <w:p w14:paraId="37BE3F25" w14:textId="77777777" w:rsidR="00282F15" w:rsidRDefault="00282F15" w:rsidP="00006C39">
      <w:pPr>
        <w:pStyle w:val="ExhibitHeading"/>
        <w:rPr>
          <w:spacing w:val="-3"/>
        </w:rPr>
      </w:pPr>
    </w:p>
    <w:p w14:paraId="18894F40" w14:textId="77777777" w:rsidR="00282F15" w:rsidRDefault="00282F15" w:rsidP="00006C39">
      <w:pPr>
        <w:pStyle w:val="ExhibitHeading"/>
        <w:rPr>
          <w:spacing w:val="-3"/>
        </w:rPr>
      </w:pPr>
    </w:p>
    <w:p w14:paraId="67AE5C19" w14:textId="2A4FD082" w:rsidR="00871764" w:rsidRDefault="00871764" w:rsidP="00006C39">
      <w:pPr>
        <w:pStyle w:val="ExhibitHeading"/>
      </w:pPr>
      <w:r>
        <w:rPr>
          <w:spacing w:val="-3"/>
        </w:rPr>
        <w:t xml:space="preserve">EXHIBIT 7: </w:t>
      </w:r>
      <w:r>
        <w:t>HIRING SOURCES (2016</w:t>
      </w:r>
      <w:r w:rsidR="00FD6AA7">
        <w:t>–</w:t>
      </w:r>
      <w:r>
        <w:t>June</w:t>
      </w:r>
      <w:r w:rsidR="00FD6AA7">
        <w:t xml:space="preserve"> 2017</w:t>
      </w:r>
      <w:r>
        <w:t>)</w:t>
      </w:r>
    </w:p>
    <w:p w14:paraId="271007EC" w14:textId="77777777" w:rsidR="00006C39" w:rsidRPr="00006C39" w:rsidRDefault="00006C39" w:rsidP="00006C39">
      <w:pPr>
        <w:rPr>
          <w:lang w:val="x-none" w:eastAsia="x-none"/>
        </w:rPr>
      </w:pPr>
    </w:p>
    <w:tbl>
      <w:tblPr>
        <w:tblStyle w:val="TableGrid"/>
        <w:tblW w:w="7825" w:type="dxa"/>
        <w:jc w:val="center"/>
        <w:tblLook w:val="04A0" w:firstRow="1" w:lastRow="0" w:firstColumn="1" w:lastColumn="0" w:noHBand="0" w:noVBand="1"/>
      </w:tblPr>
      <w:tblGrid>
        <w:gridCol w:w="4950"/>
        <w:gridCol w:w="810"/>
        <w:gridCol w:w="2065"/>
      </w:tblGrid>
      <w:tr w:rsidR="00871764" w:rsidRPr="00006C39" w14:paraId="3304EE21" w14:textId="77777777" w:rsidTr="006026EA">
        <w:trPr>
          <w:trHeight w:val="80"/>
          <w:jc w:val="center"/>
        </w:trPr>
        <w:tc>
          <w:tcPr>
            <w:tcW w:w="4950" w:type="dxa"/>
            <w:noWrap/>
            <w:hideMark/>
          </w:tcPr>
          <w:p w14:paraId="2D0C9E3C" w14:textId="77777777" w:rsidR="00871764" w:rsidRPr="00006C39" w:rsidRDefault="00871764" w:rsidP="006026EA">
            <w:pPr>
              <w:pStyle w:val="ExhibitText"/>
              <w:jc w:val="center"/>
              <w:rPr>
                <w:b/>
              </w:rPr>
            </w:pPr>
            <w:r w:rsidRPr="00006C39">
              <w:rPr>
                <w:b/>
              </w:rPr>
              <w:t>Source</w:t>
            </w:r>
          </w:p>
        </w:tc>
        <w:tc>
          <w:tcPr>
            <w:tcW w:w="810" w:type="dxa"/>
            <w:noWrap/>
            <w:hideMark/>
          </w:tcPr>
          <w:p w14:paraId="581F31CC" w14:textId="77777777" w:rsidR="00871764" w:rsidRPr="00006C39" w:rsidRDefault="00871764" w:rsidP="006026EA">
            <w:pPr>
              <w:pStyle w:val="ExhibitText"/>
              <w:jc w:val="center"/>
              <w:rPr>
                <w:b/>
              </w:rPr>
            </w:pPr>
            <w:r w:rsidRPr="00006C39">
              <w:rPr>
                <w:b/>
              </w:rPr>
              <w:t>2016</w:t>
            </w:r>
          </w:p>
        </w:tc>
        <w:tc>
          <w:tcPr>
            <w:tcW w:w="2065" w:type="dxa"/>
            <w:noWrap/>
            <w:hideMark/>
          </w:tcPr>
          <w:p w14:paraId="3FC63C52" w14:textId="2C8D65E0" w:rsidR="00871764" w:rsidRPr="00006C39" w:rsidRDefault="00FD6AA7" w:rsidP="006026EA">
            <w:pPr>
              <w:pStyle w:val="ExhibitText"/>
              <w:jc w:val="center"/>
              <w:rPr>
                <w:b/>
              </w:rPr>
            </w:pPr>
            <w:r>
              <w:rPr>
                <w:b/>
              </w:rPr>
              <w:t xml:space="preserve">January–June </w:t>
            </w:r>
            <w:r w:rsidR="00871764" w:rsidRPr="00006C39">
              <w:rPr>
                <w:b/>
              </w:rPr>
              <w:t xml:space="preserve">2017 </w:t>
            </w:r>
          </w:p>
        </w:tc>
      </w:tr>
      <w:tr w:rsidR="00871764" w:rsidRPr="00006C39" w14:paraId="1BD4E4C3" w14:textId="77777777" w:rsidTr="006026EA">
        <w:trPr>
          <w:trHeight w:val="60"/>
          <w:jc w:val="center"/>
        </w:trPr>
        <w:tc>
          <w:tcPr>
            <w:tcW w:w="4950" w:type="dxa"/>
            <w:noWrap/>
            <w:hideMark/>
          </w:tcPr>
          <w:p w14:paraId="5F3047BF" w14:textId="190474AC" w:rsidR="00871764" w:rsidRPr="00006C39" w:rsidRDefault="00871764" w:rsidP="00922772">
            <w:pPr>
              <w:pStyle w:val="ExhibitText"/>
            </w:pPr>
            <w:r w:rsidRPr="00006C39">
              <w:t xml:space="preserve">CRISIL Certified Chartered Analyst Program </w:t>
            </w:r>
          </w:p>
        </w:tc>
        <w:tc>
          <w:tcPr>
            <w:tcW w:w="810" w:type="dxa"/>
            <w:noWrap/>
            <w:hideMark/>
          </w:tcPr>
          <w:p w14:paraId="5A3D4978" w14:textId="77777777" w:rsidR="00871764" w:rsidRPr="00006C39" w:rsidRDefault="00871764" w:rsidP="006026EA">
            <w:pPr>
              <w:pStyle w:val="ExhibitText"/>
              <w:jc w:val="right"/>
            </w:pPr>
            <w:r w:rsidRPr="00006C39">
              <w:t>53</w:t>
            </w:r>
          </w:p>
        </w:tc>
        <w:tc>
          <w:tcPr>
            <w:tcW w:w="2065" w:type="dxa"/>
            <w:noWrap/>
            <w:hideMark/>
          </w:tcPr>
          <w:p w14:paraId="7C386DB0" w14:textId="77777777" w:rsidR="00871764" w:rsidRPr="00006C39" w:rsidRDefault="00871764" w:rsidP="006026EA">
            <w:pPr>
              <w:pStyle w:val="ExhibitText"/>
              <w:jc w:val="right"/>
            </w:pPr>
            <w:r w:rsidRPr="00006C39">
              <w:t>50</w:t>
            </w:r>
          </w:p>
        </w:tc>
      </w:tr>
      <w:tr w:rsidR="00871764" w:rsidRPr="00006C39" w14:paraId="1858ACED" w14:textId="77777777" w:rsidTr="006026EA">
        <w:trPr>
          <w:trHeight w:val="60"/>
          <w:jc w:val="center"/>
        </w:trPr>
        <w:tc>
          <w:tcPr>
            <w:tcW w:w="4950" w:type="dxa"/>
            <w:noWrap/>
            <w:hideMark/>
          </w:tcPr>
          <w:p w14:paraId="5158CF00" w14:textId="77777777" w:rsidR="00871764" w:rsidRPr="00006C39" w:rsidRDefault="00871764" w:rsidP="00006C39">
            <w:pPr>
              <w:pStyle w:val="ExhibitText"/>
            </w:pPr>
            <w:r w:rsidRPr="00006C39">
              <w:t>Campus</w:t>
            </w:r>
          </w:p>
        </w:tc>
        <w:tc>
          <w:tcPr>
            <w:tcW w:w="810" w:type="dxa"/>
            <w:noWrap/>
            <w:hideMark/>
          </w:tcPr>
          <w:p w14:paraId="570A1BC0" w14:textId="77777777" w:rsidR="00871764" w:rsidRPr="00006C39" w:rsidRDefault="00871764" w:rsidP="006026EA">
            <w:pPr>
              <w:pStyle w:val="ExhibitText"/>
              <w:jc w:val="right"/>
            </w:pPr>
            <w:r w:rsidRPr="00006C39">
              <w:t>193</w:t>
            </w:r>
          </w:p>
        </w:tc>
        <w:tc>
          <w:tcPr>
            <w:tcW w:w="2065" w:type="dxa"/>
            <w:noWrap/>
            <w:hideMark/>
          </w:tcPr>
          <w:p w14:paraId="39D76C0B" w14:textId="77777777" w:rsidR="00871764" w:rsidRPr="00006C39" w:rsidRDefault="00871764" w:rsidP="006026EA">
            <w:pPr>
              <w:pStyle w:val="ExhibitText"/>
              <w:jc w:val="right"/>
            </w:pPr>
            <w:r w:rsidRPr="00006C39">
              <w:t>95</w:t>
            </w:r>
          </w:p>
        </w:tc>
      </w:tr>
      <w:tr w:rsidR="00871764" w:rsidRPr="00006C39" w14:paraId="031157FC" w14:textId="77777777" w:rsidTr="006026EA">
        <w:trPr>
          <w:trHeight w:val="60"/>
          <w:jc w:val="center"/>
        </w:trPr>
        <w:tc>
          <w:tcPr>
            <w:tcW w:w="4950" w:type="dxa"/>
            <w:noWrap/>
            <w:hideMark/>
          </w:tcPr>
          <w:p w14:paraId="1CEECC27" w14:textId="6DCF8A4E" w:rsidR="00871764" w:rsidRPr="00006C39" w:rsidRDefault="00871764" w:rsidP="00006C39">
            <w:pPr>
              <w:pStyle w:val="ExhibitText"/>
            </w:pPr>
            <w:r w:rsidRPr="00006C39">
              <w:t>Website, social media</w:t>
            </w:r>
            <w:r w:rsidR="00FD6AA7">
              <w:t>,</w:t>
            </w:r>
            <w:r w:rsidRPr="00006C39">
              <w:t xml:space="preserve"> and job portal</w:t>
            </w:r>
          </w:p>
        </w:tc>
        <w:tc>
          <w:tcPr>
            <w:tcW w:w="810" w:type="dxa"/>
            <w:noWrap/>
            <w:hideMark/>
          </w:tcPr>
          <w:p w14:paraId="101AB5A9" w14:textId="77777777" w:rsidR="00871764" w:rsidRPr="00006C39" w:rsidRDefault="00871764" w:rsidP="006026EA">
            <w:pPr>
              <w:pStyle w:val="ExhibitText"/>
              <w:jc w:val="right"/>
            </w:pPr>
            <w:r w:rsidRPr="00006C39">
              <w:t>180</w:t>
            </w:r>
          </w:p>
        </w:tc>
        <w:tc>
          <w:tcPr>
            <w:tcW w:w="2065" w:type="dxa"/>
            <w:noWrap/>
            <w:hideMark/>
          </w:tcPr>
          <w:p w14:paraId="6BB7BE6D" w14:textId="77777777" w:rsidR="00871764" w:rsidRPr="00006C39" w:rsidRDefault="00871764" w:rsidP="006026EA">
            <w:pPr>
              <w:pStyle w:val="ExhibitText"/>
              <w:jc w:val="right"/>
            </w:pPr>
            <w:r w:rsidRPr="00006C39">
              <w:t>96</w:t>
            </w:r>
          </w:p>
        </w:tc>
      </w:tr>
      <w:tr w:rsidR="00871764" w:rsidRPr="00006C39" w14:paraId="66F74C8A" w14:textId="77777777" w:rsidTr="006026EA">
        <w:trPr>
          <w:trHeight w:val="60"/>
          <w:jc w:val="center"/>
        </w:trPr>
        <w:tc>
          <w:tcPr>
            <w:tcW w:w="4950" w:type="dxa"/>
            <w:noWrap/>
            <w:hideMark/>
          </w:tcPr>
          <w:p w14:paraId="4B68FFBD" w14:textId="77777777" w:rsidR="00871764" w:rsidRPr="00006C39" w:rsidRDefault="00871764" w:rsidP="00006C39">
            <w:pPr>
              <w:pStyle w:val="ExhibitText"/>
            </w:pPr>
            <w:r w:rsidRPr="00006C39">
              <w:t xml:space="preserve">Direct recruitment </w:t>
            </w:r>
          </w:p>
        </w:tc>
        <w:tc>
          <w:tcPr>
            <w:tcW w:w="810" w:type="dxa"/>
            <w:noWrap/>
            <w:hideMark/>
          </w:tcPr>
          <w:p w14:paraId="1627E16A" w14:textId="77777777" w:rsidR="00871764" w:rsidRPr="00006C39" w:rsidRDefault="00871764" w:rsidP="006026EA">
            <w:pPr>
              <w:pStyle w:val="ExhibitText"/>
              <w:jc w:val="right"/>
            </w:pPr>
            <w:r w:rsidRPr="00006C39">
              <w:t>422</w:t>
            </w:r>
          </w:p>
        </w:tc>
        <w:tc>
          <w:tcPr>
            <w:tcW w:w="2065" w:type="dxa"/>
            <w:noWrap/>
            <w:hideMark/>
          </w:tcPr>
          <w:p w14:paraId="12FF4B45" w14:textId="77777777" w:rsidR="00871764" w:rsidRPr="00006C39" w:rsidRDefault="00871764" w:rsidP="006026EA">
            <w:pPr>
              <w:pStyle w:val="ExhibitText"/>
              <w:jc w:val="right"/>
            </w:pPr>
            <w:r w:rsidRPr="00006C39">
              <w:t>151</w:t>
            </w:r>
          </w:p>
        </w:tc>
      </w:tr>
      <w:tr w:rsidR="00871764" w:rsidRPr="00006C39" w14:paraId="36CFECF0" w14:textId="77777777" w:rsidTr="006026EA">
        <w:trPr>
          <w:trHeight w:val="60"/>
          <w:jc w:val="center"/>
        </w:trPr>
        <w:tc>
          <w:tcPr>
            <w:tcW w:w="4950" w:type="dxa"/>
            <w:noWrap/>
            <w:hideMark/>
          </w:tcPr>
          <w:p w14:paraId="384025FF" w14:textId="77777777" w:rsidR="00871764" w:rsidRPr="00006C39" w:rsidRDefault="00871764" w:rsidP="00006C39">
            <w:pPr>
              <w:pStyle w:val="ExhibitText"/>
            </w:pPr>
            <w:r w:rsidRPr="00006C39">
              <w:t>Employee referral</w:t>
            </w:r>
          </w:p>
        </w:tc>
        <w:tc>
          <w:tcPr>
            <w:tcW w:w="810" w:type="dxa"/>
            <w:noWrap/>
            <w:hideMark/>
          </w:tcPr>
          <w:p w14:paraId="0FFE75A4" w14:textId="77777777" w:rsidR="00871764" w:rsidRPr="00006C39" w:rsidRDefault="00871764" w:rsidP="006026EA">
            <w:pPr>
              <w:pStyle w:val="ExhibitText"/>
              <w:jc w:val="right"/>
            </w:pPr>
            <w:r w:rsidRPr="00006C39">
              <w:t>125</w:t>
            </w:r>
          </w:p>
        </w:tc>
        <w:tc>
          <w:tcPr>
            <w:tcW w:w="2065" w:type="dxa"/>
            <w:noWrap/>
            <w:hideMark/>
          </w:tcPr>
          <w:p w14:paraId="2FF3CB6D" w14:textId="77777777" w:rsidR="00871764" w:rsidRPr="00006C39" w:rsidRDefault="00871764" w:rsidP="006026EA">
            <w:pPr>
              <w:pStyle w:val="ExhibitText"/>
              <w:jc w:val="right"/>
            </w:pPr>
            <w:r w:rsidRPr="00006C39">
              <w:t>60</w:t>
            </w:r>
          </w:p>
        </w:tc>
      </w:tr>
      <w:tr w:rsidR="00871764" w:rsidRPr="00006C39" w14:paraId="0A7434C2" w14:textId="77777777" w:rsidTr="006026EA">
        <w:trPr>
          <w:trHeight w:val="60"/>
          <w:jc w:val="center"/>
        </w:trPr>
        <w:tc>
          <w:tcPr>
            <w:tcW w:w="4950" w:type="dxa"/>
            <w:noWrap/>
            <w:hideMark/>
          </w:tcPr>
          <w:p w14:paraId="61C192F2" w14:textId="77777777" w:rsidR="00871764" w:rsidRPr="00006C39" w:rsidRDefault="00871764" w:rsidP="00006C39">
            <w:pPr>
              <w:pStyle w:val="ExhibitText"/>
            </w:pPr>
            <w:r w:rsidRPr="00006C39">
              <w:t>Placement agencies</w:t>
            </w:r>
          </w:p>
        </w:tc>
        <w:tc>
          <w:tcPr>
            <w:tcW w:w="810" w:type="dxa"/>
            <w:noWrap/>
            <w:hideMark/>
          </w:tcPr>
          <w:p w14:paraId="5A2F2CFF" w14:textId="77777777" w:rsidR="00871764" w:rsidRPr="00006C39" w:rsidRDefault="00871764" w:rsidP="006026EA">
            <w:pPr>
              <w:pStyle w:val="ExhibitText"/>
              <w:jc w:val="right"/>
            </w:pPr>
            <w:r w:rsidRPr="00006C39">
              <w:t>154</w:t>
            </w:r>
          </w:p>
        </w:tc>
        <w:tc>
          <w:tcPr>
            <w:tcW w:w="2065" w:type="dxa"/>
            <w:noWrap/>
            <w:hideMark/>
          </w:tcPr>
          <w:p w14:paraId="5EDE1FBB" w14:textId="77777777" w:rsidR="00871764" w:rsidRPr="00006C39" w:rsidRDefault="00871764" w:rsidP="006026EA">
            <w:pPr>
              <w:pStyle w:val="ExhibitText"/>
              <w:jc w:val="right"/>
            </w:pPr>
            <w:r w:rsidRPr="00006C39">
              <w:t>47</w:t>
            </w:r>
          </w:p>
        </w:tc>
      </w:tr>
      <w:tr w:rsidR="00871764" w:rsidRPr="00006C39" w14:paraId="65AC44E7" w14:textId="77777777" w:rsidTr="006026EA">
        <w:trPr>
          <w:trHeight w:val="60"/>
          <w:jc w:val="center"/>
        </w:trPr>
        <w:tc>
          <w:tcPr>
            <w:tcW w:w="4950" w:type="dxa"/>
            <w:noWrap/>
            <w:hideMark/>
          </w:tcPr>
          <w:p w14:paraId="2718B891" w14:textId="77777777" w:rsidR="00871764" w:rsidRPr="00006C39" w:rsidRDefault="00871764" w:rsidP="00006C39">
            <w:pPr>
              <w:pStyle w:val="ExhibitText"/>
            </w:pPr>
            <w:r w:rsidRPr="00006C39">
              <w:t>Internal job posting</w:t>
            </w:r>
          </w:p>
        </w:tc>
        <w:tc>
          <w:tcPr>
            <w:tcW w:w="810" w:type="dxa"/>
            <w:noWrap/>
            <w:hideMark/>
          </w:tcPr>
          <w:p w14:paraId="7A6D4E17" w14:textId="77777777" w:rsidR="00871764" w:rsidRPr="00006C39" w:rsidRDefault="00871764" w:rsidP="006026EA">
            <w:pPr>
              <w:pStyle w:val="ExhibitText"/>
              <w:jc w:val="right"/>
            </w:pPr>
            <w:r w:rsidRPr="00006C39">
              <w:t>62</w:t>
            </w:r>
          </w:p>
        </w:tc>
        <w:tc>
          <w:tcPr>
            <w:tcW w:w="2065" w:type="dxa"/>
            <w:noWrap/>
            <w:hideMark/>
          </w:tcPr>
          <w:p w14:paraId="4E59CA21" w14:textId="77777777" w:rsidR="00871764" w:rsidRPr="00006C39" w:rsidRDefault="00871764" w:rsidP="006026EA">
            <w:pPr>
              <w:pStyle w:val="ExhibitText"/>
              <w:jc w:val="right"/>
            </w:pPr>
            <w:r w:rsidRPr="00006C39">
              <w:t>62</w:t>
            </w:r>
          </w:p>
        </w:tc>
      </w:tr>
      <w:tr w:rsidR="00871764" w:rsidRPr="00006C39" w14:paraId="6659226D" w14:textId="77777777" w:rsidTr="006026EA">
        <w:trPr>
          <w:trHeight w:val="60"/>
          <w:jc w:val="center"/>
        </w:trPr>
        <w:tc>
          <w:tcPr>
            <w:tcW w:w="4950" w:type="dxa"/>
            <w:noWrap/>
            <w:hideMark/>
          </w:tcPr>
          <w:p w14:paraId="1CDC47DC" w14:textId="77777777" w:rsidR="00871764" w:rsidRPr="00006C39" w:rsidRDefault="00871764" w:rsidP="00006C39">
            <w:pPr>
              <w:pStyle w:val="ExhibitText"/>
            </w:pPr>
            <w:r w:rsidRPr="00006C39">
              <w:t>Total</w:t>
            </w:r>
          </w:p>
        </w:tc>
        <w:tc>
          <w:tcPr>
            <w:tcW w:w="810" w:type="dxa"/>
            <w:noWrap/>
            <w:hideMark/>
          </w:tcPr>
          <w:p w14:paraId="49BD72A7" w14:textId="4DF9BE28" w:rsidR="00871764" w:rsidRPr="00006C39" w:rsidRDefault="00871764" w:rsidP="006026EA">
            <w:pPr>
              <w:pStyle w:val="ExhibitText"/>
              <w:jc w:val="right"/>
            </w:pPr>
            <w:r w:rsidRPr="00006C39">
              <w:t>1</w:t>
            </w:r>
            <w:r w:rsidR="00FD6AA7">
              <w:t>,</w:t>
            </w:r>
            <w:r w:rsidRPr="00006C39">
              <w:t>136</w:t>
            </w:r>
          </w:p>
        </w:tc>
        <w:tc>
          <w:tcPr>
            <w:tcW w:w="2065" w:type="dxa"/>
            <w:noWrap/>
            <w:hideMark/>
          </w:tcPr>
          <w:p w14:paraId="03E43F32" w14:textId="77777777" w:rsidR="00871764" w:rsidRPr="00006C39" w:rsidRDefault="00871764" w:rsidP="006026EA">
            <w:pPr>
              <w:pStyle w:val="ExhibitText"/>
              <w:jc w:val="right"/>
            </w:pPr>
            <w:r w:rsidRPr="00006C39">
              <w:t>561</w:t>
            </w:r>
          </w:p>
        </w:tc>
      </w:tr>
    </w:tbl>
    <w:p w14:paraId="048A9175" w14:textId="77777777" w:rsidR="00006C39" w:rsidRDefault="00006C39" w:rsidP="00871764">
      <w:pPr>
        <w:spacing w:line="276" w:lineRule="auto"/>
        <w:rPr>
          <w:spacing w:val="-3"/>
          <w:sz w:val="22"/>
          <w:szCs w:val="22"/>
        </w:rPr>
      </w:pPr>
    </w:p>
    <w:p w14:paraId="52FAF185" w14:textId="4D396C5E" w:rsidR="00871764" w:rsidRDefault="00871764" w:rsidP="00006C39">
      <w:pPr>
        <w:pStyle w:val="Footnote"/>
      </w:pPr>
      <w:r>
        <w:t>Source: Created by</w:t>
      </w:r>
      <w:r w:rsidR="00FD6AA7">
        <w:t xml:space="preserve"> the</w:t>
      </w:r>
      <w:r>
        <w:t xml:space="preserve"> case authors based on company files.</w:t>
      </w:r>
    </w:p>
    <w:p w14:paraId="0010681E" w14:textId="77777777" w:rsidR="00871764" w:rsidRDefault="00871764" w:rsidP="00006C39">
      <w:pPr>
        <w:pStyle w:val="BodyTextMain"/>
      </w:pPr>
    </w:p>
    <w:p w14:paraId="1076F07D" w14:textId="77777777" w:rsidR="00871764" w:rsidRDefault="00871764" w:rsidP="00006C39">
      <w:pPr>
        <w:pStyle w:val="BodyTextMain"/>
      </w:pPr>
    </w:p>
    <w:p w14:paraId="0100ED0F" w14:textId="77777777" w:rsidR="00FD6AA7" w:rsidRDefault="00871764" w:rsidP="00006C39">
      <w:pPr>
        <w:pStyle w:val="ExhibitHeading"/>
      </w:pPr>
      <w:r>
        <w:rPr>
          <w:spacing w:val="-3"/>
        </w:rPr>
        <w:t xml:space="preserve">EXHIBIT 8: </w:t>
      </w:r>
      <w:r>
        <w:t>STRENGTH AND OPPORTUNITIES AREAS BASED ON</w:t>
      </w:r>
      <w:r>
        <w:rPr>
          <w:spacing w:val="-3"/>
        </w:rPr>
        <w:t xml:space="preserve"> E</w:t>
      </w:r>
      <w:r>
        <w:t xml:space="preserve">XIT INTERVIEW DATA </w:t>
      </w:r>
    </w:p>
    <w:p w14:paraId="3DF4979F" w14:textId="5AFCA527" w:rsidR="00871764" w:rsidRDefault="00871764" w:rsidP="00006C39">
      <w:pPr>
        <w:pStyle w:val="ExhibitHeading"/>
      </w:pPr>
      <w:r>
        <w:t>(JUNE 2014</w:t>
      </w:r>
      <w:r w:rsidR="00FD6AA7">
        <w:t>–</w:t>
      </w:r>
      <w:r>
        <w:t>JULY 2017)</w:t>
      </w:r>
    </w:p>
    <w:p w14:paraId="6B697656" w14:textId="77777777" w:rsidR="00006C39" w:rsidRDefault="00006C39" w:rsidP="00006C39">
      <w:pPr>
        <w:pStyle w:val="BodyTextMain"/>
      </w:pPr>
    </w:p>
    <w:tbl>
      <w:tblPr>
        <w:tblW w:w="8788" w:type="dxa"/>
        <w:tblInd w:w="392" w:type="dxa"/>
        <w:tblBorders>
          <w:top w:val="single" w:sz="4" w:space="0" w:color="auto"/>
          <w:bottom w:val="single" w:sz="4" w:space="0" w:color="auto"/>
        </w:tblBorders>
        <w:tblLook w:val="04A0" w:firstRow="1" w:lastRow="0" w:firstColumn="1" w:lastColumn="0" w:noHBand="0" w:noVBand="1"/>
      </w:tblPr>
      <w:tblGrid>
        <w:gridCol w:w="8788"/>
      </w:tblGrid>
      <w:tr w:rsidR="00871764" w:rsidRPr="00006C39" w14:paraId="02E4750D" w14:textId="77777777" w:rsidTr="00E72A88">
        <w:trPr>
          <w:trHeight w:val="50"/>
        </w:trPr>
        <w:tc>
          <w:tcPr>
            <w:tcW w:w="8788" w:type="dxa"/>
            <w:shd w:val="clear" w:color="auto" w:fill="auto"/>
            <w:noWrap/>
            <w:vAlign w:val="center"/>
          </w:tcPr>
          <w:p w14:paraId="47EDA51F" w14:textId="77777777" w:rsidR="00871764" w:rsidRPr="00006C39" w:rsidRDefault="00871764" w:rsidP="00006C39">
            <w:pPr>
              <w:pStyle w:val="ExhibitText"/>
              <w:rPr>
                <w:b/>
                <w:lang w:val="en-IN" w:eastAsia="en-IN"/>
              </w:rPr>
            </w:pPr>
            <w:r w:rsidRPr="00006C39">
              <w:rPr>
                <w:b/>
                <w:lang w:eastAsia="en-IN"/>
              </w:rPr>
              <w:t>Strength Areas</w:t>
            </w:r>
          </w:p>
        </w:tc>
      </w:tr>
      <w:tr w:rsidR="00871764" w14:paraId="55811013" w14:textId="77777777" w:rsidTr="00E72A88">
        <w:trPr>
          <w:trHeight w:val="50"/>
        </w:trPr>
        <w:tc>
          <w:tcPr>
            <w:tcW w:w="8788" w:type="dxa"/>
            <w:shd w:val="clear" w:color="auto" w:fill="auto"/>
            <w:noWrap/>
            <w:vAlign w:val="center"/>
          </w:tcPr>
          <w:p w14:paraId="116B1E96" w14:textId="5E4071EE" w:rsidR="00871764" w:rsidRDefault="00E27321" w:rsidP="00006C39">
            <w:pPr>
              <w:pStyle w:val="ExhibitText"/>
              <w:rPr>
                <w:bCs/>
                <w:lang w:eastAsia="en-IN"/>
              </w:rPr>
            </w:pPr>
            <w:r>
              <w:t>Caring shown by immediate manager</w:t>
            </w:r>
          </w:p>
        </w:tc>
      </w:tr>
      <w:tr w:rsidR="00871764" w14:paraId="1F184894" w14:textId="77777777" w:rsidTr="00E72A88">
        <w:trPr>
          <w:trHeight w:val="50"/>
        </w:trPr>
        <w:tc>
          <w:tcPr>
            <w:tcW w:w="8788" w:type="dxa"/>
            <w:shd w:val="clear" w:color="auto" w:fill="auto"/>
            <w:noWrap/>
            <w:vAlign w:val="center"/>
          </w:tcPr>
          <w:p w14:paraId="5352807E" w14:textId="77777777" w:rsidR="00871764" w:rsidRDefault="00871764" w:rsidP="00006C39">
            <w:pPr>
              <w:pStyle w:val="ExhibitText"/>
              <w:rPr>
                <w:bCs/>
                <w:lang w:eastAsia="en-IN"/>
              </w:rPr>
            </w:pPr>
            <w:r>
              <w:rPr>
                <w:bCs/>
                <w:lang w:eastAsia="en-IN"/>
              </w:rPr>
              <w:t>Relationship with colleagues &amp; peers</w:t>
            </w:r>
          </w:p>
        </w:tc>
      </w:tr>
      <w:tr w:rsidR="00871764" w14:paraId="3496D33B" w14:textId="77777777" w:rsidTr="00E72A88">
        <w:trPr>
          <w:trHeight w:val="50"/>
        </w:trPr>
        <w:tc>
          <w:tcPr>
            <w:tcW w:w="8788" w:type="dxa"/>
            <w:shd w:val="clear" w:color="auto" w:fill="auto"/>
            <w:noWrap/>
            <w:vAlign w:val="center"/>
          </w:tcPr>
          <w:p w14:paraId="01A51156" w14:textId="62299D44" w:rsidR="00871764" w:rsidRDefault="00871764" w:rsidP="00DC1DC1">
            <w:pPr>
              <w:pStyle w:val="ExhibitText"/>
              <w:rPr>
                <w:bCs/>
                <w:lang w:eastAsia="en-IN"/>
              </w:rPr>
            </w:pPr>
            <w:r>
              <w:rPr>
                <w:bCs/>
                <w:lang w:eastAsia="en-IN"/>
              </w:rPr>
              <w:t>Relationship with manager</w:t>
            </w:r>
          </w:p>
        </w:tc>
      </w:tr>
      <w:tr w:rsidR="00871764" w14:paraId="37EABB36" w14:textId="77777777" w:rsidTr="00E72A88">
        <w:trPr>
          <w:trHeight w:val="50"/>
        </w:trPr>
        <w:tc>
          <w:tcPr>
            <w:tcW w:w="8788" w:type="dxa"/>
            <w:shd w:val="clear" w:color="auto" w:fill="auto"/>
            <w:noWrap/>
            <w:vAlign w:val="center"/>
          </w:tcPr>
          <w:p w14:paraId="193240C0" w14:textId="77777777" w:rsidR="00871764" w:rsidRDefault="00871764" w:rsidP="00006C39">
            <w:pPr>
              <w:pStyle w:val="ExhibitText"/>
              <w:rPr>
                <w:bCs/>
                <w:lang w:eastAsia="en-IN"/>
              </w:rPr>
            </w:pPr>
            <w:r>
              <w:rPr>
                <w:bCs/>
                <w:lang w:eastAsia="en-IN"/>
              </w:rPr>
              <w:t>The quality of the services</w:t>
            </w:r>
          </w:p>
        </w:tc>
      </w:tr>
      <w:tr w:rsidR="00871764" w14:paraId="466FC38E" w14:textId="77777777" w:rsidTr="00E72A88">
        <w:trPr>
          <w:trHeight w:val="50"/>
        </w:trPr>
        <w:tc>
          <w:tcPr>
            <w:tcW w:w="8788" w:type="dxa"/>
            <w:shd w:val="clear" w:color="auto" w:fill="auto"/>
            <w:noWrap/>
            <w:vAlign w:val="center"/>
          </w:tcPr>
          <w:p w14:paraId="431CE451" w14:textId="71831869" w:rsidR="00871764" w:rsidRDefault="00871764" w:rsidP="00DC1DC1">
            <w:pPr>
              <w:pStyle w:val="ExhibitText"/>
              <w:rPr>
                <w:bCs/>
                <w:lang w:eastAsia="en-IN"/>
              </w:rPr>
            </w:pPr>
            <w:r>
              <w:rPr>
                <w:bCs/>
                <w:lang w:eastAsia="en-IN"/>
              </w:rPr>
              <w:t>Promotions based on meritocracy</w:t>
            </w:r>
          </w:p>
        </w:tc>
      </w:tr>
      <w:tr w:rsidR="00871764" w:rsidRPr="00006C39" w14:paraId="52855D46" w14:textId="77777777" w:rsidTr="00006C39">
        <w:trPr>
          <w:trHeight w:val="70"/>
        </w:trPr>
        <w:tc>
          <w:tcPr>
            <w:tcW w:w="8788" w:type="dxa"/>
            <w:shd w:val="clear" w:color="auto" w:fill="auto"/>
            <w:noWrap/>
            <w:vAlign w:val="center"/>
            <w:hideMark/>
          </w:tcPr>
          <w:p w14:paraId="48ADE70B" w14:textId="77777777" w:rsidR="00871764" w:rsidRPr="00006C39" w:rsidRDefault="00871764" w:rsidP="00006C39">
            <w:pPr>
              <w:pStyle w:val="ExhibitText"/>
              <w:rPr>
                <w:b/>
                <w:color w:val="000000"/>
                <w:lang w:val="en-IN" w:eastAsia="en-IN"/>
              </w:rPr>
            </w:pPr>
            <w:r w:rsidRPr="00006C39">
              <w:rPr>
                <w:b/>
                <w:lang w:eastAsia="en-IN"/>
              </w:rPr>
              <w:t>Opportunities Areas</w:t>
            </w:r>
          </w:p>
        </w:tc>
      </w:tr>
      <w:tr w:rsidR="00871764" w14:paraId="0C568EB1" w14:textId="77777777" w:rsidTr="00006C39">
        <w:trPr>
          <w:trHeight w:val="70"/>
        </w:trPr>
        <w:tc>
          <w:tcPr>
            <w:tcW w:w="8788" w:type="dxa"/>
            <w:shd w:val="clear" w:color="auto" w:fill="auto"/>
            <w:noWrap/>
            <w:vAlign w:val="center"/>
            <w:hideMark/>
          </w:tcPr>
          <w:p w14:paraId="61581CD2" w14:textId="77777777" w:rsidR="00871764" w:rsidRDefault="00871764" w:rsidP="00006C39">
            <w:pPr>
              <w:pStyle w:val="ExhibitText"/>
              <w:rPr>
                <w:bCs/>
                <w:lang w:eastAsia="en-IN"/>
              </w:rPr>
            </w:pPr>
            <w:r>
              <w:rPr>
                <w:bCs/>
                <w:lang w:eastAsia="en-IN"/>
              </w:rPr>
              <w:t>Lack of clarity on career progression</w:t>
            </w:r>
          </w:p>
        </w:tc>
      </w:tr>
      <w:tr w:rsidR="00871764" w14:paraId="53445B9F" w14:textId="77777777" w:rsidTr="00006C39">
        <w:trPr>
          <w:trHeight w:val="70"/>
        </w:trPr>
        <w:tc>
          <w:tcPr>
            <w:tcW w:w="8788" w:type="dxa"/>
            <w:shd w:val="clear" w:color="auto" w:fill="auto"/>
            <w:noWrap/>
            <w:vAlign w:val="center"/>
            <w:hideMark/>
          </w:tcPr>
          <w:p w14:paraId="6FACCD14" w14:textId="49BCE687" w:rsidR="00871764" w:rsidRDefault="00871764" w:rsidP="00922772">
            <w:pPr>
              <w:pStyle w:val="ExhibitText"/>
              <w:rPr>
                <w:bCs/>
                <w:lang w:eastAsia="en-IN"/>
              </w:rPr>
            </w:pPr>
            <w:r>
              <w:rPr>
                <w:bCs/>
                <w:lang w:eastAsia="en-IN"/>
              </w:rPr>
              <w:t xml:space="preserve">Opportunities for </w:t>
            </w:r>
            <w:r w:rsidR="00FD6AA7">
              <w:rPr>
                <w:bCs/>
                <w:lang w:eastAsia="en-IN"/>
              </w:rPr>
              <w:t>g</w:t>
            </w:r>
            <w:r>
              <w:rPr>
                <w:bCs/>
                <w:lang w:eastAsia="en-IN"/>
              </w:rPr>
              <w:t xml:space="preserve">rowth and </w:t>
            </w:r>
            <w:r w:rsidR="00FD6AA7">
              <w:rPr>
                <w:bCs/>
                <w:lang w:eastAsia="en-IN"/>
              </w:rPr>
              <w:t>d</w:t>
            </w:r>
            <w:r>
              <w:rPr>
                <w:bCs/>
                <w:lang w:eastAsia="en-IN"/>
              </w:rPr>
              <w:t>evelopment</w:t>
            </w:r>
          </w:p>
        </w:tc>
      </w:tr>
      <w:tr w:rsidR="00871764" w14:paraId="25303AEE" w14:textId="77777777" w:rsidTr="00E72A88">
        <w:trPr>
          <w:trHeight w:val="66"/>
        </w:trPr>
        <w:tc>
          <w:tcPr>
            <w:tcW w:w="8788" w:type="dxa"/>
            <w:shd w:val="clear" w:color="auto" w:fill="auto"/>
            <w:noWrap/>
            <w:vAlign w:val="center"/>
            <w:hideMark/>
          </w:tcPr>
          <w:p w14:paraId="007BB736" w14:textId="4D4C64C3" w:rsidR="00871764" w:rsidRDefault="00871764" w:rsidP="00DC1DC1">
            <w:pPr>
              <w:pStyle w:val="ExhibitText"/>
              <w:rPr>
                <w:bCs/>
                <w:lang w:eastAsia="en-IN"/>
              </w:rPr>
            </w:pPr>
            <w:r>
              <w:rPr>
                <w:bCs/>
                <w:lang w:eastAsia="en-IN"/>
              </w:rPr>
              <w:t xml:space="preserve">Lack of recognition/appreciation </w:t>
            </w:r>
            <w:r w:rsidR="00FD6AA7">
              <w:rPr>
                <w:bCs/>
                <w:lang w:eastAsia="en-IN"/>
              </w:rPr>
              <w:t>of</w:t>
            </w:r>
            <w:r>
              <w:rPr>
                <w:bCs/>
                <w:lang w:eastAsia="en-IN"/>
              </w:rPr>
              <w:t xml:space="preserve"> work</w:t>
            </w:r>
          </w:p>
        </w:tc>
      </w:tr>
      <w:tr w:rsidR="00871764" w14:paraId="4167B783" w14:textId="77777777" w:rsidTr="00006C39">
        <w:trPr>
          <w:trHeight w:val="70"/>
        </w:trPr>
        <w:tc>
          <w:tcPr>
            <w:tcW w:w="8788" w:type="dxa"/>
            <w:shd w:val="clear" w:color="auto" w:fill="auto"/>
            <w:noWrap/>
            <w:vAlign w:val="center"/>
            <w:hideMark/>
          </w:tcPr>
          <w:p w14:paraId="46518BA9" w14:textId="6AF5725D" w:rsidR="00871764" w:rsidRDefault="00D4384A" w:rsidP="00DC1DC1">
            <w:pPr>
              <w:pStyle w:val="ExhibitText"/>
              <w:rPr>
                <w:bCs/>
                <w:lang w:eastAsia="en-IN"/>
              </w:rPr>
            </w:pPr>
            <w:r>
              <w:rPr>
                <w:bCs/>
                <w:lang w:eastAsia="en-IN"/>
              </w:rPr>
              <w:t>W</w:t>
            </w:r>
            <w:r w:rsidR="00871764">
              <w:rPr>
                <w:bCs/>
                <w:lang w:eastAsia="en-IN"/>
              </w:rPr>
              <w:t>ork has become routine; not enough learning opportunities</w:t>
            </w:r>
          </w:p>
        </w:tc>
      </w:tr>
      <w:tr w:rsidR="00871764" w14:paraId="3B8AE498" w14:textId="77777777" w:rsidTr="00006C39">
        <w:trPr>
          <w:trHeight w:val="70"/>
        </w:trPr>
        <w:tc>
          <w:tcPr>
            <w:tcW w:w="8788" w:type="dxa"/>
            <w:shd w:val="clear" w:color="auto" w:fill="auto"/>
            <w:noWrap/>
            <w:vAlign w:val="center"/>
            <w:hideMark/>
          </w:tcPr>
          <w:p w14:paraId="42F7E7F8" w14:textId="523001F5" w:rsidR="00871764" w:rsidRDefault="00871764" w:rsidP="00922772">
            <w:pPr>
              <w:pStyle w:val="ExhibitText"/>
              <w:rPr>
                <w:bCs/>
                <w:lang w:eastAsia="en-IN"/>
              </w:rPr>
            </w:pPr>
            <w:r>
              <w:rPr>
                <w:bCs/>
                <w:lang w:eastAsia="en-IN"/>
              </w:rPr>
              <w:t>Lack of employee</w:t>
            </w:r>
            <w:r w:rsidR="00EE1965">
              <w:rPr>
                <w:bCs/>
                <w:lang w:eastAsia="en-IN"/>
              </w:rPr>
              <w:t>-</w:t>
            </w:r>
            <w:r>
              <w:rPr>
                <w:bCs/>
                <w:lang w:eastAsia="en-IN"/>
              </w:rPr>
              <w:t>friendly policies and procedures</w:t>
            </w:r>
          </w:p>
        </w:tc>
      </w:tr>
    </w:tbl>
    <w:p w14:paraId="5A706A57" w14:textId="77777777" w:rsidR="00006C39" w:rsidRDefault="00006C39" w:rsidP="00871764">
      <w:pPr>
        <w:spacing w:line="276" w:lineRule="auto"/>
        <w:ind w:firstLine="284"/>
        <w:rPr>
          <w:spacing w:val="-3"/>
          <w:sz w:val="22"/>
          <w:szCs w:val="22"/>
        </w:rPr>
      </w:pPr>
    </w:p>
    <w:p w14:paraId="25AC849E" w14:textId="623959DD" w:rsidR="00871764" w:rsidRDefault="00871764" w:rsidP="00006C39">
      <w:pPr>
        <w:pStyle w:val="Footnote"/>
      </w:pPr>
      <w:r>
        <w:t>Source: Created by</w:t>
      </w:r>
      <w:r w:rsidR="00FD6AA7">
        <w:t xml:space="preserve"> the</w:t>
      </w:r>
      <w:r>
        <w:t xml:space="preserve"> case authors based on company files.</w:t>
      </w:r>
    </w:p>
    <w:p w14:paraId="66686249" w14:textId="77777777" w:rsidR="00FA78FD" w:rsidRPr="006C4781" w:rsidRDefault="00FA78FD" w:rsidP="00FA78FD">
      <w:pPr>
        <w:pStyle w:val="BodyTextMain"/>
        <w:rPr>
          <w:spacing w:val="-2"/>
        </w:rPr>
      </w:pPr>
    </w:p>
    <w:p w14:paraId="4D8F6FE6" w14:textId="77777777" w:rsidR="00465348" w:rsidRPr="009C2666" w:rsidRDefault="00465348" w:rsidP="000D7091">
      <w:pPr>
        <w:pStyle w:val="BodyTextMain"/>
      </w:pPr>
    </w:p>
    <w:sectPr w:rsidR="00465348" w:rsidRPr="009C2666"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5A1EB9" w16cid:durableId="1E49898A"/>
  <w16cid:commentId w16cid:paraId="6738F08E" w16cid:durableId="1E498AA1"/>
  <w16cid:commentId w16cid:paraId="1B81F846" w16cid:durableId="1E49898B"/>
  <w16cid:commentId w16cid:paraId="1A15B94C" w16cid:durableId="1E498B03"/>
  <w16cid:commentId w16cid:paraId="2D6FAECB" w16cid:durableId="1E49898C"/>
  <w16cid:commentId w16cid:paraId="6C892188" w16cid:durableId="1E498B57"/>
  <w16cid:commentId w16cid:paraId="58E4CE0B" w16cid:durableId="1E49898D"/>
  <w16cid:commentId w16cid:paraId="4E2EA342" w16cid:durableId="1E498C74"/>
  <w16cid:commentId w16cid:paraId="16100F4F" w16cid:durableId="1E49898E"/>
  <w16cid:commentId w16cid:paraId="632624C4" w16cid:durableId="1E498CAD"/>
  <w16cid:commentId w16cid:paraId="006B544F" w16cid:durableId="1E49898F"/>
  <w16cid:commentId w16cid:paraId="3AD19C16" w16cid:durableId="1E498CDD"/>
  <w16cid:commentId w16cid:paraId="223BAF76" w16cid:durableId="1E498990"/>
  <w16cid:commentId w16cid:paraId="405C6A7D" w16cid:durableId="1E498DA8"/>
  <w16cid:commentId w16cid:paraId="51131699" w16cid:durableId="1E498991"/>
  <w16cid:commentId w16cid:paraId="07979222" w16cid:durableId="1E498EBD"/>
  <w16cid:commentId w16cid:paraId="50F2A4C9" w16cid:durableId="1E498992"/>
  <w16cid:commentId w16cid:paraId="270841AC" w16cid:durableId="1E498EE1"/>
  <w16cid:commentId w16cid:paraId="6687314B" w16cid:durableId="1E498993"/>
  <w16cid:commentId w16cid:paraId="37806457" w16cid:durableId="1E498F1B"/>
  <w16cid:commentId w16cid:paraId="1058EDDE" w16cid:durableId="1E498994"/>
  <w16cid:commentId w16cid:paraId="1D3D83E1" w16cid:durableId="1E498F9F"/>
  <w16cid:commentId w16cid:paraId="4AA891B7" w16cid:durableId="1E498995"/>
  <w16cid:commentId w16cid:paraId="13F01CBB" w16cid:durableId="1E498FE0"/>
  <w16cid:commentId w16cid:paraId="67D525DB" w16cid:durableId="1E498996"/>
  <w16cid:commentId w16cid:paraId="69319AE7" w16cid:durableId="1E4990EF"/>
  <w16cid:commentId w16cid:paraId="6E81C399" w16cid:durableId="1E498997"/>
  <w16cid:commentId w16cid:paraId="5B19D7E8" w16cid:durableId="1E49912C"/>
  <w16cid:commentId w16cid:paraId="10480FA9" w16cid:durableId="1E498998"/>
  <w16cid:commentId w16cid:paraId="083A8C38" w16cid:durableId="1E499193"/>
  <w16cid:commentId w16cid:paraId="1DD3B4E5" w16cid:durableId="1E498999"/>
  <w16cid:commentId w16cid:paraId="279FB3D2" w16cid:durableId="1E4991FA"/>
  <w16cid:commentId w16cid:paraId="26F39E12" w16cid:durableId="1E49899A"/>
  <w16cid:commentId w16cid:paraId="5169F116" w16cid:durableId="1E499240"/>
  <w16cid:commentId w16cid:paraId="013BE49C" w16cid:durableId="1E49899B"/>
  <w16cid:commentId w16cid:paraId="4192C1AE" w16cid:durableId="1E499347"/>
  <w16cid:commentId w16cid:paraId="21025A2F" w16cid:durableId="1E49899C"/>
  <w16cid:commentId w16cid:paraId="12EAC544" w16cid:durableId="1E4994E8"/>
  <w16cid:commentId w16cid:paraId="25045695" w16cid:durableId="1E49899D"/>
  <w16cid:commentId w16cid:paraId="6D487D6D" w16cid:durableId="1E499506"/>
  <w16cid:commentId w16cid:paraId="479109A8" w16cid:durableId="1E49899E"/>
  <w16cid:commentId w16cid:paraId="51926607" w16cid:durableId="1E499550"/>
  <w16cid:commentId w16cid:paraId="68F30B62" w16cid:durableId="1E49899F"/>
  <w16cid:commentId w16cid:paraId="7EB86847" w16cid:durableId="1E49968B"/>
  <w16cid:commentId w16cid:paraId="30D2B4C1" w16cid:durableId="1E4989A0"/>
  <w16cid:commentId w16cid:paraId="6E032A38" w16cid:durableId="1E4996F1"/>
  <w16cid:commentId w16cid:paraId="38AD4C1F" w16cid:durableId="1E4989A1"/>
  <w16cid:commentId w16cid:paraId="75B07F3D" w16cid:durableId="1E49973D"/>
  <w16cid:commentId w16cid:paraId="5D8FAE78" w16cid:durableId="1E4989A2"/>
  <w16cid:commentId w16cid:paraId="78043CCE" w16cid:durableId="1E4997BA"/>
  <w16cid:commentId w16cid:paraId="71CA130E" w16cid:durableId="1E4989A3"/>
  <w16cid:commentId w16cid:paraId="5C93C51A" w16cid:durableId="1E4998D7"/>
  <w16cid:commentId w16cid:paraId="28F6AB62" w16cid:durableId="1E4989A4"/>
  <w16cid:commentId w16cid:paraId="517634AF" w16cid:durableId="1E499958"/>
  <w16cid:commentId w16cid:paraId="2EFF405F" w16cid:durableId="1E4989A5"/>
  <w16cid:commentId w16cid:paraId="61B35DAC" w16cid:durableId="1E49998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77C9F" w14:textId="77777777" w:rsidR="004E1ECD" w:rsidRDefault="004E1ECD" w:rsidP="00D75295">
      <w:r>
        <w:separator/>
      </w:r>
    </w:p>
  </w:endnote>
  <w:endnote w:type="continuationSeparator" w:id="0">
    <w:p w14:paraId="75225596" w14:textId="77777777" w:rsidR="004E1ECD" w:rsidRDefault="004E1EC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17146" w14:textId="77777777" w:rsidR="004E1ECD" w:rsidRDefault="004E1ECD" w:rsidP="00D75295">
      <w:r>
        <w:separator/>
      </w:r>
    </w:p>
  </w:footnote>
  <w:footnote w:type="continuationSeparator" w:id="0">
    <w:p w14:paraId="7F68A1ED" w14:textId="77777777" w:rsidR="004E1ECD" w:rsidRDefault="004E1ECD" w:rsidP="00D75295">
      <w:r>
        <w:continuationSeparator/>
      </w:r>
    </w:p>
  </w:footnote>
  <w:footnote w:id="1">
    <w:p w14:paraId="5D4DB12E" w14:textId="73A06219" w:rsidR="004E1ECD" w:rsidRPr="00FA78FD" w:rsidRDefault="004E1ECD" w:rsidP="00FA78FD">
      <w:pPr>
        <w:pStyle w:val="Footnote"/>
      </w:pPr>
      <w:r w:rsidRPr="00FA78FD">
        <w:rPr>
          <w:rStyle w:val="FootnoteReference"/>
        </w:rPr>
        <w:footnoteRef/>
      </w:r>
      <w:r w:rsidRPr="00FA78FD">
        <w:t xml:space="preserve"> </w:t>
      </w:r>
      <w:r>
        <w:t xml:space="preserve">The </w:t>
      </w:r>
      <w:r w:rsidRPr="00FA78FD">
        <w:t xml:space="preserve">CLAP </w:t>
      </w:r>
      <w:r>
        <w:t>a</w:t>
      </w:r>
      <w:r w:rsidRPr="00FA78FD">
        <w:t xml:space="preserve">ward was a monthly recognition forum wherein </w:t>
      </w:r>
      <w:r>
        <w:t>employees</w:t>
      </w:r>
      <w:r w:rsidRPr="00FA78FD">
        <w:t xml:space="preserve"> </w:t>
      </w:r>
      <w:r>
        <w:t>were</w:t>
      </w:r>
      <w:r w:rsidRPr="00FA78FD">
        <w:t xml:space="preserve"> rewarded for going the extra mile, exhibiting dedication</w:t>
      </w:r>
      <w:r>
        <w:t>,</w:t>
      </w:r>
      <w:r w:rsidRPr="00FA78FD">
        <w:t xml:space="preserve"> </w:t>
      </w:r>
      <w:r>
        <w:t xml:space="preserve">or </w:t>
      </w:r>
      <w:r w:rsidRPr="00FA78FD">
        <w:t xml:space="preserve">bringing in process efficiency. It was given to employees up </w:t>
      </w:r>
      <w:r>
        <w:t>to the</w:t>
      </w:r>
      <w:r w:rsidRPr="00FA78FD">
        <w:t xml:space="preserve"> manager level.</w:t>
      </w:r>
    </w:p>
  </w:footnote>
  <w:footnote w:id="2">
    <w:p w14:paraId="08931FC9" w14:textId="3D16D4F1" w:rsidR="004E1ECD" w:rsidRPr="000429E8" w:rsidRDefault="004E1ECD" w:rsidP="00FA78FD">
      <w:pPr>
        <w:pStyle w:val="Footnote"/>
        <w:rPr>
          <w:spacing w:val="-6"/>
        </w:rPr>
      </w:pPr>
      <w:r w:rsidRPr="000429E8">
        <w:rPr>
          <w:rStyle w:val="FootnoteReference"/>
          <w:spacing w:val="-6"/>
        </w:rPr>
        <w:footnoteRef/>
      </w:r>
      <w:r w:rsidRPr="000429E8">
        <w:rPr>
          <w:spacing w:val="-6"/>
          <w:vertAlign w:val="superscript"/>
        </w:rPr>
        <w:t xml:space="preserve"> </w:t>
      </w:r>
      <w:r w:rsidRPr="000429E8">
        <w:rPr>
          <w:spacing w:val="-6"/>
        </w:rPr>
        <w:t xml:space="preserve">Hemanth Gorur and Sumit Chowdhury, </w:t>
      </w:r>
      <w:r w:rsidRPr="000429E8">
        <w:rPr>
          <w:i/>
          <w:spacing w:val="-6"/>
        </w:rPr>
        <w:t>Doing What is Right: The CRISIL Story</w:t>
      </w:r>
      <w:r w:rsidRPr="000429E8">
        <w:rPr>
          <w:spacing w:val="-6"/>
        </w:rPr>
        <w:t xml:space="preserve"> (Chennai, India: Westland Books Ltd, 2012), 91–92.</w:t>
      </w:r>
    </w:p>
  </w:footnote>
  <w:footnote w:id="3">
    <w:p w14:paraId="0F370EFB" w14:textId="26713E2F" w:rsidR="004E1ECD" w:rsidRPr="00FA78FD" w:rsidRDefault="004E1ECD" w:rsidP="00FA78FD">
      <w:pPr>
        <w:pStyle w:val="Footnote"/>
      </w:pPr>
      <w:r w:rsidRPr="00FA78FD">
        <w:rPr>
          <w:rStyle w:val="FootnoteReference"/>
        </w:rPr>
        <w:footnoteRef/>
      </w:r>
      <w:r w:rsidRPr="00FA78FD">
        <w:rPr>
          <w:vertAlign w:val="superscript"/>
        </w:rPr>
        <w:t xml:space="preserve"> </w:t>
      </w:r>
      <w:r>
        <w:t>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C39A1" w14:textId="136A31F6" w:rsidR="004E1ECD" w:rsidRPr="00C92CC4" w:rsidRDefault="004E1EC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C27AD">
      <w:rPr>
        <w:rFonts w:ascii="Arial" w:hAnsi="Arial"/>
        <w:b/>
        <w:noProof/>
      </w:rPr>
      <w:t>12</w:t>
    </w:r>
    <w:r>
      <w:rPr>
        <w:rFonts w:ascii="Arial" w:hAnsi="Arial"/>
        <w:b/>
      </w:rPr>
      <w:fldChar w:fldCharType="end"/>
    </w:r>
    <w:r>
      <w:rPr>
        <w:rFonts w:ascii="Arial" w:hAnsi="Arial"/>
        <w:b/>
      </w:rPr>
      <w:tab/>
    </w:r>
    <w:r w:rsidR="00282F15">
      <w:rPr>
        <w:rFonts w:ascii="Arial" w:hAnsi="Arial"/>
        <w:b/>
      </w:rPr>
      <w:t>9B18C009</w:t>
    </w:r>
  </w:p>
  <w:p w14:paraId="512B8C8F" w14:textId="77777777" w:rsidR="004E1ECD" w:rsidRDefault="004E1ECD" w:rsidP="00D13667">
    <w:pPr>
      <w:pStyle w:val="Header"/>
      <w:tabs>
        <w:tab w:val="clear" w:pos="4680"/>
      </w:tabs>
      <w:rPr>
        <w:sz w:val="18"/>
        <w:szCs w:val="18"/>
      </w:rPr>
    </w:pPr>
  </w:p>
  <w:p w14:paraId="0EBC3733" w14:textId="77777777" w:rsidR="004E1ECD" w:rsidRPr="00C92CC4" w:rsidRDefault="004E1EC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C39"/>
    <w:rsid w:val="00013360"/>
    <w:rsid w:val="0001367C"/>
    <w:rsid w:val="00016759"/>
    <w:rsid w:val="000216CE"/>
    <w:rsid w:val="00024ED4"/>
    <w:rsid w:val="00025DC7"/>
    <w:rsid w:val="00035F09"/>
    <w:rsid w:val="00037C1D"/>
    <w:rsid w:val="000429E8"/>
    <w:rsid w:val="00044ECC"/>
    <w:rsid w:val="000531D3"/>
    <w:rsid w:val="0005646B"/>
    <w:rsid w:val="00073C08"/>
    <w:rsid w:val="0008102D"/>
    <w:rsid w:val="00090C10"/>
    <w:rsid w:val="000928ED"/>
    <w:rsid w:val="00094C0E"/>
    <w:rsid w:val="000A73C0"/>
    <w:rsid w:val="000C27AD"/>
    <w:rsid w:val="000D7091"/>
    <w:rsid w:val="000F0078"/>
    <w:rsid w:val="000F0C22"/>
    <w:rsid w:val="000F6B09"/>
    <w:rsid w:val="000F6FDC"/>
    <w:rsid w:val="001030ED"/>
    <w:rsid w:val="00104567"/>
    <w:rsid w:val="00104916"/>
    <w:rsid w:val="00104AA7"/>
    <w:rsid w:val="00112AB8"/>
    <w:rsid w:val="001156A4"/>
    <w:rsid w:val="001216EC"/>
    <w:rsid w:val="0012732D"/>
    <w:rsid w:val="00143F25"/>
    <w:rsid w:val="00152682"/>
    <w:rsid w:val="00154FC9"/>
    <w:rsid w:val="00176FB1"/>
    <w:rsid w:val="0019241A"/>
    <w:rsid w:val="001A22D1"/>
    <w:rsid w:val="001A2DFF"/>
    <w:rsid w:val="001A6B8A"/>
    <w:rsid w:val="001A752D"/>
    <w:rsid w:val="001A757E"/>
    <w:rsid w:val="001B5032"/>
    <w:rsid w:val="001C7777"/>
    <w:rsid w:val="001D3144"/>
    <w:rsid w:val="001E364F"/>
    <w:rsid w:val="001F4222"/>
    <w:rsid w:val="001F6F6A"/>
    <w:rsid w:val="00203AA1"/>
    <w:rsid w:val="00213E98"/>
    <w:rsid w:val="0022176F"/>
    <w:rsid w:val="0023081A"/>
    <w:rsid w:val="00250D13"/>
    <w:rsid w:val="002531B9"/>
    <w:rsid w:val="0026691C"/>
    <w:rsid w:val="00282F15"/>
    <w:rsid w:val="00291165"/>
    <w:rsid w:val="002A05FE"/>
    <w:rsid w:val="002F460C"/>
    <w:rsid w:val="002F48D6"/>
    <w:rsid w:val="00317391"/>
    <w:rsid w:val="00325437"/>
    <w:rsid w:val="00326216"/>
    <w:rsid w:val="00336580"/>
    <w:rsid w:val="00346C8D"/>
    <w:rsid w:val="00354899"/>
    <w:rsid w:val="00355FD6"/>
    <w:rsid w:val="00364A5C"/>
    <w:rsid w:val="00373FB1"/>
    <w:rsid w:val="003907E3"/>
    <w:rsid w:val="00394545"/>
    <w:rsid w:val="00396C76"/>
    <w:rsid w:val="003B2398"/>
    <w:rsid w:val="003B30D8"/>
    <w:rsid w:val="003B4BC7"/>
    <w:rsid w:val="003B7EF2"/>
    <w:rsid w:val="003C01C6"/>
    <w:rsid w:val="003C3FA4"/>
    <w:rsid w:val="003C59A7"/>
    <w:rsid w:val="003D0BA1"/>
    <w:rsid w:val="003E6401"/>
    <w:rsid w:val="003F2B0C"/>
    <w:rsid w:val="00406C54"/>
    <w:rsid w:val="00406D2A"/>
    <w:rsid w:val="004105B2"/>
    <w:rsid w:val="00412900"/>
    <w:rsid w:val="004221E4"/>
    <w:rsid w:val="00422220"/>
    <w:rsid w:val="00426F0E"/>
    <w:rsid w:val="004273F8"/>
    <w:rsid w:val="00432C99"/>
    <w:rsid w:val="004355A3"/>
    <w:rsid w:val="00446546"/>
    <w:rsid w:val="00452769"/>
    <w:rsid w:val="00465348"/>
    <w:rsid w:val="00476FA6"/>
    <w:rsid w:val="004847C8"/>
    <w:rsid w:val="00495988"/>
    <w:rsid w:val="004A47B4"/>
    <w:rsid w:val="004B1CCB"/>
    <w:rsid w:val="004B632F"/>
    <w:rsid w:val="004D3C31"/>
    <w:rsid w:val="004D3FB1"/>
    <w:rsid w:val="004D55DA"/>
    <w:rsid w:val="004D568C"/>
    <w:rsid w:val="004D6849"/>
    <w:rsid w:val="004D6F21"/>
    <w:rsid w:val="004D73A5"/>
    <w:rsid w:val="004E0A0A"/>
    <w:rsid w:val="004E14AE"/>
    <w:rsid w:val="004E1ECD"/>
    <w:rsid w:val="004E21BC"/>
    <w:rsid w:val="004E2F59"/>
    <w:rsid w:val="004E3A2C"/>
    <w:rsid w:val="005160F1"/>
    <w:rsid w:val="00524F2F"/>
    <w:rsid w:val="00527E5C"/>
    <w:rsid w:val="00532CF5"/>
    <w:rsid w:val="005404AA"/>
    <w:rsid w:val="005528CB"/>
    <w:rsid w:val="00554D4F"/>
    <w:rsid w:val="00566771"/>
    <w:rsid w:val="00581E2E"/>
    <w:rsid w:val="00584F15"/>
    <w:rsid w:val="0059514B"/>
    <w:rsid w:val="0059777C"/>
    <w:rsid w:val="005A1B0F"/>
    <w:rsid w:val="005D0B9D"/>
    <w:rsid w:val="005E11F9"/>
    <w:rsid w:val="006026EA"/>
    <w:rsid w:val="00612838"/>
    <w:rsid w:val="006163F7"/>
    <w:rsid w:val="00616EEA"/>
    <w:rsid w:val="00623990"/>
    <w:rsid w:val="00625F74"/>
    <w:rsid w:val="00627C63"/>
    <w:rsid w:val="006328AB"/>
    <w:rsid w:val="0063350B"/>
    <w:rsid w:val="006420A8"/>
    <w:rsid w:val="00646126"/>
    <w:rsid w:val="00652606"/>
    <w:rsid w:val="00667624"/>
    <w:rsid w:val="006946EE"/>
    <w:rsid w:val="006A4001"/>
    <w:rsid w:val="006A58A9"/>
    <w:rsid w:val="006A606D"/>
    <w:rsid w:val="006C0371"/>
    <w:rsid w:val="006C08B6"/>
    <w:rsid w:val="006C0B1A"/>
    <w:rsid w:val="006C4781"/>
    <w:rsid w:val="006C6065"/>
    <w:rsid w:val="006C7F9F"/>
    <w:rsid w:val="006D6529"/>
    <w:rsid w:val="006E2F6D"/>
    <w:rsid w:val="006E58F6"/>
    <w:rsid w:val="006E77E1"/>
    <w:rsid w:val="006F131D"/>
    <w:rsid w:val="006F4E2F"/>
    <w:rsid w:val="00711642"/>
    <w:rsid w:val="00727072"/>
    <w:rsid w:val="00742808"/>
    <w:rsid w:val="00746830"/>
    <w:rsid w:val="00747169"/>
    <w:rsid w:val="007507C6"/>
    <w:rsid w:val="00751A78"/>
    <w:rsid w:val="00751E0B"/>
    <w:rsid w:val="00752BCD"/>
    <w:rsid w:val="0075490B"/>
    <w:rsid w:val="0076301D"/>
    <w:rsid w:val="00766DA1"/>
    <w:rsid w:val="00780D94"/>
    <w:rsid w:val="007852DE"/>
    <w:rsid w:val="007866A6"/>
    <w:rsid w:val="0079325F"/>
    <w:rsid w:val="007A130D"/>
    <w:rsid w:val="007A709B"/>
    <w:rsid w:val="007B26A1"/>
    <w:rsid w:val="007D1A2D"/>
    <w:rsid w:val="007D4102"/>
    <w:rsid w:val="007F43B7"/>
    <w:rsid w:val="007F5621"/>
    <w:rsid w:val="007F792A"/>
    <w:rsid w:val="00804647"/>
    <w:rsid w:val="00821FFC"/>
    <w:rsid w:val="00823EB1"/>
    <w:rsid w:val="008271CA"/>
    <w:rsid w:val="0083147D"/>
    <w:rsid w:val="00841A19"/>
    <w:rsid w:val="008467D5"/>
    <w:rsid w:val="00860847"/>
    <w:rsid w:val="00871764"/>
    <w:rsid w:val="008879D6"/>
    <w:rsid w:val="008A1B6A"/>
    <w:rsid w:val="008A22A9"/>
    <w:rsid w:val="008A4DC4"/>
    <w:rsid w:val="008B438C"/>
    <w:rsid w:val="008C56E8"/>
    <w:rsid w:val="008D06CA"/>
    <w:rsid w:val="008D3A46"/>
    <w:rsid w:val="009067A4"/>
    <w:rsid w:val="00917F03"/>
    <w:rsid w:val="00922772"/>
    <w:rsid w:val="00926CB1"/>
    <w:rsid w:val="00930885"/>
    <w:rsid w:val="00933D68"/>
    <w:rsid w:val="009340DB"/>
    <w:rsid w:val="0094618C"/>
    <w:rsid w:val="0095684B"/>
    <w:rsid w:val="00970082"/>
    <w:rsid w:val="00972498"/>
    <w:rsid w:val="0097481F"/>
    <w:rsid w:val="00974CC6"/>
    <w:rsid w:val="00976AD4"/>
    <w:rsid w:val="009911B7"/>
    <w:rsid w:val="00995547"/>
    <w:rsid w:val="009A26E1"/>
    <w:rsid w:val="009A312F"/>
    <w:rsid w:val="009A5348"/>
    <w:rsid w:val="009B0AB7"/>
    <w:rsid w:val="009B76ED"/>
    <w:rsid w:val="009C76D5"/>
    <w:rsid w:val="009E447F"/>
    <w:rsid w:val="009F574B"/>
    <w:rsid w:val="009F7AA4"/>
    <w:rsid w:val="00A10AD7"/>
    <w:rsid w:val="00A140B3"/>
    <w:rsid w:val="00A51A67"/>
    <w:rsid w:val="00A559DB"/>
    <w:rsid w:val="00A569EA"/>
    <w:rsid w:val="00A66BA6"/>
    <w:rsid w:val="00A85061"/>
    <w:rsid w:val="00A930AB"/>
    <w:rsid w:val="00AA57FA"/>
    <w:rsid w:val="00AB7929"/>
    <w:rsid w:val="00AC4B97"/>
    <w:rsid w:val="00AC4CD1"/>
    <w:rsid w:val="00AF35FC"/>
    <w:rsid w:val="00AF5556"/>
    <w:rsid w:val="00B01555"/>
    <w:rsid w:val="00B03639"/>
    <w:rsid w:val="00B053F8"/>
    <w:rsid w:val="00B0652A"/>
    <w:rsid w:val="00B07850"/>
    <w:rsid w:val="00B13985"/>
    <w:rsid w:val="00B20906"/>
    <w:rsid w:val="00B219A8"/>
    <w:rsid w:val="00B40937"/>
    <w:rsid w:val="00B423EF"/>
    <w:rsid w:val="00B453DE"/>
    <w:rsid w:val="00B6217D"/>
    <w:rsid w:val="00B660E8"/>
    <w:rsid w:val="00B72597"/>
    <w:rsid w:val="00B74D16"/>
    <w:rsid w:val="00B901F9"/>
    <w:rsid w:val="00BB6273"/>
    <w:rsid w:val="00BD6EFB"/>
    <w:rsid w:val="00BE32FE"/>
    <w:rsid w:val="00BF77A8"/>
    <w:rsid w:val="00C1584D"/>
    <w:rsid w:val="00C15BE2"/>
    <w:rsid w:val="00C20ECF"/>
    <w:rsid w:val="00C21F32"/>
    <w:rsid w:val="00C32646"/>
    <w:rsid w:val="00C3447F"/>
    <w:rsid w:val="00C43101"/>
    <w:rsid w:val="00C5385A"/>
    <w:rsid w:val="00C67102"/>
    <w:rsid w:val="00C81491"/>
    <w:rsid w:val="00C81676"/>
    <w:rsid w:val="00C81691"/>
    <w:rsid w:val="00C85828"/>
    <w:rsid w:val="00C85C5D"/>
    <w:rsid w:val="00C92CC4"/>
    <w:rsid w:val="00C95F0A"/>
    <w:rsid w:val="00CA0AFB"/>
    <w:rsid w:val="00CA2CE1"/>
    <w:rsid w:val="00CA3976"/>
    <w:rsid w:val="00CA50E3"/>
    <w:rsid w:val="00CA757B"/>
    <w:rsid w:val="00CC1787"/>
    <w:rsid w:val="00CC182C"/>
    <w:rsid w:val="00CC4D21"/>
    <w:rsid w:val="00CC717B"/>
    <w:rsid w:val="00CD0824"/>
    <w:rsid w:val="00CD2908"/>
    <w:rsid w:val="00CE5E93"/>
    <w:rsid w:val="00CE6FCF"/>
    <w:rsid w:val="00D03A82"/>
    <w:rsid w:val="00D13667"/>
    <w:rsid w:val="00D13D29"/>
    <w:rsid w:val="00D15344"/>
    <w:rsid w:val="00D23F57"/>
    <w:rsid w:val="00D27DFB"/>
    <w:rsid w:val="00D30A8C"/>
    <w:rsid w:val="00D31BEC"/>
    <w:rsid w:val="00D324AD"/>
    <w:rsid w:val="00D4384A"/>
    <w:rsid w:val="00D5312E"/>
    <w:rsid w:val="00D63150"/>
    <w:rsid w:val="00D636BA"/>
    <w:rsid w:val="00D64A32"/>
    <w:rsid w:val="00D64EFC"/>
    <w:rsid w:val="00D6523D"/>
    <w:rsid w:val="00D6753C"/>
    <w:rsid w:val="00D72A6B"/>
    <w:rsid w:val="00D75295"/>
    <w:rsid w:val="00D76C4D"/>
    <w:rsid w:val="00D76CE9"/>
    <w:rsid w:val="00D86505"/>
    <w:rsid w:val="00D94173"/>
    <w:rsid w:val="00D97F12"/>
    <w:rsid w:val="00DA6095"/>
    <w:rsid w:val="00DB42E7"/>
    <w:rsid w:val="00DC1DC1"/>
    <w:rsid w:val="00DD4462"/>
    <w:rsid w:val="00DE01A6"/>
    <w:rsid w:val="00DE7A98"/>
    <w:rsid w:val="00DF32C2"/>
    <w:rsid w:val="00E16601"/>
    <w:rsid w:val="00E205D1"/>
    <w:rsid w:val="00E27321"/>
    <w:rsid w:val="00E42E9B"/>
    <w:rsid w:val="00E471A7"/>
    <w:rsid w:val="00E635CF"/>
    <w:rsid w:val="00E66E58"/>
    <w:rsid w:val="00E67283"/>
    <w:rsid w:val="00E72A88"/>
    <w:rsid w:val="00E758DD"/>
    <w:rsid w:val="00EA6A6A"/>
    <w:rsid w:val="00EC6E0A"/>
    <w:rsid w:val="00ED3081"/>
    <w:rsid w:val="00ED4E18"/>
    <w:rsid w:val="00EE1965"/>
    <w:rsid w:val="00EE1F37"/>
    <w:rsid w:val="00EE6A16"/>
    <w:rsid w:val="00EF1A30"/>
    <w:rsid w:val="00F0159C"/>
    <w:rsid w:val="00F105B7"/>
    <w:rsid w:val="00F13220"/>
    <w:rsid w:val="00F17A21"/>
    <w:rsid w:val="00F21967"/>
    <w:rsid w:val="00F37B27"/>
    <w:rsid w:val="00F46556"/>
    <w:rsid w:val="00F50E91"/>
    <w:rsid w:val="00F57D29"/>
    <w:rsid w:val="00F86DF9"/>
    <w:rsid w:val="00F905F4"/>
    <w:rsid w:val="00F96201"/>
    <w:rsid w:val="00FA78FD"/>
    <w:rsid w:val="00FB2DDB"/>
    <w:rsid w:val="00FC38AB"/>
    <w:rsid w:val="00FD0B18"/>
    <w:rsid w:val="00FD2FAD"/>
    <w:rsid w:val="00FD6AA7"/>
    <w:rsid w:val="00FE714F"/>
    <w:rsid w:val="00FF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083042"/>
  <w15:docId w15:val="{BE10881E-BCD2-44CB-A64A-0179C28D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176F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1AA52-1132-4EB6-BCFB-E9C23082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5679</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2015-03-04T20:34:00Z</cp:lastPrinted>
  <dcterms:created xsi:type="dcterms:W3CDTF">2018-04-02T20:21:00Z</dcterms:created>
  <dcterms:modified xsi:type="dcterms:W3CDTF">2018-04-04T17:21:00Z</dcterms:modified>
</cp:coreProperties>
</file>