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0"/>
        <w:gridCol w:w="264"/>
        <w:gridCol w:w="4688"/>
      </w:tblGrid>
      <w:tr w:rsidR="003839A4" w:rsidRPr="00343256" w14:paraId="6E37D6D0" w14:textId="77777777" w:rsidTr="004F071F">
        <w:trPr>
          <w:trHeight w:val="990"/>
        </w:trPr>
        <w:tc>
          <w:tcPr>
            <w:tcW w:w="4320" w:type="dxa"/>
            <w:tcBorders>
              <w:top w:val="nil"/>
              <w:left w:val="nil"/>
              <w:bottom w:val="nil"/>
              <w:right w:val="nil"/>
            </w:tcBorders>
            <w:tcMar>
              <w:left w:w="0" w:type="dxa"/>
              <w:right w:w="115" w:type="dxa"/>
            </w:tcMar>
            <w:vAlign w:val="center"/>
          </w:tcPr>
          <w:p w14:paraId="0F243741" w14:textId="77777777" w:rsidR="003839A4" w:rsidRPr="00343256" w:rsidRDefault="003839A4" w:rsidP="004F071F">
            <w:pPr>
              <w:tabs>
                <w:tab w:val="left" w:pos="0"/>
                <w:tab w:val="right" w:pos="9360"/>
              </w:tabs>
              <w:rPr>
                <w:rFonts w:ascii="IveyVHWLogos" w:eastAsia="SimSun" w:hAnsi="IveyVHWLogos"/>
                <w:sz w:val="44"/>
                <w:szCs w:val="44"/>
              </w:rPr>
            </w:pPr>
            <w:r>
              <w:rPr>
                <w:noProof/>
              </w:rPr>
              <w:drawing>
                <wp:inline distT="0" distB="0" distL="0" distR="0" wp14:anchorId="6F38D622" wp14:editId="727BB7D5">
                  <wp:extent cx="2576195" cy="548640"/>
                  <wp:effectExtent l="0" t="0" r="0" b="3810"/>
                  <wp:docPr id="3" name="Picture 3" descr="Publishi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shing-Logo"/>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576195" cy="548640"/>
                          </a:xfrm>
                          <a:prstGeom prst="rect">
                            <a:avLst/>
                          </a:prstGeom>
                          <a:noFill/>
                          <a:ln>
                            <a:noFill/>
                          </a:ln>
                        </pic:spPr>
                      </pic:pic>
                    </a:graphicData>
                  </a:graphic>
                </wp:inline>
              </w:drawing>
            </w:r>
          </w:p>
        </w:tc>
        <w:tc>
          <w:tcPr>
            <w:tcW w:w="270" w:type="dxa"/>
            <w:tcBorders>
              <w:top w:val="nil"/>
              <w:left w:val="nil"/>
              <w:bottom w:val="nil"/>
              <w:right w:val="nil"/>
            </w:tcBorders>
          </w:tcPr>
          <w:p w14:paraId="7B688017" w14:textId="77777777" w:rsidR="003839A4" w:rsidRPr="00343256" w:rsidRDefault="003839A4" w:rsidP="004F071F">
            <w:pPr>
              <w:tabs>
                <w:tab w:val="left" w:pos="0"/>
                <w:tab w:val="right" w:pos="9360"/>
              </w:tabs>
              <w:rPr>
                <w:rFonts w:ascii="IveyVHWLogos" w:eastAsia="SimSun" w:hAnsi="IveyVHWLogos"/>
                <w:sz w:val="16"/>
                <w:szCs w:val="16"/>
              </w:rPr>
            </w:pPr>
          </w:p>
        </w:tc>
        <w:tc>
          <w:tcPr>
            <w:tcW w:w="4878" w:type="dxa"/>
            <w:tcBorders>
              <w:top w:val="nil"/>
              <w:left w:val="nil"/>
              <w:bottom w:val="nil"/>
              <w:right w:val="nil"/>
            </w:tcBorders>
            <w:vAlign w:val="center"/>
          </w:tcPr>
          <w:p w14:paraId="7306FD7F" w14:textId="77777777" w:rsidR="003839A4" w:rsidRPr="00343256" w:rsidRDefault="003839A4" w:rsidP="004F071F">
            <w:pPr>
              <w:tabs>
                <w:tab w:val="left" w:pos="0"/>
                <w:tab w:val="right" w:pos="9360"/>
              </w:tabs>
              <w:jc w:val="right"/>
              <w:rPr>
                <w:rFonts w:ascii="IveyVHWLogos" w:eastAsia="SimSun" w:hAnsi="IveyVHWLogos"/>
                <w:sz w:val="44"/>
                <w:szCs w:val="44"/>
              </w:rPr>
            </w:pPr>
            <w:r>
              <w:rPr>
                <w:noProof/>
              </w:rPr>
              <w:drawing>
                <wp:anchor distT="0" distB="0" distL="114300" distR="114300" simplePos="0" relativeHeight="251659264" behindDoc="1" locked="0" layoutInCell="1" allowOverlap="1" wp14:anchorId="0F484C5C" wp14:editId="63A62123">
                  <wp:simplePos x="3888105" y="795020"/>
                  <wp:positionH relativeFrom="margin">
                    <wp:align>right</wp:align>
                  </wp:positionH>
                  <wp:positionV relativeFrom="margin">
                    <wp:align>top</wp:align>
                  </wp:positionV>
                  <wp:extent cx="2035175" cy="73279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BS primary horizontal signature-02.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035175" cy="732790"/>
                          </a:xfrm>
                          <a:prstGeom prst="rect">
                            <a:avLst/>
                          </a:prstGeom>
                        </pic:spPr>
                      </pic:pic>
                    </a:graphicData>
                  </a:graphic>
                  <wp14:sizeRelH relativeFrom="margin">
                    <wp14:pctWidth>0</wp14:pctWidth>
                  </wp14:sizeRelH>
                  <wp14:sizeRelV relativeFrom="margin">
                    <wp14:pctHeight>0</wp14:pctHeight>
                  </wp14:sizeRelV>
                </wp:anchor>
              </w:drawing>
            </w:r>
          </w:p>
        </w:tc>
      </w:tr>
    </w:tbl>
    <w:p w14:paraId="5F7EBFBA" w14:textId="77777777" w:rsidR="003E2F7C" w:rsidRPr="003839A4" w:rsidRDefault="003E2F7C" w:rsidP="008467D5">
      <w:pPr>
        <w:pBdr>
          <w:bottom w:val="single" w:sz="18" w:space="1" w:color="auto"/>
        </w:pBdr>
        <w:tabs>
          <w:tab w:val="left" w:pos="-1440"/>
          <w:tab w:val="left" w:pos="-720"/>
          <w:tab w:val="left" w:pos="1"/>
        </w:tabs>
        <w:jc w:val="both"/>
        <w:rPr>
          <w:rFonts w:ascii="Arial" w:hAnsi="Arial"/>
          <w:b/>
          <w:sz w:val="2"/>
          <w:szCs w:val="2"/>
          <w:lang w:val="en-GB"/>
        </w:rPr>
      </w:pPr>
    </w:p>
    <w:p w14:paraId="1C8E2747" w14:textId="745CC4B1" w:rsidR="00D75295" w:rsidRPr="00432A7F" w:rsidRDefault="00AD6A80" w:rsidP="00F105B7">
      <w:pPr>
        <w:pStyle w:val="ProductNumber"/>
        <w:rPr>
          <w:lang w:val="en-GB"/>
        </w:rPr>
      </w:pPr>
      <w:r>
        <w:rPr>
          <w:lang w:val="en-GB"/>
        </w:rPr>
        <w:t>9B18C015</w:t>
      </w:r>
    </w:p>
    <w:p w14:paraId="14858711" w14:textId="77777777" w:rsidR="00D75295" w:rsidRPr="00432A7F" w:rsidRDefault="00D75295" w:rsidP="00D75295">
      <w:pPr>
        <w:jc w:val="right"/>
        <w:rPr>
          <w:rFonts w:ascii="Arial" w:hAnsi="Arial"/>
          <w:b/>
          <w:sz w:val="28"/>
          <w:szCs w:val="28"/>
          <w:lang w:val="en-GB"/>
        </w:rPr>
      </w:pPr>
    </w:p>
    <w:p w14:paraId="619B5A76" w14:textId="77777777" w:rsidR="00013360" w:rsidRPr="00432A7F" w:rsidRDefault="00013360" w:rsidP="00D75295">
      <w:pPr>
        <w:jc w:val="right"/>
        <w:rPr>
          <w:rFonts w:ascii="Arial" w:hAnsi="Arial"/>
          <w:b/>
          <w:sz w:val="28"/>
          <w:szCs w:val="28"/>
          <w:lang w:val="en-GB"/>
        </w:rPr>
      </w:pPr>
    </w:p>
    <w:p w14:paraId="1FEA3F0E" w14:textId="77777777" w:rsidR="00013360" w:rsidRPr="00432A7F" w:rsidRDefault="003E2F7C" w:rsidP="00013360">
      <w:pPr>
        <w:pStyle w:val="CaseTitle"/>
        <w:spacing w:after="0" w:line="240" w:lineRule="auto"/>
        <w:rPr>
          <w:sz w:val="20"/>
          <w:szCs w:val="20"/>
          <w:lang w:val="en-GB"/>
        </w:rPr>
      </w:pPr>
      <w:r w:rsidRPr="00432A7F">
        <w:rPr>
          <w:rFonts w:eastAsia="Times New Roman"/>
          <w:szCs w:val="20"/>
          <w:lang w:val="en-GB"/>
        </w:rPr>
        <w:t>Unilever South Africa: Contextual leadership of culture for inclusive growth</w:t>
      </w:r>
    </w:p>
    <w:p w14:paraId="7881BBEC" w14:textId="77777777" w:rsidR="00CA3976" w:rsidRPr="00432A7F" w:rsidRDefault="00CA3976" w:rsidP="00013360">
      <w:pPr>
        <w:pStyle w:val="CaseTitle"/>
        <w:spacing w:after="0" w:line="240" w:lineRule="auto"/>
        <w:rPr>
          <w:sz w:val="20"/>
          <w:szCs w:val="20"/>
          <w:lang w:val="en-GB"/>
        </w:rPr>
      </w:pPr>
    </w:p>
    <w:p w14:paraId="241343A6" w14:textId="77777777" w:rsidR="00013360" w:rsidRPr="00432A7F" w:rsidRDefault="00013360" w:rsidP="00013360">
      <w:pPr>
        <w:pStyle w:val="CaseTitle"/>
        <w:spacing w:after="0" w:line="240" w:lineRule="auto"/>
        <w:rPr>
          <w:sz w:val="20"/>
          <w:szCs w:val="20"/>
          <w:lang w:val="en-GB"/>
        </w:rPr>
      </w:pPr>
    </w:p>
    <w:p w14:paraId="1216F4F9" w14:textId="77777777" w:rsidR="00627C63" w:rsidRPr="00432A7F" w:rsidRDefault="00E53A75" w:rsidP="00627C63">
      <w:pPr>
        <w:pStyle w:val="StyleCopyrightStatementAfter0ptBottomSinglesolidline1"/>
        <w:rPr>
          <w:lang w:val="en-GB"/>
        </w:rPr>
      </w:pPr>
      <w:hyperlink r:id="rId10" w:history="1">
        <w:r w:rsidR="003E2F7C" w:rsidRPr="00432A7F">
          <w:rPr>
            <w:rStyle w:val="Hyperlink"/>
            <w:color w:val="auto"/>
            <w:u w:val="none"/>
            <w:lang w:val="en-GB"/>
          </w:rPr>
          <w:t xml:space="preserve">Caren </w:t>
        </w:r>
        <w:proofErr w:type="spellStart"/>
        <w:r w:rsidR="003E2F7C" w:rsidRPr="00432A7F">
          <w:rPr>
            <w:rStyle w:val="Hyperlink"/>
            <w:color w:val="auto"/>
            <w:u w:val="none"/>
            <w:lang w:val="en-GB"/>
          </w:rPr>
          <w:t>Scheepers</w:t>
        </w:r>
        <w:proofErr w:type="spellEnd"/>
      </w:hyperlink>
      <w:r w:rsidR="003E2F7C" w:rsidRPr="00432A7F">
        <w:rPr>
          <w:color w:val="auto"/>
          <w:lang w:val="en-GB"/>
        </w:rPr>
        <w:t xml:space="preserve"> and </w:t>
      </w:r>
      <w:hyperlink r:id="rId11" w:history="1">
        <w:r w:rsidR="003E2F7C" w:rsidRPr="00432A7F">
          <w:rPr>
            <w:rStyle w:val="Hyperlink"/>
            <w:color w:val="auto"/>
            <w:u w:val="none"/>
            <w:lang w:val="en-GB"/>
          </w:rPr>
          <w:t>Natalie Van der Veen</w:t>
        </w:r>
      </w:hyperlink>
      <w:r w:rsidR="003E2F7C" w:rsidRPr="00432A7F">
        <w:rPr>
          <w:color w:val="auto"/>
          <w:lang w:val="en-GB"/>
        </w:rPr>
        <w:t xml:space="preserve"> </w:t>
      </w:r>
      <w:r w:rsidR="004B632F" w:rsidRPr="00432A7F">
        <w:rPr>
          <w:color w:val="auto"/>
          <w:lang w:val="en-GB"/>
        </w:rPr>
        <w:t>wrote</w:t>
      </w:r>
      <w:r w:rsidR="004B632F" w:rsidRPr="00432A7F">
        <w:rPr>
          <w:lang w:val="en-GB"/>
        </w:rPr>
        <w:t xml:space="preserve"> this </w:t>
      </w:r>
      <w:r w:rsidR="00152682" w:rsidRPr="00432A7F">
        <w:rPr>
          <w:lang w:val="en-GB"/>
        </w:rPr>
        <w:t>case</w:t>
      </w:r>
      <w:r w:rsidR="004B632F" w:rsidRPr="00432A7F">
        <w:rPr>
          <w:lang w:val="en-GB"/>
        </w:rPr>
        <w:t xml:space="preserve"> </w:t>
      </w:r>
      <w:r w:rsidR="00152682" w:rsidRPr="00432A7F">
        <w:rPr>
          <w:lang w:val="en-GB"/>
        </w:rPr>
        <w:t>solely to provide material for class discussion. The</w:t>
      </w:r>
      <w:r w:rsidR="001C7777" w:rsidRPr="00432A7F">
        <w:rPr>
          <w:lang w:val="en-GB"/>
        </w:rPr>
        <w:t xml:space="preserve"> author</w:t>
      </w:r>
      <w:r w:rsidR="001A22D1" w:rsidRPr="00432A7F">
        <w:rPr>
          <w:lang w:val="en-GB"/>
        </w:rPr>
        <w:t>s</w:t>
      </w:r>
      <w:r w:rsidR="00152682" w:rsidRPr="00432A7F">
        <w:rPr>
          <w:lang w:val="en-GB"/>
        </w:rPr>
        <w:t xml:space="preserve"> do not intend to illustrate either effective or ineffective handling of a managerial situation. The author</w:t>
      </w:r>
      <w:r w:rsidR="001A22D1" w:rsidRPr="00432A7F">
        <w:rPr>
          <w:lang w:val="en-GB"/>
        </w:rPr>
        <w:t>s</w:t>
      </w:r>
      <w:r w:rsidR="00152682" w:rsidRPr="00432A7F">
        <w:rPr>
          <w:lang w:val="en-GB"/>
        </w:rPr>
        <w:t xml:space="preserve"> may have disguised certain names and other identifying information to protect confidentiality.</w:t>
      </w:r>
    </w:p>
    <w:p w14:paraId="15C0BABE" w14:textId="77777777" w:rsidR="00751E0B" w:rsidRPr="00432A7F" w:rsidRDefault="00751E0B" w:rsidP="00751E0B">
      <w:pPr>
        <w:pStyle w:val="StyleCopyrightStatementAfter0ptBottomSinglesolidline1"/>
        <w:rPr>
          <w:lang w:val="en-GB"/>
        </w:rPr>
      </w:pPr>
    </w:p>
    <w:p w14:paraId="47D296EE" w14:textId="295C28AA" w:rsidR="003839A4" w:rsidRPr="00E23AB7" w:rsidRDefault="003839A4" w:rsidP="00005106">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2"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3" w:history="1">
        <w:r w:rsidRPr="00E23AB7">
          <w:rPr>
            <w:rFonts w:ascii="Arial" w:hAnsi="Arial"/>
            <w:i/>
            <w:iCs/>
            <w:color w:val="000000"/>
            <w:sz w:val="16"/>
          </w:rPr>
          <w:t>www.iveycases.com</w:t>
        </w:r>
      </w:hyperlink>
      <w:r w:rsidRPr="00E23AB7">
        <w:rPr>
          <w:rFonts w:ascii="Arial" w:hAnsi="Arial"/>
          <w:i/>
          <w:iCs/>
          <w:color w:val="000000"/>
          <w:sz w:val="16"/>
        </w:rPr>
        <w:t>.</w:t>
      </w:r>
    </w:p>
    <w:p w14:paraId="1DC8CD0A" w14:textId="00C97DD2" w:rsidR="003E2F7C" w:rsidRPr="00432A7F" w:rsidRDefault="003E2F7C" w:rsidP="00751E0B">
      <w:pPr>
        <w:pStyle w:val="StyleCopyrightStatementAfter0ptBottomSinglesolidline1"/>
        <w:rPr>
          <w:lang w:val="en-GB"/>
        </w:rPr>
      </w:pPr>
    </w:p>
    <w:p w14:paraId="3499055B" w14:textId="16BD0128" w:rsidR="00751E0B" w:rsidRPr="00432A7F" w:rsidRDefault="003839A4" w:rsidP="00751E0B">
      <w:pPr>
        <w:pStyle w:val="StyleStyleCopyrightStatementAfter0ptBottomSinglesolid"/>
        <w:rPr>
          <w:lang w:val="en-GB"/>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432A7F">
        <w:rPr>
          <w:rFonts w:cs="Arial"/>
          <w:szCs w:val="16"/>
          <w:lang w:val="en-GB"/>
        </w:rPr>
        <w:tab/>
      </w:r>
      <w:r w:rsidR="00751E0B" w:rsidRPr="00432A7F">
        <w:rPr>
          <w:lang w:val="en-GB"/>
        </w:rPr>
        <w:t xml:space="preserve">Version: </w:t>
      </w:r>
      <w:r w:rsidR="003D0BA1" w:rsidRPr="00432A7F">
        <w:rPr>
          <w:lang w:val="en-GB"/>
        </w:rPr>
        <w:t>20</w:t>
      </w:r>
      <w:r w:rsidR="003E2F7C" w:rsidRPr="00432A7F">
        <w:rPr>
          <w:lang w:val="en-GB"/>
        </w:rPr>
        <w:t>18</w:t>
      </w:r>
      <w:r w:rsidR="001C7777" w:rsidRPr="00432A7F">
        <w:rPr>
          <w:lang w:val="en-GB"/>
        </w:rPr>
        <w:t>-</w:t>
      </w:r>
      <w:r w:rsidR="003E2F7C" w:rsidRPr="00432A7F">
        <w:rPr>
          <w:lang w:val="en-GB"/>
        </w:rPr>
        <w:t>0</w:t>
      </w:r>
      <w:r w:rsidR="00AD6A80">
        <w:rPr>
          <w:lang w:val="en-GB"/>
        </w:rPr>
        <w:t>6</w:t>
      </w:r>
      <w:r w:rsidR="00751E0B" w:rsidRPr="00432A7F">
        <w:rPr>
          <w:lang w:val="en-GB"/>
        </w:rPr>
        <w:t>-</w:t>
      </w:r>
      <w:r w:rsidR="00283979">
        <w:rPr>
          <w:lang w:val="en-GB"/>
        </w:rPr>
        <w:t>08</w:t>
      </w:r>
    </w:p>
    <w:p w14:paraId="6D6F40B5" w14:textId="77777777" w:rsidR="00751E0B" w:rsidRPr="00432A7F" w:rsidRDefault="00751E0B" w:rsidP="00751E0B">
      <w:pPr>
        <w:pStyle w:val="StyleCopyrightStatementAfter0ptBottomSinglesolidline1"/>
        <w:rPr>
          <w:rFonts w:ascii="Times New Roman" w:hAnsi="Times New Roman"/>
          <w:sz w:val="20"/>
          <w:lang w:val="en-GB"/>
        </w:rPr>
      </w:pPr>
    </w:p>
    <w:p w14:paraId="601258FC" w14:textId="77777777" w:rsidR="004B632F" w:rsidRPr="00432A7F" w:rsidRDefault="004B632F" w:rsidP="004B632F">
      <w:pPr>
        <w:pStyle w:val="StyleCopyrightStatementAfter0ptBottomSinglesolidline1"/>
        <w:rPr>
          <w:rFonts w:ascii="Times New Roman" w:hAnsi="Times New Roman"/>
          <w:sz w:val="20"/>
          <w:lang w:val="en-GB"/>
        </w:rPr>
      </w:pPr>
    </w:p>
    <w:p w14:paraId="3AECB7DB" w14:textId="5BCDE13B" w:rsidR="000E0BDF" w:rsidRPr="000078F6" w:rsidRDefault="00696234" w:rsidP="003E2F7C">
      <w:pPr>
        <w:pStyle w:val="BodyTextMain"/>
        <w:rPr>
          <w:rFonts w:eastAsia="Calibri"/>
          <w:lang w:val="en-GB"/>
        </w:rPr>
      </w:pPr>
      <w:r>
        <w:rPr>
          <w:rFonts w:eastAsia="Calibri"/>
          <w:lang w:val="en-GB"/>
        </w:rPr>
        <w:t xml:space="preserve">The morning of </w:t>
      </w:r>
      <w:r w:rsidR="00473522" w:rsidRPr="00145736">
        <w:rPr>
          <w:rFonts w:eastAsia="Calibri"/>
          <w:lang w:val="en-GB"/>
        </w:rPr>
        <w:t>December 5,</w:t>
      </w:r>
      <w:r w:rsidR="003E2F7C" w:rsidRPr="00145736">
        <w:rPr>
          <w:rFonts w:eastAsia="Calibri"/>
          <w:lang w:val="en-GB"/>
        </w:rPr>
        <w:t xml:space="preserve"> 2017</w:t>
      </w:r>
      <w:r w:rsidR="003E2F7C" w:rsidRPr="000078F6">
        <w:rPr>
          <w:rFonts w:eastAsia="Calibri"/>
          <w:lang w:val="en-GB"/>
        </w:rPr>
        <w:t xml:space="preserve"> was stifling hot in Johannesburg.</w:t>
      </w:r>
      <w:r w:rsidR="00473522" w:rsidRPr="000078F6">
        <w:rPr>
          <w:rFonts w:eastAsia="Calibri"/>
          <w:lang w:val="en-GB"/>
        </w:rPr>
        <w:t xml:space="preserve"> </w:t>
      </w:r>
      <w:r w:rsidR="003E2F7C" w:rsidRPr="000078F6">
        <w:rPr>
          <w:rFonts w:eastAsia="Calibri"/>
          <w:lang w:val="en-GB"/>
        </w:rPr>
        <w:t xml:space="preserve">Tony </w:t>
      </w:r>
      <w:proofErr w:type="spellStart"/>
      <w:r w:rsidR="003E2F7C" w:rsidRPr="000078F6">
        <w:rPr>
          <w:rFonts w:eastAsia="Calibri"/>
          <w:lang w:val="en-GB"/>
        </w:rPr>
        <w:t>Mun</w:t>
      </w:r>
      <w:proofErr w:type="spellEnd"/>
      <w:r w:rsidR="003E2F7C" w:rsidRPr="000078F6">
        <w:rPr>
          <w:rFonts w:eastAsia="Calibri"/>
          <w:lang w:val="en-GB"/>
        </w:rPr>
        <w:t xml:space="preserve">-Gavin, </w:t>
      </w:r>
      <w:r w:rsidR="003A471D" w:rsidRPr="000078F6">
        <w:rPr>
          <w:rFonts w:eastAsia="Calibri"/>
          <w:lang w:val="en-GB"/>
        </w:rPr>
        <w:t xml:space="preserve">business unit head for </w:t>
      </w:r>
      <w:r w:rsidR="006C061A">
        <w:rPr>
          <w:rFonts w:eastAsia="Calibri"/>
          <w:lang w:val="en-GB"/>
        </w:rPr>
        <w:t>P</w:t>
      </w:r>
      <w:r w:rsidR="003A471D" w:rsidRPr="000078F6">
        <w:rPr>
          <w:rFonts w:eastAsia="Calibri"/>
          <w:lang w:val="en-GB"/>
        </w:rPr>
        <w:t xml:space="preserve">ersonal </w:t>
      </w:r>
      <w:r w:rsidR="006C061A">
        <w:rPr>
          <w:rFonts w:eastAsia="Calibri"/>
          <w:lang w:val="en-GB"/>
        </w:rPr>
        <w:t>C</w:t>
      </w:r>
      <w:r w:rsidR="003A471D" w:rsidRPr="000078F6">
        <w:rPr>
          <w:rFonts w:eastAsia="Calibri"/>
          <w:lang w:val="en-GB"/>
        </w:rPr>
        <w:t xml:space="preserve">are </w:t>
      </w:r>
      <w:r w:rsidR="003E2F7C" w:rsidRPr="000078F6">
        <w:rPr>
          <w:rFonts w:eastAsia="Calibri"/>
          <w:lang w:val="en-GB"/>
        </w:rPr>
        <w:t>for Unilever</w:t>
      </w:r>
      <w:r w:rsidR="000E0BDF" w:rsidRPr="000078F6">
        <w:rPr>
          <w:rFonts w:eastAsia="Calibri"/>
          <w:lang w:val="en-GB"/>
        </w:rPr>
        <w:t xml:space="preserve"> South Africa, shifted uncomfortably in the plastic seat of a minibus taxi as he and his team ventured into the heart of Soweto. Unilever South Africa was part of Unilever Pty. Ltd. (Unilever), one of the world’s largest fast-moving consumer goods (FMCG) companies. Unilever South Africa had over 3,500 employees in two corpo</w:t>
      </w:r>
      <w:r w:rsidR="00283979">
        <w:rPr>
          <w:rFonts w:eastAsia="Calibri"/>
          <w:lang w:val="en-GB"/>
        </w:rPr>
        <w:t>rate offices in Durban, KwaZulu-</w:t>
      </w:r>
      <w:r w:rsidR="000E0BDF" w:rsidRPr="000078F6">
        <w:rPr>
          <w:rFonts w:eastAsia="Calibri"/>
          <w:lang w:val="en-GB"/>
        </w:rPr>
        <w:t xml:space="preserve">Natal, and Johannesburg, Gauteng. For three consecutive years, Unilever South Africa had been voted South Africa’s top employer by the South African Top Employer Institute. </w:t>
      </w:r>
      <w:r w:rsidR="00F07D1B" w:rsidRPr="00F07D1B">
        <w:rPr>
          <w:rFonts w:eastAsia="Calibri"/>
          <w:lang w:val="en-GB"/>
        </w:rPr>
        <w:t>The immersion that day of the team into the environments of their customers</w:t>
      </w:r>
      <w:r w:rsidR="003D50AC">
        <w:rPr>
          <w:rFonts w:eastAsia="Calibri"/>
          <w:lang w:val="en-GB"/>
        </w:rPr>
        <w:t xml:space="preserve"> (</w:t>
      </w:r>
      <w:r w:rsidR="00F07D1B" w:rsidRPr="00F07D1B">
        <w:rPr>
          <w:rFonts w:eastAsia="Calibri"/>
          <w:lang w:val="en-GB"/>
        </w:rPr>
        <w:t>to give team members a real-life experience of these environments</w:t>
      </w:r>
      <w:r w:rsidR="003D50AC">
        <w:rPr>
          <w:rFonts w:eastAsia="Calibri"/>
          <w:lang w:val="en-GB"/>
        </w:rPr>
        <w:t xml:space="preserve">) </w:t>
      </w:r>
      <w:r w:rsidR="00F07D1B" w:rsidRPr="00F07D1B">
        <w:rPr>
          <w:rFonts w:eastAsia="Calibri"/>
          <w:lang w:val="en-GB"/>
        </w:rPr>
        <w:t>was intended</w:t>
      </w:r>
      <w:r w:rsidR="000E0BDF" w:rsidRPr="000078F6">
        <w:rPr>
          <w:rFonts w:eastAsia="Calibri"/>
          <w:lang w:val="en-GB"/>
        </w:rPr>
        <w:t xml:space="preserve"> to increase </w:t>
      </w:r>
      <w:r w:rsidR="00821FED">
        <w:rPr>
          <w:rFonts w:eastAsia="Calibri"/>
          <w:lang w:val="en-GB"/>
        </w:rPr>
        <w:t>Unilever’s P</w:t>
      </w:r>
      <w:r w:rsidR="000E0BDF" w:rsidRPr="000078F6">
        <w:rPr>
          <w:rFonts w:eastAsia="Calibri"/>
          <w:lang w:val="en-GB"/>
        </w:rPr>
        <w:t xml:space="preserve">ersonal </w:t>
      </w:r>
      <w:r w:rsidR="00821FED">
        <w:rPr>
          <w:rFonts w:eastAsia="Calibri"/>
          <w:lang w:val="en-GB"/>
        </w:rPr>
        <w:t>C</w:t>
      </w:r>
      <w:r w:rsidR="000E0BDF" w:rsidRPr="000078F6">
        <w:rPr>
          <w:rFonts w:eastAsia="Calibri"/>
          <w:lang w:val="en-GB"/>
        </w:rPr>
        <w:t xml:space="preserve">are team’s understanding </w:t>
      </w:r>
      <w:r w:rsidR="000E0BDF" w:rsidRPr="00145736">
        <w:rPr>
          <w:rFonts w:eastAsia="Calibri"/>
          <w:lang w:val="en-GB"/>
        </w:rPr>
        <w:t xml:space="preserve">of </w:t>
      </w:r>
      <w:r w:rsidR="00821FED">
        <w:rPr>
          <w:rFonts w:eastAsia="Calibri"/>
          <w:lang w:val="en-GB"/>
        </w:rPr>
        <w:t xml:space="preserve">their consumers’ </w:t>
      </w:r>
      <w:r w:rsidR="000E0BDF" w:rsidRPr="00145736">
        <w:rPr>
          <w:rFonts w:eastAsia="Calibri"/>
          <w:lang w:val="en-GB"/>
        </w:rPr>
        <w:t>context</w:t>
      </w:r>
      <w:r w:rsidR="00821FED">
        <w:rPr>
          <w:rFonts w:eastAsia="Calibri"/>
          <w:lang w:val="en-GB"/>
        </w:rPr>
        <w:t>s</w:t>
      </w:r>
      <w:r w:rsidR="000E0BDF" w:rsidRPr="00145736">
        <w:rPr>
          <w:rFonts w:eastAsia="Calibri"/>
          <w:lang w:val="en-GB"/>
        </w:rPr>
        <w:t xml:space="preserve"> and</w:t>
      </w:r>
      <w:r w:rsidR="000E0BDF" w:rsidRPr="000078F6">
        <w:rPr>
          <w:rFonts w:eastAsia="Calibri"/>
          <w:lang w:val="en-GB"/>
        </w:rPr>
        <w:t xml:space="preserve"> to reinforce the company’s revised positioning of the Lux brand.</w:t>
      </w:r>
    </w:p>
    <w:p w14:paraId="26560D26" w14:textId="77777777" w:rsidR="000E0BDF" w:rsidRPr="000078F6" w:rsidRDefault="000E0BDF" w:rsidP="003E2F7C">
      <w:pPr>
        <w:pStyle w:val="BodyTextMain"/>
        <w:rPr>
          <w:rFonts w:eastAsia="Calibri"/>
          <w:lang w:val="en-GB"/>
        </w:rPr>
      </w:pPr>
    </w:p>
    <w:p w14:paraId="4E43344F" w14:textId="024E826F" w:rsidR="000E0BDF" w:rsidRPr="000078F6" w:rsidRDefault="000E0BDF" w:rsidP="003E2F7C">
      <w:pPr>
        <w:pStyle w:val="BodyTextMain"/>
        <w:rPr>
          <w:rFonts w:eastAsia="Calibri"/>
          <w:lang w:val="en-GB"/>
        </w:rPr>
      </w:pPr>
      <w:r w:rsidRPr="000078F6">
        <w:rPr>
          <w:rFonts w:eastAsia="Calibri"/>
          <w:lang w:val="en-GB"/>
        </w:rPr>
        <w:t xml:space="preserve">Despite </w:t>
      </w:r>
      <w:r w:rsidRPr="00145736">
        <w:rPr>
          <w:rFonts w:eastAsia="Calibri"/>
          <w:lang w:val="en-GB"/>
        </w:rPr>
        <w:t>the heat, sweat,</w:t>
      </w:r>
      <w:r w:rsidRPr="000078F6">
        <w:rPr>
          <w:rFonts w:eastAsia="Calibri"/>
          <w:lang w:val="en-GB"/>
        </w:rPr>
        <w:t xml:space="preserve"> and nauseating scents from the waste outside, the team members looked excited as they gazed at the blur of passing buildings. As in</w:t>
      </w:r>
      <w:r w:rsidRPr="000078F6" w:rsidDel="00353486">
        <w:rPr>
          <w:rFonts w:eastAsia="Calibri"/>
          <w:lang w:val="en-GB"/>
        </w:rPr>
        <w:t xml:space="preserve"> any evolving township, tin shacks were overshadowed by the</w:t>
      </w:r>
      <w:r w:rsidRPr="000078F6">
        <w:rPr>
          <w:rFonts w:eastAsia="Calibri"/>
          <w:lang w:val="en-GB"/>
        </w:rPr>
        <w:t xml:space="preserve"> two</w:t>
      </w:r>
      <w:r w:rsidRPr="000078F6" w:rsidDel="00353486">
        <w:rPr>
          <w:rFonts w:eastAsia="Calibri"/>
          <w:lang w:val="en-GB"/>
        </w:rPr>
        <w:t xml:space="preserve">-storey houses </w:t>
      </w:r>
      <w:r w:rsidRPr="000078F6">
        <w:rPr>
          <w:rFonts w:eastAsia="Calibri"/>
          <w:lang w:val="en-GB"/>
        </w:rPr>
        <w:t xml:space="preserve">of </w:t>
      </w:r>
      <w:r w:rsidRPr="000078F6" w:rsidDel="00353486">
        <w:rPr>
          <w:rFonts w:eastAsia="Calibri"/>
          <w:lang w:val="en-GB"/>
        </w:rPr>
        <w:t>neighbours. Th</w:t>
      </w:r>
      <w:r w:rsidRPr="000078F6">
        <w:rPr>
          <w:rFonts w:eastAsia="Calibri"/>
          <w:lang w:val="en-GB"/>
        </w:rPr>
        <w:t xml:space="preserve">e </w:t>
      </w:r>
      <w:r w:rsidRPr="000078F6" w:rsidDel="00353486">
        <w:rPr>
          <w:rFonts w:eastAsia="Calibri"/>
          <w:lang w:val="en-GB"/>
        </w:rPr>
        <w:t>day’s immersion would take the</w:t>
      </w:r>
      <w:r w:rsidRPr="000078F6">
        <w:rPr>
          <w:rFonts w:eastAsia="Calibri"/>
          <w:lang w:val="en-GB"/>
        </w:rPr>
        <w:t xml:space="preserve"> team</w:t>
      </w:r>
      <w:r w:rsidRPr="000078F6" w:rsidDel="00353486">
        <w:rPr>
          <w:rFonts w:eastAsia="Calibri"/>
          <w:lang w:val="en-GB"/>
        </w:rPr>
        <w:t xml:space="preserve"> to both wealthy and </w:t>
      </w:r>
      <w:r w:rsidRPr="000078F6">
        <w:rPr>
          <w:rFonts w:eastAsia="Calibri"/>
          <w:lang w:val="en-GB"/>
        </w:rPr>
        <w:t>poor inhabitants of Soweto</w:t>
      </w:r>
      <w:r w:rsidRPr="000078F6" w:rsidDel="00353486">
        <w:rPr>
          <w:rFonts w:eastAsia="Calibri"/>
          <w:lang w:val="en-GB"/>
        </w:rPr>
        <w:t xml:space="preserve">. </w:t>
      </w:r>
      <w:proofErr w:type="spellStart"/>
      <w:r w:rsidRPr="000078F6">
        <w:rPr>
          <w:rFonts w:eastAsia="Calibri"/>
          <w:lang w:val="en-GB"/>
        </w:rPr>
        <w:t>Mun</w:t>
      </w:r>
      <w:proofErr w:type="spellEnd"/>
      <w:r w:rsidRPr="000078F6">
        <w:rPr>
          <w:rFonts w:eastAsia="Calibri"/>
          <w:lang w:val="en-GB"/>
        </w:rPr>
        <w:t>-Gavin</w:t>
      </w:r>
      <w:r w:rsidRPr="000078F6" w:rsidDel="00353486">
        <w:rPr>
          <w:rFonts w:eastAsia="Calibri"/>
          <w:lang w:val="en-GB"/>
        </w:rPr>
        <w:t xml:space="preserve"> was curious about the juxtapositions within th</w:t>
      </w:r>
      <w:r w:rsidRPr="000078F6">
        <w:rPr>
          <w:rFonts w:eastAsia="Calibri"/>
          <w:lang w:val="en-GB"/>
        </w:rPr>
        <w:t>e</w:t>
      </w:r>
      <w:r w:rsidRPr="000078F6" w:rsidDel="00353486">
        <w:rPr>
          <w:rFonts w:eastAsia="Calibri"/>
          <w:lang w:val="en-GB"/>
        </w:rPr>
        <w:t xml:space="preserve"> vast township on the outskirts of Johannesburg</w:t>
      </w:r>
      <w:r w:rsidRPr="000078F6">
        <w:rPr>
          <w:rFonts w:eastAsia="Calibri"/>
          <w:lang w:val="en-GB"/>
        </w:rPr>
        <w:t>.</w:t>
      </w:r>
      <w:r w:rsidRPr="000078F6" w:rsidDel="00353486">
        <w:rPr>
          <w:rFonts w:eastAsia="Calibri"/>
          <w:lang w:val="en-GB"/>
        </w:rPr>
        <w:t xml:space="preserve"> </w:t>
      </w:r>
      <w:r w:rsidRPr="000078F6">
        <w:rPr>
          <w:rFonts w:eastAsia="Calibri"/>
          <w:lang w:val="en-GB"/>
        </w:rPr>
        <w:t>He considered his dilemma: the 90-year-old Unilever personal care brand Lux had always been glamo</w:t>
      </w:r>
      <w:r w:rsidR="00421D58">
        <w:rPr>
          <w:rFonts w:eastAsia="Calibri"/>
          <w:lang w:val="en-GB"/>
        </w:rPr>
        <w:t>rous</w:t>
      </w:r>
      <w:r w:rsidRPr="000078F6">
        <w:rPr>
          <w:rFonts w:eastAsia="Calibri"/>
          <w:lang w:val="en-GB"/>
        </w:rPr>
        <w:t xml:space="preserve">—an aspirational brand with celebrity appeal. </w:t>
      </w:r>
      <w:r w:rsidR="00421D58">
        <w:rPr>
          <w:rFonts w:eastAsia="Calibri"/>
          <w:lang w:val="en-GB"/>
        </w:rPr>
        <w:t>But t</w:t>
      </w:r>
      <w:r w:rsidRPr="000078F6">
        <w:rPr>
          <w:rFonts w:eastAsia="Calibri"/>
          <w:lang w:val="en-GB"/>
        </w:rPr>
        <w:t>his no longer seamlessly aligned with the company’s overall agenda, which placed sustainability at the heart of every brand within th</w:t>
      </w:r>
      <w:r w:rsidR="009F118B">
        <w:rPr>
          <w:rFonts w:eastAsia="Calibri"/>
          <w:lang w:val="en-GB"/>
        </w:rPr>
        <w:t>e Unilever stable</w:t>
      </w:r>
      <w:r w:rsidR="00821FED">
        <w:rPr>
          <w:rFonts w:eastAsia="Calibri"/>
          <w:lang w:val="en-GB"/>
        </w:rPr>
        <w:t>. With this in mind,</w:t>
      </w:r>
      <w:r w:rsidR="009F118B">
        <w:rPr>
          <w:rFonts w:eastAsia="Calibri"/>
          <w:lang w:val="en-GB"/>
        </w:rPr>
        <w:t xml:space="preserve"> the organiz</w:t>
      </w:r>
      <w:r w:rsidRPr="000078F6">
        <w:rPr>
          <w:rFonts w:eastAsia="Calibri"/>
          <w:lang w:val="en-GB"/>
        </w:rPr>
        <w:t>ation stro</w:t>
      </w:r>
      <w:r w:rsidR="009F118B">
        <w:rPr>
          <w:rFonts w:eastAsia="Calibri"/>
          <w:lang w:val="en-GB"/>
        </w:rPr>
        <w:t>ve to decentraliz</w:t>
      </w:r>
      <w:r w:rsidRPr="000078F6">
        <w:rPr>
          <w:rFonts w:eastAsia="Calibri"/>
          <w:lang w:val="en-GB"/>
        </w:rPr>
        <w:t xml:space="preserve">e corporate social responsibility (CSR) and make it a compulsory objective for every brand manager. As a result, the team had worked tirelessly to reposition the brand by celebrating the various roles </w:t>
      </w:r>
      <w:r w:rsidR="00421D58">
        <w:rPr>
          <w:rFonts w:eastAsia="Calibri"/>
          <w:lang w:val="en-GB"/>
        </w:rPr>
        <w:t xml:space="preserve">filled by </w:t>
      </w:r>
      <w:r w:rsidRPr="000078F6">
        <w:rPr>
          <w:rFonts w:eastAsia="Calibri"/>
          <w:lang w:val="en-GB"/>
        </w:rPr>
        <w:t>women of the 21st century</w:t>
      </w:r>
      <w:r w:rsidRPr="00145736">
        <w:rPr>
          <w:rFonts w:eastAsia="Calibri"/>
          <w:lang w:val="en-GB"/>
        </w:rPr>
        <w:t xml:space="preserve">. </w:t>
      </w:r>
      <w:r w:rsidRPr="000078F6">
        <w:rPr>
          <w:rFonts w:eastAsia="Calibri"/>
          <w:lang w:val="en-GB"/>
        </w:rPr>
        <w:t>After all these years, would the repositioning work?</w:t>
      </w:r>
    </w:p>
    <w:p w14:paraId="033A9BCF" w14:textId="77777777" w:rsidR="000E0BDF" w:rsidRPr="000078F6" w:rsidRDefault="000E0BDF" w:rsidP="003E2F7C">
      <w:pPr>
        <w:pStyle w:val="BodyTextMain"/>
        <w:rPr>
          <w:rFonts w:eastAsia="Calibri"/>
          <w:lang w:val="en-GB"/>
        </w:rPr>
      </w:pPr>
    </w:p>
    <w:p w14:paraId="7A781742" w14:textId="71F405A3" w:rsidR="000E0BDF" w:rsidRPr="000078F6" w:rsidRDefault="000E0BDF" w:rsidP="003E2F7C">
      <w:pPr>
        <w:pStyle w:val="BodyTextMain"/>
        <w:rPr>
          <w:rFonts w:eastAsia="Calibri"/>
          <w:lang w:val="en-GB"/>
        </w:rPr>
      </w:pPr>
      <w:r w:rsidRPr="000078F6">
        <w:rPr>
          <w:rFonts w:eastAsia="Calibri"/>
          <w:lang w:val="en-GB"/>
        </w:rPr>
        <w:t xml:space="preserve">As </w:t>
      </w:r>
      <w:proofErr w:type="spellStart"/>
      <w:r w:rsidRPr="000078F6">
        <w:rPr>
          <w:rFonts w:eastAsia="Calibri"/>
          <w:lang w:val="en-GB"/>
        </w:rPr>
        <w:t>Mun</w:t>
      </w:r>
      <w:proofErr w:type="spellEnd"/>
      <w:r w:rsidRPr="000078F6">
        <w:rPr>
          <w:rFonts w:eastAsia="Calibri"/>
          <w:lang w:val="en-GB"/>
        </w:rPr>
        <w:t>-Gavin recogni</w:t>
      </w:r>
      <w:r w:rsidR="00386CE9">
        <w:rPr>
          <w:rFonts w:eastAsia="Calibri"/>
          <w:lang w:val="en-GB"/>
        </w:rPr>
        <w:t>z</w:t>
      </w:r>
      <w:r w:rsidRPr="00145736">
        <w:rPr>
          <w:rFonts w:eastAsia="Calibri"/>
          <w:lang w:val="en-GB"/>
        </w:rPr>
        <w:t>ed the distinct smell</w:t>
      </w:r>
      <w:r w:rsidRPr="000078F6">
        <w:rPr>
          <w:rFonts w:eastAsia="Calibri"/>
          <w:lang w:val="en-GB"/>
        </w:rPr>
        <w:t>s of wood fires and cooking cabbage, he wondered how many of his colleagues had been exposed to these smells. Unilever’s vast product range often meant that the end users of products were different from those working on the marketing campaigns. The company expected all</w:t>
      </w:r>
      <w:r w:rsidR="00421D58">
        <w:rPr>
          <w:rFonts w:eastAsia="Calibri"/>
          <w:lang w:val="en-GB"/>
        </w:rPr>
        <w:t xml:space="preserve"> of</w:t>
      </w:r>
      <w:r w:rsidRPr="000078F6">
        <w:rPr>
          <w:rFonts w:eastAsia="Calibri"/>
          <w:lang w:val="en-GB"/>
        </w:rPr>
        <w:t xml:space="preserve"> its employees, including brand managers, to develop a holistic understanding of the people who used its products and the way they lived by regularly interacting with consumers in their homes.</w:t>
      </w:r>
    </w:p>
    <w:p w14:paraId="6C212E9F" w14:textId="77777777" w:rsidR="000E0BDF" w:rsidRPr="000078F6" w:rsidRDefault="000E0BDF" w:rsidP="003E2F7C">
      <w:pPr>
        <w:pStyle w:val="BodyTextMain"/>
        <w:rPr>
          <w:rFonts w:eastAsia="Calibri"/>
          <w:lang w:val="en-GB"/>
        </w:rPr>
      </w:pPr>
    </w:p>
    <w:p w14:paraId="50066D0B" w14:textId="203D1FDC" w:rsidR="000E0BDF" w:rsidRPr="000078F6" w:rsidRDefault="000E0BDF">
      <w:pPr>
        <w:pStyle w:val="BodyTextMain"/>
        <w:rPr>
          <w:rFonts w:eastAsia="Calibri"/>
          <w:lang w:val="en-GB"/>
        </w:rPr>
      </w:pPr>
      <w:r w:rsidRPr="000078F6">
        <w:rPr>
          <w:rFonts w:eastAsia="Calibri"/>
          <w:lang w:val="en-GB"/>
        </w:rPr>
        <w:lastRenderedPageBreak/>
        <w:t>The</w:t>
      </w:r>
      <w:r w:rsidR="00421D58">
        <w:rPr>
          <w:rFonts w:eastAsia="Calibri"/>
          <w:lang w:val="en-GB"/>
        </w:rPr>
        <w:t xml:space="preserve"> team</w:t>
      </w:r>
      <w:r w:rsidRPr="000078F6">
        <w:rPr>
          <w:rFonts w:eastAsia="Calibri"/>
          <w:lang w:val="en-GB"/>
        </w:rPr>
        <w:t xml:space="preserve"> passed a Lux billboard, sun-bleached and peeling, and </w:t>
      </w:r>
      <w:proofErr w:type="spellStart"/>
      <w:r w:rsidRPr="000078F6">
        <w:rPr>
          <w:rFonts w:eastAsia="Calibri"/>
          <w:lang w:val="en-GB"/>
        </w:rPr>
        <w:t>Mun</w:t>
      </w:r>
      <w:proofErr w:type="spellEnd"/>
      <w:r w:rsidRPr="000078F6">
        <w:rPr>
          <w:rFonts w:eastAsia="Calibri"/>
          <w:lang w:val="en-GB"/>
        </w:rPr>
        <w:t xml:space="preserve">-Gavin gave a sigh of frustration. This was not the impression he wanted this aspirational brand to give to the </w:t>
      </w:r>
      <w:proofErr w:type="spellStart"/>
      <w:r w:rsidRPr="000078F6">
        <w:rPr>
          <w:rFonts w:eastAsia="Calibri"/>
          <w:lang w:val="en-GB"/>
        </w:rPr>
        <w:t>Sowetan</w:t>
      </w:r>
      <w:proofErr w:type="spellEnd"/>
      <w:r w:rsidRPr="000078F6">
        <w:rPr>
          <w:rFonts w:eastAsia="Calibri"/>
          <w:lang w:val="en-GB"/>
        </w:rPr>
        <w:t xml:space="preserve"> community. He remembered crafting the product’s philosophy, which spoke to luxury and aspiration. The intention had been to bring the best of beauty to women across the world. Zola </w:t>
      </w:r>
      <w:proofErr w:type="spellStart"/>
      <w:r w:rsidRPr="000078F6">
        <w:rPr>
          <w:rFonts w:eastAsia="Calibri"/>
          <w:lang w:val="en-GB"/>
        </w:rPr>
        <w:t>Bebe</w:t>
      </w:r>
      <w:proofErr w:type="spellEnd"/>
      <w:r w:rsidRPr="000078F6">
        <w:rPr>
          <w:rFonts w:eastAsia="Calibri"/>
          <w:lang w:val="en-GB"/>
        </w:rPr>
        <w:t xml:space="preserve">, Lux brand manager in South Africa, and </w:t>
      </w:r>
      <w:proofErr w:type="spellStart"/>
      <w:r w:rsidRPr="000078F6">
        <w:rPr>
          <w:rFonts w:eastAsia="Calibri"/>
          <w:lang w:val="en-GB"/>
        </w:rPr>
        <w:t>Sphe</w:t>
      </w:r>
      <w:proofErr w:type="spellEnd"/>
      <w:r w:rsidRPr="000078F6">
        <w:rPr>
          <w:rFonts w:eastAsia="Calibri"/>
          <w:lang w:val="en-GB"/>
        </w:rPr>
        <w:t xml:space="preserve"> </w:t>
      </w:r>
      <w:proofErr w:type="spellStart"/>
      <w:r w:rsidRPr="000078F6">
        <w:rPr>
          <w:rFonts w:eastAsia="Calibri"/>
          <w:lang w:val="en-GB"/>
        </w:rPr>
        <w:t>Mjadu</w:t>
      </w:r>
      <w:proofErr w:type="spellEnd"/>
      <w:r w:rsidRPr="000078F6">
        <w:rPr>
          <w:rFonts w:eastAsia="Calibri"/>
          <w:lang w:val="en-GB"/>
        </w:rPr>
        <w:t xml:space="preserve">, </w:t>
      </w:r>
      <w:r w:rsidR="00283979">
        <w:rPr>
          <w:rFonts w:eastAsia="Calibri"/>
          <w:lang w:val="en-GB"/>
        </w:rPr>
        <w:t>Unilever’s public relations</w:t>
      </w:r>
      <w:r w:rsidRPr="000078F6">
        <w:rPr>
          <w:rFonts w:eastAsia="Calibri"/>
          <w:lang w:val="en-GB"/>
        </w:rPr>
        <w:t xml:space="preserve"> manager, had both worked tirelessly to ensure that every contact with consumers was consistent in portraying a sense of beauty and women’s empowerment</w:t>
      </w:r>
      <w:bookmarkStart w:id="0" w:name="_Hlk499274580"/>
      <w:r w:rsidRPr="000078F6">
        <w:rPr>
          <w:rFonts w:eastAsia="Calibri"/>
          <w:lang w:val="en-GB"/>
        </w:rPr>
        <w:t xml:space="preserve">. This team had debated the factors that would make Lux both aspirational and inclusive. After many conversations with consumers, they knew the brand </w:t>
      </w:r>
      <w:r w:rsidR="00421D58">
        <w:rPr>
          <w:rFonts w:eastAsia="Calibri"/>
          <w:lang w:val="en-GB"/>
        </w:rPr>
        <w:t xml:space="preserve">was </w:t>
      </w:r>
      <w:r w:rsidRPr="000078F6">
        <w:rPr>
          <w:rFonts w:eastAsia="Calibri"/>
          <w:lang w:val="en-GB"/>
        </w:rPr>
        <w:t>appeal</w:t>
      </w:r>
      <w:r w:rsidR="00421D58">
        <w:rPr>
          <w:rFonts w:eastAsia="Calibri"/>
          <w:lang w:val="en-GB"/>
        </w:rPr>
        <w:t>ing</w:t>
      </w:r>
      <w:r w:rsidRPr="000078F6">
        <w:rPr>
          <w:rFonts w:eastAsia="Calibri"/>
          <w:lang w:val="en-GB"/>
        </w:rPr>
        <w:t xml:space="preserve">; however, as a brand that always sponsored beauty pageants, it advocated superficial beauty. Therein was the deep disconnect for Unilever: the organization could not position a superficial brand with no moral appeal and remain true to its overarching vision of empowering </w:t>
      </w:r>
      <w:proofErr w:type="gramStart"/>
      <w:r w:rsidRPr="000078F6">
        <w:rPr>
          <w:rFonts w:eastAsia="Calibri"/>
          <w:lang w:val="en-GB"/>
        </w:rPr>
        <w:t>women.</w:t>
      </w:r>
      <w:proofErr w:type="gramEnd"/>
      <w:r w:rsidRPr="000078F6">
        <w:rPr>
          <w:rFonts w:eastAsia="Calibri"/>
          <w:lang w:val="en-GB"/>
        </w:rPr>
        <w:t xml:space="preserve"> </w:t>
      </w:r>
      <w:proofErr w:type="spellStart"/>
      <w:r w:rsidRPr="000078F6">
        <w:rPr>
          <w:rFonts w:eastAsia="Calibri"/>
          <w:lang w:val="en-GB"/>
        </w:rPr>
        <w:t>Mun</w:t>
      </w:r>
      <w:proofErr w:type="spellEnd"/>
      <w:r w:rsidRPr="000078F6">
        <w:rPr>
          <w:rFonts w:eastAsia="Calibri"/>
          <w:lang w:val="en-GB"/>
        </w:rPr>
        <w:t xml:space="preserve">-Gavin thought of the </w:t>
      </w:r>
      <w:bookmarkStart w:id="1" w:name="_Hlk499284115"/>
      <w:r w:rsidRPr="000078F6">
        <w:rPr>
          <w:rFonts w:eastAsia="Calibri"/>
          <w:lang w:val="en-GB"/>
        </w:rPr>
        <w:t xml:space="preserve">Dove team, who had managed to create an authentic brand proposition with natural beauty at its very core. </w:t>
      </w:r>
      <w:bookmarkEnd w:id="0"/>
      <w:bookmarkEnd w:id="1"/>
      <w:r w:rsidRPr="000078F6">
        <w:rPr>
          <w:rFonts w:eastAsia="Calibri"/>
          <w:lang w:val="en-GB"/>
        </w:rPr>
        <w:t xml:space="preserve">Dove easily lent itself to an empowering and sustainable proposition, advocating natural beauty. Lux, on the other hand, had always represented the beauty of the exterior. </w:t>
      </w:r>
    </w:p>
    <w:p w14:paraId="21920C66" w14:textId="77777777" w:rsidR="000E0BDF" w:rsidRPr="000078F6" w:rsidRDefault="000E0BDF">
      <w:pPr>
        <w:pStyle w:val="BodyTextMain"/>
        <w:rPr>
          <w:rFonts w:eastAsia="Calibri"/>
          <w:lang w:val="en-GB"/>
        </w:rPr>
      </w:pPr>
    </w:p>
    <w:p w14:paraId="7AF270E1" w14:textId="77777777" w:rsidR="000E0BDF" w:rsidRPr="003839A4" w:rsidRDefault="000E0BDF">
      <w:pPr>
        <w:pStyle w:val="BodyTextMain"/>
        <w:rPr>
          <w:rFonts w:eastAsia="Calibri"/>
          <w:spacing w:val="-2"/>
          <w:kern w:val="22"/>
          <w:lang w:val="en-GB"/>
        </w:rPr>
      </w:pPr>
      <w:proofErr w:type="spellStart"/>
      <w:r w:rsidRPr="003839A4">
        <w:rPr>
          <w:rFonts w:eastAsia="Calibri"/>
          <w:spacing w:val="-2"/>
          <w:kern w:val="22"/>
          <w:lang w:val="en-GB"/>
        </w:rPr>
        <w:t>Mun</w:t>
      </w:r>
      <w:proofErr w:type="spellEnd"/>
      <w:r w:rsidRPr="003839A4">
        <w:rPr>
          <w:rFonts w:eastAsia="Calibri"/>
          <w:spacing w:val="-2"/>
          <w:kern w:val="22"/>
          <w:lang w:val="en-GB"/>
        </w:rPr>
        <w:t xml:space="preserve">-Gavin again considered his dilemma. While Unilever was invested in driving a sustainability agenda, it made no apologies for being a for-profit organization. However, </w:t>
      </w:r>
      <w:proofErr w:type="spellStart"/>
      <w:r w:rsidRPr="003839A4">
        <w:rPr>
          <w:rFonts w:eastAsia="Calibri"/>
          <w:spacing w:val="-2"/>
          <w:kern w:val="22"/>
          <w:lang w:val="en-GB"/>
        </w:rPr>
        <w:t>Mun</w:t>
      </w:r>
      <w:proofErr w:type="spellEnd"/>
      <w:r w:rsidRPr="003839A4">
        <w:rPr>
          <w:rFonts w:eastAsia="Calibri"/>
          <w:spacing w:val="-2"/>
          <w:kern w:val="22"/>
          <w:lang w:val="en-GB"/>
        </w:rPr>
        <w:t>-Gavin fully believed in the best of both worlds: his fastest growing brands were those with solid CSR at their cores. It was imperative for him to discover, maintain, and drive a similar objective for Lux—a beauty brand invested in women and well-being.</w:t>
      </w:r>
    </w:p>
    <w:p w14:paraId="41E1610C" w14:textId="77777777" w:rsidR="000E0BDF" w:rsidRPr="000078F6" w:rsidRDefault="000E0BDF" w:rsidP="003E2F7C">
      <w:pPr>
        <w:pStyle w:val="BodyTextMain"/>
        <w:rPr>
          <w:rFonts w:eastAsia="Calibri"/>
          <w:lang w:val="en-GB"/>
        </w:rPr>
      </w:pPr>
    </w:p>
    <w:p w14:paraId="7E54E631" w14:textId="77777777" w:rsidR="000E0BDF" w:rsidRPr="000078F6" w:rsidRDefault="000E0BDF" w:rsidP="003E2F7C">
      <w:pPr>
        <w:pStyle w:val="BodyTextMain"/>
        <w:rPr>
          <w:rFonts w:eastAsia="Calibri"/>
          <w:lang w:val="en-GB"/>
        </w:rPr>
      </w:pPr>
    </w:p>
    <w:p w14:paraId="1A0FE807" w14:textId="77777777" w:rsidR="000E0BDF" w:rsidRPr="000078F6" w:rsidRDefault="000E0BDF" w:rsidP="003E2F7C">
      <w:pPr>
        <w:pStyle w:val="Casehead1"/>
        <w:rPr>
          <w:rFonts w:eastAsia="Calibri"/>
          <w:lang w:val="en-GB"/>
        </w:rPr>
      </w:pPr>
      <w:r w:rsidRPr="000078F6">
        <w:rPr>
          <w:rFonts w:eastAsia="Calibri"/>
          <w:lang w:val="en-GB"/>
        </w:rPr>
        <w:t>Background to Unilever’s mission</w:t>
      </w:r>
    </w:p>
    <w:p w14:paraId="6F4522B1" w14:textId="77777777" w:rsidR="000E0BDF" w:rsidRPr="000078F6" w:rsidRDefault="000E0BDF" w:rsidP="003E2F7C">
      <w:pPr>
        <w:pStyle w:val="BodyTextMain"/>
        <w:rPr>
          <w:rFonts w:eastAsia="Calibri"/>
          <w:lang w:val="en-GB"/>
        </w:rPr>
      </w:pPr>
    </w:p>
    <w:p w14:paraId="4A50CB73" w14:textId="63FBF058" w:rsidR="000E0BDF" w:rsidRPr="00145736" w:rsidRDefault="000E0BDF" w:rsidP="003E2F7C">
      <w:pPr>
        <w:pStyle w:val="BodyTextMain"/>
        <w:rPr>
          <w:rFonts w:eastAsia="Calibri"/>
          <w:lang w:val="en-GB"/>
        </w:rPr>
      </w:pPr>
      <w:r w:rsidRPr="000078F6">
        <w:rPr>
          <w:rFonts w:eastAsia="Calibri"/>
          <w:lang w:val="en-GB"/>
        </w:rPr>
        <w:t>Unilever founder</w:t>
      </w:r>
      <w:r w:rsidR="00283979">
        <w:rPr>
          <w:rFonts w:eastAsia="Calibri"/>
          <w:lang w:val="en-GB"/>
        </w:rPr>
        <w:t>,</w:t>
      </w:r>
      <w:r w:rsidRPr="000078F6">
        <w:rPr>
          <w:rFonts w:eastAsia="Calibri"/>
          <w:lang w:val="en-GB"/>
        </w:rPr>
        <w:t xml:space="preserve"> William Lever,</w:t>
      </w:r>
      <w:r w:rsidRPr="000078F6">
        <w:rPr>
          <w:rFonts w:eastAsia="Calibri"/>
          <w:vertAlign w:val="superscript"/>
          <w:lang w:val="en-GB"/>
        </w:rPr>
        <w:endnoteReference w:id="1"/>
      </w:r>
      <w:r w:rsidRPr="000078F6">
        <w:rPr>
          <w:rFonts w:eastAsia="Calibri"/>
          <w:lang w:val="en-GB"/>
        </w:rPr>
        <w:t xml:space="preserve"> a member of the English nobility, set Unilever’s lifelong intention in the 1890s with Sunlight, a brand that aimed to make cleanliness and hygiene commonplace while lessening the work of women. Lever was a businessperson, not a philanthropist, but as a result of having witnessed the poor hygiene conditions of factory workers, he developed a mission to make a difference in the living conditions of the poor. Almost 130 years later, Unilever was firmly positioned as one of the world’s largest FMCG companies and had become a common household name, with over 400 brands in food, refreshments, laundry, and personal care. Unilever brands were used by over </w:t>
      </w:r>
      <w:r w:rsidR="00972270">
        <w:rPr>
          <w:rFonts w:eastAsia="Calibri"/>
          <w:lang w:val="en-GB"/>
        </w:rPr>
        <w:t>2</w:t>
      </w:r>
      <w:r w:rsidRPr="000078F6">
        <w:rPr>
          <w:rFonts w:eastAsia="Calibri"/>
          <w:lang w:val="en-GB"/>
        </w:rPr>
        <w:t xml:space="preserve"> billion people daily.</w:t>
      </w:r>
      <w:r w:rsidRPr="000078F6">
        <w:rPr>
          <w:rFonts w:eastAsia="Calibri"/>
          <w:vertAlign w:val="superscript"/>
          <w:lang w:val="en-GB"/>
        </w:rPr>
        <w:endnoteReference w:id="2"/>
      </w:r>
      <w:r w:rsidRPr="000078F6">
        <w:rPr>
          <w:rFonts w:eastAsia="Calibri"/>
          <w:lang w:val="en-GB"/>
        </w:rPr>
        <w:t xml:space="preserve"> The company operated in over 190 countries in Europe, the Americas, Asia, the Middle East, and Africa. It was headquartered in London, United Kingdom.</w:t>
      </w:r>
      <w:r w:rsidRPr="000078F6">
        <w:rPr>
          <w:rFonts w:eastAsia="Calibri"/>
          <w:vertAlign w:val="superscript"/>
          <w:lang w:val="en-GB"/>
        </w:rPr>
        <w:endnoteReference w:id="3"/>
      </w:r>
    </w:p>
    <w:p w14:paraId="1899CB07" w14:textId="77777777" w:rsidR="000E0BDF" w:rsidRPr="000078F6" w:rsidRDefault="000E0BDF" w:rsidP="003E2F7C">
      <w:pPr>
        <w:pStyle w:val="BodyTextMain"/>
        <w:rPr>
          <w:rFonts w:eastAsia="Calibri"/>
          <w:lang w:val="en-GB"/>
        </w:rPr>
      </w:pPr>
    </w:p>
    <w:p w14:paraId="5F0E939F" w14:textId="7EF33C79" w:rsidR="000E0BDF" w:rsidRPr="000078F6" w:rsidRDefault="000E0BDF" w:rsidP="003E2F7C">
      <w:pPr>
        <w:pStyle w:val="BodyTextMain"/>
        <w:rPr>
          <w:rFonts w:eastAsia="Calibri"/>
          <w:lang w:val="en-GB"/>
        </w:rPr>
      </w:pPr>
      <w:r w:rsidRPr="000078F6">
        <w:rPr>
          <w:rFonts w:eastAsia="Calibri"/>
          <w:lang w:val="en-GB"/>
        </w:rPr>
        <w:t>In 2007, Unilever made what was then considered a risky decision: to shift its focus from America and Europe and actively move projects, people, and other resources to the developing world.</w:t>
      </w:r>
      <w:r w:rsidRPr="000078F6">
        <w:rPr>
          <w:rFonts w:eastAsia="Calibri"/>
          <w:vertAlign w:val="superscript"/>
          <w:lang w:val="en-GB"/>
        </w:rPr>
        <w:endnoteReference w:id="4"/>
      </w:r>
      <w:r w:rsidRPr="000078F6">
        <w:rPr>
          <w:rFonts w:eastAsia="Calibri"/>
          <w:lang w:val="en-GB"/>
        </w:rPr>
        <w:t xml:space="preserve"> Unilever had identified key opportunities in emerging markets and had since seen results, with growth in emerging markets of 7.1 per cent in fiscal year (FY) 2015 and more than half (58 per cent) of the company’s turnover coming from these markets. Unilever had also identified key health and wellness opportunities in its food and beverage businesses, taking the reduction of fats and salts in these products seriously in response to the changing preferences of its consumers. Due to increased consumer interest and purchasing power, the personal care industry had grown rapidly, specifically the skin and hair care segments, which were projected to own 9.04 per cent of this market by 2024. In 2017, Unilever had an 8.84</w:t>
      </w:r>
      <w:r w:rsidR="00972270">
        <w:rPr>
          <w:rFonts w:eastAsia="Calibri"/>
          <w:lang w:val="en-GB"/>
        </w:rPr>
        <w:t>-</w:t>
      </w:r>
      <w:r w:rsidRPr="000078F6">
        <w:rPr>
          <w:rFonts w:eastAsia="Calibri"/>
          <w:lang w:val="en-GB"/>
        </w:rPr>
        <w:t>per</w:t>
      </w:r>
      <w:r w:rsidR="00972270">
        <w:rPr>
          <w:rFonts w:eastAsia="Calibri"/>
          <w:lang w:val="en-GB"/>
        </w:rPr>
        <w:t>-</w:t>
      </w:r>
      <w:r w:rsidRPr="000078F6">
        <w:rPr>
          <w:rFonts w:eastAsia="Calibri"/>
          <w:lang w:val="en-GB"/>
        </w:rPr>
        <w:t>cent market share in skin and hair care.</w:t>
      </w:r>
      <w:r w:rsidRPr="000078F6">
        <w:rPr>
          <w:rFonts w:eastAsia="Calibri"/>
          <w:vertAlign w:val="superscript"/>
          <w:lang w:val="en-GB"/>
        </w:rPr>
        <w:endnoteReference w:id="5"/>
      </w:r>
      <w:r w:rsidRPr="000078F6">
        <w:rPr>
          <w:rFonts w:eastAsia="Calibri"/>
          <w:lang w:val="en-GB"/>
        </w:rPr>
        <w:t xml:space="preserve"> With brands to suit varying consumer needs and price points, Unilever was well positioned to take advantage of this trend.</w:t>
      </w:r>
    </w:p>
    <w:p w14:paraId="4D4230EC" w14:textId="77777777" w:rsidR="000E0BDF" w:rsidRPr="000078F6" w:rsidRDefault="000E0BDF" w:rsidP="003E2F7C">
      <w:pPr>
        <w:pStyle w:val="BodyTextMain"/>
        <w:rPr>
          <w:rFonts w:eastAsia="Calibri"/>
          <w:lang w:val="en-GB"/>
        </w:rPr>
      </w:pPr>
    </w:p>
    <w:p w14:paraId="7F5BB8BA" w14:textId="64E4CA1D" w:rsidR="000E0BDF" w:rsidRPr="00432A7F" w:rsidRDefault="000E0BDF" w:rsidP="003E2F7C">
      <w:pPr>
        <w:pStyle w:val="BodyTextMain"/>
        <w:rPr>
          <w:rFonts w:eastAsia="Calibri"/>
          <w:lang w:val="en-GB"/>
        </w:rPr>
      </w:pPr>
      <w:r w:rsidRPr="00432A7F">
        <w:rPr>
          <w:rFonts w:eastAsia="Calibri"/>
          <w:lang w:val="en-GB"/>
        </w:rPr>
        <w:t xml:space="preserve">Unilever’s global chief executive officer (CEO), Paul </w:t>
      </w:r>
      <w:proofErr w:type="spellStart"/>
      <w:r w:rsidRPr="00432A7F">
        <w:rPr>
          <w:rFonts w:eastAsia="Calibri"/>
          <w:lang w:val="en-GB"/>
        </w:rPr>
        <w:t>Polman</w:t>
      </w:r>
      <w:proofErr w:type="spellEnd"/>
      <w:r w:rsidRPr="00432A7F">
        <w:rPr>
          <w:rFonts w:eastAsia="Calibri"/>
          <w:lang w:val="en-GB"/>
        </w:rPr>
        <w:t>, was inspired by Unilever’s founder after spending an evening in Lever’s rooftop bed as part of a total immersion into his new role in 2009.</w:t>
      </w:r>
      <w:r w:rsidRPr="00432A7F">
        <w:rPr>
          <w:rFonts w:eastAsia="Calibri"/>
          <w:vertAlign w:val="superscript"/>
          <w:lang w:val="en-GB"/>
        </w:rPr>
        <w:endnoteReference w:id="6"/>
      </w:r>
      <w:r w:rsidRPr="00432A7F">
        <w:rPr>
          <w:rFonts w:eastAsia="Calibri"/>
          <w:lang w:val="en-GB"/>
        </w:rPr>
        <w:t xml:space="preserve"> </w:t>
      </w:r>
      <w:r w:rsidR="00821FED">
        <w:rPr>
          <w:rFonts w:eastAsia="Calibri"/>
          <w:lang w:val="en-GB"/>
        </w:rPr>
        <w:t>This</w:t>
      </w:r>
      <w:r w:rsidR="00821FED" w:rsidRPr="00432A7F">
        <w:rPr>
          <w:rFonts w:eastAsia="Calibri"/>
          <w:lang w:val="en-GB"/>
        </w:rPr>
        <w:t xml:space="preserve"> </w:t>
      </w:r>
      <w:r w:rsidRPr="00432A7F">
        <w:rPr>
          <w:rFonts w:eastAsia="Calibri"/>
          <w:lang w:val="en-GB"/>
        </w:rPr>
        <w:t>experience</w:t>
      </w:r>
      <w:r w:rsidR="00821FED">
        <w:rPr>
          <w:rFonts w:eastAsia="Calibri"/>
          <w:lang w:val="en-GB"/>
        </w:rPr>
        <w:t>, coupled with a vision to demonstrate to the world that corporate</w:t>
      </w:r>
      <w:r w:rsidR="006351D9">
        <w:rPr>
          <w:rFonts w:eastAsia="Calibri"/>
          <w:lang w:val="en-GB"/>
        </w:rPr>
        <w:t>s</w:t>
      </w:r>
      <w:r w:rsidR="00821FED">
        <w:rPr>
          <w:rFonts w:eastAsia="Calibri"/>
          <w:lang w:val="en-GB"/>
        </w:rPr>
        <w:t xml:space="preserve"> can b</w:t>
      </w:r>
      <w:r w:rsidR="00283979">
        <w:rPr>
          <w:rFonts w:eastAsia="Calibri"/>
          <w:lang w:val="en-GB"/>
        </w:rPr>
        <w:t>e profitable and create value for</w:t>
      </w:r>
      <w:r w:rsidR="00821FED">
        <w:rPr>
          <w:rFonts w:eastAsia="Calibri"/>
          <w:lang w:val="en-GB"/>
        </w:rPr>
        <w:t xml:space="preserve"> fellow human beings and the environment</w:t>
      </w:r>
      <w:r w:rsidR="00972270">
        <w:rPr>
          <w:rFonts w:eastAsia="Calibri"/>
          <w:lang w:val="en-GB"/>
        </w:rPr>
        <w:t>,</w:t>
      </w:r>
      <w:r w:rsidR="00821FED">
        <w:rPr>
          <w:rStyle w:val="EndnoteReference"/>
          <w:rFonts w:eastAsia="Calibri"/>
          <w:lang w:val="en-GB"/>
        </w:rPr>
        <w:endnoteReference w:id="7"/>
      </w:r>
      <w:r w:rsidR="00821FED">
        <w:rPr>
          <w:rFonts w:eastAsia="Calibri"/>
          <w:lang w:val="en-GB"/>
        </w:rPr>
        <w:t xml:space="preserve"> </w:t>
      </w:r>
      <w:r w:rsidRPr="00432A7F">
        <w:rPr>
          <w:rFonts w:eastAsia="Calibri"/>
          <w:lang w:val="en-GB"/>
        </w:rPr>
        <w:t xml:space="preserve">encouraged </w:t>
      </w:r>
      <w:proofErr w:type="spellStart"/>
      <w:r w:rsidRPr="00432A7F">
        <w:rPr>
          <w:rFonts w:eastAsia="Calibri"/>
          <w:lang w:val="en-GB"/>
        </w:rPr>
        <w:t>Polman</w:t>
      </w:r>
      <w:proofErr w:type="spellEnd"/>
      <w:r w:rsidRPr="00432A7F">
        <w:rPr>
          <w:rFonts w:eastAsia="Calibri"/>
          <w:lang w:val="en-GB"/>
        </w:rPr>
        <w:t xml:space="preserve"> to launch a sustainable living </w:t>
      </w:r>
      <w:r w:rsidRPr="00432A7F">
        <w:rPr>
          <w:rFonts w:eastAsia="Calibri"/>
          <w:lang w:val="en-GB"/>
        </w:rPr>
        <w:lastRenderedPageBreak/>
        <w:t xml:space="preserve">plan for the second time in the company’s 120-year history, echoing Lever’s initial pledge to create a virtuous company. The plan was dedicated to doing capitalism responsibly, reducing Unilever’s environmental impact, and positively increasing its social impact. The mission had proved successful, with a </w:t>
      </w:r>
      <w:proofErr w:type="spellStart"/>
      <w:r w:rsidRPr="00432A7F">
        <w:rPr>
          <w:rFonts w:eastAsia="Calibri"/>
          <w:lang w:val="en-GB"/>
        </w:rPr>
        <w:t>GlobeScan</w:t>
      </w:r>
      <w:proofErr w:type="spellEnd"/>
      <w:r w:rsidRPr="00432A7F">
        <w:rPr>
          <w:rFonts w:eastAsia="Calibri"/>
          <w:lang w:val="en-GB"/>
        </w:rPr>
        <w:t xml:space="preserve"> sustainability survey ranking Unilever first</w:t>
      </w:r>
      <w:r w:rsidR="00972270" w:rsidRPr="000078F6">
        <w:rPr>
          <w:rFonts w:eastAsia="Calibri"/>
          <w:lang w:val="en-GB"/>
        </w:rPr>
        <w:t>—</w:t>
      </w:r>
      <w:r w:rsidRPr="00432A7F">
        <w:rPr>
          <w:rFonts w:eastAsia="Calibri"/>
          <w:lang w:val="en-GB"/>
        </w:rPr>
        <w:t>by far</w:t>
      </w:r>
      <w:r w:rsidR="00972270" w:rsidRPr="000078F6">
        <w:rPr>
          <w:rFonts w:eastAsia="Calibri"/>
          <w:lang w:val="en-GB"/>
        </w:rPr>
        <w:t>—</w:t>
      </w:r>
      <w:r w:rsidRPr="00432A7F">
        <w:rPr>
          <w:rFonts w:eastAsia="Calibri"/>
          <w:lang w:val="en-GB"/>
        </w:rPr>
        <w:t>in initiating sustainable change and driving positive impact in 2016 (see Exhibit 1).</w:t>
      </w:r>
    </w:p>
    <w:p w14:paraId="7CCAC675" w14:textId="77777777" w:rsidR="000E0BDF" w:rsidRPr="00432A7F" w:rsidRDefault="000E0BDF" w:rsidP="003E2F7C">
      <w:pPr>
        <w:pStyle w:val="BodyTextMain"/>
        <w:rPr>
          <w:rFonts w:eastAsia="Calibri"/>
          <w:lang w:val="en-GB"/>
        </w:rPr>
      </w:pPr>
    </w:p>
    <w:p w14:paraId="0A2C5F55" w14:textId="382AB8DD" w:rsidR="000E0BDF" w:rsidRPr="00432A7F" w:rsidRDefault="000E0BDF" w:rsidP="003E2F7C">
      <w:pPr>
        <w:pStyle w:val="BodyTextMain"/>
        <w:rPr>
          <w:rFonts w:eastAsia="Calibri"/>
          <w:lang w:val="en-GB"/>
        </w:rPr>
      </w:pPr>
      <w:proofErr w:type="spellStart"/>
      <w:r w:rsidRPr="00432A7F">
        <w:rPr>
          <w:rFonts w:eastAsia="Calibri"/>
          <w:lang w:val="en-GB"/>
        </w:rPr>
        <w:t>Polman</w:t>
      </w:r>
      <w:proofErr w:type="spellEnd"/>
      <w:r w:rsidRPr="00432A7F">
        <w:rPr>
          <w:rFonts w:eastAsia="Calibri"/>
          <w:lang w:val="en-GB"/>
        </w:rPr>
        <w:t xml:space="preserve"> had boldly stated that there was no business case for enduring poverty and runaway climate change.</w:t>
      </w:r>
      <w:r w:rsidRPr="00432A7F">
        <w:rPr>
          <w:rFonts w:eastAsia="Calibri"/>
          <w:vertAlign w:val="superscript"/>
          <w:lang w:val="en-GB"/>
        </w:rPr>
        <w:endnoteReference w:id="8"/>
      </w:r>
      <w:r w:rsidRPr="00432A7F">
        <w:rPr>
          <w:rFonts w:eastAsia="Calibri"/>
          <w:lang w:val="en-GB"/>
        </w:rPr>
        <w:t xml:space="preserve"> Unilever was</w:t>
      </w:r>
      <w:r w:rsidRPr="00432A7F" w:rsidDel="00442F82">
        <w:rPr>
          <w:rFonts w:eastAsia="Calibri"/>
          <w:lang w:val="en-GB"/>
        </w:rPr>
        <w:t xml:space="preserve"> fully committed to making sustainable living commonplace while delivering on a workable business case.</w:t>
      </w:r>
      <w:r w:rsidRPr="00432A7F">
        <w:rPr>
          <w:rFonts w:eastAsia="Calibri"/>
          <w:lang w:val="en-GB"/>
        </w:rPr>
        <w:t xml:space="preserve"> The company continued to grow responsibly, with reported revenues of €52,713 million</w:t>
      </w:r>
      <w:r w:rsidRPr="00432A7F">
        <w:rPr>
          <w:rStyle w:val="EndnoteReference"/>
          <w:rFonts w:eastAsia="Calibri"/>
          <w:lang w:val="en-GB"/>
        </w:rPr>
        <w:endnoteReference w:id="9"/>
      </w:r>
      <w:r w:rsidRPr="00432A7F">
        <w:rPr>
          <w:rFonts w:eastAsia="Calibri"/>
          <w:lang w:val="en-GB"/>
        </w:rPr>
        <w:t xml:space="preserve"> for FY2016, a decrease of </w:t>
      </w:r>
      <w:r w:rsidR="00283979">
        <w:rPr>
          <w:rFonts w:eastAsia="Calibri"/>
          <w:lang w:val="en-GB"/>
        </w:rPr>
        <w:t xml:space="preserve">only </w:t>
      </w:r>
      <w:r w:rsidRPr="00432A7F">
        <w:rPr>
          <w:rFonts w:eastAsia="Calibri"/>
          <w:lang w:val="en-GB"/>
        </w:rPr>
        <w:t xml:space="preserve">1 per cent over FY2015. In FY2016, the company’s operating margin was 14.8 per cent, compared to an operating margin of 14.1 per cent in FY2015. In FY2016, the company recorded a net margin of 9.8 per cent, compared to a net margin of 9.2 per cent in FY2015. </w:t>
      </w:r>
      <w:r w:rsidRPr="00145736">
        <w:rPr>
          <w:rFonts w:eastAsia="Calibri"/>
          <w:lang w:val="en-GB"/>
        </w:rPr>
        <w:t>Overall the organi</w:t>
      </w:r>
      <w:r w:rsidRPr="000078F6">
        <w:rPr>
          <w:rFonts w:eastAsia="Calibri"/>
          <w:lang w:val="en-GB"/>
        </w:rPr>
        <w:t xml:space="preserve">zation’s financial results reflected positive growth for FY2016 (see Exhibit 2). </w:t>
      </w:r>
    </w:p>
    <w:p w14:paraId="6351F7D9" w14:textId="77777777" w:rsidR="000E0BDF" w:rsidRPr="00145736" w:rsidRDefault="000E0BDF" w:rsidP="003E2F7C">
      <w:pPr>
        <w:pStyle w:val="BodyTextMain"/>
        <w:rPr>
          <w:rFonts w:eastAsia="Calibri"/>
          <w:lang w:val="en-GB"/>
        </w:rPr>
      </w:pPr>
    </w:p>
    <w:p w14:paraId="5A9E33F8" w14:textId="46BA57BD" w:rsidR="000E0BDF" w:rsidRPr="00145736" w:rsidRDefault="000E0BDF" w:rsidP="003E2F7C">
      <w:pPr>
        <w:pStyle w:val="BodyTextMain"/>
        <w:rPr>
          <w:rFonts w:eastAsia="Calibri"/>
          <w:lang w:val="en-GB"/>
        </w:rPr>
      </w:pPr>
      <w:r w:rsidRPr="00145736">
        <w:rPr>
          <w:rFonts w:eastAsia="Calibri"/>
          <w:lang w:val="en-GB"/>
        </w:rPr>
        <w:t xml:space="preserve">Unilever’s growth was intertwined with </w:t>
      </w:r>
      <w:r w:rsidRPr="000078F6">
        <w:rPr>
          <w:rFonts w:eastAsia="Calibri"/>
          <w:lang w:val="en-GB"/>
        </w:rPr>
        <w:t>the Unileve</w:t>
      </w:r>
      <w:r w:rsidR="00283979">
        <w:rPr>
          <w:rFonts w:eastAsia="Calibri"/>
          <w:lang w:val="en-GB"/>
        </w:rPr>
        <w:t>r Sustainable Living Plan</w:t>
      </w:r>
      <w:r w:rsidRPr="000078F6">
        <w:rPr>
          <w:rFonts w:eastAsia="Calibri"/>
          <w:lang w:val="en-GB"/>
        </w:rPr>
        <w:t>, which had three primary goals:</w:t>
      </w:r>
      <w:r w:rsidRPr="00145736">
        <w:rPr>
          <w:rFonts w:eastAsia="Calibri"/>
          <w:vertAlign w:val="superscript"/>
          <w:lang w:val="en-GB"/>
        </w:rPr>
        <w:endnoteReference w:id="10"/>
      </w:r>
      <w:r w:rsidRPr="00145736">
        <w:rPr>
          <w:rFonts w:eastAsia="Calibri"/>
          <w:lang w:val="en-GB"/>
        </w:rPr>
        <w:t xml:space="preserve"> h</w:t>
      </w:r>
      <w:r w:rsidRPr="000078F6">
        <w:rPr>
          <w:rFonts w:eastAsia="Calibri"/>
          <w:lang w:val="en-GB"/>
        </w:rPr>
        <w:t>elp more than a billion people improve their health and well</w:t>
      </w:r>
      <w:r w:rsidR="009F118B">
        <w:rPr>
          <w:rFonts w:eastAsia="Calibri"/>
          <w:lang w:val="en-GB"/>
        </w:rPr>
        <w:t>-</w:t>
      </w:r>
      <w:r w:rsidR="00283979">
        <w:rPr>
          <w:rFonts w:eastAsia="Calibri"/>
          <w:lang w:val="en-GB"/>
        </w:rPr>
        <w:t>being,</w:t>
      </w:r>
      <w:r w:rsidRPr="00145736">
        <w:rPr>
          <w:rFonts w:eastAsia="Calibri"/>
          <w:lang w:val="en-GB"/>
        </w:rPr>
        <w:t xml:space="preserve"> halve the enviro</w:t>
      </w:r>
      <w:r w:rsidR="00283979">
        <w:rPr>
          <w:rFonts w:eastAsia="Calibri"/>
          <w:lang w:val="en-GB"/>
        </w:rPr>
        <w:t>nmental footprint of products,</w:t>
      </w:r>
      <w:r w:rsidRPr="000078F6">
        <w:rPr>
          <w:rFonts w:eastAsia="Calibri"/>
          <w:lang w:val="en-GB"/>
        </w:rPr>
        <w:t xml:space="preserve"> </w:t>
      </w:r>
      <w:r w:rsidRPr="00145736">
        <w:rPr>
          <w:rFonts w:eastAsia="Calibri"/>
          <w:lang w:val="en-GB"/>
        </w:rPr>
        <w:t xml:space="preserve">and enhance the livelihoods of people across the value chain. </w:t>
      </w:r>
      <w:r w:rsidRPr="000078F6">
        <w:rPr>
          <w:rFonts w:eastAsia="Calibri"/>
          <w:lang w:val="en-GB"/>
        </w:rPr>
        <w:t xml:space="preserve">Unilever’s end-to-end sustainability agenda included the sourcing of raw materials to delivering </w:t>
      </w:r>
      <w:r w:rsidR="00EB3D93">
        <w:rPr>
          <w:rFonts w:eastAsia="Calibri"/>
          <w:lang w:val="en-GB"/>
        </w:rPr>
        <w:t>the</w:t>
      </w:r>
      <w:r w:rsidRPr="000078F6">
        <w:rPr>
          <w:rFonts w:eastAsia="Calibri"/>
          <w:lang w:val="en-GB"/>
        </w:rPr>
        <w:t xml:space="preserve"> final products to retailers’ shelves. It included the responsible distribution of some of South Africans’ favourite household </w:t>
      </w:r>
      <w:r w:rsidR="00283979">
        <w:rPr>
          <w:rFonts w:eastAsia="Calibri"/>
          <w:lang w:val="en-GB"/>
        </w:rPr>
        <w:t xml:space="preserve">product </w:t>
      </w:r>
      <w:r w:rsidRPr="000078F6">
        <w:rPr>
          <w:rFonts w:eastAsia="Calibri"/>
          <w:lang w:val="en-GB"/>
        </w:rPr>
        <w:t xml:space="preserve">names as well as the marketing campaigns that supported these iconic brands. Unilever partnered with others, including suppliers, </w:t>
      </w:r>
      <w:r w:rsidR="00EB3D93">
        <w:rPr>
          <w:rFonts w:eastAsia="Calibri"/>
          <w:lang w:val="en-GB"/>
        </w:rPr>
        <w:t xml:space="preserve">the </w:t>
      </w:r>
      <w:r w:rsidRPr="000078F6">
        <w:rPr>
          <w:rFonts w:eastAsia="Calibri"/>
          <w:lang w:val="en-GB"/>
        </w:rPr>
        <w:t>government, non</w:t>
      </w:r>
      <w:r w:rsidR="00EB3D93">
        <w:rPr>
          <w:rFonts w:eastAsia="Calibri"/>
          <w:lang w:val="en-GB"/>
        </w:rPr>
        <w:t>-</w:t>
      </w:r>
      <w:r w:rsidRPr="000078F6">
        <w:rPr>
          <w:rFonts w:eastAsia="Calibri"/>
          <w:lang w:val="en-GB"/>
        </w:rPr>
        <w:t>g</w:t>
      </w:r>
      <w:r w:rsidR="00283979">
        <w:rPr>
          <w:rFonts w:eastAsia="Calibri"/>
          <w:lang w:val="en-GB"/>
        </w:rPr>
        <w:t>overnmental organizations</w:t>
      </w:r>
      <w:r w:rsidR="00386CE9">
        <w:rPr>
          <w:rFonts w:eastAsia="Calibri"/>
          <w:lang w:val="en-GB"/>
        </w:rPr>
        <w:t>,</w:t>
      </w:r>
      <w:r w:rsidRPr="00145736">
        <w:rPr>
          <w:rFonts w:eastAsia="Calibri"/>
          <w:lang w:val="en-GB"/>
        </w:rPr>
        <w:t xml:space="preserve"> and other businesses to deliver on its U</w:t>
      </w:r>
      <w:r w:rsidR="00283979">
        <w:rPr>
          <w:rFonts w:eastAsia="Calibri"/>
          <w:lang w:val="en-GB"/>
        </w:rPr>
        <w:t xml:space="preserve">nilever </w:t>
      </w:r>
      <w:r w:rsidRPr="00145736">
        <w:rPr>
          <w:rFonts w:eastAsia="Calibri"/>
          <w:lang w:val="en-GB"/>
        </w:rPr>
        <w:t>S</w:t>
      </w:r>
      <w:r w:rsidR="00283979">
        <w:rPr>
          <w:rFonts w:eastAsia="Calibri"/>
          <w:lang w:val="en-GB"/>
        </w:rPr>
        <w:t xml:space="preserve">ustainable </w:t>
      </w:r>
      <w:r w:rsidRPr="00145736">
        <w:rPr>
          <w:rFonts w:eastAsia="Calibri"/>
          <w:lang w:val="en-GB"/>
        </w:rPr>
        <w:t>L</w:t>
      </w:r>
      <w:r w:rsidR="00283979">
        <w:rPr>
          <w:rFonts w:eastAsia="Calibri"/>
          <w:lang w:val="en-GB"/>
        </w:rPr>
        <w:t xml:space="preserve">iving </w:t>
      </w:r>
      <w:r w:rsidRPr="00145736">
        <w:rPr>
          <w:rFonts w:eastAsia="Calibri"/>
          <w:lang w:val="en-GB"/>
        </w:rPr>
        <w:t>P</w:t>
      </w:r>
      <w:r w:rsidR="00283979">
        <w:rPr>
          <w:rFonts w:eastAsia="Calibri"/>
          <w:lang w:val="en-GB"/>
        </w:rPr>
        <w:t>lan</w:t>
      </w:r>
      <w:r w:rsidRPr="00145736">
        <w:rPr>
          <w:rFonts w:eastAsia="Calibri"/>
          <w:lang w:val="en-GB"/>
        </w:rPr>
        <w:t xml:space="preserve"> and face some of the world’s </w:t>
      </w:r>
      <w:r w:rsidRPr="000078F6">
        <w:rPr>
          <w:rFonts w:eastAsia="Calibri"/>
          <w:lang w:val="en-GB"/>
        </w:rPr>
        <w:t xml:space="preserve">great challenges. Brands that fulfilled powerful sustainability initiatives were some of Unilever’s best. For example, </w:t>
      </w:r>
      <w:r w:rsidRPr="00432A7F">
        <w:rPr>
          <w:rFonts w:eastAsia="Calibri"/>
          <w:lang w:val="en-GB"/>
        </w:rPr>
        <w:t xml:space="preserve">Lifebuoy had evolved to become the world’s bestselling and most trusted germ-protection soap. </w:t>
      </w:r>
    </w:p>
    <w:p w14:paraId="023C9FC4" w14:textId="77777777" w:rsidR="000E0BDF" w:rsidRPr="00432A7F" w:rsidRDefault="000E0BDF" w:rsidP="003E2F7C">
      <w:pPr>
        <w:pStyle w:val="BodyTextMain"/>
        <w:rPr>
          <w:rFonts w:eastAsia="Calibri"/>
          <w:bCs/>
          <w:spacing w:val="4"/>
          <w:w w:val="105"/>
          <w:lang w:val="en-GB"/>
        </w:rPr>
      </w:pPr>
    </w:p>
    <w:p w14:paraId="6AC9E08B" w14:textId="05E29ABD" w:rsidR="000E0BDF" w:rsidRPr="00432A7F" w:rsidRDefault="000E0BDF" w:rsidP="003E2F7C">
      <w:pPr>
        <w:pStyle w:val="BodyTextMain"/>
        <w:rPr>
          <w:rFonts w:eastAsia="Calibri"/>
          <w:lang w:val="en-GB"/>
        </w:rPr>
      </w:pPr>
      <w:r w:rsidRPr="00432A7F">
        <w:rPr>
          <w:rFonts w:eastAsia="Calibri"/>
          <w:lang w:val="en-GB"/>
        </w:rPr>
        <w:t xml:space="preserve">Unilever’s competitors offered different perspectives: German skincare multinational </w:t>
      </w:r>
      <w:proofErr w:type="spellStart"/>
      <w:r w:rsidRPr="00432A7F">
        <w:rPr>
          <w:rFonts w:eastAsia="Calibri"/>
          <w:lang w:val="en-GB"/>
        </w:rPr>
        <w:t>Beiersdorf</w:t>
      </w:r>
      <w:proofErr w:type="spellEnd"/>
      <w:r w:rsidRPr="00432A7F">
        <w:rPr>
          <w:rFonts w:eastAsia="Calibri"/>
          <w:lang w:val="en-GB"/>
        </w:rPr>
        <w:t xml:space="preserve"> AG put skincare at the forefront of the strategy outlined in its “Blue Agenda,” which combined agility (based on its smaller size) with innovation and world-class advertising to position the organization as number one in skin care.</w:t>
      </w:r>
      <w:r w:rsidRPr="00432A7F">
        <w:rPr>
          <w:rFonts w:eastAsia="Calibri"/>
          <w:vertAlign w:val="superscript"/>
          <w:lang w:val="en-GB"/>
        </w:rPr>
        <w:endnoteReference w:id="11"/>
      </w:r>
      <w:r w:rsidRPr="00432A7F">
        <w:rPr>
          <w:rFonts w:eastAsia="Calibri"/>
          <w:lang w:val="en-GB"/>
        </w:rPr>
        <w:t xml:space="preserve"> L’Oréal Group was the world leader in beauty and had a CSR commitment to share beauty with all by innovating, producing, living, and developing sustainably while enabling both communities and suppliers to thrive sustainably.</w:t>
      </w:r>
      <w:r w:rsidRPr="00432A7F">
        <w:rPr>
          <w:rFonts w:eastAsia="Calibri"/>
          <w:vertAlign w:val="superscript"/>
          <w:lang w:val="en-GB"/>
        </w:rPr>
        <w:endnoteReference w:id="12"/>
      </w:r>
      <w:r w:rsidRPr="00432A7F">
        <w:rPr>
          <w:rFonts w:eastAsia="Calibri"/>
          <w:lang w:val="en-GB"/>
        </w:rPr>
        <w:t xml:space="preserve"> The Proctor &amp; Gamble Company had committed to a sustainability agenda centred on climate, waste, and water that enabled consumers to make more responsible choices.</w:t>
      </w:r>
      <w:r w:rsidRPr="00432A7F">
        <w:rPr>
          <w:rFonts w:eastAsia="Calibri"/>
          <w:vertAlign w:val="superscript"/>
          <w:lang w:val="en-GB"/>
        </w:rPr>
        <w:endnoteReference w:id="13"/>
      </w:r>
      <w:r w:rsidRPr="00432A7F">
        <w:rPr>
          <w:rFonts w:eastAsia="Calibri"/>
          <w:lang w:val="en-GB"/>
        </w:rPr>
        <w:t xml:space="preserve"> Other competitors included the Colgate-Palmolive Company, Johnson &amp; Johnson, Danone</w:t>
      </w:r>
      <w:r w:rsidR="00386CE9">
        <w:rPr>
          <w:rFonts w:eastAsia="Calibri"/>
          <w:lang w:val="en-GB"/>
        </w:rPr>
        <w:t>,</w:t>
      </w:r>
      <w:r w:rsidRPr="00432A7F">
        <w:rPr>
          <w:rFonts w:eastAsia="Calibri"/>
          <w:lang w:val="en-GB"/>
        </w:rPr>
        <w:t xml:space="preserve"> and Nestl</w:t>
      </w:r>
      <w:r w:rsidR="00386CE9">
        <w:rPr>
          <w:rFonts w:eastAsia="Calibri"/>
          <w:lang w:val="en-GB"/>
        </w:rPr>
        <w:t>é</w:t>
      </w:r>
      <w:r w:rsidRPr="00432A7F">
        <w:rPr>
          <w:rFonts w:eastAsia="Calibri"/>
          <w:lang w:val="en-GB"/>
        </w:rPr>
        <w:t xml:space="preserve">. </w:t>
      </w:r>
    </w:p>
    <w:p w14:paraId="5DB81322" w14:textId="77777777" w:rsidR="000E0BDF" w:rsidRPr="00432A7F" w:rsidRDefault="000E0BDF" w:rsidP="003E2F7C">
      <w:pPr>
        <w:pStyle w:val="BodyTextMain"/>
        <w:rPr>
          <w:rFonts w:eastAsia="Calibri"/>
          <w:lang w:val="en-GB"/>
        </w:rPr>
      </w:pPr>
    </w:p>
    <w:p w14:paraId="79C2D9A3" w14:textId="77777777" w:rsidR="000E0BDF" w:rsidRPr="00432A7F" w:rsidRDefault="000E0BDF" w:rsidP="003E2F7C">
      <w:pPr>
        <w:pStyle w:val="BodyTextMain"/>
        <w:rPr>
          <w:rFonts w:eastAsia="Calibri"/>
          <w:lang w:val="en-GB"/>
        </w:rPr>
      </w:pPr>
    </w:p>
    <w:p w14:paraId="43243DB2" w14:textId="77777777" w:rsidR="000E0BDF" w:rsidRPr="00145736" w:rsidRDefault="000E0BDF" w:rsidP="003E2F7C">
      <w:pPr>
        <w:pStyle w:val="Casehead1"/>
        <w:rPr>
          <w:rFonts w:eastAsia="Calibri"/>
          <w:lang w:val="en-GB"/>
        </w:rPr>
      </w:pPr>
      <w:r w:rsidRPr="00145736">
        <w:rPr>
          <w:rFonts w:eastAsia="Calibri"/>
          <w:lang w:val="en-GB"/>
        </w:rPr>
        <w:t>Diversity in the Unilever South Africa Personal Care team</w:t>
      </w:r>
    </w:p>
    <w:p w14:paraId="605FBCB0" w14:textId="77777777" w:rsidR="000E0BDF" w:rsidRPr="000078F6" w:rsidRDefault="000E0BDF" w:rsidP="003E2F7C">
      <w:pPr>
        <w:pStyle w:val="BodyTextMain"/>
        <w:rPr>
          <w:rFonts w:eastAsia="Calibri"/>
          <w:lang w:val="en-GB"/>
        </w:rPr>
      </w:pPr>
    </w:p>
    <w:p w14:paraId="53D6A2C6" w14:textId="7FE20327" w:rsidR="000E0BDF" w:rsidRPr="000078F6" w:rsidRDefault="000E0BDF" w:rsidP="003E2F7C">
      <w:pPr>
        <w:pStyle w:val="BodyTextMain"/>
        <w:rPr>
          <w:rFonts w:eastAsia="Calibri"/>
          <w:lang w:val="en-GB"/>
        </w:rPr>
      </w:pPr>
      <w:r w:rsidRPr="000078F6">
        <w:rPr>
          <w:rFonts w:eastAsia="Calibri"/>
          <w:lang w:val="en-GB"/>
        </w:rPr>
        <w:t xml:space="preserve">Diversity within Unilever meant that some of </w:t>
      </w:r>
      <w:proofErr w:type="spellStart"/>
      <w:r w:rsidRPr="000078F6">
        <w:rPr>
          <w:rFonts w:eastAsia="Calibri"/>
          <w:lang w:val="en-GB"/>
        </w:rPr>
        <w:t>Mun</w:t>
      </w:r>
      <w:proofErr w:type="spellEnd"/>
      <w:r w:rsidRPr="000078F6">
        <w:rPr>
          <w:rFonts w:eastAsia="Calibri"/>
          <w:lang w:val="en-GB"/>
        </w:rPr>
        <w:t>-Gavin’s colleagues had grown up in townships very similar to Soweto, while others had had vastly different childhoods, with plastic toys instead of wooden ones</w:t>
      </w:r>
      <w:r w:rsidR="00283979">
        <w:rPr>
          <w:rFonts w:eastAsia="Calibri"/>
          <w:lang w:val="en-GB"/>
        </w:rPr>
        <w:t>,</w:t>
      </w:r>
      <w:r w:rsidRPr="000078F6">
        <w:rPr>
          <w:rFonts w:eastAsia="Calibri"/>
          <w:lang w:val="en-GB"/>
        </w:rPr>
        <w:t xml:space="preserve"> and a reduced sense of community. In contrast, children who thrived within informal settlements unapologetically shouted “</w:t>
      </w:r>
      <w:r w:rsidRPr="00432A7F">
        <w:rPr>
          <w:rFonts w:eastAsia="Calibri"/>
          <w:i/>
          <w:lang w:val="en-GB"/>
        </w:rPr>
        <w:t>Makhi</w:t>
      </w:r>
      <w:r w:rsidRPr="00145736">
        <w:rPr>
          <w:rFonts w:eastAsia="Calibri"/>
          <w:lang w:val="en-GB"/>
        </w:rPr>
        <w:t>”</w:t>
      </w:r>
      <w:r w:rsidR="00DE7831">
        <w:rPr>
          <w:rFonts w:eastAsia="Calibri"/>
          <w:lang w:val="en-GB"/>
        </w:rPr>
        <w:t xml:space="preserve"> </w:t>
      </w:r>
      <w:r w:rsidR="00283979">
        <w:rPr>
          <w:rFonts w:eastAsia="Calibri"/>
          <w:lang w:val="en-GB"/>
        </w:rPr>
        <w:t>(neighbour</w:t>
      </w:r>
      <w:r w:rsidRPr="000078F6">
        <w:rPr>
          <w:rFonts w:eastAsia="Calibri"/>
          <w:lang w:val="en-GB"/>
        </w:rPr>
        <w:t xml:space="preserve">) to gain the attention of well-loved neighbours in a bid for sugar or some other home commodity that seemed to belong to any hungry child. While some of </w:t>
      </w:r>
      <w:proofErr w:type="spellStart"/>
      <w:r w:rsidRPr="000078F6">
        <w:rPr>
          <w:rFonts w:eastAsia="Calibri"/>
          <w:lang w:val="en-GB"/>
        </w:rPr>
        <w:t>Mun</w:t>
      </w:r>
      <w:proofErr w:type="spellEnd"/>
      <w:r w:rsidRPr="000078F6">
        <w:rPr>
          <w:rFonts w:eastAsia="Calibri"/>
          <w:lang w:val="en-GB"/>
        </w:rPr>
        <w:t>-Gavin’s team eased into familiarity, others pulled faces at the unfamiliar sights and sounds.</w:t>
      </w:r>
    </w:p>
    <w:p w14:paraId="6C2F62EA" w14:textId="77777777" w:rsidR="000E0BDF" w:rsidRPr="000078F6" w:rsidRDefault="000E0BDF" w:rsidP="003E2F7C">
      <w:pPr>
        <w:pStyle w:val="BodyTextMain"/>
        <w:rPr>
          <w:rFonts w:eastAsia="Calibri"/>
          <w:lang w:val="en-GB"/>
        </w:rPr>
      </w:pPr>
    </w:p>
    <w:p w14:paraId="70F294CE" w14:textId="60380B5C" w:rsidR="000E0BDF" w:rsidRPr="003839A4" w:rsidRDefault="000E0BDF" w:rsidP="003E2F7C">
      <w:pPr>
        <w:pStyle w:val="BodyTextMain"/>
        <w:rPr>
          <w:rFonts w:eastAsia="Calibri"/>
          <w:spacing w:val="-2"/>
          <w:kern w:val="22"/>
          <w:lang w:val="en-GB"/>
        </w:rPr>
      </w:pPr>
      <w:proofErr w:type="spellStart"/>
      <w:r w:rsidRPr="003839A4">
        <w:rPr>
          <w:rFonts w:eastAsia="Calibri"/>
          <w:spacing w:val="-2"/>
          <w:kern w:val="22"/>
          <w:lang w:val="en-GB"/>
        </w:rPr>
        <w:t>Mun</w:t>
      </w:r>
      <w:proofErr w:type="spellEnd"/>
      <w:r w:rsidRPr="003839A4">
        <w:rPr>
          <w:rFonts w:eastAsia="Calibri"/>
          <w:spacing w:val="-2"/>
          <w:kern w:val="22"/>
          <w:lang w:val="en-GB"/>
        </w:rPr>
        <w:t xml:space="preserve">-Gavin was proud of his team; Unilever’s leadership had worked hard to galvanize a culture of inclusive growth among all employees. He had led the initiative with passion, believing that it was the responsibility of all citizens to invest in sustainability. To </w:t>
      </w:r>
      <w:proofErr w:type="spellStart"/>
      <w:r w:rsidRPr="003839A4">
        <w:rPr>
          <w:rFonts w:eastAsia="Calibri"/>
          <w:spacing w:val="-2"/>
          <w:kern w:val="22"/>
          <w:lang w:val="en-GB"/>
        </w:rPr>
        <w:t>Mun</w:t>
      </w:r>
      <w:proofErr w:type="spellEnd"/>
      <w:r w:rsidRPr="003839A4">
        <w:rPr>
          <w:rFonts w:eastAsia="Calibri"/>
          <w:spacing w:val="-2"/>
          <w:kern w:val="22"/>
          <w:lang w:val="en-GB"/>
        </w:rPr>
        <w:t xml:space="preserve">-Gavin, this was about adding value and harnessing core values, and he had deliberately attracted employees who wanted to do both. The team had proven </w:t>
      </w:r>
      <w:r w:rsidR="00386CE9" w:rsidRPr="003839A4">
        <w:rPr>
          <w:rFonts w:eastAsia="Calibri"/>
          <w:spacing w:val="-2"/>
          <w:kern w:val="22"/>
          <w:lang w:val="en-GB"/>
        </w:rPr>
        <w:t xml:space="preserve">its </w:t>
      </w:r>
      <w:r w:rsidRPr="003839A4">
        <w:rPr>
          <w:rFonts w:eastAsia="Calibri"/>
          <w:spacing w:val="-2"/>
          <w:kern w:val="22"/>
          <w:lang w:val="en-GB"/>
        </w:rPr>
        <w:t xml:space="preserve">commitment by putting the consumer at the core of </w:t>
      </w:r>
      <w:r w:rsidR="00386CE9" w:rsidRPr="003839A4">
        <w:rPr>
          <w:rFonts w:eastAsia="Calibri"/>
          <w:spacing w:val="-2"/>
          <w:kern w:val="22"/>
          <w:lang w:val="en-GB"/>
        </w:rPr>
        <w:t xml:space="preserve">its </w:t>
      </w:r>
      <w:r w:rsidRPr="003839A4">
        <w:rPr>
          <w:rFonts w:eastAsia="Calibri"/>
          <w:spacing w:val="-2"/>
          <w:kern w:val="22"/>
          <w:lang w:val="en-GB"/>
        </w:rPr>
        <w:t xml:space="preserve">campaign; </w:t>
      </w:r>
      <w:r w:rsidR="00386CE9" w:rsidRPr="003839A4">
        <w:rPr>
          <w:rFonts w:eastAsia="Calibri"/>
          <w:spacing w:val="-2"/>
          <w:kern w:val="22"/>
          <w:lang w:val="en-GB"/>
        </w:rPr>
        <w:t xml:space="preserve">team members </w:t>
      </w:r>
      <w:r w:rsidRPr="003839A4">
        <w:rPr>
          <w:rFonts w:eastAsia="Calibri"/>
          <w:spacing w:val="-2"/>
          <w:kern w:val="22"/>
          <w:lang w:val="en-GB"/>
        </w:rPr>
        <w:t xml:space="preserve">had listened intently to the many voices of </w:t>
      </w:r>
      <w:r w:rsidRPr="003839A4">
        <w:rPr>
          <w:rFonts w:eastAsia="Calibri"/>
          <w:spacing w:val="-2"/>
          <w:kern w:val="22"/>
          <w:lang w:val="en-GB"/>
        </w:rPr>
        <w:lastRenderedPageBreak/>
        <w:t>women across South Africa to create the new Lux identity. This day’s immersion was simply another example of the team’s unwavering drive to fully understand the people they chose to serve.</w:t>
      </w:r>
    </w:p>
    <w:p w14:paraId="25438EF6" w14:textId="77777777" w:rsidR="000E0BDF" w:rsidRPr="00432A7F" w:rsidRDefault="000E0BDF" w:rsidP="003E2F7C">
      <w:pPr>
        <w:pStyle w:val="BodyTextMain"/>
        <w:rPr>
          <w:lang w:val="en-GB"/>
        </w:rPr>
      </w:pPr>
    </w:p>
    <w:p w14:paraId="2BD02B0A" w14:textId="77777777" w:rsidR="000E0BDF" w:rsidRPr="00432A7F" w:rsidRDefault="000E0BDF" w:rsidP="003E2F7C">
      <w:pPr>
        <w:pStyle w:val="BodyTextMain"/>
        <w:rPr>
          <w:lang w:val="en-GB"/>
        </w:rPr>
      </w:pPr>
    </w:p>
    <w:p w14:paraId="6C0FF6E5" w14:textId="77777777" w:rsidR="000E0BDF" w:rsidRPr="00145736" w:rsidRDefault="000E0BDF" w:rsidP="003E2F7C">
      <w:pPr>
        <w:pStyle w:val="Casehead1"/>
        <w:rPr>
          <w:rFonts w:eastAsia="Calibri"/>
          <w:lang w:val="en-GB"/>
        </w:rPr>
      </w:pPr>
      <w:r w:rsidRPr="00145736">
        <w:rPr>
          <w:rFonts w:eastAsia="Calibri"/>
          <w:lang w:val="en-GB"/>
        </w:rPr>
        <w:t xml:space="preserve">The pursuit of personal mastery </w:t>
      </w:r>
    </w:p>
    <w:p w14:paraId="3B7FAE58" w14:textId="77777777" w:rsidR="000E0BDF" w:rsidRPr="00432A7F" w:rsidRDefault="000E0BDF" w:rsidP="003E2F7C">
      <w:pPr>
        <w:pStyle w:val="BodyTextMain"/>
        <w:rPr>
          <w:lang w:val="en-GB"/>
        </w:rPr>
      </w:pPr>
    </w:p>
    <w:p w14:paraId="2C504940" w14:textId="1C9FEE66" w:rsidR="000E0BDF" w:rsidRPr="003839A4" w:rsidRDefault="000E0BDF" w:rsidP="003E2F7C">
      <w:pPr>
        <w:pStyle w:val="BodyTextMain"/>
        <w:rPr>
          <w:spacing w:val="-2"/>
          <w:kern w:val="22"/>
          <w:lang w:val="en-GB"/>
        </w:rPr>
      </w:pPr>
      <w:r w:rsidRPr="003839A4">
        <w:rPr>
          <w:spacing w:val="-2"/>
          <w:kern w:val="22"/>
          <w:lang w:val="en-GB"/>
        </w:rPr>
        <w:t xml:space="preserve">Finally, the taxi jolted to a halt, and the team stumbled out into the blistering midday sun. The streets were dusty, and </w:t>
      </w:r>
      <w:proofErr w:type="spellStart"/>
      <w:r w:rsidRPr="003839A4">
        <w:rPr>
          <w:spacing w:val="-2"/>
          <w:kern w:val="22"/>
          <w:lang w:val="en-GB"/>
        </w:rPr>
        <w:t>Mun</w:t>
      </w:r>
      <w:proofErr w:type="spellEnd"/>
      <w:r w:rsidRPr="003839A4">
        <w:rPr>
          <w:spacing w:val="-2"/>
          <w:kern w:val="22"/>
          <w:lang w:val="en-GB"/>
        </w:rPr>
        <w:t>-Gavin reflected on the importance of Unilever’s focus on reducing water use: water continued to be a scar</w:t>
      </w:r>
      <w:r w:rsidR="00283979">
        <w:rPr>
          <w:spacing w:val="-2"/>
          <w:kern w:val="22"/>
          <w:lang w:val="en-GB"/>
        </w:rPr>
        <w:t>c</w:t>
      </w:r>
      <w:r w:rsidRPr="003839A4">
        <w:rPr>
          <w:spacing w:val="-2"/>
          <w:kern w:val="22"/>
          <w:lang w:val="en-GB"/>
        </w:rPr>
        <w:t xml:space="preserve">e resource across the continent, and its value was increasingly emphasized, given the recent drought across the South African landscape. </w:t>
      </w:r>
      <w:proofErr w:type="spellStart"/>
      <w:r w:rsidRPr="003839A4">
        <w:rPr>
          <w:spacing w:val="-2"/>
          <w:kern w:val="22"/>
          <w:lang w:val="en-GB"/>
        </w:rPr>
        <w:t>Mun</w:t>
      </w:r>
      <w:proofErr w:type="spellEnd"/>
      <w:r w:rsidRPr="003839A4">
        <w:rPr>
          <w:spacing w:val="-2"/>
          <w:kern w:val="22"/>
          <w:lang w:val="en-GB"/>
        </w:rPr>
        <w:t xml:space="preserve">-Gavin noticed his own thirst, but swiftly put it out of his mind. He considered his privileged upbringing in South Africa: he had a successful father, educated as a chartered accountant, and a creative mother, an artist. It was no surprise that </w:t>
      </w:r>
      <w:proofErr w:type="spellStart"/>
      <w:r w:rsidRPr="003839A4">
        <w:rPr>
          <w:spacing w:val="-2"/>
          <w:kern w:val="22"/>
          <w:lang w:val="en-GB"/>
        </w:rPr>
        <w:t>Mun</w:t>
      </w:r>
      <w:proofErr w:type="spellEnd"/>
      <w:r w:rsidRPr="003839A4">
        <w:rPr>
          <w:spacing w:val="-2"/>
          <w:kern w:val="22"/>
          <w:lang w:val="en-GB"/>
        </w:rPr>
        <w:t xml:space="preserve">-Gavin had pursued a career in marketing, the natural merger of his parents’ talents and a meeting place between art and science. Over the years, his wife had been his primary mentor. As a psychologist, she was perfectly positioned to discuss the drivers of human behaviour, values, and insights. </w:t>
      </w:r>
      <w:proofErr w:type="spellStart"/>
      <w:r w:rsidRPr="003839A4">
        <w:rPr>
          <w:spacing w:val="-2"/>
          <w:kern w:val="22"/>
          <w:lang w:val="en-GB"/>
        </w:rPr>
        <w:t>Mun</w:t>
      </w:r>
      <w:proofErr w:type="spellEnd"/>
      <w:r w:rsidRPr="003839A4">
        <w:rPr>
          <w:spacing w:val="-2"/>
          <w:kern w:val="22"/>
          <w:lang w:val="en-GB"/>
        </w:rPr>
        <w:t>-Gavin considered her contribution priceless in his understanding of marketing; her teachings were, after all, the cornerstone of marketing acumen.</w:t>
      </w:r>
    </w:p>
    <w:p w14:paraId="1F16E994" w14:textId="77777777" w:rsidR="000E0BDF" w:rsidRPr="00432A7F" w:rsidRDefault="000E0BDF" w:rsidP="003E2F7C">
      <w:pPr>
        <w:pStyle w:val="BodyTextMain"/>
        <w:rPr>
          <w:lang w:val="en-GB"/>
        </w:rPr>
      </w:pPr>
    </w:p>
    <w:p w14:paraId="4D0B97A0" w14:textId="1ACAD983" w:rsidR="000E0BDF" w:rsidRPr="00432A7F" w:rsidRDefault="000E0BDF" w:rsidP="003E2F7C">
      <w:pPr>
        <w:pStyle w:val="BodyTextMain"/>
        <w:rPr>
          <w:lang w:val="en-GB"/>
        </w:rPr>
      </w:pPr>
      <w:r w:rsidRPr="00432A7F">
        <w:rPr>
          <w:lang w:val="en-GB"/>
        </w:rPr>
        <w:t xml:space="preserve">However, </w:t>
      </w:r>
      <w:proofErr w:type="spellStart"/>
      <w:r w:rsidRPr="00432A7F">
        <w:rPr>
          <w:lang w:val="en-GB"/>
        </w:rPr>
        <w:t>Mun</w:t>
      </w:r>
      <w:proofErr w:type="spellEnd"/>
      <w:r w:rsidRPr="00432A7F">
        <w:rPr>
          <w:lang w:val="en-GB"/>
        </w:rPr>
        <w:t xml:space="preserve">-Gavin’s decision to remain at Unilever for close to 20 years was based on more than the simple merging of industry and interest. Given his education at the London School of Economics, there was no doubt that he had had his fair share of opportunity. His choice to remain loyal to Unilever was deeply rooted in his own and the company’s values. Both </w:t>
      </w:r>
      <w:proofErr w:type="spellStart"/>
      <w:r w:rsidRPr="00432A7F">
        <w:rPr>
          <w:lang w:val="en-GB"/>
        </w:rPr>
        <w:t>Mun</w:t>
      </w:r>
      <w:proofErr w:type="spellEnd"/>
      <w:r w:rsidRPr="00432A7F">
        <w:rPr>
          <w:lang w:val="en-GB"/>
        </w:rPr>
        <w:t xml:space="preserve">-Gavin’s love for business and his desire to do </w:t>
      </w:r>
      <w:proofErr w:type="gramStart"/>
      <w:r w:rsidR="003839A4">
        <w:rPr>
          <w:lang w:val="en-GB"/>
        </w:rPr>
        <w:t>good</w:t>
      </w:r>
      <w:proofErr w:type="gramEnd"/>
      <w:r w:rsidRPr="00432A7F">
        <w:rPr>
          <w:lang w:val="en-GB"/>
        </w:rPr>
        <w:t xml:space="preserve"> were met by this </w:t>
      </w:r>
      <w:r w:rsidR="00283979">
        <w:rPr>
          <w:lang w:val="en-GB"/>
        </w:rPr>
        <w:t>organization. H</w:t>
      </w:r>
      <w:r w:rsidRPr="00432A7F">
        <w:rPr>
          <w:lang w:val="en-GB"/>
        </w:rPr>
        <w:t xml:space="preserve">e had a genuine heart and a love for people and making a difference, </w:t>
      </w:r>
      <w:r w:rsidR="00283979">
        <w:rPr>
          <w:lang w:val="en-GB"/>
        </w:rPr>
        <w:t>and these values</w:t>
      </w:r>
      <w:r w:rsidRPr="00432A7F">
        <w:rPr>
          <w:lang w:val="en-GB"/>
        </w:rPr>
        <w:t xml:space="preserve"> aligned with Unilever’s purpose at both </w:t>
      </w:r>
      <w:r w:rsidR="00E544E8">
        <w:rPr>
          <w:lang w:val="en-GB"/>
        </w:rPr>
        <w:t xml:space="preserve">the </w:t>
      </w:r>
      <w:r w:rsidRPr="00432A7F">
        <w:rPr>
          <w:lang w:val="en-GB"/>
        </w:rPr>
        <w:t xml:space="preserve">organizational and </w:t>
      </w:r>
      <w:r w:rsidR="00E544E8">
        <w:rPr>
          <w:lang w:val="en-GB"/>
        </w:rPr>
        <w:t xml:space="preserve">the </w:t>
      </w:r>
      <w:r w:rsidRPr="00432A7F">
        <w:rPr>
          <w:lang w:val="en-GB"/>
        </w:rPr>
        <w:t>brand level. The organization and brand purposes fit neatly with his own values as an individual.</w:t>
      </w:r>
    </w:p>
    <w:p w14:paraId="50C4AC31" w14:textId="77777777" w:rsidR="000E0BDF" w:rsidRPr="00432A7F" w:rsidRDefault="000E0BDF" w:rsidP="003E2F7C">
      <w:pPr>
        <w:pStyle w:val="BodyTextMain"/>
        <w:rPr>
          <w:lang w:val="en-GB"/>
        </w:rPr>
      </w:pPr>
    </w:p>
    <w:p w14:paraId="240EB030" w14:textId="5B77830B" w:rsidR="000E0BDF" w:rsidRPr="00432A7F" w:rsidRDefault="000E0BDF" w:rsidP="003E2F7C">
      <w:pPr>
        <w:pStyle w:val="BodyTextMain"/>
        <w:rPr>
          <w:lang w:val="en-GB"/>
        </w:rPr>
      </w:pPr>
      <w:proofErr w:type="spellStart"/>
      <w:r w:rsidRPr="00432A7F">
        <w:rPr>
          <w:lang w:val="en-GB"/>
        </w:rPr>
        <w:t>Mun</w:t>
      </w:r>
      <w:proofErr w:type="spellEnd"/>
      <w:r w:rsidRPr="00432A7F">
        <w:rPr>
          <w:lang w:val="en-GB"/>
        </w:rPr>
        <w:t xml:space="preserve">-Gavin’s passion for making a difference was influenced by his time spent abroad. Shortly after Nelson Mandela’s release, </w:t>
      </w:r>
      <w:proofErr w:type="spellStart"/>
      <w:r w:rsidRPr="00432A7F">
        <w:rPr>
          <w:lang w:val="en-GB"/>
        </w:rPr>
        <w:t>Mun</w:t>
      </w:r>
      <w:proofErr w:type="spellEnd"/>
      <w:r w:rsidRPr="00432A7F">
        <w:rPr>
          <w:lang w:val="en-GB"/>
        </w:rPr>
        <w:t>-Gavin headed to London, where he realized just how small and sheltered his world had been. His time abroad immersed him in his first tangible experience of</w:t>
      </w:r>
      <w:r w:rsidR="00E544E8">
        <w:rPr>
          <w:lang w:val="en-GB"/>
        </w:rPr>
        <w:t xml:space="preserve"> the</w:t>
      </w:r>
      <w:r w:rsidRPr="00432A7F">
        <w:rPr>
          <w:lang w:val="en-GB"/>
        </w:rPr>
        <w:t xml:space="preserve"> difference between </w:t>
      </w:r>
      <w:r w:rsidR="00283979">
        <w:rPr>
          <w:lang w:val="en-GB"/>
        </w:rPr>
        <w:t>the wealthy and the poor</w:t>
      </w:r>
      <w:r w:rsidRPr="00432A7F">
        <w:rPr>
          <w:lang w:val="en-GB"/>
        </w:rPr>
        <w:t>, as he actively experienced a country where there was not much poverty and hardship. When he return</w:t>
      </w:r>
      <w:r w:rsidR="008A68B8">
        <w:rPr>
          <w:lang w:val="en-GB"/>
        </w:rPr>
        <w:t>ed</w:t>
      </w:r>
      <w:r w:rsidRPr="00432A7F">
        <w:rPr>
          <w:lang w:val="en-GB"/>
        </w:rPr>
        <w:t xml:space="preserve"> to the post-apartheid South Africa Archbishop Desmond Tutu called the “Rainbow Nation,”</w:t>
      </w:r>
      <w:r w:rsidRPr="00432A7F">
        <w:rPr>
          <w:vertAlign w:val="superscript"/>
          <w:lang w:val="en-GB"/>
        </w:rPr>
        <w:endnoteReference w:id="14"/>
      </w:r>
      <w:r w:rsidRPr="00432A7F">
        <w:rPr>
          <w:lang w:val="en-GB"/>
        </w:rPr>
        <w:t xml:space="preserve"> he had a firm belief that Africa was different. He considered how the immersion that day offered similar insights for his team. There was great discrepancy in South Africa’s wealth distribution. The top 10 per cent of earners in the country held 65 per cent of the total wealth and roughly 90 per cent of its total assets.</w:t>
      </w:r>
      <w:r w:rsidRPr="00432A7F">
        <w:rPr>
          <w:vertAlign w:val="superscript"/>
          <w:lang w:val="en-GB"/>
        </w:rPr>
        <w:endnoteReference w:id="15"/>
      </w:r>
      <w:r w:rsidR="00283979">
        <w:rPr>
          <w:lang w:val="en-GB"/>
        </w:rPr>
        <w:t xml:space="preserve"> In Soweto, contrasts were</w:t>
      </w:r>
      <w:r w:rsidRPr="00432A7F">
        <w:rPr>
          <w:lang w:val="en-GB"/>
        </w:rPr>
        <w:t xml:space="preserve"> obvious, as the insatiable African sun beat down on bleached laundry and tin roofs as well as solid brick structures that looked somewhat misplaced among their tin compatriots. Hand-painted decals stained shopkeepers’ walls, advertising many of the brands </w:t>
      </w:r>
      <w:proofErr w:type="spellStart"/>
      <w:r w:rsidRPr="00432A7F">
        <w:rPr>
          <w:lang w:val="en-GB"/>
        </w:rPr>
        <w:t>Mun</w:t>
      </w:r>
      <w:proofErr w:type="spellEnd"/>
      <w:r w:rsidRPr="00432A7F">
        <w:rPr>
          <w:lang w:val="en-GB"/>
        </w:rPr>
        <w:t xml:space="preserve">-Gavin and his team were familiar with: Sunlight, OMO, and Shield. In Soweto, the corner </w:t>
      </w:r>
      <w:proofErr w:type="spellStart"/>
      <w:r w:rsidRPr="00432A7F">
        <w:rPr>
          <w:i/>
          <w:lang w:val="en-GB"/>
        </w:rPr>
        <w:t>spaza</w:t>
      </w:r>
      <w:proofErr w:type="spellEnd"/>
      <w:r w:rsidR="00283979">
        <w:rPr>
          <w:i/>
          <w:lang w:val="en-GB"/>
        </w:rPr>
        <w:t xml:space="preserve"> </w:t>
      </w:r>
      <w:r w:rsidR="00283979">
        <w:rPr>
          <w:lang w:val="en-GB"/>
        </w:rPr>
        <w:t>(convenience store)</w:t>
      </w:r>
      <w:r w:rsidRPr="00432A7F">
        <w:rPr>
          <w:i/>
          <w:lang w:val="en-GB"/>
        </w:rPr>
        <w:t>,</w:t>
      </w:r>
      <w:r w:rsidRPr="00432A7F">
        <w:rPr>
          <w:lang w:val="en-GB"/>
        </w:rPr>
        <w:t xml:space="preserve"> with its convenient location and neighbourly appeal, rivalled South Africa’s leading retailer</w:t>
      </w:r>
      <w:r w:rsidR="00283979">
        <w:rPr>
          <w:lang w:val="en-GB"/>
        </w:rPr>
        <w:t>,</w:t>
      </w:r>
      <w:r w:rsidRPr="00432A7F">
        <w:rPr>
          <w:lang w:val="en-GB"/>
        </w:rPr>
        <w:t xml:space="preserve"> Shoprite.</w:t>
      </w:r>
      <w:r w:rsidRPr="00432A7F">
        <w:rPr>
          <w:vertAlign w:val="superscript"/>
          <w:lang w:val="en-GB"/>
        </w:rPr>
        <w:endnoteReference w:id="16"/>
      </w:r>
    </w:p>
    <w:p w14:paraId="6289F9DA" w14:textId="77777777" w:rsidR="000E0BDF" w:rsidRPr="00432A7F" w:rsidRDefault="000E0BDF" w:rsidP="003E2F7C">
      <w:pPr>
        <w:pStyle w:val="BodyTextMain"/>
        <w:rPr>
          <w:lang w:val="en-GB"/>
        </w:rPr>
      </w:pPr>
    </w:p>
    <w:p w14:paraId="624306EC" w14:textId="12EB121E" w:rsidR="000E0BDF" w:rsidRPr="00432A7F" w:rsidRDefault="000E0BDF" w:rsidP="003E2F7C">
      <w:pPr>
        <w:pStyle w:val="BodyTextMain"/>
        <w:rPr>
          <w:lang w:val="en-GB"/>
        </w:rPr>
      </w:pPr>
      <w:r w:rsidRPr="00432A7F">
        <w:rPr>
          <w:lang w:val="en-GB"/>
        </w:rPr>
        <w:t xml:space="preserve">As </w:t>
      </w:r>
      <w:proofErr w:type="spellStart"/>
      <w:r w:rsidRPr="00432A7F">
        <w:rPr>
          <w:lang w:val="en-GB"/>
        </w:rPr>
        <w:t>Mun</w:t>
      </w:r>
      <w:proofErr w:type="spellEnd"/>
      <w:r w:rsidRPr="00432A7F">
        <w:rPr>
          <w:lang w:val="en-GB"/>
        </w:rPr>
        <w:t xml:space="preserve">-Gavin’s designer sneakers scuffed the dusty roads of Soweto, he was again reminded that Africa was different, and he believed in his purpose to contribute to inclusive growth. He considered it his responsibility to make a difference, and Unilever, his brands, and his team offered him a vehicle to do exactly that at scale. As part of their immersion, </w:t>
      </w:r>
      <w:proofErr w:type="spellStart"/>
      <w:r w:rsidRPr="00432A7F">
        <w:rPr>
          <w:lang w:val="en-GB"/>
        </w:rPr>
        <w:t>Mun</w:t>
      </w:r>
      <w:proofErr w:type="spellEnd"/>
      <w:r w:rsidRPr="00432A7F">
        <w:rPr>
          <w:lang w:val="en-GB"/>
        </w:rPr>
        <w:t xml:space="preserve">-Gavin and his team entered the home of a young woman, Bongiwe. Despite its small size, the home was impeccably neat. They were offered seats on a torn leather couch; the television was on, but the picture was snowy, making it impossible to make out the channel. </w:t>
      </w:r>
      <w:proofErr w:type="spellStart"/>
      <w:r w:rsidRPr="00432A7F">
        <w:rPr>
          <w:lang w:val="en-GB"/>
        </w:rPr>
        <w:t>Mun</w:t>
      </w:r>
      <w:proofErr w:type="spellEnd"/>
      <w:r w:rsidRPr="00432A7F">
        <w:rPr>
          <w:lang w:val="en-GB"/>
        </w:rPr>
        <w:t xml:space="preserve">-Gavin could hear vernacular and cursed under his breath that all </w:t>
      </w:r>
      <w:r w:rsidR="00283979">
        <w:rPr>
          <w:lang w:val="en-GB"/>
        </w:rPr>
        <w:t xml:space="preserve">of </w:t>
      </w:r>
      <w:r w:rsidRPr="00432A7F">
        <w:rPr>
          <w:lang w:val="en-GB"/>
        </w:rPr>
        <w:t xml:space="preserve">his world-class education had never taught him an African language. South Africa’s first black president, Nelson Mandela, was famous for his quotes and had said that language was a window to the soul. Their hostess was shy but hospitable, boasting a wide smile and flawless teeth. The white of her teeth was exaggerated by her dark </w:t>
      </w:r>
      <w:r w:rsidRPr="00432A7F">
        <w:rPr>
          <w:lang w:val="en-GB"/>
        </w:rPr>
        <w:lastRenderedPageBreak/>
        <w:t xml:space="preserve">skin, slightly pigmented by the unforgiving sun. She poured Joko tea into odd cups and offered everyone sugar, unapologetically launching three teaspoons into her own cup. </w:t>
      </w:r>
    </w:p>
    <w:p w14:paraId="406D66B3" w14:textId="77777777" w:rsidR="000E0BDF" w:rsidRPr="00432A7F" w:rsidRDefault="000E0BDF" w:rsidP="003E2F7C">
      <w:pPr>
        <w:pStyle w:val="BodyTextMain"/>
        <w:rPr>
          <w:lang w:val="en-GB"/>
        </w:rPr>
      </w:pPr>
    </w:p>
    <w:p w14:paraId="4009A822" w14:textId="686033E2" w:rsidR="000E0BDF" w:rsidRPr="00432A7F" w:rsidRDefault="000E0BDF" w:rsidP="003E2F7C">
      <w:pPr>
        <w:pStyle w:val="BodyTextMain"/>
        <w:rPr>
          <w:lang w:val="en-GB"/>
        </w:rPr>
      </w:pPr>
      <w:proofErr w:type="spellStart"/>
      <w:r w:rsidRPr="00432A7F">
        <w:rPr>
          <w:lang w:val="en-GB"/>
        </w:rPr>
        <w:t>Bebe</w:t>
      </w:r>
      <w:proofErr w:type="spellEnd"/>
      <w:r w:rsidRPr="00432A7F">
        <w:rPr>
          <w:lang w:val="en-GB"/>
        </w:rPr>
        <w:t xml:space="preserve"> led the conversation on authentic beauty in South Africa. She started by talking about the new Lux positioning and asked Bongiwe what this meant to her. It took a while for </w:t>
      </w:r>
      <w:r w:rsidR="00E53A75" w:rsidRPr="00E53A75">
        <w:rPr>
          <w:lang w:val="en-GB"/>
        </w:rPr>
        <w:t xml:space="preserve">Bongiwe </w:t>
      </w:r>
      <w:r w:rsidRPr="00432A7F">
        <w:rPr>
          <w:lang w:val="en-GB"/>
        </w:rPr>
        <w:t xml:space="preserve">to warm up, but </w:t>
      </w:r>
      <w:proofErr w:type="spellStart"/>
      <w:r w:rsidRPr="00432A7F">
        <w:rPr>
          <w:lang w:val="en-GB"/>
        </w:rPr>
        <w:t>Bebe’s</w:t>
      </w:r>
      <w:proofErr w:type="spellEnd"/>
      <w:r w:rsidRPr="00432A7F">
        <w:rPr>
          <w:lang w:val="en-GB"/>
        </w:rPr>
        <w:t xml:space="preserve"> contagious laughter and sincerity added a magic to the room, sweeter than the Joko tea that they were all sipping steadily</w:t>
      </w:r>
      <w:r w:rsidR="00E53A75">
        <w:rPr>
          <w:lang w:val="en-GB"/>
        </w:rPr>
        <w:t>. T</w:t>
      </w:r>
      <w:r w:rsidRPr="00432A7F">
        <w:rPr>
          <w:lang w:val="en-GB"/>
        </w:rPr>
        <w:t>hey listened to Bongiwe charm</w:t>
      </w:r>
      <w:r w:rsidR="008A68B8">
        <w:rPr>
          <w:lang w:val="en-GB"/>
        </w:rPr>
        <w:t>ing</w:t>
      </w:r>
      <w:r w:rsidRPr="00432A7F">
        <w:rPr>
          <w:lang w:val="en-GB"/>
        </w:rPr>
        <w:t xml:space="preserve"> them as she spoke to her many faces—her ability to be both homemaker and breadwinner</w:t>
      </w:r>
      <w:r w:rsidR="00145736">
        <w:rPr>
          <w:lang w:val="en-GB"/>
        </w:rPr>
        <w:t>,</w:t>
      </w:r>
      <w:r w:rsidR="00145736" w:rsidRPr="00432A7F">
        <w:rPr>
          <w:lang w:val="en-GB"/>
        </w:rPr>
        <w:t xml:space="preserve"> </w:t>
      </w:r>
      <w:r w:rsidRPr="00432A7F">
        <w:rPr>
          <w:lang w:val="en-GB"/>
        </w:rPr>
        <w:t>both nurturing mother and strict disciplinarian—and of how she was able to celebrate her femininity and embrace her strong-willed independence. Bongiwe was not married</w:t>
      </w:r>
      <w:r w:rsidR="00E544E8">
        <w:rPr>
          <w:lang w:val="en-GB"/>
        </w:rPr>
        <w:t>,</w:t>
      </w:r>
      <w:r w:rsidRPr="00432A7F">
        <w:rPr>
          <w:lang w:val="en-GB"/>
        </w:rPr>
        <w:t xml:space="preserve"> but like so many other young South African women, she was </w:t>
      </w:r>
      <w:r w:rsidR="00E53A75">
        <w:rPr>
          <w:lang w:val="en-GB"/>
        </w:rPr>
        <w:t xml:space="preserve">the </w:t>
      </w:r>
      <w:r w:rsidRPr="00432A7F">
        <w:rPr>
          <w:lang w:val="en-GB"/>
        </w:rPr>
        <w:t xml:space="preserve">official mother to two children and surrogate mother to another five.  </w:t>
      </w:r>
    </w:p>
    <w:p w14:paraId="4D8408A7" w14:textId="77777777" w:rsidR="000E0BDF" w:rsidRPr="00432A7F" w:rsidRDefault="000E0BDF" w:rsidP="003E2F7C">
      <w:pPr>
        <w:pStyle w:val="BodyTextMain"/>
        <w:rPr>
          <w:lang w:val="en-GB"/>
        </w:rPr>
      </w:pPr>
    </w:p>
    <w:p w14:paraId="5D4CC283" w14:textId="57ECB516" w:rsidR="000E0BDF" w:rsidRPr="00432A7F" w:rsidRDefault="000E0BDF" w:rsidP="003E2F7C">
      <w:pPr>
        <w:pStyle w:val="BodyTextMain"/>
        <w:rPr>
          <w:lang w:val="en-GB"/>
        </w:rPr>
      </w:pPr>
      <w:r w:rsidRPr="00432A7F">
        <w:rPr>
          <w:lang w:val="en-GB"/>
        </w:rPr>
        <w:t xml:space="preserve">As </w:t>
      </w:r>
      <w:proofErr w:type="spellStart"/>
      <w:r w:rsidRPr="00432A7F">
        <w:rPr>
          <w:lang w:val="en-GB"/>
        </w:rPr>
        <w:t>Bebe</w:t>
      </w:r>
      <w:proofErr w:type="spellEnd"/>
      <w:r w:rsidRPr="00432A7F">
        <w:rPr>
          <w:lang w:val="en-GB"/>
        </w:rPr>
        <w:t xml:space="preserve"> and Bongiwe continued to talk about the many opportunities and challenges facing South African women today, </w:t>
      </w:r>
      <w:proofErr w:type="spellStart"/>
      <w:r w:rsidRPr="00432A7F">
        <w:rPr>
          <w:lang w:val="en-GB"/>
        </w:rPr>
        <w:t>Mun</w:t>
      </w:r>
      <w:proofErr w:type="spellEnd"/>
      <w:r w:rsidRPr="00432A7F">
        <w:rPr>
          <w:lang w:val="en-GB"/>
        </w:rPr>
        <w:t xml:space="preserve">-Gavin reflected on the new Lux positioning that was once again being reinforced by Bongiwe: women really were much more than just their exterior beauty. The brand had chosen three celebrities to act as advocates for Lux: musicians Lira, </w:t>
      </w:r>
      <w:proofErr w:type="spellStart"/>
      <w:r w:rsidRPr="00432A7F">
        <w:rPr>
          <w:lang w:val="en-GB"/>
        </w:rPr>
        <w:t>Moneoa</w:t>
      </w:r>
      <w:proofErr w:type="spellEnd"/>
      <w:r w:rsidRPr="00432A7F">
        <w:rPr>
          <w:lang w:val="en-GB"/>
        </w:rPr>
        <w:t xml:space="preserve">, and </w:t>
      </w:r>
      <w:proofErr w:type="spellStart"/>
      <w:r w:rsidRPr="00432A7F">
        <w:rPr>
          <w:lang w:val="en-GB"/>
        </w:rPr>
        <w:t>Nhlanhla</w:t>
      </w:r>
      <w:proofErr w:type="spellEnd"/>
      <w:r w:rsidRPr="00432A7F">
        <w:rPr>
          <w:lang w:val="en-GB"/>
        </w:rPr>
        <w:t xml:space="preserve">, from the group </w:t>
      </w:r>
      <w:proofErr w:type="spellStart"/>
      <w:r w:rsidRPr="00432A7F">
        <w:rPr>
          <w:lang w:val="en-GB"/>
        </w:rPr>
        <w:t>Mafikizolo</w:t>
      </w:r>
      <w:proofErr w:type="spellEnd"/>
      <w:r w:rsidRPr="00432A7F">
        <w:rPr>
          <w:lang w:val="en-GB"/>
        </w:rPr>
        <w:t xml:space="preserve">. While these three women were aspirational models and musicians, they were also much more; each had her own unique story that had crafted her identity. </w:t>
      </w:r>
      <w:proofErr w:type="spellStart"/>
      <w:r w:rsidRPr="00432A7F">
        <w:rPr>
          <w:lang w:val="en-GB"/>
        </w:rPr>
        <w:t>Mun</w:t>
      </w:r>
      <w:proofErr w:type="spellEnd"/>
      <w:r w:rsidRPr="00432A7F">
        <w:rPr>
          <w:lang w:val="en-GB"/>
        </w:rPr>
        <w:t xml:space="preserve">-Gavin recalled the tragic story about the death of </w:t>
      </w:r>
      <w:proofErr w:type="spellStart"/>
      <w:r w:rsidRPr="00432A7F">
        <w:rPr>
          <w:lang w:val="en-GB"/>
        </w:rPr>
        <w:t>Nhlanhla’s</w:t>
      </w:r>
      <w:proofErr w:type="spellEnd"/>
      <w:r w:rsidRPr="00432A7F">
        <w:rPr>
          <w:lang w:val="en-GB"/>
        </w:rPr>
        <w:t xml:space="preserve"> five-year-old daughter in a car accident in 2009,</w:t>
      </w:r>
      <w:r w:rsidRPr="00432A7F">
        <w:rPr>
          <w:vertAlign w:val="superscript"/>
          <w:lang w:val="en-GB"/>
        </w:rPr>
        <w:endnoteReference w:id="17"/>
      </w:r>
      <w:r w:rsidRPr="00432A7F">
        <w:rPr>
          <w:lang w:val="en-GB"/>
        </w:rPr>
        <w:t xml:space="preserve"> positioning her as a real woman with true tragedy as well as success. Lira had recently been in the news for her debt-free decade—using money to live a full life as opposed to constantly pay</w:t>
      </w:r>
      <w:r w:rsidR="00145736">
        <w:rPr>
          <w:lang w:val="en-GB"/>
        </w:rPr>
        <w:t>ing</w:t>
      </w:r>
      <w:r w:rsidRPr="00432A7F">
        <w:rPr>
          <w:lang w:val="en-GB"/>
        </w:rPr>
        <w:t xml:space="preserve"> off excessive commitments.</w:t>
      </w:r>
      <w:r w:rsidRPr="00432A7F">
        <w:rPr>
          <w:vertAlign w:val="superscript"/>
          <w:lang w:val="en-GB"/>
        </w:rPr>
        <w:endnoteReference w:id="18"/>
      </w:r>
      <w:r w:rsidRPr="00432A7F">
        <w:rPr>
          <w:lang w:val="en-GB"/>
        </w:rPr>
        <w:t xml:space="preserve"> </w:t>
      </w:r>
      <w:proofErr w:type="spellStart"/>
      <w:r w:rsidRPr="00432A7F">
        <w:rPr>
          <w:lang w:val="en-GB"/>
        </w:rPr>
        <w:t>Moneoa</w:t>
      </w:r>
      <w:proofErr w:type="spellEnd"/>
      <w:r w:rsidRPr="00432A7F">
        <w:rPr>
          <w:lang w:val="en-GB"/>
        </w:rPr>
        <w:t xml:space="preserve"> had overcome heartbreak and embraced her new feminine physique</w:t>
      </w:r>
      <w:r w:rsidR="00E544E8">
        <w:rPr>
          <w:lang w:val="en-GB"/>
        </w:rPr>
        <w:t>,</w:t>
      </w:r>
      <w:r w:rsidRPr="00432A7F">
        <w:rPr>
          <w:lang w:val="en-GB"/>
        </w:rPr>
        <w:t xml:space="preserve"> and was a top talent in South Africa’s music and acting industry.</w:t>
      </w:r>
      <w:r w:rsidRPr="00432A7F">
        <w:rPr>
          <w:vertAlign w:val="superscript"/>
          <w:lang w:val="en-GB"/>
        </w:rPr>
        <w:endnoteReference w:id="19"/>
      </w:r>
      <w:r w:rsidRPr="00432A7F">
        <w:rPr>
          <w:lang w:val="en-GB"/>
        </w:rPr>
        <w:t xml:space="preserve"> </w:t>
      </w:r>
      <w:proofErr w:type="spellStart"/>
      <w:r w:rsidRPr="00432A7F">
        <w:rPr>
          <w:lang w:val="en-GB"/>
        </w:rPr>
        <w:t>Mun</w:t>
      </w:r>
      <w:proofErr w:type="spellEnd"/>
      <w:r w:rsidRPr="00432A7F">
        <w:rPr>
          <w:lang w:val="en-GB"/>
        </w:rPr>
        <w:t>-Gavin’s fingers inconspicuously drummed to the beat of these three musicians’ new anthem, created in collaboration with Lux’s new initiative to marvel at the multifaceted beauty of women</w:t>
      </w:r>
      <w:r w:rsidRPr="00432A7F">
        <w:rPr>
          <w:vertAlign w:val="superscript"/>
          <w:lang w:val="en-GB"/>
        </w:rPr>
        <w:endnoteReference w:id="20"/>
      </w:r>
      <w:r w:rsidRPr="00432A7F">
        <w:rPr>
          <w:lang w:val="en-GB"/>
        </w:rPr>
        <w:t>—women like Bongiwe, who did not have wealth but were generous with the little that they had. Bongiwe revealed that her role as community mother meant that she informally nursed children with HIV/AIDS whose own parents had either abandoned them or passed away. In South Africa, over 2.3 million children had been orphaned by HIV and AIDS.</w:t>
      </w:r>
      <w:r w:rsidRPr="00432A7F">
        <w:rPr>
          <w:vertAlign w:val="superscript"/>
          <w:lang w:val="en-GB"/>
        </w:rPr>
        <w:endnoteReference w:id="21"/>
      </w:r>
      <w:r w:rsidRPr="00432A7F">
        <w:rPr>
          <w:lang w:val="en-GB"/>
        </w:rPr>
        <w:t xml:space="preserve"> Bongiwe was just one example of many dedicated women who wanted to make a difference by doing </w:t>
      </w:r>
      <w:proofErr w:type="gramStart"/>
      <w:r w:rsidRPr="00432A7F">
        <w:rPr>
          <w:lang w:val="en-GB"/>
        </w:rPr>
        <w:t>good</w:t>
      </w:r>
      <w:proofErr w:type="gramEnd"/>
      <w:r w:rsidRPr="00432A7F">
        <w:rPr>
          <w:lang w:val="en-GB"/>
        </w:rPr>
        <w:t xml:space="preserve"> in the community. She let out a river of loud laughter, and </w:t>
      </w:r>
      <w:proofErr w:type="spellStart"/>
      <w:r w:rsidRPr="00432A7F">
        <w:rPr>
          <w:lang w:val="en-GB"/>
        </w:rPr>
        <w:t>Mun</w:t>
      </w:r>
      <w:proofErr w:type="spellEnd"/>
      <w:r w:rsidRPr="00432A7F">
        <w:rPr>
          <w:lang w:val="en-GB"/>
        </w:rPr>
        <w:t>-Gavin was more convinced than ever that, while the Lux brand was always going to be primarily about external beauty, it could also recogni</w:t>
      </w:r>
      <w:r w:rsidR="00E544E8">
        <w:rPr>
          <w:lang w:val="en-GB"/>
        </w:rPr>
        <w:t>ze</w:t>
      </w:r>
      <w:r w:rsidRPr="00432A7F">
        <w:rPr>
          <w:lang w:val="en-GB"/>
        </w:rPr>
        <w:t xml:space="preserve"> the incredibly empowering narrative behind every woman—a story as rich, full, and alive as a woman’s celebrated femininity. </w:t>
      </w:r>
    </w:p>
    <w:p w14:paraId="64CEFF3E" w14:textId="77777777" w:rsidR="000E0BDF" w:rsidRPr="00432A7F" w:rsidRDefault="000E0BDF" w:rsidP="003E2F7C">
      <w:pPr>
        <w:pStyle w:val="BodyTextMain"/>
        <w:rPr>
          <w:lang w:val="en-GB"/>
        </w:rPr>
      </w:pPr>
    </w:p>
    <w:p w14:paraId="7422DDB0" w14:textId="77777777" w:rsidR="000E0BDF" w:rsidRPr="00432A7F" w:rsidRDefault="000E0BDF" w:rsidP="003E2F7C">
      <w:pPr>
        <w:pStyle w:val="BodyTextMain"/>
        <w:rPr>
          <w:lang w:val="en-GB"/>
        </w:rPr>
      </w:pPr>
    </w:p>
    <w:p w14:paraId="789FA5EA" w14:textId="77777777" w:rsidR="000E0BDF" w:rsidRPr="000078F6" w:rsidRDefault="000E0BDF" w:rsidP="003E2F7C">
      <w:pPr>
        <w:pStyle w:val="Casehead1"/>
        <w:rPr>
          <w:rFonts w:eastAsia="Calibri"/>
          <w:lang w:val="en-GB"/>
        </w:rPr>
      </w:pPr>
      <w:r w:rsidRPr="00145736">
        <w:rPr>
          <w:rFonts w:eastAsia="Calibri"/>
          <w:lang w:val="en-GB"/>
        </w:rPr>
        <w:t>The business case for driving a sustainability agenda</w:t>
      </w:r>
    </w:p>
    <w:p w14:paraId="1FAD0150" w14:textId="77777777" w:rsidR="000E0BDF" w:rsidRPr="000078F6" w:rsidRDefault="000E0BDF" w:rsidP="003E2F7C">
      <w:pPr>
        <w:pStyle w:val="BodyTextMain"/>
        <w:rPr>
          <w:rFonts w:eastAsia="Calibri"/>
          <w:lang w:val="en-GB"/>
        </w:rPr>
      </w:pPr>
    </w:p>
    <w:p w14:paraId="4B1824EA" w14:textId="7270DEFA" w:rsidR="000E0BDF" w:rsidRPr="000078F6" w:rsidRDefault="000E0BDF" w:rsidP="003E2F7C">
      <w:pPr>
        <w:pStyle w:val="BodyTextMain"/>
        <w:rPr>
          <w:rFonts w:eastAsia="Calibri"/>
          <w:lang w:val="en-GB"/>
        </w:rPr>
      </w:pPr>
      <w:r w:rsidRPr="000078F6">
        <w:rPr>
          <w:rFonts w:eastAsia="Calibri"/>
          <w:lang w:val="en-GB"/>
        </w:rPr>
        <w:t xml:space="preserve">Lux was only one example of Unilever’s many brands dedicated to a sustainability initiative. In fact, the organization was determined that all </w:t>
      </w:r>
      <w:r w:rsidR="007A22FC">
        <w:rPr>
          <w:rFonts w:eastAsia="Calibri"/>
          <w:lang w:val="en-GB"/>
        </w:rPr>
        <w:t xml:space="preserve">of </w:t>
      </w:r>
      <w:r w:rsidRPr="000078F6">
        <w:rPr>
          <w:rFonts w:eastAsia="Calibri"/>
          <w:lang w:val="en-GB"/>
        </w:rPr>
        <w:t>its brands invest in this agenda. Part of this mandate included the decentralization of the CSR function, which made it every brand manager’s responsibility to drive brand awareness and robust brand campaigns aligned with sustainability. In South Africa, the fastest growing brands with robust sustainable living plans were Lifebuoy, Dove, and Vaseline. These were some of the brands associated with a Department of E</w:t>
      </w:r>
      <w:r w:rsidR="00E53A75">
        <w:rPr>
          <w:rFonts w:eastAsia="Calibri"/>
          <w:lang w:val="en-GB"/>
        </w:rPr>
        <w:t>ducation campaign targeting more than</w:t>
      </w:r>
      <w:r w:rsidRPr="000078F6">
        <w:rPr>
          <w:rFonts w:eastAsia="Calibri"/>
          <w:lang w:val="en-GB"/>
        </w:rPr>
        <w:t xml:space="preserve"> 15,000 schools over the following three years to educate children on health, hygiene, and self-esteem. With enhanced reach, the campaign would of course subtly drive brand awareness, but the main objective was to influence the education of scholars across the country. </w:t>
      </w:r>
    </w:p>
    <w:p w14:paraId="784D1074" w14:textId="77777777" w:rsidR="000E0BDF" w:rsidRPr="000078F6" w:rsidRDefault="000E0BDF" w:rsidP="003E2F7C">
      <w:pPr>
        <w:pStyle w:val="BodyTextMain"/>
        <w:rPr>
          <w:rFonts w:eastAsia="Calibri"/>
          <w:lang w:val="en-GB"/>
        </w:rPr>
      </w:pPr>
    </w:p>
    <w:p w14:paraId="3F7D1E1D" w14:textId="47C2A142" w:rsidR="000E0BDF" w:rsidRPr="000078F6" w:rsidRDefault="000E0BDF" w:rsidP="003E2F7C">
      <w:pPr>
        <w:pStyle w:val="BodyTextMain"/>
        <w:rPr>
          <w:rFonts w:eastAsia="Calibri"/>
          <w:lang w:val="en-GB"/>
        </w:rPr>
      </w:pPr>
      <w:r w:rsidRPr="000078F6">
        <w:rPr>
          <w:rFonts w:eastAsia="Calibri"/>
          <w:lang w:val="en-GB"/>
        </w:rPr>
        <w:t xml:space="preserve">Dove was another proud example of a Unilever brand that prioritized what was right; it was </w:t>
      </w:r>
      <w:r w:rsidR="00145736">
        <w:rPr>
          <w:rFonts w:eastAsia="Calibri"/>
          <w:lang w:val="en-GB"/>
        </w:rPr>
        <w:t xml:space="preserve">one </w:t>
      </w:r>
      <w:r w:rsidRPr="00145736">
        <w:rPr>
          <w:rFonts w:eastAsia="Calibri"/>
          <w:lang w:val="en-GB"/>
        </w:rPr>
        <w:t xml:space="preserve">of the only brands in the world to position authentic beauty in all shapes and forms at the heart of every campaign. Brand advocates </w:t>
      </w:r>
      <w:r w:rsidRPr="000078F6">
        <w:rPr>
          <w:rFonts w:eastAsia="Calibri"/>
          <w:lang w:val="en-GB"/>
        </w:rPr>
        <w:t xml:space="preserve">who were real women, not models or celebrities, were used in many of the campaigns. </w:t>
      </w:r>
      <w:r w:rsidRPr="000078F6">
        <w:rPr>
          <w:rFonts w:eastAsia="Calibri"/>
          <w:lang w:val="en-GB"/>
        </w:rPr>
        <w:lastRenderedPageBreak/>
        <w:t xml:space="preserve">The brand celebrated the beauty of diversity and was dedicated to driving female self-esteem. In South Africa, Dove had run a self-esteem program for three years, reaching over 300,000 high-school girls. The brand was sincerely committed to making a difference in the lives and minds of women and girls. However, like any brand in the spotlight, it did not always get it right. In October 2017, the brand was </w:t>
      </w:r>
      <w:r w:rsidR="00145736">
        <w:rPr>
          <w:rFonts w:eastAsia="Calibri"/>
          <w:lang w:val="en-GB"/>
        </w:rPr>
        <w:t>criticized</w:t>
      </w:r>
      <w:r w:rsidRPr="00145736">
        <w:rPr>
          <w:rFonts w:eastAsia="Calibri"/>
          <w:lang w:val="en-GB"/>
        </w:rPr>
        <w:t xml:space="preserve"> for a seemingly racist campaign</w:t>
      </w:r>
      <w:r w:rsidRPr="000078F6">
        <w:rPr>
          <w:rFonts w:eastAsia="Calibri"/>
          <w:lang w:val="en-GB"/>
        </w:rPr>
        <w:t>.</w:t>
      </w:r>
      <w:r w:rsidRPr="000078F6">
        <w:rPr>
          <w:rFonts w:eastAsia="Calibri"/>
          <w:vertAlign w:val="superscript"/>
          <w:lang w:val="en-GB"/>
        </w:rPr>
        <w:endnoteReference w:id="22"/>
      </w:r>
      <w:r w:rsidRPr="000078F6">
        <w:rPr>
          <w:rFonts w:eastAsia="Calibri"/>
          <w:lang w:val="en-GB"/>
        </w:rPr>
        <w:t xml:space="preserve"> True to its authentic positioning, the brand did not shy away from condemnation but rather apologized with deep regret. The brand continued to grow and was considered the most trusted brand on Mettle’s FMCG Trust Index in 2017.</w:t>
      </w:r>
      <w:r w:rsidRPr="000078F6">
        <w:rPr>
          <w:rFonts w:eastAsia="Calibri"/>
          <w:vertAlign w:val="superscript"/>
          <w:lang w:val="en-GB"/>
        </w:rPr>
        <w:endnoteReference w:id="23"/>
      </w:r>
      <w:r w:rsidRPr="000078F6">
        <w:rPr>
          <w:rFonts w:eastAsia="Calibri"/>
          <w:lang w:val="en-GB"/>
        </w:rPr>
        <w:t xml:space="preserve"> Unilever’s </w:t>
      </w:r>
      <w:r w:rsidR="007A22FC">
        <w:rPr>
          <w:rFonts w:eastAsia="Calibri"/>
          <w:lang w:val="en-GB"/>
        </w:rPr>
        <w:t>P</w:t>
      </w:r>
      <w:r w:rsidRPr="000078F6">
        <w:rPr>
          <w:rFonts w:eastAsia="Calibri"/>
          <w:lang w:val="en-GB"/>
        </w:rPr>
        <w:t xml:space="preserve">ersonal </w:t>
      </w:r>
      <w:r w:rsidR="007A22FC">
        <w:rPr>
          <w:rFonts w:eastAsia="Calibri"/>
          <w:lang w:val="en-GB"/>
        </w:rPr>
        <w:t>C</w:t>
      </w:r>
      <w:r w:rsidRPr="000078F6">
        <w:rPr>
          <w:rFonts w:eastAsia="Calibri"/>
          <w:lang w:val="en-GB"/>
        </w:rPr>
        <w:t xml:space="preserve">are team proved </w:t>
      </w:r>
      <w:r w:rsidR="00E53A75">
        <w:rPr>
          <w:rFonts w:eastAsia="Calibri"/>
          <w:lang w:val="en-GB"/>
        </w:rPr>
        <w:t>that there could be an optimum point</w:t>
      </w:r>
      <w:r w:rsidRPr="000078F6">
        <w:rPr>
          <w:rFonts w:eastAsia="Calibri"/>
          <w:lang w:val="en-GB"/>
        </w:rPr>
        <w:t xml:space="preserve"> where capitalism and humanism me</w:t>
      </w:r>
      <w:r w:rsidR="007A22FC">
        <w:rPr>
          <w:rFonts w:eastAsia="Calibri"/>
          <w:lang w:val="en-GB"/>
        </w:rPr>
        <w:t>t</w:t>
      </w:r>
      <w:r w:rsidRPr="000078F6">
        <w:rPr>
          <w:rFonts w:eastAsia="Calibri"/>
          <w:lang w:val="en-GB"/>
        </w:rPr>
        <w:t>. The Lux brand had reinvented itself through a deep understanding of the market</w:t>
      </w:r>
      <w:r w:rsidR="00145736">
        <w:rPr>
          <w:rFonts w:eastAsia="Calibri"/>
          <w:lang w:val="en-GB"/>
        </w:rPr>
        <w:t xml:space="preserve">; </w:t>
      </w:r>
      <w:r w:rsidRPr="000078F6">
        <w:rPr>
          <w:rFonts w:eastAsia="Calibri"/>
          <w:lang w:val="en-GB"/>
        </w:rPr>
        <w:t>unpacking subtle narratives, the brand had been re</w:t>
      </w:r>
      <w:r w:rsidR="007A22FC">
        <w:rPr>
          <w:rFonts w:eastAsia="Calibri"/>
          <w:lang w:val="en-GB"/>
        </w:rPr>
        <w:t>-</w:t>
      </w:r>
      <w:r w:rsidRPr="000078F6">
        <w:rPr>
          <w:rFonts w:eastAsia="Calibri"/>
          <w:lang w:val="en-GB"/>
        </w:rPr>
        <w:t>shaped and re</w:t>
      </w:r>
      <w:r w:rsidR="007A22FC">
        <w:rPr>
          <w:rFonts w:eastAsia="Calibri"/>
          <w:lang w:val="en-GB"/>
        </w:rPr>
        <w:t>-</w:t>
      </w:r>
      <w:r w:rsidRPr="000078F6">
        <w:rPr>
          <w:rFonts w:eastAsia="Calibri"/>
          <w:lang w:val="en-GB"/>
        </w:rPr>
        <w:t xml:space="preserve">crafted to celebrate that women were more than just superficial beauty.  </w:t>
      </w:r>
    </w:p>
    <w:p w14:paraId="3DF90EA2" w14:textId="77777777" w:rsidR="000E0BDF" w:rsidRPr="000078F6" w:rsidRDefault="000E0BDF" w:rsidP="003E2F7C">
      <w:pPr>
        <w:pStyle w:val="BodyTextMain"/>
        <w:rPr>
          <w:rFonts w:eastAsia="Calibri"/>
          <w:b/>
          <w:u w:val="single"/>
          <w:lang w:val="en-GB"/>
        </w:rPr>
      </w:pPr>
    </w:p>
    <w:p w14:paraId="16B33D5D" w14:textId="77777777" w:rsidR="000E0BDF" w:rsidRPr="000078F6" w:rsidRDefault="000E0BDF" w:rsidP="003E2F7C">
      <w:pPr>
        <w:pStyle w:val="BodyTextMain"/>
        <w:rPr>
          <w:rFonts w:eastAsia="Calibri"/>
          <w:b/>
          <w:u w:val="single"/>
          <w:lang w:val="en-GB"/>
        </w:rPr>
      </w:pPr>
    </w:p>
    <w:p w14:paraId="7545CA76" w14:textId="77777777" w:rsidR="000E0BDF" w:rsidRPr="000078F6" w:rsidRDefault="000E0BDF" w:rsidP="003E2F7C">
      <w:pPr>
        <w:pStyle w:val="Casehead1"/>
        <w:rPr>
          <w:rFonts w:eastAsia="Calibri"/>
          <w:lang w:val="en-GB"/>
        </w:rPr>
      </w:pPr>
      <w:r w:rsidRPr="000078F6">
        <w:rPr>
          <w:rFonts w:eastAsia="Calibri"/>
          <w:lang w:val="en-GB"/>
        </w:rPr>
        <w:t>Moving forward</w:t>
      </w:r>
    </w:p>
    <w:p w14:paraId="1174FB1E" w14:textId="77777777" w:rsidR="000E0BDF" w:rsidRPr="000078F6" w:rsidRDefault="000E0BDF" w:rsidP="003E2F7C">
      <w:pPr>
        <w:pStyle w:val="BodyTextMain"/>
        <w:rPr>
          <w:rFonts w:eastAsia="Calibri"/>
          <w:lang w:val="en-GB"/>
        </w:rPr>
      </w:pPr>
    </w:p>
    <w:p w14:paraId="4FD27741" w14:textId="77777777" w:rsidR="000E0BDF" w:rsidRPr="000078F6" w:rsidRDefault="000E0BDF" w:rsidP="003E2F7C">
      <w:pPr>
        <w:pStyle w:val="BodyTextMain"/>
        <w:rPr>
          <w:rFonts w:eastAsia="Calibri"/>
          <w:lang w:val="en-GB"/>
        </w:rPr>
      </w:pPr>
      <w:proofErr w:type="spellStart"/>
      <w:r w:rsidRPr="000078F6">
        <w:rPr>
          <w:rFonts w:eastAsia="Calibri"/>
          <w:lang w:val="en-GB"/>
        </w:rPr>
        <w:t>Mun</w:t>
      </w:r>
      <w:proofErr w:type="spellEnd"/>
      <w:r w:rsidRPr="000078F6">
        <w:rPr>
          <w:rFonts w:eastAsia="Calibri"/>
          <w:lang w:val="en-GB"/>
        </w:rPr>
        <w:t xml:space="preserve">-Gavin reconsidered his dilemma. Dove had naturally lent itself to celebrating women’s natural beauty, while Lux had always claimed success by being a celebrity’s first-choice brand. </w:t>
      </w:r>
      <w:proofErr w:type="spellStart"/>
      <w:r w:rsidRPr="000078F6">
        <w:rPr>
          <w:rFonts w:eastAsia="Calibri"/>
          <w:lang w:val="en-GB"/>
        </w:rPr>
        <w:t>Bebe’s</w:t>
      </w:r>
      <w:proofErr w:type="spellEnd"/>
      <w:r w:rsidRPr="000078F6">
        <w:rPr>
          <w:rFonts w:eastAsia="Calibri"/>
          <w:lang w:val="en-GB"/>
        </w:rPr>
        <w:t xml:space="preserve"> conversation with Bongiwe had reinforced his belief that the team was on the right track—that women wanted to be admired for their many faces and ability to play many roles with sincerity and results, while still feeling and looking their best. </w:t>
      </w:r>
    </w:p>
    <w:p w14:paraId="5835CBC8" w14:textId="77777777" w:rsidR="000E0BDF" w:rsidRPr="000078F6" w:rsidRDefault="000E0BDF" w:rsidP="003E2F7C">
      <w:pPr>
        <w:pStyle w:val="BodyTextMain"/>
        <w:rPr>
          <w:rFonts w:eastAsia="Calibri"/>
          <w:lang w:val="en-GB"/>
        </w:rPr>
      </w:pPr>
    </w:p>
    <w:p w14:paraId="22D7A953" w14:textId="7A5273C9" w:rsidR="000E0BDF" w:rsidRPr="000078F6" w:rsidRDefault="000E0BDF" w:rsidP="003E2F7C">
      <w:pPr>
        <w:pStyle w:val="BodyTextMain"/>
        <w:rPr>
          <w:rFonts w:eastAsia="Calibri"/>
          <w:lang w:val="en-GB"/>
        </w:rPr>
      </w:pPr>
      <w:proofErr w:type="spellStart"/>
      <w:r w:rsidRPr="000078F6">
        <w:rPr>
          <w:rFonts w:eastAsia="Calibri"/>
          <w:lang w:val="en-GB"/>
        </w:rPr>
        <w:t>Mun</w:t>
      </w:r>
      <w:proofErr w:type="spellEnd"/>
      <w:r w:rsidRPr="000078F6">
        <w:rPr>
          <w:rFonts w:eastAsia="Calibri"/>
          <w:lang w:val="en-GB"/>
        </w:rPr>
        <w:t>-Gavin was excited about actively driving this agenda</w:t>
      </w:r>
      <w:r w:rsidR="007A22FC">
        <w:rPr>
          <w:rFonts w:eastAsia="Calibri"/>
          <w:lang w:val="en-GB"/>
        </w:rPr>
        <w:t>,</w:t>
      </w:r>
      <w:r w:rsidRPr="000078F6">
        <w:rPr>
          <w:rFonts w:eastAsia="Calibri"/>
          <w:lang w:val="en-GB"/>
        </w:rPr>
        <w:t xml:space="preserve"> but acknowledged the need to be both inclusive and contextual. It was essential that he consider how the brand would be perceived across the varying</w:t>
      </w:r>
      <w:r w:rsidR="00E53A75">
        <w:rPr>
          <w:rFonts w:eastAsia="Calibri"/>
          <w:lang w:val="en-GB"/>
        </w:rPr>
        <w:t xml:space="preserve"> contexts of the African continent</w:t>
      </w:r>
      <w:r w:rsidRPr="000078F6">
        <w:rPr>
          <w:rFonts w:eastAsia="Calibri"/>
          <w:lang w:val="en-GB"/>
        </w:rPr>
        <w:t>. He needed to listen and hear the varying nuances from the diverse target market and ensure that the brand was penetrating the unique purchase barriers. It was important to consider all potential threats. For example, would existing users of the brand feel uninspired by the lack of glitz and glam</w:t>
      </w:r>
      <w:r w:rsidR="007A22FC">
        <w:rPr>
          <w:rFonts w:eastAsia="Calibri"/>
          <w:lang w:val="en-GB"/>
        </w:rPr>
        <w:t>our</w:t>
      </w:r>
      <w:r w:rsidRPr="000078F6">
        <w:rPr>
          <w:rFonts w:eastAsia="Calibri"/>
          <w:lang w:val="en-GB"/>
        </w:rPr>
        <w:t>? The company would need to maintain the Lux glamour while inserting a new, more natural</w:t>
      </w:r>
      <w:r w:rsidR="007A22FC">
        <w:rPr>
          <w:rFonts w:eastAsia="Calibri"/>
          <w:lang w:val="en-GB"/>
        </w:rPr>
        <w:t>,</w:t>
      </w:r>
      <w:r w:rsidRPr="000078F6">
        <w:rPr>
          <w:rFonts w:eastAsia="Calibri"/>
          <w:lang w:val="en-GB"/>
        </w:rPr>
        <w:t xml:space="preserve"> and intense energy. Lux was different from Dove, yet both were able to celebrate the essence of femininity. </w:t>
      </w:r>
    </w:p>
    <w:p w14:paraId="46879DAF" w14:textId="77777777" w:rsidR="000E0BDF" w:rsidRPr="000078F6" w:rsidRDefault="000E0BDF" w:rsidP="003E2F7C">
      <w:pPr>
        <w:pStyle w:val="BodyTextMain"/>
        <w:rPr>
          <w:rFonts w:eastAsia="Calibri"/>
          <w:lang w:val="en-GB"/>
        </w:rPr>
      </w:pPr>
    </w:p>
    <w:p w14:paraId="5BB915D1" w14:textId="14060C99" w:rsidR="000E0BDF" w:rsidRPr="000078F6" w:rsidRDefault="000E0BDF" w:rsidP="003E2F7C">
      <w:pPr>
        <w:pStyle w:val="BodyTextMain"/>
        <w:rPr>
          <w:rFonts w:eastAsia="Calibri"/>
          <w:lang w:val="en-GB"/>
        </w:rPr>
      </w:pPr>
      <w:proofErr w:type="spellStart"/>
      <w:r w:rsidRPr="000078F6">
        <w:rPr>
          <w:rFonts w:eastAsia="Calibri"/>
          <w:lang w:val="en-GB"/>
        </w:rPr>
        <w:t>Mun</w:t>
      </w:r>
      <w:proofErr w:type="spellEnd"/>
      <w:r w:rsidRPr="000078F6">
        <w:rPr>
          <w:rFonts w:eastAsia="Calibri"/>
          <w:lang w:val="en-GB"/>
        </w:rPr>
        <w:t xml:space="preserve">-Gavin considered what it meant to be a contextual leader. All his experiences to date had helped shape his leadership style, providing him with agility and compassion while delivering results. South Africa, with all its colour and diversity, had equipped him with the necessary skills to be inclusive in his approach to business and brands. However, like all bold and successful leaders, </w:t>
      </w:r>
      <w:proofErr w:type="spellStart"/>
      <w:r w:rsidRPr="000078F6">
        <w:rPr>
          <w:rFonts w:eastAsia="Calibri"/>
          <w:lang w:val="en-GB"/>
        </w:rPr>
        <w:t>Mun</w:t>
      </w:r>
      <w:proofErr w:type="spellEnd"/>
      <w:r w:rsidRPr="000078F6">
        <w:rPr>
          <w:rFonts w:eastAsia="Calibri"/>
          <w:lang w:val="en-GB"/>
        </w:rPr>
        <w:t xml:space="preserve">-Gavin knew that there was always an opportunity to </w:t>
      </w:r>
      <w:r w:rsidR="00E53A75">
        <w:rPr>
          <w:rFonts w:eastAsia="Calibri"/>
          <w:lang w:val="en-GB"/>
        </w:rPr>
        <w:t>learn something new. Lessons await</w:t>
      </w:r>
      <w:r w:rsidRPr="000078F6">
        <w:rPr>
          <w:rFonts w:eastAsia="Calibri"/>
          <w:lang w:val="en-GB"/>
        </w:rPr>
        <w:t xml:space="preserve"> in the most mysterious and unpredictable places, like the neat shack with lace curtains </w:t>
      </w:r>
      <w:r w:rsidR="007A22FC" w:rsidRPr="000078F6">
        <w:rPr>
          <w:rFonts w:eastAsia="Calibri"/>
          <w:lang w:val="en-GB"/>
        </w:rPr>
        <w:t xml:space="preserve">within a local community </w:t>
      </w:r>
      <w:r w:rsidRPr="000078F6">
        <w:rPr>
          <w:rFonts w:eastAsia="Calibri"/>
          <w:lang w:val="en-GB"/>
        </w:rPr>
        <w:t xml:space="preserve">and </w:t>
      </w:r>
      <w:r w:rsidR="007A22FC">
        <w:rPr>
          <w:rFonts w:eastAsia="Calibri"/>
          <w:lang w:val="en-GB"/>
        </w:rPr>
        <w:t xml:space="preserve">with </w:t>
      </w:r>
      <w:r w:rsidRPr="000078F6">
        <w:rPr>
          <w:rFonts w:eastAsia="Calibri"/>
          <w:lang w:val="en-GB"/>
        </w:rPr>
        <w:t xml:space="preserve">tea as warm and sweet as the soul </w:t>
      </w:r>
      <w:r w:rsidR="00145736">
        <w:rPr>
          <w:rFonts w:eastAsia="Calibri"/>
          <w:lang w:val="en-GB"/>
        </w:rPr>
        <w:t>who had</w:t>
      </w:r>
      <w:r w:rsidR="00145736" w:rsidRPr="00145736">
        <w:rPr>
          <w:rFonts w:eastAsia="Calibri"/>
          <w:lang w:val="en-GB"/>
        </w:rPr>
        <w:t xml:space="preserve"> </w:t>
      </w:r>
      <w:r w:rsidRPr="00145736">
        <w:rPr>
          <w:rFonts w:eastAsia="Calibri"/>
          <w:lang w:val="en-GB"/>
        </w:rPr>
        <w:t>prepared it. He wa</w:t>
      </w:r>
      <w:r w:rsidRPr="000078F6">
        <w:rPr>
          <w:rFonts w:eastAsia="Calibri"/>
          <w:lang w:val="en-GB"/>
        </w:rPr>
        <w:t>s considering what else to initiate to ensure that his new team members would gain an even deeper understanding of the dynamics of their South African marketplace</w:t>
      </w:r>
      <w:r w:rsidR="00145736">
        <w:rPr>
          <w:rFonts w:eastAsia="Calibri"/>
          <w:lang w:val="en-GB"/>
        </w:rPr>
        <w:t>,</w:t>
      </w:r>
      <w:r w:rsidRPr="00145736">
        <w:rPr>
          <w:rFonts w:eastAsia="Calibri"/>
          <w:lang w:val="en-GB"/>
        </w:rPr>
        <w:t xml:space="preserve"> </w:t>
      </w:r>
      <w:r w:rsidRPr="000078F6">
        <w:rPr>
          <w:rFonts w:eastAsia="Calibri"/>
          <w:lang w:val="en-GB"/>
        </w:rPr>
        <w:t xml:space="preserve">their company’s values, </w:t>
      </w:r>
      <w:r w:rsidR="00145736">
        <w:rPr>
          <w:rFonts w:eastAsia="Calibri"/>
          <w:lang w:val="en-GB"/>
        </w:rPr>
        <w:t>and</w:t>
      </w:r>
      <w:r w:rsidRPr="00145736">
        <w:rPr>
          <w:rFonts w:eastAsia="Calibri"/>
          <w:lang w:val="en-GB"/>
        </w:rPr>
        <w:t xml:space="preserve"> the requirements for a true </w:t>
      </w:r>
      <w:r w:rsidRPr="000078F6">
        <w:rPr>
          <w:rFonts w:eastAsia="Calibri"/>
          <w:lang w:val="en-GB"/>
        </w:rPr>
        <w:t>sustainability-inclusive growth culture.</w:t>
      </w:r>
    </w:p>
    <w:p w14:paraId="6686EB8F" w14:textId="77777777" w:rsidR="000E0BDF" w:rsidRPr="000078F6" w:rsidRDefault="000E0BDF" w:rsidP="003E2F7C">
      <w:pPr>
        <w:pStyle w:val="BodyTextMain"/>
        <w:rPr>
          <w:rFonts w:eastAsia="Calibri"/>
          <w:lang w:val="en-GB"/>
        </w:rPr>
      </w:pPr>
    </w:p>
    <w:p w14:paraId="6107B7B8" w14:textId="1512A30D" w:rsidR="003E2F7C" w:rsidRPr="000078F6" w:rsidRDefault="000E0BDF" w:rsidP="003E2F7C">
      <w:pPr>
        <w:pStyle w:val="BodyTextMain"/>
        <w:rPr>
          <w:rFonts w:eastAsia="Calibri"/>
          <w:lang w:val="en-GB"/>
        </w:rPr>
      </w:pPr>
      <w:r w:rsidRPr="000078F6">
        <w:rPr>
          <w:rFonts w:eastAsia="Calibri"/>
          <w:lang w:val="en-GB"/>
        </w:rPr>
        <w:t xml:space="preserve">As the sky turned deep purple and yellow, the minibus taxi sped away from Soweto. Soon, the moody sky contrasted </w:t>
      </w:r>
      <w:r w:rsidR="00145736">
        <w:rPr>
          <w:rFonts w:eastAsia="Calibri"/>
          <w:lang w:val="en-GB"/>
        </w:rPr>
        <w:t>with</w:t>
      </w:r>
      <w:r w:rsidR="00145736" w:rsidRPr="00145736">
        <w:rPr>
          <w:rFonts w:eastAsia="Calibri"/>
          <w:lang w:val="en-GB"/>
        </w:rPr>
        <w:t xml:space="preserve"> </w:t>
      </w:r>
      <w:r w:rsidRPr="000078F6">
        <w:rPr>
          <w:rFonts w:eastAsia="Calibri"/>
          <w:lang w:val="en-GB"/>
        </w:rPr>
        <w:t>vibrant city lights like igniting fireflies, suggest</w:t>
      </w:r>
      <w:r w:rsidR="000078F6" w:rsidRPr="000078F6">
        <w:rPr>
          <w:rFonts w:eastAsia="Calibri"/>
          <w:lang w:val="en-GB"/>
        </w:rPr>
        <w:t>ing</w:t>
      </w:r>
      <w:r w:rsidRPr="00145736">
        <w:rPr>
          <w:rFonts w:eastAsia="Calibri"/>
          <w:lang w:val="en-GB"/>
        </w:rPr>
        <w:t xml:space="preserve"> </w:t>
      </w:r>
      <w:r w:rsidRPr="000078F6">
        <w:rPr>
          <w:rFonts w:eastAsia="Calibri"/>
          <w:lang w:val="en-GB"/>
        </w:rPr>
        <w:t xml:space="preserve">the day’s work was not yet done. Johannesburg was known as the African city that did not sleep, and nowhere was this more </w:t>
      </w:r>
      <w:r w:rsidR="007A22FC">
        <w:rPr>
          <w:rFonts w:eastAsia="Calibri"/>
          <w:lang w:val="en-GB"/>
        </w:rPr>
        <w:t>apparent</w:t>
      </w:r>
      <w:r w:rsidRPr="000078F6">
        <w:rPr>
          <w:rFonts w:eastAsia="Calibri"/>
          <w:lang w:val="en-GB"/>
        </w:rPr>
        <w:t xml:space="preserve"> than in the area of </w:t>
      </w:r>
      <w:proofErr w:type="spellStart"/>
      <w:r w:rsidRPr="000078F6">
        <w:rPr>
          <w:rFonts w:eastAsia="Calibri"/>
          <w:lang w:val="en-GB"/>
        </w:rPr>
        <w:t>Sandton</w:t>
      </w:r>
      <w:proofErr w:type="spellEnd"/>
      <w:r w:rsidRPr="000078F6">
        <w:rPr>
          <w:rFonts w:eastAsia="Calibri"/>
          <w:lang w:val="en-GB"/>
        </w:rPr>
        <w:t xml:space="preserve">, the very heart of Africa’s economic hub. The minibus taxi driver sped along the potholed streets to the drop-off before racing back to familiar township roads to a </w:t>
      </w:r>
      <w:proofErr w:type="spellStart"/>
      <w:r w:rsidRPr="00432A7F">
        <w:rPr>
          <w:rFonts w:eastAsia="Calibri"/>
          <w:i/>
          <w:lang w:val="en-GB"/>
        </w:rPr>
        <w:t>shebeen</w:t>
      </w:r>
      <w:proofErr w:type="spellEnd"/>
      <w:r w:rsidRPr="00145736">
        <w:rPr>
          <w:rFonts w:eastAsia="Calibri"/>
          <w:lang w:val="en-GB"/>
        </w:rPr>
        <w:t xml:space="preserve"> </w:t>
      </w:r>
      <w:r w:rsidRPr="00145736">
        <w:rPr>
          <w:rFonts w:ascii="Calibri" w:eastAsia="Calibri" w:hAnsi="Calibri"/>
          <w:lang w:val="en-GB"/>
        </w:rPr>
        <w:t>(</w:t>
      </w:r>
      <w:r w:rsidRPr="000078F6">
        <w:rPr>
          <w:rFonts w:eastAsia="Calibri"/>
          <w:lang w:val="en-GB"/>
        </w:rPr>
        <w:t>a local township pub, originally started illegally in the apartheid era, when black Africans were barred from bars</w:t>
      </w:r>
      <w:r w:rsidRPr="000078F6">
        <w:rPr>
          <w:rFonts w:ascii="Calibri" w:eastAsia="Calibri" w:hAnsi="Calibri"/>
          <w:lang w:val="en-GB"/>
        </w:rPr>
        <w:t>)</w:t>
      </w:r>
      <w:r w:rsidRPr="000078F6">
        <w:rPr>
          <w:rFonts w:eastAsia="Calibri"/>
          <w:vertAlign w:val="superscript"/>
          <w:lang w:val="en-GB"/>
        </w:rPr>
        <w:endnoteReference w:id="24"/>
      </w:r>
      <w:r w:rsidRPr="000078F6">
        <w:rPr>
          <w:rFonts w:eastAsia="Calibri"/>
          <w:lang w:val="en-GB"/>
        </w:rPr>
        <w:t xml:space="preserve"> </w:t>
      </w:r>
      <w:r w:rsidR="003E2F7C" w:rsidRPr="000078F6">
        <w:rPr>
          <w:rFonts w:eastAsia="Calibri"/>
          <w:lang w:val="en-GB"/>
        </w:rPr>
        <w:t xml:space="preserve">for </w:t>
      </w:r>
      <w:r w:rsidR="00897CA7" w:rsidRPr="000078F6">
        <w:rPr>
          <w:rFonts w:eastAsia="Calibri"/>
          <w:lang w:val="en-GB"/>
        </w:rPr>
        <w:t xml:space="preserve">a </w:t>
      </w:r>
      <w:r w:rsidR="003E2F7C" w:rsidRPr="000078F6">
        <w:rPr>
          <w:rFonts w:eastAsia="Calibri"/>
          <w:lang w:val="en-GB"/>
        </w:rPr>
        <w:t xml:space="preserve">first sip of sweet beer. </w:t>
      </w:r>
      <w:proofErr w:type="spellStart"/>
      <w:r w:rsidR="003E2F7C" w:rsidRPr="000078F6">
        <w:rPr>
          <w:rFonts w:eastAsia="Calibri"/>
          <w:lang w:val="en-GB"/>
        </w:rPr>
        <w:t>Mun</w:t>
      </w:r>
      <w:proofErr w:type="spellEnd"/>
      <w:r w:rsidR="003E2F7C" w:rsidRPr="000078F6">
        <w:rPr>
          <w:rFonts w:eastAsia="Calibri"/>
          <w:lang w:val="en-GB"/>
        </w:rPr>
        <w:t xml:space="preserve">-Gavin reflected on the success of the day as he looked forward to the sunset </w:t>
      </w:r>
      <w:r w:rsidR="00897CA7" w:rsidRPr="000078F6">
        <w:rPr>
          <w:rFonts w:eastAsia="Calibri"/>
          <w:lang w:val="en-GB"/>
        </w:rPr>
        <w:t>that</w:t>
      </w:r>
      <w:r w:rsidR="003E2F7C" w:rsidRPr="000078F6">
        <w:rPr>
          <w:rFonts w:eastAsia="Calibri"/>
          <w:lang w:val="en-GB"/>
        </w:rPr>
        <w:t xml:space="preserve"> announced the drawing of the curtains on another day in Africa.</w:t>
      </w:r>
      <w:r w:rsidR="003E2F7C" w:rsidRPr="000078F6">
        <w:rPr>
          <w:rFonts w:eastAsia="Calibri"/>
          <w:lang w:val="en-GB"/>
        </w:rPr>
        <w:br w:type="page"/>
      </w:r>
    </w:p>
    <w:p w14:paraId="002007D5" w14:textId="77777777" w:rsidR="003E2F7C" w:rsidRPr="000078F6" w:rsidRDefault="003E2F7C" w:rsidP="003E2F7C">
      <w:pPr>
        <w:pStyle w:val="ExhibitHeading"/>
        <w:rPr>
          <w:rFonts w:eastAsia="Calibri"/>
          <w:lang w:val="en-GB"/>
        </w:rPr>
      </w:pPr>
      <w:r w:rsidRPr="000078F6">
        <w:rPr>
          <w:rFonts w:eastAsia="Calibri"/>
          <w:lang w:val="en-GB"/>
        </w:rPr>
        <w:lastRenderedPageBreak/>
        <w:t>EXHIBIT 1: SUSTAINABILITY COMPARISON</w:t>
      </w:r>
    </w:p>
    <w:p w14:paraId="0F7E1B60" w14:textId="1B34D494" w:rsidR="003E2F7C" w:rsidRPr="00E53A75" w:rsidRDefault="003E2F7C" w:rsidP="00AD6A80">
      <w:pPr>
        <w:pStyle w:val="ExhibitText"/>
        <w:rPr>
          <w:rFonts w:eastAsia="Calibri"/>
          <w:sz w:val="12"/>
          <w:szCs w:val="12"/>
        </w:rPr>
      </w:pPr>
    </w:p>
    <w:p w14:paraId="73ECEF63" w14:textId="27891151" w:rsidR="003E2F7C" w:rsidRPr="000078F6" w:rsidRDefault="00F9452C" w:rsidP="00AD6A80">
      <w:pPr>
        <w:pStyle w:val="ExhibitText"/>
        <w:jc w:val="center"/>
        <w:rPr>
          <w:rFonts w:eastAsia="Calibri"/>
          <w:lang w:val="en-GB"/>
        </w:rPr>
      </w:pPr>
      <w:r>
        <w:rPr>
          <w:rFonts w:eastAsia="Calibri"/>
          <w:noProof/>
        </w:rPr>
        <w:drawing>
          <wp:inline distT="0" distB="0" distL="0" distR="0" wp14:anchorId="7E3BD16C" wp14:editId="170D2961">
            <wp:extent cx="5894492" cy="3855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grayscl/>
                      <a:extLst>
                        <a:ext uri="{28A0092B-C50C-407E-A947-70E740481C1C}">
                          <a14:useLocalDpi xmlns:a14="http://schemas.microsoft.com/office/drawing/2010/main" val="0"/>
                        </a:ext>
                      </a:extLst>
                    </a:blip>
                    <a:srcRect/>
                    <a:stretch>
                      <a:fillRect/>
                    </a:stretch>
                  </pic:blipFill>
                  <pic:spPr bwMode="auto">
                    <a:xfrm>
                      <a:off x="0" y="0"/>
                      <a:ext cx="5923386" cy="3874007"/>
                    </a:xfrm>
                    <a:prstGeom prst="rect">
                      <a:avLst/>
                    </a:prstGeom>
                    <a:noFill/>
                  </pic:spPr>
                </pic:pic>
              </a:graphicData>
            </a:graphic>
          </wp:inline>
        </w:drawing>
      </w:r>
    </w:p>
    <w:p w14:paraId="030EF252" w14:textId="5632CCCA" w:rsidR="00F9452C" w:rsidRPr="00E53A75" w:rsidRDefault="00F9452C" w:rsidP="003E2F7C">
      <w:pPr>
        <w:pStyle w:val="Footnote"/>
        <w:rPr>
          <w:rFonts w:eastAsia="Calibri"/>
          <w:sz w:val="12"/>
          <w:szCs w:val="12"/>
          <w:lang w:val="en-GB"/>
        </w:rPr>
      </w:pPr>
    </w:p>
    <w:p w14:paraId="6999CED0" w14:textId="678CF712" w:rsidR="00AD6A80" w:rsidRDefault="00AD6A80" w:rsidP="003E2F7C">
      <w:pPr>
        <w:pStyle w:val="Footnote"/>
        <w:rPr>
          <w:spacing w:val="-4"/>
          <w:kern w:val="17"/>
          <w:lang w:val="en-GB"/>
        </w:rPr>
      </w:pPr>
      <w:r>
        <w:rPr>
          <w:rFonts w:eastAsia="Calibri"/>
          <w:spacing w:val="-4"/>
          <w:kern w:val="17"/>
          <w:lang w:val="en-GB"/>
        </w:rPr>
        <w:t>Source: Created by </w:t>
      </w:r>
      <w:r w:rsidR="003E2F7C" w:rsidRPr="00AD6A80">
        <w:rPr>
          <w:rFonts w:eastAsia="Calibri"/>
          <w:spacing w:val="-4"/>
          <w:kern w:val="17"/>
          <w:lang w:val="en-GB"/>
        </w:rPr>
        <w:t>a</w:t>
      </w:r>
      <w:r>
        <w:rPr>
          <w:rFonts w:eastAsia="Calibri"/>
          <w:spacing w:val="-4"/>
          <w:kern w:val="17"/>
          <w:lang w:val="en-GB"/>
        </w:rPr>
        <w:t>uthors based </w:t>
      </w:r>
      <w:r w:rsidR="003E2F7C" w:rsidRPr="00AD6A80">
        <w:rPr>
          <w:rFonts w:eastAsia="Calibri"/>
          <w:spacing w:val="-4"/>
          <w:kern w:val="17"/>
          <w:lang w:val="en-GB"/>
        </w:rPr>
        <w:t>on</w:t>
      </w:r>
      <w:r>
        <w:rPr>
          <w:rFonts w:eastAsia="Calibri"/>
          <w:spacing w:val="-4"/>
          <w:kern w:val="17"/>
          <w:lang w:val="en-GB"/>
        </w:rPr>
        <w:t> </w:t>
      </w:r>
      <w:r>
        <w:rPr>
          <w:rFonts w:eastAsia="Calibri"/>
          <w:i/>
          <w:spacing w:val="-4"/>
          <w:kern w:val="17"/>
          <w:lang w:val="en-GB"/>
        </w:rPr>
        <w:t>The 2017 Sustainability </w:t>
      </w:r>
      <w:r w:rsidR="00C5553F" w:rsidRPr="00AD6A80">
        <w:rPr>
          <w:rFonts w:eastAsia="Calibri"/>
          <w:i/>
          <w:spacing w:val="-4"/>
          <w:kern w:val="17"/>
          <w:lang w:val="en-GB"/>
        </w:rPr>
        <w:t>L</w:t>
      </w:r>
      <w:r>
        <w:rPr>
          <w:rFonts w:eastAsia="Calibri"/>
          <w:i/>
          <w:spacing w:val="-4"/>
          <w:kern w:val="17"/>
          <w:lang w:val="en-GB"/>
        </w:rPr>
        <w:t>eaders: Celebrating 20 Years of </w:t>
      </w:r>
      <w:r w:rsidR="00C5553F" w:rsidRPr="00AD6A80">
        <w:rPr>
          <w:rFonts w:eastAsia="Calibri"/>
          <w:i/>
          <w:spacing w:val="-4"/>
          <w:kern w:val="17"/>
          <w:lang w:val="en-GB"/>
        </w:rPr>
        <w:t>Leadership</w:t>
      </w:r>
      <w:r>
        <w:rPr>
          <w:rFonts w:eastAsia="Calibri"/>
          <w:spacing w:val="-4"/>
          <w:kern w:val="17"/>
          <w:lang w:val="en-GB"/>
        </w:rPr>
        <w:t>, </w:t>
      </w:r>
      <w:proofErr w:type="spellStart"/>
      <w:r w:rsidR="003E2F7C" w:rsidRPr="00AD6A80">
        <w:rPr>
          <w:rFonts w:eastAsia="Calibri"/>
          <w:spacing w:val="-4"/>
          <w:kern w:val="17"/>
          <w:lang w:val="en-GB"/>
        </w:rPr>
        <w:t>GlobeScan</w:t>
      </w:r>
      <w:proofErr w:type="spellEnd"/>
      <w:r w:rsidR="00E53A75">
        <w:rPr>
          <w:rFonts w:eastAsia="Calibri"/>
          <w:spacing w:val="-4"/>
          <w:kern w:val="17"/>
          <w:lang w:val="en-GB"/>
        </w:rPr>
        <w:t xml:space="preserve"> and </w:t>
      </w:r>
      <w:r>
        <w:rPr>
          <w:rFonts w:eastAsia="Calibri"/>
          <w:spacing w:val="-4"/>
          <w:kern w:val="17"/>
          <w:lang w:val="en-GB"/>
        </w:rPr>
        <w:t>SustainAbility, 2017, accessed April 4, </w:t>
      </w:r>
      <w:r w:rsidR="003E2F7C" w:rsidRPr="00AD6A80">
        <w:rPr>
          <w:rFonts w:eastAsia="Calibri"/>
          <w:spacing w:val="-4"/>
          <w:kern w:val="17"/>
          <w:lang w:val="en-GB"/>
        </w:rPr>
        <w:t>2018</w:t>
      </w:r>
      <w:r w:rsidR="00C5553F" w:rsidRPr="00AD6A80">
        <w:rPr>
          <w:rFonts w:eastAsia="Calibri"/>
          <w:spacing w:val="-4"/>
          <w:kern w:val="17"/>
          <w:lang w:val="en-GB"/>
        </w:rPr>
        <w:t>,</w:t>
      </w:r>
      <w:r>
        <w:rPr>
          <w:spacing w:val="-4"/>
          <w:kern w:val="17"/>
          <w:lang w:val="en-GB"/>
        </w:rPr>
        <w:t> </w:t>
      </w:r>
      <w:r w:rsidRPr="00AD6A80">
        <w:rPr>
          <w:spacing w:val="-4"/>
          <w:kern w:val="17"/>
          <w:lang w:val="en-GB"/>
        </w:rPr>
        <w:t>https://globescan.com/wp-content/uploads/2017/07/GSS-Leaders-2017-Surve</w:t>
      </w:r>
      <w:r>
        <w:rPr>
          <w:spacing w:val="-4"/>
          <w:kern w:val="17"/>
          <w:lang w:val="en-GB"/>
        </w:rPr>
        <w:t>y-Report.pdf/.</w:t>
      </w:r>
    </w:p>
    <w:p w14:paraId="59297FE3" w14:textId="77777777" w:rsidR="003E2F7C" w:rsidRPr="00E53A75" w:rsidRDefault="003E2F7C" w:rsidP="004D468C">
      <w:pPr>
        <w:pStyle w:val="Footnote"/>
        <w:rPr>
          <w:rFonts w:eastAsia="Calibri"/>
          <w:sz w:val="12"/>
          <w:szCs w:val="12"/>
          <w:lang w:val="en-GB"/>
        </w:rPr>
      </w:pPr>
    </w:p>
    <w:p w14:paraId="281C0188" w14:textId="77777777" w:rsidR="003E2F7C" w:rsidRPr="00E53A75" w:rsidRDefault="003E2F7C" w:rsidP="004D468C">
      <w:pPr>
        <w:pStyle w:val="Footnote"/>
        <w:rPr>
          <w:rFonts w:eastAsia="Calibri"/>
          <w:b/>
          <w:sz w:val="12"/>
          <w:szCs w:val="12"/>
          <w:lang w:val="en-GB"/>
        </w:rPr>
      </w:pPr>
    </w:p>
    <w:p w14:paraId="55737E9E" w14:textId="05E641AF" w:rsidR="003E2F7C" w:rsidRPr="000078F6" w:rsidRDefault="003E2F7C" w:rsidP="007F7686">
      <w:pPr>
        <w:pStyle w:val="ExhibitHeading"/>
        <w:rPr>
          <w:rFonts w:eastAsia="Calibri"/>
          <w:lang w:val="en-GB"/>
        </w:rPr>
      </w:pPr>
      <w:r w:rsidRPr="000078F6">
        <w:rPr>
          <w:rFonts w:eastAsia="Calibri"/>
          <w:lang w:val="en-GB"/>
        </w:rPr>
        <w:t>EXHIBIT 2</w:t>
      </w:r>
      <w:r w:rsidR="007F7686" w:rsidRPr="000078F6">
        <w:rPr>
          <w:rFonts w:eastAsia="Calibri"/>
          <w:lang w:val="en-GB"/>
        </w:rPr>
        <w:t xml:space="preserve">: </w:t>
      </w:r>
      <w:r w:rsidR="00306934" w:rsidRPr="000078F6">
        <w:rPr>
          <w:rFonts w:eastAsia="Calibri"/>
          <w:lang w:val="en-GB"/>
        </w:rPr>
        <w:t xml:space="preserve">Unilever </w:t>
      </w:r>
      <w:r w:rsidRPr="000078F6">
        <w:rPr>
          <w:rFonts w:eastAsia="Calibri"/>
          <w:lang w:val="en-GB"/>
        </w:rPr>
        <w:t>FINANCIAL STATEMENT</w:t>
      </w:r>
      <w:r w:rsidR="00306934" w:rsidRPr="000078F6">
        <w:rPr>
          <w:rFonts w:eastAsia="Calibri"/>
          <w:lang w:val="en-GB"/>
        </w:rPr>
        <w:t>s,</w:t>
      </w:r>
      <w:r w:rsidRPr="000078F6">
        <w:rPr>
          <w:rFonts w:eastAsia="Calibri"/>
          <w:lang w:val="en-GB"/>
        </w:rPr>
        <w:t xml:space="preserve"> 2012</w:t>
      </w:r>
      <w:r w:rsidR="00306934" w:rsidRPr="000078F6">
        <w:rPr>
          <w:rFonts w:eastAsia="Calibri"/>
          <w:lang w:val="en-GB"/>
        </w:rPr>
        <w:t>–</w:t>
      </w:r>
      <w:r w:rsidRPr="000078F6">
        <w:rPr>
          <w:rFonts w:eastAsia="Calibri"/>
          <w:lang w:val="en-GB"/>
        </w:rPr>
        <w:t>2016</w:t>
      </w:r>
      <w:r w:rsidR="007F7686" w:rsidRPr="000078F6">
        <w:rPr>
          <w:rFonts w:eastAsia="Calibri"/>
          <w:lang w:val="en-GB"/>
        </w:rPr>
        <w:t xml:space="preserve"> (in </w:t>
      </w:r>
      <w:r w:rsidR="00306934" w:rsidRPr="000078F6">
        <w:rPr>
          <w:rFonts w:eastAsia="Calibri"/>
          <w:lang w:val="en-GB"/>
        </w:rPr>
        <w:t>€</w:t>
      </w:r>
      <w:r w:rsidR="00DE10F9">
        <w:rPr>
          <w:rFonts w:eastAsia="Calibri"/>
          <w:lang w:val="en-GB"/>
        </w:rPr>
        <w:t xml:space="preserve"> </w:t>
      </w:r>
      <w:r w:rsidR="007F7686" w:rsidRPr="000078F6">
        <w:rPr>
          <w:rFonts w:eastAsia="Calibri"/>
          <w:lang w:val="en-GB"/>
        </w:rPr>
        <w:t>million</w:t>
      </w:r>
      <w:r w:rsidR="00306934" w:rsidRPr="000078F6">
        <w:rPr>
          <w:rFonts w:eastAsia="Calibri"/>
          <w:lang w:val="en-GB"/>
        </w:rPr>
        <w:t>s</w:t>
      </w:r>
      <w:r w:rsidR="007F7686" w:rsidRPr="000078F6">
        <w:rPr>
          <w:rFonts w:eastAsia="Calibri"/>
          <w:lang w:val="en-GB"/>
        </w:rPr>
        <w:t>)</w:t>
      </w:r>
    </w:p>
    <w:p w14:paraId="4ACD66CA" w14:textId="77777777" w:rsidR="003E2F7C" w:rsidRPr="00E53A75" w:rsidRDefault="003E2F7C" w:rsidP="007F7686">
      <w:pPr>
        <w:pStyle w:val="ExhibitText"/>
        <w:rPr>
          <w:rFonts w:eastAsia="Calibri"/>
          <w:sz w:val="12"/>
          <w:szCs w:val="12"/>
          <w:lang w:val="en-GB"/>
        </w:rPr>
      </w:pPr>
      <w:bookmarkStart w:id="2" w:name="_GoBack"/>
      <w:bookmarkEnd w:id="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453"/>
        <w:gridCol w:w="990"/>
        <w:gridCol w:w="1080"/>
        <w:gridCol w:w="1080"/>
        <w:gridCol w:w="1080"/>
        <w:gridCol w:w="1080"/>
      </w:tblGrid>
      <w:tr w:rsidR="003C557D" w:rsidRPr="000078F6" w14:paraId="36FEAD30" w14:textId="77777777" w:rsidTr="00AD6A80">
        <w:trPr>
          <w:trHeight w:val="125"/>
          <w:jc w:val="center"/>
        </w:trPr>
        <w:tc>
          <w:tcPr>
            <w:tcW w:w="3453" w:type="dxa"/>
          </w:tcPr>
          <w:p w14:paraId="44ED22BB" w14:textId="77777777" w:rsidR="003E2F7C" w:rsidRPr="00432A7F" w:rsidRDefault="003E2F7C" w:rsidP="007F7686">
            <w:pPr>
              <w:pStyle w:val="ExhibitText"/>
              <w:rPr>
                <w:rFonts w:eastAsia="Calibri"/>
                <w:lang w:val="en-GB"/>
              </w:rPr>
            </w:pPr>
          </w:p>
        </w:tc>
        <w:tc>
          <w:tcPr>
            <w:tcW w:w="990" w:type="dxa"/>
            <w:vAlign w:val="center"/>
          </w:tcPr>
          <w:p w14:paraId="585A477C" w14:textId="77777777" w:rsidR="003E2F7C" w:rsidRPr="00432A7F" w:rsidRDefault="003E2F7C" w:rsidP="003C557D">
            <w:pPr>
              <w:pStyle w:val="ExhibitText"/>
              <w:jc w:val="center"/>
              <w:rPr>
                <w:rFonts w:eastAsia="Calibri"/>
                <w:b/>
                <w:lang w:val="en-GB"/>
              </w:rPr>
            </w:pPr>
            <w:r w:rsidRPr="00432A7F">
              <w:rPr>
                <w:rFonts w:eastAsia="Calibri"/>
                <w:b/>
                <w:lang w:val="en-GB"/>
              </w:rPr>
              <w:t>2012</w:t>
            </w:r>
          </w:p>
        </w:tc>
        <w:tc>
          <w:tcPr>
            <w:tcW w:w="1080" w:type="dxa"/>
            <w:vAlign w:val="center"/>
          </w:tcPr>
          <w:p w14:paraId="1A753AF0" w14:textId="77777777" w:rsidR="003E2F7C" w:rsidRPr="00432A7F" w:rsidRDefault="003E2F7C" w:rsidP="003C557D">
            <w:pPr>
              <w:pStyle w:val="ExhibitText"/>
              <w:jc w:val="center"/>
              <w:rPr>
                <w:rFonts w:eastAsia="Calibri"/>
                <w:b/>
                <w:lang w:val="en-GB"/>
              </w:rPr>
            </w:pPr>
            <w:r w:rsidRPr="00432A7F">
              <w:rPr>
                <w:rFonts w:eastAsia="Calibri"/>
                <w:b/>
                <w:lang w:val="en-GB"/>
              </w:rPr>
              <w:t>2013</w:t>
            </w:r>
          </w:p>
        </w:tc>
        <w:tc>
          <w:tcPr>
            <w:tcW w:w="1080" w:type="dxa"/>
            <w:vAlign w:val="center"/>
          </w:tcPr>
          <w:p w14:paraId="1E62C954" w14:textId="77777777" w:rsidR="003E2F7C" w:rsidRPr="00432A7F" w:rsidRDefault="003E2F7C" w:rsidP="003C557D">
            <w:pPr>
              <w:pStyle w:val="ExhibitText"/>
              <w:jc w:val="center"/>
              <w:rPr>
                <w:rFonts w:eastAsia="Calibri"/>
                <w:b/>
                <w:lang w:val="en-GB"/>
              </w:rPr>
            </w:pPr>
            <w:r w:rsidRPr="00432A7F">
              <w:rPr>
                <w:rFonts w:eastAsia="Calibri"/>
                <w:b/>
                <w:lang w:val="en-GB"/>
              </w:rPr>
              <w:t>2014</w:t>
            </w:r>
          </w:p>
        </w:tc>
        <w:tc>
          <w:tcPr>
            <w:tcW w:w="1080" w:type="dxa"/>
            <w:vAlign w:val="center"/>
          </w:tcPr>
          <w:p w14:paraId="4ED26193" w14:textId="77777777" w:rsidR="003E2F7C" w:rsidRPr="00432A7F" w:rsidRDefault="003E2F7C" w:rsidP="003C557D">
            <w:pPr>
              <w:pStyle w:val="ExhibitText"/>
              <w:jc w:val="center"/>
              <w:rPr>
                <w:rFonts w:eastAsia="Calibri"/>
                <w:b/>
                <w:lang w:val="en-GB"/>
              </w:rPr>
            </w:pPr>
            <w:r w:rsidRPr="00432A7F">
              <w:rPr>
                <w:rFonts w:eastAsia="Calibri"/>
                <w:b/>
                <w:lang w:val="en-GB"/>
              </w:rPr>
              <w:t>2015</w:t>
            </w:r>
          </w:p>
        </w:tc>
        <w:tc>
          <w:tcPr>
            <w:tcW w:w="1080" w:type="dxa"/>
            <w:vAlign w:val="center"/>
          </w:tcPr>
          <w:p w14:paraId="77F617DF" w14:textId="77777777" w:rsidR="003E2F7C" w:rsidRPr="00432A7F" w:rsidRDefault="003E2F7C" w:rsidP="003C557D">
            <w:pPr>
              <w:pStyle w:val="ExhibitText"/>
              <w:jc w:val="center"/>
              <w:rPr>
                <w:rFonts w:eastAsia="Calibri"/>
                <w:b/>
                <w:lang w:val="en-GB"/>
              </w:rPr>
            </w:pPr>
            <w:r w:rsidRPr="00432A7F">
              <w:rPr>
                <w:rFonts w:eastAsia="Calibri"/>
                <w:b/>
                <w:lang w:val="en-GB"/>
              </w:rPr>
              <w:t>2016</w:t>
            </w:r>
          </w:p>
        </w:tc>
      </w:tr>
      <w:tr w:rsidR="003C557D" w:rsidRPr="000078F6" w14:paraId="73256CA0" w14:textId="77777777" w:rsidTr="00AD6A80">
        <w:trPr>
          <w:trHeight w:val="152"/>
          <w:jc w:val="center"/>
        </w:trPr>
        <w:tc>
          <w:tcPr>
            <w:tcW w:w="3453" w:type="dxa"/>
          </w:tcPr>
          <w:p w14:paraId="6346E8EC" w14:textId="77777777" w:rsidR="003E2F7C" w:rsidRPr="00432A7F" w:rsidRDefault="003E2F7C" w:rsidP="007F7686">
            <w:pPr>
              <w:pStyle w:val="ExhibitText"/>
              <w:rPr>
                <w:rFonts w:eastAsia="Calibri"/>
                <w:lang w:val="en-GB"/>
              </w:rPr>
            </w:pPr>
            <w:r w:rsidRPr="00432A7F">
              <w:rPr>
                <w:rFonts w:eastAsia="Calibri"/>
                <w:lang w:val="en-GB"/>
              </w:rPr>
              <w:t>Total Revenue</w:t>
            </w:r>
          </w:p>
        </w:tc>
        <w:tc>
          <w:tcPr>
            <w:tcW w:w="990" w:type="dxa"/>
            <w:vAlign w:val="center"/>
          </w:tcPr>
          <w:p w14:paraId="32628173" w14:textId="77777777" w:rsidR="003E2F7C" w:rsidRPr="00432A7F" w:rsidRDefault="007F7686" w:rsidP="003C557D">
            <w:pPr>
              <w:pStyle w:val="ExhibitText"/>
              <w:jc w:val="right"/>
              <w:rPr>
                <w:rFonts w:eastAsia="Calibri"/>
                <w:lang w:val="en-GB"/>
              </w:rPr>
            </w:pPr>
            <w:r w:rsidRPr="00432A7F">
              <w:rPr>
                <w:rFonts w:eastAsia="Calibri"/>
                <w:lang w:val="en-GB"/>
              </w:rPr>
              <w:t>51,324.</w:t>
            </w:r>
            <w:r w:rsidR="003E2F7C" w:rsidRPr="00432A7F">
              <w:rPr>
                <w:rFonts w:eastAsia="Calibri"/>
                <w:lang w:val="en-GB"/>
              </w:rPr>
              <w:t>00</w:t>
            </w:r>
          </w:p>
        </w:tc>
        <w:tc>
          <w:tcPr>
            <w:tcW w:w="1080" w:type="dxa"/>
            <w:vAlign w:val="center"/>
          </w:tcPr>
          <w:p w14:paraId="080CD8D8" w14:textId="77777777" w:rsidR="003E2F7C" w:rsidRPr="00432A7F" w:rsidRDefault="007F7686" w:rsidP="003C557D">
            <w:pPr>
              <w:pStyle w:val="ExhibitText"/>
              <w:jc w:val="right"/>
              <w:rPr>
                <w:rFonts w:eastAsia="Calibri"/>
                <w:lang w:val="en-GB"/>
              </w:rPr>
            </w:pPr>
            <w:r w:rsidRPr="00432A7F">
              <w:rPr>
                <w:rFonts w:eastAsia="Calibri"/>
                <w:lang w:val="en-GB"/>
              </w:rPr>
              <w:t>49,797.0</w:t>
            </w:r>
            <w:r w:rsidR="003E2F7C" w:rsidRPr="00432A7F">
              <w:rPr>
                <w:rFonts w:eastAsia="Calibri"/>
                <w:lang w:val="en-GB"/>
              </w:rPr>
              <w:t>0</w:t>
            </w:r>
          </w:p>
        </w:tc>
        <w:tc>
          <w:tcPr>
            <w:tcW w:w="1080" w:type="dxa"/>
            <w:vAlign w:val="center"/>
          </w:tcPr>
          <w:p w14:paraId="6FE7958E" w14:textId="77777777" w:rsidR="003E2F7C" w:rsidRPr="00432A7F" w:rsidRDefault="007F7686" w:rsidP="003C557D">
            <w:pPr>
              <w:pStyle w:val="ExhibitText"/>
              <w:jc w:val="right"/>
              <w:rPr>
                <w:rFonts w:eastAsia="Calibri"/>
                <w:lang w:val="en-GB"/>
              </w:rPr>
            </w:pPr>
            <w:r w:rsidRPr="00432A7F">
              <w:rPr>
                <w:rFonts w:eastAsia="Calibri"/>
                <w:lang w:val="en-GB"/>
              </w:rPr>
              <w:t>48,436.</w:t>
            </w:r>
            <w:r w:rsidR="003E2F7C" w:rsidRPr="00432A7F">
              <w:rPr>
                <w:rFonts w:eastAsia="Calibri"/>
                <w:lang w:val="en-GB"/>
              </w:rPr>
              <w:t>00</w:t>
            </w:r>
          </w:p>
        </w:tc>
        <w:tc>
          <w:tcPr>
            <w:tcW w:w="1080" w:type="dxa"/>
            <w:vAlign w:val="center"/>
          </w:tcPr>
          <w:p w14:paraId="2261668B" w14:textId="77777777" w:rsidR="003E2F7C" w:rsidRPr="00432A7F" w:rsidRDefault="007F7686" w:rsidP="003C557D">
            <w:pPr>
              <w:pStyle w:val="ExhibitText"/>
              <w:jc w:val="right"/>
              <w:rPr>
                <w:rFonts w:eastAsia="Calibri"/>
                <w:lang w:val="en-GB"/>
              </w:rPr>
            </w:pPr>
            <w:r w:rsidRPr="00432A7F">
              <w:rPr>
                <w:rFonts w:eastAsia="Calibri"/>
                <w:lang w:val="en-GB"/>
              </w:rPr>
              <w:t>53,272.</w:t>
            </w:r>
            <w:r w:rsidR="003E2F7C" w:rsidRPr="00432A7F">
              <w:rPr>
                <w:rFonts w:eastAsia="Calibri"/>
                <w:lang w:val="en-GB"/>
              </w:rPr>
              <w:t>00</w:t>
            </w:r>
          </w:p>
        </w:tc>
        <w:tc>
          <w:tcPr>
            <w:tcW w:w="1080" w:type="dxa"/>
            <w:vAlign w:val="center"/>
          </w:tcPr>
          <w:p w14:paraId="0DA7A303" w14:textId="77777777" w:rsidR="003E2F7C" w:rsidRPr="00432A7F" w:rsidRDefault="007F7686" w:rsidP="003C557D">
            <w:pPr>
              <w:pStyle w:val="ExhibitText"/>
              <w:jc w:val="right"/>
              <w:rPr>
                <w:rFonts w:eastAsia="Calibri"/>
                <w:lang w:val="en-GB"/>
              </w:rPr>
            </w:pPr>
            <w:r w:rsidRPr="00432A7F">
              <w:rPr>
                <w:rFonts w:eastAsia="Calibri"/>
                <w:lang w:val="en-GB"/>
              </w:rPr>
              <w:t>52,713.</w:t>
            </w:r>
            <w:r w:rsidR="003E2F7C" w:rsidRPr="00432A7F">
              <w:rPr>
                <w:rFonts w:eastAsia="Calibri"/>
                <w:lang w:val="en-GB"/>
              </w:rPr>
              <w:t>00</w:t>
            </w:r>
          </w:p>
        </w:tc>
      </w:tr>
      <w:tr w:rsidR="003C557D" w:rsidRPr="000078F6" w14:paraId="13B6791F" w14:textId="77777777" w:rsidTr="003C557D">
        <w:trPr>
          <w:trHeight w:val="285"/>
          <w:jc w:val="center"/>
        </w:trPr>
        <w:tc>
          <w:tcPr>
            <w:tcW w:w="3453" w:type="dxa"/>
          </w:tcPr>
          <w:p w14:paraId="7DC51B5A" w14:textId="77777777" w:rsidR="003E2F7C" w:rsidRPr="00432A7F" w:rsidRDefault="003E2F7C" w:rsidP="007F7686">
            <w:pPr>
              <w:pStyle w:val="ExhibitText"/>
              <w:rPr>
                <w:rFonts w:eastAsia="Calibri"/>
                <w:lang w:val="en-GB"/>
              </w:rPr>
            </w:pPr>
            <w:r w:rsidRPr="00432A7F">
              <w:rPr>
                <w:rFonts w:eastAsia="Calibri"/>
                <w:lang w:val="en-GB"/>
              </w:rPr>
              <w:t>Gross Profit</w:t>
            </w:r>
          </w:p>
        </w:tc>
        <w:tc>
          <w:tcPr>
            <w:tcW w:w="990" w:type="dxa"/>
            <w:vAlign w:val="center"/>
          </w:tcPr>
          <w:p w14:paraId="0DB734D3" w14:textId="77777777" w:rsidR="003E2F7C" w:rsidRPr="00432A7F" w:rsidRDefault="007F7686" w:rsidP="003C557D">
            <w:pPr>
              <w:pStyle w:val="ExhibitText"/>
              <w:jc w:val="right"/>
              <w:rPr>
                <w:rFonts w:eastAsia="Calibri"/>
                <w:lang w:val="en-GB"/>
              </w:rPr>
            </w:pPr>
            <w:r w:rsidRPr="00432A7F">
              <w:rPr>
                <w:rFonts w:eastAsia="Calibri"/>
                <w:lang w:val="en-GB"/>
              </w:rPr>
              <w:t>20,794.</w:t>
            </w:r>
            <w:r w:rsidR="003E2F7C" w:rsidRPr="00432A7F">
              <w:rPr>
                <w:rFonts w:eastAsia="Calibri"/>
                <w:lang w:val="en-GB"/>
              </w:rPr>
              <w:t>00</w:t>
            </w:r>
          </w:p>
        </w:tc>
        <w:tc>
          <w:tcPr>
            <w:tcW w:w="1080" w:type="dxa"/>
            <w:vAlign w:val="center"/>
          </w:tcPr>
          <w:p w14:paraId="48723022" w14:textId="77777777" w:rsidR="003E2F7C" w:rsidRPr="00432A7F" w:rsidRDefault="007F7686" w:rsidP="003C557D">
            <w:pPr>
              <w:pStyle w:val="ExhibitText"/>
              <w:jc w:val="right"/>
              <w:rPr>
                <w:rFonts w:eastAsia="Calibri"/>
                <w:lang w:val="en-GB"/>
              </w:rPr>
            </w:pPr>
            <w:r w:rsidRPr="00432A7F">
              <w:rPr>
                <w:rFonts w:eastAsia="Calibri"/>
                <w:lang w:val="en-GB"/>
              </w:rPr>
              <w:t>20,732.</w:t>
            </w:r>
            <w:r w:rsidR="003E2F7C" w:rsidRPr="00432A7F">
              <w:rPr>
                <w:rFonts w:eastAsia="Calibri"/>
                <w:lang w:val="en-GB"/>
              </w:rPr>
              <w:t>00</w:t>
            </w:r>
          </w:p>
        </w:tc>
        <w:tc>
          <w:tcPr>
            <w:tcW w:w="1080" w:type="dxa"/>
            <w:vAlign w:val="center"/>
          </w:tcPr>
          <w:p w14:paraId="5FAD6C01" w14:textId="77777777" w:rsidR="003E2F7C" w:rsidRPr="00432A7F" w:rsidRDefault="007F7686" w:rsidP="003C557D">
            <w:pPr>
              <w:pStyle w:val="ExhibitText"/>
              <w:jc w:val="right"/>
              <w:rPr>
                <w:rFonts w:eastAsia="Calibri"/>
                <w:lang w:val="en-GB"/>
              </w:rPr>
            </w:pPr>
            <w:r w:rsidRPr="00432A7F">
              <w:rPr>
                <w:rFonts w:eastAsia="Calibri"/>
                <w:lang w:val="en-GB"/>
              </w:rPr>
              <w:t>20,049.</w:t>
            </w:r>
            <w:r w:rsidR="003E2F7C" w:rsidRPr="00432A7F">
              <w:rPr>
                <w:rFonts w:eastAsia="Calibri"/>
                <w:lang w:val="en-GB"/>
              </w:rPr>
              <w:t>00</w:t>
            </w:r>
          </w:p>
        </w:tc>
        <w:tc>
          <w:tcPr>
            <w:tcW w:w="1080" w:type="dxa"/>
            <w:vAlign w:val="center"/>
          </w:tcPr>
          <w:p w14:paraId="1B155289" w14:textId="77777777" w:rsidR="003E2F7C" w:rsidRPr="00432A7F" w:rsidRDefault="007F7686" w:rsidP="003C557D">
            <w:pPr>
              <w:pStyle w:val="ExhibitText"/>
              <w:jc w:val="right"/>
              <w:rPr>
                <w:rFonts w:eastAsia="Calibri"/>
                <w:lang w:val="en-GB"/>
              </w:rPr>
            </w:pPr>
            <w:r w:rsidRPr="00432A7F">
              <w:rPr>
                <w:rFonts w:eastAsia="Calibri"/>
                <w:lang w:val="en-GB"/>
              </w:rPr>
              <w:t>25,822.</w:t>
            </w:r>
            <w:r w:rsidR="003E2F7C" w:rsidRPr="00432A7F">
              <w:rPr>
                <w:rFonts w:eastAsia="Calibri"/>
                <w:lang w:val="en-GB"/>
              </w:rPr>
              <w:t>00</w:t>
            </w:r>
          </w:p>
        </w:tc>
        <w:tc>
          <w:tcPr>
            <w:tcW w:w="1080" w:type="dxa"/>
            <w:vAlign w:val="center"/>
          </w:tcPr>
          <w:p w14:paraId="1C0C0207" w14:textId="77777777" w:rsidR="003E2F7C" w:rsidRPr="00432A7F" w:rsidRDefault="007F7686" w:rsidP="003C557D">
            <w:pPr>
              <w:pStyle w:val="ExhibitText"/>
              <w:jc w:val="right"/>
              <w:rPr>
                <w:rFonts w:eastAsia="Calibri"/>
                <w:lang w:val="en-GB"/>
              </w:rPr>
            </w:pPr>
            <w:r w:rsidRPr="00432A7F">
              <w:rPr>
                <w:rFonts w:eastAsia="Calibri"/>
                <w:lang w:val="en-GB"/>
              </w:rPr>
              <w:t>25,730.</w:t>
            </w:r>
            <w:r w:rsidR="003E2F7C" w:rsidRPr="00432A7F">
              <w:rPr>
                <w:rFonts w:eastAsia="Calibri"/>
                <w:lang w:val="en-GB"/>
              </w:rPr>
              <w:t>00</w:t>
            </w:r>
          </w:p>
        </w:tc>
      </w:tr>
      <w:tr w:rsidR="003C557D" w:rsidRPr="000078F6" w14:paraId="009A09C9" w14:textId="77777777" w:rsidTr="003C557D">
        <w:trPr>
          <w:trHeight w:val="285"/>
          <w:jc w:val="center"/>
        </w:trPr>
        <w:tc>
          <w:tcPr>
            <w:tcW w:w="3453" w:type="dxa"/>
          </w:tcPr>
          <w:p w14:paraId="5A51650A" w14:textId="77777777" w:rsidR="003E2F7C" w:rsidRPr="00432A7F" w:rsidRDefault="003E2F7C" w:rsidP="007F7686">
            <w:pPr>
              <w:pStyle w:val="ExhibitText"/>
              <w:rPr>
                <w:rFonts w:eastAsia="Calibri"/>
                <w:lang w:val="en-GB"/>
              </w:rPr>
            </w:pPr>
            <w:r w:rsidRPr="00432A7F">
              <w:rPr>
                <w:rFonts w:eastAsia="Calibri"/>
                <w:lang w:val="en-GB"/>
              </w:rPr>
              <w:t>Operating Profit</w:t>
            </w:r>
          </w:p>
        </w:tc>
        <w:tc>
          <w:tcPr>
            <w:tcW w:w="990" w:type="dxa"/>
            <w:vAlign w:val="center"/>
          </w:tcPr>
          <w:p w14:paraId="7F9E151C" w14:textId="77777777" w:rsidR="003E2F7C" w:rsidRPr="00432A7F" w:rsidRDefault="007F7686" w:rsidP="003C557D">
            <w:pPr>
              <w:pStyle w:val="ExhibitText"/>
              <w:jc w:val="right"/>
              <w:rPr>
                <w:rFonts w:eastAsia="Calibri"/>
                <w:lang w:val="en-GB"/>
              </w:rPr>
            </w:pPr>
            <w:r w:rsidRPr="00432A7F">
              <w:rPr>
                <w:rFonts w:eastAsia="Calibri"/>
                <w:lang w:val="en-GB"/>
              </w:rPr>
              <w:t>6,977.</w:t>
            </w:r>
            <w:r w:rsidR="003E2F7C" w:rsidRPr="00432A7F">
              <w:rPr>
                <w:rFonts w:eastAsia="Calibri"/>
                <w:lang w:val="en-GB"/>
              </w:rPr>
              <w:t>00</w:t>
            </w:r>
          </w:p>
        </w:tc>
        <w:tc>
          <w:tcPr>
            <w:tcW w:w="1080" w:type="dxa"/>
            <w:vAlign w:val="center"/>
          </w:tcPr>
          <w:p w14:paraId="6E9CC343" w14:textId="77777777" w:rsidR="003E2F7C" w:rsidRPr="00432A7F" w:rsidRDefault="007F7686" w:rsidP="003C557D">
            <w:pPr>
              <w:pStyle w:val="ExhibitText"/>
              <w:jc w:val="right"/>
              <w:rPr>
                <w:rFonts w:eastAsia="Calibri"/>
                <w:lang w:val="en-GB"/>
              </w:rPr>
            </w:pPr>
            <w:r w:rsidRPr="00432A7F">
              <w:rPr>
                <w:rFonts w:eastAsia="Calibri"/>
                <w:lang w:val="en-GB"/>
              </w:rPr>
              <w:t>7,517.</w:t>
            </w:r>
            <w:r w:rsidR="003E2F7C" w:rsidRPr="00432A7F">
              <w:rPr>
                <w:rFonts w:eastAsia="Calibri"/>
                <w:lang w:val="en-GB"/>
              </w:rPr>
              <w:t>00</w:t>
            </w:r>
          </w:p>
        </w:tc>
        <w:tc>
          <w:tcPr>
            <w:tcW w:w="1080" w:type="dxa"/>
            <w:vAlign w:val="center"/>
          </w:tcPr>
          <w:p w14:paraId="0EFBD75B" w14:textId="77777777" w:rsidR="003E2F7C" w:rsidRPr="00432A7F" w:rsidRDefault="007F7686" w:rsidP="003C557D">
            <w:pPr>
              <w:pStyle w:val="ExhibitText"/>
              <w:jc w:val="right"/>
              <w:rPr>
                <w:rFonts w:eastAsia="Calibri"/>
                <w:lang w:val="en-GB"/>
              </w:rPr>
            </w:pPr>
            <w:r w:rsidRPr="00432A7F">
              <w:rPr>
                <w:rFonts w:eastAsia="Calibri"/>
                <w:lang w:val="en-GB"/>
              </w:rPr>
              <w:t>7,980.</w:t>
            </w:r>
            <w:r w:rsidR="003E2F7C" w:rsidRPr="00432A7F">
              <w:rPr>
                <w:rFonts w:eastAsia="Calibri"/>
                <w:lang w:val="en-GB"/>
              </w:rPr>
              <w:t>00</w:t>
            </w:r>
          </w:p>
        </w:tc>
        <w:tc>
          <w:tcPr>
            <w:tcW w:w="1080" w:type="dxa"/>
            <w:vAlign w:val="center"/>
          </w:tcPr>
          <w:p w14:paraId="6E8174D4" w14:textId="77777777" w:rsidR="003E2F7C" w:rsidRPr="00432A7F" w:rsidRDefault="007F7686" w:rsidP="003C557D">
            <w:pPr>
              <w:pStyle w:val="ExhibitText"/>
              <w:jc w:val="right"/>
              <w:rPr>
                <w:rFonts w:eastAsia="Calibri"/>
                <w:lang w:val="en-GB"/>
              </w:rPr>
            </w:pPr>
            <w:r w:rsidRPr="00432A7F">
              <w:rPr>
                <w:rFonts w:eastAsia="Calibri"/>
                <w:lang w:val="en-GB"/>
              </w:rPr>
              <w:t>7,575.</w:t>
            </w:r>
            <w:r w:rsidR="003E2F7C" w:rsidRPr="00432A7F">
              <w:rPr>
                <w:rFonts w:eastAsia="Calibri"/>
                <w:lang w:val="en-GB"/>
              </w:rPr>
              <w:t>00</w:t>
            </w:r>
          </w:p>
        </w:tc>
        <w:tc>
          <w:tcPr>
            <w:tcW w:w="1080" w:type="dxa"/>
            <w:vAlign w:val="center"/>
          </w:tcPr>
          <w:p w14:paraId="776BE0BF" w14:textId="77777777" w:rsidR="003E2F7C" w:rsidRPr="00432A7F" w:rsidRDefault="007F7686" w:rsidP="003C557D">
            <w:pPr>
              <w:pStyle w:val="ExhibitText"/>
              <w:jc w:val="right"/>
              <w:rPr>
                <w:rFonts w:eastAsia="Calibri"/>
                <w:lang w:val="en-GB"/>
              </w:rPr>
            </w:pPr>
            <w:r w:rsidRPr="00432A7F">
              <w:rPr>
                <w:rFonts w:eastAsia="Calibri"/>
                <w:lang w:val="en-GB"/>
              </w:rPr>
              <w:t>7,801.</w:t>
            </w:r>
            <w:r w:rsidR="003E2F7C" w:rsidRPr="00432A7F">
              <w:rPr>
                <w:rFonts w:eastAsia="Calibri"/>
                <w:lang w:val="en-GB"/>
              </w:rPr>
              <w:t>00</w:t>
            </w:r>
          </w:p>
        </w:tc>
      </w:tr>
      <w:tr w:rsidR="003C557D" w:rsidRPr="000078F6" w14:paraId="7D71A6BA" w14:textId="77777777" w:rsidTr="003C557D">
        <w:trPr>
          <w:trHeight w:val="285"/>
          <w:jc w:val="center"/>
        </w:trPr>
        <w:tc>
          <w:tcPr>
            <w:tcW w:w="3453" w:type="dxa"/>
          </w:tcPr>
          <w:p w14:paraId="30760404" w14:textId="77777777" w:rsidR="003E2F7C" w:rsidRPr="00432A7F" w:rsidRDefault="003E2F7C">
            <w:pPr>
              <w:pStyle w:val="ExhibitText"/>
              <w:rPr>
                <w:rFonts w:eastAsia="Calibri"/>
                <w:lang w:val="en-GB"/>
              </w:rPr>
            </w:pPr>
            <w:r w:rsidRPr="00432A7F">
              <w:rPr>
                <w:rFonts w:eastAsia="Calibri"/>
                <w:lang w:val="en-GB"/>
              </w:rPr>
              <w:t xml:space="preserve">Net </w:t>
            </w:r>
            <w:r w:rsidR="00306934" w:rsidRPr="00432A7F">
              <w:rPr>
                <w:rFonts w:eastAsia="Calibri"/>
                <w:lang w:val="en-GB"/>
              </w:rPr>
              <w:t>Income</w:t>
            </w:r>
          </w:p>
        </w:tc>
        <w:tc>
          <w:tcPr>
            <w:tcW w:w="990" w:type="dxa"/>
            <w:vAlign w:val="center"/>
          </w:tcPr>
          <w:p w14:paraId="3A84D66F" w14:textId="77777777" w:rsidR="003E2F7C" w:rsidRPr="00432A7F" w:rsidRDefault="007F7686" w:rsidP="003C557D">
            <w:pPr>
              <w:pStyle w:val="ExhibitText"/>
              <w:jc w:val="right"/>
              <w:rPr>
                <w:rFonts w:eastAsia="Calibri"/>
                <w:lang w:val="en-GB"/>
              </w:rPr>
            </w:pPr>
            <w:r w:rsidRPr="00432A7F">
              <w:rPr>
                <w:rFonts w:eastAsia="Calibri"/>
                <w:lang w:val="en-GB"/>
              </w:rPr>
              <w:t>4,368.</w:t>
            </w:r>
            <w:r w:rsidR="003E2F7C" w:rsidRPr="00432A7F">
              <w:rPr>
                <w:rFonts w:eastAsia="Calibri"/>
                <w:lang w:val="en-GB"/>
              </w:rPr>
              <w:t>00</w:t>
            </w:r>
          </w:p>
        </w:tc>
        <w:tc>
          <w:tcPr>
            <w:tcW w:w="1080" w:type="dxa"/>
            <w:vAlign w:val="center"/>
          </w:tcPr>
          <w:p w14:paraId="15234285" w14:textId="77777777" w:rsidR="003E2F7C" w:rsidRPr="00432A7F" w:rsidRDefault="007F7686" w:rsidP="003C557D">
            <w:pPr>
              <w:pStyle w:val="ExhibitText"/>
              <w:jc w:val="right"/>
              <w:rPr>
                <w:rFonts w:eastAsia="Calibri"/>
                <w:lang w:val="en-GB"/>
              </w:rPr>
            </w:pPr>
            <w:r w:rsidRPr="00432A7F">
              <w:rPr>
                <w:rFonts w:eastAsia="Calibri"/>
                <w:lang w:val="en-GB"/>
              </w:rPr>
              <w:t>4,842.</w:t>
            </w:r>
            <w:r w:rsidR="003E2F7C" w:rsidRPr="00432A7F">
              <w:rPr>
                <w:rFonts w:eastAsia="Calibri"/>
                <w:lang w:val="en-GB"/>
              </w:rPr>
              <w:t>00</w:t>
            </w:r>
          </w:p>
        </w:tc>
        <w:tc>
          <w:tcPr>
            <w:tcW w:w="1080" w:type="dxa"/>
            <w:vAlign w:val="center"/>
          </w:tcPr>
          <w:p w14:paraId="04BBB08D" w14:textId="77777777" w:rsidR="003E2F7C" w:rsidRPr="00432A7F" w:rsidRDefault="007F7686" w:rsidP="003C557D">
            <w:pPr>
              <w:pStyle w:val="ExhibitText"/>
              <w:jc w:val="right"/>
              <w:rPr>
                <w:rFonts w:eastAsia="Calibri"/>
                <w:lang w:val="en-GB"/>
              </w:rPr>
            </w:pPr>
            <w:r w:rsidRPr="00432A7F">
              <w:rPr>
                <w:rFonts w:eastAsia="Calibri"/>
                <w:lang w:val="en-GB"/>
              </w:rPr>
              <w:t>5,171.</w:t>
            </w:r>
            <w:r w:rsidR="003E2F7C" w:rsidRPr="00432A7F">
              <w:rPr>
                <w:rFonts w:eastAsia="Calibri"/>
                <w:lang w:val="en-GB"/>
              </w:rPr>
              <w:t>00</w:t>
            </w:r>
          </w:p>
        </w:tc>
        <w:tc>
          <w:tcPr>
            <w:tcW w:w="1080" w:type="dxa"/>
            <w:vAlign w:val="center"/>
          </w:tcPr>
          <w:p w14:paraId="2F70C899" w14:textId="77777777" w:rsidR="003E2F7C" w:rsidRPr="00432A7F" w:rsidRDefault="007F7686" w:rsidP="003C557D">
            <w:pPr>
              <w:pStyle w:val="ExhibitText"/>
              <w:jc w:val="right"/>
              <w:rPr>
                <w:rFonts w:eastAsia="Calibri"/>
                <w:lang w:val="en-GB"/>
              </w:rPr>
            </w:pPr>
            <w:r w:rsidRPr="00432A7F">
              <w:rPr>
                <w:rFonts w:eastAsia="Calibri"/>
                <w:lang w:val="en-GB"/>
              </w:rPr>
              <w:t>4,909.</w:t>
            </w:r>
            <w:r w:rsidR="003E2F7C" w:rsidRPr="00432A7F">
              <w:rPr>
                <w:rFonts w:eastAsia="Calibri"/>
                <w:lang w:val="en-GB"/>
              </w:rPr>
              <w:t>00</w:t>
            </w:r>
          </w:p>
        </w:tc>
        <w:tc>
          <w:tcPr>
            <w:tcW w:w="1080" w:type="dxa"/>
            <w:vAlign w:val="center"/>
          </w:tcPr>
          <w:p w14:paraId="14CC51FA" w14:textId="77777777" w:rsidR="003E2F7C" w:rsidRPr="00432A7F" w:rsidRDefault="007F7686" w:rsidP="003C557D">
            <w:pPr>
              <w:pStyle w:val="ExhibitText"/>
              <w:jc w:val="right"/>
              <w:rPr>
                <w:rFonts w:eastAsia="Calibri"/>
                <w:lang w:val="en-GB"/>
              </w:rPr>
            </w:pPr>
            <w:r w:rsidRPr="00432A7F">
              <w:rPr>
                <w:rFonts w:eastAsia="Calibri"/>
                <w:lang w:val="en-GB"/>
              </w:rPr>
              <w:t>5,184.</w:t>
            </w:r>
            <w:r w:rsidR="003E2F7C" w:rsidRPr="00432A7F">
              <w:rPr>
                <w:rFonts w:eastAsia="Calibri"/>
                <w:lang w:val="en-GB"/>
              </w:rPr>
              <w:t>00</w:t>
            </w:r>
          </w:p>
        </w:tc>
      </w:tr>
      <w:tr w:rsidR="003C557D" w:rsidRPr="000078F6" w14:paraId="4B14A906" w14:textId="77777777" w:rsidTr="00AD6A80">
        <w:trPr>
          <w:trHeight w:val="179"/>
          <w:jc w:val="center"/>
        </w:trPr>
        <w:tc>
          <w:tcPr>
            <w:tcW w:w="8763" w:type="dxa"/>
            <w:gridSpan w:val="6"/>
            <w:vAlign w:val="center"/>
          </w:tcPr>
          <w:p w14:paraId="0C1635A5" w14:textId="77777777" w:rsidR="003C557D" w:rsidRPr="00432A7F" w:rsidRDefault="003C557D" w:rsidP="003C557D">
            <w:pPr>
              <w:pStyle w:val="ExhibitText"/>
              <w:jc w:val="left"/>
              <w:rPr>
                <w:rFonts w:eastAsia="Calibri"/>
                <w:b/>
                <w:lang w:val="en-GB"/>
              </w:rPr>
            </w:pPr>
            <w:r w:rsidRPr="00432A7F">
              <w:rPr>
                <w:rFonts w:eastAsia="Calibri"/>
                <w:b/>
                <w:lang w:val="en-GB"/>
              </w:rPr>
              <w:t>Balance Sheet</w:t>
            </w:r>
          </w:p>
        </w:tc>
      </w:tr>
      <w:tr w:rsidR="003C557D" w:rsidRPr="000078F6" w14:paraId="273095F6" w14:textId="77777777" w:rsidTr="003C557D">
        <w:trPr>
          <w:trHeight w:val="285"/>
          <w:jc w:val="center"/>
        </w:trPr>
        <w:tc>
          <w:tcPr>
            <w:tcW w:w="3453" w:type="dxa"/>
          </w:tcPr>
          <w:p w14:paraId="72A519DA" w14:textId="77777777" w:rsidR="003E2F7C" w:rsidRPr="00432A7F" w:rsidRDefault="003E2F7C" w:rsidP="007F7686">
            <w:pPr>
              <w:pStyle w:val="ExhibitText"/>
              <w:rPr>
                <w:rFonts w:eastAsia="Calibri"/>
                <w:lang w:val="en-GB"/>
              </w:rPr>
            </w:pPr>
            <w:r w:rsidRPr="00432A7F">
              <w:rPr>
                <w:rFonts w:eastAsia="Calibri"/>
                <w:lang w:val="en-GB"/>
              </w:rPr>
              <w:t>Total Current Assets</w:t>
            </w:r>
          </w:p>
        </w:tc>
        <w:tc>
          <w:tcPr>
            <w:tcW w:w="990" w:type="dxa"/>
            <w:vAlign w:val="center"/>
          </w:tcPr>
          <w:p w14:paraId="42DDB5C2" w14:textId="77777777" w:rsidR="003E2F7C" w:rsidRPr="00432A7F" w:rsidRDefault="007F7686" w:rsidP="003C557D">
            <w:pPr>
              <w:pStyle w:val="ExhibitText"/>
              <w:jc w:val="right"/>
              <w:rPr>
                <w:rFonts w:eastAsia="Calibri"/>
                <w:lang w:val="en-GB"/>
              </w:rPr>
            </w:pPr>
            <w:r w:rsidRPr="00432A7F">
              <w:rPr>
                <w:rFonts w:eastAsia="Calibri"/>
                <w:lang w:val="en-GB"/>
              </w:rPr>
              <w:t>12,147.</w:t>
            </w:r>
            <w:r w:rsidR="003E2F7C" w:rsidRPr="00432A7F">
              <w:rPr>
                <w:rFonts w:eastAsia="Calibri"/>
                <w:lang w:val="en-GB"/>
              </w:rPr>
              <w:t>00</w:t>
            </w:r>
          </w:p>
        </w:tc>
        <w:tc>
          <w:tcPr>
            <w:tcW w:w="1080" w:type="dxa"/>
            <w:vAlign w:val="center"/>
          </w:tcPr>
          <w:p w14:paraId="4E92AD2A" w14:textId="77777777" w:rsidR="003E2F7C" w:rsidRPr="00432A7F" w:rsidRDefault="007F7686" w:rsidP="003C557D">
            <w:pPr>
              <w:pStyle w:val="ExhibitText"/>
              <w:jc w:val="right"/>
              <w:rPr>
                <w:rFonts w:eastAsia="Calibri"/>
                <w:lang w:val="en-GB"/>
              </w:rPr>
            </w:pPr>
            <w:r w:rsidRPr="00432A7F">
              <w:rPr>
                <w:rFonts w:eastAsia="Calibri"/>
                <w:lang w:val="en-GB"/>
              </w:rPr>
              <w:t>12,122.</w:t>
            </w:r>
            <w:r w:rsidR="003E2F7C" w:rsidRPr="00432A7F">
              <w:rPr>
                <w:rFonts w:eastAsia="Calibri"/>
                <w:lang w:val="en-GB"/>
              </w:rPr>
              <w:t>00</w:t>
            </w:r>
          </w:p>
        </w:tc>
        <w:tc>
          <w:tcPr>
            <w:tcW w:w="1080" w:type="dxa"/>
            <w:vAlign w:val="center"/>
          </w:tcPr>
          <w:p w14:paraId="6C0A0E5B" w14:textId="77777777" w:rsidR="003E2F7C" w:rsidRPr="00432A7F" w:rsidRDefault="007F7686" w:rsidP="003C557D">
            <w:pPr>
              <w:pStyle w:val="ExhibitText"/>
              <w:jc w:val="right"/>
              <w:rPr>
                <w:rFonts w:eastAsia="Calibri"/>
                <w:lang w:val="en-GB"/>
              </w:rPr>
            </w:pPr>
            <w:r w:rsidRPr="00432A7F">
              <w:rPr>
                <w:rFonts w:eastAsia="Calibri"/>
                <w:lang w:val="en-GB"/>
              </w:rPr>
              <w:t>12,347.</w:t>
            </w:r>
            <w:r w:rsidR="003E2F7C" w:rsidRPr="00432A7F">
              <w:rPr>
                <w:rFonts w:eastAsia="Calibri"/>
                <w:lang w:val="en-GB"/>
              </w:rPr>
              <w:t>00</w:t>
            </w:r>
          </w:p>
        </w:tc>
        <w:tc>
          <w:tcPr>
            <w:tcW w:w="1080" w:type="dxa"/>
            <w:vAlign w:val="center"/>
          </w:tcPr>
          <w:p w14:paraId="58D59AB0" w14:textId="77777777" w:rsidR="003E2F7C" w:rsidRPr="00432A7F" w:rsidRDefault="007F7686" w:rsidP="003C557D">
            <w:pPr>
              <w:pStyle w:val="ExhibitText"/>
              <w:jc w:val="right"/>
              <w:rPr>
                <w:rFonts w:eastAsia="Calibri"/>
                <w:lang w:val="en-GB"/>
              </w:rPr>
            </w:pPr>
            <w:r w:rsidRPr="00432A7F">
              <w:rPr>
                <w:rFonts w:eastAsia="Calibri"/>
                <w:lang w:val="en-GB"/>
              </w:rPr>
              <w:t>12,686.</w:t>
            </w:r>
            <w:r w:rsidR="003E2F7C" w:rsidRPr="00432A7F">
              <w:rPr>
                <w:rFonts w:eastAsia="Calibri"/>
                <w:lang w:val="en-GB"/>
              </w:rPr>
              <w:t>00</w:t>
            </w:r>
          </w:p>
        </w:tc>
        <w:tc>
          <w:tcPr>
            <w:tcW w:w="1080" w:type="dxa"/>
            <w:vAlign w:val="center"/>
          </w:tcPr>
          <w:p w14:paraId="159C45DB" w14:textId="77777777" w:rsidR="003E2F7C" w:rsidRPr="00432A7F" w:rsidRDefault="007F7686" w:rsidP="003C557D">
            <w:pPr>
              <w:pStyle w:val="ExhibitText"/>
              <w:jc w:val="right"/>
              <w:rPr>
                <w:rFonts w:eastAsia="Calibri"/>
                <w:lang w:val="en-GB"/>
              </w:rPr>
            </w:pPr>
            <w:r w:rsidRPr="00432A7F">
              <w:rPr>
                <w:rFonts w:eastAsia="Calibri"/>
                <w:lang w:val="en-GB"/>
              </w:rPr>
              <w:t>13,884.00</w:t>
            </w:r>
          </w:p>
        </w:tc>
      </w:tr>
      <w:tr w:rsidR="003C557D" w:rsidRPr="000078F6" w14:paraId="39A99639" w14:textId="77777777" w:rsidTr="003C557D">
        <w:trPr>
          <w:trHeight w:val="285"/>
          <w:jc w:val="center"/>
        </w:trPr>
        <w:tc>
          <w:tcPr>
            <w:tcW w:w="3453" w:type="dxa"/>
          </w:tcPr>
          <w:p w14:paraId="0DF5C913" w14:textId="77777777" w:rsidR="003E2F7C" w:rsidRPr="00432A7F" w:rsidRDefault="003E2F7C" w:rsidP="007F7686">
            <w:pPr>
              <w:pStyle w:val="ExhibitText"/>
              <w:rPr>
                <w:rFonts w:eastAsia="Calibri"/>
                <w:lang w:val="en-GB"/>
              </w:rPr>
            </w:pPr>
            <w:r w:rsidRPr="00432A7F">
              <w:rPr>
                <w:rFonts w:eastAsia="Calibri"/>
                <w:lang w:val="en-GB"/>
              </w:rPr>
              <w:t>Total Current Liabilities</w:t>
            </w:r>
          </w:p>
        </w:tc>
        <w:tc>
          <w:tcPr>
            <w:tcW w:w="990" w:type="dxa"/>
            <w:vAlign w:val="center"/>
          </w:tcPr>
          <w:p w14:paraId="292F950D" w14:textId="77777777" w:rsidR="003E2F7C" w:rsidRPr="00432A7F" w:rsidRDefault="007F7686" w:rsidP="003C557D">
            <w:pPr>
              <w:pStyle w:val="ExhibitText"/>
              <w:jc w:val="right"/>
              <w:rPr>
                <w:rFonts w:eastAsia="Calibri"/>
                <w:lang w:val="en-GB"/>
              </w:rPr>
            </w:pPr>
            <w:r w:rsidRPr="00432A7F">
              <w:rPr>
                <w:rFonts w:eastAsia="Calibri"/>
                <w:lang w:val="en-GB"/>
              </w:rPr>
              <w:t>15,815.</w:t>
            </w:r>
            <w:r w:rsidR="003E2F7C" w:rsidRPr="00432A7F">
              <w:rPr>
                <w:rFonts w:eastAsia="Calibri"/>
                <w:lang w:val="en-GB"/>
              </w:rPr>
              <w:t>00</w:t>
            </w:r>
          </w:p>
        </w:tc>
        <w:tc>
          <w:tcPr>
            <w:tcW w:w="1080" w:type="dxa"/>
            <w:vAlign w:val="center"/>
          </w:tcPr>
          <w:p w14:paraId="2175E193" w14:textId="77777777" w:rsidR="003E2F7C" w:rsidRPr="00432A7F" w:rsidRDefault="007F7686" w:rsidP="003C557D">
            <w:pPr>
              <w:pStyle w:val="ExhibitText"/>
              <w:jc w:val="right"/>
              <w:rPr>
                <w:rFonts w:eastAsia="Calibri"/>
                <w:lang w:val="en-GB"/>
              </w:rPr>
            </w:pPr>
            <w:r w:rsidRPr="00432A7F">
              <w:rPr>
                <w:rFonts w:eastAsia="Calibri"/>
                <w:lang w:val="en-GB"/>
              </w:rPr>
              <w:t>17,382.</w:t>
            </w:r>
            <w:r w:rsidR="003E2F7C" w:rsidRPr="00432A7F">
              <w:rPr>
                <w:rFonts w:eastAsia="Calibri"/>
                <w:lang w:val="en-GB"/>
              </w:rPr>
              <w:t>00</w:t>
            </w:r>
          </w:p>
        </w:tc>
        <w:tc>
          <w:tcPr>
            <w:tcW w:w="1080" w:type="dxa"/>
            <w:vAlign w:val="center"/>
          </w:tcPr>
          <w:p w14:paraId="425B93AD" w14:textId="77777777" w:rsidR="003E2F7C" w:rsidRPr="00432A7F" w:rsidRDefault="007F7686" w:rsidP="003C557D">
            <w:pPr>
              <w:pStyle w:val="ExhibitText"/>
              <w:jc w:val="right"/>
              <w:rPr>
                <w:rFonts w:eastAsia="Calibri"/>
                <w:lang w:val="en-GB"/>
              </w:rPr>
            </w:pPr>
            <w:r w:rsidRPr="00432A7F">
              <w:rPr>
                <w:rFonts w:eastAsia="Calibri"/>
                <w:lang w:val="en-GB"/>
              </w:rPr>
              <w:t>19,642.</w:t>
            </w:r>
            <w:r w:rsidR="003E2F7C" w:rsidRPr="00432A7F">
              <w:rPr>
                <w:rFonts w:eastAsia="Calibri"/>
                <w:lang w:val="en-GB"/>
              </w:rPr>
              <w:t>00</w:t>
            </w:r>
          </w:p>
        </w:tc>
        <w:tc>
          <w:tcPr>
            <w:tcW w:w="1080" w:type="dxa"/>
            <w:vAlign w:val="center"/>
          </w:tcPr>
          <w:p w14:paraId="4E3D346E" w14:textId="77777777" w:rsidR="003E2F7C" w:rsidRPr="00432A7F" w:rsidRDefault="007F7686" w:rsidP="003C557D">
            <w:pPr>
              <w:pStyle w:val="ExhibitText"/>
              <w:jc w:val="right"/>
              <w:rPr>
                <w:rFonts w:eastAsia="Calibri"/>
                <w:lang w:val="en-GB"/>
              </w:rPr>
            </w:pPr>
            <w:r w:rsidRPr="00432A7F">
              <w:rPr>
                <w:rFonts w:eastAsia="Calibri"/>
                <w:lang w:val="en-GB"/>
              </w:rPr>
              <w:t>20,019.</w:t>
            </w:r>
            <w:r w:rsidR="003E2F7C" w:rsidRPr="00432A7F">
              <w:rPr>
                <w:rFonts w:eastAsia="Calibri"/>
                <w:lang w:val="en-GB"/>
              </w:rPr>
              <w:t>00</w:t>
            </w:r>
          </w:p>
        </w:tc>
        <w:tc>
          <w:tcPr>
            <w:tcW w:w="1080" w:type="dxa"/>
            <w:vAlign w:val="center"/>
          </w:tcPr>
          <w:p w14:paraId="1D113EF9" w14:textId="77777777" w:rsidR="003E2F7C" w:rsidRPr="00432A7F" w:rsidRDefault="007F7686" w:rsidP="003C557D">
            <w:pPr>
              <w:pStyle w:val="ExhibitText"/>
              <w:jc w:val="right"/>
              <w:rPr>
                <w:rFonts w:eastAsia="Calibri"/>
                <w:lang w:val="en-GB"/>
              </w:rPr>
            </w:pPr>
            <w:r w:rsidRPr="00432A7F">
              <w:rPr>
                <w:rFonts w:eastAsia="Calibri"/>
                <w:lang w:val="en-GB"/>
              </w:rPr>
              <w:t>20,556.</w:t>
            </w:r>
            <w:r w:rsidR="003E2F7C" w:rsidRPr="00432A7F">
              <w:rPr>
                <w:rFonts w:eastAsia="Calibri"/>
                <w:lang w:val="en-GB"/>
              </w:rPr>
              <w:t>00</w:t>
            </w:r>
          </w:p>
        </w:tc>
      </w:tr>
      <w:tr w:rsidR="003C557D" w:rsidRPr="000078F6" w14:paraId="5E09DB4C" w14:textId="77777777" w:rsidTr="003C557D">
        <w:trPr>
          <w:trHeight w:val="285"/>
          <w:jc w:val="center"/>
        </w:trPr>
        <w:tc>
          <w:tcPr>
            <w:tcW w:w="3453" w:type="dxa"/>
          </w:tcPr>
          <w:p w14:paraId="39F4D24A" w14:textId="77777777" w:rsidR="003E2F7C" w:rsidRPr="00432A7F" w:rsidRDefault="003E2F7C" w:rsidP="007F7686">
            <w:pPr>
              <w:pStyle w:val="ExhibitText"/>
              <w:rPr>
                <w:rFonts w:eastAsia="Calibri"/>
                <w:lang w:val="en-GB"/>
              </w:rPr>
            </w:pPr>
            <w:r w:rsidRPr="00432A7F">
              <w:rPr>
                <w:rFonts w:eastAsia="Calibri"/>
                <w:lang w:val="en-GB"/>
              </w:rPr>
              <w:t>Total Equity</w:t>
            </w:r>
          </w:p>
        </w:tc>
        <w:tc>
          <w:tcPr>
            <w:tcW w:w="990" w:type="dxa"/>
            <w:vAlign w:val="center"/>
          </w:tcPr>
          <w:p w14:paraId="00342299" w14:textId="77777777" w:rsidR="003E2F7C" w:rsidRPr="00432A7F" w:rsidRDefault="007F7686" w:rsidP="003C557D">
            <w:pPr>
              <w:pStyle w:val="ExhibitText"/>
              <w:jc w:val="right"/>
              <w:rPr>
                <w:rFonts w:eastAsia="Calibri"/>
                <w:lang w:val="en-GB"/>
              </w:rPr>
            </w:pPr>
            <w:r w:rsidRPr="00432A7F">
              <w:rPr>
                <w:rFonts w:eastAsia="Calibri"/>
                <w:lang w:val="en-GB"/>
              </w:rPr>
              <w:t>15,392.</w:t>
            </w:r>
            <w:r w:rsidR="003E2F7C" w:rsidRPr="00432A7F">
              <w:rPr>
                <w:rFonts w:eastAsia="Calibri"/>
                <w:lang w:val="en-GB"/>
              </w:rPr>
              <w:t>00</w:t>
            </w:r>
          </w:p>
        </w:tc>
        <w:tc>
          <w:tcPr>
            <w:tcW w:w="1080" w:type="dxa"/>
            <w:vAlign w:val="center"/>
          </w:tcPr>
          <w:p w14:paraId="6B200685" w14:textId="77777777" w:rsidR="003E2F7C" w:rsidRPr="00432A7F" w:rsidRDefault="007F7686" w:rsidP="003C557D">
            <w:pPr>
              <w:pStyle w:val="ExhibitText"/>
              <w:jc w:val="right"/>
              <w:rPr>
                <w:rFonts w:eastAsia="Calibri"/>
                <w:lang w:val="en-GB"/>
              </w:rPr>
            </w:pPr>
            <w:r w:rsidRPr="00432A7F">
              <w:rPr>
                <w:rFonts w:eastAsia="Calibri"/>
                <w:lang w:val="en-GB"/>
              </w:rPr>
              <w:t>14,344.</w:t>
            </w:r>
            <w:r w:rsidR="003E2F7C" w:rsidRPr="00432A7F">
              <w:rPr>
                <w:rFonts w:eastAsia="Calibri"/>
                <w:lang w:val="en-GB"/>
              </w:rPr>
              <w:t>00</w:t>
            </w:r>
          </w:p>
        </w:tc>
        <w:tc>
          <w:tcPr>
            <w:tcW w:w="1080" w:type="dxa"/>
            <w:vAlign w:val="center"/>
          </w:tcPr>
          <w:p w14:paraId="46A70C56" w14:textId="77777777" w:rsidR="003E2F7C" w:rsidRPr="00432A7F" w:rsidRDefault="007F7686" w:rsidP="003C557D">
            <w:pPr>
              <w:pStyle w:val="ExhibitText"/>
              <w:jc w:val="right"/>
              <w:rPr>
                <w:rFonts w:eastAsia="Calibri"/>
                <w:lang w:val="en-GB"/>
              </w:rPr>
            </w:pPr>
            <w:r w:rsidRPr="00432A7F">
              <w:rPr>
                <w:rFonts w:eastAsia="Calibri"/>
                <w:lang w:val="en-GB"/>
              </w:rPr>
              <w:t>13,651.</w:t>
            </w:r>
            <w:r w:rsidR="003E2F7C" w:rsidRPr="00432A7F">
              <w:rPr>
                <w:rFonts w:eastAsia="Calibri"/>
                <w:lang w:val="en-GB"/>
              </w:rPr>
              <w:t>00</w:t>
            </w:r>
          </w:p>
        </w:tc>
        <w:tc>
          <w:tcPr>
            <w:tcW w:w="1080" w:type="dxa"/>
            <w:vAlign w:val="center"/>
          </w:tcPr>
          <w:p w14:paraId="11911663" w14:textId="77777777" w:rsidR="003E2F7C" w:rsidRPr="00432A7F" w:rsidRDefault="007F7686" w:rsidP="003C557D">
            <w:pPr>
              <w:pStyle w:val="ExhibitText"/>
              <w:jc w:val="right"/>
              <w:rPr>
                <w:rFonts w:eastAsia="Calibri"/>
                <w:lang w:val="en-GB"/>
              </w:rPr>
            </w:pPr>
            <w:r w:rsidRPr="00432A7F">
              <w:rPr>
                <w:rFonts w:eastAsia="Calibri"/>
                <w:lang w:val="en-GB"/>
              </w:rPr>
              <w:t>15,439.</w:t>
            </w:r>
            <w:r w:rsidR="003E2F7C" w:rsidRPr="00432A7F">
              <w:rPr>
                <w:rFonts w:eastAsia="Calibri"/>
                <w:lang w:val="en-GB"/>
              </w:rPr>
              <w:t>00</w:t>
            </w:r>
          </w:p>
        </w:tc>
        <w:tc>
          <w:tcPr>
            <w:tcW w:w="1080" w:type="dxa"/>
            <w:vAlign w:val="center"/>
          </w:tcPr>
          <w:p w14:paraId="061490F6" w14:textId="77777777" w:rsidR="003E2F7C" w:rsidRPr="00432A7F" w:rsidRDefault="007F7686" w:rsidP="003C557D">
            <w:pPr>
              <w:pStyle w:val="ExhibitText"/>
              <w:jc w:val="right"/>
              <w:rPr>
                <w:rFonts w:eastAsia="Calibri"/>
                <w:lang w:val="en-GB"/>
              </w:rPr>
            </w:pPr>
            <w:r w:rsidRPr="00432A7F">
              <w:rPr>
                <w:rFonts w:eastAsia="Calibri"/>
                <w:lang w:val="en-GB"/>
              </w:rPr>
              <w:t>16,354.</w:t>
            </w:r>
            <w:r w:rsidR="003E2F7C" w:rsidRPr="00432A7F">
              <w:rPr>
                <w:rFonts w:eastAsia="Calibri"/>
                <w:lang w:val="en-GB"/>
              </w:rPr>
              <w:t>00</w:t>
            </w:r>
          </w:p>
        </w:tc>
      </w:tr>
      <w:tr w:rsidR="003C557D" w:rsidRPr="000078F6" w14:paraId="6E9A4AE3" w14:textId="77777777" w:rsidTr="003C557D">
        <w:trPr>
          <w:trHeight w:val="285"/>
          <w:jc w:val="center"/>
        </w:trPr>
        <w:tc>
          <w:tcPr>
            <w:tcW w:w="3453" w:type="dxa"/>
          </w:tcPr>
          <w:p w14:paraId="3B2ED9B6" w14:textId="77777777" w:rsidR="003E2F7C" w:rsidRPr="00432A7F" w:rsidRDefault="003E2F7C" w:rsidP="007F7686">
            <w:pPr>
              <w:pStyle w:val="ExhibitText"/>
              <w:rPr>
                <w:rFonts w:eastAsia="Calibri"/>
                <w:lang w:val="en-GB"/>
              </w:rPr>
            </w:pPr>
            <w:r w:rsidRPr="00432A7F">
              <w:rPr>
                <w:rFonts w:eastAsia="Calibri"/>
                <w:lang w:val="en-GB"/>
              </w:rPr>
              <w:t>Total Common Shares Outstanding</w:t>
            </w:r>
          </w:p>
        </w:tc>
        <w:tc>
          <w:tcPr>
            <w:tcW w:w="990" w:type="dxa"/>
            <w:vAlign w:val="center"/>
          </w:tcPr>
          <w:p w14:paraId="0F62F290" w14:textId="77777777" w:rsidR="003E2F7C" w:rsidRPr="00432A7F" w:rsidRDefault="007F7686" w:rsidP="003C557D">
            <w:pPr>
              <w:pStyle w:val="ExhibitText"/>
              <w:jc w:val="right"/>
              <w:rPr>
                <w:rFonts w:eastAsia="Calibri"/>
                <w:lang w:val="en-GB"/>
              </w:rPr>
            </w:pPr>
            <w:r w:rsidRPr="00432A7F">
              <w:rPr>
                <w:rFonts w:eastAsia="Calibri"/>
                <w:lang w:val="en-GB"/>
              </w:rPr>
              <w:t>2,831.</w:t>
            </w:r>
            <w:r w:rsidR="003E2F7C" w:rsidRPr="00432A7F">
              <w:rPr>
                <w:rFonts w:eastAsia="Calibri"/>
                <w:lang w:val="en-GB"/>
              </w:rPr>
              <w:t>79</w:t>
            </w:r>
          </w:p>
        </w:tc>
        <w:tc>
          <w:tcPr>
            <w:tcW w:w="1080" w:type="dxa"/>
            <w:vAlign w:val="center"/>
          </w:tcPr>
          <w:p w14:paraId="620030D0" w14:textId="77777777" w:rsidR="003E2F7C" w:rsidRPr="00432A7F" w:rsidRDefault="007F7686" w:rsidP="003C557D">
            <w:pPr>
              <w:pStyle w:val="ExhibitText"/>
              <w:jc w:val="right"/>
              <w:rPr>
                <w:rFonts w:eastAsia="Calibri"/>
                <w:lang w:val="en-GB"/>
              </w:rPr>
            </w:pPr>
            <w:r w:rsidRPr="00432A7F">
              <w:rPr>
                <w:rFonts w:eastAsia="Calibri"/>
                <w:lang w:val="en-GB"/>
              </w:rPr>
              <w:t>2,840.</w:t>
            </w:r>
            <w:r w:rsidR="003E2F7C" w:rsidRPr="00432A7F">
              <w:rPr>
                <w:rFonts w:eastAsia="Calibri"/>
                <w:lang w:val="en-GB"/>
              </w:rPr>
              <w:t>01</w:t>
            </w:r>
          </w:p>
        </w:tc>
        <w:tc>
          <w:tcPr>
            <w:tcW w:w="1080" w:type="dxa"/>
            <w:vAlign w:val="center"/>
          </w:tcPr>
          <w:p w14:paraId="3C5D85BD" w14:textId="77777777" w:rsidR="003E2F7C" w:rsidRPr="00432A7F" w:rsidRDefault="007F7686" w:rsidP="003C557D">
            <w:pPr>
              <w:pStyle w:val="ExhibitText"/>
              <w:jc w:val="right"/>
              <w:rPr>
                <w:rFonts w:eastAsia="Calibri"/>
                <w:lang w:val="en-GB"/>
              </w:rPr>
            </w:pPr>
            <w:r w:rsidRPr="00432A7F">
              <w:rPr>
                <w:rFonts w:eastAsia="Calibri"/>
                <w:lang w:val="en-GB"/>
              </w:rPr>
              <w:t>2,836.</w:t>
            </w:r>
            <w:r w:rsidR="003E2F7C" w:rsidRPr="00432A7F">
              <w:rPr>
                <w:rFonts w:eastAsia="Calibri"/>
                <w:lang w:val="en-GB"/>
              </w:rPr>
              <w:t>75</w:t>
            </w:r>
          </w:p>
        </w:tc>
        <w:tc>
          <w:tcPr>
            <w:tcW w:w="1080" w:type="dxa"/>
            <w:vAlign w:val="center"/>
          </w:tcPr>
          <w:p w14:paraId="6AE065E5" w14:textId="77777777" w:rsidR="003E2F7C" w:rsidRPr="00432A7F" w:rsidRDefault="007F7686" w:rsidP="003C557D">
            <w:pPr>
              <w:pStyle w:val="ExhibitText"/>
              <w:jc w:val="right"/>
              <w:rPr>
                <w:rFonts w:eastAsia="Calibri"/>
                <w:lang w:val="en-GB"/>
              </w:rPr>
            </w:pPr>
            <w:r w:rsidRPr="00432A7F">
              <w:rPr>
                <w:rFonts w:eastAsia="Calibri"/>
                <w:lang w:val="en-GB"/>
              </w:rPr>
              <w:t>2,838.</w:t>
            </w:r>
            <w:r w:rsidR="003E2F7C" w:rsidRPr="00432A7F">
              <w:rPr>
                <w:rFonts w:eastAsia="Calibri"/>
                <w:lang w:val="en-GB"/>
              </w:rPr>
              <w:t>85</w:t>
            </w:r>
          </w:p>
        </w:tc>
        <w:tc>
          <w:tcPr>
            <w:tcW w:w="1080" w:type="dxa"/>
            <w:vAlign w:val="center"/>
          </w:tcPr>
          <w:p w14:paraId="3DB1F1E9" w14:textId="77777777" w:rsidR="003E2F7C" w:rsidRPr="00432A7F" w:rsidRDefault="007F7686" w:rsidP="003C557D">
            <w:pPr>
              <w:pStyle w:val="ExhibitText"/>
              <w:jc w:val="right"/>
              <w:rPr>
                <w:rFonts w:eastAsia="Calibri"/>
                <w:lang w:val="en-GB"/>
              </w:rPr>
            </w:pPr>
            <w:r w:rsidRPr="00432A7F">
              <w:rPr>
                <w:rFonts w:eastAsia="Calibri"/>
                <w:lang w:val="en-GB"/>
              </w:rPr>
              <w:t>2,839.</w:t>
            </w:r>
            <w:r w:rsidR="003E2F7C" w:rsidRPr="00432A7F">
              <w:rPr>
                <w:rFonts w:eastAsia="Calibri"/>
                <w:lang w:val="en-GB"/>
              </w:rPr>
              <w:t>69</w:t>
            </w:r>
          </w:p>
        </w:tc>
      </w:tr>
      <w:tr w:rsidR="003C557D" w:rsidRPr="000078F6" w14:paraId="6A76AD01" w14:textId="77777777" w:rsidTr="00AD6A80">
        <w:trPr>
          <w:trHeight w:val="143"/>
          <w:jc w:val="center"/>
        </w:trPr>
        <w:tc>
          <w:tcPr>
            <w:tcW w:w="8763" w:type="dxa"/>
            <w:gridSpan w:val="6"/>
            <w:vAlign w:val="center"/>
          </w:tcPr>
          <w:p w14:paraId="3037DF1A" w14:textId="77777777" w:rsidR="003C557D" w:rsidRPr="00432A7F" w:rsidRDefault="003C557D" w:rsidP="003C557D">
            <w:pPr>
              <w:pStyle w:val="ExhibitText"/>
              <w:jc w:val="left"/>
              <w:rPr>
                <w:rFonts w:eastAsia="Calibri"/>
                <w:b/>
                <w:lang w:val="en-GB"/>
              </w:rPr>
            </w:pPr>
            <w:r w:rsidRPr="00432A7F">
              <w:rPr>
                <w:rFonts w:eastAsia="Calibri"/>
                <w:b/>
                <w:lang w:val="en-GB"/>
              </w:rPr>
              <w:t>Cash Flow</w:t>
            </w:r>
          </w:p>
        </w:tc>
      </w:tr>
      <w:tr w:rsidR="003C557D" w:rsidRPr="000078F6" w14:paraId="4BBECE3B" w14:textId="77777777" w:rsidTr="003C557D">
        <w:trPr>
          <w:trHeight w:val="285"/>
          <w:jc w:val="center"/>
        </w:trPr>
        <w:tc>
          <w:tcPr>
            <w:tcW w:w="3453" w:type="dxa"/>
          </w:tcPr>
          <w:p w14:paraId="65D7E0EB" w14:textId="77777777" w:rsidR="003E2F7C" w:rsidRPr="00432A7F" w:rsidRDefault="003E2F7C">
            <w:pPr>
              <w:pStyle w:val="ExhibitText"/>
              <w:rPr>
                <w:rFonts w:eastAsia="Calibri"/>
                <w:lang w:val="en-GB"/>
              </w:rPr>
            </w:pPr>
            <w:r w:rsidRPr="00432A7F">
              <w:rPr>
                <w:rFonts w:eastAsia="Calibri"/>
                <w:lang w:val="en-GB"/>
              </w:rPr>
              <w:t xml:space="preserve">Cash from </w:t>
            </w:r>
            <w:r w:rsidR="00306934" w:rsidRPr="00432A7F">
              <w:rPr>
                <w:rFonts w:eastAsia="Calibri"/>
                <w:lang w:val="en-GB"/>
              </w:rPr>
              <w:t>Operating Activities</w:t>
            </w:r>
          </w:p>
        </w:tc>
        <w:tc>
          <w:tcPr>
            <w:tcW w:w="990" w:type="dxa"/>
            <w:vAlign w:val="center"/>
          </w:tcPr>
          <w:p w14:paraId="25DC843E" w14:textId="77777777" w:rsidR="003E2F7C" w:rsidRPr="00432A7F" w:rsidRDefault="007F7686" w:rsidP="003C557D">
            <w:pPr>
              <w:pStyle w:val="ExhibitText"/>
              <w:jc w:val="right"/>
              <w:rPr>
                <w:rFonts w:eastAsia="Calibri"/>
                <w:lang w:val="en-GB"/>
              </w:rPr>
            </w:pPr>
            <w:r w:rsidRPr="00432A7F">
              <w:rPr>
                <w:rFonts w:eastAsia="Calibri"/>
                <w:lang w:val="en-GB"/>
              </w:rPr>
              <w:t>6,836.</w:t>
            </w:r>
            <w:r w:rsidR="003E2F7C" w:rsidRPr="00432A7F">
              <w:rPr>
                <w:rFonts w:eastAsia="Calibri"/>
                <w:lang w:val="en-GB"/>
              </w:rPr>
              <w:t>00</w:t>
            </w:r>
          </w:p>
        </w:tc>
        <w:tc>
          <w:tcPr>
            <w:tcW w:w="1080" w:type="dxa"/>
            <w:vAlign w:val="center"/>
          </w:tcPr>
          <w:p w14:paraId="17CA1571" w14:textId="77777777" w:rsidR="003E2F7C" w:rsidRPr="00432A7F" w:rsidRDefault="007F7686" w:rsidP="003C557D">
            <w:pPr>
              <w:pStyle w:val="ExhibitText"/>
              <w:jc w:val="right"/>
              <w:rPr>
                <w:rFonts w:eastAsia="Calibri"/>
                <w:lang w:val="en-GB"/>
              </w:rPr>
            </w:pPr>
            <w:r w:rsidRPr="00432A7F">
              <w:rPr>
                <w:rFonts w:eastAsia="Calibri"/>
                <w:lang w:val="en-GB"/>
              </w:rPr>
              <w:t>6,294.</w:t>
            </w:r>
            <w:r w:rsidR="003E2F7C" w:rsidRPr="00432A7F">
              <w:rPr>
                <w:rFonts w:eastAsia="Calibri"/>
                <w:lang w:val="en-GB"/>
              </w:rPr>
              <w:t>00</w:t>
            </w:r>
          </w:p>
        </w:tc>
        <w:tc>
          <w:tcPr>
            <w:tcW w:w="1080" w:type="dxa"/>
            <w:vAlign w:val="center"/>
          </w:tcPr>
          <w:p w14:paraId="3EA55E80" w14:textId="77777777" w:rsidR="003E2F7C" w:rsidRPr="00432A7F" w:rsidRDefault="007F7686" w:rsidP="003C557D">
            <w:pPr>
              <w:pStyle w:val="ExhibitText"/>
              <w:jc w:val="right"/>
              <w:rPr>
                <w:rFonts w:eastAsia="Calibri"/>
                <w:lang w:val="en-GB"/>
              </w:rPr>
            </w:pPr>
            <w:r w:rsidRPr="00432A7F">
              <w:rPr>
                <w:rFonts w:eastAsia="Calibri"/>
                <w:lang w:val="en-GB"/>
              </w:rPr>
              <w:t>5,543.</w:t>
            </w:r>
            <w:r w:rsidR="003E2F7C" w:rsidRPr="00432A7F">
              <w:rPr>
                <w:rFonts w:eastAsia="Calibri"/>
                <w:lang w:val="en-GB"/>
              </w:rPr>
              <w:t>00</w:t>
            </w:r>
          </w:p>
        </w:tc>
        <w:tc>
          <w:tcPr>
            <w:tcW w:w="1080" w:type="dxa"/>
            <w:vAlign w:val="center"/>
          </w:tcPr>
          <w:p w14:paraId="69273528" w14:textId="77777777" w:rsidR="003E2F7C" w:rsidRPr="00432A7F" w:rsidRDefault="003C557D" w:rsidP="003C557D">
            <w:pPr>
              <w:pStyle w:val="ExhibitText"/>
              <w:jc w:val="right"/>
              <w:rPr>
                <w:rFonts w:eastAsia="Calibri"/>
                <w:lang w:val="en-GB"/>
              </w:rPr>
            </w:pPr>
            <w:r w:rsidRPr="00432A7F">
              <w:rPr>
                <w:rFonts w:eastAsia="Calibri"/>
                <w:lang w:val="en-GB"/>
              </w:rPr>
              <w:t>7,330.</w:t>
            </w:r>
            <w:r w:rsidR="003E2F7C" w:rsidRPr="00432A7F">
              <w:rPr>
                <w:rFonts w:eastAsia="Calibri"/>
                <w:lang w:val="en-GB"/>
              </w:rPr>
              <w:t>00</w:t>
            </w:r>
          </w:p>
        </w:tc>
        <w:tc>
          <w:tcPr>
            <w:tcW w:w="1080" w:type="dxa"/>
            <w:vAlign w:val="center"/>
          </w:tcPr>
          <w:p w14:paraId="202F2583" w14:textId="77777777" w:rsidR="003E2F7C" w:rsidRPr="00432A7F" w:rsidRDefault="003C557D" w:rsidP="003C557D">
            <w:pPr>
              <w:pStyle w:val="ExhibitText"/>
              <w:jc w:val="right"/>
              <w:rPr>
                <w:rFonts w:eastAsia="Calibri"/>
                <w:lang w:val="en-GB"/>
              </w:rPr>
            </w:pPr>
            <w:r w:rsidRPr="00432A7F">
              <w:rPr>
                <w:rFonts w:eastAsia="Calibri"/>
                <w:lang w:val="en-GB"/>
              </w:rPr>
              <w:t>7,047.</w:t>
            </w:r>
            <w:r w:rsidR="003E2F7C" w:rsidRPr="00432A7F">
              <w:rPr>
                <w:rFonts w:eastAsia="Calibri"/>
                <w:lang w:val="en-GB"/>
              </w:rPr>
              <w:t>00</w:t>
            </w:r>
          </w:p>
        </w:tc>
      </w:tr>
      <w:tr w:rsidR="003C557D" w:rsidRPr="000078F6" w14:paraId="3426DB07" w14:textId="77777777" w:rsidTr="003C557D">
        <w:trPr>
          <w:trHeight w:val="285"/>
          <w:jc w:val="center"/>
        </w:trPr>
        <w:tc>
          <w:tcPr>
            <w:tcW w:w="3453" w:type="dxa"/>
          </w:tcPr>
          <w:p w14:paraId="71FA9DC0" w14:textId="77777777" w:rsidR="003E2F7C" w:rsidRPr="00432A7F" w:rsidRDefault="003E2F7C">
            <w:pPr>
              <w:pStyle w:val="ExhibitText"/>
              <w:rPr>
                <w:rFonts w:eastAsia="Calibri"/>
                <w:lang w:val="en-GB"/>
              </w:rPr>
            </w:pPr>
            <w:r w:rsidRPr="00432A7F">
              <w:rPr>
                <w:rFonts w:eastAsia="Calibri"/>
                <w:lang w:val="en-GB"/>
              </w:rPr>
              <w:t xml:space="preserve">Cash from </w:t>
            </w:r>
            <w:r w:rsidR="00306934" w:rsidRPr="00432A7F">
              <w:rPr>
                <w:rFonts w:eastAsia="Calibri"/>
                <w:lang w:val="en-GB"/>
              </w:rPr>
              <w:t>Investing Activities</w:t>
            </w:r>
          </w:p>
        </w:tc>
        <w:tc>
          <w:tcPr>
            <w:tcW w:w="990" w:type="dxa"/>
            <w:vAlign w:val="center"/>
          </w:tcPr>
          <w:p w14:paraId="3682B34E"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755.</w:t>
            </w:r>
            <w:r w:rsidR="003E2F7C" w:rsidRPr="00432A7F">
              <w:rPr>
                <w:rFonts w:eastAsia="Calibri"/>
                <w:lang w:val="en-GB"/>
              </w:rPr>
              <w:t>00</w:t>
            </w:r>
          </w:p>
        </w:tc>
        <w:tc>
          <w:tcPr>
            <w:tcW w:w="1080" w:type="dxa"/>
            <w:vAlign w:val="center"/>
          </w:tcPr>
          <w:p w14:paraId="4F25882F"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1,161.</w:t>
            </w:r>
            <w:r w:rsidR="003E2F7C" w:rsidRPr="00432A7F">
              <w:rPr>
                <w:rFonts w:eastAsia="Calibri"/>
                <w:lang w:val="en-GB"/>
              </w:rPr>
              <w:t>00</w:t>
            </w:r>
          </w:p>
        </w:tc>
        <w:tc>
          <w:tcPr>
            <w:tcW w:w="1080" w:type="dxa"/>
            <w:vAlign w:val="center"/>
          </w:tcPr>
          <w:p w14:paraId="6DE64C89"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341.</w:t>
            </w:r>
            <w:r w:rsidR="003E2F7C" w:rsidRPr="00432A7F">
              <w:rPr>
                <w:rFonts w:eastAsia="Calibri"/>
                <w:lang w:val="en-GB"/>
              </w:rPr>
              <w:t>00</w:t>
            </w:r>
          </w:p>
        </w:tc>
        <w:tc>
          <w:tcPr>
            <w:tcW w:w="1080" w:type="dxa"/>
            <w:vAlign w:val="center"/>
          </w:tcPr>
          <w:p w14:paraId="37131F54" w14:textId="77777777" w:rsidR="003E2F7C" w:rsidRPr="00432A7F" w:rsidRDefault="00306934" w:rsidP="003C557D">
            <w:pPr>
              <w:pStyle w:val="ExhibitText"/>
              <w:jc w:val="right"/>
              <w:rPr>
                <w:rFonts w:eastAsia="Calibri"/>
                <w:lang w:val="en-GB"/>
              </w:rPr>
            </w:pPr>
            <w:r w:rsidRPr="00432A7F">
              <w:rPr>
                <w:rFonts w:eastAsia="Calibri"/>
                <w:lang w:val="en-GB"/>
              </w:rPr>
              <w:t>−</w:t>
            </w:r>
            <w:r w:rsidR="003C557D" w:rsidRPr="00432A7F">
              <w:rPr>
                <w:rFonts w:eastAsia="Calibri"/>
                <w:lang w:val="en-GB"/>
              </w:rPr>
              <w:t>3,539.</w:t>
            </w:r>
            <w:r w:rsidR="003E2F7C" w:rsidRPr="00432A7F">
              <w:rPr>
                <w:rFonts w:eastAsia="Calibri"/>
                <w:lang w:val="en-GB"/>
              </w:rPr>
              <w:t>00</w:t>
            </w:r>
          </w:p>
        </w:tc>
        <w:tc>
          <w:tcPr>
            <w:tcW w:w="1080" w:type="dxa"/>
            <w:vAlign w:val="center"/>
          </w:tcPr>
          <w:p w14:paraId="73A5A138" w14:textId="77777777" w:rsidR="003E2F7C" w:rsidRPr="00432A7F" w:rsidRDefault="00306934" w:rsidP="003C557D">
            <w:pPr>
              <w:pStyle w:val="ExhibitText"/>
              <w:jc w:val="right"/>
              <w:rPr>
                <w:rFonts w:eastAsia="Calibri"/>
                <w:lang w:val="en-GB"/>
              </w:rPr>
            </w:pPr>
            <w:r w:rsidRPr="00432A7F">
              <w:rPr>
                <w:rFonts w:eastAsia="Calibri"/>
                <w:lang w:val="en-GB"/>
              </w:rPr>
              <w:t>−</w:t>
            </w:r>
            <w:r w:rsidR="003C557D" w:rsidRPr="00432A7F">
              <w:rPr>
                <w:rFonts w:eastAsia="Calibri"/>
                <w:lang w:val="en-GB"/>
              </w:rPr>
              <w:t>3,188.</w:t>
            </w:r>
            <w:r w:rsidR="003E2F7C" w:rsidRPr="00432A7F">
              <w:rPr>
                <w:rFonts w:eastAsia="Calibri"/>
                <w:lang w:val="en-GB"/>
              </w:rPr>
              <w:t>00</w:t>
            </w:r>
          </w:p>
        </w:tc>
      </w:tr>
      <w:tr w:rsidR="003C557D" w:rsidRPr="000078F6" w14:paraId="50671DBB" w14:textId="77777777" w:rsidTr="003C557D">
        <w:trPr>
          <w:trHeight w:val="285"/>
          <w:jc w:val="center"/>
        </w:trPr>
        <w:tc>
          <w:tcPr>
            <w:tcW w:w="3453" w:type="dxa"/>
          </w:tcPr>
          <w:p w14:paraId="51AD74C8" w14:textId="77777777" w:rsidR="003E2F7C" w:rsidRPr="00432A7F" w:rsidRDefault="003E2F7C">
            <w:pPr>
              <w:pStyle w:val="ExhibitText"/>
              <w:rPr>
                <w:rFonts w:eastAsia="Calibri"/>
                <w:lang w:val="en-GB"/>
              </w:rPr>
            </w:pPr>
            <w:r w:rsidRPr="00432A7F">
              <w:rPr>
                <w:rFonts w:eastAsia="Calibri"/>
                <w:lang w:val="en-GB"/>
              </w:rPr>
              <w:t xml:space="preserve">Cash from </w:t>
            </w:r>
            <w:r w:rsidR="00306934" w:rsidRPr="00432A7F">
              <w:rPr>
                <w:rFonts w:eastAsia="Calibri"/>
                <w:lang w:val="en-GB"/>
              </w:rPr>
              <w:t>Financing Activities</w:t>
            </w:r>
          </w:p>
        </w:tc>
        <w:tc>
          <w:tcPr>
            <w:tcW w:w="990" w:type="dxa"/>
            <w:vAlign w:val="center"/>
          </w:tcPr>
          <w:p w14:paraId="06660350"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6,622.</w:t>
            </w:r>
            <w:r w:rsidR="003E2F7C" w:rsidRPr="00432A7F">
              <w:rPr>
                <w:rFonts w:eastAsia="Calibri"/>
                <w:lang w:val="en-GB"/>
              </w:rPr>
              <w:t>00</w:t>
            </w:r>
          </w:p>
        </w:tc>
        <w:tc>
          <w:tcPr>
            <w:tcW w:w="1080" w:type="dxa"/>
            <w:vAlign w:val="center"/>
          </w:tcPr>
          <w:p w14:paraId="1299C1B2"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5,390.</w:t>
            </w:r>
            <w:r w:rsidR="003E2F7C" w:rsidRPr="00432A7F">
              <w:rPr>
                <w:rFonts w:eastAsia="Calibri"/>
                <w:lang w:val="en-GB"/>
              </w:rPr>
              <w:t>00</w:t>
            </w:r>
          </w:p>
        </w:tc>
        <w:tc>
          <w:tcPr>
            <w:tcW w:w="1080" w:type="dxa"/>
            <w:vAlign w:val="center"/>
          </w:tcPr>
          <w:p w14:paraId="2FA894E5"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5,190.</w:t>
            </w:r>
            <w:r w:rsidR="003E2F7C" w:rsidRPr="00432A7F">
              <w:rPr>
                <w:rFonts w:eastAsia="Calibri"/>
                <w:lang w:val="en-GB"/>
              </w:rPr>
              <w:t xml:space="preserve">00 </w:t>
            </w:r>
          </w:p>
        </w:tc>
        <w:tc>
          <w:tcPr>
            <w:tcW w:w="1080" w:type="dxa"/>
            <w:vAlign w:val="center"/>
          </w:tcPr>
          <w:p w14:paraId="7164D6C0"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3,032.</w:t>
            </w:r>
            <w:r w:rsidR="003E2F7C" w:rsidRPr="00432A7F">
              <w:rPr>
                <w:rFonts w:eastAsia="Calibri"/>
                <w:lang w:val="en-GB"/>
              </w:rPr>
              <w:t>00</w:t>
            </w:r>
          </w:p>
        </w:tc>
        <w:tc>
          <w:tcPr>
            <w:tcW w:w="1080" w:type="dxa"/>
            <w:vAlign w:val="center"/>
          </w:tcPr>
          <w:p w14:paraId="448F817B" w14:textId="77777777" w:rsidR="003E2F7C" w:rsidRPr="00432A7F" w:rsidRDefault="00306934" w:rsidP="003C557D">
            <w:pPr>
              <w:pStyle w:val="ExhibitText"/>
              <w:jc w:val="right"/>
              <w:rPr>
                <w:rFonts w:eastAsia="Calibri"/>
                <w:lang w:val="en-GB"/>
              </w:rPr>
            </w:pPr>
            <w:r w:rsidRPr="00432A7F">
              <w:rPr>
                <w:rFonts w:eastAsia="Calibri"/>
                <w:lang w:val="en-GB"/>
              </w:rPr>
              <w:t>−</w:t>
            </w:r>
            <w:r w:rsidR="003C557D" w:rsidRPr="00432A7F">
              <w:rPr>
                <w:rFonts w:eastAsia="Calibri"/>
                <w:lang w:val="en-GB"/>
              </w:rPr>
              <w:t>3,073.</w:t>
            </w:r>
            <w:r w:rsidR="003E2F7C" w:rsidRPr="00432A7F">
              <w:rPr>
                <w:rFonts w:eastAsia="Calibri"/>
                <w:lang w:val="en-GB"/>
              </w:rPr>
              <w:t>00</w:t>
            </w:r>
          </w:p>
        </w:tc>
      </w:tr>
      <w:tr w:rsidR="003C557D" w:rsidRPr="000078F6" w14:paraId="019C5B66" w14:textId="77777777" w:rsidTr="003C557D">
        <w:trPr>
          <w:trHeight w:val="285"/>
          <w:jc w:val="center"/>
        </w:trPr>
        <w:tc>
          <w:tcPr>
            <w:tcW w:w="3453" w:type="dxa"/>
          </w:tcPr>
          <w:p w14:paraId="1EEC64CE" w14:textId="77777777" w:rsidR="003E2F7C" w:rsidRPr="00432A7F" w:rsidRDefault="003E2F7C">
            <w:pPr>
              <w:pStyle w:val="ExhibitText"/>
              <w:rPr>
                <w:rFonts w:eastAsia="Calibri"/>
                <w:lang w:val="en-GB"/>
              </w:rPr>
            </w:pPr>
            <w:r w:rsidRPr="00432A7F">
              <w:rPr>
                <w:rFonts w:eastAsia="Calibri"/>
                <w:lang w:val="en-GB"/>
              </w:rPr>
              <w:t xml:space="preserve">Net </w:t>
            </w:r>
            <w:r w:rsidR="00306934" w:rsidRPr="00432A7F">
              <w:rPr>
                <w:rFonts w:eastAsia="Calibri"/>
                <w:lang w:val="en-GB"/>
              </w:rPr>
              <w:t xml:space="preserve">Change </w:t>
            </w:r>
            <w:r w:rsidRPr="00432A7F">
              <w:rPr>
                <w:rFonts w:eastAsia="Calibri"/>
                <w:lang w:val="en-GB"/>
              </w:rPr>
              <w:t xml:space="preserve">in </w:t>
            </w:r>
            <w:r w:rsidR="00306934" w:rsidRPr="00432A7F">
              <w:rPr>
                <w:rFonts w:eastAsia="Calibri"/>
                <w:lang w:val="en-GB"/>
              </w:rPr>
              <w:t>Cash</w:t>
            </w:r>
          </w:p>
        </w:tc>
        <w:tc>
          <w:tcPr>
            <w:tcW w:w="990" w:type="dxa"/>
            <w:vAlign w:val="center"/>
          </w:tcPr>
          <w:p w14:paraId="6DE3EC74"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761.</w:t>
            </w:r>
            <w:r w:rsidR="003E2F7C" w:rsidRPr="00432A7F">
              <w:rPr>
                <w:rFonts w:eastAsia="Calibri"/>
                <w:lang w:val="en-GB"/>
              </w:rPr>
              <w:t>00</w:t>
            </w:r>
          </w:p>
        </w:tc>
        <w:tc>
          <w:tcPr>
            <w:tcW w:w="1080" w:type="dxa"/>
            <w:vAlign w:val="center"/>
          </w:tcPr>
          <w:p w14:paraId="5BF31221"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173.</w:t>
            </w:r>
            <w:r w:rsidR="003E2F7C" w:rsidRPr="00432A7F">
              <w:rPr>
                <w:rFonts w:eastAsia="Calibri"/>
                <w:lang w:val="en-GB"/>
              </w:rPr>
              <w:t>00</w:t>
            </w:r>
          </w:p>
        </w:tc>
        <w:tc>
          <w:tcPr>
            <w:tcW w:w="1080" w:type="dxa"/>
            <w:vAlign w:val="center"/>
          </w:tcPr>
          <w:p w14:paraId="170B5CB9" w14:textId="77777777" w:rsidR="003E2F7C" w:rsidRPr="00432A7F" w:rsidRDefault="00306934" w:rsidP="003C557D">
            <w:pPr>
              <w:pStyle w:val="ExhibitText"/>
              <w:jc w:val="right"/>
              <w:rPr>
                <w:rFonts w:eastAsia="Calibri"/>
                <w:lang w:val="en-GB"/>
              </w:rPr>
            </w:pPr>
            <w:r w:rsidRPr="00432A7F">
              <w:rPr>
                <w:rFonts w:eastAsia="Calibri"/>
                <w:lang w:val="en-GB"/>
              </w:rPr>
              <w:t>−</w:t>
            </w:r>
            <w:r w:rsidR="007F7686" w:rsidRPr="00432A7F">
              <w:rPr>
                <w:rFonts w:eastAsia="Calibri"/>
                <w:lang w:val="en-GB"/>
              </w:rPr>
              <w:t>134.</w:t>
            </w:r>
            <w:r w:rsidR="003E2F7C" w:rsidRPr="00432A7F">
              <w:rPr>
                <w:rFonts w:eastAsia="Calibri"/>
                <w:lang w:val="en-GB"/>
              </w:rPr>
              <w:t xml:space="preserve">00 </w:t>
            </w:r>
          </w:p>
        </w:tc>
        <w:tc>
          <w:tcPr>
            <w:tcW w:w="1080" w:type="dxa"/>
            <w:vAlign w:val="center"/>
          </w:tcPr>
          <w:p w14:paraId="29F0EBCB" w14:textId="77777777" w:rsidR="003E2F7C" w:rsidRPr="00432A7F" w:rsidRDefault="007F7686" w:rsidP="003C557D">
            <w:pPr>
              <w:pStyle w:val="ExhibitText"/>
              <w:jc w:val="right"/>
              <w:rPr>
                <w:rFonts w:eastAsia="Calibri"/>
                <w:lang w:val="en-GB"/>
              </w:rPr>
            </w:pPr>
            <w:r w:rsidRPr="00432A7F">
              <w:rPr>
                <w:rFonts w:eastAsia="Calibri"/>
                <w:lang w:val="en-GB"/>
              </w:rPr>
              <w:t>218.</w:t>
            </w:r>
            <w:r w:rsidR="003E2F7C" w:rsidRPr="00432A7F">
              <w:rPr>
                <w:rFonts w:eastAsia="Calibri"/>
                <w:lang w:val="en-GB"/>
              </w:rPr>
              <w:t>00</w:t>
            </w:r>
          </w:p>
        </w:tc>
        <w:tc>
          <w:tcPr>
            <w:tcW w:w="1080" w:type="dxa"/>
            <w:vAlign w:val="center"/>
          </w:tcPr>
          <w:p w14:paraId="1A928245" w14:textId="77777777" w:rsidR="003E2F7C" w:rsidRPr="00432A7F" w:rsidRDefault="003C557D" w:rsidP="003C557D">
            <w:pPr>
              <w:pStyle w:val="ExhibitText"/>
              <w:jc w:val="right"/>
              <w:rPr>
                <w:rFonts w:eastAsia="Calibri"/>
                <w:lang w:val="en-GB"/>
              </w:rPr>
            </w:pPr>
            <w:r w:rsidRPr="00432A7F">
              <w:rPr>
                <w:rFonts w:eastAsia="Calibri"/>
                <w:lang w:val="en-GB"/>
              </w:rPr>
              <w:t>1,070.</w:t>
            </w:r>
            <w:r w:rsidR="003E2F7C" w:rsidRPr="00432A7F">
              <w:rPr>
                <w:rFonts w:eastAsia="Calibri"/>
                <w:lang w:val="en-GB"/>
              </w:rPr>
              <w:t>00</w:t>
            </w:r>
          </w:p>
        </w:tc>
      </w:tr>
    </w:tbl>
    <w:p w14:paraId="7A18F953" w14:textId="77777777" w:rsidR="00DE10F9" w:rsidRPr="00AD6A80" w:rsidRDefault="00DE10F9" w:rsidP="004D468C">
      <w:pPr>
        <w:pStyle w:val="Footnote"/>
        <w:rPr>
          <w:rFonts w:eastAsia="Calibri"/>
          <w:sz w:val="14"/>
          <w:szCs w:val="14"/>
          <w:lang w:val="en-GB"/>
        </w:rPr>
      </w:pPr>
    </w:p>
    <w:p w14:paraId="666B12B9" w14:textId="286D09AD" w:rsidR="003E2F7C" w:rsidRPr="00145736" w:rsidRDefault="00DE10F9" w:rsidP="004D468C">
      <w:pPr>
        <w:pStyle w:val="Footnote"/>
        <w:rPr>
          <w:rFonts w:eastAsia="Calibri"/>
          <w:lang w:val="en-GB"/>
        </w:rPr>
      </w:pPr>
      <w:r>
        <w:rPr>
          <w:rFonts w:eastAsia="Calibri"/>
          <w:lang w:val="en-GB"/>
        </w:rPr>
        <w:t xml:space="preserve">Note: </w:t>
      </w:r>
      <w:r>
        <w:t>€ = EUR = euro; €1.00 = US$1.14 on March 31, 2016.</w:t>
      </w:r>
    </w:p>
    <w:p w14:paraId="34BA25AA" w14:textId="77777777" w:rsidR="000E0BDF" w:rsidRPr="000078F6" w:rsidRDefault="003E2F7C" w:rsidP="003C557D">
      <w:pPr>
        <w:pStyle w:val="Footnote"/>
        <w:rPr>
          <w:rFonts w:eastAsia="Calibri"/>
          <w:lang w:val="en-GB"/>
        </w:rPr>
      </w:pPr>
      <w:r w:rsidRPr="000078F6">
        <w:rPr>
          <w:rFonts w:eastAsia="Calibri"/>
          <w:lang w:val="en-GB"/>
        </w:rPr>
        <w:t>Source: Created by authors based on company documents.</w:t>
      </w:r>
    </w:p>
    <w:p w14:paraId="6443C39F" w14:textId="77777777" w:rsidR="00465348" w:rsidRPr="00BE2EA2" w:rsidRDefault="000E0BDF" w:rsidP="00432A7F">
      <w:pPr>
        <w:pStyle w:val="Casehead1"/>
        <w:rPr>
          <w:rFonts w:eastAsia="Calibri"/>
          <w:lang w:val="en-GB"/>
        </w:rPr>
      </w:pPr>
      <w:r w:rsidRPr="00BE2EA2">
        <w:rPr>
          <w:rFonts w:eastAsia="Calibri"/>
          <w:lang w:val="en-GB"/>
        </w:rPr>
        <w:lastRenderedPageBreak/>
        <w:t>ENDNOTES</w:t>
      </w:r>
    </w:p>
    <w:sectPr w:rsidR="00465348" w:rsidRPr="00BE2EA2" w:rsidSect="00751E0B">
      <w:headerReference w:type="default" r:id="rId15"/>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AC8857" w16cid:durableId="1EB6E5E9"/>
  <w16cid:commentId w16cid:paraId="0ACF36C9" w16cid:durableId="1EB6C595"/>
  <w16cid:commentId w16cid:paraId="443F9347" w16cid:durableId="1EB6E636"/>
  <w16cid:commentId w16cid:paraId="5A2FA047" w16cid:durableId="1EB6C596"/>
  <w16cid:commentId w16cid:paraId="6CEDE858" w16cid:durableId="1EB6E685"/>
  <w16cid:commentId w16cid:paraId="21C780AC" w16cid:durableId="1EB6C597"/>
  <w16cid:commentId w16cid:paraId="6DE9C2AC" w16cid:durableId="1EB6E6A5"/>
  <w16cid:commentId w16cid:paraId="272DAB46" w16cid:durableId="1EB6C598"/>
  <w16cid:commentId w16cid:paraId="44F8C696" w16cid:durableId="1EB6C599"/>
  <w16cid:commentId w16cid:paraId="3A964F9A" w16cid:durableId="1EB6C59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3CDB4" w14:textId="77777777" w:rsidR="00614D09" w:rsidRDefault="00614D09" w:rsidP="00D75295">
      <w:r>
        <w:separator/>
      </w:r>
    </w:p>
  </w:endnote>
  <w:endnote w:type="continuationSeparator" w:id="0">
    <w:p w14:paraId="694C99FF" w14:textId="77777777" w:rsidR="00614D09" w:rsidRDefault="00614D09" w:rsidP="00D75295">
      <w:r>
        <w:continuationSeparator/>
      </w:r>
    </w:p>
  </w:endnote>
  <w:endnote w:id="1">
    <w:p w14:paraId="1140FD12" w14:textId="77777777" w:rsidR="000E0BDF" w:rsidRPr="003E2F7C" w:rsidRDefault="000E0BDF" w:rsidP="003E2F7C">
      <w:pPr>
        <w:pStyle w:val="Footnote"/>
      </w:pPr>
      <w:r>
        <w:rPr>
          <w:rStyle w:val="EndnoteReference"/>
        </w:rPr>
        <w:endnoteRef/>
      </w:r>
      <w:r>
        <w:t xml:space="preserve"> “</w:t>
      </w:r>
      <w:r w:rsidRPr="00432A7F">
        <w:rPr>
          <w:lang w:val="en-GB"/>
        </w:rPr>
        <w:t xml:space="preserve">Our </w:t>
      </w:r>
      <w:r>
        <w:rPr>
          <w:lang w:val="en-GB"/>
        </w:rPr>
        <w:t>H</w:t>
      </w:r>
      <w:r w:rsidRPr="00432A7F">
        <w:rPr>
          <w:lang w:val="en-GB"/>
        </w:rPr>
        <w:t>istory,</w:t>
      </w:r>
      <w:r>
        <w:rPr>
          <w:lang w:val="en-GB"/>
        </w:rPr>
        <w:t>”</w:t>
      </w:r>
      <w:r w:rsidRPr="00432A7F">
        <w:rPr>
          <w:lang w:val="en-GB"/>
        </w:rPr>
        <w:t xml:space="preserve"> </w:t>
      </w:r>
      <w:r>
        <w:rPr>
          <w:lang w:val="en-GB"/>
        </w:rPr>
        <w:t>Unilever, accessed December 4, 2017</w:t>
      </w:r>
      <w:r w:rsidRPr="003E2F7C">
        <w:t xml:space="preserve">, </w:t>
      </w:r>
      <w:hyperlink r:id="rId1" w:history="1">
        <w:r w:rsidRPr="003E2F7C">
          <w:t>https://www.unilever.co.za/about/who-we-are/our-history/</w:t>
        </w:r>
      </w:hyperlink>
      <w:r>
        <w:t>.</w:t>
      </w:r>
    </w:p>
  </w:endnote>
  <w:endnote w:id="2">
    <w:p w14:paraId="05395BD5" w14:textId="77777777" w:rsidR="000E0BDF" w:rsidRPr="00897A19" w:rsidRDefault="000E0BDF" w:rsidP="003E2F7C">
      <w:pPr>
        <w:pStyle w:val="Footnote"/>
        <w:rPr>
          <w:lang w:val="en-GB"/>
        </w:rPr>
      </w:pPr>
      <w:r>
        <w:rPr>
          <w:rStyle w:val="EndnoteReference"/>
        </w:rPr>
        <w:endnoteRef/>
      </w:r>
      <w:r>
        <w:t xml:space="preserve"> </w:t>
      </w:r>
      <w:r>
        <w:rPr>
          <w:lang w:val="en-GB"/>
        </w:rPr>
        <w:t xml:space="preserve">“A Global Business,” Unilever, accessed December 4, 2017, </w:t>
      </w:r>
      <w:r w:rsidRPr="00897A19">
        <w:rPr>
          <w:lang w:val="en-GB"/>
        </w:rPr>
        <w:t>https://www.unilever.co.za/about/</w:t>
      </w:r>
      <w:r>
        <w:rPr>
          <w:lang w:val="en-GB"/>
        </w:rPr>
        <w:t>.</w:t>
      </w:r>
    </w:p>
  </w:endnote>
  <w:endnote w:id="3">
    <w:p w14:paraId="0484A804" w14:textId="77777777" w:rsidR="000E0BDF" w:rsidRPr="00BD3986" w:rsidRDefault="000E0BDF" w:rsidP="003E2F7C">
      <w:pPr>
        <w:pStyle w:val="Footnote"/>
        <w:rPr>
          <w:lang w:val="en-GB"/>
        </w:rPr>
      </w:pPr>
      <w:r>
        <w:rPr>
          <w:rStyle w:val="EndnoteReference"/>
        </w:rPr>
        <w:endnoteRef/>
      </w:r>
      <w:r>
        <w:t xml:space="preserve"> </w:t>
      </w:r>
      <w:r>
        <w:rPr>
          <w:lang w:val="en-GB"/>
        </w:rPr>
        <w:t xml:space="preserve">Market Line, </w:t>
      </w:r>
      <w:r w:rsidRPr="00432A7F">
        <w:rPr>
          <w:i/>
          <w:lang w:val="en-GB"/>
        </w:rPr>
        <w:t>Unilever—Strategy, SWOT and Corporate Finance Report</w:t>
      </w:r>
      <w:r>
        <w:rPr>
          <w:i/>
          <w:lang w:val="en-GB"/>
        </w:rPr>
        <w:t xml:space="preserve">, </w:t>
      </w:r>
      <w:r>
        <w:rPr>
          <w:lang w:val="en-GB"/>
        </w:rPr>
        <w:t>February 2017, accessed November</w:t>
      </w:r>
      <w:r w:rsidR="00821FED">
        <w:rPr>
          <w:lang w:val="en-GB"/>
        </w:rPr>
        <w:t xml:space="preserve"> 30,</w:t>
      </w:r>
      <w:r>
        <w:rPr>
          <w:lang w:val="en-GB"/>
        </w:rPr>
        <w:t xml:space="preserve"> 2017, </w:t>
      </w:r>
      <w:r w:rsidRPr="00D3248C">
        <w:rPr>
          <w:lang w:val="en-GB"/>
        </w:rPr>
        <w:t>https://store.marketline.com/report/4fbbc2583f7f--</w:t>
      </w:r>
      <w:proofErr w:type="spellStart"/>
      <w:r w:rsidRPr="00D3248C">
        <w:rPr>
          <w:lang w:val="en-GB"/>
        </w:rPr>
        <w:t>unilever</w:t>
      </w:r>
      <w:proofErr w:type="spellEnd"/>
      <w:r w:rsidRPr="00D3248C">
        <w:rPr>
          <w:lang w:val="en-GB"/>
        </w:rPr>
        <w:t>-strategy-swot-and-corporate-finance-report/</w:t>
      </w:r>
      <w:r>
        <w:rPr>
          <w:lang w:val="en-GB"/>
        </w:rPr>
        <w:t>.</w:t>
      </w:r>
    </w:p>
  </w:endnote>
  <w:endnote w:id="4">
    <w:p w14:paraId="702E4651" w14:textId="77777777" w:rsidR="000E0BDF" w:rsidRPr="00747952" w:rsidRDefault="000E0BDF" w:rsidP="003E2F7C">
      <w:pPr>
        <w:pStyle w:val="Footnote"/>
        <w:rPr>
          <w:lang w:val="en-GB"/>
        </w:rPr>
      </w:pPr>
      <w:r>
        <w:rPr>
          <w:rStyle w:val="EndnoteReference"/>
        </w:rPr>
        <w:endnoteRef/>
      </w:r>
      <w:r>
        <w:t xml:space="preserve"> </w:t>
      </w:r>
      <w:r>
        <w:rPr>
          <w:lang w:val="en-GB"/>
        </w:rPr>
        <w:t xml:space="preserve">Deborah Ball, “As Its Brands </w:t>
      </w:r>
      <w:proofErr w:type="gramStart"/>
      <w:r>
        <w:rPr>
          <w:lang w:val="en-GB"/>
        </w:rPr>
        <w:t>Lag</w:t>
      </w:r>
      <w:proofErr w:type="gramEnd"/>
      <w:r>
        <w:rPr>
          <w:lang w:val="en-GB"/>
        </w:rPr>
        <w:t xml:space="preserve"> at Home, Unilever Makes a Risky Bet,” </w:t>
      </w:r>
      <w:r>
        <w:rPr>
          <w:i/>
          <w:lang w:val="en-GB"/>
        </w:rPr>
        <w:t xml:space="preserve">Wall Street Journal, </w:t>
      </w:r>
      <w:r>
        <w:rPr>
          <w:lang w:val="en-GB"/>
        </w:rPr>
        <w:t xml:space="preserve">March 22, 2007, accessed December 4, 2017, </w:t>
      </w:r>
      <w:r w:rsidRPr="00747952">
        <w:rPr>
          <w:lang w:val="en-GB"/>
        </w:rPr>
        <w:t>https://www.wsj.com/articles/SB117452813988844968</w:t>
      </w:r>
      <w:r>
        <w:rPr>
          <w:lang w:val="en-GB"/>
        </w:rPr>
        <w:t>.</w:t>
      </w:r>
    </w:p>
  </w:endnote>
  <w:endnote w:id="5">
    <w:p w14:paraId="3A4C795A" w14:textId="77777777" w:rsidR="000E0BDF" w:rsidRPr="00747952" w:rsidRDefault="000E0BDF" w:rsidP="003E2F7C">
      <w:pPr>
        <w:pStyle w:val="Footnote"/>
        <w:rPr>
          <w:lang w:val="en-GB"/>
        </w:rPr>
      </w:pPr>
      <w:r>
        <w:rPr>
          <w:rStyle w:val="EndnoteReference"/>
        </w:rPr>
        <w:endnoteRef/>
      </w:r>
      <w:r>
        <w:t xml:space="preserve"> </w:t>
      </w:r>
      <w:r>
        <w:rPr>
          <w:lang w:val="en-GB"/>
        </w:rPr>
        <w:t>“</w:t>
      </w:r>
      <w:r w:rsidRPr="00747952">
        <w:rPr>
          <w:lang w:val="en-GB"/>
        </w:rPr>
        <w:t>Unilever</w:t>
      </w:r>
      <w:r>
        <w:rPr>
          <w:lang w:val="en-GB"/>
        </w:rPr>
        <w:t>’</w:t>
      </w:r>
      <w:r w:rsidRPr="00747952">
        <w:rPr>
          <w:lang w:val="en-GB"/>
        </w:rPr>
        <w:t>s Skin Care and Hair Care Market Share Worldwide from 2012 to 2024</w:t>
      </w:r>
      <w:r>
        <w:rPr>
          <w:lang w:val="en-GB"/>
        </w:rPr>
        <w:t>,</w:t>
      </w:r>
      <w:r w:rsidRPr="00747952">
        <w:rPr>
          <w:lang w:val="en-GB"/>
        </w:rPr>
        <w:t>”</w:t>
      </w:r>
      <w:r>
        <w:rPr>
          <w:lang w:val="en-GB"/>
        </w:rPr>
        <w:t xml:space="preserve"> </w:t>
      </w:r>
      <w:r w:rsidRPr="00432A7F">
        <w:rPr>
          <w:lang w:val="en-GB"/>
        </w:rPr>
        <w:t>Statista</w:t>
      </w:r>
      <w:r>
        <w:rPr>
          <w:i/>
          <w:lang w:val="en-GB"/>
        </w:rPr>
        <w:t xml:space="preserve">, </w:t>
      </w:r>
      <w:r>
        <w:rPr>
          <w:lang w:val="en-GB"/>
        </w:rPr>
        <w:t xml:space="preserve">2017, accessed December 4, 2017, </w:t>
      </w:r>
      <w:r w:rsidRPr="00747952">
        <w:rPr>
          <w:lang w:val="en-GB"/>
        </w:rPr>
        <w:t>https://www.statista.com/statistics/254605/unilevers-skin-care-and-hair-care-market-share-worldwide/</w:t>
      </w:r>
      <w:r>
        <w:rPr>
          <w:lang w:val="en-GB"/>
        </w:rPr>
        <w:t>.</w:t>
      </w:r>
    </w:p>
  </w:endnote>
  <w:endnote w:id="6">
    <w:p w14:paraId="22D84924" w14:textId="77777777" w:rsidR="000E0BDF" w:rsidRPr="003839A4" w:rsidRDefault="000E0BDF" w:rsidP="003E2F7C">
      <w:pPr>
        <w:pStyle w:val="Footnote"/>
        <w:rPr>
          <w:spacing w:val="-4"/>
          <w:kern w:val="17"/>
          <w:lang w:val="en-GB"/>
        </w:rPr>
      </w:pPr>
      <w:r w:rsidRPr="003839A4">
        <w:rPr>
          <w:rStyle w:val="EndnoteReference"/>
          <w:spacing w:val="-4"/>
          <w:kern w:val="17"/>
        </w:rPr>
        <w:endnoteRef/>
      </w:r>
      <w:r w:rsidRPr="003839A4">
        <w:rPr>
          <w:spacing w:val="-4"/>
          <w:kern w:val="17"/>
        </w:rPr>
        <w:t xml:space="preserve"> </w:t>
      </w:r>
      <w:r w:rsidRPr="003839A4">
        <w:rPr>
          <w:spacing w:val="-4"/>
          <w:kern w:val="17"/>
          <w:lang w:val="en-GB"/>
        </w:rPr>
        <w:t xml:space="preserve">Port Sunlight, “In Search of the Good Business,” </w:t>
      </w:r>
      <w:r w:rsidRPr="003839A4">
        <w:rPr>
          <w:i/>
          <w:spacing w:val="-4"/>
          <w:kern w:val="17"/>
          <w:lang w:val="en-GB"/>
        </w:rPr>
        <w:t xml:space="preserve">Economist, </w:t>
      </w:r>
      <w:r w:rsidRPr="003839A4">
        <w:rPr>
          <w:spacing w:val="-4"/>
          <w:kern w:val="17"/>
          <w:lang w:val="en-GB"/>
        </w:rPr>
        <w:t>August 9, 2014, accessed December 4, 2017. https://www.economist.com/news/business/21611103-second-time-its-120-year-history-unilever-trying-redefine-what-it-means-be.</w:t>
      </w:r>
    </w:p>
  </w:endnote>
  <w:endnote w:id="7">
    <w:p w14:paraId="5E7A9C94" w14:textId="0787BEDB" w:rsidR="00821FED" w:rsidRPr="00B75DFB" w:rsidRDefault="00821FED">
      <w:pPr>
        <w:pStyle w:val="EndnoteText"/>
        <w:rPr>
          <w:rFonts w:ascii="Arial" w:hAnsi="Arial" w:cs="Arial"/>
          <w:sz w:val="17"/>
          <w:szCs w:val="17"/>
          <w:lang w:val="en-GB"/>
        </w:rPr>
      </w:pPr>
      <w:r w:rsidRPr="00B75DFB">
        <w:rPr>
          <w:rStyle w:val="EndnoteReference"/>
          <w:rFonts w:ascii="Arial" w:hAnsi="Arial" w:cs="Arial"/>
          <w:sz w:val="17"/>
          <w:szCs w:val="17"/>
        </w:rPr>
        <w:endnoteRef/>
      </w:r>
      <w:r w:rsidRPr="00B75DFB">
        <w:rPr>
          <w:rFonts w:ascii="Arial" w:hAnsi="Arial" w:cs="Arial"/>
          <w:sz w:val="17"/>
          <w:szCs w:val="17"/>
        </w:rPr>
        <w:t xml:space="preserve"> </w:t>
      </w:r>
      <w:r w:rsidRPr="00B75DFB">
        <w:rPr>
          <w:rFonts w:ascii="Arial" w:hAnsi="Arial" w:cs="Arial"/>
          <w:sz w:val="17"/>
          <w:szCs w:val="17"/>
          <w:lang w:val="en-GB"/>
        </w:rPr>
        <w:t>“Unilever Sustainable Living Plan Year 7 Update,” Unilever, accessed May 11, 2018, https://www.unilever.co.za/news/press-releases/2018/unilever-sustainable-living-plan-year-7-update.html</w:t>
      </w:r>
      <w:r w:rsidR="00EA2A16">
        <w:rPr>
          <w:rFonts w:ascii="Arial" w:hAnsi="Arial" w:cs="Arial"/>
          <w:sz w:val="17"/>
          <w:szCs w:val="17"/>
          <w:lang w:val="en-GB"/>
        </w:rPr>
        <w:t>.</w:t>
      </w:r>
    </w:p>
  </w:endnote>
  <w:endnote w:id="8">
    <w:p w14:paraId="20D5C3F1" w14:textId="77777777" w:rsidR="000E0BDF" w:rsidRPr="0016602C" w:rsidRDefault="000E0BDF" w:rsidP="003E2F7C">
      <w:pPr>
        <w:pStyle w:val="Footnote"/>
        <w:rPr>
          <w:lang w:val="en-GB"/>
        </w:rPr>
      </w:pPr>
      <w:r>
        <w:rPr>
          <w:rStyle w:val="EndnoteReference"/>
        </w:rPr>
        <w:endnoteRef/>
      </w:r>
      <w:r>
        <w:t xml:space="preserve"> </w:t>
      </w:r>
      <w:r>
        <w:rPr>
          <w:lang w:val="en-GB"/>
        </w:rPr>
        <w:t xml:space="preserve">“Making Sustainable Living Commonplace,” </w:t>
      </w:r>
      <w:r w:rsidRPr="00432A7F">
        <w:rPr>
          <w:lang w:val="en-GB"/>
        </w:rPr>
        <w:t>Unilever</w:t>
      </w:r>
      <w:r>
        <w:rPr>
          <w:lang w:val="en-GB"/>
        </w:rPr>
        <w:t>,</w:t>
      </w:r>
      <w:r>
        <w:rPr>
          <w:i/>
          <w:lang w:val="en-GB"/>
        </w:rPr>
        <w:t xml:space="preserve"> </w:t>
      </w:r>
      <w:r>
        <w:rPr>
          <w:lang w:val="en-GB"/>
        </w:rPr>
        <w:t xml:space="preserve">accessed December 4, 2017, </w:t>
      </w:r>
      <w:r w:rsidRPr="0016602C">
        <w:rPr>
          <w:lang w:val="en-GB"/>
        </w:rPr>
        <w:t>https://www.unilever.co.za/about/who-we-are/introduction-to-unilever/</w:t>
      </w:r>
      <w:r>
        <w:rPr>
          <w:lang w:val="en-GB"/>
        </w:rPr>
        <w:t>.</w:t>
      </w:r>
    </w:p>
  </w:endnote>
  <w:endnote w:id="9">
    <w:p w14:paraId="43CAB6CA" w14:textId="77777777" w:rsidR="000E0BDF" w:rsidRDefault="000E0BDF" w:rsidP="00473522">
      <w:pPr>
        <w:pStyle w:val="Footnote"/>
      </w:pPr>
      <w:r>
        <w:rPr>
          <w:rStyle w:val="EndnoteReference"/>
        </w:rPr>
        <w:endnoteRef/>
      </w:r>
      <w:r>
        <w:t xml:space="preserve"> € = EUR = euro; €1.00 = US$1.14 on March 31, 2016.</w:t>
      </w:r>
    </w:p>
  </w:endnote>
  <w:endnote w:id="10">
    <w:p w14:paraId="52D32CBD" w14:textId="77777777" w:rsidR="000E0BDF" w:rsidRPr="009172CE" w:rsidRDefault="000E0BDF" w:rsidP="003E2F7C">
      <w:pPr>
        <w:pStyle w:val="Footnote"/>
        <w:rPr>
          <w:lang w:val="en-GB"/>
        </w:rPr>
      </w:pPr>
      <w:r>
        <w:rPr>
          <w:rStyle w:val="EndnoteReference"/>
        </w:rPr>
        <w:endnoteRef/>
      </w:r>
      <w:r>
        <w:t xml:space="preserve"> </w:t>
      </w:r>
      <w:r>
        <w:rPr>
          <w:lang w:val="en-GB"/>
        </w:rPr>
        <w:t xml:space="preserve">“Sustainable </w:t>
      </w:r>
      <w:proofErr w:type="gramStart"/>
      <w:r>
        <w:rPr>
          <w:lang w:val="en-GB"/>
        </w:rPr>
        <w:t>Living</w:t>
      </w:r>
      <w:proofErr w:type="gramEnd"/>
      <w:r>
        <w:rPr>
          <w:lang w:val="en-GB"/>
        </w:rPr>
        <w:t xml:space="preserve">,” </w:t>
      </w:r>
      <w:r w:rsidRPr="00432A7F">
        <w:rPr>
          <w:lang w:val="en-GB"/>
        </w:rPr>
        <w:t>Unilever,</w:t>
      </w:r>
      <w:r>
        <w:rPr>
          <w:i/>
          <w:lang w:val="en-GB"/>
        </w:rPr>
        <w:t xml:space="preserve"> </w:t>
      </w:r>
      <w:r>
        <w:rPr>
          <w:lang w:val="en-GB"/>
        </w:rPr>
        <w:t>accessed December 4, 2017,</w:t>
      </w:r>
      <w:r>
        <w:t xml:space="preserve"> </w:t>
      </w:r>
      <w:r w:rsidRPr="009172CE">
        <w:t>https://www.unilever.com/sustainable-living/</w:t>
      </w:r>
      <w:r>
        <w:rPr>
          <w:lang w:val="en-GB"/>
        </w:rPr>
        <w:t>.</w:t>
      </w:r>
    </w:p>
  </w:endnote>
  <w:endnote w:id="11">
    <w:p w14:paraId="0A6821D6" w14:textId="77777777" w:rsidR="000E0BDF" w:rsidRPr="003E2F7C" w:rsidRDefault="000E0BDF" w:rsidP="003E2F7C">
      <w:pPr>
        <w:pStyle w:val="Footnote"/>
      </w:pPr>
      <w:r>
        <w:rPr>
          <w:rStyle w:val="EndnoteReference"/>
        </w:rPr>
        <w:endnoteRef/>
      </w:r>
      <w:r>
        <w:t xml:space="preserve"> “Our Strategy: The Blue Agenda,” </w:t>
      </w:r>
      <w:proofErr w:type="spellStart"/>
      <w:r w:rsidRPr="00432A7F">
        <w:rPr>
          <w:lang w:val="en-GB"/>
        </w:rPr>
        <w:t>Beiersdorf</w:t>
      </w:r>
      <w:proofErr w:type="spellEnd"/>
      <w:r>
        <w:rPr>
          <w:i/>
          <w:lang w:val="en-GB"/>
        </w:rPr>
        <w:t xml:space="preserve">, </w:t>
      </w:r>
      <w:r>
        <w:rPr>
          <w:lang w:val="en-GB"/>
        </w:rPr>
        <w:t>accessed December 4, 2017,</w:t>
      </w:r>
      <w:r>
        <w:t xml:space="preserve"> </w:t>
      </w:r>
      <w:hyperlink r:id="rId2" w:history="1">
        <w:r w:rsidRPr="003E2F7C">
          <w:t>https://www.beiersdorf.co.za/about-us/our-profile/strategy</w:t>
        </w:r>
      </w:hyperlink>
      <w:r>
        <w:t>.</w:t>
      </w:r>
    </w:p>
  </w:endnote>
  <w:endnote w:id="12">
    <w:p w14:paraId="57E6B3AE" w14:textId="77777777" w:rsidR="000E0BDF" w:rsidRPr="003E2F7C" w:rsidRDefault="000E0BDF" w:rsidP="003E2F7C">
      <w:pPr>
        <w:pStyle w:val="Footnote"/>
      </w:pPr>
      <w:r>
        <w:rPr>
          <w:rStyle w:val="EndnoteReference"/>
        </w:rPr>
        <w:endnoteRef/>
      </w:r>
      <w:r>
        <w:t xml:space="preserve"> “Sharing Beauty with </w:t>
      </w:r>
      <w:proofErr w:type="gramStart"/>
      <w:r>
        <w:t>All</w:t>
      </w:r>
      <w:proofErr w:type="gramEnd"/>
      <w:r>
        <w:t xml:space="preserve">,” </w:t>
      </w:r>
      <w:r w:rsidRPr="00432A7F">
        <w:t>L’Oréal</w:t>
      </w:r>
      <w:r w:rsidRPr="008E04F3">
        <w:t xml:space="preserve"> </w:t>
      </w:r>
      <w:r>
        <w:t xml:space="preserve">South Africa, October 23, 2013, accessed December 4, 2017, </w:t>
      </w:r>
      <w:r w:rsidRPr="00432A7F">
        <w:t>www.loreal.co.za/csr-commitments/sharing-beauty-all.htm</w:t>
      </w:r>
      <w:r>
        <w:t>.</w:t>
      </w:r>
    </w:p>
  </w:endnote>
  <w:endnote w:id="13">
    <w:p w14:paraId="4888091B" w14:textId="77777777" w:rsidR="000E0BDF" w:rsidRPr="003E2F7C" w:rsidRDefault="000E0BDF" w:rsidP="003E2F7C">
      <w:pPr>
        <w:pStyle w:val="Footnote"/>
      </w:pPr>
      <w:r>
        <w:rPr>
          <w:rStyle w:val="EndnoteReference"/>
        </w:rPr>
        <w:endnoteRef/>
      </w:r>
      <w:r>
        <w:t xml:space="preserve"> “Our Goals,” </w:t>
      </w:r>
      <w:r w:rsidRPr="00432A7F">
        <w:t>Proctor &amp; Gamble</w:t>
      </w:r>
      <w:r>
        <w:t>, accessed December 4, 2017</w:t>
      </w:r>
      <w:r w:rsidRPr="003E2F7C">
        <w:t xml:space="preserve">, </w:t>
      </w:r>
      <w:hyperlink r:id="rId3" w:history="1">
        <w:r w:rsidRPr="003E2F7C">
          <w:t>http://za.pg.com/en-ZA/sustainability/at-a-glance/our-goals</w:t>
        </w:r>
      </w:hyperlink>
      <w:r>
        <w:t>.</w:t>
      </w:r>
    </w:p>
  </w:endnote>
  <w:endnote w:id="14">
    <w:p w14:paraId="25D2240E" w14:textId="77777777" w:rsidR="000E0BDF" w:rsidRPr="00F9439F" w:rsidRDefault="000E0BDF" w:rsidP="003E2F7C">
      <w:pPr>
        <w:pStyle w:val="Footnote"/>
        <w:rPr>
          <w:lang w:val="en-GB"/>
        </w:rPr>
      </w:pPr>
      <w:r>
        <w:rPr>
          <w:rStyle w:val="EndnoteReference"/>
        </w:rPr>
        <w:endnoteRef/>
      </w:r>
      <w:r>
        <w:t xml:space="preserve"> </w:t>
      </w:r>
      <w:r>
        <w:rPr>
          <w:lang w:val="en-GB"/>
        </w:rPr>
        <w:t xml:space="preserve">Stephen Kellerman, “The Rainbow Nation,” </w:t>
      </w:r>
      <w:r w:rsidRPr="00432A7F">
        <w:rPr>
          <w:lang w:val="en-GB"/>
        </w:rPr>
        <w:t xml:space="preserve">Dreams to </w:t>
      </w:r>
      <w:r>
        <w:rPr>
          <w:lang w:val="en-GB"/>
        </w:rPr>
        <w:t>R</w:t>
      </w:r>
      <w:r w:rsidRPr="00432A7F">
        <w:rPr>
          <w:lang w:val="en-GB"/>
        </w:rPr>
        <w:t>eality,</w:t>
      </w:r>
      <w:r>
        <w:rPr>
          <w:i/>
          <w:lang w:val="en-GB"/>
        </w:rPr>
        <w:t xml:space="preserve"> </w:t>
      </w:r>
      <w:r>
        <w:rPr>
          <w:lang w:val="en-GB"/>
        </w:rPr>
        <w:t xml:space="preserve">July 23, 2014, accessed December 5, 2017, </w:t>
      </w:r>
      <w:r w:rsidRPr="00F9439F">
        <w:rPr>
          <w:lang w:val="en-GB"/>
        </w:rPr>
        <w:t>www.dreamstoreality.co.za/the-rainbow-nation/</w:t>
      </w:r>
      <w:r>
        <w:rPr>
          <w:lang w:val="en-GB"/>
        </w:rPr>
        <w:t>.</w:t>
      </w:r>
    </w:p>
  </w:endnote>
  <w:endnote w:id="15">
    <w:p w14:paraId="09BDFF5C" w14:textId="0705D7E2" w:rsidR="000E0BDF" w:rsidRPr="003E2F7C" w:rsidRDefault="000E0BDF" w:rsidP="003E2F7C">
      <w:pPr>
        <w:pStyle w:val="Footnote"/>
      </w:pPr>
      <w:r>
        <w:rPr>
          <w:rStyle w:val="EndnoteReference"/>
        </w:rPr>
        <w:endnoteRef/>
      </w:r>
      <w:r>
        <w:t xml:space="preserve"> </w:t>
      </w:r>
      <w:r w:rsidRPr="00682AB4">
        <w:rPr>
          <w:lang w:val="en-GB"/>
        </w:rPr>
        <w:t xml:space="preserve">Anna </w:t>
      </w:r>
      <w:proofErr w:type="spellStart"/>
      <w:r w:rsidRPr="00682AB4">
        <w:rPr>
          <w:lang w:val="en-GB"/>
        </w:rPr>
        <w:t>Orthofer</w:t>
      </w:r>
      <w:proofErr w:type="spellEnd"/>
      <w:r w:rsidRPr="00682AB4">
        <w:rPr>
          <w:lang w:val="en-GB"/>
        </w:rPr>
        <w:t>, “</w:t>
      </w:r>
      <w:r w:rsidRPr="00682AB4">
        <w:rPr>
          <w:lang w:val="en"/>
        </w:rPr>
        <w:t xml:space="preserve">Figures Suggest SA has the Highest Concentration of Wealth in the Hands of a Few,” </w:t>
      </w:r>
      <w:r w:rsidRPr="00682AB4">
        <w:rPr>
          <w:i/>
          <w:lang w:val="en"/>
        </w:rPr>
        <w:t>Mail &amp; Guardian</w:t>
      </w:r>
      <w:r w:rsidR="00EA2A16" w:rsidRPr="004D468C">
        <w:rPr>
          <w:lang w:val="en"/>
        </w:rPr>
        <w:t>,</w:t>
      </w:r>
      <w:r w:rsidRPr="00682AB4">
        <w:rPr>
          <w:i/>
          <w:lang w:val="en"/>
        </w:rPr>
        <w:t xml:space="preserve"> </w:t>
      </w:r>
      <w:r w:rsidRPr="00682AB4">
        <w:rPr>
          <w:lang w:val="en"/>
        </w:rPr>
        <w:t xml:space="preserve">August 4, 2016, accessed December 4, 2017, </w:t>
      </w:r>
      <w:hyperlink r:id="rId4" w:history="1">
        <w:r w:rsidRPr="00682AB4">
          <w:t>https://mg.co.za/article/2016-08-04-00-figures-suggest-sa-has-the-highest-concentration-of-wealth-in-the-hands-of-a-few</w:t>
        </w:r>
      </w:hyperlink>
      <w:r w:rsidRPr="00682AB4">
        <w:t>.</w:t>
      </w:r>
    </w:p>
  </w:endnote>
  <w:endnote w:id="16">
    <w:p w14:paraId="58FA30D5" w14:textId="77777777" w:rsidR="000E0BDF" w:rsidRPr="00092C19" w:rsidRDefault="000E0BDF" w:rsidP="003E2F7C">
      <w:pPr>
        <w:pStyle w:val="Footnote"/>
        <w:rPr>
          <w:lang w:val="en-GB"/>
        </w:rPr>
      </w:pPr>
      <w:r>
        <w:rPr>
          <w:rStyle w:val="EndnoteReference"/>
        </w:rPr>
        <w:endnoteRef/>
      </w:r>
      <w:r>
        <w:rPr>
          <w:lang w:val="en-GB"/>
        </w:rPr>
        <w:t xml:space="preserve"> “Our Group,” </w:t>
      </w:r>
      <w:r w:rsidRPr="00432A7F">
        <w:rPr>
          <w:lang w:val="en-GB"/>
        </w:rPr>
        <w:t>Shoprite,</w:t>
      </w:r>
      <w:r>
        <w:rPr>
          <w:i/>
          <w:lang w:val="en-GB"/>
        </w:rPr>
        <w:t xml:space="preserve"> </w:t>
      </w:r>
      <w:r>
        <w:rPr>
          <w:lang w:val="en-GB"/>
        </w:rPr>
        <w:t xml:space="preserve">accessed December 5, 2017, </w:t>
      </w:r>
      <w:r w:rsidRPr="00092C19">
        <w:rPr>
          <w:lang w:val="en-GB"/>
        </w:rPr>
        <w:t>https://www.shopriteholdings.co.za/</w:t>
      </w:r>
      <w:r>
        <w:rPr>
          <w:lang w:val="en-GB"/>
        </w:rPr>
        <w:t xml:space="preserve">. </w:t>
      </w:r>
    </w:p>
  </w:endnote>
  <w:endnote w:id="17">
    <w:p w14:paraId="11302F01" w14:textId="77777777" w:rsidR="000E0BDF" w:rsidRPr="00883F08" w:rsidRDefault="000E0BDF" w:rsidP="003E2F7C">
      <w:pPr>
        <w:pStyle w:val="Footnote"/>
        <w:rPr>
          <w:lang w:val="en-GB"/>
        </w:rPr>
      </w:pPr>
      <w:r>
        <w:rPr>
          <w:rStyle w:val="EndnoteReference"/>
        </w:rPr>
        <w:endnoteRef/>
      </w:r>
      <w:r>
        <w:t xml:space="preserve"> </w:t>
      </w:r>
      <w:proofErr w:type="spellStart"/>
      <w:r>
        <w:t>Karishma</w:t>
      </w:r>
      <w:proofErr w:type="spellEnd"/>
      <w:r>
        <w:t xml:space="preserve"> </w:t>
      </w:r>
      <w:proofErr w:type="spellStart"/>
      <w:r>
        <w:rPr>
          <w:lang w:val="en-GB"/>
        </w:rPr>
        <w:t>Thakurdin</w:t>
      </w:r>
      <w:proofErr w:type="spellEnd"/>
      <w:r>
        <w:rPr>
          <w:lang w:val="en-GB"/>
        </w:rPr>
        <w:t>, “</w:t>
      </w:r>
      <w:proofErr w:type="spellStart"/>
      <w:r w:rsidRPr="00883F08">
        <w:t>Nhlanhla</w:t>
      </w:r>
      <w:proofErr w:type="spellEnd"/>
      <w:r w:rsidRPr="00883F08">
        <w:t xml:space="preserve"> </w:t>
      </w:r>
      <w:proofErr w:type="spellStart"/>
      <w:r w:rsidRPr="00883F08">
        <w:t>Nciza</w:t>
      </w:r>
      <w:proofErr w:type="spellEnd"/>
      <w:r w:rsidRPr="00883F08">
        <w:t xml:space="preserve"> on </w:t>
      </w:r>
      <w:r>
        <w:t>L</w:t>
      </w:r>
      <w:r w:rsidRPr="00883F08">
        <w:t xml:space="preserve">osing a </w:t>
      </w:r>
      <w:r>
        <w:t>C</w:t>
      </w:r>
      <w:r w:rsidRPr="00883F08">
        <w:t>hild</w:t>
      </w:r>
      <w:r>
        <w:t xml:space="preserve">,” </w:t>
      </w:r>
      <w:r w:rsidRPr="00432A7F">
        <w:t>Channel24,</w:t>
      </w:r>
      <w:r>
        <w:rPr>
          <w:i/>
        </w:rPr>
        <w:t xml:space="preserve"> </w:t>
      </w:r>
      <w:r>
        <w:t xml:space="preserve">April 15, 2015, accessed December 4, 2017, </w:t>
      </w:r>
      <w:r w:rsidRPr="00883F08">
        <w:t>www.channel24.co.za/The-Juice/Nhlanhla-Nciza-on-losing-a-child-20150414</w:t>
      </w:r>
      <w:r>
        <w:t>.</w:t>
      </w:r>
    </w:p>
  </w:endnote>
  <w:endnote w:id="18">
    <w:p w14:paraId="0087E1C1" w14:textId="213C239B" w:rsidR="000E0BDF" w:rsidRPr="00883F08" w:rsidRDefault="000E0BDF" w:rsidP="003E2F7C">
      <w:pPr>
        <w:pStyle w:val="Footnote"/>
        <w:rPr>
          <w:lang w:val="en-GB"/>
        </w:rPr>
      </w:pPr>
      <w:r>
        <w:rPr>
          <w:rStyle w:val="EndnoteReference"/>
        </w:rPr>
        <w:endnoteRef/>
      </w:r>
      <w:r>
        <w:t xml:space="preserve"> </w:t>
      </w:r>
      <w:r>
        <w:rPr>
          <w:lang w:val="en-GB"/>
        </w:rPr>
        <w:t>Drum Digital, “Lira on How She Has Been Debt-Free for the Last Decade,</w:t>
      </w:r>
      <w:r w:rsidR="001F53CB">
        <w:rPr>
          <w:lang w:val="en-GB"/>
        </w:rPr>
        <w:t>”</w:t>
      </w:r>
      <w:r>
        <w:rPr>
          <w:lang w:val="en-GB"/>
        </w:rPr>
        <w:t xml:space="preserve"> </w:t>
      </w:r>
      <w:r w:rsidRPr="00432A7F">
        <w:rPr>
          <w:lang w:val="en-GB"/>
        </w:rPr>
        <w:t>Drum,</w:t>
      </w:r>
      <w:r>
        <w:rPr>
          <w:i/>
          <w:lang w:val="en-GB"/>
        </w:rPr>
        <w:t xml:space="preserve"> </w:t>
      </w:r>
      <w:r>
        <w:rPr>
          <w:lang w:val="en-GB"/>
        </w:rPr>
        <w:t xml:space="preserve">July 11, 2017, accessed December 4, 2017, </w:t>
      </w:r>
      <w:r w:rsidRPr="00883F08">
        <w:rPr>
          <w:lang w:val="en-GB"/>
        </w:rPr>
        <w:t>https://www.news24.com/Drum/Archive/lira-on-how-she-has-been-debt-free-for-the-last-decade-20170728</w:t>
      </w:r>
      <w:r>
        <w:rPr>
          <w:lang w:val="en-GB"/>
        </w:rPr>
        <w:t>.</w:t>
      </w:r>
    </w:p>
  </w:endnote>
  <w:endnote w:id="19">
    <w:p w14:paraId="77EC58EA" w14:textId="6EC1A526" w:rsidR="000E0BDF" w:rsidRPr="008C6BF6" w:rsidRDefault="000E0BDF" w:rsidP="003E2F7C">
      <w:pPr>
        <w:pStyle w:val="Footnote"/>
        <w:rPr>
          <w:lang w:val="en-GB"/>
        </w:rPr>
      </w:pPr>
      <w:r>
        <w:rPr>
          <w:rStyle w:val="EndnoteReference"/>
        </w:rPr>
        <w:endnoteRef/>
      </w:r>
      <w:r>
        <w:t xml:space="preserve"> </w:t>
      </w:r>
      <w:proofErr w:type="spellStart"/>
      <w:r>
        <w:rPr>
          <w:lang w:val="en-GB"/>
        </w:rPr>
        <w:t>Thando</w:t>
      </w:r>
      <w:proofErr w:type="spellEnd"/>
      <w:r>
        <w:rPr>
          <w:lang w:val="en-GB"/>
        </w:rPr>
        <w:t xml:space="preserve"> </w:t>
      </w:r>
      <w:proofErr w:type="spellStart"/>
      <w:r>
        <w:rPr>
          <w:lang w:val="en-GB"/>
        </w:rPr>
        <w:t>Dlalisa</w:t>
      </w:r>
      <w:proofErr w:type="spellEnd"/>
      <w:r>
        <w:rPr>
          <w:lang w:val="en-GB"/>
        </w:rPr>
        <w:t>, “</w:t>
      </w:r>
      <w:proofErr w:type="spellStart"/>
      <w:r w:rsidRPr="0076591D">
        <w:rPr>
          <w:lang w:val="en-GB"/>
        </w:rPr>
        <w:t>Moneoa</w:t>
      </w:r>
      <w:proofErr w:type="spellEnd"/>
      <w:r w:rsidRPr="0076591D">
        <w:rPr>
          <w:lang w:val="en-GB"/>
        </w:rPr>
        <w:t xml:space="preserve"> Embraces Her New Curves</w:t>
      </w:r>
      <w:r w:rsidR="00AD6A80" w:rsidRPr="0076591D">
        <w:rPr>
          <w:lang w:val="en-GB"/>
        </w:rPr>
        <w:t>!</w:t>
      </w:r>
      <w:r>
        <w:rPr>
          <w:lang w:val="en-GB"/>
        </w:rPr>
        <w:t xml:space="preserve">” </w:t>
      </w:r>
      <w:r>
        <w:rPr>
          <w:i/>
          <w:lang w:val="en-GB"/>
        </w:rPr>
        <w:t xml:space="preserve">Daily Sun, </w:t>
      </w:r>
      <w:r>
        <w:rPr>
          <w:lang w:val="en-GB"/>
        </w:rPr>
        <w:t xml:space="preserve">November 17, 2016, accessed January 15, 2018, </w:t>
      </w:r>
      <w:r w:rsidRPr="0076591D">
        <w:rPr>
          <w:lang w:val="en-GB"/>
        </w:rPr>
        <w:t>www.dailysun.co.za/News/Entertainment/pics-moneoa-embraces-her-new-curves-20161117</w:t>
      </w:r>
      <w:r>
        <w:rPr>
          <w:lang w:val="en-GB"/>
        </w:rPr>
        <w:t>.</w:t>
      </w:r>
    </w:p>
  </w:endnote>
  <w:endnote w:id="20">
    <w:p w14:paraId="411C04DE" w14:textId="204382AF" w:rsidR="000E0BDF" w:rsidRPr="00BA72FB" w:rsidRDefault="000E0BDF" w:rsidP="003E2F7C">
      <w:pPr>
        <w:pStyle w:val="Footnote"/>
      </w:pPr>
      <w:r w:rsidRPr="003E2F7C">
        <w:rPr>
          <w:rStyle w:val="EndnoteReference"/>
          <w:rFonts w:ascii="Calibri" w:eastAsia="Calibri" w:hAnsi="Calibri" w:cs="Times New Roman"/>
          <w:sz w:val="20"/>
          <w:szCs w:val="20"/>
        </w:rPr>
        <w:endnoteRef/>
      </w:r>
      <w:r w:rsidRPr="003E2F7C">
        <w:rPr>
          <w:rStyle w:val="EndnoteReference"/>
          <w:rFonts w:ascii="Calibri" w:eastAsia="Calibri" w:hAnsi="Calibri" w:cs="Times New Roman"/>
          <w:sz w:val="20"/>
          <w:szCs w:val="20"/>
        </w:rPr>
        <w:t xml:space="preserve"> </w:t>
      </w:r>
      <w:r w:rsidR="00794DC0" w:rsidRPr="004D468C">
        <w:rPr>
          <w:rFonts w:eastAsia="Calibri"/>
        </w:rPr>
        <w:t>“</w:t>
      </w:r>
      <w:r w:rsidRPr="00432A7F">
        <w:rPr>
          <w:rFonts w:eastAsia="Calibri"/>
        </w:rPr>
        <w:t xml:space="preserve">LUX </w:t>
      </w:r>
      <w:r w:rsidR="00794DC0">
        <w:rPr>
          <w:rFonts w:eastAsia="Calibri"/>
        </w:rPr>
        <w:t>P</w:t>
      </w:r>
      <w:r w:rsidRPr="00432A7F">
        <w:rPr>
          <w:rFonts w:eastAsia="Calibri"/>
        </w:rPr>
        <w:t xml:space="preserve">resents We Are More featuring Lira, </w:t>
      </w:r>
      <w:proofErr w:type="spellStart"/>
      <w:r w:rsidRPr="00432A7F">
        <w:rPr>
          <w:rFonts w:eastAsia="Calibri"/>
        </w:rPr>
        <w:t>Nhlanhla</w:t>
      </w:r>
      <w:proofErr w:type="spellEnd"/>
      <w:r w:rsidRPr="00432A7F">
        <w:rPr>
          <w:rFonts w:eastAsia="Calibri"/>
        </w:rPr>
        <w:t xml:space="preserve"> </w:t>
      </w:r>
      <w:proofErr w:type="spellStart"/>
      <w:r w:rsidRPr="00432A7F">
        <w:rPr>
          <w:rFonts w:eastAsia="Calibri"/>
        </w:rPr>
        <w:t>Nciza</w:t>
      </w:r>
      <w:proofErr w:type="spellEnd"/>
      <w:r w:rsidRPr="00432A7F">
        <w:rPr>
          <w:rFonts w:eastAsia="Calibri"/>
        </w:rPr>
        <w:t xml:space="preserve"> &amp; </w:t>
      </w:r>
      <w:proofErr w:type="spellStart"/>
      <w:r w:rsidRPr="00432A7F">
        <w:rPr>
          <w:rFonts w:eastAsia="Calibri"/>
        </w:rPr>
        <w:t>Moneoa</w:t>
      </w:r>
      <w:proofErr w:type="spellEnd"/>
      <w:r>
        <w:rPr>
          <w:rFonts w:eastAsia="Calibri"/>
        </w:rPr>
        <w:t>,</w:t>
      </w:r>
      <w:r w:rsidRPr="00432A7F">
        <w:rPr>
          <w:rFonts w:eastAsia="Calibri"/>
        </w:rPr>
        <w:t>” YouTube</w:t>
      </w:r>
      <w:r>
        <w:rPr>
          <w:rFonts w:eastAsia="Calibri"/>
        </w:rPr>
        <w:t xml:space="preserve"> video, 3:56, posted by “LUX South Africa,” </w:t>
      </w:r>
      <w:r w:rsidRPr="00432A7F">
        <w:rPr>
          <w:rFonts w:eastAsia="Calibri"/>
        </w:rPr>
        <w:t xml:space="preserve">June </w:t>
      </w:r>
      <w:r w:rsidRPr="007C4AD9">
        <w:rPr>
          <w:rFonts w:eastAsia="Calibri"/>
        </w:rPr>
        <w:t>14</w:t>
      </w:r>
      <w:r>
        <w:rPr>
          <w:rFonts w:eastAsia="Calibri"/>
        </w:rPr>
        <w:t>,</w:t>
      </w:r>
      <w:r w:rsidRPr="007C4AD9">
        <w:rPr>
          <w:rFonts w:eastAsia="Calibri"/>
        </w:rPr>
        <w:t xml:space="preserve"> </w:t>
      </w:r>
      <w:r w:rsidRPr="00432A7F">
        <w:rPr>
          <w:rFonts w:eastAsia="Calibri"/>
        </w:rPr>
        <w:t xml:space="preserve">2017, accessed January </w:t>
      </w:r>
      <w:r w:rsidRPr="00090F20">
        <w:rPr>
          <w:rFonts w:eastAsia="Calibri"/>
        </w:rPr>
        <w:t>15</w:t>
      </w:r>
      <w:r>
        <w:rPr>
          <w:rFonts w:eastAsia="Calibri"/>
        </w:rPr>
        <w:t>,</w:t>
      </w:r>
      <w:r w:rsidRPr="00090F20">
        <w:rPr>
          <w:rFonts w:eastAsia="Calibri"/>
        </w:rPr>
        <w:t xml:space="preserve"> </w:t>
      </w:r>
      <w:r w:rsidRPr="00432A7F">
        <w:rPr>
          <w:rFonts w:eastAsia="Calibri"/>
        </w:rPr>
        <w:t>201</w:t>
      </w:r>
      <w:r>
        <w:rPr>
          <w:rFonts w:eastAsia="Calibri"/>
        </w:rPr>
        <w:t>8</w:t>
      </w:r>
      <w:r w:rsidRPr="00432A7F">
        <w:rPr>
          <w:rFonts w:eastAsia="Calibri"/>
        </w:rPr>
        <w:t xml:space="preserve">, </w:t>
      </w:r>
      <w:r w:rsidRPr="00BA72FB">
        <w:rPr>
          <w:rFonts w:eastAsia="Calibri"/>
        </w:rPr>
        <w:t>https://youtu.be/FpcTm-N8nEU</w:t>
      </w:r>
      <w:r>
        <w:rPr>
          <w:rFonts w:eastAsia="Calibri"/>
        </w:rPr>
        <w:t>.</w:t>
      </w:r>
      <w:r w:rsidRPr="00BA72FB" w:rsidDel="00BA72FB">
        <w:rPr>
          <w:rFonts w:eastAsia="Calibri"/>
        </w:rPr>
        <w:t xml:space="preserve"> </w:t>
      </w:r>
    </w:p>
  </w:endnote>
  <w:endnote w:id="21">
    <w:p w14:paraId="6AF38167" w14:textId="6961AF22" w:rsidR="000E0BDF" w:rsidRPr="003E2F7C" w:rsidRDefault="000E0BDF" w:rsidP="003E2F7C">
      <w:pPr>
        <w:pStyle w:val="Footnote"/>
      </w:pPr>
      <w:r>
        <w:rPr>
          <w:rStyle w:val="EndnoteReference"/>
        </w:rPr>
        <w:endnoteRef/>
      </w:r>
      <w:r>
        <w:t xml:space="preserve"> </w:t>
      </w:r>
      <w:r>
        <w:rPr>
          <w:lang w:val="en-GB"/>
        </w:rPr>
        <w:t>“HIV and AIDS in South Africa</w:t>
      </w:r>
      <w:r w:rsidR="00794DC0">
        <w:rPr>
          <w:lang w:val="en-GB"/>
        </w:rPr>
        <w:t>,</w:t>
      </w:r>
      <w:r>
        <w:rPr>
          <w:lang w:val="en-GB"/>
        </w:rPr>
        <w:t xml:space="preserve">” </w:t>
      </w:r>
      <w:r>
        <w:rPr>
          <w:i/>
          <w:lang w:val="en-GB"/>
        </w:rPr>
        <w:t xml:space="preserve">AVERT, </w:t>
      </w:r>
      <w:r>
        <w:rPr>
          <w:lang w:val="en-GB"/>
        </w:rPr>
        <w:t>October</w:t>
      </w:r>
      <w:r w:rsidR="00794DC0">
        <w:rPr>
          <w:lang w:val="en-GB"/>
        </w:rPr>
        <w:t xml:space="preserve"> 30,</w:t>
      </w:r>
      <w:r>
        <w:rPr>
          <w:lang w:val="en-GB"/>
        </w:rPr>
        <w:t xml:space="preserve"> 2017, </w:t>
      </w:r>
      <w:r w:rsidR="001F53CB">
        <w:rPr>
          <w:lang w:val="en-GB"/>
        </w:rPr>
        <w:t>accessed December</w:t>
      </w:r>
      <w:r w:rsidR="00821FED">
        <w:rPr>
          <w:lang w:val="en-GB"/>
        </w:rPr>
        <w:t xml:space="preserve"> 4,</w:t>
      </w:r>
      <w:r>
        <w:rPr>
          <w:lang w:val="en-GB"/>
        </w:rPr>
        <w:t xml:space="preserve"> 2017. </w:t>
      </w:r>
      <w:hyperlink r:id="rId5" w:history="1">
        <w:r w:rsidRPr="003E2F7C">
          <w:t>https://www.avert.org/professionals/hiv-around-world/sub-saharan-africa/south-africa</w:t>
        </w:r>
      </w:hyperlink>
      <w:r>
        <w:t>.</w:t>
      </w:r>
    </w:p>
  </w:endnote>
  <w:endnote w:id="22">
    <w:p w14:paraId="1AB83492" w14:textId="77777777" w:rsidR="000E0BDF" w:rsidRPr="00595E71" w:rsidRDefault="000E0BDF" w:rsidP="00432A7F">
      <w:pPr>
        <w:pStyle w:val="Footnote"/>
        <w:rPr>
          <w:lang w:val="en-GB"/>
        </w:rPr>
      </w:pPr>
      <w:r>
        <w:rPr>
          <w:rStyle w:val="EndnoteReference"/>
        </w:rPr>
        <w:endnoteRef/>
      </w:r>
      <w:r>
        <w:t xml:space="preserve"> </w:t>
      </w:r>
      <w:r>
        <w:rPr>
          <w:lang w:val="en-GB"/>
        </w:rPr>
        <w:t xml:space="preserve">Staff Reporter, “‘Racist’ Dove Ad Causes Outrage on Social Media,” </w:t>
      </w:r>
      <w:r w:rsidRPr="00432A7F">
        <w:rPr>
          <w:lang w:val="en-GB"/>
        </w:rPr>
        <w:t>News24,</w:t>
      </w:r>
      <w:r>
        <w:rPr>
          <w:i/>
          <w:lang w:val="en-GB"/>
        </w:rPr>
        <w:t xml:space="preserve"> </w:t>
      </w:r>
      <w:r>
        <w:rPr>
          <w:lang w:val="en-GB"/>
        </w:rPr>
        <w:t xml:space="preserve">October 8, 2017, accessed December 4, 2017, </w:t>
      </w:r>
      <w:r w:rsidRPr="007E10CA">
        <w:rPr>
          <w:lang w:val="en-GB"/>
        </w:rPr>
        <w:t>https://www.news24.com/SouthAfrica/News/racist-dove-ad-causes-outrage-on-social-media-20171008</w:t>
      </w:r>
      <w:r>
        <w:rPr>
          <w:lang w:val="en-GB"/>
        </w:rPr>
        <w:t>.</w:t>
      </w:r>
    </w:p>
  </w:endnote>
  <w:endnote w:id="23">
    <w:p w14:paraId="27C58B19" w14:textId="77777777" w:rsidR="000E0BDF" w:rsidRPr="007E10CA" w:rsidRDefault="000E0BDF" w:rsidP="003E2F7C">
      <w:pPr>
        <w:pStyle w:val="Footnote"/>
        <w:rPr>
          <w:lang w:val="en-GB"/>
        </w:rPr>
      </w:pPr>
      <w:r>
        <w:rPr>
          <w:rStyle w:val="EndnoteReference"/>
        </w:rPr>
        <w:endnoteRef/>
      </w:r>
      <w:r>
        <w:t xml:space="preserve"> </w:t>
      </w:r>
      <w:r>
        <w:rPr>
          <w:lang w:val="en-GB"/>
        </w:rPr>
        <w:t xml:space="preserve">Andrew Tucker, “Mettle’s FMCG Trust Index,” LinkedIn, May 11, 2017, accessed December 4, 2017, </w:t>
      </w:r>
      <w:r w:rsidRPr="007E10CA">
        <w:rPr>
          <w:lang w:val="en-GB"/>
        </w:rPr>
        <w:t>https://www.linkedin.com/pulse/mettles-fmcg-trust-index-andrew-tucker/</w:t>
      </w:r>
      <w:r>
        <w:rPr>
          <w:lang w:val="en-GB"/>
        </w:rPr>
        <w:t>.</w:t>
      </w:r>
    </w:p>
  </w:endnote>
  <w:endnote w:id="24">
    <w:p w14:paraId="6076118D" w14:textId="6388A2DC" w:rsidR="000E0BDF" w:rsidRPr="00407D97" w:rsidRDefault="000E0BDF" w:rsidP="003E2F7C">
      <w:pPr>
        <w:pStyle w:val="Footnote"/>
        <w:rPr>
          <w:lang w:val="en-GB"/>
        </w:rPr>
      </w:pPr>
      <w:r>
        <w:rPr>
          <w:rStyle w:val="EndnoteReference"/>
        </w:rPr>
        <w:endnoteRef/>
      </w:r>
      <w:r>
        <w:rPr>
          <w:lang w:val="en-GB"/>
        </w:rPr>
        <w:t xml:space="preserve"> </w:t>
      </w:r>
      <w:proofErr w:type="spellStart"/>
      <w:r>
        <w:rPr>
          <w:lang w:val="en-GB"/>
        </w:rPr>
        <w:t>Vuyo</w:t>
      </w:r>
      <w:proofErr w:type="spellEnd"/>
      <w:r>
        <w:rPr>
          <w:lang w:val="en-GB"/>
        </w:rPr>
        <w:t xml:space="preserve"> </w:t>
      </w:r>
      <w:proofErr w:type="spellStart"/>
      <w:r>
        <w:rPr>
          <w:lang w:val="en-GB"/>
        </w:rPr>
        <w:t>Mkize</w:t>
      </w:r>
      <w:proofErr w:type="spellEnd"/>
      <w:r>
        <w:rPr>
          <w:lang w:val="en-GB"/>
        </w:rPr>
        <w:t xml:space="preserve">, “Difference </w:t>
      </w:r>
      <w:r w:rsidR="00794DC0">
        <w:rPr>
          <w:lang w:val="en-GB"/>
        </w:rPr>
        <w:t>b</w:t>
      </w:r>
      <w:r>
        <w:rPr>
          <w:lang w:val="en-GB"/>
        </w:rPr>
        <w:t xml:space="preserve">etween Tavern, </w:t>
      </w:r>
      <w:proofErr w:type="spellStart"/>
      <w:r>
        <w:rPr>
          <w:lang w:val="en-GB"/>
        </w:rPr>
        <w:t>Shebeen</w:t>
      </w:r>
      <w:proofErr w:type="spellEnd"/>
      <w:r>
        <w:rPr>
          <w:lang w:val="en-GB"/>
        </w:rPr>
        <w:t xml:space="preserve">,” </w:t>
      </w:r>
      <w:r w:rsidRPr="00432A7F">
        <w:rPr>
          <w:lang w:val="en-GB"/>
        </w:rPr>
        <w:t>IOL,</w:t>
      </w:r>
      <w:r>
        <w:rPr>
          <w:i/>
          <w:lang w:val="en-GB"/>
        </w:rPr>
        <w:t xml:space="preserve"> </w:t>
      </w:r>
      <w:r>
        <w:rPr>
          <w:lang w:val="en-GB"/>
        </w:rPr>
        <w:t xml:space="preserve">May 8, 2012, accessed December 5, 2017, </w:t>
      </w:r>
      <w:r w:rsidRPr="00407D97">
        <w:rPr>
          <w:lang w:val="en-GB"/>
        </w:rPr>
        <w:t>https://www.iol.co.za/the-star/difference-between-tavern-shebeen-1291281</w:t>
      </w:r>
      <w:r>
        <w:rPr>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veyVHWLogos">
    <w:altName w:val="Courier New"/>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82CAC" w14:textId="77777777" w:rsidR="00614D09" w:rsidRDefault="00614D09" w:rsidP="00D75295">
      <w:r>
        <w:separator/>
      </w:r>
    </w:p>
  </w:footnote>
  <w:footnote w:type="continuationSeparator" w:id="0">
    <w:p w14:paraId="178AB8E4" w14:textId="77777777" w:rsidR="00614D09" w:rsidRDefault="00614D0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3E7D49" w14:textId="21E7FF7E" w:rsidR="00726154" w:rsidRPr="00C92CC4" w:rsidRDefault="00726154"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53A75">
      <w:rPr>
        <w:rFonts w:ascii="Arial" w:hAnsi="Arial"/>
        <w:b/>
        <w:noProof/>
      </w:rPr>
      <w:t>8</w:t>
    </w:r>
    <w:r>
      <w:rPr>
        <w:rFonts w:ascii="Arial" w:hAnsi="Arial"/>
        <w:b/>
      </w:rPr>
      <w:fldChar w:fldCharType="end"/>
    </w:r>
    <w:r>
      <w:rPr>
        <w:rFonts w:ascii="Arial" w:hAnsi="Arial"/>
        <w:b/>
      </w:rPr>
      <w:tab/>
    </w:r>
    <w:r w:rsidR="00AD6A80">
      <w:rPr>
        <w:rFonts w:ascii="Arial" w:hAnsi="Arial"/>
        <w:b/>
      </w:rPr>
      <w:t>9B18C015</w:t>
    </w:r>
  </w:p>
  <w:p w14:paraId="4E594B8F" w14:textId="77777777" w:rsidR="00726154" w:rsidRDefault="00726154" w:rsidP="00D13667">
    <w:pPr>
      <w:pStyle w:val="Header"/>
      <w:tabs>
        <w:tab w:val="clear" w:pos="4680"/>
      </w:tabs>
      <w:rPr>
        <w:sz w:val="18"/>
        <w:szCs w:val="18"/>
      </w:rPr>
    </w:pPr>
  </w:p>
  <w:p w14:paraId="52B49852" w14:textId="77777777" w:rsidR="00726154" w:rsidRPr="00C92CC4" w:rsidRDefault="00726154"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8F6"/>
    <w:rsid w:val="00013360"/>
    <w:rsid w:val="00016759"/>
    <w:rsid w:val="000216CE"/>
    <w:rsid w:val="00024ED4"/>
    <w:rsid w:val="00025DC7"/>
    <w:rsid w:val="00035F09"/>
    <w:rsid w:val="00044ECC"/>
    <w:rsid w:val="000531D3"/>
    <w:rsid w:val="0005646B"/>
    <w:rsid w:val="00076DC3"/>
    <w:rsid w:val="0008102D"/>
    <w:rsid w:val="00094C0E"/>
    <w:rsid w:val="000D3813"/>
    <w:rsid w:val="000D38F9"/>
    <w:rsid w:val="000D7091"/>
    <w:rsid w:val="000E0BDF"/>
    <w:rsid w:val="000E1EC4"/>
    <w:rsid w:val="000F0C22"/>
    <w:rsid w:val="000F6B09"/>
    <w:rsid w:val="000F6FDC"/>
    <w:rsid w:val="00102C74"/>
    <w:rsid w:val="00104567"/>
    <w:rsid w:val="00104916"/>
    <w:rsid w:val="00104AA7"/>
    <w:rsid w:val="0012732D"/>
    <w:rsid w:val="00143F25"/>
    <w:rsid w:val="00145736"/>
    <w:rsid w:val="00152682"/>
    <w:rsid w:val="00154FC9"/>
    <w:rsid w:val="0019241A"/>
    <w:rsid w:val="001947D6"/>
    <w:rsid w:val="001A22D1"/>
    <w:rsid w:val="001A752D"/>
    <w:rsid w:val="001A757E"/>
    <w:rsid w:val="001B5032"/>
    <w:rsid w:val="001C7777"/>
    <w:rsid w:val="001E364F"/>
    <w:rsid w:val="001F4222"/>
    <w:rsid w:val="001F53CB"/>
    <w:rsid w:val="00203AA1"/>
    <w:rsid w:val="00213E98"/>
    <w:rsid w:val="0023081A"/>
    <w:rsid w:val="0026601A"/>
    <w:rsid w:val="00283979"/>
    <w:rsid w:val="0029431D"/>
    <w:rsid w:val="002A1C43"/>
    <w:rsid w:val="002C7463"/>
    <w:rsid w:val="002F460C"/>
    <w:rsid w:val="002F48D6"/>
    <w:rsid w:val="00306934"/>
    <w:rsid w:val="00317391"/>
    <w:rsid w:val="00326216"/>
    <w:rsid w:val="00326531"/>
    <w:rsid w:val="00336580"/>
    <w:rsid w:val="00344CC5"/>
    <w:rsid w:val="00354899"/>
    <w:rsid w:val="00355FD6"/>
    <w:rsid w:val="00364A5C"/>
    <w:rsid w:val="00365482"/>
    <w:rsid w:val="00373FB1"/>
    <w:rsid w:val="003839A4"/>
    <w:rsid w:val="00386CE9"/>
    <w:rsid w:val="00396C76"/>
    <w:rsid w:val="003A44A5"/>
    <w:rsid w:val="003A471D"/>
    <w:rsid w:val="003B167B"/>
    <w:rsid w:val="003B30D8"/>
    <w:rsid w:val="003B7EF2"/>
    <w:rsid w:val="003C3FA4"/>
    <w:rsid w:val="003C557D"/>
    <w:rsid w:val="003D0BA1"/>
    <w:rsid w:val="003D50AC"/>
    <w:rsid w:val="003E2F7C"/>
    <w:rsid w:val="003F2B0C"/>
    <w:rsid w:val="004105B2"/>
    <w:rsid w:val="00412900"/>
    <w:rsid w:val="0041567F"/>
    <w:rsid w:val="00421D58"/>
    <w:rsid w:val="004221E4"/>
    <w:rsid w:val="00422AAF"/>
    <w:rsid w:val="004273F8"/>
    <w:rsid w:val="00427E4A"/>
    <w:rsid w:val="00432A7F"/>
    <w:rsid w:val="004355A3"/>
    <w:rsid w:val="00446546"/>
    <w:rsid w:val="00452769"/>
    <w:rsid w:val="00465348"/>
    <w:rsid w:val="00473522"/>
    <w:rsid w:val="004947E6"/>
    <w:rsid w:val="004B1CCB"/>
    <w:rsid w:val="004B632F"/>
    <w:rsid w:val="004D3FB1"/>
    <w:rsid w:val="004D468C"/>
    <w:rsid w:val="004D6F21"/>
    <w:rsid w:val="004D73A5"/>
    <w:rsid w:val="00502A35"/>
    <w:rsid w:val="00505D48"/>
    <w:rsid w:val="005160F1"/>
    <w:rsid w:val="00524F2F"/>
    <w:rsid w:val="00527E5C"/>
    <w:rsid w:val="00532CF5"/>
    <w:rsid w:val="00543505"/>
    <w:rsid w:val="005528CB"/>
    <w:rsid w:val="00566771"/>
    <w:rsid w:val="005737D1"/>
    <w:rsid w:val="00581E2E"/>
    <w:rsid w:val="00584F15"/>
    <w:rsid w:val="0059514B"/>
    <w:rsid w:val="005A1B0F"/>
    <w:rsid w:val="00614D09"/>
    <w:rsid w:val="006163F7"/>
    <w:rsid w:val="00627C63"/>
    <w:rsid w:val="0063350B"/>
    <w:rsid w:val="006351D9"/>
    <w:rsid w:val="00652606"/>
    <w:rsid w:val="00682AB4"/>
    <w:rsid w:val="0069423C"/>
    <w:rsid w:val="006946EE"/>
    <w:rsid w:val="00696234"/>
    <w:rsid w:val="006A58A9"/>
    <w:rsid w:val="006A606D"/>
    <w:rsid w:val="006C0371"/>
    <w:rsid w:val="006C061A"/>
    <w:rsid w:val="006C08B6"/>
    <w:rsid w:val="006C0B1A"/>
    <w:rsid w:val="006C6065"/>
    <w:rsid w:val="006C7F9F"/>
    <w:rsid w:val="006E0435"/>
    <w:rsid w:val="006E2F6D"/>
    <w:rsid w:val="006E58F6"/>
    <w:rsid w:val="006E77E1"/>
    <w:rsid w:val="006F131D"/>
    <w:rsid w:val="00711642"/>
    <w:rsid w:val="00726154"/>
    <w:rsid w:val="007507C6"/>
    <w:rsid w:val="00751E0B"/>
    <w:rsid w:val="00752BCD"/>
    <w:rsid w:val="00766DA1"/>
    <w:rsid w:val="00780D94"/>
    <w:rsid w:val="007866A6"/>
    <w:rsid w:val="00794DC0"/>
    <w:rsid w:val="007A130D"/>
    <w:rsid w:val="007A22FC"/>
    <w:rsid w:val="007B1AB0"/>
    <w:rsid w:val="007B5088"/>
    <w:rsid w:val="007D1A2D"/>
    <w:rsid w:val="007D4102"/>
    <w:rsid w:val="007F43B7"/>
    <w:rsid w:val="007F7686"/>
    <w:rsid w:val="008129F0"/>
    <w:rsid w:val="00821FED"/>
    <w:rsid w:val="00821FFC"/>
    <w:rsid w:val="008271CA"/>
    <w:rsid w:val="008467D5"/>
    <w:rsid w:val="008552F5"/>
    <w:rsid w:val="0089664E"/>
    <w:rsid w:val="00897CA7"/>
    <w:rsid w:val="008A4DC4"/>
    <w:rsid w:val="008A68B8"/>
    <w:rsid w:val="008B438C"/>
    <w:rsid w:val="008C7DAC"/>
    <w:rsid w:val="008D06CA"/>
    <w:rsid w:val="008D3A46"/>
    <w:rsid w:val="008E04F3"/>
    <w:rsid w:val="008E7F36"/>
    <w:rsid w:val="009000D6"/>
    <w:rsid w:val="0090411D"/>
    <w:rsid w:val="009067A4"/>
    <w:rsid w:val="00930885"/>
    <w:rsid w:val="00933D68"/>
    <w:rsid w:val="009340DB"/>
    <w:rsid w:val="0094618C"/>
    <w:rsid w:val="0095396A"/>
    <w:rsid w:val="0095684B"/>
    <w:rsid w:val="00972270"/>
    <w:rsid w:val="00972498"/>
    <w:rsid w:val="0097481F"/>
    <w:rsid w:val="00974CC6"/>
    <w:rsid w:val="00976AD4"/>
    <w:rsid w:val="00983E48"/>
    <w:rsid w:val="00984055"/>
    <w:rsid w:val="00995547"/>
    <w:rsid w:val="009A312F"/>
    <w:rsid w:val="009A5348"/>
    <w:rsid w:val="009A6F67"/>
    <w:rsid w:val="009B0AB7"/>
    <w:rsid w:val="009C76D5"/>
    <w:rsid w:val="009E3A4F"/>
    <w:rsid w:val="009F118B"/>
    <w:rsid w:val="009F7AA4"/>
    <w:rsid w:val="00A10AD7"/>
    <w:rsid w:val="00A559DB"/>
    <w:rsid w:val="00A569EA"/>
    <w:rsid w:val="00AD6A80"/>
    <w:rsid w:val="00AF35FC"/>
    <w:rsid w:val="00AF5556"/>
    <w:rsid w:val="00B03639"/>
    <w:rsid w:val="00B0652A"/>
    <w:rsid w:val="00B3620A"/>
    <w:rsid w:val="00B40937"/>
    <w:rsid w:val="00B423EF"/>
    <w:rsid w:val="00B453DE"/>
    <w:rsid w:val="00B72597"/>
    <w:rsid w:val="00B75DFB"/>
    <w:rsid w:val="00B901F9"/>
    <w:rsid w:val="00BA3EC8"/>
    <w:rsid w:val="00BA72FB"/>
    <w:rsid w:val="00BC287B"/>
    <w:rsid w:val="00BD6EFB"/>
    <w:rsid w:val="00BE2EA2"/>
    <w:rsid w:val="00C1584D"/>
    <w:rsid w:val="00C15BE2"/>
    <w:rsid w:val="00C3447F"/>
    <w:rsid w:val="00C5553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3248C"/>
    <w:rsid w:val="00D63150"/>
    <w:rsid w:val="00D636BA"/>
    <w:rsid w:val="00D64A32"/>
    <w:rsid w:val="00D64EFC"/>
    <w:rsid w:val="00D75295"/>
    <w:rsid w:val="00D76CE9"/>
    <w:rsid w:val="00D97F12"/>
    <w:rsid w:val="00DA6095"/>
    <w:rsid w:val="00DB42E7"/>
    <w:rsid w:val="00DB6F1F"/>
    <w:rsid w:val="00DE01A6"/>
    <w:rsid w:val="00DE10F9"/>
    <w:rsid w:val="00DE7831"/>
    <w:rsid w:val="00DE7A98"/>
    <w:rsid w:val="00DF32C2"/>
    <w:rsid w:val="00E471A7"/>
    <w:rsid w:val="00E53A75"/>
    <w:rsid w:val="00E544E8"/>
    <w:rsid w:val="00E635CF"/>
    <w:rsid w:val="00E86C3E"/>
    <w:rsid w:val="00EA281F"/>
    <w:rsid w:val="00EA2A16"/>
    <w:rsid w:val="00EB3D93"/>
    <w:rsid w:val="00EC6E0A"/>
    <w:rsid w:val="00ED4E18"/>
    <w:rsid w:val="00EE1F37"/>
    <w:rsid w:val="00F0159C"/>
    <w:rsid w:val="00F07D1B"/>
    <w:rsid w:val="00F105B7"/>
    <w:rsid w:val="00F13220"/>
    <w:rsid w:val="00F17A21"/>
    <w:rsid w:val="00F36EB9"/>
    <w:rsid w:val="00F37B27"/>
    <w:rsid w:val="00F46556"/>
    <w:rsid w:val="00F50E91"/>
    <w:rsid w:val="00F57D29"/>
    <w:rsid w:val="00F9452C"/>
    <w:rsid w:val="00F96201"/>
    <w:rsid w:val="00FA06D9"/>
    <w:rsid w:val="00FB26B8"/>
    <w:rsid w:val="00FC5E14"/>
    <w:rsid w:val="00FD0B18"/>
    <w:rsid w:val="00FD1D63"/>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0ACD8D4E"/>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veycas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ases@ivey.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1x6QSI" TargetMode="External"/><Relationship Id="rId5" Type="http://schemas.openxmlformats.org/officeDocument/2006/relationships/webSettings" Target="webSettings.xml"/><Relationship Id="rId15" Type="http://schemas.openxmlformats.org/officeDocument/2006/relationships/header" Target="header1.xml"/><Relationship Id="rId23" Type="http://schemas.microsoft.com/office/2016/09/relationships/commentsIds" Target="commentsIds.xml"/><Relationship Id="rId10" Type="http://schemas.openxmlformats.org/officeDocument/2006/relationships/hyperlink" Target="https://iveypubs.my.salesforce.com/003A000001CqpV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s>
</file>

<file path=word/_rels/endnotes.xml.rels><?xml version="1.0" encoding="UTF-8" standalone="yes"?>
<Relationships xmlns="http://schemas.openxmlformats.org/package/2006/relationships"><Relationship Id="rId3" Type="http://schemas.openxmlformats.org/officeDocument/2006/relationships/hyperlink" Target="http://za.pg.com/en-ZA/sustainability/at-a-glance/our-goals" TargetMode="External"/><Relationship Id="rId2" Type="http://schemas.openxmlformats.org/officeDocument/2006/relationships/hyperlink" Target="https://www.beiersdorf.co.za/about-us/our-profile/strategy" TargetMode="External"/><Relationship Id="rId1" Type="http://schemas.openxmlformats.org/officeDocument/2006/relationships/hyperlink" Target="https://www.unilever.co.za/about/who-we-are/our-history/" TargetMode="External"/><Relationship Id="rId5" Type="http://schemas.openxmlformats.org/officeDocument/2006/relationships/hyperlink" Target="https://www.avert.org/professionals/hiv-around-world/sub-saharan-africa/south-africa" TargetMode="External"/><Relationship Id="rId4" Type="http://schemas.openxmlformats.org/officeDocument/2006/relationships/hyperlink" Target="https://mg.co.za/article/2016-08-04-00-figures-suggest-sa-has-the-highest-concentration-of-wealth-in-the-hands-of-a-f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73BB065-5EC0-45E1-96BA-427710ED1252}">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5D0E88E-551A-476B-874D-C8C6C07B9BF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868BE-CAB5-4CA4-90CE-0CE35479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3883</Words>
  <Characters>22135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Martinali, Sara</cp:lastModifiedBy>
  <cp:revision>3</cp:revision>
  <cp:lastPrinted>2015-03-04T20:34:00Z</cp:lastPrinted>
  <dcterms:created xsi:type="dcterms:W3CDTF">2018-06-04T17:05:00Z</dcterms:created>
  <dcterms:modified xsi:type="dcterms:W3CDTF">2018-06-08T13:04:00Z</dcterms:modified>
</cp:coreProperties>
</file>