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CD16E5" w:rsidRPr="00D314C3" w14:paraId="7678D2F1" w14:textId="77777777" w:rsidTr="000C24D9">
        <w:tc>
          <w:tcPr>
            <w:tcW w:w="4680" w:type="dxa"/>
          </w:tcPr>
          <w:p w14:paraId="011F9365" w14:textId="77777777" w:rsidR="00CD16E5" w:rsidRPr="00D314C3" w:rsidRDefault="00CD16E5" w:rsidP="000C24D9">
            <w:pPr>
              <w:tabs>
                <w:tab w:val="left" w:pos="-1440"/>
                <w:tab w:val="left" w:pos="-720"/>
                <w:tab w:val="left" w:pos="1"/>
              </w:tabs>
              <w:jc w:val="both"/>
              <w:rPr>
                <w:rFonts w:ascii="Arial" w:hAnsi="Arial"/>
                <w:b/>
                <w:sz w:val="24"/>
              </w:rPr>
            </w:pPr>
            <w:r w:rsidRPr="00D314C3">
              <w:rPr>
                <w:rFonts w:ascii="Arial" w:hAnsi="Arial"/>
                <w:b/>
                <w:noProof/>
                <w:sz w:val="24"/>
              </w:rPr>
              <w:drawing>
                <wp:inline distT="0" distB="0" distL="0" distR="0" wp14:anchorId="2EAA3E27" wp14:editId="541F196F">
                  <wp:extent cx="2613804" cy="55124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33664BDB" w14:textId="77777777" w:rsidR="00CD16E5" w:rsidRPr="00D314C3" w:rsidRDefault="00CD16E5" w:rsidP="000C24D9">
            <w:pPr>
              <w:tabs>
                <w:tab w:val="left" w:pos="-1440"/>
                <w:tab w:val="left" w:pos="-720"/>
                <w:tab w:val="left" w:pos="1"/>
              </w:tabs>
              <w:jc w:val="right"/>
              <w:rPr>
                <w:rFonts w:ascii="Arial" w:hAnsi="Arial"/>
                <w:b/>
                <w:sz w:val="24"/>
              </w:rPr>
            </w:pPr>
            <w:r w:rsidRPr="00D314C3">
              <w:rPr>
                <w:rFonts w:ascii="IveyVHWLogos" w:eastAsia="SimSun" w:hAnsi="IveyVHWLogos"/>
                <w:noProof/>
                <w:sz w:val="44"/>
                <w:szCs w:val="44"/>
              </w:rPr>
              <w:drawing>
                <wp:inline distT="0" distB="0" distL="0" distR="0" wp14:anchorId="481FAB2A" wp14:editId="01F63D0F">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144170B6" w14:textId="77777777" w:rsidR="00CD16E5" w:rsidRPr="00D314C3" w:rsidRDefault="00CD16E5" w:rsidP="00CD16E5">
      <w:pPr>
        <w:pBdr>
          <w:bottom w:val="single" w:sz="18" w:space="1" w:color="auto"/>
        </w:pBdr>
        <w:tabs>
          <w:tab w:val="left" w:pos="-1440"/>
          <w:tab w:val="left" w:pos="-720"/>
          <w:tab w:val="left" w:pos="1"/>
        </w:tabs>
        <w:jc w:val="both"/>
        <w:rPr>
          <w:rFonts w:ascii="Arial" w:hAnsi="Arial"/>
          <w:b/>
          <w:sz w:val="2"/>
          <w:szCs w:val="2"/>
        </w:rPr>
      </w:pPr>
    </w:p>
    <w:p w14:paraId="2D8DA972" w14:textId="56C39444" w:rsidR="00CD16E5" w:rsidRPr="00D314C3" w:rsidRDefault="00943431" w:rsidP="00CD16E5">
      <w:pPr>
        <w:jc w:val="right"/>
        <w:rPr>
          <w:rFonts w:ascii="Arial" w:hAnsi="Arial"/>
          <w:b/>
          <w:caps/>
          <w:sz w:val="24"/>
        </w:rPr>
      </w:pPr>
      <w:r>
        <w:rPr>
          <w:rFonts w:ascii="Arial" w:hAnsi="Arial"/>
          <w:b/>
          <w:caps/>
          <w:sz w:val="24"/>
        </w:rPr>
        <w:t>9B18C019</w:t>
      </w:r>
    </w:p>
    <w:p w14:paraId="77FE26D5" w14:textId="77777777" w:rsidR="00D75295" w:rsidRPr="003D0BA1" w:rsidRDefault="00D75295" w:rsidP="00D75295">
      <w:pPr>
        <w:jc w:val="right"/>
        <w:rPr>
          <w:rFonts w:ascii="Arial" w:hAnsi="Arial"/>
          <w:b/>
          <w:sz w:val="28"/>
          <w:szCs w:val="28"/>
        </w:rPr>
      </w:pPr>
    </w:p>
    <w:p w14:paraId="6C249E61" w14:textId="77777777" w:rsidR="00013360" w:rsidRPr="003D0BA1" w:rsidRDefault="00013360" w:rsidP="00D75295">
      <w:pPr>
        <w:jc w:val="right"/>
        <w:rPr>
          <w:rFonts w:ascii="Arial" w:hAnsi="Arial"/>
          <w:b/>
          <w:sz w:val="28"/>
          <w:szCs w:val="28"/>
        </w:rPr>
      </w:pPr>
    </w:p>
    <w:p w14:paraId="53DCE9BF" w14:textId="54A3AE94" w:rsidR="00013360" w:rsidRDefault="00FE43C4" w:rsidP="00013360">
      <w:pPr>
        <w:pStyle w:val="CaseTitle"/>
        <w:spacing w:after="0" w:line="240" w:lineRule="auto"/>
        <w:rPr>
          <w:sz w:val="20"/>
          <w:szCs w:val="20"/>
        </w:rPr>
      </w:pPr>
      <w:r w:rsidRPr="00455280">
        <w:rPr>
          <w:lang w:val="en-GB"/>
        </w:rPr>
        <w:t>IMPLEMENTING FORTIS OPERATING SYSTEM (B)</w:t>
      </w:r>
      <w:r w:rsidR="006C0476">
        <w:rPr>
          <w:rStyle w:val="FootnoteReference"/>
          <w:lang w:val="en-GB"/>
        </w:rPr>
        <w:footnoteReference w:id="1"/>
      </w:r>
    </w:p>
    <w:p w14:paraId="5D001DA0" w14:textId="77777777" w:rsidR="00CA3976" w:rsidRDefault="00CA3976" w:rsidP="00013360">
      <w:pPr>
        <w:pStyle w:val="CaseTitle"/>
        <w:spacing w:after="0" w:line="240" w:lineRule="auto"/>
        <w:rPr>
          <w:sz w:val="20"/>
          <w:szCs w:val="20"/>
        </w:rPr>
      </w:pPr>
    </w:p>
    <w:p w14:paraId="687D69C6" w14:textId="77777777" w:rsidR="00013360" w:rsidRPr="00013360" w:rsidRDefault="00013360" w:rsidP="00013360">
      <w:pPr>
        <w:pStyle w:val="CaseTitle"/>
        <w:spacing w:after="0" w:line="240" w:lineRule="auto"/>
        <w:rPr>
          <w:sz w:val="20"/>
          <w:szCs w:val="20"/>
        </w:rPr>
      </w:pPr>
    </w:p>
    <w:p w14:paraId="2E4FCB4A" w14:textId="77777777" w:rsidR="00627C63" w:rsidRPr="00627C63" w:rsidRDefault="00FE43C4" w:rsidP="00627C63">
      <w:pPr>
        <w:pStyle w:val="StyleCopyrightStatementAfter0ptBottomSinglesolidline1"/>
      </w:pPr>
      <w:r>
        <w:t>Subramaniam Ramnarayan and Sunita Mehta</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0E3862F3" w14:textId="77777777" w:rsidR="00CD16E5" w:rsidRDefault="00CD16E5" w:rsidP="00CD16E5">
      <w:pPr>
        <w:pStyle w:val="StyleCopyrightStatementAfter0ptBottomSinglesolidline1"/>
      </w:pPr>
    </w:p>
    <w:p w14:paraId="2438CA56" w14:textId="65E13798" w:rsidR="00CD16E5" w:rsidRPr="00D314C3" w:rsidRDefault="00CD16E5" w:rsidP="00CD16E5">
      <w:pPr>
        <w:jc w:val="both"/>
        <w:rPr>
          <w:rFonts w:ascii="Arial" w:hAnsi="Arial" w:cs="Arial"/>
          <w:i/>
          <w:iCs/>
          <w:sz w:val="16"/>
          <w:szCs w:val="16"/>
          <w:lang w:val="en-CA"/>
        </w:rPr>
      </w:pPr>
      <w:r w:rsidRPr="00D314C3">
        <w:rPr>
          <w:rFonts w:ascii="Arial" w:hAnsi="Arial" w:cs="Arial"/>
          <w:i/>
          <w:iCs/>
          <w:sz w:val="16"/>
          <w:szCs w:val="16"/>
          <w:lang w:val="en-CA"/>
        </w:rPr>
        <w:t>This publication may not be transmitted, photocopied, digitized</w:t>
      </w:r>
      <w:r w:rsidR="00A90F05">
        <w:rPr>
          <w:rFonts w:ascii="Arial" w:hAnsi="Arial" w:cs="Arial"/>
          <w:i/>
          <w:iCs/>
          <w:sz w:val="16"/>
          <w:szCs w:val="16"/>
          <w:lang w:val="en-CA"/>
        </w:rPr>
        <w:t>,</w:t>
      </w:r>
      <w:r w:rsidRPr="00D314C3">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D314C3">
          <w:rPr>
            <w:rFonts w:ascii="Arial" w:hAnsi="Arial" w:cs="Arial"/>
            <w:i/>
            <w:iCs/>
            <w:sz w:val="16"/>
            <w:szCs w:val="16"/>
            <w:lang w:val="en-CA"/>
          </w:rPr>
          <w:t>cases@ivey.ca</w:t>
        </w:r>
      </w:hyperlink>
      <w:r w:rsidRPr="00D314C3">
        <w:rPr>
          <w:rFonts w:ascii="Arial" w:hAnsi="Arial" w:cs="Arial"/>
          <w:i/>
          <w:iCs/>
          <w:sz w:val="16"/>
          <w:szCs w:val="16"/>
          <w:lang w:val="en-CA"/>
        </w:rPr>
        <w:t xml:space="preserve">; </w:t>
      </w:r>
      <w:hyperlink r:id="rId11" w:history="1">
        <w:r w:rsidRPr="00D314C3">
          <w:rPr>
            <w:rFonts w:ascii="Arial" w:hAnsi="Arial" w:cs="Arial"/>
            <w:i/>
            <w:iCs/>
            <w:sz w:val="16"/>
            <w:szCs w:val="16"/>
            <w:lang w:val="en-CA"/>
          </w:rPr>
          <w:t>www.iveycases.com</w:t>
        </w:r>
      </w:hyperlink>
      <w:r w:rsidRPr="00D314C3">
        <w:rPr>
          <w:rFonts w:ascii="Arial" w:hAnsi="Arial" w:cs="Arial"/>
          <w:i/>
          <w:iCs/>
          <w:sz w:val="16"/>
          <w:szCs w:val="16"/>
          <w:lang w:val="en-CA"/>
        </w:rPr>
        <w:t>.</w:t>
      </w:r>
    </w:p>
    <w:p w14:paraId="31B718B7" w14:textId="77777777" w:rsidR="00CD16E5" w:rsidRPr="00D314C3" w:rsidRDefault="00CD16E5" w:rsidP="00CD16E5">
      <w:pPr>
        <w:tabs>
          <w:tab w:val="right" w:pos="9360"/>
        </w:tabs>
        <w:autoSpaceDE w:val="0"/>
        <w:autoSpaceDN w:val="0"/>
        <w:adjustRightInd w:val="0"/>
        <w:jc w:val="both"/>
        <w:textAlignment w:val="center"/>
        <w:rPr>
          <w:rFonts w:ascii="Arial" w:hAnsi="Arial"/>
          <w:i/>
          <w:iCs/>
          <w:color w:val="000000"/>
          <w:sz w:val="16"/>
        </w:rPr>
      </w:pPr>
    </w:p>
    <w:p w14:paraId="49E18885" w14:textId="22872BF4" w:rsidR="00751E0B" w:rsidRDefault="00CD16E5" w:rsidP="00CD16E5">
      <w:pPr>
        <w:pStyle w:val="StyleStyleCopyrightStatementAfter0ptBottomSinglesolid"/>
      </w:pPr>
      <w:r w:rsidRPr="00D314C3">
        <w:rPr>
          <w:rFonts w:cs="Arial"/>
          <w:iCs w:val="0"/>
          <w:color w:val="auto"/>
          <w:szCs w:val="16"/>
        </w:rPr>
        <w:t>Copyright © 20</w:t>
      </w:r>
      <w:r>
        <w:rPr>
          <w:rFonts w:cs="Arial"/>
          <w:iCs w:val="0"/>
          <w:color w:val="auto"/>
          <w:szCs w:val="16"/>
        </w:rPr>
        <w:t>18</w:t>
      </w:r>
      <w:r w:rsidRPr="00D314C3">
        <w:rPr>
          <w:rFonts w:cs="Arial"/>
          <w:iCs w:val="0"/>
          <w:color w:val="auto"/>
          <w:szCs w:val="16"/>
        </w:rPr>
        <w:t>, Ivey School of Business Foundation</w:t>
      </w:r>
      <w:r w:rsidRPr="00D314C3">
        <w:rPr>
          <w:rFonts w:cs="Arial"/>
          <w:iCs w:val="0"/>
          <w:color w:val="auto"/>
          <w:szCs w:val="16"/>
        </w:rPr>
        <w:tab/>
        <w:t xml:space="preserve">Version: </w:t>
      </w:r>
      <w:r>
        <w:rPr>
          <w:rFonts w:cs="Arial"/>
          <w:iCs w:val="0"/>
          <w:color w:val="auto"/>
          <w:szCs w:val="16"/>
        </w:rPr>
        <w:t>2</w:t>
      </w:r>
      <w:bookmarkStart w:id="0" w:name="_GoBack"/>
      <w:bookmarkEnd w:id="0"/>
      <w:r>
        <w:rPr>
          <w:rFonts w:cs="Arial"/>
          <w:iCs w:val="0"/>
          <w:color w:val="auto"/>
          <w:szCs w:val="16"/>
        </w:rPr>
        <w:t>018-06-</w:t>
      </w:r>
      <w:r w:rsidR="006C0476">
        <w:rPr>
          <w:rFonts w:cs="Arial"/>
          <w:iCs w:val="0"/>
          <w:color w:val="auto"/>
          <w:szCs w:val="16"/>
        </w:rPr>
        <w:t>2</w:t>
      </w:r>
      <w:r w:rsidR="008B1519">
        <w:rPr>
          <w:rFonts w:cs="Arial"/>
          <w:iCs w:val="0"/>
          <w:color w:val="auto"/>
          <w:szCs w:val="16"/>
        </w:rPr>
        <w:t>9</w:t>
      </w:r>
    </w:p>
    <w:p w14:paraId="6C3F2331" w14:textId="77777777" w:rsidR="00751E0B" w:rsidRPr="003B7EF2" w:rsidRDefault="00751E0B" w:rsidP="00751E0B">
      <w:pPr>
        <w:pStyle w:val="StyleCopyrightStatementAfter0ptBottomSinglesolidline1"/>
        <w:rPr>
          <w:rFonts w:ascii="Times New Roman" w:hAnsi="Times New Roman"/>
          <w:sz w:val="20"/>
        </w:rPr>
      </w:pPr>
    </w:p>
    <w:p w14:paraId="4D35F693" w14:textId="77777777" w:rsidR="004B632F" w:rsidRDefault="004B632F" w:rsidP="004B632F">
      <w:pPr>
        <w:pStyle w:val="StyleCopyrightStatementAfter0ptBottomSinglesolidline1"/>
        <w:rPr>
          <w:rFonts w:ascii="Times New Roman" w:hAnsi="Times New Roman"/>
          <w:sz w:val="20"/>
        </w:rPr>
      </w:pPr>
    </w:p>
    <w:p w14:paraId="2A415546" w14:textId="6D80C059" w:rsidR="00FE43C4" w:rsidRDefault="00FE43C4" w:rsidP="00FE43C4">
      <w:pPr>
        <w:pStyle w:val="BodyTextMain"/>
      </w:pPr>
      <w:r>
        <w:t xml:space="preserve">On April </w:t>
      </w:r>
      <w:r w:rsidR="006E7151">
        <w:t xml:space="preserve">20, </w:t>
      </w:r>
      <w:r>
        <w:t xml:space="preserve">2017, Bhavdeep Singh, </w:t>
      </w:r>
      <w:r w:rsidR="00000A41">
        <w:t>c</w:t>
      </w:r>
      <w:r>
        <w:t xml:space="preserve">hief </w:t>
      </w:r>
      <w:r w:rsidR="00000A41">
        <w:t>e</w:t>
      </w:r>
      <w:r>
        <w:t xml:space="preserve">xecutive </w:t>
      </w:r>
      <w:r w:rsidR="00000A41">
        <w:t>o</w:t>
      </w:r>
      <w:r>
        <w:t xml:space="preserve">fficer (CEO) of </w:t>
      </w:r>
      <w:r w:rsidRPr="00B64BFE">
        <w:t>Fortis Health</w:t>
      </w:r>
      <w:r w:rsidR="009E43C8">
        <w:t>c</w:t>
      </w:r>
      <w:r w:rsidRPr="00B64BFE">
        <w:t>are Limited (Fortis)</w:t>
      </w:r>
      <w:r w:rsidR="009E43C8">
        <w:t>,</w:t>
      </w:r>
      <w:r>
        <w:t xml:space="preserve"> was pleased with the exceptionally good response to the </w:t>
      </w:r>
      <w:r w:rsidR="009E43C8">
        <w:t>“</w:t>
      </w:r>
      <w:r>
        <w:t>FOS week</w:t>
      </w:r>
      <w:r w:rsidR="009E43C8">
        <w:t>”</w:t>
      </w:r>
      <w:r>
        <w:t xml:space="preserve"> celebrations held across all hospitals of the Fortis group. Since its relaunch in August 2015, Fortis Operating System (FOS) had </w:t>
      </w:r>
      <w:r w:rsidR="009E43C8">
        <w:t>come</w:t>
      </w:r>
      <w:r>
        <w:t xml:space="preserve"> a long </w:t>
      </w:r>
      <w:r w:rsidR="009E43C8">
        <w:t>way</w:t>
      </w:r>
      <w:r>
        <w:t xml:space="preserve"> from being </w:t>
      </w:r>
      <w:r w:rsidR="009E43C8">
        <w:t>considered</w:t>
      </w:r>
      <w:r>
        <w:t xml:space="preserve"> an organizational ritua</w:t>
      </w:r>
      <w:r w:rsidR="00A90F05">
        <w:t xml:space="preserve">l </w:t>
      </w:r>
      <w:r>
        <w:t xml:space="preserve">to its present state as a key </w:t>
      </w:r>
      <w:r w:rsidRPr="002F0896">
        <w:t>driv</w:t>
      </w:r>
      <w:r>
        <w:t>er of</w:t>
      </w:r>
      <w:r w:rsidRPr="002F0896">
        <w:t xml:space="preserve"> operational excellence across the organization</w:t>
      </w:r>
      <w:r>
        <w:t>. Bhavdeep was especially happy that the</w:t>
      </w:r>
      <w:r w:rsidR="00A90F05">
        <w:t xml:space="preserve"> Fortis</w:t>
      </w:r>
      <w:r>
        <w:t xml:space="preserve"> clinicians and administrative staff adopted FOS with a strong sense of ownership and commitment, and </w:t>
      </w:r>
      <w:r w:rsidR="009E43C8">
        <w:t xml:space="preserve">that </w:t>
      </w:r>
      <w:r>
        <w:t xml:space="preserve">FOS had regained its rightful place as an important management tool for enhancing </w:t>
      </w:r>
      <w:r w:rsidRPr="00B93AB7">
        <w:t xml:space="preserve">patient satisfaction, </w:t>
      </w:r>
      <w:r w:rsidR="009E43C8">
        <w:t xml:space="preserve">the </w:t>
      </w:r>
      <w:r w:rsidRPr="00B93AB7">
        <w:t>predictability of outcomes</w:t>
      </w:r>
      <w:r w:rsidR="009E43C8">
        <w:t>,</w:t>
      </w:r>
      <w:r w:rsidRPr="00B93AB7">
        <w:t xml:space="preserve"> and efficiency </w:t>
      </w:r>
      <w:r>
        <w:t>through attention to non-clinical processes.</w:t>
      </w:r>
    </w:p>
    <w:p w14:paraId="2771192D" w14:textId="77777777" w:rsidR="00FE43C4" w:rsidRPr="00CD16E5" w:rsidRDefault="00FE43C4" w:rsidP="00FE43C4">
      <w:pPr>
        <w:pStyle w:val="BodyTextMain"/>
        <w:rPr>
          <w:sz w:val="20"/>
        </w:rPr>
      </w:pPr>
    </w:p>
    <w:p w14:paraId="38DF9669" w14:textId="48C37E00" w:rsidR="00FE43C4" w:rsidRDefault="00FE43C4" w:rsidP="00FE43C4">
      <w:pPr>
        <w:pStyle w:val="BodyTextMain"/>
      </w:pPr>
      <w:r>
        <w:t xml:space="preserve">Though FOS had been successfully rejuvenated, Bhavdeep knew that two </w:t>
      </w:r>
      <w:r w:rsidR="009E43C8">
        <w:t xml:space="preserve">so far </w:t>
      </w:r>
      <w:r>
        <w:t>un</w:t>
      </w:r>
      <w:r w:rsidR="009E43C8">
        <w:t>-</w:t>
      </w:r>
      <w:r>
        <w:t>met challenges required his attention. First, it would be necessary for FOS to continuously evolve and remain updated in the emerging world of digital disruptions and changing customer preferences</w:t>
      </w:r>
      <w:r w:rsidR="009E43C8">
        <w:t>;</w:t>
      </w:r>
      <w:r>
        <w:t xml:space="preserve"> </w:t>
      </w:r>
      <w:r w:rsidR="009E43C8">
        <w:t>o</w:t>
      </w:r>
      <w:r>
        <w:t>therwise</w:t>
      </w:r>
      <w:r w:rsidR="009E43C8">
        <w:t>,</w:t>
      </w:r>
      <w:r>
        <w:t xml:space="preserve"> the system would fail to remain relevant. How </w:t>
      </w:r>
      <w:r w:rsidR="008B1519">
        <w:t>c</w:t>
      </w:r>
      <w:r>
        <w:t>ould the organization build innovative capacity in FOS? What c</w:t>
      </w:r>
      <w:r w:rsidR="009E43C8">
        <w:t>ould</w:t>
      </w:r>
      <w:r>
        <w:t xml:space="preserve"> be done to ensure that </w:t>
      </w:r>
      <w:r w:rsidR="009E43C8">
        <w:t>the standard operating procedures (</w:t>
      </w:r>
      <w:r>
        <w:t>SOPs</w:t>
      </w:r>
      <w:r w:rsidR="009E43C8">
        <w:t>)</w:t>
      </w:r>
      <w:r>
        <w:t xml:space="preserve"> underlying FOS kept evolving and adapting to changing times? There was yet another challenge that Bhavdeep foresaw. </w:t>
      </w:r>
      <w:r w:rsidR="005A5272">
        <w:t>T</w:t>
      </w:r>
      <w:r>
        <w:t>he nature of FOS</w:t>
      </w:r>
      <w:r w:rsidR="005A5272">
        <w:t xml:space="preserve"> meant</w:t>
      </w:r>
      <w:r>
        <w:t xml:space="preserve"> it focused on </w:t>
      </w:r>
      <w:r w:rsidR="009E43C8">
        <w:t>“</w:t>
      </w:r>
      <w:r>
        <w:t>hard</w:t>
      </w:r>
      <w:r w:rsidR="009E43C8">
        <w:t>”</w:t>
      </w:r>
      <w:r>
        <w:t xml:space="preserve"> measures contributing to patient satisfaction. </w:t>
      </w:r>
      <w:r w:rsidR="005A5272">
        <w:t>However, i</w:t>
      </w:r>
      <w:r>
        <w:t xml:space="preserve">n a pioneering move within India, FOS leadership had decided in a recent meeting to enhance their focus on </w:t>
      </w:r>
      <w:r w:rsidRPr="00455280">
        <w:t>compassion, warmth</w:t>
      </w:r>
      <w:r w:rsidR="009E43C8">
        <w:t>,</w:t>
      </w:r>
      <w:r w:rsidRPr="00455280">
        <w:t xml:space="preserve"> and care</w:t>
      </w:r>
      <w:r>
        <w:t xml:space="preserve">, which could be classified as </w:t>
      </w:r>
      <w:r w:rsidR="009E43C8">
        <w:t>“</w:t>
      </w:r>
      <w:r>
        <w:t>softer</w:t>
      </w:r>
      <w:r w:rsidR="009E43C8">
        <w:t>”</w:t>
      </w:r>
      <w:r>
        <w:t xml:space="preserve"> aspects of patient satisfaction</w:t>
      </w:r>
      <w:r w:rsidR="005A5272">
        <w:t>;</w:t>
      </w:r>
      <w:r>
        <w:t xml:space="preserve"> </w:t>
      </w:r>
      <w:r w:rsidR="005A5272">
        <w:t>t</w:t>
      </w:r>
      <w:r>
        <w:t xml:space="preserve">he organization had just created </w:t>
      </w:r>
      <w:r w:rsidR="00363429">
        <w:t>the</w:t>
      </w:r>
      <w:r>
        <w:t xml:space="preserve"> new position of </w:t>
      </w:r>
      <w:r w:rsidR="00363429">
        <w:t>c</w:t>
      </w:r>
      <w:r>
        <w:t xml:space="preserve">hief </w:t>
      </w:r>
      <w:r w:rsidR="00363429">
        <w:t>p</w:t>
      </w:r>
      <w:r>
        <w:t xml:space="preserve">atient </w:t>
      </w:r>
      <w:r w:rsidR="00363429">
        <w:t>e</w:t>
      </w:r>
      <w:r>
        <w:t xml:space="preserve">xperience </w:t>
      </w:r>
      <w:r w:rsidR="00363429">
        <w:t>o</w:t>
      </w:r>
      <w:r>
        <w:t xml:space="preserve">fficer (CPEO) to pursue this agenda. Bhavdeep wondered what would be </w:t>
      </w:r>
      <w:r w:rsidR="005A5272">
        <w:t>required</w:t>
      </w:r>
      <w:r>
        <w:t xml:space="preserve"> </w:t>
      </w:r>
      <w:r w:rsidR="00A90F05">
        <w:t>to</w:t>
      </w:r>
      <w:r>
        <w:t xml:space="preserve"> creat</w:t>
      </w:r>
      <w:r w:rsidR="00A90F05">
        <w:t>e</w:t>
      </w:r>
      <w:r>
        <w:t xml:space="preserve"> close coordination and integration between the two verticals of FOS and Patient Experience, so that the Fortis group c</w:t>
      </w:r>
      <w:r w:rsidR="00363429">
        <w:t>ould</w:t>
      </w:r>
      <w:r>
        <w:t xml:space="preserve"> become truly </w:t>
      </w:r>
      <w:r w:rsidR="00363429">
        <w:t>“</w:t>
      </w:r>
      <w:r>
        <w:t>patient-centric.</w:t>
      </w:r>
      <w:r w:rsidR="00363429">
        <w:t>”</w:t>
      </w:r>
    </w:p>
    <w:p w14:paraId="749A036C" w14:textId="77777777" w:rsidR="00FE43C4" w:rsidRPr="00CD16E5" w:rsidRDefault="00FE43C4" w:rsidP="00FE43C4">
      <w:pPr>
        <w:pStyle w:val="BodyTextMain"/>
        <w:rPr>
          <w:sz w:val="20"/>
        </w:rPr>
      </w:pPr>
    </w:p>
    <w:p w14:paraId="538238CD" w14:textId="77777777" w:rsidR="00FE43C4" w:rsidRPr="00CD16E5" w:rsidRDefault="00FE43C4" w:rsidP="00FE43C4">
      <w:pPr>
        <w:pStyle w:val="BodyTextMain"/>
        <w:rPr>
          <w:sz w:val="20"/>
        </w:rPr>
      </w:pPr>
    </w:p>
    <w:p w14:paraId="45C9DFF9" w14:textId="6F8B428B" w:rsidR="00FE43C4" w:rsidRPr="00455280" w:rsidRDefault="00FE43C4" w:rsidP="00FE43C4">
      <w:pPr>
        <w:pStyle w:val="Casehead1"/>
      </w:pPr>
      <w:r>
        <w:t>FOS OVER THE YEARS</w:t>
      </w:r>
    </w:p>
    <w:p w14:paraId="6CA22294" w14:textId="77777777" w:rsidR="00FE43C4" w:rsidRPr="00CD16E5" w:rsidRDefault="00FE43C4" w:rsidP="00FE43C4">
      <w:pPr>
        <w:pStyle w:val="BodyTextMain"/>
        <w:rPr>
          <w:sz w:val="20"/>
        </w:rPr>
      </w:pPr>
    </w:p>
    <w:p w14:paraId="231580C7" w14:textId="54C1B4C6" w:rsidR="00FE43C4" w:rsidRDefault="00FE43C4" w:rsidP="00FE43C4">
      <w:pPr>
        <w:pStyle w:val="BodyTextMain"/>
      </w:pPr>
      <w:r>
        <w:t>FOS beg</w:t>
      </w:r>
      <w:r w:rsidR="00A379F5">
        <w:t>a</w:t>
      </w:r>
      <w:r>
        <w:t xml:space="preserve">n its successful journey in 2007 at Fortis </w:t>
      </w:r>
      <w:r w:rsidR="00A767B8">
        <w:t xml:space="preserve">Hospital </w:t>
      </w:r>
      <w:r>
        <w:t xml:space="preserve">Mohali, with </w:t>
      </w:r>
      <w:r w:rsidR="005A5272">
        <w:t xml:space="preserve">consultancy firm </w:t>
      </w:r>
      <w:r>
        <w:t>McKinsey</w:t>
      </w:r>
      <w:r w:rsidR="005A5272">
        <w:t xml:space="preserve"> &amp; Company</w:t>
      </w:r>
      <w:r>
        <w:t xml:space="preserve"> playing a key role in facilitating change. In </w:t>
      </w:r>
      <w:r w:rsidR="008B1519">
        <w:t>Wave 2</w:t>
      </w:r>
      <w:r>
        <w:t xml:space="preserve"> of implementation, FOS was implemented in</w:t>
      </w:r>
      <w:r w:rsidRPr="00455280">
        <w:t xml:space="preserve"> Fortis Hospital Noida and Fortis Escorts Heart Institute (FEHI), Delhi</w:t>
      </w:r>
      <w:r>
        <w:t>. McKinsey</w:t>
      </w:r>
      <w:r w:rsidR="00A379F5">
        <w:t xml:space="preserve"> &amp; Company</w:t>
      </w:r>
      <w:r>
        <w:t xml:space="preserve"> played only a limited role in </w:t>
      </w:r>
      <w:r w:rsidR="008B1519">
        <w:t>Wave 2</w:t>
      </w:r>
      <w:r>
        <w:t>. Then</w:t>
      </w:r>
      <w:r w:rsidR="00A379F5">
        <w:t>,</w:t>
      </w:r>
      <w:r>
        <w:t xml:space="preserve"> in </w:t>
      </w:r>
      <w:r w:rsidR="008B1519">
        <w:t>Wave 3</w:t>
      </w:r>
      <w:r>
        <w:t xml:space="preserve">, </w:t>
      </w:r>
      <w:r w:rsidR="00A379F5">
        <w:t>FOS</w:t>
      </w:r>
      <w:r>
        <w:t xml:space="preserve"> was taken to</w:t>
      </w:r>
      <w:r w:rsidR="00A379F5">
        <w:t xml:space="preserve"> the</w:t>
      </w:r>
      <w:r>
        <w:t xml:space="preserve"> rest of </w:t>
      </w:r>
      <w:r w:rsidR="00A379F5">
        <w:t>Fortis’</w:t>
      </w:r>
      <w:r>
        <w:t xml:space="preserve"> hospitals. </w:t>
      </w:r>
      <w:r w:rsidRPr="00455280">
        <w:t xml:space="preserve">The methodology adopted for implementation </w:t>
      </w:r>
      <w:r>
        <w:t xml:space="preserve">in </w:t>
      </w:r>
      <w:r w:rsidR="008B1519">
        <w:t>Wave 2 and Wave 3</w:t>
      </w:r>
      <w:r>
        <w:t xml:space="preserve"> </w:t>
      </w:r>
      <w:r w:rsidRPr="00455280">
        <w:t xml:space="preserve">was </w:t>
      </w:r>
      <w:r>
        <w:t xml:space="preserve">essentially </w:t>
      </w:r>
      <w:r w:rsidRPr="00455280">
        <w:t xml:space="preserve">like that </w:t>
      </w:r>
      <w:r w:rsidR="00A379F5">
        <w:t>for</w:t>
      </w:r>
      <w:r w:rsidRPr="00455280">
        <w:t xml:space="preserve"> </w:t>
      </w:r>
      <w:proofErr w:type="gramStart"/>
      <w:r w:rsidR="00A60536">
        <w:lastRenderedPageBreak/>
        <w:t>implementation</w:t>
      </w:r>
      <w:proofErr w:type="gramEnd"/>
      <w:r w:rsidR="00A60536">
        <w:t xml:space="preserve"> at </w:t>
      </w:r>
      <w:r w:rsidRPr="00455280">
        <w:t>Mohali</w:t>
      </w:r>
      <w:r>
        <w:t>;</w:t>
      </w:r>
      <w:r w:rsidRPr="00455280">
        <w:t xml:space="preserve"> the challenges faced by the core team</w:t>
      </w:r>
      <w:r>
        <w:t>, however</w:t>
      </w:r>
      <w:r w:rsidR="00A379F5">
        <w:t>,</w:t>
      </w:r>
      <w:r w:rsidRPr="00455280">
        <w:t xml:space="preserve"> were shaped by the unique context of each hospital</w:t>
      </w:r>
      <w:r>
        <w:t>.</w:t>
      </w:r>
    </w:p>
    <w:p w14:paraId="63131957" w14:textId="77777777" w:rsidR="006C0476" w:rsidRDefault="006C0476" w:rsidP="00FE43C4">
      <w:pPr>
        <w:pStyle w:val="BodyTextMain"/>
      </w:pPr>
    </w:p>
    <w:p w14:paraId="36C190F6" w14:textId="0DD9EB83" w:rsidR="00FE43C4" w:rsidRDefault="00FE43C4" w:rsidP="00FE43C4">
      <w:pPr>
        <w:pStyle w:val="BodyTextMain"/>
        <w:rPr>
          <w:i/>
        </w:rPr>
      </w:pPr>
      <w:r w:rsidRPr="00455280">
        <w:t>In Feb</w:t>
      </w:r>
      <w:r w:rsidR="00A60536">
        <w:t>ruary</w:t>
      </w:r>
      <w:r w:rsidRPr="00455280">
        <w:t xml:space="preserve"> 2009, Bhavdeep took over as CEO of Fortis</w:t>
      </w:r>
      <w:r w:rsidR="00A60536">
        <w:t>, bringing</w:t>
      </w:r>
      <w:r w:rsidRPr="00455280">
        <w:t xml:space="preserve"> with </w:t>
      </w:r>
      <w:r w:rsidR="00A60536">
        <w:t xml:space="preserve">him </w:t>
      </w:r>
      <w:r w:rsidRPr="00455280">
        <w:t>about three decades of experience in the U</w:t>
      </w:r>
      <w:r w:rsidR="00A60536">
        <w:t>.</w:t>
      </w:r>
      <w:r w:rsidRPr="00455280">
        <w:t>S</w:t>
      </w:r>
      <w:r w:rsidR="00A60536">
        <w:t>.</w:t>
      </w:r>
      <w:r w:rsidRPr="00455280">
        <w:t xml:space="preserve"> retail sector. After a long association with leading supermarket chain</w:t>
      </w:r>
      <w:r w:rsidR="00A60536">
        <w:t xml:space="preserve"> </w:t>
      </w:r>
      <w:r w:rsidR="008B1519" w:rsidRPr="008B1519">
        <w:t>The Great Atlantic &amp; Pacific Tea Company</w:t>
      </w:r>
      <w:r w:rsidR="008B1519">
        <w:t xml:space="preserve"> (</w:t>
      </w:r>
      <w:r w:rsidR="00A60536">
        <w:t>A&amp;P</w:t>
      </w:r>
      <w:r w:rsidR="008B1519">
        <w:t>)</w:t>
      </w:r>
      <w:r w:rsidRPr="00455280">
        <w:t xml:space="preserve"> in senior leadership positions, he had headed Spencer Retail and later Reliance Fresh in India. Bhavdeep said,</w:t>
      </w:r>
      <w:r>
        <w:t xml:space="preserve"> </w:t>
      </w:r>
      <w:r w:rsidRPr="00FE43C4">
        <w:t>“Given my prior experience, I was very big on processes, checks and balance</w:t>
      </w:r>
      <w:r w:rsidR="00A60536">
        <w:t>s,</w:t>
      </w:r>
      <w:r w:rsidRPr="00FE43C4">
        <w:t xml:space="preserve"> and compliance. I thought FOS worked very well and I supported it enthusiastically.”</w:t>
      </w:r>
    </w:p>
    <w:p w14:paraId="3AE2F9DF" w14:textId="77777777" w:rsidR="00FE43C4" w:rsidRPr="00CD16E5" w:rsidRDefault="00FE43C4" w:rsidP="00FE43C4">
      <w:pPr>
        <w:pStyle w:val="BodyTextMain"/>
        <w:rPr>
          <w:i/>
          <w:sz w:val="20"/>
        </w:rPr>
      </w:pPr>
    </w:p>
    <w:p w14:paraId="3098A4F2" w14:textId="576B6AE9" w:rsidR="00FE43C4" w:rsidRDefault="00FE43C4" w:rsidP="00FE43C4">
      <w:pPr>
        <w:pStyle w:val="BodyTextMain"/>
      </w:pPr>
      <w:r>
        <w:t>Fortis grew rapidly</w:t>
      </w:r>
      <w:r w:rsidR="00A90F05">
        <w:t>. B</w:t>
      </w:r>
      <w:r>
        <w:t>y</w:t>
      </w:r>
      <w:r w:rsidRPr="00455280">
        <w:t xml:space="preserve"> 2013</w:t>
      </w:r>
      <w:r w:rsidR="00A90F05">
        <w:t>,</w:t>
      </w:r>
      <w:r>
        <w:t xml:space="preserve"> it </w:t>
      </w:r>
      <w:r w:rsidRPr="00455280">
        <w:t>had a network of 62 health</w:t>
      </w:r>
      <w:r w:rsidR="00A60536">
        <w:t xml:space="preserve"> </w:t>
      </w:r>
      <w:r w:rsidRPr="00455280">
        <w:t xml:space="preserve">care facilities, including 31 operating hospitals, four daycare centres, </w:t>
      </w:r>
      <w:r w:rsidR="00F47BBF">
        <w:t xml:space="preserve">and </w:t>
      </w:r>
      <w:r w:rsidRPr="00455280">
        <w:t>20 satellite and heart command centres located in public and private hospitals.</w:t>
      </w:r>
      <w:r>
        <w:t xml:space="preserve"> FOS ran successfully in all these facilities.</w:t>
      </w:r>
    </w:p>
    <w:p w14:paraId="6AFCB5F2" w14:textId="77777777" w:rsidR="00FE43C4" w:rsidRPr="00CD16E5" w:rsidRDefault="00FE43C4" w:rsidP="00FE43C4">
      <w:pPr>
        <w:pStyle w:val="BodyTextMain"/>
        <w:rPr>
          <w:sz w:val="20"/>
        </w:rPr>
      </w:pPr>
    </w:p>
    <w:p w14:paraId="34B67762" w14:textId="77777777" w:rsidR="00F47BBF" w:rsidRPr="00CD16E5" w:rsidRDefault="00F47BBF" w:rsidP="00FE43C4">
      <w:pPr>
        <w:pStyle w:val="BodyTextMain"/>
        <w:rPr>
          <w:sz w:val="20"/>
        </w:rPr>
      </w:pPr>
    </w:p>
    <w:p w14:paraId="48657EB1" w14:textId="671E47D9" w:rsidR="00F47BBF" w:rsidRDefault="00FE43C4" w:rsidP="00444FFA">
      <w:pPr>
        <w:pStyle w:val="Casehead2"/>
      </w:pPr>
      <w:r w:rsidRPr="00A1327E">
        <w:t>Leadership and Strategic Changes</w:t>
      </w:r>
      <w:r w:rsidR="00F47BBF">
        <w:t>,</w:t>
      </w:r>
      <w:r w:rsidRPr="00A1327E">
        <w:t xml:space="preserve"> and FOS Defocus </w:t>
      </w:r>
    </w:p>
    <w:p w14:paraId="197577D2" w14:textId="77777777" w:rsidR="00F47BBF" w:rsidRPr="00CD16E5" w:rsidRDefault="00F47BBF" w:rsidP="00FE43C4">
      <w:pPr>
        <w:pStyle w:val="BodyTextMain"/>
        <w:rPr>
          <w:sz w:val="20"/>
        </w:rPr>
      </w:pPr>
    </w:p>
    <w:p w14:paraId="7BDD038A" w14:textId="6E11F452" w:rsidR="00FE43C4" w:rsidRDefault="00FE43C4" w:rsidP="00FE43C4">
      <w:pPr>
        <w:pStyle w:val="BodyTextMain"/>
      </w:pPr>
      <w:r w:rsidRPr="00A1327E">
        <w:t>Bhavdeep resigned from Fortis in Jan</w:t>
      </w:r>
      <w:r w:rsidR="00DF045C">
        <w:t>uary</w:t>
      </w:r>
      <w:r w:rsidRPr="00A1327E">
        <w:t xml:space="preserve"> 2011 for</w:t>
      </w:r>
      <w:r>
        <w:t xml:space="preserve"> personal reasons. The new organizational leaders were focused on the strategic agenda of internationalization and taking Fortis to several overseas locations. With new organizational focus, there were large</w:t>
      </w:r>
      <w:r w:rsidR="00F47BBF">
        <w:t>-</w:t>
      </w:r>
      <w:r>
        <w:t>scale changes in different Fortis facilities</w:t>
      </w:r>
      <w:r w:rsidR="00DF045C">
        <w:t xml:space="preserve"> in terms of chief operating officers (COOs)</w:t>
      </w:r>
      <w:r>
        <w:t xml:space="preserve">. The new senior leaders did not quite appreciate the role of FOS. While FOS reports continued to be generated, not much attention </w:t>
      </w:r>
      <w:r w:rsidR="00DF045C">
        <w:t xml:space="preserve">was </w:t>
      </w:r>
      <w:r>
        <w:t xml:space="preserve">paid to the reports and the reviews </w:t>
      </w:r>
      <w:r w:rsidR="00DF045C">
        <w:t>were</w:t>
      </w:r>
      <w:r>
        <w:t xml:space="preserve"> relegated to lower levels. In another far-reaching leadership </w:t>
      </w:r>
      <w:r w:rsidRPr="00455280">
        <w:t>change</w:t>
      </w:r>
      <w:r>
        <w:t xml:space="preserve">, </w:t>
      </w:r>
      <w:r w:rsidRPr="00455280">
        <w:t>Shivinder</w:t>
      </w:r>
      <w:r w:rsidR="00DF045C">
        <w:t xml:space="preserve"> Mohan Singh</w:t>
      </w:r>
      <w:r>
        <w:t xml:space="preserve">, </w:t>
      </w:r>
      <w:r w:rsidR="00DF045C">
        <w:t>e</w:t>
      </w:r>
      <w:r w:rsidRPr="00455280">
        <w:t xml:space="preserve">xecutive </w:t>
      </w:r>
      <w:r w:rsidR="00DF045C">
        <w:t>v</w:t>
      </w:r>
      <w:r w:rsidRPr="00455280">
        <w:t>ice</w:t>
      </w:r>
      <w:r w:rsidR="00DF045C">
        <w:t>-c</w:t>
      </w:r>
      <w:r w:rsidRPr="00455280">
        <w:t xml:space="preserve">hairman </w:t>
      </w:r>
      <w:r>
        <w:t>and the architect of FOS</w:t>
      </w:r>
      <w:r w:rsidR="00DF045C">
        <w:t>,</w:t>
      </w:r>
      <w:r>
        <w:t xml:space="preserve"> </w:t>
      </w:r>
      <w:r w:rsidRPr="00455280">
        <w:t xml:space="preserve">relinquished all executive responsibilities </w:t>
      </w:r>
      <w:r>
        <w:t>in Jan</w:t>
      </w:r>
      <w:r w:rsidR="00DF045C">
        <w:t>uary</w:t>
      </w:r>
      <w:r>
        <w:t xml:space="preserve"> 2015 </w:t>
      </w:r>
      <w:r w:rsidRPr="00455280">
        <w:t>to pursue his inner calling of serving full</w:t>
      </w:r>
      <w:r w:rsidR="00DF045C">
        <w:t>-</w:t>
      </w:r>
      <w:r w:rsidRPr="00455280">
        <w:t>ti</w:t>
      </w:r>
      <w:r>
        <w:t>me in a spiritual organization.</w:t>
      </w:r>
    </w:p>
    <w:p w14:paraId="68DDC46F" w14:textId="77777777" w:rsidR="00FE43C4" w:rsidRPr="00CD16E5" w:rsidRDefault="00FE43C4" w:rsidP="00FE43C4">
      <w:pPr>
        <w:pStyle w:val="BodyTextMain"/>
        <w:rPr>
          <w:sz w:val="20"/>
        </w:rPr>
      </w:pPr>
    </w:p>
    <w:p w14:paraId="1EC5C78B" w14:textId="03FDC8C6" w:rsidR="00FE43C4" w:rsidRPr="00455280" w:rsidRDefault="00FE43C4" w:rsidP="00FE43C4">
      <w:pPr>
        <w:pStyle w:val="BodyTextMain"/>
        <w:rPr>
          <w:i/>
        </w:rPr>
      </w:pPr>
      <w:r w:rsidRPr="00455280">
        <w:t xml:space="preserve">Mangla Dembi, corporate FOS head and previously </w:t>
      </w:r>
      <w:r w:rsidR="00DF045C">
        <w:t xml:space="preserve">facility director </w:t>
      </w:r>
      <w:r w:rsidR="00CC1EF3">
        <w:t>(</w:t>
      </w:r>
      <w:r w:rsidRPr="00455280">
        <w:t>FD</w:t>
      </w:r>
      <w:r w:rsidR="00CC1EF3">
        <w:t>) at</w:t>
      </w:r>
      <w:r w:rsidRPr="00455280">
        <w:t xml:space="preserve"> Fortis</w:t>
      </w:r>
      <w:r w:rsidR="00DF045C">
        <w:t xml:space="preserve"> in</w:t>
      </w:r>
      <w:r w:rsidRPr="00455280">
        <w:t xml:space="preserve"> Kalyan, Mumbai</w:t>
      </w:r>
      <w:r w:rsidR="00DF045C">
        <w:t>,</w:t>
      </w:r>
      <w:r w:rsidRPr="00455280">
        <w:t xml:space="preserve"> said,</w:t>
      </w:r>
      <w:r w:rsidRPr="00FE43C4">
        <w:t xml:space="preserve"> “Earlier, the scorecard was called the COO’s dashboard</w:t>
      </w:r>
      <w:r w:rsidR="00DF045C">
        <w:t>—</w:t>
      </w:r>
      <w:r w:rsidRPr="00FE43C4">
        <w:t xml:space="preserve">the COO would monitor it and use it to make strategic decisions. With all the leadership changes, the importance given to FOS declined dramatically. For many people, it wasn’t even clear as to why we were doing it. FOS became more of a data collection activity.” </w:t>
      </w:r>
    </w:p>
    <w:p w14:paraId="2484E495" w14:textId="77777777" w:rsidR="00FE43C4" w:rsidRPr="00CD16E5" w:rsidRDefault="00FE43C4" w:rsidP="00FE43C4">
      <w:pPr>
        <w:pStyle w:val="BodyTextMain"/>
        <w:rPr>
          <w:sz w:val="20"/>
        </w:rPr>
      </w:pPr>
    </w:p>
    <w:p w14:paraId="1941EDBD" w14:textId="1AED568F" w:rsidR="00FE43C4" w:rsidRPr="00FE43C4" w:rsidRDefault="00FE43C4" w:rsidP="00FE43C4">
      <w:pPr>
        <w:pStyle w:val="BodyTextMain"/>
      </w:pPr>
      <w:r w:rsidRPr="00FE43C4">
        <w:t>Neeru</w:t>
      </w:r>
      <w:r w:rsidR="006C02C1">
        <w:t xml:space="preserve"> Raina</w:t>
      </w:r>
      <w:r w:rsidRPr="00FE43C4">
        <w:t>, asset lead at FEHI</w:t>
      </w:r>
      <w:r w:rsidR="00DF045C">
        <w:t>,</w:t>
      </w:r>
      <w:r w:rsidRPr="00FE43C4">
        <w:t xml:space="preserve"> stated, “After a few years of FOS implementation, though the reports were still getting generated, FOS was close to getting ‘fossilized</w:t>
      </w:r>
      <w:r w:rsidR="00DF045C">
        <w:t>.</w:t>
      </w:r>
      <w:r w:rsidRPr="00FE43C4">
        <w:t xml:space="preserve">’ As it was still a part of our JD </w:t>
      </w:r>
      <w:r w:rsidR="00DF045C">
        <w:t xml:space="preserve">[job description] </w:t>
      </w:r>
      <w:r w:rsidRPr="00FE43C4">
        <w:t>we continued to do it; but the old spark was missing.”</w:t>
      </w:r>
    </w:p>
    <w:p w14:paraId="114A3BB0" w14:textId="77777777" w:rsidR="00FE43C4" w:rsidRPr="00CD16E5" w:rsidRDefault="00FE43C4" w:rsidP="00FE43C4">
      <w:pPr>
        <w:pStyle w:val="BodyTextMain"/>
        <w:rPr>
          <w:sz w:val="20"/>
        </w:rPr>
      </w:pPr>
    </w:p>
    <w:p w14:paraId="67E0821D" w14:textId="4EF14F79" w:rsidR="00FE43C4" w:rsidRPr="00455280" w:rsidRDefault="00FE43C4" w:rsidP="00FE43C4">
      <w:pPr>
        <w:pStyle w:val="BodyTextMain"/>
      </w:pPr>
      <w:r>
        <w:t>Another</w:t>
      </w:r>
      <w:r w:rsidRPr="00455280">
        <w:t xml:space="preserve"> factor </w:t>
      </w:r>
      <w:r>
        <w:t xml:space="preserve">that </w:t>
      </w:r>
      <w:r w:rsidRPr="00455280">
        <w:t>contribut</w:t>
      </w:r>
      <w:r>
        <w:t>ed</w:t>
      </w:r>
      <w:r w:rsidRPr="00455280">
        <w:t xml:space="preserve"> to </w:t>
      </w:r>
      <w:r w:rsidR="00DF045C">
        <w:t xml:space="preserve">the defocus of </w:t>
      </w:r>
      <w:r>
        <w:t xml:space="preserve">FOS </w:t>
      </w:r>
      <w:r w:rsidRPr="00455280">
        <w:t>was the high turnover of the hospital staff</w:t>
      </w:r>
      <w:r w:rsidR="00DF045C">
        <w:t>—</w:t>
      </w:r>
      <w:r w:rsidRPr="00455280">
        <w:t xml:space="preserve">an issue that plagued the Indian health care industry. </w:t>
      </w:r>
      <w:r>
        <w:t>T</w:t>
      </w:r>
      <w:r w:rsidRPr="00455280">
        <w:t>here were many new people in front</w:t>
      </w:r>
      <w:r w:rsidR="00DF045C">
        <w:t>-</w:t>
      </w:r>
      <w:r w:rsidRPr="00455280">
        <w:t>line positions who were quite unaware of FOS and its significance in enhancing process efficiency, standardization</w:t>
      </w:r>
      <w:r w:rsidR="00DF045C">
        <w:t>,</w:t>
      </w:r>
      <w:r w:rsidRPr="00455280">
        <w:t xml:space="preserve"> and patient satisfaction. Some of the SOPs </w:t>
      </w:r>
      <w:r>
        <w:t xml:space="preserve">had </w:t>
      </w:r>
      <w:r w:rsidRPr="00455280">
        <w:t>bec</w:t>
      </w:r>
      <w:r>
        <w:t>o</w:t>
      </w:r>
      <w:r w:rsidRPr="00455280">
        <w:t xml:space="preserve">me irrelevant with </w:t>
      </w:r>
      <w:r w:rsidR="00DF045C">
        <w:t xml:space="preserve">the </w:t>
      </w:r>
      <w:r w:rsidRPr="00455280">
        <w:t>passage of time. In several places, manuals were missing, and people were figuring out their own solutions. There was little understanding of FOS beyond the compilation of certain routine reports. Not surprisingly, the clinicians considered FOS a waste of time and were wary of it. By 2015, FOS scores had fallen considerably in several hospitals.</w:t>
      </w:r>
    </w:p>
    <w:p w14:paraId="2AEC6EB3" w14:textId="77777777" w:rsidR="00FE43C4" w:rsidRPr="00CD16E5" w:rsidRDefault="00FE43C4" w:rsidP="00FE43C4">
      <w:pPr>
        <w:pStyle w:val="BodyTextMain"/>
        <w:rPr>
          <w:sz w:val="20"/>
        </w:rPr>
      </w:pPr>
    </w:p>
    <w:p w14:paraId="4B5F8C8A" w14:textId="77777777" w:rsidR="00FE43C4" w:rsidRPr="00CD16E5" w:rsidRDefault="00FE43C4" w:rsidP="00FE43C4">
      <w:pPr>
        <w:pStyle w:val="BodyTextMain"/>
        <w:rPr>
          <w:sz w:val="20"/>
        </w:rPr>
      </w:pPr>
    </w:p>
    <w:p w14:paraId="2B9F56DC" w14:textId="77777777" w:rsidR="00FE43C4" w:rsidRDefault="00FE43C4" w:rsidP="00FE43C4">
      <w:pPr>
        <w:pStyle w:val="BodyTextMain"/>
        <w:rPr>
          <w:rFonts w:ascii="Arial" w:hAnsi="Arial" w:cs="Arial"/>
          <w:b/>
          <w:sz w:val="20"/>
        </w:rPr>
      </w:pPr>
      <w:r w:rsidRPr="00455280">
        <w:rPr>
          <w:rFonts w:ascii="Arial" w:hAnsi="Arial" w:cs="Arial"/>
          <w:b/>
          <w:sz w:val="20"/>
        </w:rPr>
        <w:t>FOS REJUVENATION</w:t>
      </w:r>
    </w:p>
    <w:p w14:paraId="1AD40FC3" w14:textId="77777777" w:rsidR="00FE43C4" w:rsidRPr="00CD16E5" w:rsidRDefault="00FE43C4" w:rsidP="00FE43C4">
      <w:pPr>
        <w:pStyle w:val="BodyTextMain"/>
        <w:rPr>
          <w:sz w:val="20"/>
        </w:rPr>
      </w:pPr>
    </w:p>
    <w:p w14:paraId="546D7D83" w14:textId="42A35203" w:rsidR="00FE43C4" w:rsidRDefault="00FE43C4" w:rsidP="00FE43C4">
      <w:pPr>
        <w:pStyle w:val="BodyTextMain"/>
      </w:pPr>
      <w:r w:rsidRPr="00455280">
        <w:t>In July 2015, when Bhavdeep rejoined Fortis as CEO, he noticed that FOS</w:t>
      </w:r>
      <w:r>
        <w:t xml:space="preserve"> </w:t>
      </w:r>
      <w:r w:rsidRPr="00455280">
        <w:t>had suffered due to benign neglect. He said,</w:t>
      </w:r>
    </w:p>
    <w:p w14:paraId="0774E3FC" w14:textId="77777777" w:rsidR="00FE43C4" w:rsidRPr="00CD16E5" w:rsidRDefault="00FE43C4" w:rsidP="00FE43C4">
      <w:pPr>
        <w:pStyle w:val="BodyTextMain"/>
        <w:ind w:left="720"/>
        <w:rPr>
          <w:sz w:val="20"/>
        </w:rPr>
      </w:pPr>
    </w:p>
    <w:p w14:paraId="2A5AE269" w14:textId="02EDDB59" w:rsidR="00FE43C4" w:rsidRPr="00FE43C4" w:rsidRDefault="00FE43C4" w:rsidP="00FE43C4">
      <w:pPr>
        <w:pStyle w:val="BodyTextMain"/>
        <w:ind w:left="720"/>
      </w:pPr>
      <w:r w:rsidRPr="00FE43C4">
        <w:t xml:space="preserve">When I came back in 2015, I was a bit disappointed to see that FOS had fallen behind. The organization and people had gone through multiple changes. I strongly believe that, even for the </w:t>
      </w:r>
      <w:r w:rsidRPr="00FE43C4">
        <w:lastRenderedPageBreak/>
        <w:t xml:space="preserve">best of the programs, models, </w:t>
      </w:r>
      <w:r w:rsidR="00CC1EF3">
        <w:t xml:space="preserve">[and] </w:t>
      </w:r>
      <w:r w:rsidRPr="00FE43C4">
        <w:t>processes</w:t>
      </w:r>
      <w:r w:rsidR="00CC1EF3">
        <w:t>,</w:t>
      </w:r>
      <w:r w:rsidRPr="00FE43C4">
        <w:t xml:space="preserve"> if you don’t have the right people leading, don’t have organization focus or alignment, and don’t have measurement or monitoring, then they become worthless. The same had happened to FOS</w:t>
      </w:r>
      <w:r w:rsidR="00CC1EF3">
        <w:t>,</w:t>
      </w:r>
      <w:r w:rsidRPr="00FE43C4">
        <w:t xml:space="preserve"> as it had lost the level of importance.</w:t>
      </w:r>
    </w:p>
    <w:p w14:paraId="3BCD1247" w14:textId="77777777" w:rsidR="006C0476" w:rsidRDefault="006C0476" w:rsidP="00FE43C4">
      <w:pPr>
        <w:pStyle w:val="BodyTextMain"/>
      </w:pPr>
    </w:p>
    <w:p w14:paraId="28CBC089" w14:textId="62B7C4B2" w:rsidR="00FE43C4" w:rsidRDefault="00CC1EF3" w:rsidP="00FE43C4">
      <w:pPr>
        <w:pStyle w:val="BodyTextMain"/>
      </w:pPr>
      <w:r>
        <w:t>Bhavdeep</w:t>
      </w:r>
      <w:r w:rsidR="00FE43C4" w:rsidRPr="00455280">
        <w:t xml:space="preserve"> strongly believed that to ensure the implementation and monitoring of protocols and processes, patient touch points</w:t>
      </w:r>
      <w:r>
        <w:t>,</w:t>
      </w:r>
      <w:r w:rsidR="00FE43C4" w:rsidRPr="00455280">
        <w:t xml:space="preserve"> and patient care outcomes, it was imperative to rejuvenate FOS as a system, as the best practices were embedded in </w:t>
      </w:r>
      <w:r>
        <w:t>it</w:t>
      </w:r>
      <w:r w:rsidR="00FE43C4" w:rsidRPr="00455280">
        <w:t xml:space="preserve">. He initiated FOS rejuvenation as a pilot project at FEHI. Dr. Somesh Kumar Mittal, </w:t>
      </w:r>
      <w:r>
        <w:t>z</w:t>
      </w:r>
      <w:r w:rsidR="00FE43C4" w:rsidRPr="00455280">
        <w:t xml:space="preserve">onal </w:t>
      </w:r>
      <w:r>
        <w:t>h</w:t>
      </w:r>
      <w:r w:rsidR="00FE43C4" w:rsidRPr="00455280">
        <w:t xml:space="preserve">ead </w:t>
      </w:r>
      <w:r>
        <w:t xml:space="preserve">at Fortis, </w:t>
      </w:r>
      <w:r w:rsidR="00FE43C4" w:rsidRPr="00455280">
        <w:t>said,</w:t>
      </w:r>
    </w:p>
    <w:p w14:paraId="2BA60271" w14:textId="77777777" w:rsidR="00FE43C4" w:rsidRPr="00CD16E5" w:rsidRDefault="00FE43C4" w:rsidP="00FE43C4">
      <w:pPr>
        <w:pStyle w:val="BodyTextMain"/>
        <w:rPr>
          <w:sz w:val="20"/>
        </w:rPr>
      </w:pPr>
    </w:p>
    <w:p w14:paraId="1AB86525" w14:textId="2298B55A" w:rsidR="00FE43C4" w:rsidRPr="00FE43C4" w:rsidRDefault="00FE43C4" w:rsidP="00FE43C4">
      <w:pPr>
        <w:pStyle w:val="BodyTextMain"/>
        <w:ind w:left="720"/>
      </w:pPr>
      <w:r w:rsidRPr="00FE43C4">
        <w:t>When I joined FEHI, as the FD, the FOS score was just 44</w:t>
      </w:r>
      <w:r w:rsidR="00CC1EF3">
        <w:t xml:space="preserve"> per cent</w:t>
      </w:r>
      <w:r w:rsidRPr="00FE43C4">
        <w:t>. That was the time Bhavdeep joined as the CEO. He was clear that there was a need to drive FOS. Bhavdeep came all the way to FEHI to champion FOS. He mentioned very clearly that the score had to go up and he would monitor it personally. Whenever Bhavdeep wants to drive a change, initially he picks up one or two units. For example, in his last stint, he had picked up Vasant Kunj for improving nursing care and Noida for improving cleanliness. In this stint</w:t>
      </w:r>
      <w:r w:rsidR="00CC1EF3">
        <w:t>,</w:t>
      </w:r>
      <w:r w:rsidRPr="00FE43C4">
        <w:t xml:space="preserve"> he gave the task to us to revive FOS and bring the score to</w:t>
      </w:r>
      <w:r w:rsidR="00CC1EF3">
        <w:t xml:space="preserve"> [the]</w:t>
      </w:r>
      <w:r w:rsidRPr="00FE43C4">
        <w:t xml:space="preserve"> 90s. We changed the entire team. Previously</w:t>
      </w:r>
      <w:r w:rsidR="00CC1EF3">
        <w:t>,</w:t>
      </w:r>
      <w:r w:rsidRPr="00FE43C4">
        <w:t xml:space="preserve"> the person who was heading FOS here was looking after ER</w:t>
      </w:r>
      <w:r w:rsidR="00CC1EF3">
        <w:t xml:space="preserve"> [emergency room]</w:t>
      </w:r>
      <w:r w:rsidR="000E3E56">
        <w:t xml:space="preserve"> [and]</w:t>
      </w:r>
      <w:r w:rsidRPr="00FE43C4">
        <w:t xml:space="preserve"> medical administration</w:t>
      </w:r>
      <w:r w:rsidR="00CC1EF3">
        <w:t>,</w:t>
      </w:r>
      <w:r w:rsidRPr="00FE43C4">
        <w:t xml:space="preserve"> and FOS was one of the responsibilities. Given </w:t>
      </w:r>
      <w:r w:rsidR="00DF4007">
        <w:t xml:space="preserve">[her] </w:t>
      </w:r>
      <w:r w:rsidRPr="00FE43C4">
        <w:t xml:space="preserve">strong performance track record and leadership potential, we identified Chandni </w:t>
      </w:r>
      <w:r w:rsidR="000E3E56">
        <w:t>[Gupta]</w:t>
      </w:r>
      <w:r w:rsidR="003F1C67">
        <w:t xml:space="preserve"> </w:t>
      </w:r>
      <w:r w:rsidRPr="00FE43C4">
        <w:t>as the FOS head. We asked her to focus exclusively on FOS revival at FEHI.</w:t>
      </w:r>
    </w:p>
    <w:p w14:paraId="2F0D09D8" w14:textId="77777777" w:rsidR="00FE43C4" w:rsidRPr="00CD16E5" w:rsidRDefault="00FE43C4" w:rsidP="00FE43C4">
      <w:pPr>
        <w:pStyle w:val="BodyTextMain"/>
        <w:rPr>
          <w:sz w:val="20"/>
        </w:rPr>
      </w:pPr>
    </w:p>
    <w:p w14:paraId="223F6F4C" w14:textId="1BF5DD26" w:rsidR="00FE43C4" w:rsidRPr="00CD16E5" w:rsidRDefault="00FE43C4" w:rsidP="00FE43C4">
      <w:pPr>
        <w:pStyle w:val="BodyTextMain"/>
        <w:rPr>
          <w:spacing w:val="-4"/>
        </w:rPr>
      </w:pPr>
      <w:r w:rsidRPr="00CD16E5">
        <w:rPr>
          <w:spacing w:val="-4"/>
        </w:rPr>
        <w:t>At FEHI, Somesh built the team and made the asset leads and process owners accountable</w:t>
      </w:r>
      <w:r w:rsidR="000E3E56" w:rsidRPr="00CD16E5">
        <w:rPr>
          <w:spacing w:val="-4"/>
        </w:rPr>
        <w:t xml:space="preserve"> for FOS</w:t>
      </w:r>
      <w:r w:rsidRPr="00CD16E5">
        <w:rPr>
          <w:spacing w:val="-4"/>
        </w:rPr>
        <w:t>. He initiated training on SOPs</w:t>
      </w:r>
      <w:r w:rsidR="003265FB" w:rsidRPr="00CD16E5">
        <w:rPr>
          <w:spacing w:val="-4"/>
        </w:rPr>
        <w:t>,</w:t>
      </w:r>
      <w:r w:rsidRPr="00CD16E5">
        <w:rPr>
          <w:spacing w:val="-4"/>
        </w:rPr>
        <w:t xml:space="preserve"> </w:t>
      </w:r>
      <w:r w:rsidR="003265FB" w:rsidRPr="00CD16E5">
        <w:rPr>
          <w:spacing w:val="-4"/>
        </w:rPr>
        <w:t>as well as</w:t>
      </w:r>
      <w:r w:rsidRPr="00CD16E5">
        <w:rPr>
          <w:spacing w:val="-4"/>
        </w:rPr>
        <w:t xml:space="preserve"> FOS manuals for asset leads, process owners, and front-line staff. The clinicians were kept updated. </w:t>
      </w:r>
      <w:r w:rsidR="003265FB" w:rsidRPr="00CD16E5">
        <w:rPr>
          <w:spacing w:val="-4"/>
        </w:rPr>
        <w:t>The r</w:t>
      </w:r>
      <w:r w:rsidRPr="00CD16E5">
        <w:rPr>
          <w:spacing w:val="-4"/>
        </w:rPr>
        <w:t xml:space="preserve">elaunch of FOS at FEHI was communicated to all hospitals. Attention was paid to make FOS relevant to current times, </w:t>
      </w:r>
      <w:r w:rsidR="003265FB" w:rsidRPr="00CD16E5">
        <w:rPr>
          <w:spacing w:val="-4"/>
        </w:rPr>
        <w:t xml:space="preserve">the </w:t>
      </w:r>
      <w:r w:rsidRPr="00CD16E5">
        <w:rPr>
          <w:spacing w:val="-4"/>
        </w:rPr>
        <w:t>needs of patients</w:t>
      </w:r>
      <w:r w:rsidR="003265FB" w:rsidRPr="00CD16E5">
        <w:rPr>
          <w:spacing w:val="-4"/>
        </w:rPr>
        <w:t>,</w:t>
      </w:r>
      <w:r w:rsidRPr="00CD16E5">
        <w:rPr>
          <w:spacing w:val="-4"/>
        </w:rPr>
        <w:t xml:space="preserve"> and newer technologies. For example, it was quite uncommon in 2007 for patients to take appointments to meet doctors; </w:t>
      </w:r>
      <w:r w:rsidR="003265FB" w:rsidRPr="00CD16E5">
        <w:rPr>
          <w:spacing w:val="-4"/>
        </w:rPr>
        <w:t xml:space="preserve">in 2015 </w:t>
      </w:r>
      <w:r w:rsidRPr="00CD16E5">
        <w:rPr>
          <w:spacing w:val="-4"/>
        </w:rPr>
        <w:t xml:space="preserve">it had become </w:t>
      </w:r>
      <w:r w:rsidR="003265FB" w:rsidRPr="00CD16E5">
        <w:rPr>
          <w:spacing w:val="-4"/>
        </w:rPr>
        <w:t>the</w:t>
      </w:r>
      <w:r w:rsidRPr="00CD16E5">
        <w:rPr>
          <w:spacing w:val="-4"/>
        </w:rPr>
        <w:t xml:space="preserve"> norm.</w:t>
      </w:r>
    </w:p>
    <w:p w14:paraId="769D898D" w14:textId="77777777" w:rsidR="00FE43C4" w:rsidRPr="00CD16E5" w:rsidRDefault="00FE43C4" w:rsidP="00FE43C4">
      <w:pPr>
        <w:pStyle w:val="BodyTextMain"/>
        <w:rPr>
          <w:sz w:val="20"/>
        </w:rPr>
      </w:pPr>
    </w:p>
    <w:p w14:paraId="14B2E95A" w14:textId="4231C9EE" w:rsidR="00FE43C4" w:rsidRPr="00455280" w:rsidRDefault="00FE43C4" w:rsidP="00FE43C4">
      <w:pPr>
        <w:pStyle w:val="BodyTextMain"/>
        <w:rPr>
          <w:i/>
        </w:rPr>
      </w:pPr>
      <w:r w:rsidRPr="00455280">
        <w:t>As soon as the impact of FOS rejuvenation became evident at FEHI, Bhavdeep started pushing the other hospitals. He personally persuaded the people at the top and identified those in the hospitals who were passionate about FOS and could drive it. Bhavdeep said,</w:t>
      </w:r>
      <w:r>
        <w:t xml:space="preserve"> </w:t>
      </w:r>
      <w:r w:rsidRPr="00FE43C4">
        <w:t>“Right from the beginning, FOS has been used as a stepping stone for career development. We decided that high</w:t>
      </w:r>
      <w:r w:rsidR="003265FB">
        <w:t>-</w:t>
      </w:r>
      <w:r w:rsidRPr="00FE43C4">
        <w:t>potential individuals at senior levels should spend a certain amount of time in the FOS function before they take the next big jump. You cannot implement something like FOS by merely telling people about its importance. The person should be highly motivated and committed to FOS as a leadership tool.”</w:t>
      </w:r>
    </w:p>
    <w:p w14:paraId="2EAED061" w14:textId="77777777" w:rsidR="00FE43C4" w:rsidRPr="00CD16E5" w:rsidRDefault="00FE43C4" w:rsidP="00FE43C4">
      <w:pPr>
        <w:pStyle w:val="BodyTextMain"/>
        <w:rPr>
          <w:sz w:val="20"/>
        </w:rPr>
      </w:pPr>
    </w:p>
    <w:p w14:paraId="037CD2F0" w14:textId="53EE145A" w:rsidR="00FE43C4" w:rsidRDefault="00FE43C4" w:rsidP="00FE43C4">
      <w:pPr>
        <w:pStyle w:val="BodyTextMain"/>
      </w:pPr>
      <w:r w:rsidRPr="00455280">
        <w:t xml:space="preserve">In November 2015, Mangla, </w:t>
      </w:r>
      <w:r w:rsidR="003265FB">
        <w:t xml:space="preserve">who was </w:t>
      </w:r>
      <w:r w:rsidRPr="00455280">
        <w:t xml:space="preserve">FD at Mumbai </w:t>
      </w:r>
      <w:r w:rsidR="003265FB">
        <w:t>and had</w:t>
      </w:r>
      <w:r w:rsidRPr="00455280">
        <w:t xml:space="preserve"> a strong operational and process-oriented background</w:t>
      </w:r>
      <w:r w:rsidR="003265FB">
        <w:t>,</w:t>
      </w:r>
      <w:r w:rsidRPr="00455280">
        <w:t xml:space="preserve"> was identified to head FOS at the corporate level and</w:t>
      </w:r>
      <w:r w:rsidR="00A90F05">
        <w:t xml:space="preserve"> be </w:t>
      </w:r>
      <w:r w:rsidRPr="00455280">
        <w:t xml:space="preserve">responsible for its rejuvenation. As Mangla reminisced, </w:t>
      </w:r>
    </w:p>
    <w:p w14:paraId="66B4EF6B" w14:textId="77777777" w:rsidR="00FE43C4" w:rsidRPr="00CD16E5" w:rsidRDefault="00FE43C4" w:rsidP="00FE43C4">
      <w:pPr>
        <w:pStyle w:val="BodyTextMain"/>
        <w:rPr>
          <w:i/>
          <w:sz w:val="20"/>
        </w:rPr>
      </w:pPr>
    </w:p>
    <w:p w14:paraId="4651B87B" w14:textId="62D8FEA3" w:rsidR="00FE43C4" w:rsidRPr="00FE43C4" w:rsidRDefault="00FE43C4" w:rsidP="00FE43C4">
      <w:pPr>
        <w:pStyle w:val="BodyTextMain"/>
        <w:ind w:left="720"/>
      </w:pPr>
      <w:r w:rsidRPr="00FE43C4">
        <w:t>Of course, I had my initial apprehensions about taking over a support role at the corporate level since I had been in operational roles all along. But I had complete trust in Bhavdeep’s vision. He strongly believed in the potential impact that FOS could have on organizational performance and as a huge differentiator in the competitive landscape in the health</w:t>
      </w:r>
      <w:r w:rsidR="003265FB">
        <w:t xml:space="preserve"> </w:t>
      </w:r>
      <w:r w:rsidRPr="00FE43C4">
        <w:t xml:space="preserve">care space. He asked me to lead it </w:t>
      </w:r>
      <w:r w:rsidR="003265FB">
        <w:t xml:space="preserve">[FOS rejuvenation] </w:t>
      </w:r>
      <w:r w:rsidRPr="00FE43C4">
        <w:t>and help infuse it with renewed passion across our hospitals; to bring in greater focus, meaning, complian</w:t>
      </w:r>
      <w:r w:rsidR="003265FB">
        <w:t>ce,</w:t>
      </w:r>
      <w:r w:rsidRPr="00FE43C4">
        <w:t xml:space="preserve"> and patient</w:t>
      </w:r>
      <w:r w:rsidR="003265FB">
        <w:t>-</w:t>
      </w:r>
      <w:r w:rsidRPr="00FE43C4">
        <w:t>centricity. By asking a</w:t>
      </w:r>
      <w:r w:rsidR="003265FB">
        <w:t>n</w:t>
      </w:r>
      <w:r w:rsidRPr="00FE43C4">
        <w:t xml:space="preserve"> FD of a hospital to run FOS, he was clearly communicating to the organization that the focus was back on FOS. Daljit Singh </w:t>
      </w:r>
      <w:r w:rsidR="006B2368">
        <w:t xml:space="preserve">[president of Strategy and Organizational Development] </w:t>
      </w:r>
      <w:r w:rsidRPr="00FE43C4">
        <w:t>provided insights and guidance on the way forward; he helped me create a road map for the function.</w:t>
      </w:r>
    </w:p>
    <w:p w14:paraId="481F3401" w14:textId="77777777" w:rsidR="00FE43C4" w:rsidRPr="00CD16E5" w:rsidRDefault="00FE43C4" w:rsidP="00FE43C4">
      <w:pPr>
        <w:pStyle w:val="BodyTextMain"/>
        <w:rPr>
          <w:i/>
          <w:sz w:val="20"/>
        </w:rPr>
      </w:pPr>
    </w:p>
    <w:p w14:paraId="701AE4B9" w14:textId="2042C5B6" w:rsidR="00FE43C4" w:rsidRDefault="00FE43C4" w:rsidP="00FE43C4">
      <w:pPr>
        <w:pStyle w:val="BodyTextMain"/>
      </w:pPr>
      <w:r w:rsidRPr="00455280">
        <w:t xml:space="preserve">The organization initiated certain important structural changes. One of the first steps was to establish functional reporting </w:t>
      </w:r>
      <w:r w:rsidR="00B713BA">
        <w:t>from</w:t>
      </w:r>
      <w:r w:rsidRPr="00455280">
        <w:t xml:space="preserve"> the FOS heads at the hospitals to </w:t>
      </w:r>
      <w:r w:rsidR="00B713BA">
        <w:t xml:space="preserve">the </w:t>
      </w:r>
      <w:r w:rsidRPr="00455280">
        <w:t xml:space="preserve">corporate FOS head. This helped Mangla in </w:t>
      </w:r>
      <w:r w:rsidRPr="00455280">
        <w:lastRenderedPageBreak/>
        <w:t xml:space="preserve">building a working relationship with all FOS heads across </w:t>
      </w:r>
      <w:r w:rsidR="00B713BA">
        <w:t xml:space="preserve">the </w:t>
      </w:r>
      <w:r w:rsidRPr="00455280">
        <w:t>hospitals. Also</w:t>
      </w:r>
      <w:r w:rsidR="00B713BA">
        <w:t>,</w:t>
      </w:r>
      <w:r w:rsidRPr="00455280">
        <w:t xml:space="preserve"> in an effort to empower the operations of the business closest to the patient, the number of regions was optimized from five to three, and the </w:t>
      </w:r>
      <w:r w:rsidR="00B713BA">
        <w:t>c</w:t>
      </w:r>
      <w:r w:rsidRPr="00455280">
        <w:t xml:space="preserve">orporate </w:t>
      </w:r>
      <w:r w:rsidR="00B713BA">
        <w:t>o</w:t>
      </w:r>
      <w:r w:rsidRPr="00455280">
        <w:t>ffice was re</w:t>
      </w:r>
      <w:r w:rsidR="00B713BA">
        <w:t>-</w:t>
      </w:r>
      <w:r w:rsidRPr="00455280">
        <w:t xml:space="preserve">christened the </w:t>
      </w:r>
      <w:r w:rsidR="009625B0">
        <w:t>“</w:t>
      </w:r>
      <w:r w:rsidRPr="00455280">
        <w:t>Support Office,</w:t>
      </w:r>
      <w:r w:rsidR="009625B0">
        <w:t>”</w:t>
      </w:r>
      <w:r w:rsidRPr="00455280">
        <w:t xml:space="preserve"> to reflect its new orientation.</w:t>
      </w:r>
    </w:p>
    <w:p w14:paraId="135B82BB" w14:textId="77777777" w:rsidR="00B713BA" w:rsidRPr="00CD16E5" w:rsidRDefault="00B713BA" w:rsidP="00FE43C4">
      <w:pPr>
        <w:pStyle w:val="BodyTextMain"/>
        <w:rPr>
          <w:sz w:val="20"/>
        </w:rPr>
      </w:pPr>
    </w:p>
    <w:p w14:paraId="52C58FA8" w14:textId="76B4A292" w:rsidR="00FE43C4" w:rsidRPr="006C0476" w:rsidRDefault="00FE43C4" w:rsidP="00FE43C4">
      <w:pPr>
        <w:pStyle w:val="BodyTextMain"/>
        <w:rPr>
          <w:spacing w:val="-2"/>
        </w:rPr>
      </w:pPr>
      <w:r w:rsidRPr="006C0476">
        <w:rPr>
          <w:spacing w:val="-2"/>
        </w:rPr>
        <w:t>In November 2015, the pan</w:t>
      </w:r>
      <w:r w:rsidR="009625B0" w:rsidRPr="006C0476">
        <w:rPr>
          <w:spacing w:val="-2"/>
        </w:rPr>
        <w:t>-</w:t>
      </w:r>
      <w:r w:rsidRPr="006C0476">
        <w:rPr>
          <w:spacing w:val="-2"/>
        </w:rPr>
        <w:t>organization score was 67 per</w:t>
      </w:r>
      <w:r w:rsidR="00B713BA" w:rsidRPr="006C0476">
        <w:rPr>
          <w:spacing w:val="-2"/>
        </w:rPr>
        <w:t xml:space="preserve"> </w:t>
      </w:r>
      <w:r w:rsidRPr="006C0476">
        <w:rPr>
          <w:spacing w:val="-2"/>
        </w:rPr>
        <w:t xml:space="preserve">cent. The scores </w:t>
      </w:r>
      <w:r w:rsidR="00736A84" w:rsidRPr="006C0476">
        <w:rPr>
          <w:spacing w:val="-2"/>
        </w:rPr>
        <w:t>had been</w:t>
      </w:r>
      <w:r w:rsidRPr="006C0476">
        <w:rPr>
          <w:spacing w:val="-2"/>
        </w:rPr>
        <w:t xml:space="preserve"> in the red for the previous two years in areas </w:t>
      </w:r>
      <w:r w:rsidR="00A90F05" w:rsidRPr="006C0476">
        <w:rPr>
          <w:spacing w:val="-2"/>
        </w:rPr>
        <w:t xml:space="preserve">such as </w:t>
      </w:r>
      <w:r w:rsidR="00736A84" w:rsidRPr="006C0476">
        <w:rPr>
          <w:spacing w:val="-2"/>
        </w:rPr>
        <w:t>outpatients</w:t>
      </w:r>
      <w:r w:rsidRPr="006C0476">
        <w:rPr>
          <w:spacing w:val="-2"/>
        </w:rPr>
        <w:t>, discharges, and financial counse</w:t>
      </w:r>
      <w:r w:rsidR="009625B0" w:rsidRPr="006C0476">
        <w:rPr>
          <w:spacing w:val="-2"/>
        </w:rPr>
        <w:t>l</w:t>
      </w:r>
      <w:r w:rsidRPr="006C0476">
        <w:rPr>
          <w:spacing w:val="-2"/>
        </w:rPr>
        <w:t xml:space="preserve">ling. On taking over as </w:t>
      </w:r>
      <w:r w:rsidR="009625B0" w:rsidRPr="006C0476">
        <w:rPr>
          <w:spacing w:val="-2"/>
        </w:rPr>
        <w:t>c</w:t>
      </w:r>
      <w:r w:rsidRPr="006C0476">
        <w:rPr>
          <w:spacing w:val="-2"/>
        </w:rPr>
        <w:t>orporate FOS head, Mangla initiated a number of interventions in collaboration with key people in the organization.</w:t>
      </w:r>
    </w:p>
    <w:p w14:paraId="00250304" w14:textId="77777777" w:rsidR="00FE43C4" w:rsidRPr="00CD16E5" w:rsidRDefault="00FE43C4" w:rsidP="00FE43C4">
      <w:pPr>
        <w:pStyle w:val="BodyTextMain"/>
        <w:rPr>
          <w:sz w:val="20"/>
        </w:rPr>
      </w:pPr>
    </w:p>
    <w:p w14:paraId="26F161E8" w14:textId="11DA082B" w:rsidR="00FE43C4" w:rsidRPr="00FE43C4" w:rsidRDefault="00FE43C4" w:rsidP="00FE43C4">
      <w:pPr>
        <w:pStyle w:val="BodyTextMain"/>
      </w:pPr>
      <w:r w:rsidRPr="005F75C6">
        <w:rPr>
          <w:b/>
        </w:rPr>
        <w:t>Digitization</w:t>
      </w:r>
      <w:r w:rsidRPr="00FE43C4">
        <w:t>: The first aspect Mangla focused on was automat</w:t>
      </w:r>
      <w:r w:rsidR="00A90F05">
        <w:t>ing</w:t>
      </w:r>
      <w:r w:rsidRPr="00FE43C4">
        <w:t xml:space="preserve"> the FOS function. FOS digitization was planned in three phases with the help of the </w:t>
      </w:r>
      <w:r w:rsidR="000867D1">
        <w:t>c</w:t>
      </w:r>
      <w:r w:rsidRPr="00FE43C4">
        <w:t xml:space="preserve">entral </w:t>
      </w:r>
      <w:r w:rsidR="000867D1">
        <w:t>information technology</w:t>
      </w:r>
      <w:r w:rsidRPr="00FE43C4">
        <w:t xml:space="preserve"> team. Phase 1 was implemented by Feb</w:t>
      </w:r>
      <w:r w:rsidR="000867D1">
        <w:t>ruary</w:t>
      </w:r>
      <w:r w:rsidRPr="00FE43C4">
        <w:t xml:space="preserve"> 2016 at the central level</w:t>
      </w:r>
      <w:r w:rsidR="000867D1">
        <w:t>,</w:t>
      </w:r>
      <w:r w:rsidRPr="00FE43C4">
        <w:t xml:space="preserve"> wherein all reports were uploaded at a central portal </w:t>
      </w:r>
      <w:r w:rsidR="000867D1">
        <w:t>that allowed</w:t>
      </w:r>
      <w:r w:rsidRPr="00FE43C4">
        <w:t xml:space="preserve"> </w:t>
      </w:r>
      <w:r w:rsidR="000867D1">
        <w:t xml:space="preserve">the </w:t>
      </w:r>
      <w:r w:rsidRPr="00FE43C4">
        <w:t xml:space="preserve">CEO, </w:t>
      </w:r>
      <w:r w:rsidR="000867D1">
        <w:t>r</w:t>
      </w:r>
      <w:r w:rsidRPr="00FE43C4">
        <w:t>egional COOs</w:t>
      </w:r>
      <w:r w:rsidR="000867D1">
        <w:t>,</w:t>
      </w:r>
      <w:r w:rsidRPr="00FE43C4">
        <w:t xml:space="preserve"> and other top managers </w:t>
      </w:r>
      <w:r w:rsidR="000867D1">
        <w:t xml:space="preserve">to </w:t>
      </w:r>
      <w:r w:rsidRPr="00FE43C4">
        <w:t>view the highlights of the report in the form of a dashboard. Otherwise</w:t>
      </w:r>
      <w:r w:rsidR="000867D1">
        <w:t>,</w:t>
      </w:r>
      <w:r w:rsidRPr="00FE43C4">
        <w:t xml:space="preserve"> </w:t>
      </w:r>
      <w:r w:rsidR="000867D1">
        <w:t>the report</w:t>
      </w:r>
      <w:r w:rsidRPr="00FE43C4">
        <w:t xml:space="preserve"> was being collated manually using Excel software. This provided the top leaders </w:t>
      </w:r>
      <w:r w:rsidR="000867D1">
        <w:t xml:space="preserve">with </w:t>
      </w:r>
      <w:r w:rsidRPr="00FE43C4">
        <w:t xml:space="preserve">the current state of affairs </w:t>
      </w:r>
      <w:r w:rsidR="000867D1">
        <w:t xml:space="preserve">across the hospitals </w:t>
      </w:r>
      <w:r w:rsidR="004E5314">
        <w:t>with</w:t>
      </w:r>
      <w:r w:rsidRPr="00FE43C4">
        <w:t xml:space="preserve"> respect </w:t>
      </w:r>
      <w:r w:rsidR="004E5314">
        <w:t>to</w:t>
      </w:r>
      <w:r w:rsidRPr="00FE43C4">
        <w:t xml:space="preserve"> FOS. Phase 2 was planned </w:t>
      </w:r>
      <w:r w:rsidR="00DA7D32">
        <w:t>for</w:t>
      </w:r>
      <w:r w:rsidRPr="00FE43C4">
        <w:t xml:space="preserve"> 2017</w:t>
      </w:r>
      <w:r w:rsidR="000867D1">
        <w:t>–</w:t>
      </w:r>
      <w:r w:rsidRPr="00FE43C4">
        <w:t xml:space="preserve">18 </w:t>
      </w:r>
      <w:r w:rsidR="00DA7D32">
        <w:t>and would be an</w:t>
      </w:r>
      <w:r w:rsidRPr="00FE43C4">
        <w:t xml:space="preserve"> automati</w:t>
      </w:r>
      <w:r w:rsidR="00DA7D32">
        <w:t>on of</w:t>
      </w:r>
      <w:r w:rsidRPr="00FE43C4">
        <w:t xml:space="preserve"> the FOS data at the unit level</w:t>
      </w:r>
      <w:r w:rsidR="000867D1">
        <w:t>,</w:t>
      </w:r>
      <w:r w:rsidRPr="00FE43C4">
        <w:t xml:space="preserve"> while the feasibility of Phase 3</w:t>
      </w:r>
      <w:r w:rsidR="00DA7D32">
        <w:t>—</w:t>
      </w:r>
      <w:r w:rsidRPr="00FE43C4">
        <w:t>automating the FOS data collection</w:t>
      </w:r>
      <w:r w:rsidR="00DA7D32">
        <w:t>—</w:t>
      </w:r>
      <w:r w:rsidRPr="00FE43C4">
        <w:t xml:space="preserve">was being </w:t>
      </w:r>
      <w:r w:rsidR="00DA7D32">
        <w:t>determined</w:t>
      </w:r>
      <w:r w:rsidRPr="00FE43C4">
        <w:t>.</w:t>
      </w:r>
    </w:p>
    <w:p w14:paraId="1545D6A1" w14:textId="77777777" w:rsidR="00FE43C4" w:rsidRPr="00CD16E5" w:rsidRDefault="00FE43C4" w:rsidP="00FE43C4">
      <w:pPr>
        <w:pStyle w:val="BodyTextMain"/>
        <w:rPr>
          <w:sz w:val="20"/>
        </w:rPr>
      </w:pPr>
    </w:p>
    <w:p w14:paraId="33479C15" w14:textId="747823CC" w:rsidR="00FE43C4" w:rsidRPr="00FE43C4" w:rsidRDefault="00FE43C4" w:rsidP="00FE43C4">
      <w:pPr>
        <w:pStyle w:val="BodyTextMain"/>
      </w:pPr>
      <w:r w:rsidRPr="005F75C6">
        <w:rPr>
          <w:b/>
        </w:rPr>
        <w:t>Capability Assessment</w:t>
      </w:r>
      <w:r w:rsidRPr="00FE43C4">
        <w:t>: Mangla</w:t>
      </w:r>
      <w:r w:rsidR="00A90F05">
        <w:t>,</w:t>
      </w:r>
      <w:r w:rsidRPr="00FE43C4">
        <w:t xml:space="preserve"> </w:t>
      </w:r>
      <w:r w:rsidR="005F75C6">
        <w:t xml:space="preserve">along with the human resources (HR) team at support office, </w:t>
      </w:r>
      <w:r w:rsidRPr="00FE43C4">
        <w:t xml:space="preserve">commenced an exercise of capability assessment of all FOS heads across </w:t>
      </w:r>
      <w:r w:rsidR="004E5314">
        <w:t xml:space="preserve">the </w:t>
      </w:r>
      <w:r w:rsidRPr="00FE43C4">
        <w:t xml:space="preserve">hospitals. A tool was developed </w:t>
      </w:r>
      <w:r w:rsidR="004E5314">
        <w:t xml:space="preserve">for doing so, </w:t>
      </w:r>
      <w:r w:rsidRPr="00FE43C4">
        <w:t>and FDs and unit HR heads were made responsible for assessing the FOS heads on certain parameters, such as their team management skills, know</w:t>
      </w:r>
      <w:r w:rsidR="00C83474">
        <w:t>ledge</w:t>
      </w:r>
      <w:r w:rsidRPr="00FE43C4">
        <w:t xml:space="preserve"> of processes, analytical skills</w:t>
      </w:r>
      <w:r w:rsidR="004E5314">
        <w:t>,</w:t>
      </w:r>
      <w:r w:rsidRPr="00FE43C4">
        <w:t xml:space="preserve"> and execution skills. They were instructed to look for replacements for those who were not up to the mark. People who were positive </w:t>
      </w:r>
      <w:r w:rsidR="00A90F05">
        <w:t>about</w:t>
      </w:r>
      <w:r w:rsidRPr="00FE43C4">
        <w:t xml:space="preserve"> the idea of continuous improvement and had the right attitude and energy were selected</w:t>
      </w:r>
      <w:r w:rsidR="005F75C6">
        <w:t xml:space="preserve"> as their replacements</w:t>
      </w:r>
      <w:r w:rsidRPr="00FE43C4">
        <w:t xml:space="preserve">. Also, FOS heads were relieved of all other responsibilities other than FOS. Apart from functional reporting to </w:t>
      </w:r>
      <w:r w:rsidR="00C83474">
        <w:t xml:space="preserve">the </w:t>
      </w:r>
      <w:r w:rsidRPr="00FE43C4">
        <w:t xml:space="preserve">corporate FOS head, they reported directly to </w:t>
      </w:r>
      <w:r w:rsidR="00C83474">
        <w:t xml:space="preserve">an </w:t>
      </w:r>
      <w:r w:rsidRPr="00FE43C4">
        <w:t xml:space="preserve">FD. </w:t>
      </w:r>
    </w:p>
    <w:p w14:paraId="5D3B90F1" w14:textId="77777777" w:rsidR="00FE43C4" w:rsidRPr="00CD16E5" w:rsidRDefault="00FE43C4" w:rsidP="00FE43C4">
      <w:pPr>
        <w:pStyle w:val="BodyTextMain"/>
        <w:rPr>
          <w:sz w:val="20"/>
        </w:rPr>
      </w:pPr>
    </w:p>
    <w:p w14:paraId="51345A0C" w14:textId="68AD9ED5" w:rsidR="00FE43C4" w:rsidRPr="00FE43C4" w:rsidRDefault="00FE43C4" w:rsidP="00FE43C4">
      <w:pPr>
        <w:pStyle w:val="BodyTextMain"/>
      </w:pPr>
      <w:r w:rsidRPr="005F75C6">
        <w:rPr>
          <w:b/>
        </w:rPr>
        <w:t>Metrics Definition</w:t>
      </w:r>
      <w:r w:rsidRPr="00FE43C4">
        <w:t xml:space="preserve">: Over time, some of </w:t>
      </w:r>
      <w:r w:rsidR="00C83474">
        <w:t xml:space="preserve">the </w:t>
      </w:r>
      <w:r w:rsidRPr="00FE43C4">
        <w:t xml:space="preserve">metrics in the scorecard had become irrelevant. Mangla initiated an exercise for revising the definitions of some of the </w:t>
      </w:r>
      <w:r w:rsidR="00C83474">
        <w:t xml:space="preserve">scorecard </w:t>
      </w:r>
      <w:r w:rsidRPr="00FE43C4">
        <w:t xml:space="preserve">metrics to make them relevant. The metrics </w:t>
      </w:r>
      <w:r w:rsidR="00C83474">
        <w:t>that</w:t>
      </w:r>
      <w:r w:rsidRPr="00FE43C4">
        <w:t xml:space="preserve"> had become redundant were dropped. </w:t>
      </w:r>
    </w:p>
    <w:p w14:paraId="606F58CC" w14:textId="77777777" w:rsidR="00FE43C4" w:rsidRPr="00CD16E5" w:rsidRDefault="00FE43C4" w:rsidP="00FE43C4">
      <w:pPr>
        <w:pStyle w:val="BodyTextMain"/>
        <w:rPr>
          <w:sz w:val="20"/>
        </w:rPr>
      </w:pPr>
    </w:p>
    <w:p w14:paraId="6307A920" w14:textId="31C09F73" w:rsidR="00A90F05" w:rsidRDefault="00FE43C4" w:rsidP="00FE43C4">
      <w:pPr>
        <w:pStyle w:val="BodyTextMain"/>
        <w:rPr>
          <w:spacing w:val="-2"/>
        </w:rPr>
      </w:pPr>
      <w:r w:rsidRPr="00CD16E5">
        <w:rPr>
          <w:b/>
          <w:spacing w:val="-2"/>
        </w:rPr>
        <w:t>Sensitization through Boot Camps</w:t>
      </w:r>
      <w:r w:rsidRPr="00CD16E5">
        <w:rPr>
          <w:spacing w:val="-2"/>
        </w:rPr>
        <w:t xml:space="preserve">: To have a one-on-one connect with the unit FOS heads and asset leads, </w:t>
      </w:r>
      <w:r w:rsidR="00C83474" w:rsidRPr="00CD16E5">
        <w:rPr>
          <w:spacing w:val="-2"/>
        </w:rPr>
        <w:t xml:space="preserve">every hospital conducted </w:t>
      </w:r>
      <w:r w:rsidRPr="00CD16E5">
        <w:rPr>
          <w:spacing w:val="-2"/>
        </w:rPr>
        <w:t xml:space="preserve">separate boot camps. The exercise was carried out over a day or two </w:t>
      </w:r>
      <w:r w:rsidR="00C83474" w:rsidRPr="00CD16E5">
        <w:rPr>
          <w:spacing w:val="-2"/>
        </w:rPr>
        <w:t>and</w:t>
      </w:r>
      <w:r w:rsidRPr="00CD16E5">
        <w:rPr>
          <w:spacing w:val="-2"/>
        </w:rPr>
        <w:t xml:space="preserve"> brought the entire hospital staff into one room. To link FOS to patient experience, the tag line for the boot camp was “A Journey towards Patient Delight</w:t>
      </w:r>
      <w:r w:rsidR="00A90F05">
        <w:rPr>
          <w:spacing w:val="-2"/>
        </w:rPr>
        <w:t>.</w:t>
      </w:r>
      <w:r w:rsidRPr="00CD16E5">
        <w:rPr>
          <w:spacing w:val="-2"/>
        </w:rPr>
        <w:t xml:space="preserve">” The first boot camp was done at Noida </w:t>
      </w:r>
      <w:r w:rsidR="00C83474" w:rsidRPr="00CD16E5">
        <w:rPr>
          <w:spacing w:val="-2"/>
        </w:rPr>
        <w:t>and</w:t>
      </w:r>
      <w:r w:rsidRPr="00CD16E5">
        <w:rPr>
          <w:spacing w:val="-2"/>
        </w:rPr>
        <w:t xml:space="preserve"> was attended by Bhavdeep, D</w:t>
      </w:r>
      <w:r w:rsidR="00C83474" w:rsidRPr="00CD16E5">
        <w:rPr>
          <w:spacing w:val="-2"/>
        </w:rPr>
        <w:t>aljit,</w:t>
      </w:r>
      <w:r w:rsidRPr="00CD16E5">
        <w:rPr>
          <w:spacing w:val="-2"/>
        </w:rPr>
        <w:t xml:space="preserve"> and other senior leaders. To provide the required emphasis </w:t>
      </w:r>
      <w:r w:rsidR="00877B58" w:rsidRPr="00CD16E5">
        <w:rPr>
          <w:spacing w:val="-2"/>
        </w:rPr>
        <w:t>for</w:t>
      </w:r>
      <w:r w:rsidRPr="00CD16E5">
        <w:rPr>
          <w:spacing w:val="-2"/>
        </w:rPr>
        <w:t xml:space="preserve"> FOS, the top leaders went to all the boot camps conducted across </w:t>
      </w:r>
      <w:r w:rsidR="00877B58" w:rsidRPr="00CD16E5">
        <w:rPr>
          <w:spacing w:val="-2"/>
        </w:rPr>
        <w:t xml:space="preserve">the </w:t>
      </w:r>
      <w:r w:rsidRPr="00CD16E5">
        <w:rPr>
          <w:spacing w:val="-2"/>
        </w:rPr>
        <w:t xml:space="preserve">hospitals. The significance of FOS was discussed with all </w:t>
      </w:r>
      <w:r w:rsidR="00877B58" w:rsidRPr="00CD16E5">
        <w:rPr>
          <w:spacing w:val="-2"/>
        </w:rPr>
        <w:t xml:space="preserve">of </w:t>
      </w:r>
      <w:r w:rsidRPr="00CD16E5">
        <w:rPr>
          <w:spacing w:val="-2"/>
        </w:rPr>
        <w:t>the staff at the hospital</w:t>
      </w:r>
      <w:r w:rsidR="00877B58" w:rsidRPr="00CD16E5">
        <w:rPr>
          <w:spacing w:val="-2"/>
        </w:rPr>
        <w:t>s,</w:t>
      </w:r>
      <w:r w:rsidRPr="00CD16E5">
        <w:rPr>
          <w:spacing w:val="-2"/>
        </w:rPr>
        <w:t xml:space="preserve"> and FOS was linked to two aspects: process efficiency and patient experience/delight. To generate excitement for FOS during the boot camp</w:t>
      </w:r>
      <w:r w:rsidR="00877B58" w:rsidRPr="00CD16E5">
        <w:rPr>
          <w:spacing w:val="-2"/>
        </w:rPr>
        <w:t>,</w:t>
      </w:r>
      <w:r w:rsidRPr="00CD16E5">
        <w:rPr>
          <w:spacing w:val="-2"/>
        </w:rPr>
        <w:t xml:space="preserve"> a board </w:t>
      </w:r>
      <w:r w:rsidR="00A90F05">
        <w:rPr>
          <w:spacing w:val="-2"/>
        </w:rPr>
        <w:t>was</w:t>
      </w:r>
      <w:r w:rsidRPr="00CD16E5">
        <w:rPr>
          <w:spacing w:val="-2"/>
        </w:rPr>
        <w:t xml:space="preserve"> designed </w:t>
      </w:r>
      <w:r w:rsidR="00877B58" w:rsidRPr="00CD16E5">
        <w:rPr>
          <w:spacing w:val="-2"/>
        </w:rPr>
        <w:t>that</w:t>
      </w:r>
      <w:r w:rsidRPr="00CD16E5">
        <w:rPr>
          <w:spacing w:val="-2"/>
        </w:rPr>
        <w:t xml:space="preserve"> </w:t>
      </w:r>
      <w:r w:rsidR="00877B58" w:rsidRPr="00CD16E5">
        <w:rPr>
          <w:spacing w:val="-2"/>
        </w:rPr>
        <w:t>displayed</w:t>
      </w:r>
      <w:r w:rsidRPr="00CD16E5">
        <w:rPr>
          <w:spacing w:val="-2"/>
        </w:rPr>
        <w:t xml:space="preserve"> a pledge to join the journey to Patient Delight</w:t>
      </w:r>
      <w:r w:rsidR="00877B58" w:rsidRPr="00CD16E5">
        <w:rPr>
          <w:spacing w:val="-2"/>
        </w:rPr>
        <w:t>,</w:t>
      </w:r>
      <w:r w:rsidRPr="00CD16E5">
        <w:rPr>
          <w:spacing w:val="-2"/>
        </w:rPr>
        <w:t xml:space="preserve"> </w:t>
      </w:r>
      <w:r w:rsidR="00877B58" w:rsidRPr="00CD16E5">
        <w:rPr>
          <w:spacing w:val="-2"/>
        </w:rPr>
        <w:t>and it</w:t>
      </w:r>
      <w:r w:rsidRPr="00CD16E5">
        <w:rPr>
          <w:spacing w:val="-2"/>
        </w:rPr>
        <w:t xml:space="preserve"> was signed by the hospital staff (</w:t>
      </w:r>
      <w:r w:rsidR="00877B58" w:rsidRPr="00CD16E5">
        <w:rPr>
          <w:spacing w:val="-2"/>
        </w:rPr>
        <w:t>see</w:t>
      </w:r>
      <w:r w:rsidRPr="00CD16E5">
        <w:rPr>
          <w:spacing w:val="-2"/>
        </w:rPr>
        <w:t xml:space="preserve"> Exhibit 1). </w:t>
      </w:r>
    </w:p>
    <w:p w14:paraId="112CCD9E" w14:textId="77777777" w:rsidR="00A90F05" w:rsidRDefault="00A90F05" w:rsidP="00FE43C4">
      <w:pPr>
        <w:pStyle w:val="BodyTextMain"/>
        <w:rPr>
          <w:spacing w:val="-2"/>
        </w:rPr>
      </w:pPr>
    </w:p>
    <w:p w14:paraId="2AAE6D2B" w14:textId="45B1D266" w:rsidR="00FE43C4" w:rsidRPr="006C0476" w:rsidRDefault="00FE43C4" w:rsidP="00FE43C4">
      <w:pPr>
        <w:pStyle w:val="BodyTextMain"/>
      </w:pPr>
      <w:r w:rsidRPr="006C0476">
        <w:t xml:space="preserve">The objective of </w:t>
      </w:r>
      <w:r w:rsidR="00877B58" w:rsidRPr="006C0476">
        <w:t xml:space="preserve">the </w:t>
      </w:r>
      <w:r w:rsidRPr="006C0476">
        <w:t>boot camp was two-fold</w:t>
      </w:r>
      <w:r w:rsidR="00877B58" w:rsidRPr="006C0476">
        <w:t xml:space="preserve">: </w:t>
      </w:r>
      <w:r w:rsidRPr="006C0476">
        <w:t>sensitize people to FOS</w:t>
      </w:r>
      <w:r w:rsidR="00877B58" w:rsidRPr="006C0476">
        <w:t>,</w:t>
      </w:r>
      <w:r w:rsidRPr="006C0476">
        <w:t xml:space="preserve"> and make them understand the processes and ways to improve </w:t>
      </w:r>
      <w:r w:rsidR="00877B58" w:rsidRPr="006C0476">
        <w:t>them</w:t>
      </w:r>
      <w:r w:rsidRPr="006C0476">
        <w:t xml:space="preserve">. The sensitization of people to FOS began by providing a global perspective of </w:t>
      </w:r>
      <w:r w:rsidR="00877B58" w:rsidRPr="006C0476">
        <w:t xml:space="preserve">the </w:t>
      </w:r>
      <w:r w:rsidRPr="006C0476">
        <w:t>Cleveland Clinic</w:t>
      </w:r>
      <w:r w:rsidR="00877B58" w:rsidRPr="006C0476">
        <w:t>.</w:t>
      </w:r>
      <w:r w:rsidRPr="006C0476">
        <w:rPr>
          <w:rStyle w:val="FootnoteReference"/>
        </w:rPr>
        <w:footnoteReference w:id="2"/>
      </w:r>
      <w:r w:rsidRPr="006C0476">
        <w:t xml:space="preserve"> The asset leads and process teams were trained on the DMAIC </w:t>
      </w:r>
      <w:r w:rsidR="00877B58" w:rsidRPr="006C0476">
        <w:t xml:space="preserve">(define, measure, analyze, improve, and control) </w:t>
      </w:r>
      <w:r w:rsidRPr="006C0476">
        <w:t>methodology through a one-hour tutorial; the rest of the day was devoted to activity</w:t>
      </w:r>
      <w:r w:rsidR="00877B58" w:rsidRPr="006C0476">
        <w:t>-</w:t>
      </w:r>
      <w:r w:rsidRPr="006C0476">
        <w:t xml:space="preserve">based learning. The units identified the metrics for improvement and redesigned the processes to achieve the desired targets. Quarterly targets were given to the asset leads on the chosen </w:t>
      </w:r>
      <w:r w:rsidRPr="006C0476">
        <w:lastRenderedPageBreak/>
        <w:t>metrics</w:t>
      </w:r>
      <w:r w:rsidR="00877B58" w:rsidRPr="006C0476">
        <w:t>,</w:t>
      </w:r>
      <w:r w:rsidRPr="006C0476">
        <w:t xml:space="preserve"> to improve scores. A presentation was </w:t>
      </w:r>
      <w:r w:rsidR="00877B58" w:rsidRPr="006C0476">
        <w:t>given,</w:t>
      </w:r>
      <w:r w:rsidRPr="006C0476">
        <w:t xml:space="preserve"> </w:t>
      </w:r>
      <w:r w:rsidR="00877B58" w:rsidRPr="006C0476">
        <w:t>and</w:t>
      </w:r>
      <w:r w:rsidRPr="006C0476">
        <w:t xml:space="preserve"> then circulated and shown at regular intervals in all the hospitals.</w:t>
      </w:r>
    </w:p>
    <w:p w14:paraId="009EC30C" w14:textId="77777777" w:rsidR="00FE43C4" w:rsidRPr="00CD16E5" w:rsidRDefault="00FE43C4" w:rsidP="00FE43C4">
      <w:pPr>
        <w:pStyle w:val="BodyTextMain"/>
        <w:rPr>
          <w:sz w:val="20"/>
        </w:rPr>
      </w:pPr>
    </w:p>
    <w:p w14:paraId="65AD4E37" w14:textId="4E67847F" w:rsidR="00FE43C4" w:rsidRDefault="00FE43C4" w:rsidP="00FE43C4">
      <w:pPr>
        <w:pStyle w:val="BodyTextMain"/>
      </w:pPr>
      <w:r w:rsidRPr="005F75C6">
        <w:rPr>
          <w:b/>
        </w:rPr>
        <w:t xml:space="preserve">Inclusion of FOS </w:t>
      </w:r>
      <w:r w:rsidR="00877B58">
        <w:rPr>
          <w:b/>
        </w:rPr>
        <w:t>M</w:t>
      </w:r>
      <w:r w:rsidRPr="005F75C6">
        <w:rPr>
          <w:b/>
        </w:rPr>
        <w:t>odule in Induction Training</w:t>
      </w:r>
      <w:r w:rsidRPr="00FE43C4">
        <w:t>: Role-based induction modules were formulated for all new joine</w:t>
      </w:r>
      <w:r w:rsidR="00877B58">
        <w:t>r</w:t>
      </w:r>
      <w:r w:rsidRPr="00FE43C4">
        <w:t xml:space="preserve">s, </w:t>
      </w:r>
      <w:r w:rsidR="00877B58">
        <w:t>c</w:t>
      </w:r>
      <w:r w:rsidRPr="00FE43C4">
        <w:t xml:space="preserve">linicians, </w:t>
      </w:r>
      <w:r w:rsidR="00877B58">
        <w:t>a</w:t>
      </w:r>
      <w:r w:rsidRPr="00FE43C4">
        <w:t>sset leads</w:t>
      </w:r>
      <w:r w:rsidR="002D2DAD">
        <w:t>,</w:t>
      </w:r>
      <w:r w:rsidRPr="00FE43C4">
        <w:t xml:space="preserve"> and FOS heads. Asset leads and the unit FOS head </w:t>
      </w:r>
      <w:r w:rsidR="002D2DAD">
        <w:t>undertook</w:t>
      </w:r>
      <w:r w:rsidRPr="00FE43C4">
        <w:t xml:space="preserve"> a detailed </w:t>
      </w:r>
      <w:r w:rsidR="00877B58">
        <w:t>three</w:t>
      </w:r>
      <w:r w:rsidRPr="00FE43C4">
        <w:t xml:space="preserve">-day and a </w:t>
      </w:r>
      <w:r w:rsidR="00877B58">
        <w:t>six</w:t>
      </w:r>
      <w:r w:rsidRPr="00FE43C4">
        <w:t>-day induction module</w:t>
      </w:r>
      <w:r w:rsidR="002D2DAD">
        <w:t>,</w:t>
      </w:r>
      <w:r w:rsidRPr="00FE43C4">
        <w:t xml:space="preserve"> which w</w:t>
      </w:r>
      <w:r w:rsidR="002D2DAD">
        <w:t>ere</w:t>
      </w:r>
      <w:r w:rsidRPr="00FE43C4">
        <w:t xml:space="preserve"> conducted by the FOS head of the hospital</w:t>
      </w:r>
      <w:r w:rsidR="002D2DAD">
        <w:t xml:space="preserve"> and of an</w:t>
      </w:r>
      <w:r w:rsidRPr="00FE43C4">
        <w:t>other hospital</w:t>
      </w:r>
      <w:r w:rsidR="002D2DAD">
        <w:t>, respectively</w:t>
      </w:r>
      <w:r w:rsidRPr="00FE43C4">
        <w:t>. A 30</w:t>
      </w:r>
      <w:r w:rsidR="00877B58">
        <w:t>-</w:t>
      </w:r>
      <w:r w:rsidRPr="00FE43C4">
        <w:t>minute s</w:t>
      </w:r>
      <w:r w:rsidR="002D2DAD">
        <w:t>ession</w:t>
      </w:r>
      <w:r w:rsidRPr="00FE43C4">
        <w:t xml:space="preserve"> on </w:t>
      </w:r>
      <w:r w:rsidRPr="00455280">
        <w:t>FOS</w:t>
      </w:r>
      <w:r w:rsidR="002D2DAD">
        <w:t xml:space="preserve">, conducted by </w:t>
      </w:r>
      <w:r w:rsidR="00C56C80">
        <w:t xml:space="preserve">unit </w:t>
      </w:r>
      <w:r w:rsidR="002D2DAD">
        <w:t>FOS heads,</w:t>
      </w:r>
      <w:r w:rsidRPr="00455280">
        <w:t xml:space="preserve"> was also provided during HR induction for all </w:t>
      </w:r>
      <w:r w:rsidR="002D2DAD">
        <w:t xml:space="preserve">new </w:t>
      </w:r>
      <w:r w:rsidRPr="00455280">
        <w:t>employees</w:t>
      </w:r>
      <w:r w:rsidR="002D2DAD">
        <w:t>,</w:t>
      </w:r>
      <w:r w:rsidRPr="00455280">
        <w:t xml:space="preserve"> </w:t>
      </w:r>
      <w:r>
        <w:t xml:space="preserve">which was followed by evaluation. </w:t>
      </w:r>
      <w:r w:rsidRPr="00455280">
        <w:t xml:space="preserve">In addition, the list of asset leads across </w:t>
      </w:r>
      <w:r w:rsidR="002D2DAD">
        <w:t xml:space="preserve">the </w:t>
      </w:r>
      <w:r w:rsidRPr="00455280">
        <w:t>hospitals was formalized</w:t>
      </w:r>
      <w:r w:rsidR="002D2DAD">
        <w:t>,</w:t>
      </w:r>
      <w:r w:rsidRPr="00455280">
        <w:t xml:space="preserve"> which resulted in their accountability. Earlier</w:t>
      </w:r>
      <w:r w:rsidR="002D2DAD">
        <w:t>,</w:t>
      </w:r>
      <w:r w:rsidRPr="00455280">
        <w:t xml:space="preserve"> </w:t>
      </w:r>
      <w:r w:rsidR="002D2DAD">
        <w:t xml:space="preserve">based </w:t>
      </w:r>
      <w:r w:rsidRPr="00455280">
        <w:t xml:space="preserve">on availability, individuals were asked to carry out the tasks of asset leads, and </w:t>
      </w:r>
      <w:r w:rsidR="002D2DAD">
        <w:t xml:space="preserve">the </w:t>
      </w:r>
      <w:r w:rsidRPr="00455280">
        <w:t>FOS head was made responsible for</w:t>
      </w:r>
      <w:r w:rsidR="005F75C6">
        <w:t xml:space="preserve"> everything</w:t>
      </w:r>
      <w:r w:rsidRPr="00455280">
        <w:t xml:space="preserve"> in FOS. </w:t>
      </w:r>
      <w:r w:rsidR="00914B09">
        <w:t>A</w:t>
      </w:r>
      <w:r w:rsidRPr="00455280">
        <w:t xml:space="preserve"> formal document was </w:t>
      </w:r>
      <w:r w:rsidR="00914B09">
        <w:t xml:space="preserve">also </w:t>
      </w:r>
      <w:r w:rsidRPr="00455280">
        <w:t xml:space="preserve">created for handing over responsibility when a new person assumed the role. </w:t>
      </w:r>
      <w:r w:rsidR="00914B09">
        <w:t>It</w:t>
      </w:r>
      <w:r w:rsidRPr="00455280">
        <w:t xml:space="preserve"> was countersigned by the HR head, </w:t>
      </w:r>
      <w:r w:rsidR="00914B09">
        <w:t xml:space="preserve">the </w:t>
      </w:r>
      <w:r w:rsidRPr="00455280">
        <w:t>FD</w:t>
      </w:r>
      <w:r w:rsidR="00914B09">
        <w:t>,</w:t>
      </w:r>
      <w:r w:rsidRPr="00455280">
        <w:t xml:space="preserve"> and the person taking over, resulting in </w:t>
      </w:r>
      <w:r w:rsidR="00914B09">
        <w:t xml:space="preserve">the </w:t>
      </w:r>
      <w:r w:rsidRPr="00455280">
        <w:t>alignment of the new FOS heads to their roles and responsibilities.</w:t>
      </w:r>
    </w:p>
    <w:p w14:paraId="449E904A" w14:textId="77777777" w:rsidR="00FE43C4" w:rsidRPr="00CD16E5" w:rsidRDefault="00FE43C4" w:rsidP="00CD16E5">
      <w:pPr>
        <w:pStyle w:val="BodyTextMain"/>
        <w:rPr>
          <w:sz w:val="20"/>
        </w:rPr>
      </w:pPr>
    </w:p>
    <w:p w14:paraId="121232F0" w14:textId="78BA102A" w:rsidR="00FE43C4" w:rsidRPr="00FE43C4" w:rsidRDefault="00FE43C4" w:rsidP="00FE43C4">
      <w:pPr>
        <w:pStyle w:val="BodyTextMain"/>
      </w:pPr>
      <w:r w:rsidRPr="005F75C6">
        <w:rPr>
          <w:b/>
        </w:rPr>
        <w:t>Standardization of Data</w:t>
      </w:r>
      <w:r w:rsidRPr="00FE43C4">
        <w:t xml:space="preserve">: The process of capturing data was standardized across </w:t>
      </w:r>
      <w:r w:rsidR="00914B09">
        <w:t xml:space="preserve">the </w:t>
      </w:r>
      <w:r w:rsidRPr="00FE43C4">
        <w:t>hospitals. This was done by making</w:t>
      </w:r>
      <w:r w:rsidR="00914B09">
        <w:t xml:space="preserve"> it mandatory to capture</w:t>
      </w:r>
      <w:r w:rsidRPr="00FE43C4">
        <w:t xml:space="preserve"> a certain number of parameters in a process</w:t>
      </w:r>
      <w:r w:rsidR="00914B09">
        <w:t>;</w:t>
      </w:r>
      <w:r w:rsidRPr="00FE43C4">
        <w:t xml:space="preserve"> other</w:t>
      </w:r>
      <w:r w:rsidR="00914B09">
        <w:t xml:space="preserve"> parameter</w:t>
      </w:r>
      <w:r w:rsidRPr="00FE43C4">
        <w:t xml:space="preserve">s were optional for the units. This </w:t>
      </w:r>
      <w:r w:rsidR="00914B09">
        <w:t xml:space="preserve">standardization </w:t>
      </w:r>
      <w:r w:rsidRPr="00FE43C4">
        <w:t xml:space="preserve">was also essential for </w:t>
      </w:r>
      <w:r w:rsidR="00914B09">
        <w:t xml:space="preserve">the </w:t>
      </w:r>
      <w:r w:rsidRPr="00FE43C4">
        <w:t>automation of data captur</w:t>
      </w:r>
      <w:r w:rsidR="00914B09">
        <w:t>e</w:t>
      </w:r>
      <w:r w:rsidRPr="00FE43C4">
        <w:t>.</w:t>
      </w:r>
    </w:p>
    <w:p w14:paraId="5F38E2AC" w14:textId="77777777" w:rsidR="00FE43C4" w:rsidRPr="00CD16E5" w:rsidRDefault="00FE43C4" w:rsidP="00FE43C4">
      <w:pPr>
        <w:pStyle w:val="BodyTextMain"/>
        <w:rPr>
          <w:sz w:val="20"/>
        </w:rPr>
      </w:pPr>
    </w:p>
    <w:p w14:paraId="245CD73F" w14:textId="11E0C123" w:rsidR="00FE43C4" w:rsidRDefault="00FE43C4" w:rsidP="00FE43C4">
      <w:pPr>
        <w:pStyle w:val="BodyTextMain"/>
      </w:pPr>
      <w:r w:rsidRPr="005F75C6">
        <w:rPr>
          <w:b/>
        </w:rPr>
        <w:t>Revision of Process Manuals</w:t>
      </w:r>
      <w:r w:rsidRPr="00FE43C4">
        <w:t xml:space="preserve">: </w:t>
      </w:r>
      <w:r w:rsidR="00914B09">
        <w:t>Reviews and revisions of p</w:t>
      </w:r>
      <w:r w:rsidRPr="00FE43C4">
        <w:t xml:space="preserve">rocess manuals </w:t>
      </w:r>
      <w:r w:rsidR="00914B09">
        <w:t>dating from</w:t>
      </w:r>
      <w:r w:rsidRPr="00FE43C4">
        <w:t xml:space="preserve"> 2007 were taken up. By November 2016, process manuals were made exclusively for each hospital and were vet</w:t>
      </w:r>
      <w:r>
        <w:t xml:space="preserve">ted by COOs and </w:t>
      </w:r>
      <w:r w:rsidR="00914B09">
        <w:t>r</w:t>
      </w:r>
      <w:r>
        <w:t xml:space="preserve">egional </w:t>
      </w:r>
      <w:r w:rsidR="00914B09">
        <w:t>h</w:t>
      </w:r>
      <w:r>
        <w:t>eads.</w:t>
      </w:r>
    </w:p>
    <w:p w14:paraId="18BA61E8" w14:textId="77777777" w:rsidR="00FE43C4" w:rsidRPr="00CD16E5" w:rsidRDefault="00FE43C4" w:rsidP="00FE43C4">
      <w:pPr>
        <w:pStyle w:val="BodyTextMain"/>
        <w:rPr>
          <w:sz w:val="20"/>
        </w:rPr>
      </w:pPr>
    </w:p>
    <w:p w14:paraId="414AC8D7" w14:textId="7BBFFB4D" w:rsidR="00FE43C4" w:rsidRPr="00FE43C4" w:rsidRDefault="00FE43C4" w:rsidP="00FE43C4">
      <w:pPr>
        <w:pStyle w:val="BodyTextMain"/>
      </w:pPr>
      <w:r w:rsidRPr="005F75C6">
        <w:rPr>
          <w:b/>
        </w:rPr>
        <w:t>FOS Audit</w:t>
      </w:r>
      <w:r w:rsidRPr="00FE43C4">
        <w:t xml:space="preserve">: A detailed audit tool was developed, and an extensive audit was carried out for all hospitals. The primary emphasis of the audit was on the authenticity of data. Each metric was analyzed based on certain parameters linked to the metric, current compliance status, and analysis of past data. For example, in the </w:t>
      </w:r>
      <w:r w:rsidR="00914B09">
        <w:t>outpatient department (</w:t>
      </w:r>
      <w:r w:rsidRPr="00FE43C4">
        <w:t>OPD</w:t>
      </w:r>
      <w:r w:rsidR="00914B09">
        <w:t>)</w:t>
      </w:r>
      <w:r w:rsidRPr="00FE43C4">
        <w:t>, for data generation o</w:t>
      </w:r>
      <w:r w:rsidR="009F30B6">
        <w:t>f</w:t>
      </w:r>
      <w:r w:rsidRPr="00FE43C4">
        <w:t xml:space="preserve"> patients delayed beyond 15 minutes </w:t>
      </w:r>
      <w:r w:rsidR="009F30B6">
        <w:t>for</w:t>
      </w:r>
      <w:r w:rsidRPr="00FE43C4">
        <w:t xml:space="preserve"> their appointment, the audit examined how entry and exit times were captured, how over-booked patients or walk-in patients were taken for calculation, whether the appointments list was available with the concerned staff at the front desk, and so on. Mangla said, “We deliberately planned to lay the road</w:t>
      </w:r>
      <w:r w:rsidR="000E34F4">
        <w:t xml:space="preserve"> </w:t>
      </w:r>
      <w:r w:rsidRPr="00FE43C4">
        <w:t>map first and set expectations to all before we started performing the audits. We knew that it would fail if it got reduced to an exercise of finding faults. We used it to generate useful feedback, and so people viewed it positively. In fact, FEHI was one of the first hospitals to make a call to learn the conclusions and audit findings. Trust started to develop slowly across hospitals.”</w:t>
      </w:r>
    </w:p>
    <w:p w14:paraId="6D07A57D" w14:textId="77777777" w:rsidR="00FE43C4" w:rsidRPr="00CD16E5" w:rsidRDefault="00FE43C4" w:rsidP="00FE43C4">
      <w:pPr>
        <w:pStyle w:val="BodyTextMain"/>
        <w:rPr>
          <w:i/>
          <w:sz w:val="20"/>
        </w:rPr>
      </w:pPr>
    </w:p>
    <w:p w14:paraId="59648DE4" w14:textId="55AD0C7A" w:rsidR="00FE43C4" w:rsidRPr="00FE43C4" w:rsidRDefault="00FE43C4" w:rsidP="00FE43C4">
      <w:pPr>
        <w:pStyle w:val="BodyTextMain"/>
      </w:pPr>
      <w:r w:rsidRPr="00455280">
        <w:t xml:space="preserve">The detailed audit was planned to be done annually by the corporate FOS head. </w:t>
      </w:r>
      <w:r w:rsidR="000E34F4">
        <w:t>O</w:t>
      </w:r>
      <w:r w:rsidRPr="00455280">
        <w:t xml:space="preserve">ther audits </w:t>
      </w:r>
      <w:r w:rsidR="000E34F4">
        <w:t xml:space="preserve">were </w:t>
      </w:r>
      <w:r w:rsidRPr="00455280">
        <w:t>conducted at the hospital</w:t>
      </w:r>
      <w:r w:rsidR="000E34F4">
        <w:t>,</w:t>
      </w:r>
      <w:r w:rsidRPr="00455280">
        <w:t xml:space="preserve"> includ</w:t>
      </w:r>
      <w:r w:rsidR="00A90F05">
        <w:t>ing</w:t>
      </w:r>
      <w:r w:rsidRPr="00455280">
        <w:t xml:space="preserve"> (</w:t>
      </w:r>
      <w:r w:rsidR="000E34F4">
        <w:t>1</w:t>
      </w:r>
      <w:r w:rsidRPr="00455280">
        <w:t xml:space="preserve">) </w:t>
      </w:r>
      <w:r w:rsidR="000E34F4">
        <w:t xml:space="preserve">a </w:t>
      </w:r>
      <w:r w:rsidRPr="00455280">
        <w:t>cross-functional audit (</w:t>
      </w:r>
      <w:r w:rsidR="006C0476">
        <w:t>an audit done at six-month intervals by one department for another</w:t>
      </w:r>
      <w:r w:rsidRPr="00455280">
        <w:t>); (</w:t>
      </w:r>
      <w:r w:rsidR="000E34F4">
        <w:t>2</w:t>
      </w:r>
      <w:r w:rsidRPr="00455280">
        <w:t xml:space="preserve">) </w:t>
      </w:r>
      <w:r w:rsidR="000E34F4">
        <w:t xml:space="preserve">a </w:t>
      </w:r>
      <w:r w:rsidRPr="00455280">
        <w:t>regional audit (</w:t>
      </w:r>
      <w:r w:rsidR="000E34F4">
        <w:t xml:space="preserve">an </w:t>
      </w:r>
      <w:r w:rsidRPr="00455280">
        <w:t>annual audit done by one region for the other); and (</w:t>
      </w:r>
      <w:r w:rsidR="000E34F4">
        <w:t>3</w:t>
      </w:r>
      <w:r w:rsidRPr="00455280">
        <w:t>)</w:t>
      </w:r>
      <w:r w:rsidR="006C0476">
        <w:t xml:space="preserve"> </w:t>
      </w:r>
      <w:r w:rsidRPr="00455280">
        <w:t>10</w:t>
      </w:r>
      <w:r w:rsidR="006C0476">
        <w:t xml:space="preserve"> </w:t>
      </w:r>
      <w:r w:rsidRPr="00455280">
        <w:t xml:space="preserve">commandments (a small audit </w:t>
      </w:r>
      <w:r w:rsidR="000E34F4">
        <w:t>with</w:t>
      </w:r>
      <w:r w:rsidRPr="00455280">
        <w:t xml:space="preserve"> 10 key metrics</w:t>
      </w:r>
      <w:r w:rsidR="000E34F4">
        <w:t>,</w:t>
      </w:r>
      <w:r w:rsidRPr="00455280">
        <w:t xml:space="preserve"> to be conducted by top management). </w:t>
      </w:r>
      <w:r w:rsidR="000E34F4">
        <w:t>An a</w:t>
      </w:r>
      <w:r w:rsidRPr="00455280">
        <w:t xml:space="preserve">udit calendar </w:t>
      </w:r>
      <w:r w:rsidRPr="00FE43C4">
        <w:t xml:space="preserve">was </w:t>
      </w:r>
      <w:r w:rsidR="000E34F4">
        <w:t>created,</w:t>
      </w:r>
      <w:r w:rsidRPr="00FE43C4">
        <w:t xml:space="preserve"> and FDs and senior clinicians were involved in the audit process. Mangla said,</w:t>
      </w:r>
    </w:p>
    <w:p w14:paraId="01A449CF" w14:textId="77777777" w:rsidR="00FE43C4" w:rsidRPr="00CD16E5" w:rsidRDefault="00FE43C4" w:rsidP="00FE43C4">
      <w:pPr>
        <w:pStyle w:val="BodyTextMain"/>
        <w:rPr>
          <w:sz w:val="20"/>
        </w:rPr>
      </w:pPr>
    </w:p>
    <w:p w14:paraId="16B045D8" w14:textId="77777777" w:rsidR="00FE43C4" w:rsidRPr="00FE43C4" w:rsidRDefault="00FE43C4" w:rsidP="00FE43C4">
      <w:pPr>
        <w:pStyle w:val="BodyTextMain"/>
        <w:ind w:left="720"/>
      </w:pPr>
      <w:r w:rsidRPr="00FE43C4">
        <w:t>I tell people that low scores are not a problem. If we know that a certain area is weak, we can put our heads together and resolve the issue. But the data has to be authentic. There are a lot of things done manually and we have a long way to go with regard to automation. Most of all, the definition document should be our bible; we should not interpret anything. The culture to drive FOS should be built on a strong foundation of being compliant.</w:t>
      </w:r>
    </w:p>
    <w:p w14:paraId="0374396E" w14:textId="77777777" w:rsidR="00FE43C4" w:rsidRPr="00CD16E5" w:rsidRDefault="00FE43C4" w:rsidP="00FE43C4">
      <w:pPr>
        <w:pStyle w:val="BodyTextMain"/>
        <w:rPr>
          <w:sz w:val="20"/>
        </w:rPr>
      </w:pPr>
    </w:p>
    <w:p w14:paraId="1CCBD44B" w14:textId="0EDB2010" w:rsidR="00FE43C4" w:rsidRDefault="00FE43C4" w:rsidP="00FE43C4">
      <w:pPr>
        <w:pStyle w:val="BodyTextMain"/>
      </w:pPr>
      <w:r w:rsidRPr="006442AC">
        <w:rPr>
          <w:b/>
        </w:rPr>
        <w:t>Metrics Revision</w:t>
      </w:r>
      <w:r w:rsidRPr="00FE43C4">
        <w:t>: Every Friday, for about two months, a two-hour meeting from 3</w:t>
      </w:r>
      <w:r w:rsidR="000B59FF">
        <w:t>:00</w:t>
      </w:r>
      <w:r w:rsidRPr="00FE43C4">
        <w:t xml:space="preserve"> to 5</w:t>
      </w:r>
      <w:r w:rsidR="000B59FF">
        <w:t>:00</w:t>
      </w:r>
      <w:r w:rsidRPr="00FE43C4">
        <w:t xml:space="preserve"> p</w:t>
      </w:r>
      <w:r w:rsidR="000B59FF">
        <w:t>.</w:t>
      </w:r>
      <w:r w:rsidRPr="00FE43C4">
        <w:t>m</w:t>
      </w:r>
      <w:r w:rsidR="000B59FF">
        <w:t>.</w:t>
      </w:r>
      <w:r w:rsidRPr="00FE43C4">
        <w:t xml:space="preserve"> </w:t>
      </w:r>
      <w:r w:rsidR="000B59FF">
        <w:t xml:space="preserve">by </w:t>
      </w:r>
      <w:r w:rsidRPr="00FE43C4">
        <w:t xml:space="preserve">conference call between FOS heads across hospitals and </w:t>
      </w:r>
      <w:r w:rsidR="000B59FF">
        <w:t xml:space="preserve">the </w:t>
      </w:r>
      <w:r w:rsidRPr="00FE43C4">
        <w:t xml:space="preserve">corporate FOS head was conducted to revise the definition metrics and get </w:t>
      </w:r>
      <w:r w:rsidR="000B59FF">
        <w:t>everyone</w:t>
      </w:r>
      <w:r w:rsidRPr="00FE43C4">
        <w:t xml:space="preserve"> on the same platform </w:t>
      </w:r>
      <w:r w:rsidR="000903A0">
        <w:t xml:space="preserve">for </w:t>
      </w:r>
      <w:r w:rsidRPr="00FE43C4">
        <w:t>interpret</w:t>
      </w:r>
      <w:r w:rsidR="007B51EE">
        <w:t>ing</w:t>
      </w:r>
      <w:r w:rsidRPr="00FE43C4">
        <w:t xml:space="preserve"> the metrics. Individual units pick</w:t>
      </w:r>
      <w:r w:rsidR="00E7136E">
        <w:t>ed</w:t>
      </w:r>
      <w:r w:rsidRPr="00FE43C4">
        <w:t xml:space="preserve"> up any two metrics in which they were proficient and d</w:t>
      </w:r>
      <w:r w:rsidR="00E7136E">
        <w:t>id</w:t>
      </w:r>
      <w:r w:rsidRPr="00FE43C4">
        <w:t xml:space="preserve"> a thorough analysis</w:t>
      </w:r>
      <w:r w:rsidR="00E7136E">
        <w:t xml:space="preserve"> of these</w:t>
      </w:r>
      <w:r w:rsidR="007B51EE">
        <w:t xml:space="preserve"> metrics</w:t>
      </w:r>
      <w:r w:rsidRPr="00FE43C4">
        <w:t xml:space="preserve">. The </w:t>
      </w:r>
      <w:r w:rsidRPr="00FE43C4">
        <w:lastRenderedPageBreak/>
        <w:t>meetings examined what was to be done</w:t>
      </w:r>
      <w:r w:rsidR="00E7136E">
        <w:t>,</w:t>
      </w:r>
      <w:r w:rsidRPr="00FE43C4">
        <w:t xml:space="preserve"> and how calculations were done for the particular metrics </w:t>
      </w:r>
      <w:r w:rsidR="00E7136E">
        <w:t>un</w:t>
      </w:r>
      <w:r w:rsidRPr="00FE43C4">
        <w:t xml:space="preserve">til all 32 metrics in the scorecard were analyzed and revised. This </w:t>
      </w:r>
      <w:r w:rsidR="007B51EE">
        <w:t xml:space="preserve">exercise </w:t>
      </w:r>
      <w:r w:rsidRPr="00FE43C4">
        <w:t>provided clarity on various metrics and positively engaged the unit FOS heads</w:t>
      </w:r>
      <w:r w:rsidR="00E7136E">
        <w:t>,</w:t>
      </w:r>
      <w:r w:rsidRPr="00FE43C4">
        <w:t xml:space="preserve"> as they were able to interact with the other FOS heads.</w:t>
      </w:r>
    </w:p>
    <w:p w14:paraId="0769B519" w14:textId="77777777" w:rsidR="006C0476" w:rsidRPr="00FE43C4" w:rsidRDefault="006C0476" w:rsidP="00FE43C4">
      <w:pPr>
        <w:pStyle w:val="BodyTextMain"/>
      </w:pPr>
    </w:p>
    <w:p w14:paraId="44DB7560" w14:textId="30829DA5" w:rsidR="00FE43C4" w:rsidRDefault="00FE43C4" w:rsidP="00FE43C4">
      <w:pPr>
        <w:pStyle w:val="BodyTextMain"/>
      </w:pPr>
      <w:r w:rsidRPr="006442AC">
        <w:rPr>
          <w:b/>
        </w:rPr>
        <w:t>Review and Sharing of Best Practices</w:t>
      </w:r>
      <w:r w:rsidRPr="00FE43C4">
        <w:t xml:space="preserve">: A two-hour FOS meeting </w:t>
      </w:r>
      <w:r w:rsidR="00E7136E">
        <w:t xml:space="preserve">was conducted </w:t>
      </w:r>
      <w:r w:rsidRPr="00FE43C4">
        <w:t>every Wednesday at all Fortis hospitals. The meeting</w:t>
      </w:r>
      <w:r w:rsidR="000903A0">
        <w:t>, which was</w:t>
      </w:r>
      <w:r w:rsidR="00E7136E">
        <w:t xml:space="preserve"> made sacrosanct</w:t>
      </w:r>
      <w:r w:rsidR="007B51EE">
        <w:t>,</w:t>
      </w:r>
      <w:r w:rsidR="000903A0">
        <w:t xml:space="preserve"> </w:t>
      </w:r>
      <w:r w:rsidRPr="00FE43C4">
        <w:t xml:space="preserve">was attended by all </w:t>
      </w:r>
      <w:r w:rsidR="00E7136E">
        <w:t>department heads</w:t>
      </w:r>
      <w:r w:rsidRPr="00FE43C4">
        <w:t xml:space="preserve">, process owners, </w:t>
      </w:r>
      <w:r w:rsidR="00E7136E">
        <w:t xml:space="preserve">and </w:t>
      </w:r>
      <w:r w:rsidRPr="00FE43C4">
        <w:t xml:space="preserve">clinicians, and coordinated by the unit FOS head. </w:t>
      </w:r>
      <w:r w:rsidR="00E7136E">
        <w:t xml:space="preserve">An </w:t>
      </w:r>
      <w:r w:rsidRPr="00FE43C4">
        <w:t xml:space="preserve">FOS report card of other units and best practices were shared. Simmardeep Gill, </w:t>
      </w:r>
      <w:r w:rsidR="00E7136E">
        <w:t>z</w:t>
      </w:r>
      <w:r w:rsidRPr="00FE43C4">
        <w:t xml:space="preserve">onal </w:t>
      </w:r>
      <w:r w:rsidR="00E7136E">
        <w:t>d</w:t>
      </w:r>
      <w:r w:rsidRPr="00FE43C4">
        <w:t xml:space="preserve">irector at Fortis Memorial Research Institute (FMRI) Gurgaon, </w:t>
      </w:r>
      <w:r w:rsidR="007B51EE">
        <w:t>stated,</w:t>
      </w:r>
    </w:p>
    <w:p w14:paraId="3232AE0E" w14:textId="77777777" w:rsidR="00FE43C4" w:rsidRPr="00CD16E5" w:rsidRDefault="00FE43C4" w:rsidP="00FE43C4">
      <w:pPr>
        <w:pStyle w:val="BodyTextMain"/>
        <w:rPr>
          <w:sz w:val="20"/>
        </w:rPr>
      </w:pPr>
    </w:p>
    <w:p w14:paraId="5D4C222E" w14:textId="4D45BC93" w:rsidR="00FE43C4" w:rsidRPr="00FE43C4" w:rsidRDefault="00FE43C4" w:rsidP="00FE43C4">
      <w:pPr>
        <w:pStyle w:val="BodyTextMain"/>
        <w:ind w:left="720"/>
      </w:pPr>
      <w:r w:rsidRPr="00FE43C4">
        <w:t>The meeting starts by showing the company scorecard</w:t>
      </w:r>
      <w:r w:rsidR="00E7136E">
        <w:t>,</w:t>
      </w:r>
      <w:r w:rsidRPr="00FE43C4">
        <w:t xml:space="preserve"> and then the particular hospital’s score card for the previous week and the current week are displayed so that we know where we stand in the company. The hospitals are divided into category A, B, </w:t>
      </w:r>
      <w:r w:rsidR="00995EAC">
        <w:t xml:space="preserve">[or] </w:t>
      </w:r>
      <w:r w:rsidRPr="00FE43C4">
        <w:t>C depending on the size and scale, revenue</w:t>
      </w:r>
      <w:r w:rsidR="00995EAC">
        <w:t>,</w:t>
      </w:r>
      <w:r w:rsidRPr="00FE43C4">
        <w:t xml:space="preserve"> and location of the hospital. Report </w:t>
      </w:r>
      <w:r w:rsidR="00995EAC">
        <w:t>c</w:t>
      </w:r>
      <w:r w:rsidRPr="00FE43C4">
        <w:t>ards of all hospitals are tabulated on the basis of 32 parameters</w:t>
      </w:r>
      <w:r w:rsidR="00995EAC">
        <w:t>,</w:t>
      </w:r>
      <w:r w:rsidRPr="00FE43C4">
        <w:t xml:space="preserve"> and hospitals are ranked in </w:t>
      </w:r>
      <w:r w:rsidR="00995EAC">
        <w:t>[a]</w:t>
      </w:r>
      <w:r w:rsidRPr="00FE43C4">
        <w:t xml:space="preserve"> particular category. The best and the worst in </w:t>
      </w:r>
      <w:r w:rsidR="00995EAC">
        <w:t xml:space="preserve">[a] </w:t>
      </w:r>
      <w:r w:rsidRPr="00FE43C4">
        <w:t>category are declared each month. If our scores are low on certain parameters, the team analyzes the situation and discusses alternatives. If we find another hospital doing consistently well on that parameter, we consult them, take their ideas</w:t>
      </w:r>
      <w:r w:rsidR="00995EAC">
        <w:t>,</w:t>
      </w:r>
      <w:r w:rsidRPr="00FE43C4">
        <w:t xml:space="preserve"> and even visit them, if necessary.</w:t>
      </w:r>
    </w:p>
    <w:p w14:paraId="4CC82969" w14:textId="77777777" w:rsidR="00FE43C4" w:rsidRPr="00CD16E5" w:rsidRDefault="00FE43C4" w:rsidP="00FE43C4">
      <w:pPr>
        <w:pStyle w:val="BodyTextMain"/>
        <w:rPr>
          <w:sz w:val="20"/>
        </w:rPr>
      </w:pPr>
    </w:p>
    <w:p w14:paraId="35E96DCC" w14:textId="16217121" w:rsidR="00FE43C4" w:rsidRDefault="00FE43C4" w:rsidP="00FE43C4">
      <w:pPr>
        <w:pStyle w:val="BodyTextMain"/>
      </w:pPr>
      <w:r w:rsidRPr="006442AC">
        <w:rPr>
          <w:b/>
        </w:rPr>
        <w:t xml:space="preserve">Scorecard </w:t>
      </w:r>
      <w:r w:rsidR="00995EAC">
        <w:rPr>
          <w:b/>
        </w:rPr>
        <w:t>as P</w:t>
      </w:r>
      <w:r w:rsidRPr="006442AC">
        <w:rPr>
          <w:b/>
        </w:rPr>
        <w:t>art of K</w:t>
      </w:r>
      <w:r w:rsidR="00995EAC">
        <w:rPr>
          <w:b/>
        </w:rPr>
        <w:t xml:space="preserve">ey </w:t>
      </w:r>
      <w:r w:rsidRPr="006442AC">
        <w:rPr>
          <w:b/>
        </w:rPr>
        <w:t>R</w:t>
      </w:r>
      <w:r w:rsidR="00995EAC">
        <w:rPr>
          <w:b/>
        </w:rPr>
        <w:t xml:space="preserve">esult </w:t>
      </w:r>
      <w:r w:rsidRPr="006442AC">
        <w:rPr>
          <w:b/>
        </w:rPr>
        <w:t>A</w:t>
      </w:r>
      <w:r w:rsidR="00995EAC">
        <w:rPr>
          <w:b/>
        </w:rPr>
        <w:t>reas</w:t>
      </w:r>
      <w:r w:rsidRPr="00FE43C4">
        <w:t xml:space="preserve">: To ensure accountability at the highest levels, </w:t>
      </w:r>
      <w:r w:rsidR="00995EAC">
        <w:t xml:space="preserve">the </w:t>
      </w:r>
      <w:r w:rsidRPr="00FE43C4">
        <w:t xml:space="preserve">scorecard was made a part of the </w:t>
      </w:r>
      <w:r w:rsidR="00995EAC">
        <w:t>key result areas</w:t>
      </w:r>
      <w:r w:rsidRPr="00FE43C4">
        <w:t xml:space="preserve"> of </w:t>
      </w:r>
      <w:r w:rsidR="00995EAC">
        <w:t xml:space="preserve">the </w:t>
      </w:r>
      <w:r w:rsidRPr="00FE43C4">
        <w:t xml:space="preserve">CEO, </w:t>
      </w:r>
      <w:r w:rsidR="00995EAC">
        <w:t>r</w:t>
      </w:r>
      <w:r w:rsidRPr="00FE43C4">
        <w:t>egional heads</w:t>
      </w:r>
      <w:r w:rsidR="00995EAC">
        <w:t>,</w:t>
      </w:r>
      <w:r w:rsidRPr="00FE43C4">
        <w:t xml:space="preserve"> an</w:t>
      </w:r>
      <w:r>
        <w:t>d corporate and unit FOS heads.</w:t>
      </w:r>
    </w:p>
    <w:p w14:paraId="5725FDFB" w14:textId="77777777" w:rsidR="00FE43C4" w:rsidRPr="00CD16E5" w:rsidRDefault="00FE43C4" w:rsidP="00FE43C4">
      <w:pPr>
        <w:pStyle w:val="BodyTextMain"/>
        <w:rPr>
          <w:sz w:val="20"/>
        </w:rPr>
      </w:pPr>
    </w:p>
    <w:p w14:paraId="678D5BF9" w14:textId="1DE68808" w:rsidR="00FE43C4" w:rsidRDefault="00FE43C4" w:rsidP="00FE43C4">
      <w:pPr>
        <w:pStyle w:val="BodyTextMain"/>
      </w:pPr>
      <w:r w:rsidRPr="006442AC">
        <w:rPr>
          <w:b/>
        </w:rPr>
        <w:t>FOS B2B (Back to Basics)</w:t>
      </w:r>
      <w:r w:rsidRPr="00FE43C4">
        <w:t xml:space="preserve">: </w:t>
      </w:r>
      <w:r w:rsidR="00995EAC" w:rsidRPr="00FE43C4">
        <w:t xml:space="preserve">FOS B2B was initiated </w:t>
      </w:r>
      <w:r w:rsidR="00995EAC">
        <w:t>because</w:t>
      </w:r>
      <w:r w:rsidRPr="00FE43C4">
        <w:t xml:space="preserve"> the turnover of front</w:t>
      </w:r>
      <w:r w:rsidR="00995EAC">
        <w:t>-</w:t>
      </w:r>
      <w:r w:rsidRPr="00FE43C4">
        <w:t>line staff was high. Colonel Harinder Singh Chehal, COO (National Capital Region)</w:t>
      </w:r>
      <w:r w:rsidR="007B51EE">
        <w:t>,</w:t>
      </w:r>
      <w:r w:rsidRPr="00FE43C4">
        <w:t xml:space="preserve"> said,</w:t>
      </w:r>
      <w:r>
        <w:t xml:space="preserve"> </w:t>
      </w:r>
      <w:r w:rsidRPr="00FE43C4">
        <w:t>“FOS B2B is a must in this industry. We have huge attrition in nurses, medical staff</w:t>
      </w:r>
      <w:r w:rsidR="00C56C80">
        <w:t>,</w:t>
      </w:r>
      <w:r w:rsidRPr="00FE43C4">
        <w:t xml:space="preserve"> and doctors. With new people, we have to invest time to orient them to the basics of the job. Unless we do this, the kind of attrition we have</w:t>
      </w:r>
      <w:r w:rsidR="00C56C80">
        <w:t>,</w:t>
      </w:r>
      <w:r w:rsidRPr="00FE43C4">
        <w:t xml:space="preserve"> we will not be able to strengthen FOS or any other process</w:t>
      </w:r>
      <w:r>
        <w:t>.</w:t>
      </w:r>
      <w:r w:rsidRPr="00FE43C4">
        <w:t>”</w:t>
      </w:r>
    </w:p>
    <w:p w14:paraId="350E5ED6" w14:textId="77777777" w:rsidR="00FE43C4" w:rsidRPr="00CD16E5" w:rsidRDefault="00FE43C4" w:rsidP="00FE43C4">
      <w:pPr>
        <w:pStyle w:val="BodyTextMain"/>
        <w:rPr>
          <w:sz w:val="20"/>
        </w:rPr>
      </w:pPr>
    </w:p>
    <w:p w14:paraId="0359097E" w14:textId="2FFD5128" w:rsidR="00FE43C4" w:rsidRPr="00FE43C4" w:rsidRDefault="00FE43C4" w:rsidP="00FE43C4">
      <w:pPr>
        <w:pStyle w:val="BodyTextMain"/>
      </w:pPr>
      <w:r w:rsidRPr="00FE43C4">
        <w:t xml:space="preserve">FOS heads spent </w:t>
      </w:r>
      <w:r w:rsidR="00C56C80">
        <w:t>one</w:t>
      </w:r>
      <w:r w:rsidRPr="00FE43C4">
        <w:t xml:space="preserve"> or </w:t>
      </w:r>
      <w:r w:rsidR="00C56C80">
        <w:t>two</w:t>
      </w:r>
      <w:r w:rsidRPr="00FE43C4">
        <w:t xml:space="preserve"> weeks in each asset to provide basic training to team members</w:t>
      </w:r>
      <w:r w:rsidR="00FF0EA1">
        <w:t>,</w:t>
      </w:r>
      <w:r w:rsidRPr="00FE43C4">
        <w:t xml:space="preserve"> </w:t>
      </w:r>
      <w:r w:rsidR="00FF0EA1">
        <w:t>g</w:t>
      </w:r>
      <w:r w:rsidRPr="00FE43C4">
        <w:t>enerally</w:t>
      </w:r>
      <w:r w:rsidR="00FF0EA1">
        <w:t xml:space="preserve"> targeting</w:t>
      </w:r>
      <w:r w:rsidRPr="00FE43C4">
        <w:t xml:space="preserve"> weaker assets. Training was conducted when the shift was changing. </w:t>
      </w:r>
      <w:r w:rsidR="00FF0EA1">
        <w:t xml:space="preserve">The </w:t>
      </w:r>
      <w:r w:rsidRPr="00FE43C4">
        <w:t>FOS manual was discussed on the first two days with the asset team</w:t>
      </w:r>
      <w:r w:rsidR="00FF0EA1">
        <w:t>,</w:t>
      </w:r>
      <w:r w:rsidRPr="00FE43C4">
        <w:t xml:space="preserve"> </w:t>
      </w:r>
      <w:r w:rsidR="00FF0EA1">
        <w:t>and t</w:t>
      </w:r>
      <w:r w:rsidRPr="00FE43C4">
        <w:t xml:space="preserve">ests were conducted on the last day to assess learning. The scores were compiled and discussed </w:t>
      </w:r>
      <w:r w:rsidR="00FF0EA1">
        <w:t>at</w:t>
      </w:r>
      <w:r w:rsidRPr="00FE43C4">
        <w:t xml:space="preserve"> </w:t>
      </w:r>
      <w:r w:rsidR="00FF0EA1">
        <w:t xml:space="preserve">the </w:t>
      </w:r>
      <w:r w:rsidRPr="00FE43C4">
        <w:t xml:space="preserve">Wednesday meeting. </w:t>
      </w:r>
    </w:p>
    <w:p w14:paraId="09CDE0C6" w14:textId="77777777" w:rsidR="00FE43C4" w:rsidRPr="00CD16E5" w:rsidRDefault="00FE43C4" w:rsidP="00FE43C4">
      <w:pPr>
        <w:pStyle w:val="BodyTextMain"/>
        <w:rPr>
          <w:sz w:val="20"/>
        </w:rPr>
      </w:pPr>
    </w:p>
    <w:p w14:paraId="3A34AFAC" w14:textId="5829EB04" w:rsidR="00FE43C4" w:rsidRPr="00CD16E5" w:rsidRDefault="00FE43C4" w:rsidP="00FE43C4">
      <w:pPr>
        <w:pStyle w:val="BodyTextMain"/>
        <w:rPr>
          <w:spacing w:val="-4"/>
        </w:rPr>
      </w:pPr>
      <w:r w:rsidRPr="00CD16E5">
        <w:rPr>
          <w:b/>
          <w:spacing w:val="-4"/>
        </w:rPr>
        <w:t>FOSCIF (FOS Continuous Improvement Forum)</w:t>
      </w:r>
      <w:r w:rsidRPr="00CD16E5">
        <w:rPr>
          <w:spacing w:val="-4"/>
        </w:rPr>
        <w:t>:</w:t>
      </w:r>
      <w:r w:rsidRPr="00CD16E5">
        <w:rPr>
          <w:b/>
          <w:spacing w:val="-4"/>
        </w:rPr>
        <w:t xml:space="preserve"> </w:t>
      </w:r>
      <w:r w:rsidRPr="00CD16E5">
        <w:rPr>
          <w:spacing w:val="-4"/>
        </w:rPr>
        <w:t>With changing customer needs and technology, it was important to ensure that</w:t>
      </w:r>
      <w:r w:rsidRPr="00CD16E5">
        <w:rPr>
          <w:b/>
          <w:spacing w:val="-4"/>
        </w:rPr>
        <w:t xml:space="preserve"> </w:t>
      </w:r>
      <w:r w:rsidRPr="00CD16E5">
        <w:rPr>
          <w:spacing w:val="-4"/>
        </w:rPr>
        <w:t xml:space="preserve">the asset leads and process teams were involved in continuous improvement of processes. FOSCIF was initiated with emphasis on cross-functional and cross-departmental teams that held periodic meetings to improve processes. The teams conducted </w:t>
      </w:r>
      <w:r w:rsidR="00FF0EA1" w:rsidRPr="00CD16E5">
        <w:rPr>
          <w:spacing w:val="-4"/>
        </w:rPr>
        <w:t>a</w:t>
      </w:r>
      <w:r w:rsidRPr="00CD16E5">
        <w:rPr>
          <w:spacing w:val="-4"/>
        </w:rPr>
        <w:t xml:space="preserve"> microanalysis of processes to ensure that FOS remained relevant over the years. </w:t>
      </w:r>
      <w:r w:rsidR="00FF0EA1" w:rsidRPr="00CD16E5">
        <w:rPr>
          <w:spacing w:val="-4"/>
        </w:rPr>
        <w:t xml:space="preserve">The </w:t>
      </w:r>
      <w:r w:rsidRPr="00CD16E5">
        <w:rPr>
          <w:spacing w:val="-4"/>
        </w:rPr>
        <w:t>FOS head also reviewed the FOSCIF for the particular department.</w:t>
      </w:r>
    </w:p>
    <w:p w14:paraId="1244259D" w14:textId="77777777" w:rsidR="00FE43C4" w:rsidRPr="00CD16E5" w:rsidRDefault="00FE43C4" w:rsidP="00FE43C4">
      <w:pPr>
        <w:pStyle w:val="BodyTextMain"/>
        <w:rPr>
          <w:sz w:val="20"/>
        </w:rPr>
      </w:pPr>
    </w:p>
    <w:p w14:paraId="5B63C07D" w14:textId="5B29DB5B" w:rsidR="00FE43C4" w:rsidRDefault="00FE43C4" w:rsidP="00FE43C4">
      <w:pPr>
        <w:pStyle w:val="BodyTextMain"/>
      </w:pPr>
      <w:r w:rsidRPr="006442AC">
        <w:rPr>
          <w:b/>
        </w:rPr>
        <w:t xml:space="preserve">FOS </w:t>
      </w:r>
      <w:r w:rsidR="00FF0EA1">
        <w:rPr>
          <w:b/>
        </w:rPr>
        <w:t>C</w:t>
      </w:r>
      <w:r w:rsidRPr="006442AC">
        <w:rPr>
          <w:b/>
        </w:rPr>
        <w:t>orner</w:t>
      </w:r>
      <w:r>
        <w:t>:</w:t>
      </w:r>
      <w:r w:rsidRPr="00FE43C4">
        <w:rPr>
          <w:b/>
        </w:rPr>
        <w:t xml:space="preserve"> </w:t>
      </w:r>
      <w:r w:rsidRPr="00FE43C4">
        <w:t>To excite and energize the teams, a visual component</w:t>
      </w:r>
      <w:r w:rsidR="00A20EE3">
        <w:t>—</w:t>
      </w:r>
      <w:r w:rsidR="00FF0EA1">
        <w:t>“</w:t>
      </w:r>
      <w:r w:rsidRPr="00FE43C4">
        <w:t>FOS corner</w:t>
      </w:r>
      <w:r w:rsidR="00FF0EA1">
        <w:t>”</w:t>
      </w:r>
      <w:r w:rsidR="00A20EE3">
        <w:t>—</w:t>
      </w:r>
      <w:r w:rsidRPr="00FE43C4">
        <w:t>was created. Every department had a</w:t>
      </w:r>
      <w:r w:rsidR="00FF0EA1">
        <w:t>n</w:t>
      </w:r>
      <w:r w:rsidRPr="00FE43C4">
        <w:t xml:space="preserve"> FOS corner</w:t>
      </w:r>
      <w:r w:rsidR="00FF0EA1">
        <w:t>,</w:t>
      </w:r>
      <w:r w:rsidRPr="00FE43C4">
        <w:t xml:space="preserve"> which was a whiteboard displaying the process flow chart, previous performance graphs of various metrics</w:t>
      </w:r>
      <w:r w:rsidR="00FF0EA1">
        <w:t>,</w:t>
      </w:r>
      <w:r w:rsidRPr="00FE43C4">
        <w:t xml:space="preserve"> and </w:t>
      </w:r>
      <w:r w:rsidR="00FF0EA1">
        <w:t xml:space="preserve">the </w:t>
      </w:r>
      <w:r w:rsidRPr="00FE43C4">
        <w:t>performance</w:t>
      </w:r>
      <w:r>
        <w:t xml:space="preserve"> scores aspired </w:t>
      </w:r>
      <w:r w:rsidR="007B51EE">
        <w:t xml:space="preserve">to </w:t>
      </w:r>
      <w:r>
        <w:t>every week.</w:t>
      </w:r>
    </w:p>
    <w:p w14:paraId="1CDC6E0E" w14:textId="77777777" w:rsidR="00FE43C4" w:rsidRPr="00CD16E5" w:rsidRDefault="00FE43C4" w:rsidP="00FE43C4">
      <w:pPr>
        <w:pStyle w:val="BodyTextMain"/>
        <w:rPr>
          <w:sz w:val="20"/>
        </w:rPr>
      </w:pPr>
    </w:p>
    <w:p w14:paraId="4F76BF1D" w14:textId="52BCBF69" w:rsidR="00FE43C4" w:rsidRPr="00FE43C4" w:rsidRDefault="00FE43C4" w:rsidP="00FE43C4">
      <w:pPr>
        <w:pStyle w:val="BodyTextMain"/>
      </w:pPr>
      <w:r w:rsidRPr="006442AC">
        <w:rPr>
          <w:b/>
        </w:rPr>
        <w:t>Weekly Meetings</w:t>
      </w:r>
      <w:r w:rsidRPr="00FE43C4">
        <w:t>: A patient welfare meeting was conducted every Tuesday at 4</w:t>
      </w:r>
      <w:r w:rsidR="00F235AC">
        <w:t>:00</w:t>
      </w:r>
      <w:r w:rsidRPr="00FE43C4">
        <w:t xml:space="preserve"> p</w:t>
      </w:r>
      <w:r w:rsidR="00F235AC">
        <w:t>.</w:t>
      </w:r>
      <w:r w:rsidRPr="00FE43C4">
        <w:t xml:space="preserve">m. The attendees included the FD, </w:t>
      </w:r>
      <w:r w:rsidR="00F235AC">
        <w:t>department heads,</w:t>
      </w:r>
      <w:r w:rsidRPr="00FE43C4">
        <w:t xml:space="preserve"> and staff one level below. Patient satisfaction scores </w:t>
      </w:r>
      <w:r w:rsidR="00F235AC">
        <w:t>from</w:t>
      </w:r>
      <w:r w:rsidRPr="00FE43C4">
        <w:t xml:space="preserve"> every department were analyzed</w:t>
      </w:r>
      <w:r w:rsidR="00F235AC">
        <w:t>, as were</w:t>
      </w:r>
      <w:r w:rsidRPr="00FE43C4">
        <w:t xml:space="preserve"> </w:t>
      </w:r>
      <w:r w:rsidR="00F235AC">
        <w:t>the t</w:t>
      </w:r>
      <w:r w:rsidRPr="00FE43C4">
        <w:t xml:space="preserve">op 10 compliments, </w:t>
      </w:r>
      <w:r w:rsidR="00F235AC">
        <w:t xml:space="preserve">the </w:t>
      </w:r>
      <w:r w:rsidRPr="00FE43C4">
        <w:t xml:space="preserve">10 worst </w:t>
      </w:r>
      <w:r w:rsidR="00F235AC">
        <w:t>criticisms,</w:t>
      </w:r>
      <w:r w:rsidRPr="00FE43C4">
        <w:t xml:space="preserve"> and all complaints. Once a month</w:t>
      </w:r>
      <w:r w:rsidR="00E60725">
        <w:t>,</w:t>
      </w:r>
      <w:r w:rsidRPr="00FE43C4">
        <w:t xml:space="preserve"> a town hall </w:t>
      </w:r>
      <w:r w:rsidR="00E60725">
        <w:t xml:space="preserve">meeting </w:t>
      </w:r>
      <w:r w:rsidRPr="00FE43C4">
        <w:t>called HTML (</w:t>
      </w:r>
      <w:r w:rsidRPr="006442AC">
        <w:rPr>
          <w:i/>
        </w:rPr>
        <w:t>Hum Tum Milenge</w:t>
      </w:r>
      <w:r w:rsidRPr="00FE43C4">
        <w:rPr>
          <w:rStyle w:val="FootnoteReference"/>
        </w:rPr>
        <w:footnoteReference w:id="3"/>
      </w:r>
      <w:r w:rsidRPr="00FE43C4">
        <w:t xml:space="preserve">) </w:t>
      </w:r>
      <w:r w:rsidR="00E60725">
        <w:t xml:space="preserve">was held </w:t>
      </w:r>
      <w:r w:rsidRPr="00FE43C4">
        <w:t xml:space="preserve">for </w:t>
      </w:r>
      <w:r w:rsidR="00E60725">
        <w:t xml:space="preserve">all hospital </w:t>
      </w:r>
      <w:r w:rsidRPr="00FE43C4">
        <w:t xml:space="preserve">staff. </w:t>
      </w:r>
      <w:r w:rsidR="00E60725">
        <w:t xml:space="preserve">At </w:t>
      </w:r>
      <w:r w:rsidR="00E60725">
        <w:lastRenderedPageBreak/>
        <w:t>HTML,</w:t>
      </w:r>
      <w:r w:rsidRPr="00FE43C4">
        <w:t xml:space="preserve"> every department presented what they were doing</w:t>
      </w:r>
      <w:r w:rsidR="00E60725">
        <w:t>.</w:t>
      </w:r>
      <w:r w:rsidRPr="00FE43C4">
        <w:t xml:space="preserve"> </w:t>
      </w:r>
      <w:r w:rsidR="00E60725">
        <w:t>T</w:t>
      </w:r>
      <w:r w:rsidRPr="00FE43C4">
        <w:t>he meeting ended with a few cultural events, fun games</w:t>
      </w:r>
      <w:r w:rsidR="00E60725">
        <w:t>,</w:t>
      </w:r>
      <w:r w:rsidRPr="00FE43C4">
        <w:t xml:space="preserve"> and tea and snacks. Th</w:t>
      </w:r>
      <w:r w:rsidR="00E60725">
        <w:t>e meeting</w:t>
      </w:r>
      <w:r w:rsidRPr="00FE43C4">
        <w:t xml:space="preserve"> improved bonding </w:t>
      </w:r>
      <w:r w:rsidR="006442AC">
        <w:t>among</w:t>
      </w:r>
      <w:r w:rsidRPr="00FE43C4">
        <w:t xml:space="preserve"> hospital</w:t>
      </w:r>
      <w:r w:rsidR="006442AC">
        <w:t xml:space="preserve"> staff</w:t>
      </w:r>
      <w:r w:rsidRPr="00FE43C4">
        <w:t>.</w:t>
      </w:r>
    </w:p>
    <w:p w14:paraId="198EA5F0" w14:textId="77777777" w:rsidR="00FE43C4" w:rsidRPr="00CD16E5" w:rsidRDefault="00FE43C4" w:rsidP="00FE43C4">
      <w:pPr>
        <w:pStyle w:val="BodyTextMain"/>
        <w:rPr>
          <w:sz w:val="20"/>
        </w:rPr>
      </w:pPr>
    </w:p>
    <w:p w14:paraId="108098F8" w14:textId="6FD12944" w:rsidR="00FE43C4" w:rsidRDefault="00FE43C4" w:rsidP="00FE43C4">
      <w:pPr>
        <w:pStyle w:val="BodyTextMain"/>
      </w:pPr>
      <w:r w:rsidRPr="006442AC">
        <w:rPr>
          <w:b/>
        </w:rPr>
        <w:t>Buy-in from Clinicians</w:t>
      </w:r>
      <w:r w:rsidRPr="00FE43C4">
        <w:t>: Mangla got buy-in of the FDs through sensitization exercises</w:t>
      </w:r>
      <w:r w:rsidR="00E60725">
        <w:t>;</w:t>
      </w:r>
      <w:r w:rsidRPr="00FE43C4">
        <w:t xml:space="preserve"> boot camps</w:t>
      </w:r>
      <w:r w:rsidR="00E60725">
        <w:t>;</w:t>
      </w:r>
      <w:r w:rsidRPr="00FE43C4">
        <w:t xml:space="preserve"> formal and informal interaction on a regular basis</w:t>
      </w:r>
      <w:r w:rsidR="00E60725">
        <w:t>;</w:t>
      </w:r>
      <w:r w:rsidRPr="00FE43C4">
        <w:t xml:space="preserve"> and</w:t>
      </w:r>
      <w:r w:rsidR="00E60725">
        <w:t>,</w:t>
      </w:r>
      <w:r w:rsidRPr="00FE43C4">
        <w:t xml:space="preserve"> last but not least, the active engagement and support from top management. However, getting buy-in from the clinicians at the hospitals was still a challenge. Here, the support of Dr. Bishnu Panigrahi, </w:t>
      </w:r>
      <w:r w:rsidR="00E60725">
        <w:t>h</w:t>
      </w:r>
      <w:r w:rsidRPr="00FE43C4">
        <w:t xml:space="preserve">ead </w:t>
      </w:r>
      <w:r w:rsidR="00E60725">
        <w:t xml:space="preserve">of the </w:t>
      </w:r>
      <w:r w:rsidRPr="00FE43C4">
        <w:t xml:space="preserve">Medical Support </w:t>
      </w:r>
      <w:r w:rsidR="00E60725">
        <w:t>and</w:t>
      </w:r>
      <w:r w:rsidRPr="00FE43C4">
        <w:t xml:space="preserve"> Operations </w:t>
      </w:r>
      <w:r w:rsidR="00E60725">
        <w:t>g</w:t>
      </w:r>
      <w:r w:rsidRPr="00FE43C4">
        <w:t>roup</w:t>
      </w:r>
      <w:r w:rsidR="00E60725">
        <w:t>,</w:t>
      </w:r>
      <w:r w:rsidRPr="00FE43C4">
        <w:t xml:space="preserve"> was sought to </w:t>
      </w:r>
      <w:r w:rsidR="00E60725">
        <w:t>help achieve</w:t>
      </w:r>
      <w:r w:rsidRPr="00FE43C4">
        <w:t xml:space="preserve"> the induction of all junior doctors and the alignment of senior clinicians. FOS was now being talked </w:t>
      </w:r>
      <w:r w:rsidR="00E60725">
        <w:t xml:space="preserve">about </w:t>
      </w:r>
      <w:r w:rsidRPr="00FE43C4">
        <w:t xml:space="preserve">in the </w:t>
      </w:r>
      <w:r w:rsidR="00E60725">
        <w:t>h</w:t>
      </w:r>
      <w:r w:rsidRPr="00FE43C4">
        <w:t xml:space="preserve">ospital </w:t>
      </w:r>
      <w:r w:rsidR="00E60725">
        <w:t>m</w:t>
      </w:r>
      <w:r w:rsidRPr="00FE43C4">
        <w:t xml:space="preserve">edical </w:t>
      </w:r>
      <w:r w:rsidR="00E60725">
        <w:t>c</w:t>
      </w:r>
      <w:r w:rsidRPr="00FE43C4">
        <w:t xml:space="preserve">ouncils by the </w:t>
      </w:r>
      <w:r w:rsidR="00E60725">
        <w:t>u</w:t>
      </w:r>
      <w:r w:rsidRPr="00FE43C4">
        <w:t xml:space="preserve">nit </w:t>
      </w:r>
      <w:r w:rsidR="00E60725">
        <w:t>h</w:t>
      </w:r>
      <w:r w:rsidRPr="00FE43C4">
        <w:t xml:space="preserve">eads and </w:t>
      </w:r>
      <w:r w:rsidR="00E60725">
        <w:t>m</w:t>
      </w:r>
      <w:r w:rsidRPr="00FE43C4">
        <w:t xml:space="preserve">edical </w:t>
      </w:r>
      <w:r w:rsidR="00E60725">
        <w:t>h</w:t>
      </w:r>
      <w:r w:rsidRPr="00FE43C4">
        <w:t xml:space="preserve">eads. Somesh said, </w:t>
      </w:r>
    </w:p>
    <w:p w14:paraId="30791F16" w14:textId="77777777" w:rsidR="00FE43C4" w:rsidRPr="00CD16E5" w:rsidRDefault="00FE43C4" w:rsidP="00FE43C4">
      <w:pPr>
        <w:pStyle w:val="BodyTextMain"/>
        <w:rPr>
          <w:sz w:val="20"/>
        </w:rPr>
      </w:pPr>
    </w:p>
    <w:p w14:paraId="31AA634A" w14:textId="58BB2E6A" w:rsidR="00FE43C4" w:rsidRPr="00FE43C4" w:rsidRDefault="00FE43C4" w:rsidP="00A1327E">
      <w:pPr>
        <w:pStyle w:val="BodyTextMain"/>
        <w:ind w:left="720"/>
      </w:pPr>
      <w:r w:rsidRPr="00FE43C4">
        <w:t>We cannot take for granted that we would obtain buy-in from the clinicians. So we initiated work on the discharge process</w:t>
      </w:r>
      <w:r w:rsidR="00E60725">
        <w:t>—</w:t>
      </w:r>
      <w:r w:rsidRPr="00FE43C4">
        <w:t xml:space="preserve">this was a big pain point not only for the clinicians but also for the hospitals. I was on the floor for </w:t>
      </w:r>
      <w:r w:rsidR="00E60725">
        <w:t>three to four</w:t>
      </w:r>
      <w:r w:rsidRPr="00FE43C4">
        <w:t xml:space="preserve"> hours every day working on the discharge process. Out of the 30 parameters</w:t>
      </w:r>
      <w:r w:rsidR="00E60725">
        <w:t>,</w:t>
      </w:r>
      <w:r w:rsidRPr="00FE43C4">
        <w:t xml:space="preserve"> we picked up only </w:t>
      </w:r>
      <w:r w:rsidR="00E60725">
        <w:t>four to five</w:t>
      </w:r>
      <w:r w:rsidRPr="00FE43C4">
        <w:t xml:space="preserve"> key parameters to focus our attention </w:t>
      </w:r>
      <w:r w:rsidR="00E60725">
        <w:t xml:space="preserve">[on] </w:t>
      </w:r>
      <w:r w:rsidRPr="00FE43C4">
        <w:t xml:space="preserve">and gain quick results. I interacted with the clinicians during patient discharge just to send across the idea of planning the discharge process. It took me </w:t>
      </w:r>
      <w:r w:rsidR="00E60725">
        <w:t>three to four</w:t>
      </w:r>
      <w:r w:rsidRPr="00FE43C4">
        <w:t xml:space="preserve"> months to get buy-in from </w:t>
      </w:r>
      <w:r w:rsidR="00E60725">
        <w:t xml:space="preserve">[the] </w:t>
      </w:r>
      <w:r w:rsidRPr="00FE43C4">
        <w:t>clinicians to plan discharge. Once the clinicians saw the impact of planning on the smooth discharge of patients, the trust started to build. Then we moved to other areas like Emergency, and finally we approached the challenge of controlling OPD waiting times. This required behavio</w:t>
      </w:r>
      <w:r w:rsidR="00E60725">
        <w:t>u</w:t>
      </w:r>
      <w:r w:rsidRPr="00FE43C4">
        <w:t>ral changes from the doctors. They needed to adhere to times. By this time, they had seen positive results in other areas, and reduced patient complaints. So it was easier to get buy-in.</w:t>
      </w:r>
    </w:p>
    <w:p w14:paraId="70AFCE9E" w14:textId="77777777" w:rsidR="00A1327E" w:rsidRPr="00CD16E5" w:rsidRDefault="00A1327E" w:rsidP="00FE43C4">
      <w:pPr>
        <w:pStyle w:val="BodyTextMain"/>
        <w:rPr>
          <w:sz w:val="20"/>
        </w:rPr>
      </w:pPr>
    </w:p>
    <w:p w14:paraId="23968135" w14:textId="691452D6" w:rsidR="00FE43C4" w:rsidRDefault="00FE43C4" w:rsidP="00FE43C4">
      <w:pPr>
        <w:pStyle w:val="BodyTextMain"/>
      </w:pPr>
      <w:r w:rsidRPr="00FE43C4">
        <w:t xml:space="preserve">Dr. Kousar Ali Shah, </w:t>
      </w:r>
      <w:r w:rsidR="00E60725">
        <w:t>z</w:t>
      </w:r>
      <w:r w:rsidRPr="00FE43C4">
        <w:t xml:space="preserve">onal </w:t>
      </w:r>
      <w:r w:rsidR="00E60725">
        <w:t>d</w:t>
      </w:r>
      <w:r w:rsidRPr="00FE43C4">
        <w:t>irector at Fortis Noida</w:t>
      </w:r>
      <w:r w:rsidR="00E60725">
        <w:t>,</w:t>
      </w:r>
      <w:r w:rsidRPr="00FE43C4">
        <w:t xml:space="preserve"> used another way to get clinicians</w:t>
      </w:r>
      <w:r w:rsidR="00E60725">
        <w:t>’</w:t>
      </w:r>
      <w:r w:rsidRPr="00FE43C4">
        <w:t xml:space="preserve"> buy-in for FOS:</w:t>
      </w:r>
    </w:p>
    <w:p w14:paraId="5FE780D4" w14:textId="77777777" w:rsidR="00A1327E" w:rsidRPr="00CD16E5" w:rsidRDefault="00A1327E" w:rsidP="00FE43C4">
      <w:pPr>
        <w:pStyle w:val="BodyTextMain"/>
        <w:rPr>
          <w:sz w:val="20"/>
        </w:rPr>
      </w:pPr>
    </w:p>
    <w:p w14:paraId="4F463628" w14:textId="7EAE3848" w:rsidR="00FE43C4" w:rsidRPr="00CD16E5" w:rsidRDefault="00FE43C4" w:rsidP="00A1327E">
      <w:pPr>
        <w:pStyle w:val="BodyTextMain"/>
        <w:ind w:left="720"/>
        <w:rPr>
          <w:spacing w:val="-2"/>
        </w:rPr>
      </w:pPr>
      <w:r w:rsidRPr="00CD16E5">
        <w:rPr>
          <w:spacing w:val="-2"/>
        </w:rPr>
        <w:t xml:space="preserve">We have devised a forum for an entire day once a month in which clinical HODs </w:t>
      </w:r>
      <w:r w:rsidR="001D36C6" w:rsidRPr="00CD16E5">
        <w:rPr>
          <w:spacing w:val="-2"/>
        </w:rPr>
        <w:t xml:space="preserve">[heads of departments] </w:t>
      </w:r>
      <w:r w:rsidRPr="00CD16E5">
        <w:rPr>
          <w:spacing w:val="-2"/>
        </w:rPr>
        <w:t>and administrative HODs me</w:t>
      </w:r>
      <w:r w:rsidR="001D36C6" w:rsidRPr="00CD16E5">
        <w:rPr>
          <w:spacing w:val="-2"/>
        </w:rPr>
        <w:t>e</w:t>
      </w:r>
      <w:r w:rsidRPr="00CD16E5">
        <w:rPr>
          <w:spacing w:val="-2"/>
        </w:rPr>
        <w:t>t in the boardroom. Each clinician is allotted 15</w:t>
      </w:r>
      <w:r w:rsidR="001D36C6" w:rsidRPr="00CD16E5">
        <w:rPr>
          <w:spacing w:val="-2"/>
        </w:rPr>
        <w:t>–</w:t>
      </w:r>
      <w:r w:rsidRPr="00CD16E5">
        <w:rPr>
          <w:spacing w:val="-2"/>
        </w:rPr>
        <w:t>20 minutes to speak about any issue in the organization. It is an open platform and nothing is countered</w:t>
      </w:r>
      <w:r w:rsidR="001D36C6" w:rsidRPr="00CD16E5">
        <w:rPr>
          <w:spacing w:val="-2"/>
        </w:rPr>
        <w:t>,</w:t>
      </w:r>
      <w:r w:rsidRPr="00CD16E5">
        <w:rPr>
          <w:spacing w:val="-2"/>
        </w:rPr>
        <w:t xml:space="preserve"> and </w:t>
      </w:r>
      <w:r w:rsidR="001D36C6" w:rsidRPr="00CD16E5">
        <w:rPr>
          <w:spacing w:val="-2"/>
        </w:rPr>
        <w:t xml:space="preserve">[an] </w:t>
      </w:r>
      <w:r w:rsidRPr="00CD16E5">
        <w:rPr>
          <w:spacing w:val="-2"/>
        </w:rPr>
        <w:t>issue is assigned to the concerned staff to be resolved, wherever possible. It is emphasized that even if the issue could not be tackled, we would get back with options/status. The concerned staff then work on every single issue that has come up. They meet the HODs personally and update them on the progress. Even if the issue continues to remain unresolved, HODs receive a briefing on the reasons and plans. In the follow up meeting at the end of the month, the minutes of the previous meeting and the progress on each of the points are reviewed and discussed. The suggestions and feedback of the HODs are sought</w:t>
      </w:r>
      <w:r w:rsidR="001D36C6" w:rsidRPr="00CD16E5">
        <w:rPr>
          <w:spacing w:val="-2"/>
        </w:rPr>
        <w:t>,</w:t>
      </w:r>
      <w:r w:rsidRPr="00CD16E5">
        <w:rPr>
          <w:spacing w:val="-2"/>
        </w:rPr>
        <w:t xml:space="preserve"> and they are encouraged to raise other issues. This gives a platform to clinicians to air their concerns. This has built the trust of the clinicians in the system. So even when they are questioned on deviances with regard to FOS processes, they take it positively</w:t>
      </w:r>
      <w:r w:rsidR="00A1327E" w:rsidRPr="00CD16E5">
        <w:rPr>
          <w:spacing w:val="-2"/>
        </w:rPr>
        <w:t>.</w:t>
      </w:r>
    </w:p>
    <w:p w14:paraId="53988102" w14:textId="77777777" w:rsidR="00A1327E" w:rsidRPr="00CD16E5" w:rsidRDefault="00A1327E" w:rsidP="00FE43C4">
      <w:pPr>
        <w:pStyle w:val="BodyTextMain"/>
        <w:rPr>
          <w:sz w:val="20"/>
        </w:rPr>
      </w:pPr>
    </w:p>
    <w:p w14:paraId="1C9A19D2" w14:textId="7A00B651" w:rsidR="00FE43C4" w:rsidRDefault="00FE43C4" w:rsidP="00FE43C4">
      <w:pPr>
        <w:pStyle w:val="BodyTextMain"/>
      </w:pPr>
      <w:r w:rsidRPr="006442AC">
        <w:rPr>
          <w:b/>
        </w:rPr>
        <w:t>Mini Projects</w:t>
      </w:r>
      <w:r w:rsidRPr="00FE43C4">
        <w:t>: When there were processes that were consistently in the red, a few mini-projects were taken up in hospitals</w:t>
      </w:r>
      <w:r w:rsidR="007B51EE">
        <w:t>,</w:t>
      </w:r>
      <w:r w:rsidRPr="00FE43C4">
        <w:t xml:space="preserve"> with corporate support and regular guidance from D</w:t>
      </w:r>
      <w:r w:rsidR="001D36C6">
        <w:t>aljit</w:t>
      </w:r>
      <w:r w:rsidRPr="00FE43C4">
        <w:t xml:space="preserve">. In </w:t>
      </w:r>
      <w:r w:rsidR="007B51EE">
        <w:t xml:space="preserve">Mangla’s </w:t>
      </w:r>
      <w:r w:rsidRPr="00FE43C4">
        <w:t>words,</w:t>
      </w:r>
    </w:p>
    <w:p w14:paraId="5EDD5CF0" w14:textId="77777777" w:rsidR="00A1327E" w:rsidRPr="00CD16E5" w:rsidRDefault="00A1327E" w:rsidP="00FE43C4">
      <w:pPr>
        <w:pStyle w:val="BodyTextMain"/>
        <w:rPr>
          <w:sz w:val="20"/>
        </w:rPr>
      </w:pPr>
    </w:p>
    <w:p w14:paraId="6D43403F" w14:textId="22114CF4" w:rsidR="00FE43C4" w:rsidRPr="00FE43C4" w:rsidRDefault="00FE43C4" w:rsidP="00A1327E">
      <w:pPr>
        <w:pStyle w:val="BodyTextMain"/>
        <w:ind w:left="720"/>
      </w:pPr>
      <w:r w:rsidRPr="00FE43C4">
        <w:t>In FMRI, FOS scores were the lowest in the country at 65</w:t>
      </w:r>
      <w:r w:rsidR="001D36C6">
        <w:t xml:space="preserve"> per cent</w:t>
      </w:r>
      <w:r w:rsidRPr="00FE43C4">
        <w:t xml:space="preserve"> (Sep</w:t>
      </w:r>
      <w:r w:rsidR="001D36C6">
        <w:t>tember 20</w:t>
      </w:r>
      <w:r w:rsidRPr="00FE43C4">
        <w:t xml:space="preserve">16) and the discharge process was one of the key challenges. So a mini-project was done called </w:t>
      </w:r>
      <w:r w:rsidR="001D36C6">
        <w:t>“</w:t>
      </w:r>
      <w:r w:rsidRPr="00FE43C4">
        <w:t>Mad over Discharges</w:t>
      </w:r>
      <w:r w:rsidR="001D36C6">
        <w:t>”</w:t>
      </w:r>
      <w:r w:rsidRPr="00FE43C4">
        <w:t xml:space="preserve"> in Sep</w:t>
      </w:r>
      <w:r w:rsidR="001D36C6">
        <w:t>tember</w:t>
      </w:r>
      <w:r w:rsidRPr="00FE43C4">
        <w:t xml:space="preserve"> 2016. The project was carried out with the leadership of Col. </w:t>
      </w:r>
      <w:r w:rsidR="001D36C6">
        <w:t xml:space="preserve">[Harinder] </w:t>
      </w:r>
      <w:r w:rsidRPr="00FE43C4">
        <w:t xml:space="preserve">Chehal, Simmardeep Singh Gill, </w:t>
      </w:r>
      <w:r w:rsidR="001D36C6">
        <w:t xml:space="preserve">[the] </w:t>
      </w:r>
      <w:r w:rsidRPr="00FE43C4">
        <w:t xml:space="preserve">unit FOS head, </w:t>
      </w:r>
      <w:r w:rsidR="001D36C6">
        <w:t xml:space="preserve">[the] </w:t>
      </w:r>
      <w:r w:rsidRPr="00FE43C4">
        <w:t>unit team</w:t>
      </w:r>
      <w:r w:rsidR="001D36C6">
        <w:t>,</w:t>
      </w:r>
      <w:r w:rsidRPr="00FE43C4">
        <w:t xml:space="preserve"> and my direct supervision</w:t>
      </w:r>
      <w:r w:rsidR="001D36C6">
        <w:t>,</w:t>
      </w:r>
      <w:r w:rsidRPr="00FE43C4">
        <w:t xml:space="preserve"> to improve scores. Col</w:t>
      </w:r>
      <w:r w:rsidR="00A20EE3">
        <w:t>.</w:t>
      </w:r>
      <w:r w:rsidRPr="00FE43C4">
        <w:t xml:space="preserve"> Chehal led the team from the front and set clear expectations. Simmar gave a complete free hand to operate and unconditional support from his HODs. I more or less camped at FMRI for the duration of the </w:t>
      </w:r>
      <w:r w:rsidR="001D36C6">
        <w:t>p</w:t>
      </w:r>
      <w:r w:rsidRPr="00FE43C4">
        <w:t>roject, acting as a guide, coach</w:t>
      </w:r>
      <w:r w:rsidR="001D36C6">
        <w:t>,</w:t>
      </w:r>
      <w:r w:rsidRPr="00FE43C4">
        <w:t xml:space="preserve"> and facilitator to help move forward. This set the ball rolling for us at FMRI.</w:t>
      </w:r>
    </w:p>
    <w:p w14:paraId="4804A1A7" w14:textId="77777777" w:rsidR="00A1327E" w:rsidRPr="00CD16E5" w:rsidRDefault="00A1327E" w:rsidP="00FE43C4">
      <w:pPr>
        <w:pStyle w:val="BodyTextMain"/>
        <w:rPr>
          <w:sz w:val="20"/>
        </w:rPr>
      </w:pPr>
    </w:p>
    <w:p w14:paraId="74BA6BBE" w14:textId="575D2EB4" w:rsidR="00FE43C4" w:rsidRPr="00FE43C4" w:rsidRDefault="00FE43C4" w:rsidP="00FE43C4">
      <w:pPr>
        <w:pStyle w:val="BodyTextMain"/>
      </w:pPr>
      <w:r w:rsidRPr="00FE43C4">
        <w:lastRenderedPageBreak/>
        <w:t xml:space="preserve">There was a marked improvement in the discharge process at FMRI </w:t>
      </w:r>
      <w:r w:rsidR="00D70AE9">
        <w:t>following</w:t>
      </w:r>
      <w:r w:rsidRPr="00FE43C4">
        <w:t xml:space="preserve"> the project (</w:t>
      </w:r>
      <w:r w:rsidR="00D70AE9">
        <w:t>see</w:t>
      </w:r>
      <w:r w:rsidRPr="00FE43C4">
        <w:t xml:space="preserve"> Exhibit 2)</w:t>
      </w:r>
      <w:r w:rsidR="00D70AE9">
        <w:t>,</w:t>
      </w:r>
      <w:r w:rsidRPr="00FE43C4">
        <w:t xml:space="preserve"> and the hospital FOS scores </w:t>
      </w:r>
      <w:r w:rsidR="00D70AE9">
        <w:t>increased</w:t>
      </w:r>
      <w:r w:rsidRPr="00FE43C4">
        <w:t xml:space="preserve"> from 65</w:t>
      </w:r>
      <w:r w:rsidR="00D70AE9">
        <w:t xml:space="preserve"> per cent</w:t>
      </w:r>
      <w:r w:rsidRPr="00FE43C4">
        <w:t xml:space="preserve"> (Sep</w:t>
      </w:r>
      <w:r w:rsidR="00D70AE9">
        <w:t>tember 20</w:t>
      </w:r>
      <w:r w:rsidRPr="00FE43C4">
        <w:t>16) to 81</w:t>
      </w:r>
      <w:r w:rsidR="00D70AE9">
        <w:t xml:space="preserve"> per cent</w:t>
      </w:r>
      <w:r w:rsidRPr="00FE43C4">
        <w:t xml:space="preserve"> (Oct</w:t>
      </w:r>
      <w:r w:rsidR="00D70AE9">
        <w:t>ober 20</w:t>
      </w:r>
      <w:r w:rsidRPr="00FE43C4">
        <w:t>16)</w:t>
      </w:r>
      <w:r w:rsidR="00D70AE9">
        <w:t>—</w:t>
      </w:r>
      <w:r w:rsidRPr="00FE43C4">
        <w:t xml:space="preserve">a huge revelation </w:t>
      </w:r>
      <w:r w:rsidR="00D70AE9">
        <w:t>for</w:t>
      </w:r>
      <w:r w:rsidRPr="00FE43C4">
        <w:t xml:space="preserve"> the entire team</w:t>
      </w:r>
      <w:r w:rsidR="00D70AE9">
        <w:t>.</w:t>
      </w:r>
    </w:p>
    <w:p w14:paraId="2EC43D54" w14:textId="77777777" w:rsidR="00FE43C4" w:rsidRPr="00CD16E5" w:rsidRDefault="00FE43C4" w:rsidP="00FE43C4">
      <w:pPr>
        <w:pStyle w:val="BodyTextMain"/>
        <w:rPr>
          <w:sz w:val="20"/>
        </w:rPr>
      </w:pPr>
    </w:p>
    <w:p w14:paraId="3971892C" w14:textId="7F206B44" w:rsidR="00FE43C4" w:rsidRPr="00CD16E5" w:rsidRDefault="00FE43C4" w:rsidP="00FE43C4">
      <w:pPr>
        <w:pStyle w:val="BodyTextMain"/>
        <w:rPr>
          <w:spacing w:val="-2"/>
        </w:rPr>
      </w:pPr>
      <w:r w:rsidRPr="00CD16E5">
        <w:rPr>
          <w:b/>
          <w:spacing w:val="-2"/>
        </w:rPr>
        <w:t xml:space="preserve">FOS </w:t>
      </w:r>
      <w:r w:rsidR="007E47CB" w:rsidRPr="00CD16E5">
        <w:rPr>
          <w:b/>
          <w:spacing w:val="-2"/>
        </w:rPr>
        <w:t>W</w:t>
      </w:r>
      <w:r w:rsidRPr="00CD16E5">
        <w:rPr>
          <w:b/>
          <w:spacing w:val="-2"/>
        </w:rPr>
        <w:t>eek</w:t>
      </w:r>
      <w:r w:rsidRPr="00CD16E5">
        <w:rPr>
          <w:spacing w:val="-2"/>
        </w:rPr>
        <w:t xml:space="preserve">: FOS week was celebrated from </w:t>
      </w:r>
      <w:r w:rsidR="007E47CB" w:rsidRPr="00CD16E5">
        <w:rPr>
          <w:spacing w:val="-2"/>
        </w:rPr>
        <w:t xml:space="preserve">April </w:t>
      </w:r>
      <w:r w:rsidRPr="00CD16E5">
        <w:rPr>
          <w:spacing w:val="-2"/>
        </w:rPr>
        <w:t xml:space="preserve">10 to </w:t>
      </w:r>
      <w:r w:rsidR="007E47CB" w:rsidRPr="00CD16E5">
        <w:rPr>
          <w:spacing w:val="-2"/>
        </w:rPr>
        <w:t xml:space="preserve">April </w:t>
      </w:r>
      <w:r w:rsidRPr="00CD16E5">
        <w:rPr>
          <w:spacing w:val="-2"/>
        </w:rPr>
        <w:t>17</w:t>
      </w:r>
      <w:r w:rsidR="007E47CB" w:rsidRPr="00CD16E5">
        <w:rPr>
          <w:spacing w:val="-2"/>
        </w:rPr>
        <w:t>,</w:t>
      </w:r>
      <w:r w:rsidRPr="00CD16E5">
        <w:rPr>
          <w:spacing w:val="-2"/>
        </w:rPr>
        <w:t xml:space="preserve"> 2017</w:t>
      </w:r>
      <w:r w:rsidR="007E47CB" w:rsidRPr="00CD16E5">
        <w:rPr>
          <w:spacing w:val="-2"/>
        </w:rPr>
        <w:t>,</w:t>
      </w:r>
      <w:r w:rsidRPr="00CD16E5">
        <w:rPr>
          <w:spacing w:val="-2"/>
        </w:rPr>
        <w:t xml:space="preserve"> across all hospitals. It was a full</w:t>
      </w:r>
      <w:r w:rsidR="007E47CB" w:rsidRPr="00CD16E5">
        <w:rPr>
          <w:spacing w:val="-2"/>
        </w:rPr>
        <w:t>-</w:t>
      </w:r>
      <w:r w:rsidRPr="00CD16E5">
        <w:rPr>
          <w:spacing w:val="-2"/>
        </w:rPr>
        <w:t>day event in every hospita</w:t>
      </w:r>
      <w:r w:rsidR="007B51EE">
        <w:rPr>
          <w:spacing w:val="-2"/>
        </w:rPr>
        <w:t>l. I</w:t>
      </w:r>
      <w:r w:rsidRPr="00CD16E5">
        <w:rPr>
          <w:spacing w:val="-2"/>
        </w:rPr>
        <w:t xml:space="preserve">n the first half, </w:t>
      </w:r>
      <w:r w:rsidR="007E47CB" w:rsidRPr="00CD16E5">
        <w:rPr>
          <w:spacing w:val="-2"/>
        </w:rPr>
        <w:t>the</w:t>
      </w:r>
      <w:r w:rsidRPr="00CD16E5">
        <w:rPr>
          <w:spacing w:val="-2"/>
        </w:rPr>
        <w:t xml:space="preserve"> mini</w:t>
      </w:r>
      <w:r w:rsidR="007E47CB" w:rsidRPr="00CD16E5">
        <w:rPr>
          <w:spacing w:val="-2"/>
        </w:rPr>
        <w:t>-</w:t>
      </w:r>
      <w:r w:rsidRPr="00CD16E5">
        <w:rPr>
          <w:spacing w:val="-2"/>
        </w:rPr>
        <w:t xml:space="preserve">audit called the 10 commandments was conducted by the members of the </w:t>
      </w:r>
      <w:r w:rsidR="007E47CB" w:rsidRPr="00CD16E5">
        <w:rPr>
          <w:spacing w:val="-2"/>
        </w:rPr>
        <w:t>c</w:t>
      </w:r>
      <w:r w:rsidRPr="00CD16E5">
        <w:rPr>
          <w:spacing w:val="-2"/>
        </w:rPr>
        <w:t xml:space="preserve">hief </w:t>
      </w:r>
      <w:r w:rsidR="007E47CB" w:rsidRPr="00CD16E5">
        <w:rPr>
          <w:spacing w:val="-2"/>
        </w:rPr>
        <w:t>e</w:t>
      </w:r>
      <w:r w:rsidRPr="00CD16E5">
        <w:rPr>
          <w:spacing w:val="-2"/>
        </w:rPr>
        <w:t xml:space="preserve">xecutive </w:t>
      </w:r>
      <w:r w:rsidR="007E47CB" w:rsidRPr="00CD16E5">
        <w:rPr>
          <w:spacing w:val="-2"/>
        </w:rPr>
        <w:t>c</w:t>
      </w:r>
      <w:r w:rsidRPr="00CD16E5">
        <w:rPr>
          <w:spacing w:val="-2"/>
        </w:rPr>
        <w:t>ommittee</w:t>
      </w:r>
      <w:r w:rsidR="007E47CB" w:rsidRPr="00CD16E5">
        <w:rPr>
          <w:spacing w:val="-2"/>
        </w:rPr>
        <w:t>.</w:t>
      </w:r>
      <w:r w:rsidRPr="00CD16E5">
        <w:rPr>
          <w:rStyle w:val="FootnoteReference"/>
          <w:spacing w:val="-2"/>
        </w:rPr>
        <w:footnoteReference w:id="4"/>
      </w:r>
      <w:r w:rsidRPr="00CD16E5">
        <w:rPr>
          <w:spacing w:val="-2"/>
        </w:rPr>
        <w:t xml:space="preserve"> In the second half, </w:t>
      </w:r>
      <w:r w:rsidR="007E47CB" w:rsidRPr="00CD16E5">
        <w:rPr>
          <w:spacing w:val="-2"/>
        </w:rPr>
        <w:t>“</w:t>
      </w:r>
      <w:r w:rsidRPr="00CD16E5">
        <w:rPr>
          <w:spacing w:val="-2"/>
        </w:rPr>
        <w:t>FOS fare</w:t>
      </w:r>
      <w:r w:rsidR="007E47CB" w:rsidRPr="00CD16E5">
        <w:rPr>
          <w:spacing w:val="-2"/>
        </w:rPr>
        <w:t>”</w:t>
      </w:r>
      <w:r w:rsidRPr="00CD16E5">
        <w:rPr>
          <w:spacing w:val="-2"/>
        </w:rPr>
        <w:t xml:space="preserve"> awards in 10 categories were given to people who had contributed to FOS in their respective hospitals. The senior clinicians were involved in deciding who should be awarded</w:t>
      </w:r>
      <w:r w:rsidR="007E47CB" w:rsidRPr="00CD16E5">
        <w:rPr>
          <w:spacing w:val="-2"/>
        </w:rPr>
        <w:t>,</w:t>
      </w:r>
      <w:r w:rsidRPr="00CD16E5">
        <w:rPr>
          <w:spacing w:val="-2"/>
        </w:rPr>
        <w:t xml:space="preserve"> which resulted in a positive involvement of clinicians </w:t>
      </w:r>
      <w:r w:rsidR="007E47CB" w:rsidRPr="00CD16E5">
        <w:rPr>
          <w:spacing w:val="-2"/>
        </w:rPr>
        <w:t>in</w:t>
      </w:r>
      <w:r w:rsidRPr="00CD16E5">
        <w:rPr>
          <w:spacing w:val="-2"/>
        </w:rPr>
        <w:t xml:space="preserve"> the FOS function. Bhavdeep himself and other top leaders visited some of the hospitals to attend the award function and </w:t>
      </w:r>
      <w:r w:rsidR="007E47CB" w:rsidRPr="00CD16E5">
        <w:rPr>
          <w:spacing w:val="-2"/>
        </w:rPr>
        <w:t>conduct</w:t>
      </w:r>
      <w:r w:rsidRPr="00CD16E5">
        <w:rPr>
          <w:spacing w:val="-2"/>
        </w:rPr>
        <w:t xml:space="preserve"> the audit. The event was covered daily by the </w:t>
      </w:r>
      <w:r w:rsidR="00914F49" w:rsidRPr="00CD16E5">
        <w:rPr>
          <w:spacing w:val="-2"/>
        </w:rPr>
        <w:t>s</w:t>
      </w:r>
      <w:r w:rsidRPr="00CD16E5">
        <w:rPr>
          <w:spacing w:val="-2"/>
        </w:rPr>
        <w:t xml:space="preserve">upport </w:t>
      </w:r>
      <w:r w:rsidR="00914F49" w:rsidRPr="00CD16E5">
        <w:rPr>
          <w:spacing w:val="-2"/>
        </w:rPr>
        <w:t>o</w:t>
      </w:r>
      <w:r w:rsidRPr="00CD16E5">
        <w:rPr>
          <w:spacing w:val="-2"/>
        </w:rPr>
        <w:t>ffice communications tea</w:t>
      </w:r>
      <w:r w:rsidR="007B51EE">
        <w:rPr>
          <w:spacing w:val="-2"/>
        </w:rPr>
        <w:t xml:space="preserve">m. The team </w:t>
      </w:r>
      <w:r w:rsidRPr="00CD16E5">
        <w:rPr>
          <w:spacing w:val="-2"/>
        </w:rPr>
        <w:t>sen</w:t>
      </w:r>
      <w:r w:rsidR="00914F49" w:rsidRPr="00CD16E5">
        <w:rPr>
          <w:spacing w:val="-2"/>
        </w:rPr>
        <w:t>t</w:t>
      </w:r>
      <w:r w:rsidRPr="00CD16E5">
        <w:rPr>
          <w:spacing w:val="-2"/>
        </w:rPr>
        <w:t xml:space="preserve"> a daily update </w:t>
      </w:r>
      <w:r w:rsidR="007E47CB" w:rsidRPr="00CD16E5">
        <w:rPr>
          <w:spacing w:val="-2"/>
        </w:rPr>
        <w:t xml:space="preserve">of the mega-event </w:t>
      </w:r>
      <w:r w:rsidRPr="00CD16E5">
        <w:rPr>
          <w:spacing w:val="-2"/>
        </w:rPr>
        <w:t>to the entire Fortis network</w:t>
      </w:r>
      <w:r w:rsidR="007E47CB" w:rsidRPr="00CD16E5">
        <w:rPr>
          <w:spacing w:val="-2"/>
        </w:rPr>
        <w:t>,</w:t>
      </w:r>
      <w:r w:rsidRPr="00CD16E5">
        <w:rPr>
          <w:spacing w:val="-2"/>
        </w:rPr>
        <w:t xml:space="preserve"> creat</w:t>
      </w:r>
      <w:r w:rsidR="007E47CB" w:rsidRPr="00CD16E5">
        <w:rPr>
          <w:spacing w:val="-2"/>
        </w:rPr>
        <w:t>ing</w:t>
      </w:r>
      <w:r w:rsidRPr="00CD16E5">
        <w:rPr>
          <w:spacing w:val="-2"/>
        </w:rPr>
        <w:t xml:space="preserve"> a positive and value-based impact for </w:t>
      </w:r>
      <w:r w:rsidR="007E47CB" w:rsidRPr="00CD16E5">
        <w:rPr>
          <w:spacing w:val="-2"/>
        </w:rPr>
        <w:t>FOS</w:t>
      </w:r>
      <w:r w:rsidRPr="00CD16E5">
        <w:rPr>
          <w:spacing w:val="-2"/>
        </w:rPr>
        <w:t xml:space="preserve">. The </w:t>
      </w:r>
      <w:r w:rsidR="00914F49" w:rsidRPr="00CD16E5">
        <w:rPr>
          <w:spacing w:val="-2"/>
        </w:rPr>
        <w:t>event</w:t>
      </w:r>
      <w:r w:rsidRPr="00CD16E5">
        <w:rPr>
          <w:spacing w:val="-2"/>
        </w:rPr>
        <w:t xml:space="preserve"> </w:t>
      </w:r>
      <w:r w:rsidR="00914F49" w:rsidRPr="00CD16E5">
        <w:rPr>
          <w:spacing w:val="-2"/>
        </w:rPr>
        <w:t xml:space="preserve">was </w:t>
      </w:r>
      <w:r w:rsidRPr="00CD16E5">
        <w:rPr>
          <w:spacing w:val="-2"/>
        </w:rPr>
        <w:t>also cover</w:t>
      </w:r>
      <w:r w:rsidR="00914F49" w:rsidRPr="00CD16E5">
        <w:rPr>
          <w:spacing w:val="-2"/>
        </w:rPr>
        <w:t>ed</w:t>
      </w:r>
      <w:r w:rsidRPr="00CD16E5">
        <w:rPr>
          <w:spacing w:val="-2"/>
        </w:rPr>
        <w:t xml:space="preserve"> in “The Fortisian</w:t>
      </w:r>
      <w:r w:rsidR="007E47CB" w:rsidRPr="00CD16E5">
        <w:rPr>
          <w:spacing w:val="-2"/>
        </w:rPr>
        <w:t>,</w:t>
      </w:r>
      <w:r w:rsidRPr="00CD16E5">
        <w:rPr>
          <w:spacing w:val="-2"/>
        </w:rPr>
        <w:t xml:space="preserve">” a monthly </w:t>
      </w:r>
      <w:r w:rsidR="007E47CB" w:rsidRPr="00CD16E5">
        <w:rPr>
          <w:spacing w:val="-2"/>
        </w:rPr>
        <w:t xml:space="preserve">Fortis </w:t>
      </w:r>
      <w:r w:rsidRPr="00CD16E5">
        <w:rPr>
          <w:spacing w:val="-2"/>
        </w:rPr>
        <w:t>internal journal.</w:t>
      </w:r>
    </w:p>
    <w:p w14:paraId="53A825AA" w14:textId="77777777" w:rsidR="00A1327E" w:rsidRPr="00CD16E5" w:rsidRDefault="00A1327E" w:rsidP="00FE43C4">
      <w:pPr>
        <w:pStyle w:val="BodyTextMain"/>
        <w:rPr>
          <w:sz w:val="20"/>
        </w:rPr>
      </w:pPr>
    </w:p>
    <w:p w14:paraId="74B9CBF0" w14:textId="7C61A196" w:rsidR="00FE43C4" w:rsidRPr="006442AC" w:rsidRDefault="00FE43C4" w:rsidP="00FE43C4">
      <w:pPr>
        <w:pStyle w:val="BodyTextMain"/>
        <w:rPr>
          <w:spacing w:val="-2"/>
        </w:rPr>
      </w:pPr>
      <w:r w:rsidRPr="006442AC">
        <w:rPr>
          <w:b/>
          <w:spacing w:val="-2"/>
        </w:rPr>
        <w:t xml:space="preserve">Impact of FOS </w:t>
      </w:r>
      <w:r w:rsidR="00914F49" w:rsidRPr="006442AC">
        <w:rPr>
          <w:b/>
          <w:spacing w:val="-2"/>
        </w:rPr>
        <w:t>R</w:t>
      </w:r>
      <w:r w:rsidRPr="006442AC">
        <w:rPr>
          <w:b/>
          <w:spacing w:val="-2"/>
        </w:rPr>
        <w:t>ejuvenation</w:t>
      </w:r>
      <w:r w:rsidRPr="006442AC">
        <w:rPr>
          <w:spacing w:val="-2"/>
        </w:rPr>
        <w:t xml:space="preserve">: The various interventions resulted in </w:t>
      </w:r>
      <w:r w:rsidR="00914F49" w:rsidRPr="006442AC">
        <w:rPr>
          <w:spacing w:val="-2"/>
        </w:rPr>
        <w:t xml:space="preserve">an </w:t>
      </w:r>
      <w:r w:rsidRPr="006442AC">
        <w:rPr>
          <w:spacing w:val="-2"/>
        </w:rPr>
        <w:t>improv</w:t>
      </w:r>
      <w:r w:rsidR="00914F49" w:rsidRPr="006442AC">
        <w:rPr>
          <w:spacing w:val="-2"/>
        </w:rPr>
        <w:t>ement</w:t>
      </w:r>
      <w:r w:rsidRPr="006442AC">
        <w:rPr>
          <w:spacing w:val="-2"/>
        </w:rPr>
        <w:t xml:space="preserve"> </w:t>
      </w:r>
      <w:r w:rsidR="00914F49" w:rsidRPr="006442AC">
        <w:rPr>
          <w:spacing w:val="-2"/>
        </w:rPr>
        <w:t xml:space="preserve">of </w:t>
      </w:r>
      <w:r w:rsidRPr="006442AC">
        <w:rPr>
          <w:spacing w:val="-2"/>
        </w:rPr>
        <w:t>the hospital operations</w:t>
      </w:r>
      <w:r w:rsidR="007B51EE">
        <w:rPr>
          <w:spacing w:val="-2"/>
        </w:rPr>
        <w:t>. B</w:t>
      </w:r>
      <w:r w:rsidRPr="006442AC">
        <w:rPr>
          <w:spacing w:val="-2"/>
        </w:rPr>
        <w:t>y April 2016</w:t>
      </w:r>
      <w:r w:rsidR="007B51EE">
        <w:rPr>
          <w:spacing w:val="-2"/>
        </w:rPr>
        <w:t>,</w:t>
      </w:r>
      <w:r w:rsidRPr="006442AC">
        <w:rPr>
          <w:spacing w:val="-2"/>
        </w:rPr>
        <w:t xml:space="preserve"> the pan</w:t>
      </w:r>
      <w:r w:rsidR="00914F49" w:rsidRPr="006442AC">
        <w:rPr>
          <w:spacing w:val="-2"/>
        </w:rPr>
        <w:t>-</w:t>
      </w:r>
      <w:r w:rsidRPr="006442AC">
        <w:rPr>
          <w:spacing w:val="-2"/>
        </w:rPr>
        <w:t xml:space="preserve">organization score </w:t>
      </w:r>
      <w:r w:rsidR="00914F49" w:rsidRPr="006442AC">
        <w:rPr>
          <w:spacing w:val="-2"/>
        </w:rPr>
        <w:t xml:space="preserve">had </w:t>
      </w:r>
      <w:r w:rsidRPr="006442AC">
        <w:rPr>
          <w:spacing w:val="-2"/>
        </w:rPr>
        <w:t>reached 86 per</w:t>
      </w:r>
      <w:r w:rsidR="00914F49" w:rsidRPr="006442AC">
        <w:rPr>
          <w:spacing w:val="-2"/>
        </w:rPr>
        <w:t xml:space="preserve"> </w:t>
      </w:r>
      <w:r w:rsidRPr="006442AC">
        <w:rPr>
          <w:spacing w:val="-2"/>
        </w:rPr>
        <w:t>cent (</w:t>
      </w:r>
      <w:r w:rsidR="00914F49" w:rsidRPr="006442AC">
        <w:rPr>
          <w:spacing w:val="-2"/>
        </w:rPr>
        <w:t>see</w:t>
      </w:r>
      <w:r w:rsidRPr="006442AC">
        <w:rPr>
          <w:spacing w:val="-2"/>
        </w:rPr>
        <w:t xml:space="preserve"> Exhibit 3). The improvement on various metrics of the scorecard was </w:t>
      </w:r>
      <w:r w:rsidR="00914F49" w:rsidRPr="006442AC">
        <w:rPr>
          <w:spacing w:val="-2"/>
        </w:rPr>
        <w:t>clear.</w:t>
      </w:r>
      <w:r w:rsidRPr="006442AC">
        <w:rPr>
          <w:spacing w:val="-2"/>
        </w:rPr>
        <w:t xml:space="preserve"> For example</w:t>
      </w:r>
      <w:r w:rsidR="00914F49" w:rsidRPr="006442AC">
        <w:rPr>
          <w:spacing w:val="-2"/>
        </w:rPr>
        <w:t>,</w:t>
      </w:r>
      <w:r w:rsidRPr="006442AC">
        <w:rPr>
          <w:spacing w:val="-2"/>
        </w:rPr>
        <w:t xml:space="preserve"> </w:t>
      </w:r>
      <w:r w:rsidR="00914F49" w:rsidRPr="006442AC">
        <w:rPr>
          <w:spacing w:val="-2"/>
        </w:rPr>
        <w:t>the percentage of p</w:t>
      </w:r>
      <w:r w:rsidRPr="006442AC">
        <w:rPr>
          <w:spacing w:val="-2"/>
        </w:rPr>
        <w:t xml:space="preserve">atients with </w:t>
      </w:r>
      <w:r w:rsidR="00914F49" w:rsidRPr="006442AC">
        <w:rPr>
          <w:spacing w:val="-2"/>
        </w:rPr>
        <w:t xml:space="preserve">a </w:t>
      </w:r>
      <w:r w:rsidRPr="006442AC">
        <w:rPr>
          <w:spacing w:val="-2"/>
        </w:rPr>
        <w:t xml:space="preserve">final bill </w:t>
      </w:r>
      <w:r w:rsidR="007B51EE">
        <w:rPr>
          <w:spacing w:val="-2"/>
        </w:rPr>
        <w:t xml:space="preserve">of </w:t>
      </w:r>
      <w:r w:rsidRPr="006442AC">
        <w:rPr>
          <w:spacing w:val="-2"/>
        </w:rPr>
        <w:t>more than 5</w:t>
      </w:r>
      <w:r w:rsidR="00914F49" w:rsidRPr="006442AC">
        <w:rPr>
          <w:spacing w:val="-2"/>
        </w:rPr>
        <w:t xml:space="preserve"> per cent</w:t>
      </w:r>
      <w:r w:rsidRPr="006442AC">
        <w:rPr>
          <w:spacing w:val="-2"/>
        </w:rPr>
        <w:t xml:space="preserve"> of </w:t>
      </w:r>
      <w:r w:rsidR="00914F49" w:rsidRPr="006442AC">
        <w:rPr>
          <w:spacing w:val="-2"/>
        </w:rPr>
        <w:t xml:space="preserve">the </w:t>
      </w:r>
      <w:r w:rsidRPr="006442AC">
        <w:rPr>
          <w:spacing w:val="-2"/>
        </w:rPr>
        <w:t xml:space="preserve">estimate </w:t>
      </w:r>
      <w:r w:rsidR="00914F49" w:rsidRPr="006442AC">
        <w:rPr>
          <w:spacing w:val="-2"/>
        </w:rPr>
        <w:t>decreased</w:t>
      </w:r>
      <w:r w:rsidRPr="006442AC">
        <w:rPr>
          <w:spacing w:val="-2"/>
        </w:rPr>
        <w:t xml:space="preserve"> from 14 </w:t>
      </w:r>
      <w:r w:rsidR="00914F49" w:rsidRPr="006442AC">
        <w:rPr>
          <w:spacing w:val="-2"/>
        </w:rPr>
        <w:t>per cent to 7 per cent</w:t>
      </w:r>
      <w:r w:rsidRPr="006442AC">
        <w:rPr>
          <w:spacing w:val="-2"/>
        </w:rPr>
        <w:t xml:space="preserve"> (</w:t>
      </w:r>
      <w:r w:rsidR="00914F49" w:rsidRPr="006442AC">
        <w:rPr>
          <w:spacing w:val="-2"/>
        </w:rPr>
        <w:t>see</w:t>
      </w:r>
      <w:r w:rsidRPr="006442AC">
        <w:rPr>
          <w:spacing w:val="-2"/>
        </w:rPr>
        <w:t xml:space="preserve"> Exhibit 4); </w:t>
      </w:r>
      <w:r w:rsidR="00914F49" w:rsidRPr="006442AC">
        <w:rPr>
          <w:spacing w:val="-2"/>
        </w:rPr>
        <w:t>the l</w:t>
      </w:r>
      <w:r w:rsidRPr="006442AC">
        <w:rPr>
          <w:spacing w:val="-2"/>
        </w:rPr>
        <w:t xml:space="preserve">ength of </w:t>
      </w:r>
      <w:r w:rsidR="00914F49" w:rsidRPr="006442AC">
        <w:rPr>
          <w:spacing w:val="-2"/>
        </w:rPr>
        <w:t xml:space="preserve">the </w:t>
      </w:r>
      <w:r w:rsidRPr="006442AC">
        <w:rPr>
          <w:spacing w:val="-2"/>
        </w:rPr>
        <w:t xml:space="preserve">discharge process </w:t>
      </w:r>
      <w:r w:rsidR="00914F49" w:rsidRPr="006442AC">
        <w:rPr>
          <w:spacing w:val="-2"/>
        </w:rPr>
        <w:t>decreased</w:t>
      </w:r>
      <w:r w:rsidRPr="006442AC">
        <w:rPr>
          <w:spacing w:val="-2"/>
        </w:rPr>
        <w:t xml:space="preserve"> </w:t>
      </w:r>
      <w:r w:rsidR="00914F49" w:rsidRPr="006442AC">
        <w:rPr>
          <w:spacing w:val="-2"/>
        </w:rPr>
        <w:t xml:space="preserve">from 179 minutes </w:t>
      </w:r>
      <w:r w:rsidRPr="006442AC">
        <w:rPr>
          <w:spacing w:val="-2"/>
        </w:rPr>
        <w:t>to 138 min</w:t>
      </w:r>
      <w:r w:rsidR="00914F49" w:rsidRPr="006442AC">
        <w:rPr>
          <w:spacing w:val="-2"/>
        </w:rPr>
        <w:t>ute</w:t>
      </w:r>
      <w:r w:rsidRPr="006442AC">
        <w:rPr>
          <w:spacing w:val="-2"/>
        </w:rPr>
        <w:t>s (</w:t>
      </w:r>
      <w:r w:rsidR="00914F49" w:rsidRPr="006442AC">
        <w:rPr>
          <w:spacing w:val="-2"/>
        </w:rPr>
        <w:t>see</w:t>
      </w:r>
      <w:r w:rsidRPr="006442AC">
        <w:rPr>
          <w:spacing w:val="-2"/>
        </w:rPr>
        <w:t xml:space="preserve"> Exhibit 5); </w:t>
      </w:r>
      <w:r w:rsidR="00914F49" w:rsidRPr="006442AC">
        <w:rPr>
          <w:spacing w:val="-2"/>
        </w:rPr>
        <w:t>and the percentage of d</w:t>
      </w:r>
      <w:r w:rsidRPr="006442AC">
        <w:rPr>
          <w:spacing w:val="-2"/>
        </w:rPr>
        <w:t xml:space="preserve">octors arriving late for OPD patients </w:t>
      </w:r>
      <w:r w:rsidR="00914F49" w:rsidRPr="006442AC">
        <w:rPr>
          <w:spacing w:val="-2"/>
        </w:rPr>
        <w:t>decreased from 20 per cent</w:t>
      </w:r>
      <w:r w:rsidRPr="006442AC">
        <w:rPr>
          <w:spacing w:val="-2"/>
        </w:rPr>
        <w:t xml:space="preserve"> to 15 </w:t>
      </w:r>
      <w:r w:rsidR="00914F49" w:rsidRPr="006442AC">
        <w:rPr>
          <w:spacing w:val="-2"/>
        </w:rPr>
        <w:t>per cent</w:t>
      </w:r>
      <w:r w:rsidRPr="006442AC">
        <w:rPr>
          <w:spacing w:val="-2"/>
        </w:rPr>
        <w:t xml:space="preserve"> (</w:t>
      </w:r>
      <w:r w:rsidR="00914F49" w:rsidRPr="006442AC">
        <w:rPr>
          <w:spacing w:val="-2"/>
        </w:rPr>
        <w:t>s</w:t>
      </w:r>
      <w:r w:rsidR="00A1327E" w:rsidRPr="006442AC">
        <w:rPr>
          <w:spacing w:val="-2"/>
        </w:rPr>
        <w:t>ee</w:t>
      </w:r>
      <w:r w:rsidRPr="006442AC">
        <w:rPr>
          <w:spacing w:val="-2"/>
        </w:rPr>
        <w:t xml:space="preserve"> Exhibit 6).</w:t>
      </w:r>
    </w:p>
    <w:p w14:paraId="16D1A695" w14:textId="77777777" w:rsidR="00FE43C4" w:rsidRPr="00CD16E5" w:rsidRDefault="00FE43C4" w:rsidP="00FE43C4">
      <w:pPr>
        <w:pStyle w:val="BodyTextMain"/>
        <w:rPr>
          <w:sz w:val="20"/>
        </w:rPr>
      </w:pPr>
    </w:p>
    <w:p w14:paraId="03F0674B" w14:textId="77777777" w:rsidR="00A1327E" w:rsidRPr="00CD16E5" w:rsidRDefault="00A1327E" w:rsidP="00FE43C4">
      <w:pPr>
        <w:pStyle w:val="BodyTextMain"/>
        <w:rPr>
          <w:sz w:val="20"/>
        </w:rPr>
      </w:pPr>
    </w:p>
    <w:p w14:paraId="38B74E76" w14:textId="48810495" w:rsidR="00FE43C4" w:rsidRPr="00FE43C4" w:rsidRDefault="00FE43C4" w:rsidP="00A1327E">
      <w:pPr>
        <w:pStyle w:val="Casehead1"/>
      </w:pPr>
      <w:r w:rsidRPr="00FE43C4">
        <w:t xml:space="preserve">FUTURE OF FOS AND ALIGNING </w:t>
      </w:r>
      <w:r w:rsidR="00914F49">
        <w:t xml:space="preserve">it </w:t>
      </w:r>
      <w:r w:rsidRPr="00FE43C4">
        <w:t>WITH ENHANCING PATIENT EXPERIENCE</w:t>
      </w:r>
    </w:p>
    <w:p w14:paraId="6B49D0C4" w14:textId="77777777" w:rsidR="00A1327E" w:rsidRPr="00CD16E5" w:rsidRDefault="00A1327E" w:rsidP="00FE43C4">
      <w:pPr>
        <w:pStyle w:val="BodyTextMain"/>
        <w:rPr>
          <w:sz w:val="20"/>
        </w:rPr>
      </w:pPr>
    </w:p>
    <w:p w14:paraId="09DAEF7C" w14:textId="79F01520" w:rsidR="00FE43C4" w:rsidRDefault="00FE43C4" w:rsidP="00FE43C4">
      <w:pPr>
        <w:pStyle w:val="BodyTextMain"/>
      </w:pPr>
      <w:r w:rsidRPr="00FE43C4">
        <w:t xml:space="preserve">The impact of FOS on hospital operations had reinforced Bhavdeep’s belief in the </w:t>
      </w:r>
      <w:r w:rsidR="00C53CEE">
        <w:t xml:space="preserve">system’s </w:t>
      </w:r>
      <w:r w:rsidRPr="00FE43C4">
        <w:t>potential. However, he believed that every system should evolve to remain relevant:</w:t>
      </w:r>
    </w:p>
    <w:p w14:paraId="2F221A53" w14:textId="77777777" w:rsidR="00A1327E" w:rsidRPr="00CD16E5" w:rsidRDefault="00A1327E" w:rsidP="00FE43C4">
      <w:pPr>
        <w:pStyle w:val="BodyTextMain"/>
        <w:rPr>
          <w:sz w:val="20"/>
        </w:rPr>
      </w:pPr>
    </w:p>
    <w:p w14:paraId="4A58B76C" w14:textId="0A677872" w:rsidR="00FE43C4" w:rsidRPr="00FE43C4" w:rsidRDefault="00FE43C4" w:rsidP="00A1327E">
      <w:pPr>
        <w:pStyle w:val="BodyTextMain"/>
        <w:ind w:left="720"/>
      </w:pPr>
      <w:r w:rsidRPr="00FE43C4">
        <w:t>Five years from now, if FOS continued to work exactly the way it does today, I would say that we have a program that is losing relevance. SOPs underlying FOS should change; otherwise</w:t>
      </w:r>
      <w:r w:rsidR="00914F49">
        <w:t>,</w:t>
      </w:r>
      <w:r w:rsidRPr="00FE43C4">
        <w:t xml:space="preserve"> we are in big trouble. FOS has to continuously evolve and get updated. In today’s world, technology is a significant enabler.</w:t>
      </w:r>
    </w:p>
    <w:p w14:paraId="488178D5" w14:textId="77777777" w:rsidR="00A1327E" w:rsidRPr="00CD16E5" w:rsidRDefault="00A1327E" w:rsidP="00FE43C4">
      <w:pPr>
        <w:pStyle w:val="BodyTextMain"/>
        <w:rPr>
          <w:sz w:val="20"/>
        </w:rPr>
      </w:pPr>
    </w:p>
    <w:p w14:paraId="2A0571FA" w14:textId="27776ED8" w:rsidR="00FE43C4" w:rsidRPr="00FE43C4" w:rsidRDefault="00FE43C4" w:rsidP="00FE43C4">
      <w:pPr>
        <w:pStyle w:val="BodyTextMain"/>
      </w:pPr>
      <w:r w:rsidRPr="00FE43C4">
        <w:t xml:space="preserve">Phase 1 of digitization </w:t>
      </w:r>
      <w:r w:rsidR="00C53CEE">
        <w:t>had been</w:t>
      </w:r>
      <w:r w:rsidRPr="00FE43C4">
        <w:t xml:space="preserve"> successfully executed at the corporate level</w:t>
      </w:r>
      <w:r w:rsidR="00C53CEE">
        <w:t>,</w:t>
      </w:r>
      <w:r w:rsidRPr="00FE43C4">
        <w:t xml:space="preserve"> and other phases were planned. Phase 2 of digitization involved automat</w:t>
      </w:r>
      <w:r w:rsidR="007B51EE">
        <w:t>ing</w:t>
      </w:r>
      <w:r w:rsidRPr="00FE43C4">
        <w:t xml:space="preserve"> the data compilation activity at the unit level</w:t>
      </w:r>
      <w:r w:rsidR="00412992">
        <w:t>,</w:t>
      </w:r>
      <w:r w:rsidRPr="00FE43C4">
        <w:t xml:space="preserve"> making it available as the unit dashboard for review by </w:t>
      </w:r>
      <w:r w:rsidR="00C53CEE">
        <w:t xml:space="preserve">the </w:t>
      </w:r>
      <w:r w:rsidRPr="00FE43C4">
        <w:t>FD</w:t>
      </w:r>
      <w:r w:rsidR="00C53CEE">
        <w:t>;</w:t>
      </w:r>
      <w:r w:rsidRPr="00FE43C4">
        <w:t xml:space="preserve"> </w:t>
      </w:r>
      <w:r w:rsidR="00C53CEE">
        <w:t>o</w:t>
      </w:r>
      <w:r w:rsidRPr="00FE43C4">
        <w:t xml:space="preserve">therwise, </w:t>
      </w:r>
      <w:proofErr w:type="gramStart"/>
      <w:r w:rsidRPr="00FE43C4">
        <w:t>the</w:t>
      </w:r>
      <w:proofErr w:type="gramEnd"/>
      <w:r w:rsidRPr="00FE43C4">
        <w:t xml:space="preserve"> FOS head of the particular unit compiled </w:t>
      </w:r>
      <w:r w:rsidR="00412992">
        <w:t>the data</w:t>
      </w:r>
      <w:r w:rsidRPr="00FE43C4">
        <w:t xml:space="preserve"> manually. This phase was in progress. Phase 3 of digitization involved data capturing at the unit level. This was </w:t>
      </w:r>
      <w:r w:rsidR="00412992">
        <w:t xml:space="preserve">both </w:t>
      </w:r>
      <w:r w:rsidRPr="00FE43C4">
        <w:t xml:space="preserve">critical and difficult because of the varied </w:t>
      </w:r>
      <w:r w:rsidR="00412992">
        <w:t>information technology</w:t>
      </w:r>
      <w:r w:rsidRPr="00FE43C4">
        <w:t xml:space="preserve"> systems used in different hospitals</w:t>
      </w:r>
      <w:r w:rsidR="00412992">
        <w:t>,</w:t>
      </w:r>
      <w:r w:rsidRPr="00FE43C4">
        <w:t xml:space="preserve"> making data integration a challenge. There was a plan for </w:t>
      </w:r>
      <w:r w:rsidR="00412992">
        <w:t xml:space="preserve">a </w:t>
      </w:r>
      <w:r w:rsidRPr="00FE43C4">
        <w:t xml:space="preserve">single software platform across the organization. </w:t>
      </w:r>
    </w:p>
    <w:p w14:paraId="2DF23B32" w14:textId="77777777" w:rsidR="00A1327E" w:rsidRPr="00CD16E5" w:rsidRDefault="00A1327E" w:rsidP="00FE43C4">
      <w:pPr>
        <w:pStyle w:val="BodyTextMain"/>
        <w:rPr>
          <w:sz w:val="20"/>
        </w:rPr>
      </w:pPr>
    </w:p>
    <w:p w14:paraId="40D5A98E" w14:textId="5D915C16" w:rsidR="00FE43C4" w:rsidRDefault="00FE43C4" w:rsidP="00FE43C4">
      <w:pPr>
        <w:pStyle w:val="BodyTextMain"/>
        <w:rPr>
          <w:spacing w:val="-4"/>
        </w:rPr>
      </w:pPr>
      <w:r w:rsidRPr="00CD16E5">
        <w:rPr>
          <w:spacing w:val="-4"/>
        </w:rPr>
        <w:t>In Nov</w:t>
      </w:r>
      <w:r w:rsidR="00412992" w:rsidRPr="00CD16E5">
        <w:rPr>
          <w:spacing w:val="-4"/>
        </w:rPr>
        <w:t>ember</w:t>
      </w:r>
      <w:r w:rsidRPr="00CD16E5">
        <w:rPr>
          <w:spacing w:val="-4"/>
        </w:rPr>
        <w:t xml:space="preserve"> 2016, a new senior position</w:t>
      </w:r>
      <w:r w:rsidR="00412992" w:rsidRPr="00CD16E5">
        <w:rPr>
          <w:spacing w:val="-4"/>
        </w:rPr>
        <w:t>,</w:t>
      </w:r>
      <w:r w:rsidRPr="00CD16E5">
        <w:rPr>
          <w:spacing w:val="-4"/>
        </w:rPr>
        <w:t xml:space="preserve"> </w:t>
      </w:r>
      <w:r w:rsidR="00412992" w:rsidRPr="00CD16E5">
        <w:rPr>
          <w:spacing w:val="-4"/>
        </w:rPr>
        <w:t>c</w:t>
      </w:r>
      <w:r w:rsidRPr="00CD16E5">
        <w:rPr>
          <w:spacing w:val="-4"/>
        </w:rPr>
        <w:t xml:space="preserve">hief </w:t>
      </w:r>
      <w:r w:rsidR="00412992" w:rsidRPr="00CD16E5">
        <w:rPr>
          <w:spacing w:val="-4"/>
        </w:rPr>
        <w:t>p</w:t>
      </w:r>
      <w:r w:rsidRPr="00CD16E5">
        <w:rPr>
          <w:spacing w:val="-4"/>
        </w:rPr>
        <w:t xml:space="preserve">atient </w:t>
      </w:r>
      <w:r w:rsidR="00412992" w:rsidRPr="00CD16E5">
        <w:rPr>
          <w:spacing w:val="-4"/>
        </w:rPr>
        <w:t>e</w:t>
      </w:r>
      <w:r w:rsidRPr="00CD16E5">
        <w:rPr>
          <w:spacing w:val="-4"/>
        </w:rPr>
        <w:t xml:space="preserve">xperience </w:t>
      </w:r>
      <w:r w:rsidR="00412992" w:rsidRPr="00CD16E5">
        <w:rPr>
          <w:spacing w:val="-4"/>
        </w:rPr>
        <w:t>o</w:t>
      </w:r>
      <w:r w:rsidRPr="00CD16E5">
        <w:rPr>
          <w:spacing w:val="-4"/>
        </w:rPr>
        <w:t>fficer (CPEO)</w:t>
      </w:r>
      <w:r w:rsidR="00412992" w:rsidRPr="00CD16E5">
        <w:rPr>
          <w:spacing w:val="-4"/>
        </w:rPr>
        <w:t>,</w:t>
      </w:r>
      <w:r w:rsidRPr="00CD16E5">
        <w:rPr>
          <w:spacing w:val="-4"/>
        </w:rPr>
        <w:t xml:space="preserve"> was created to drive patient experience and </w:t>
      </w:r>
      <w:r w:rsidR="00412992" w:rsidRPr="00CD16E5">
        <w:rPr>
          <w:spacing w:val="-4"/>
        </w:rPr>
        <w:t>maintain</w:t>
      </w:r>
      <w:r w:rsidRPr="00CD16E5">
        <w:rPr>
          <w:spacing w:val="-4"/>
        </w:rPr>
        <w:t xml:space="preserve"> alignment with the </w:t>
      </w:r>
      <w:r w:rsidR="007B51EE">
        <w:rPr>
          <w:spacing w:val="-4"/>
        </w:rPr>
        <w:t xml:space="preserve">Fortis </w:t>
      </w:r>
      <w:r w:rsidRPr="00CD16E5">
        <w:rPr>
          <w:spacing w:val="-4"/>
        </w:rPr>
        <w:t>vision</w:t>
      </w:r>
      <w:r w:rsidR="00412992" w:rsidRPr="00CD16E5">
        <w:rPr>
          <w:spacing w:val="-4"/>
        </w:rPr>
        <w:t>—“E</w:t>
      </w:r>
      <w:r w:rsidRPr="00CD16E5">
        <w:rPr>
          <w:spacing w:val="-4"/>
        </w:rPr>
        <w:t>ntailing the finest medical skills combined with compassionate patient care</w:t>
      </w:r>
      <w:r w:rsidR="00412992" w:rsidRPr="00CD16E5">
        <w:rPr>
          <w:spacing w:val="-4"/>
        </w:rPr>
        <w:t>.”</w:t>
      </w:r>
      <w:r w:rsidRPr="00CD16E5">
        <w:rPr>
          <w:spacing w:val="-4"/>
        </w:rPr>
        <w:t xml:space="preserve"> Fortis was the only group of hospitals in India to have created </w:t>
      </w:r>
      <w:r w:rsidR="00412992" w:rsidRPr="00CD16E5">
        <w:rPr>
          <w:spacing w:val="-4"/>
        </w:rPr>
        <w:t>such a</w:t>
      </w:r>
      <w:r w:rsidRPr="00CD16E5">
        <w:rPr>
          <w:spacing w:val="-4"/>
        </w:rPr>
        <w:t xml:space="preserve"> position. </w:t>
      </w:r>
      <w:r w:rsidR="005A4975" w:rsidRPr="00CD16E5">
        <w:rPr>
          <w:spacing w:val="-4"/>
        </w:rPr>
        <w:t>T</w:t>
      </w:r>
      <w:r w:rsidRPr="00CD16E5">
        <w:rPr>
          <w:spacing w:val="-4"/>
        </w:rPr>
        <w:t>he welfare officers in the various hospitals reported to the CPEO</w:t>
      </w:r>
      <w:r w:rsidR="005A4975" w:rsidRPr="00CD16E5">
        <w:rPr>
          <w:spacing w:val="-4"/>
        </w:rPr>
        <w:t>, and the CPEO reported to the CEO</w:t>
      </w:r>
      <w:r w:rsidRPr="00CD16E5">
        <w:rPr>
          <w:spacing w:val="-4"/>
        </w:rPr>
        <w:t xml:space="preserve">. </w:t>
      </w:r>
      <w:r w:rsidR="00412992" w:rsidRPr="00CD16E5">
        <w:rPr>
          <w:spacing w:val="-4"/>
        </w:rPr>
        <w:t>It remained</w:t>
      </w:r>
      <w:r w:rsidRPr="00CD16E5">
        <w:rPr>
          <w:spacing w:val="-4"/>
        </w:rPr>
        <w:t xml:space="preserve"> to be seen how the positions of corporate FOS head and CPEO </w:t>
      </w:r>
      <w:r w:rsidR="005A4975" w:rsidRPr="00CD16E5">
        <w:rPr>
          <w:spacing w:val="-4"/>
        </w:rPr>
        <w:t xml:space="preserve">would </w:t>
      </w:r>
      <w:r w:rsidRPr="00CD16E5">
        <w:rPr>
          <w:spacing w:val="-4"/>
        </w:rPr>
        <w:t xml:space="preserve">align themselves at the ground level to achieve the </w:t>
      </w:r>
      <w:r w:rsidR="007B51EE">
        <w:rPr>
          <w:spacing w:val="-4"/>
        </w:rPr>
        <w:t xml:space="preserve">Fortis </w:t>
      </w:r>
      <w:r w:rsidRPr="00CD16E5">
        <w:rPr>
          <w:spacing w:val="-4"/>
        </w:rPr>
        <w:t xml:space="preserve">vision </w:t>
      </w:r>
      <w:r w:rsidR="000903A0">
        <w:rPr>
          <w:spacing w:val="-4"/>
        </w:rPr>
        <w:t xml:space="preserve">of moving </w:t>
      </w:r>
      <w:r w:rsidRPr="00CD16E5">
        <w:rPr>
          <w:spacing w:val="-4"/>
        </w:rPr>
        <w:t>toward patient satisfaction</w:t>
      </w:r>
      <w:r w:rsidR="00412992" w:rsidRPr="00CD16E5">
        <w:rPr>
          <w:spacing w:val="-4"/>
        </w:rPr>
        <w:t>,</w:t>
      </w:r>
      <w:r w:rsidRPr="00CD16E5">
        <w:rPr>
          <w:spacing w:val="-4"/>
        </w:rPr>
        <w:t xml:space="preserve"> in </w:t>
      </w:r>
      <w:r w:rsidR="007B51EE">
        <w:rPr>
          <w:spacing w:val="-4"/>
        </w:rPr>
        <w:t xml:space="preserve">which </w:t>
      </w:r>
      <w:r w:rsidRPr="00CD16E5">
        <w:rPr>
          <w:spacing w:val="-4"/>
        </w:rPr>
        <w:t xml:space="preserve">the focus of </w:t>
      </w:r>
      <w:r w:rsidR="00412992" w:rsidRPr="00CD16E5">
        <w:rPr>
          <w:spacing w:val="-4"/>
        </w:rPr>
        <w:t xml:space="preserve">the </w:t>
      </w:r>
      <w:r w:rsidRPr="00CD16E5">
        <w:rPr>
          <w:spacing w:val="-4"/>
        </w:rPr>
        <w:t>FOS head was on efficiency and standardization</w:t>
      </w:r>
      <w:r w:rsidR="005A4975" w:rsidRPr="00CD16E5">
        <w:rPr>
          <w:spacing w:val="-4"/>
        </w:rPr>
        <w:t>,</w:t>
      </w:r>
      <w:r w:rsidRPr="00CD16E5">
        <w:rPr>
          <w:spacing w:val="-4"/>
        </w:rPr>
        <w:t xml:space="preserve"> and that of </w:t>
      </w:r>
      <w:r w:rsidR="00412992" w:rsidRPr="00CD16E5">
        <w:rPr>
          <w:spacing w:val="-4"/>
        </w:rPr>
        <w:t xml:space="preserve">the </w:t>
      </w:r>
      <w:r w:rsidRPr="00CD16E5">
        <w:rPr>
          <w:spacing w:val="-4"/>
        </w:rPr>
        <w:t>CPEO was on the softer aspects of compassion, warmth</w:t>
      </w:r>
      <w:r w:rsidR="00412992" w:rsidRPr="00CD16E5">
        <w:rPr>
          <w:spacing w:val="-4"/>
        </w:rPr>
        <w:t>,</w:t>
      </w:r>
      <w:r w:rsidRPr="00CD16E5">
        <w:rPr>
          <w:spacing w:val="-4"/>
        </w:rPr>
        <w:t xml:space="preserve"> and care.</w:t>
      </w:r>
    </w:p>
    <w:p w14:paraId="463FFAA1" w14:textId="5E7E14D3" w:rsidR="00A1327E" w:rsidRDefault="00A1327E" w:rsidP="00A1327E">
      <w:pPr>
        <w:pStyle w:val="ExhibitHeading"/>
      </w:pPr>
      <w:r w:rsidRPr="00455280">
        <w:lastRenderedPageBreak/>
        <w:t>EXHIBIT 1: F</w:t>
      </w:r>
      <w:r w:rsidR="006C0476">
        <w:t xml:space="preserve">ortis </w:t>
      </w:r>
      <w:r w:rsidRPr="00455280">
        <w:t>O</w:t>
      </w:r>
      <w:r w:rsidR="006C0476">
        <w:t>perating system</w:t>
      </w:r>
      <w:r w:rsidRPr="00455280">
        <w:t xml:space="preserve"> BOARD SIGNED BY ALL </w:t>
      </w:r>
      <w:r w:rsidR="009771B9">
        <w:t xml:space="preserve">hospital staff </w:t>
      </w:r>
      <w:r w:rsidRPr="00455280">
        <w:t>DURING BOOT CAMP</w:t>
      </w:r>
    </w:p>
    <w:p w14:paraId="1F7EC6EF" w14:textId="77777777" w:rsidR="00A1327E" w:rsidRPr="00455280" w:rsidRDefault="00A1327E" w:rsidP="00A1327E">
      <w:pPr>
        <w:pStyle w:val="ExhibitHeading"/>
      </w:pPr>
    </w:p>
    <w:p w14:paraId="5DA28D7F" w14:textId="77777777" w:rsidR="00A1327E" w:rsidRPr="00455280" w:rsidRDefault="00A1327E" w:rsidP="00A1327E">
      <w:pPr>
        <w:jc w:val="center"/>
      </w:pPr>
      <w:r w:rsidRPr="00455280">
        <w:rPr>
          <w:noProof/>
        </w:rPr>
        <w:drawing>
          <wp:inline distT="0" distB="0" distL="0" distR="0" wp14:anchorId="2D90AAF0" wp14:editId="21FA8C4A">
            <wp:extent cx="5291847" cy="3569446"/>
            <wp:effectExtent l="0" t="0" r="4445" b="0"/>
            <wp:docPr id="2" name="Picture 2" descr="D:\Fortis RN\Delhi Interviews\FOS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ortis RN\Delhi Interviews\FOS board.jpg"/>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l="15552" t="7204" r="7999" b="24018"/>
                    <a:stretch/>
                  </pic:blipFill>
                  <pic:spPr bwMode="auto">
                    <a:xfrm>
                      <a:off x="0" y="0"/>
                      <a:ext cx="5298761" cy="3574109"/>
                    </a:xfrm>
                    <a:prstGeom prst="rect">
                      <a:avLst/>
                    </a:prstGeom>
                    <a:noFill/>
                    <a:ln>
                      <a:noFill/>
                    </a:ln>
                    <a:extLst>
                      <a:ext uri="{53640926-AAD7-44D8-BBD7-CCE9431645EC}">
                        <a14:shadowObscured xmlns:a14="http://schemas.microsoft.com/office/drawing/2010/main"/>
                      </a:ext>
                    </a:extLst>
                  </pic:spPr>
                </pic:pic>
              </a:graphicData>
            </a:graphic>
          </wp:inline>
        </w:drawing>
      </w:r>
    </w:p>
    <w:p w14:paraId="5C7171E7" w14:textId="77777777" w:rsidR="006C0476" w:rsidRDefault="006C0476" w:rsidP="00A1327E">
      <w:pPr>
        <w:rPr>
          <w:rFonts w:ascii="Arial" w:hAnsi="Arial" w:cs="Arial"/>
          <w:sz w:val="17"/>
          <w:szCs w:val="17"/>
        </w:rPr>
      </w:pPr>
    </w:p>
    <w:p w14:paraId="6F0E4AA4" w14:textId="15822E3F" w:rsidR="00A1327E" w:rsidRPr="00455280" w:rsidRDefault="00A1327E" w:rsidP="00A1327E">
      <w:pPr>
        <w:rPr>
          <w:rFonts w:ascii="Arial" w:hAnsi="Arial" w:cs="Arial"/>
          <w:sz w:val="17"/>
          <w:szCs w:val="17"/>
        </w:rPr>
      </w:pPr>
      <w:r w:rsidRPr="00455280">
        <w:rPr>
          <w:rFonts w:ascii="Arial" w:hAnsi="Arial" w:cs="Arial"/>
          <w:sz w:val="17"/>
          <w:szCs w:val="17"/>
        </w:rPr>
        <w:t xml:space="preserve">Source: Company </w:t>
      </w:r>
      <w:r w:rsidR="008817A8">
        <w:rPr>
          <w:rFonts w:ascii="Arial" w:hAnsi="Arial" w:cs="Arial"/>
          <w:sz w:val="17"/>
          <w:szCs w:val="17"/>
        </w:rPr>
        <w:t>files</w:t>
      </w:r>
      <w:r w:rsidR="009771B9">
        <w:rPr>
          <w:rFonts w:ascii="Arial" w:hAnsi="Arial" w:cs="Arial"/>
          <w:sz w:val="17"/>
          <w:szCs w:val="17"/>
        </w:rPr>
        <w:t>.</w:t>
      </w:r>
    </w:p>
    <w:p w14:paraId="125258B6" w14:textId="77777777" w:rsidR="00A1327E" w:rsidRDefault="00A1327E" w:rsidP="00A1327E">
      <w:pPr>
        <w:rPr>
          <w:b/>
        </w:rPr>
      </w:pPr>
    </w:p>
    <w:p w14:paraId="7C21FD94" w14:textId="77777777" w:rsidR="00A1327E" w:rsidRPr="00455280" w:rsidRDefault="00A1327E" w:rsidP="00A1327E">
      <w:pPr>
        <w:rPr>
          <w:b/>
        </w:rPr>
      </w:pPr>
    </w:p>
    <w:p w14:paraId="3F0A1133" w14:textId="7776E856" w:rsidR="00A1327E" w:rsidRPr="00A1327E" w:rsidRDefault="00A1327E" w:rsidP="00A1327E">
      <w:pPr>
        <w:pStyle w:val="ExhibitHeading"/>
      </w:pPr>
      <w:r w:rsidRPr="00A1327E">
        <w:t xml:space="preserve">EXHIBIT 2: </w:t>
      </w:r>
      <w:r w:rsidR="009771B9">
        <w:t>“</w:t>
      </w:r>
      <w:r w:rsidRPr="00A1327E">
        <w:t>MAD OVER DISCHARGES</w:t>
      </w:r>
      <w:r w:rsidR="009771B9">
        <w:t>”</w:t>
      </w:r>
      <w:r w:rsidRPr="00A1327E">
        <w:t xml:space="preserve"> PROJECT AT FMRI, GURGAON</w:t>
      </w:r>
    </w:p>
    <w:p w14:paraId="0042A3E1" w14:textId="77777777" w:rsidR="00A1327E" w:rsidRPr="00455280" w:rsidRDefault="00A1327E" w:rsidP="00A1327E">
      <w:pPr>
        <w:jc w:val="center"/>
        <w:rPr>
          <w:rFonts w:ascii="Arial" w:hAnsi="Arial" w:cs="Arial"/>
          <w:b/>
        </w:rPr>
      </w:pPr>
    </w:p>
    <w:tbl>
      <w:tblPr>
        <w:tblStyle w:val="TableGrid"/>
        <w:tblW w:w="9346" w:type="dxa"/>
        <w:jc w:val="center"/>
        <w:tblLayout w:type="fixed"/>
        <w:tblLook w:val="0600" w:firstRow="0" w:lastRow="0" w:firstColumn="0" w:lastColumn="0" w:noHBand="1" w:noVBand="1"/>
      </w:tblPr>
      <w:tblGrid>
        <w:gridCol w:w="1439"/>
        <w:gridCol w:w="812"/>
        <w:gridCol w:w="736"/>
        <w:gridCol w:w="587"/>
        <w:gridCol w:w="587"/>
        <w:gridCol w:w="640"/>
        <w:gridCol w:w="696"/>
        <w:gridCol w:w="735"/>
        <w:gridCol w:w="709"/>
        <w:gridCol w:w="709"/>
        <w:gridCol w:w="567"/>
        <w:gridCol w:w="567"/>
        <w:gridCol w:w="562"/>
      </w:tblGrid>
      <w:tr w:rsidR="009771B9" w:rsidRPr="00455280" w14:paraId="60AE3C14" w14:textId="77777777" w:rsidTr="00ED24B5">
        <w:trPr>
          <w:trHeight w:val="492"/>
          <w:jc w:val="center"/>
        </w:trPr>
        <w:tc>
          <w:tcPr>
            <w:tcW w:w="1439" w:type="dxa"/>
            <w:tcBorders>
              <w:right w:val="nil"/>
            </w:tcBorders>
            <w:hideMark/>
          </w:tcPr>
          <w:p w14:paraId="179593C1" w14:textId="77777777" w:rsidR="00A1327E" w:rsidRPr="00455280" w:rsidRDefault="00A1327E" w:rsidP="00736A84">
            <w:pPr>
              <w:rPr>
                <w:rFonts w:ascii="Arial" w:hAnsi="Arial" w:cs="Arial"/>
                <w:sz w:val="17"/>
                <w:szCs w:val="17"/>
              </w:rPr>
            </w:pPr>
            <w:r w:rsidRPr="00455280">
              <w:rPr>
                <w:rFonts w:ascii="Arial" w:hAnsi="Arial" w:cs="Arial"/>
                <w:sz w:val="17"/>
                <w:szCs w:val="17"/>
              </w:rPr>
              <w:t> </w:t>
            </w:r>
          </w:p>
        </w:tc>
        <w:tc>
          <w:tcPr>
            <w:tcW w:w="812" w:type="dxa"/>
            <w:tcBorders>
              <w:left w:val="nil"/>
              <w:right w:val="nil"/>
            </w:tcBorders>
            <w:hideMark/>
          </w:tcPr>
          <w:p w14:paraId="6052229D" w14:textId="77777777" w:rsidR="00A1327E" w:rsidRPr="00455280" w:rsidRDefault="00A1327E" w:rsidP="00736A84">
            <w:pPr>
              <w:rPr>
                <w:rFonts w:ascii="Arial" w:hAnsi="Arial" w:cs="Arial"/>
                <w:sz w:val="17"/>
                <w:szCs w:val="17"/>
              </w:rPr>
            </w:pPr>
            <w:r w:rsidRPr="00455280">
              <w:rPr>
                <w:rFonts w:ascii="Arial" w:hAnsi="Arial" w:cs="Arial"/>
                <w:sz w:val="17"/>
                <w:szCs w:val="17"/>
              </w:rPr>
              <w:t> </w:t>
            </w:r>
          </w:p>
        </w:tc>
        <w:tc>
          <w:tcPr>
            <w:tcW w:w="736" w:type="dxa"/>
            <w:tcBorders>
              <w:left w:val="nil"/>
              <w:right w:val="nil"/>
            </w:tcBorders>
            <w:hideMark/>
          </w:tcPr>
          <w:p w14:paraId="4A06BE87" w14:textId="77777777" w:rsidR="00A1327E" w:rsidRPr="00455280" w:rsidRDefault="00A1327E" w:rsidP="00736A84">
            <w:pPr>
              <w:rPr>
                <w:rFonts w:ascii="Arial" w:hAnsi="Arial" w:cs="Arial"/>
                <w:sz w:val="17"/>
                <w:szCs w:val="17"/>
              </w:rPr>
            </w:pPr>
            <w:r w:rsidRPr="00455280">
              <w:rPr>
                <w:rFonts w:ascii="Arial" w:hAnsi="Arial" w:cs="Arial"/>
                <w:sz w:val="17"/>
                <w:szCs w:val="17"/>
              </w:rPr>
              <w:t> </w:t>
            </w:r>
          </w:p>
        </w:tc>
        <w:tc>
          <w:tcPr>
            <w:tcW w:w="587" w:type="dxa"/>
            <w:tcBorders>
              <w:left w:val="nil"/>
              <w:right w:val="nil"/>
            </w:tcBorders>
            <w:hideMark/>
          </w:tcPr>
          <w:p w14:paraId="7FC816C2" w14:textId="77777777" w:rsidR="00A1327E" w:rsidRPr="00455280" w:rsidRDefault="00A1327E" w:rsidP="00736A84">
            <w:pPr>
              <w:rPr>
                <w:rFonts w:ascii="Arial" w:hAnsi="Arial" w:cs="Arial"/>
                <w:sz w:val="17"/>
                <w:szCs w:val="17"/>
              </w:rPr>
            </w:pPr>
            <w:r w:rsidRPr="00455280">
              <w:rPr>
                <w:rFonts w:ascii="Arial" w:hAnsi="Arial" w:cs="Arial"/>
                <w:sz w:val="17"/>
                <w:szCs w:val="17"/>
              </w:rPr>
              <w:t> </w:t>
            </w:r>
          </w:p>
        </w:tc>
        <w:tc>
          <w:tcPr>
            <w:tcW w:w="587" w:type="dxa"/>
            <w:tcBorders>
              <w:left w:val="nil"/>
              <w:right w:val="nil"/>
            </w:tcBorders>
            <w:hideMark/>
          </w:tcPr>
          <w:p w14:paraId="3A1E08E3" w14:textId="77777777" w:rsidR="00A1327E" w:rsidRPr="00455280" w:rsidRDefault="00A1327E" w:rsidP="00736A84">
            <w:pPr>
              <w:rPr>
                <w:rFonts w:ascii="Arial" w:hAnsi="Arial" w:cs="Arial"/>
                <w:sz w:val="17"/>
                <w:szCs w:val="17"/>
              </w:rPr>
            </w:pPr>
            <w:r w:rsidRPr="00455280">
              <w:rPr>
                <w:rFonts w:ascii="Arial" w:hAnsi="Arial" w:cs="Arial"/>
                <w:sz w:val="17"/>
                <w:szCs w:val="17"/>
              </w:rPr>
              <w:t> </w:t>
            </w:r>
          </w:p>
        </w:tc>
        <w:tc>
          <w:tcPr>
            <w:tcW w:w="640" w:type="dxa"/>
            <w:tcBorders>
              <w:left w:val="nil"/>
              <w:right w:val="nil"/>
            </w:tcBorders>
            <w:hideMark/>
          </w:tcPr>
          <w:p w14:paraId="2D47C269" w14:textId="77777777" w:rsidR="00A1327E" w:rsidRPr="00B44491" w:rsidRDefault="00A1327E" w:rsidP="00736A84">
            <w:pPr>
              <w:jc w:val="center"/>
              <w:rPr>
                <w:rFonts w:ascii="Arial" w:hAnsi="Arial" w:cs="Arial"/>
                <w:b/>
                <w:sz w:val="17"/>
                <w:szCs w:val="17"/>
              </w:rPr>
            </w:pPr>
            <w:r w:rsidRPr="00B44491">
              <w:rPr>
                <w:rFonts w:ascii="Arial" w:hAnsi="Arial" w:cs="Arial"/>
                <w:b/>
                <w:sz w:val="17"/>
                <w:szCs w:val="17"/>
              </w:rPr>
              <w:t> </w:t>
            </w:r>
          </w:p>
        </w:tc>
        <w:tc>
          <w:tcPr>
            <w:tcW w:w="2849" w:type="dxa"/>
            <w:gridSpan w:val="4"/>
            <w:tcBorders>
              <w:left w:val="nil"/>
              <w:right w:val="nil"/>
            </w:tcBorders>
            <w:hideMark/>
          </w:tcPr>
          <w:p w14:paraId="34F9F6BC" w14:textId="2C868D43" w:rsidR="00A1327E" w:rsidRPr="00B44491" w:rsidRDefault="00A1327E" w:rsidP="006C0476">
            <w:pPr>
              <w:spacing w:before="120"/>
              <w:rPr>
                <w:rFonts w:ascii="Arial" w:hAnsi="Arial" w:cs="Arial"/>
                <w:b/>
                <w:sz w:val="17"/>
                <w:szCs w:val="17"/>
              </w:rPr>
            </w:pPr>
            <w:r w:rsidRPr="00B44491">
              <w:rPr>
                <w:rFonts w:ascii="Arial" w:hAnsi="Arial" w:cs="Arial"/>
                <w:b/>
                <w:sz w:val="17"/>
                <w:szCs w:val="17"/>
              </w:rPr>
              <w:t>P</w:t>
            </w:r>
            <w:r w:rsidR="007B51EE">
              <w:rPr>
                <w:rFonts w:ascii="Arial" w:hAnsi="Arial" w:cs="Arial"/>
                <w:b/>
                <w:sz w:val="17"/>
                <w:szCs w:val="17"/>
              </w:rPr>
              <w:t>ilot Phase</w:t>
            </w:r>
          </w:p>
        </w:tc>
        <w:tc>
          <w:tcPr>
            <w:tcW w:w="567" w:type="dxa"/>
            <w:tcBorders>
              <w:left w:val="nil"/>
              <w:right w:val="nil"/>
            </w:tcBorders>
            <w:hideMark/>
          </w:tcPr>
          <w:p w14:paraId="747B53CC" w14:textId="77777777" w:rsidR="00A1327E" w:rsidRPr="00B44491" w:rsidRDefault="00A1327E" w:rsidP="00736A84">
            <w:pPr>
              <w:jc w:val="center"/>
              <w:rPr>
                <w:rFonts w:ascii="Arial" w:hAnsi="Arial" w:cs="Arial"/>
                <w:b/>
                <w:sz w:val="17"/>
                <w:szCs w:val="17"/>
              </w:rPr>
            </w:pPr>
            <w:r w:rsidRPr="00B44491">
              <w:rPr>
                <w:rFonts w:ascii="Arial" w:hAnsi="Arial" w:cs="Arial"/>
                <w:b/>
                <w:sz w:val="17"/>
                <w:szCs w:val="17"/>
              </w:rPr>
              <w:t> </w:t>
            </w:r>
          </w:p>
        </w:tc>
        <w:tc>
          <w:tcPr>
            <w:tcW w:w="567" w:type="dxa"/>
            <w:tcBorders>
              <w:left w:val="nil"/>
              <w:right w:val="nil"/>
            </w:tcBorders>
            <w:hideMark/>
          </w:tcPr>
          <w:p w14:paraId="3A4AC095" w14:textId="77777777" w:rsidR="00A1327E" w:rsidRPr="00B44491" w:rsidRDefault="00A1327E" w:rsidP="00736A84">
            <w:pPr>
              <w:jc w:val="center"/>
              <w:rPr>
                <w:rFonts w:ascii="Arial" w:hAnsi="Arial" w:cs="Arial"/>
                <w:b/>
                <w:sz w:val="17"/>
                <w:szCs w:val="17"/>
              </w:rPr>
            </w:pPr>
            <w:r w:rsidRPr="00B44491">
              <w:rPr>
                <w:rFonts w:ascii="Arial" w:hAnsi="Arial" w:cs="Arial"/>
                <w:b/>
                <w:sz w:val="17"/>
                <w:szCs w:val="17"/>
              </w:rPr>
              <w:t> </w:t>
            </w:r>
          </w:p>
        </w:tc>
        <w:tc>
          <w:tcPr>
            <w:tcW w:w="562" w:type="dxa"/>
            <w:tcBorders>
              <w:left w:val="nil"/>
            </w:tcBorders>
            <w:hideMark/>
          </w:tcPr>
          <w:p w14:paraId="60CAD730" w14:textId="77777777" w:rsidR="00A1327E" w:rsidRPr="00B44491" w:rsidRDefault="00A1327E" w:rsidP="00736A84">
            <w:pPr>
              <w:jc w:val="center"/>
              <w:rPr>
                <w:rFonts w:ascii="Arial" w:hAnsi="Arial" w:cs="Arial"/>
                <w:b/>
                <w:sz w:val="17"/>
                <w:szCs w:val="17"/>
              </w:rPr>
            </w:pPr>
            <w:r w:rsidRPr="00B44491">
              <w:rPr>
                <w:rFonts w:ascii="Arial" w:hAnsi="Arial" w:cs="Arial"/>
                <w:b/>
                <w:sz w:val="17"/>
                <w:szCs w:val="17"/>
              </w:rPr>
              <w:t> </w:t>
            </w:r>
          </w:p>
        </w:tc>
      </w:tr>
      <w:tr w:rsidR="009771B9" w:rsidRPr="00455280" w14:paraId="305DE795" w14:textId="77777777" w:rsidTr="00ED24B5">
        <w:trPr>
          <w:trHeight w:val="537"/>
          <w:jc w:val="center"/>
        </w:trPr>
        <w:tc>
          <w:tcPr>
            <w:tcW w:w="1439" w:type="dxa"/>
            <w:hideMark/>
          </w:tcPr>
          <w:p w14:paraId="1743BDD5" w14:textId="77777777" w:rsidR="00A1327E" w:rsidRPr="00455280" w:rsidRDefault="00A1327E" w:rsidP="00736A84">
            <w:pPr>
              <w:jc w:val="center"/>
              <w:rPr>
                <w:rFonts w:ascii="Arial" w:hAnsi="Arial" w:cs="Arial"/>
                <w:b/>
                <w:sz w:val="17"/>
                <w:szCs w:val="17"/>
              </w:rPr>
            </w:pPr>
            <w:r w:rsidRPr="00455280">
              <w:rPr>
                <w:rFonts w:ascii="Arial" w:hAnsi="Arial" w:cs="Arial"/>
                <w:b/>
                <w:sz w:val="17"/>
                <w:szCs w:val="17"/>
              </w:rPr>
              <w:t>Metric</w:t>
            </w:r>
          </w:p>
        </w:tc>
        <w:tc>
          <w:tcPr>
            <w:tcW w:w="812" w:type="dxa"/>
            <w:hideMark/>
          </w:tcPr>
          <w:p w14:paraId="1CD663CE" w14:textId="77777777" w:rsidR="00A1327E" w:rsidRPr="00455280" w:rsidRDefault="00A1327E" w:rsidP="00736A84">
            <w:pPr>
              <w:jc w:val="center"/>
              <w:rPr>
                <w:rFonts w:ascii="Arial" w:hAnsi="Arial" w:cs="Arial"/>
                <w:b/>
                <w:sz w:val="17"/>
                <w:szCs w:val="17"/>
              </w:rPr>
            </w:pPr>
            <w:r w:rsidRPr="00455280">
              <w:rPr>
                <w:rFonts w:ascii="Arial" w:hAnsi="Arial" w:cs="Arial"/>
                <w:b/>
                <w:sz w:val="17"/>
                <w:szCs w:val="17"/>
              </w:rPr>
              <w:t>Unit</w:t>
            </w:r>
          </w:p>
        </w:tc>
        <w:tc>
          <w:tcPr>
            <w:tcW w:w="736" w:type="dxa"/>
            <w:hideMark/>
          </w:tcPr>
          <w:p w14:paraId="67BF9DFD" w14:textId="77777777" w:rsidR="00A1327E" w:rsidRPr="00455280" w:rsidRDefault="00A1327E" w:rsidP="00736A84">
            <w:pPr>
              <w:jc w:val="center"/>
              <w:rPr>
                <w:rFonts w:ascii="Arial" w:hAnsi="Arial" w:cs="Arial"/>
                <w:b/>
                <w:sz w:val="17"/>
                <w:szCs w:val="17"/>
              </w:rPr>
            </w:pPr>
            <w:r w:rsidRPr="00455280">
              <w:rPr>
                <w:rFonts w:ascii="Arial" w:hAnsi="Arial" w:cs="Arial"/>
                <w:b/>
                <w:sz w:val="17"/>
                <w:szCs w:val="17"/>
              </w:rPr>
              <w:t>Target</w:t>
            </w:r>
          </w:p>
        </w:tc>
        <w:tc>
          <w:tcPr>
            <w:tcW w:w="587" w:type="dxa"/>
            <w:hideMark/>
          </w:tcPr>
          <w:p w14:paraId="3D1CF00A" w14:textId="77777777" w:rsidR="00A1327E" w:rsidRPr="00455280" w:rsidRDefault="00A1327E" w:rsidP="00736A84">
            <w:pPr>
              <w:jc w:val="center"/>
              <w:rPr>
                <w:rFonts w:ascii="Arial" w:hAnsi="Arial" w:cs="Arial"/>
                <w:b/>
                <w:sz w:val="17"/>
                <w:szCs w:val="17"/>
              </w:rPr>
            </w:pPr>
            <w:r w:rsidRPr="00455280">
              <w:rPr>
                <w:rFonts w:ascii="Arial" w:hAnsi="Arial" w:cs="Arial"/>
                <w:b/>
                <w:sz w:val="17"/>
                <w:szCs w:val="17"/>
              </w:rPr>
              <w:t>July '16</w:t>
            </w:r>
          </w:p>
        </w:tc>
        <w:tc>
          <w:tcPr>
            <w:tcW w:w="587" w:type="dxa"/>
            <w:hideMark/>
          </w:tcPr>
          <w:p w14:paraId="1A319683" w14:textId="77777777" w:rsidR="00A1327E" w:rsidRPr="00455280" w:rsidRDefault="00A1327E" w:rsidP="00736A84">
            <w:pPr>
              <w:jc w:val="center"/>
              <w:rPr>
                <w:rFonts w:ascii="Arial" w:hAnsi="Arial" w:cs="Arial"/>
                <w:b/>
                <w:sz w:val="17"/>
                <w:szCs w:val="17"/>
              </w:rPr>
            </w:pPr>
            <w:r w:rsidRPr="00455280">
              <w:rPr>
                <w:rFonts w:ascii="Arial" w:hAnsi="Arial" w:cs="Arial"/>
                <w:b/>
                <w:sz w:val="17"/>
                <w:szCs w:val="17"/>
              </w:rPr>
              <w:t>Aug '16</w:t>
            </w:r>
          </w:p>
        </w:tc>
        <w:tc>
          <w:tcPr>
            <w:tcW w:w="640" w:type="dxa"/>
            <w:hideMark/>
          </w:tcPr>
          <w:p w14:paraId="7B67E21F" w14:textId="77777777" w:rsidR="00A1327E" w:rsidRPr="00455280" w:rsidRDefault="00A1327E" w:rsidP="00736A84">
            <w:pPr>
              <w:jc w:val="center"/>
              <w:rPr>
                <w:rFonts w:ascii="Arial" w:hAnsi="Arial" w:cs="Arial"/>
                <w:b/>
                <w:sz w:val="17"/>
                <w:szCs w:val="17"/>
              </w:rPr>
            </w:pPr>
            <w:r w:rsidRPr="00455280">
              <w:rPr>
                <w:rFonts w:ascii="Arial" w:hAnsi="Arial" w:cs="Arial"/>
                <w:b/>
                <w:sz w:val="17"/>
                <w:szCs w:val="17"/>
              </w:rPr>
              <w:t>Sept '16</w:t>
            </w:r>
          </w:p>
        </w:tc>
        <w:tc>
          <w:tcPr>
            <w:tcW w:w="696" w:type="dxa"/>
            <w:hideMark/>
          </w:tcPr>
          <w:p w14:paraId="3FE124CD" w14:textId="77777777" w:rsidR="009771B9" w:rsidRDefault="009771B9" w:rsidP="00736A84">
            <w:pPr>
              <w:jc w:val="center"/>
              <w:rPr>
                <w:rFonts w:ascii="Arial" w:hAnsi="Arial" w:cs="Arial"/>
                <w:b/>
                <w:sz w:val="17"/>
                <w:szCs w:val="17"/>
              </w:rPr>
            </w:pPr>
            <w:r>
              <w:rPr>
                <w:rFonts w:ascii="Arial" w:hAnsi="Arial" w:cs="Arial"/>
                <w:b/>
                <w:sz w:val="17"/>
                <w:szCs w:val="17"/>
              </w:rPr>
              <w:t>Oct</w:t>
            </w:r>
          </w:p>
          <w:p w14:paraId="5B5ACADA" w14:textId="799EFD5D" w:rsidR="00A1327E" w:rsidRPr="00455280" w:rsidRDefault="00A1327E" w:rsidP="007A6D74">
            <w:pPr>
              <w:jc w:val="center"/>
              <w:rPr>
                <w:rFonts w:ascii="Arial" w:hAnsi="Arial" w:cs="Arial"/>
                <w:b/>
                <w:sz w:val="17"/>
                <w:szCs w:val="17"/>
              </w:rPr>
            </w:pPr>
            <w:r w:rsidRPr="00B44491">
              <w:rPr>
                <w:rFonts w:ascii="Arial" w:hAnsi="Arial" w:cs="Arial"/>
                <w:b/>
                <w:sz w:val="17"/>
                <w:szCs w:val="17"/>
              </w:rPr>
              <w:t>03</w:t>
            </w:r>
            <w:r w:rsidR="009771B9">
              <w:rPr>
                <w:rFonts w:ascii="Arial" w:hAnsi="Arial" w:cs="Arial"/>
                <w:b/>
                <w:sz w:val="17"/>
                <w:szCs w:val="17"/>
              </w:rPr>
              <w:t>–</w:t>
            </w:r>
            <w:r w:rsidRPr="00B44491">
              <w:rPr>
                <w:rFonts w:ascii="Arial" w:hAnsi="Arial" w:cs="Arial"/>
                <w:b/>
                <w:sz w:val="17"/>
                <w:szCs w:val="17"/>
              </w:rPr>
              <w:t xml:space="preserve">09 </w:t>
            </w:r>
          </w:p>
        </w:tc>
        <w:tc>
          <w:tcPr>
            <w:tcW w:w="735" w:type="dxa"/>
            <w:hideMark/>
          </w:tcPr>
          <w:p w14:paraId="23F31A22" w14:textId="77777777" w:rsidR="009771B9" w:rsidRDefault="009771B9" w:rsidP="00736A84">
            <w:pPr>
              <w:jc w:val="center"/>
              <w:rPr>
                <w:rFonts w:ascii="Arial" w:hAnsi="Arial" w:cs="Arial"/>
                <w:b/>
                <w:sz w:val="17"/>
                <w:szCs w:val="17"/>
              </w:rPr>
            </w:pPr>
            <w:r>
              <w:rPr>
                <w:rFonts w:ascii="Arial" w:hAnsi="Arial" w:cs="Arial"/>
                <w:b/>
                <w:sz w:val="17"/>
                <w:szCs w:val="17"/>
              </w:rPr>
              <w:t>Oct</w:t>
            </w:r>
          </w:p>
          <w:p w14:paraId="4524F652" w14:textId="144CDCA9" w:rsidR="00A1327E" w:rsidRPr="00455280" w:rsidRDefault="00A1327E" w:rsidP="007A6D74">
            <w:pPr>
              <w:jc w:val="center"/>
              <w:rPr>
                <w:rFonts w:ascii="Arial" w:hAnsi="Arial" w:cs="Arial"/>
                <w:b/>
                <w:sz w:val="17"/>
                <w:szCs w:val="17"/>
              </w:rPr>
            </w:pPr>
            <w:r w:rsidRPr="00B44491">
              <w:rPr>
                <w:rFonts w:ascii="Arial" w:hAnsi="Arial" w:cs="Arial"/>
                <w:b/>
                <w:sz w:val="17"/>
                <w:szCs w:val="17"/>
              </w:rPr>
              <w:t>10</w:t>
            </w:r>
            <w:r w:rsidR="009771B9">
              <w:rPr>
                <w:rFonts w:ascii="Arial" w:hAnsi="Arial" w:cs="Arial"/>
                <w:b/>
                <w:sz w:val="17"/>
                <w:szCs w:val="17"/>
              </w:rPr>
              <w:t>–</w:t>
            </w:r>
            <w:r w:rsidRPr="00B44491">
              <w:rPr>
                <w:rFonts w:ascii="Arial" w:hAnsi="Arial" w:cs="Arial"/>
                <w:b/>
                <w:sz w:val="17"/>
                <w:szCs w:val="17"/>
              </w:rPr>
              <w:t xml:space="preserve">16 </w:t>
            </w:r>
          </w:p>
        </w:tc>
        <w:tc>
          <w:tcPr>
            <w:tcW w:w="709" w:type="dxa"/>
            <w:hideMark/>
          </w:tcPr>
          <w:p w14:paraId="35A9F91A" w14:textId="77777777" w:rsidR="009771B9" w:rsidRDefault="009771B9" w:rsidP="00736A84">
            <w:pPr>
              <w:jc w:val="center"/>
              <w:rPr>
                <w:rFonts w:ascii="Arial" w:hAnsi="Arial" w:cs="Arial"/>
                <w:b/>
                <w:sz w:val="17"/>
                <w:szCs w:val="17"/>
              </w:rPr>
            </w:pPr>
            <w:r>
              <w:rPr>
                <w:rFonts w:ascii="Arial" w:hAnsi="Arial" w:cs="Arial"/>
                <w:b/>
                <w:sz w:val="17"/>
                <w:szCs w:val="17"/>
              </w:rPr>
              <w:t>Oct</w:t>
            </w:r>
          </w:p>
          <w:p w14:paraId="360A7B8F" w14:textId="6E4B5654" w:rsidR="00A1327E" w:rsidRPr="00455280" w:rsidRDefault="00A1327E" w:rsidP="007A6D74">
            <w:pPr>
              <w:jc w:val="center"/>
              <w:rPr>
                <w:rFonts w:ascii="Arial" w:hAnsi="Arial" w:cs="Arial"/>
                <w:b/>
                <w:sz w:val="17"/>
                <w:szCs w:val="17"/>
              </w:rPr>
            </w:pPr>
            <w:r w:rsidRPr="00B44491">
              <w:rPr>
                <w:rFonts w:ascii="Arial" w:hAnsi="Arial" w:cs="Arial"/>
                <w:b/>
                <w:sz w:val="17"/>
                <w:szCs w:val="17"/>
              </w:rPr>
              <w:t>17</w:t>
            </w:r>
            <w:r w:rsidR="009771B9">
              <w:rPr>
                <w:rFonts w:ascii="Arial" w:hAnsi="Arial" w:cs="Arial"/>
                <w:b/>
                <w:sz w:val="17"/>
                <w:szCs w:val="17"/>
              </w:rPr>
              <w:t>–</w:t>
            </w:r>
            <w:r w:rsidRPr="00B44491">
              <w:rPr>
                <w:rFonts w:ascii="Arial" w:hAnsi="Arial" w:cs="Arial"/>
                <w:b/>
                <w:sz w:val="17"/>
                <w:szCs w:val="17"/>
              </w:rPr>
              <w:t xml:space="preserve">23 </w:t>
            </w:r>
          </w:p>
        </w:tc>
        <w:tc>
          <w:tcPr>
            <w:tcW w:w="709" w:type="dxa"/>
            <w:hideMark/>
          </w:tcPr>
          <w:p w14:paraId="309CF260" w14:textId="77777777" w:rsidR="009771B9" w:rsidRDefault="009771B9" w:rsidP="00736A84">
            <w:pPr>
              <w:jc w:val="center"/>
              <w:rPr>
                <w:rFonts w:ascii="Arial" w:hAnsi="Arial" w:cs="Arial"/>
                <w:b/>
                <w:sz w:val="17"/>
                <w:szCs w:val="17"/>
              </w:rPr>
            </w:pPr>
            <w:r>
              <w:rPr>
                <w:rFonts w:ascii="Arial" w:hAnsi="Arial" w:cs="Arial"/>
                <w:b/>
                <w:sz w:val="17"/>
                <w:szCs w:val="17"/>
              </w:rPr>
              <w:t>Oct</w:t>
            </w:r>
          </w:p>
          <w:p w14:paraId="4B32F9A3" w14:textId="2148496C" w:rsidR="00A1327E" w:rsidRPr="00455280" w:rsidRDefault="00A1327E" w:rsidP="007A6D74">
            <w:pPr>
              <w:jc w:val="center"/>
              <w:rPr>
                <w:rFonts w:ascii="Arial" w:hAnsi="Arial" w:cs="Arial"/>
                <w:b/>
                <w:sz w:val="17"/>
                <w:szCs w:val="17"/>
              </w:rPr>
            </w:pPr>
            <w:r w:rsidRPr="00B44491">
              <w:rPr>
                <w:rFonts w:ascii="Arial" w:hAnsi="Arial" w:cs="Arial"/>
                <w:b/>
                <w:sz w:val="17"/>
                <w:szCs w:val="17"/>
              </w:rPr>
              <w:t>24</w:t>
            </w:r>
            <w:r w:rsidR="009771B9">
              <w:rPr>
                <w:rFonts w:ascii="Arial" w:hAnsi="Arial" w:cs="Arial"/>
                <w:b/>
                <w:sz w:val="17"/>
                <w:szCs w:val="17"/>
              </w:rPr>
              <w:t>–</w:t>
            </w:r>
            <w:r w:rsidRPr="00B44491">
              <w:rPr>
                <w:rFonts w:ascii="Arial" w:hAnsi="Arial" w:cs="Arial"/>
                <w:b/>
                <w:sz w:val="17"/>
                <w:szCs w:val="17"/>
              </w:rPr>
              <w:t xml:space="preserve">30 </w:t>
            </w:r>
          </w:p>
        </w:tc>
        <w:tc>
          <w:tcPr>
            <w:tcW w:w="567" w:type="dxa"/>
            <w:hideMark/>
          </w:tcPr>
          <w:p w14:paraId="7D9FB023" w14:textId="77777777" w:rsidR="00A1327E" w:rsidRPr="00455280" w:rsidRDefault="00A1327E" w:rsidP="00736A84">
            <w:pPr>
              <w:jc w:val="center"/>
              <w:rPr>
                <w:rFonts w:ascii="Arial" w:hAnsi="Arial" w:cs="Arial"/>
                <w:b/>
                <w:sz w:val="17"/>
                <w:szCs w:val="17"/>
              </w:rPr>
            </w:pPr>
            <w:r w:rsidRPr="00455280">
              <w:rPr>
                <w:rFonts w:ascii="Arial" w:hAnsi="Arial" w:cs="Arial"/>
                <w:b/>
                <w:sz w:val="17"/>
                <w:szCs w:val="17"/>
              </w:rPr>
              <w:t>Oct '16</w:t>
            </w:r>
          </w:p>
        </w:tc>
        <w:tc>
          <w:tcPr>
            <w:tcW w:w="567" w:type="dxa"/>
            <w:hideMark/>
          </w:tcPr>
          <w:p w14:paraId="72352B51" w14:textId="77777777" w:rsidR="00A1327E" w:rsidRPr="00455280" w:rsidRDefault="00A1327E" w:rsidP="00736A84">
            <w:pPr>
              <w:jc w:val="center"/>
              <w:rPr>
                <w:rFonts w:ascii="Arial" w:hAnsi="Arial" w:cs="Arial"/>
                <w:b/>
                <w:sz w:val="17"/>
                <w:szCs w:val="17"/>
              </w:rPr>
            </w:pPr>
            <w:r w:rsidRPr="00455280">
              <w:rPr>
                <w:rFonts w:ascii="Arial" w:hAnsi="Arial" w:cs="Arial"/>
                <w:b/>
                <w:sz w:val="17"/>
                <w:szCs w:val="17"/>
              </w:rPr>
              <w:t>Nov '16</w:t>
            </w:r>
          </w:p>
        </w:tc>
        <w:tc>
          <w:tcPr>
            <w:tcW w:w="562" w:type="dxa"/>
            <w:hideMark/>
          </w:tcPr>
          <w:p w14:paraId="7CCBC552" w14:textId="77777777" w:rsidR="00A1327E" w:rsidRPr="00455280" w:rsidRDefault="00A1327E" w:rsidP="00736A84">
            <w:pPr>
              <w:jc w:val="center"/>
              <w:rPr>
                <w:rFonts w:ascii="Arial" w:hAnsi="Arial" w:cs="Arial"/>
                <w:b/>
                <w:sz w:val="17"/>
                <w:szCs w:val="17"/>
              </w:rPr>
            </w:pPr>
            <w:r w:rsidRPr="00455280">
              <w:rPr>
                <w:rFonts w:ascii="Arial" w:hAnsi="Arial" w:cs="Arial"/>
                <w:b/>
                <w:sz w:val="17"/>
                <w:szCs w:val="17"/>
              </w:rPr>
              <w:t>Dec '16</w:t>
            </w:r>
          </w:p>
        </w:tc>
      </w:tr>
      <w:tr w:rsidR="009771B9" w:rsidRPr="00455280" w14:paraId="3AFDAA41" w14:textId="77777777" w:rsidTr="00ED24B5">
        <w:trPr>
          <w:trHeight w:val="366"/>
          <w:jc w:val="center"/>
        </w:trPr>
        <w:tc>
          <w:tcPr>
            <w:tcW w:w="1439" w:type="dxa"/>
            <w:hideMark/>
          </w:tcPr>
          <w:p w14:paraId="1D89FE4C" w14:textId="6D35841B" w:rsidR="00A1327E" w:rsidRPr="00455280" w:rsidRDefault="009771B9" w:rsidP="007A6D74">
            <w:pPr>
              <w:rPr>
                <w:rFonts w:ascii="Arial" w:hAnsi="Arial" w:cs="Arial"/>
                <w:b/>
                <w:sz w:val="17"/>
                <w:szCs w:val="17"/>
              </w:rPr>
            </w:pPr>
            <w:r>
              <w:rPr>
                <w:rFonts w:ascii="Arial" w:hAnsi="Arial" w:cs="Arial"/>
                <w:b/>
                <w:sz w:val="17"/>
                <w:szCs w:val="17"/>
              </w:rPr>
              <w:t>D</w:t>
            </w:r>
            <w:r w:rsidR="00A1327E" w:rsidRPr="00455280">
              <w:rPr>
                <w:rFonts w:ascii="Arial" w:hAnsi="Arial" w:cs="Arial"/>
                <w:b/>
                <w:sz w:val="17"/>
                <w:szCs w:val="17"/>
              </w:rPr>
              <w:t>ischarges planned</w:t>
            </w:r>
          </w:p>
        </w:tc>
        <w:tc>
          <w:tcPr>
            <w:tcW w:w="812" w:type="dxa"/>
            <w:hideMark/>
          </w:tcPr>
          <w:p w14:paraId="51ED61CE"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w:t>
            </w:r>
          </w:p>
        </w:tc>
        <w:tc>
          <w:tcPr>
            <w:tcW w:w="736" w:type="dxa"/>
            <w:hideMark/>
          </w:tcPr>
          <w:p w14:paraId="1ACDFE85" w14:textId="3919F1C6" w:rsidR="00A1327E" w:rsidRPr="00455280" w:rsidRDefault="00A1327E" w:rsidP="00ED24B5">
            <w:pPr>
              <w:jc w:val="center"/>
              <w:rPr>
                <w:rFonts w:ascii="Arial" w:hAnsi="Arial" w:cs="Arial"/>
                <w:sz w:val="17"/>
                <w:szCs w:val="17"/>
              </w:rPr>
            </w:pPr>
            <w:r w:rsidRPr="00455280">
              <w:rPr>
                <w:rFonts w:ascii="Arial" w:hAnsi="Arial" w:cs="Arial"/>
                <w:sz w:val="17"/>
                <w:szCs w:val="17"/>
              </w:rPr>
              <w:t>85</w:t>
            </w:r>
          </w:p>
        </w:tc>
        <w:tc>
          <w:tcPr>
            <w:tcW w:w="587" w:type="dxa"/>
            <w:hideMark/>
          </w:tcPr>
          <w:p w14:paraId="6BA9F042" w14:textId="335D1D69" w:rsidR="00A1327E" w:rsidRPr="00455280" w:rsidRDefault="00A1327E" w:rsidP="00ED24B5">
            <w:pPr>
              <w:jc w:val="center"/>
              <w:rPr>
                <w:rFonts w:ascii="Arial" w:hAnsi="Arial" w:cs="Arial"/>
                <w:sz w:val="17"/>
                <w:szCs w:val="17"/>
              </w:rPr>
            </w:pPr>
            <w:r w:rsidRPr="00455280">
              <w:rPr>
                <w:rFonts w:ascii="Arial" w:hAnsi="Arial" w:cs="Arial"/>
                <w:sz w:val="17"/>
                <w:szCs w:val="17"/>
              </w:rPr>
              <w:t>66</w:t>
            </w:r>
          </w:p>
        </w:tc>
        <w:tc>
          <w:tcPr>
            <w:tcW w:w="587" w:type="dxa"/>
            <w:hideMark/>
          </w:tcPr>
          <w:p w14:paraId="7172F9CD" w14:textId="163E0EE0" w:rsidR="00A1327E" w:rsidRPr="00455280" w:rsidRDefault="00A1327E" w:rsidP="00ED24B5">
            <w:pPr>
              <w:jc w:val="center"/>
              <w:rPr>
                <w:rFonts w:ascii="Arial" w:hAnsi="Arial" w:cs="Arial"/>
                <w:sz w:val="17"/>
                <w:szCs w:val="17"/>
              </w:rPr>
            </w:pPr>
            <w:r w:rsidRPr="00455280">
              <w:rPr>
                <w:rFonts w:ascii="Arial" w:hAnsi="Arial" w:cs="Arial"/>
                <w:sz w:val="17"/>
                <w:szCs w:val="17"/>
              </w:rPr>
              <w:t>63</w:t>
            </w:r>
          </w:p>
        </w:tc>
        <w:tc>
          <w:tcPr>
            <w:tcW w:w="640" w:type="dxa"/>
            <w:hideMark/>
          </w:tcPr>
          <w:p w14:paraId="62E627FB" w14:textId="65CD7706" w:rsidR="00A1327E" w:rsidRPr="00455280" w:rsidRDefault="00A1327E" w:rsidP="00ED24B5">
            <w:pPr>
              <w:jc w:val="center"/>
              <w:rPr>
                <w:rFonts w:ascii="Arial" w:hAnsi="Arial" w:cs="Arial"/>
                <w:sz w:val="17"/>
                <w:szCs w:val="17"/>
              </w:rPr>
            </w:pPr>
            <w:r w:rsidRPr="00455280">
              <w:rPr>
                <w:rFonts w:ascii="Arial" w:hAnsi="Arial" w:cs="Arial"/>
                <w:sz w:val="17"/>
                <w:szCs w:val="17"/>
              </w:rPr>
              <w:t>62</w:t>
            </w:r>
          </w:p>
        </w:tc>
        <w:tc>
          <w:tcPr>
            <w:tcW w:w="696" w:type="dxa"/>
            <w:hideMark/>
          </w:tcPr>
          <w:p w14:paraId="3298A16D" w14:textId="165BFE3E" w:rsidR="00A1327E" w:rsidRPr="00455280" w:rsidRDefault="00A1327E" w:rsidP="00ED24B5">
            <w:pPr>
              <w:jc w:val="center"/>
              <w:rPr>
                <w:rFonts w:ascii="Arial" w:hAnsi="Arial" w:cs="Arial"/>
                <w:sz w:val="17"/>
                <w:szCs w:val="17"/>
              </w:rPr>
            </w:pPr>
            <w:r w:rsidRPr="00455280">
              <w:rPr>
                <w:rFonts w:ascii="Arial" w:hAnsi="Arial" w:cs="Arial"/>
                <w:sz w:val="17"/>
                <w:szCs w:val="17"/>
              </w:rPr>
              <w:t>69</w:t>
            </w:r>
          </w:p>
        </w:tc>
        <w:tc>
          <w:tcPr>
            <w:tcW w:w="735" w:type="dxa"/>
            <w:hideMark/>
          </w:tcPr>
          <w:p w14:paraId="247592E3" w14:textId="62355AED" w:rsidR="00A1327E" w:rsidRPr="00455280" w:rsidRDefault="00A1327E" w:rsidP="00ED24B5">
            <w:pPr>
              <w:jc w:val="center"/>
              <w:rPr>
                <w:rFonts w:ascii="Arial" w:hAnsi="Arial" w:cs="Arial"/>
                <w:sz w:val="17"/>
                <w:szCs w:val="17"/>
              </w:rPr>
            </w:pPr>
            <w:r w:rsidRPr="00455280">
              <w:rPr>
                <w:rFonts w:ascii="Arial" w:hAnsi="Arial" w:cs="Arial"/>
                <w:sz w:val="17"/>
                <w:szCs w:val="17"/>
              </w:rPr>
              <w:t>65</w:t>
            </w:r>
          </w:p>
        </w:tc>
        <w:tc>
          <w:tcPr>
            <w:tcW w:w="709" w:type="dxa"/>
            <w:hideMark/>
          </w:tcPr>
          <w:p w14:paraId="4D90E275" w14:textId="33EE1E19" w:rsidR="00A1327E" w:rsidRPr="00455280" w:rsidRDefault="00A1327E" w:rsidP="00ED24B5">
            <w:pPr>
              <w:jc w:val="center"/>
              <w:rPr>
                <w:rFonts w:ascii="Arial" w:hAnsi="Arial" w:cs="Arial"/>
                <w:sz w:val="17"/>
                <w:szCs w:val="17"/>
              </w:rPr>
            </w:pPr>
            <w:r w:rsidRPr="00455280">
              <w:rPr>
                <w:rFonts w:ascii="Arial" w:hAnsi="Arial" w:cs="Arial"/>
                <w:sz w:val="17"/>
                <w:szCs w:val="17"/>
              </w:rPr>
              <w:t>73</w:t>
            </w:r>
          </w:p>
        </w:tc>
        <w:tc>
          <w:tcPr>
            <w:tcW w:w="709" w:type="dxa"/>
            <w:hideMark/>
          </w:tcPr>
          <w:p w14:paraId="4A4C9418" w14:textId="5105836B" w:rsidR="00A1327E" w:rsidRPr="00455280" w:rsidRDefault="00A1327E" w:rsidP="00ED24B5">
            <w:pPr>
              <w:jc w:val="center"/>
              <w:rPr>
                <w:rFonts w:ascii="Arial" w:hAnsi="Arial" w:cs="Arial"/>
                <w:sz w:val="17"/>
                <w:szCs w:val="17"/>
              </w:rPr>
            </w:pPr>
            <w:r w:rsidRPr="00455280">
              <w:rPr>
                <w:rFonts w:ascii="Arial" w:hAnsi="Arial" w:cs="Arial"/>
                <w:sz w:val="17"/>
                <w:szCs w:val="17"/>
              </w:rPr>
              <w:t>72</w:t>
            </w:r>
          </w:p>
        </w:tc>
        <w:tc>
          <w:tcPr>
            <w:tcW w:w="567" w:type="dxa"/>
            <w:hideMark/>
          </w:tcPr>
          <w:p w14:paraId="76DA44A4" w14:textId="5B8F6DA5" w:rsidR="00A1327E" w:rsidRPr="00455280" w:rsidRDefault="00A1327E" w:rsidP="00ED24B5">
            <w:pPr>
              <w:jc w:val="center"/>
              <w:rPr>
                <w:rFonts w:ascii="Arial" w:hAnsi="Arial" w:cs="Arial"/>
                <w:sz w:val="17"/>
                <w:szCs w:val="17"/>
              </w:rPr>
            </w:pPr>
            <w:r w:rsidRPr="00455280">
              <w:rPr>
                <w:rFonts w:ascii="Arial" w:hAnsi="Arial" w:cs="Arial"/>
                <w:sz w:val="17"/>
                <w:szCs w:val="17"/>
              </w:rPr>
              <w:t>70</w:t>
            </w:r>
          </w:p>
        </w:tc>
        <w:tc>
          <w:tcPr>
            <w:tcW w:w="567" w:type="dxa"/>
            <w:hideMark/>
          </w:tcPr>
          <w:p w14:paraId="2E88454F" w14:textId="286E419D" w:rsidR="00A1327E" w:rsidRPr="00455280" w:rsidRDefault="00A1327E" w:rsidP="00ED24B5">
            <w:pPr>
              <w:jc w:val="center"/>
              <w:rPr>
                <w:rFonts w:ascii="Arial" w:hAnsi="Arial" w:cs="Arial"/>
                <w:sz w:val="17"/>
                <w:szCs w:val="17"/>
              </w:rPr>
            </w:pPr>
            <w:r w:rsidRPr="00455280">
              <w:rPr>
                <w:rFonts w:ascii="Arial" w:hAnsi="Arial" w:cs="Arial"/>
                <w:sz w:val="17"/>
                <w:szCs w:val="17"/>
              </w:rPr>
              <w:t>71</w:t>
            </w:r>
          </w:p>
        </w:tc>
        <w:tc>
          <w:tcPr>
            <w:tcW w:w="562" w:type="dxa"/>
            <w:hideMark/>
          </w:tcPr>
          <w:p w14:paraId="3CD7B9BF" w14:textId="28D7E261" w:rsidR="00A1327E" w:rsidRPr="00455280" w:rsidRDefault="00A1327E" w:rsidP="00ED24B5">
            <w:pPr>
              <w:jc w:val="center"/>
              <w:rPr>
                <w:rFonts w:ascii="Arial" w:hAnsi="Arial" w:cs="Arial"/>
                <w:sz w:val="17"/>
                <w:szCs w:val="17"/>
              </w:rPr>
            </w:pPr>
            <w:r w:rsidRPr="00455280">
              <w:rPr>
                <w:rFonts w:ascii="Arial" w:hAnsi="Arial" w:cs="Arial"/>
                <w:sz w:val="17"/>
                <w:szCs w:val="17"/>
              </w:rPr>
              <w:t>75</w:t>
            </w:r>
          </w:p>
        </w:tc>
      </w:tr>
      <w:tr w:rsidR="009771B9" w:rsidRPr="00455280" w14:paraId="2C0A0D02" w14:textId="77777777" w:rsidTr="00ED24B5">
        <w:trPr>
          <w:trHeight w:val="366"/>
          <w:jc w:val="center"/>
        </w:trPr>
        <w:tc>
          <w:tcPr>
            <w:tcW w:w="1439" w:type="dxa"/>
            <w:hideMark/>
          </w:tcPr>
          <w:p w14:paraId="30795F99" w14:textId="7D145B82" w:rsidR="00A1327E" w:rsidRPr="00455280" w:rsidRDefault="00A1327E" w:rsidP="007A6D74">
            <w:pPr>
              <w:rPr>
                <w:rFonts w:ascii="Arial" w:hAnsi="Arial" w:cs="Arial"/>
                <w:b/>
                <w:sz w:val="17"/>
                <w:szCs w:val="17"/>
              </w:rPr>
            </w:pPr>
            <w:r w:rsidRPr="00455280">
              <w:rPr>
                <w:rFonts w:ascii="Arial" w:hAnsi="Arial" w:cs="Arial"/>
                <w:b/>
                <w:sz w:val="17"/>
                <w:szCs w:val="17"/>
              </w:rPr>
              <w:t>Length of discharge process (</w:t>
            </w:r>
            <w:r w:rsidR="009771B9">
              <w:rPr>
                <w:rFonts w:ascii="Arial" w:hAnsi="Arial" w:cs="Arial"/>
                <w:b/>
                <w:sz w:val="17"/>
                <w:szCs w:val="17"/>
              </w:rPr>
              <w:t>c</w:t>
            </w:r>
            <w:r w:rsidRPr="00455280">
              <w:rPr>
                <w:rFonts w:ascii="Arial" w:hAnsi="Arial" w:cs="Arial"/>
                <w:b/>
                <w:sz w:val="17"/>
                <w:szCs w:val="17"/>
              </w:rPr>
              <w:t>ash)</w:t>
            </w:r>
          </w:p>
        </w:tc>
        <w:tc>
          <w:tcPr>
            <w:tcW w:w="812" w:type="dxa"/>
            <w:hideMark/>
          </w:tcPr>
          <w:p w14:paraId="3B553E35" w14:textId="0490DC9F" w:rsidR="00A1327E" w:rsidRPr="00455280" w:rsidRDefault="00A1327E" w:rsidP="00ED24B5">
            <w:pPr>
              <w:jc w:val="center"/>
              <w:rPr>
                <w:rFonts w:ascii="Arial" w:hAnsi="Arial" w:cs="Arial"/>
                <w:sz w:val="17"/>
                <w:szCs w:val="17"/>
              </w:rPr>
            </w:pPr>
            <w:r w:rsidRPr="00455280">
              <w:rPr>
                <w:rFonts w:ascii="Arial" w:hAnsi="Arial" w:cs="Arial"/>
                <w:sz w:val="17"/>
                <w:szCs w:val="17"/>
              </w:rPr>
              <w:t>Min</w:t>
            </w:r>
            <w:r w:rsidR="009771B9">
              <w:rPr>
                <w:rFonts w:ascii="Arial" w:hAnsi="Arial" w:cs="Arial"/>
                <w:sz w:val="17"/>
                <w:szCs w:val="17"/>
              </w:rPr>
              <w:t>ute</w:t>
            </w:r>
            <w:r w:rsidRPr="00455280">
              <w:rPr>
                <w:rFonts w:ascii="Arial" w:hAnsi="Arial" w:cs="Arial"/>
                <w:sz w:val="17"/>
                <w:szCs w:val="17"/>
              </w:rPr>
              <w:t>s</w:t>
            </w:r>
          </w:p>
        </w:tc>
        <w:tc>
          <w:tcPr>
            <w:tcW w:w="736" w:type="dxa"/>
            <w:hideMark/>
          </w:tcPr>
          <w:p w14:paraId="504057FC"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90</w:t>
            </w:r>
          </w:p>
        </w:tc>
        <w:tc>
          <w:tcPr>
            <w:tcW w:w="587" w:type="dxa"/>
            <w:hideMark/>
          </w:tcPr>
          <w:p w14:paraId="4F7C4B7E"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185</w:t>
            </w:r>
          </w:p>
        </w:tc>
        <w:tc>
          <w:tcPr>
            <w:tcW w:w="587" w:type="dxa"/>
            <w:hideMark/>
          </w:tcPr>
          <w:p w14:paraId="6E68FEA8"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169</w:t>
            </w:r>
          </w:p>
        </w:tc>
        <w:tc>
          <w:tcPr>
            <w:tcW w:w="640" w:type="dxa"/>
            <w:hideMark/>
          </w:tcPr>
          <w:p w14:paraId="4CFE63B9"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160</w:t>
            </w:r>
          </w:p>
        </w:tc>
        <w:tc>
          <w:tcPr>
            <w:tcW w:w="696" w:type="dxa"/>
            <w:hideMark/>
          </w:tcPr>
          <w:p w14:paraId="5644913D"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110</w:t>
            </w:r>
          </w:p>
        </w:tc>
        <w:tc>
          <w:tcPr>
            <w:tcW w:w="735" w:type="dxa"/>
            <w:hideMark/>
          </w:tcPr>
          <w:p w14:paraId="1F84B39E"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105</w:t>
            </w:r>
          </w:p>
        </w:tc>
        <w:tc>
          <w:tcPr>
            <w:tcW w:w="709" w:type="dxa"/>
            <w:hideMark/>
          </w:tcPr>
          <w:p w14:paraId="40EB81CD"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102</w:t>
            </w:r>
          </w:p>
        </w:tc>
        <w:tc>
          <w:tcPr>
            <w:tcW w:w="709" w:type="dxa"/>
            <w:hideMark/>
          </w:tcPr>
          <w:p w14:paraId="25DF614D"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96</w:t>
            </w:r>
          </w:p>
        </w:tc>
        <w:tc>
          <w:tcPr>
            <w:tcW w:w="567" w:type="dxa"/>
            <w:hideMark/>
          </w:tcPr>
          <w:p w14:paraId="05A499EC"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103</w:t>
            </w:r>
          </w:p>
        </w:tc>
        <w:tc>
          <w:tcPr>
            <w:tcW w:w="567" w:type="dxa"/>
            <w:hideMark/>
          </w:tcPr>
          <w:p w14:paraId="16B1A923"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99</w:t>
            </w:r>
          </w:p>
        </w:tc>
        <w:tc>
          <w:tcPr>
            <w:tcW w:w="562" w:type="dxa"/>
            <w:hideMark/>
          </w:tcPr>
          <w:p w14:paraId="38B2523F"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90</w:t>
            </w:r>
          </w:p>
        </w:tc>
      </w:tr>
      <w:tr w:rsidR="009771B9" w:rsidRPr="00455280" w14:paraId="129DF731" w14:textId="77777777" w:rsidTr="00ED24B5">
        <w:trPr>
          <w:trHeight w:val="366"/>
          <w:jc w:val="center"/>
        </w:trPr>
        <w:tc>
          <w:tcPr>
            <w:tcW w:w="1439" w:type="dxa"/>
            <w:hideMark/>
          </w:tcPr>
          <w:p w14:paraId="18A1E291" w14:textId="110773E1" w:rsidR="00A1327E" w:rsidRPr="00455280" w:rsidRDefault="00A1327E" w:rsidP="00736A84">
            <w:pPr>
              <w:rPr>
                <w:rFonts w:ascii="Arial" w:hAnsi="Arial" w:cs="Arial"/>
                <w:b/>
                <w:sz w:val="17"/>
                <w:szCs w:val="17"/>
              </w:rPr>
            </w:pPr>
            <w:r w:rsidRPr="00455280">
              <w:rPr>
                <w:rFonts w:ascii="Arial" w:hAnsi="Arial" w:cs="Arial"/>
                <w:b/>
                <w:sz w:val="17"/>
                <w:szCs w:val="17"/>
              </w:rPr>
              <w:t>Length of discharge process (</w:t>
            </w:r>
            <w:r w:rsidR="009771B9">
              <w:rPr>
                <w:rFonts w:ascii="Arial" w:hAnsi="Arial" w:cs="Arial"/>
                <w:b/>
                <w:sz w:val="17"/>
                <w:szCs w:val="17"/>
              </w:rPr>
              <w:t>o</w:t>
            </w:r>
            <w:r w:rsidRPr="00455280">
              <w:rPr>
                <w:rFonts w:ascii="Arial" w:hAnsi="Arial" w:cs="Arial"/>
                <w:b/>
                <w:sz w:val="17"/>
                <w:szCs w:val="17"/>
              </w:rPr>
              <w:t>thers/PSU/</w:t>
            </w:r>
          </w:p>
          <w:p w14:paraId="157D8A2D" w14:textId="65F536B5" w:rsidR="00A1327E" w:rsidRPr="00455280" w:rsidRDefault="009771B9" w:rsidP="00736A84">
            <w:pPr>
              <w:rPr>
                <w:rFonts w:ascii="Arial" w:hAnsi="Arial" w:cs="Arial"/>
                <w:b/>
                <w:sz w:val="17"/>
                <w:szCs w:val="17"/>
              </w:rPr>
            </w:pPr>
            <w:r>
              <w:rPr>
                <w:rFonts w:ascii="Arial" w:hAnsi="Arial" w:cs="Arial"/>
                <w:b/>
                <w:sz w:val="17"/>
                <w:szCs w:val="17"/>
              </w:rPr>
              <w:t>i</w:t>
            </w:r>
            <w:r w:rsidR="00A1327E" w:rsidRPr="00455280">
              <w:rPr>
                <w:rFonts w:ascii="Arial" w:hAnsi="Arial" w:cs="Arial"/>
                <w:b/>
                <w:sz w:val="17"/>
                <w:szCs w:val="17"/>
              </w:rPr>
              <w:t>nternational)</w:t>
            </w:r>
          </w:p>
        </w:tc>
        <w:tc>
          <w:tcPr>
            <w:tcW w:w="812" w:type="dxa"/>
            <w:hideMark/>
          </w:tcPr>
          <w:p w14:paraId="0C2AAE5A" w14:textId="446C8106" w:rsidR="00A1327E" w:rsidRPr="00455280" w:rsidRDefault="00A1327E" w:rsidP="00ED24B5">
            <w:pPr>
              <w:jc w:val="center"/>
              <w:rPr>
                <w:rFonts w:ascii="Arial" w:hAnsi="Arial" w:cs="Arial"/>
                <w:sz w:val="17"/>
                <w:szCs w:val="17"/>
              </w:rPr>
            </w:pPr>
            <w:r w:rsidRPr="00455280">
              <w:rPr>
                <w:rFonts w:ascii="Arial" w:hAnsi="Arial" w:cs="Arial"/>
                <w:sz w:val="17"/>
                <w:szCs w:val="17"/>
              </w:rPr>
              <w:t>Min</w:t>
            </w:r>
            <w:r w:rsidR="009771B9">
              <w:rPr>
                <w:rFonts w:ascii="Arial" w:hAnsi="Arial" w:cs="Arial"/>
                <w:sz w:val="17"/>
                <w:szCs w:val="17"/>
              </w:rPr>
              <w:t>ute</w:t>
            </w:r>
            <w:r w:rsidRPr="00455280">
              <w:rPr>
                <w:rFonts w:ascii="Arial" w:hAnsi="Arial" w:cs="Arial"/>
                <w:sz w:val="17"/>
                <w:szCs w:val="17"/>
              </w:rPr>
              <w:t>s</w:t>
            </w:r>
          </w:p>
        </w:tc>
        <w:tc>
          <w:tcPr>
            <w:tcW w:w="736" w:type="dxa"/>
            <w:hideMark/>
          </w:tcPr>
          <w:p w14:paraId="5C6F698B"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120</w:t>
            </w:r>
          </w:p>
        </w:tc>
        <w:tc>
          <w:tcPr>
            <w:tcW w:w="587" w:type="dxa"/>
            <w:hideMark/>
          </w:tcPr>
          <w:p w14:paraId="3930D1D6"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183</w:t>
            </w:r>
          </w:p>
        </w:tc>
        <w:tc>
          <w:tcPr>
            <w:tcW w:w="587" w:type="dxa"/>
            <w:hideMark/>
          </w:tcPr>
          <w:p w14:paraId="20EEDE81"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172</w:t>
            </w:r>
          </w:p>
        </w:tc>
        <w:tc>
          <w:tcPr>
            <w:tcW w:w="640" w:type="dxa"/>
            <w:hideMark/>
          </w:tcPr>
          <w:p w14:paraId="06DAB396"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156</w:t>
            </w:r>
          </w:p>
        </w:tc>
        <w:tc>
          <w:tcPr>
            <w:tcW w:w="696" w:type="dxa"/>
            <w:hideMark/>
          </w:tcPr>
          <w:p w14:paraId="0F28483A"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106</w:t>
            </w:r>
          </w:p>
        </w:tc>
        <w:tc>
          <w:tcPr>
            <w:tcW w:w="735" w:type="dxa"/>
            <w:hideMark/>
          </w:tcPr>
          <w:p w14:paraId="17679E88"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118</w:t>
            </w:r>
          </w:p>
        </w:tc>
        <w:tc>
          <w:tcPr>
            <w:tcW w:w="709" w:type="dxa"/>
            <w:hideMark/>
          </w:tcPr>
          <w:p w14:paraId="7D39897D"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120</w:t>
            </w:r>
          </w:p>
        </w:tc>
        <w:tc>
          <w:tcPr>
            <w:tcW w:w="709" w:type="dxa"/>
            <w:hideMark/>
          </w:tcPr>
          <w:p w14:paraId="235C888F"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108</w:t>
            </w:r>
          </w:p>
        </w:tc>
        <w:tc>
          <w:tcPr>
            <w:tcW w:w="567" w:type="dxa"/>
            <w:hideMark/>
          </w:tcPr>
          <w:p w14:paraId="2FEF8B13"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113</w:t>
            </w:r>
          </w:p>
        </w:tc>
        <w:tc>
          <w:tcPr>
            <w:tcW w:w="567" w:type="dxa"/>
            <w:hideMark/>
          </w:tcPr>
          <w:p w14:paraId="13B7296D"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120</w:t>
            </w:r>
          </w:p>
        </w:tc>
        <w:tc>
          <w:tcPr>
            <w:tcW w:w="562" w:type="dxa"/>
            <w:hideMark/>
          </w:tcPr>
          <w:p w14:paraId="74BD060C"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113</w:t>
            </w:r>
          </w:p>
        </w:tc>
      </w:tr>
      <w:tr w:rsidR="009771B9" w:rsidRPr="00455280" w14:paraId="33242A3A" w14:textId="77777777" w:rsidTr="00ED24B5">
        <w:trPr>
          <w:trHeight w:val="366"/>
          <w:jc w:val="center"/>
        </w:trPr>
        <w:tc>
          <w:tcPr>
            <w:tcW w:w="1439" w:type="dxa"/>
            <w:hideMark/>
          </w:tcPr>
          <w:p w14:paraId="5120DDF4" w14:textId="77777777" w:rsidR="00A1327E" w:rsidRPr="00455280" w:rsidRDefault="00A1327E" w:rsidP="00736A84">
            <w:pPr>
              <w:rPr>
                <w:rFonts w:ascii="Arial" w:hAnsi="Arial" w:cs="Arial"/>
                <w:b/>
                <w:sz w:val="17"/>
                <w:szCs w:val="17"/>
              </w:rPr>
            </w:pPr>
            <w:r w:rsidRPr="00455280">
              <w:rPr>
                <w:rFonts w:ascii="Arial" w:hAnsi="Arial" w:cs="Arial"/>
                <w:b/>
                <w:sz w:val="17"/>
                <w:szCs w:val="17"/>
              </w:rPr>
              <w:t>Length of discharge process (TPA)</w:t>
            </w:r>
          </w:p>
        </w:tc>
        <w:tc>
          <w:tcPr>
            <w:tcW w:w="812" w:type="dxa"/>
            <w:hideMark/>
          </w:tcPr>
          <w:p w14:paraId="74EFBA98" w14:textId="119EA50A" w:rsidR="00A1327E" w:rsidRPr="00455280" w:rsidRDefault="00A1327E" w:rsidP="00ED24B5">
            <w:pPr>
              <w:jc w:val="center"/>
              <w:rPr>
                <w:rFonts w:ascii="Arial" w:hAnsi="Arial" w:cs="Arial"/>
                <w:sz w:val="17"/>
                <w:szCs w:val="17"/>
              </w:rPr>
            </w:pPr>
            <w:r w:rsidRPr="00455280">
              <w:rPr>
                <w:rFonts w:ascii="Arial" w:hAnsi="Arial" w:cs="Arial"/>
                <w:sz w:val="17"/>
                <w:szCs w:val="17"/>
              </w:rPr>
              <w:t>Min</w:t>
            </w:r>
            <w:r w:rsidR="009771B9">
              <w:rPr>
                <w:rFonts w:ascii="Arial" w:hAnsi="Arial" w:cs="Arial"/>
                <w:sz w:val="17"/>
                <w:szCs w:val="17"/>
              </w:rPr>
              <w:t>ute</w:t>
            </w:r>
            <w:r w:rsidRPr="00455280">
              <w:rPr>
                <w:rFonts w:ascii="Arial" w:hAnsi="Arial" w:cs="Arial"/>
                <w:sz w:val="17"/>
                <w:szCs w:val="17"/>
              </w:rPr>
              <w:t>s</w:t>
            </w:r>
          </w:p>
        </w:tc>
        <w:tc>
          <w:tcPr>
            <w:tcW w:w="736" w:type="dxa"/>
            <w:hideMark/>
          </w:tcPr>
          <w:p w14:paraId="2BD65B12"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240</w:t>
            </w:r>
          </w:p>
        </w:tc>
        <w:tc>
          <w:tcPr>
            <w:tcW w:w="587" w:type="dxa"/>
            <w:hideMark/>
          </w:tcPr>
          <w:p w14:paraId="59709322"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327</w:t>
            </w:r>
          </w:p>
        </w:tc>
        <w:tc>
          <w:tcPr>
            <w:tcW w:w="587" w:type="dxa"/>
            <w:hideMark/>
          </w:tcPr>
          <w:p w14:paraId="4EC97823"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330</w:t>
            </w:r>
          </w:p>
        </w:tc>
        <w:tc>
          <w:tcPr>
            <w:tcW w:w="640" w:type="dxa"/>
            <w:hideMark/>
          </w:tcPr>
          <w:p w14:paraId="2212A910"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323</w:t>
            </w:r>
          </w:p>
        </w:tc>
        <w:tc>
          <w:tcPr>
            <w:tcW w:w="696" w:type="dxa"/>
            <w:hideMark/>
          </w:tcPr>
          <w:p w14:paraId="40EC9631"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221</w:t>
            </w:r>
          </w:p>
        </w:tc>
        <w:tc>
          <w:tcPr>
            <w:tcW w:w="735" w:type="dxa"/>
            <w:hideMark/>
          </w:tcPr>
          <w:p w14:paraId="4F4AA54D"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218</w:t>
            </w:r>
          </w:p>
        </w:tc>
        <w:tc>
          <w:tcPr>
            <w:tcW w:w="709" w:type="dxa"/>
            <w:hideMark/>
          </w:tcPr>
          <w:p w14:paraId="7DB44A18"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187</w:t>
            </w:r>
          </w:p>
        </w:tc>
        <w:tc>
          <w:tcPr>
            <w:tcW w:w="709" w:type="dxa"/>
            <w:hideMark/>
          </w:tcPr>
          <w:p w14:paraId="088B73BB"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197</w:t>
            </w:r>
          </w:p>
        </w:tc>
        <w:tc>
          <w:tcPr>
            <w:tcW w:w="567" w:type="dxa"/>
            <w:hideMark/>
          </w:tcPr>
          <w:p w14:paraId="68E38DE5"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206</w:t>
            </w:r>
          </w:p>
        </w:tc>
        <w:tc>
          <w:tcPr>
            <w:tcW w:w="567" w:type="dxa"/>
            <w:hideMark/>
          </w:tcPr>
          <w:p w14:paraId="7CC77689"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218</w:t>
            </w:r>
          </w:p>
        </w:tc>
        <w:tc>
          <w:tcPr>
            <w:tcW w:w="562" w:type="dxa"/>
            <w:hideMark/>
          </w:tcPr>
          <w:p w14:paraId="0B1B58A3" w14:textId="77777777" w:rsidR="00A1327E" w:rsidRPr="00455280" w:rsidRDefault="00A1327E" w:rsidP="00ED24B5">
            <w:pPr>
              <w:jc w:val="center"/>
              <w:rPr>
                <w:rFonts w:ascii="Arial" w:hAnsi="Arial" w:cs="Arial"/>
                <w:sz w:val="17"/>
                <w:szCs w:val="17"/>
              </w:rPr>
            </w:pPr>
            <w:r w:rsidRPr="00455280">
              <w:rPr>
                <w:rFonts w:ascii="Arial" w:hAnsi="Arial" w:cs="Arial"/>
                <w:sz w:val="17"/>
                <w:szCs w:val="17"/>
              </w:rPr>
              <w:t>206</w:t>
            </w:r>
          </w:p>
        </w:tc>
      </w:tr>
    </w:tbl>
    <w:p w14:paraId="0D74B1B7" w14:textId="77777777" w:rsidR="00A1327E" w:rsidRDefault="00A1327E" w:rsidP="00A1327E">
      <w:pPr>
        <w:rPr>
          <w:rFonts w:ascii="Arial" w:hAnsi="Arial" w:cs="Arial"/>
          <w:sz w:val="17"/>
          <w:szCs w:val="17"/>
        </w:rPr>
      </w:pPr>
    </w:p>
    <w:p w14:paraId="32D04E81" w14:textId="7B965759" w:rsidR="00A1327E" w:rsidRPr="00455280" w:rsidRDefault="009771B9" w:rsidP="00A1327E">
      <w:pPr>
        <w:rPr>
          <w:rFonts w:ascii="Arial" w:hAnsi="Arial" w:cs="Arial"/>
          <w:sz w:val="17"/>
          <w:szCs w:val="17"/>
        </w:rPr>
      </w:pPr>
      <w:r>
        <w:rPr>
          <w:rFonts w:ascii="Arial" w:hAnsi="Arial" w:cs="Arial"/>
          <w:sz w:val="17"/>
          <w:szCs w:val="17"/>
        </w:rPr>
        <w:t xml:space="preserve">Note: FMRI = Fortis Memorial Research Institute; </w:t>
      </w:r>
      <w:r w:rsidR="00A1327E" w:rsidRPr="00455280">
        <w:rPr>
          <w:rFonts w:ascii="Arial" w:hAnsi="Arial" w:cs="Arial"/>
          <w:sz w:val="17"/>
          <w:szCs w:val="17"/>
        </w:rPr>
        <w:t>PSU</w:t>
      </w:r>
      <w:r>
        <w:rPr>
          <w:rFonts w:ascii="Arial" w:hAnsi="Arial" w:cs="Arial"/>
          <w:sz w:val="17"/>
          <w:szCs w:val="17"/>
        </w:rPr>
        <w:t xml:space="preserve"> = p</w:t>
      </w:r>
      <w:r w:rsidR="00A1327E" w:rsidRPr="00455280">
        <w:rPr>
          <w:rFonts w:ascii="Arial" w:hAnsi="Arial" w:cs="Arial"/>
          <w:sz w:val="17"/>
          <w:szCs w:val="17"/>
        </w:rPr>
        <w:t xml:space="preserve">ublic </w:t>
      </w:r>
      <w:r>
        <w:rPr>
          <w:rFonts w:ascii="Arial" w:hAnsi="Arial" w:cs="Arial"/>
          <w:sz w:val="17"/>
          <w:szCs w:val="17"/>
        </w:rPr>
        <w:t>s</w:t>
      </w:r>
      <w:r w:rsidR="00A1327E" w:rsidRPr="00455280">
        <w:rPr>
          <w:rFonts w:ascii="Arial" w:hAnsi="Arial" w:cs="Arial"/>
          <w:sz w:val="17"/>
          <w:szCs w:val="17"/>
        </w:rPr>
        <w:t>ector units</w:t>
      </w:r>
      <w:r>
        <w:rPr>
          <w:rFonts w:ascii="Arial" w:hAnsi="Arial" w:cs="Arial"/>
          <w:sz w:val="17"/>
          <w:szCs w:val="17"/>
        </w:rPr>
        <w:t xml:space="preserve">; </w:t>
      </w:r>
      <w:r w:rsidR="00A1327E" w:rsidRPr="00455280">
        <w:rPr>
          <w:rFonts w:ascii="Arial" w:hAnsi="Arial" w:cs="Arial"/>
          <w:sz w:val="17"/>
          <w:szCs w:val="17"/>
        </w:rPr>
        <w:t>TPA</w:t>
      </w:r>
      <w:r>
        <w:rPr>
          <w:rFonts w:ascii="Arial" w:hAnsi="Arial" w:cs="Arial"/>
          <w:sz w:val="17"/>
          <w:szCs w:val="17"/>
        </w:rPr>
        <w:t xml:space="preserve"> = t</w:t>
      </w:r>
      <w:r w:rsidR="00A1327E" w:rsidRPr="00455280">
        <w:rPr>
          <w:rFonts w:ascii="Arial" w:hAnsi="Arial" w:cs="Arial"/>
          <w:sz w:val="17"/>
          <w:szCs w:val="17"/>
        </w:rPr>
        <w:t>hird</w:t>
      </w:r>
      <w:r>
        <w:rPr>
          <w:rFonts w:ascii="Arial" w:hAnsi="Arial" w:cs="Arial"/>
          <w:sz w:val="17"/>
          <w:szCs w:val="17"/>
        </w:rPr>
        <w:t>-</w:t>
      </w:r>
      <w:r w:rsidR="00A1327E" w:rsidRPr="00455280">
        <w:rPr>
          <w:rFonts w:ascii="Arial" w:hAnsi="Arial" w:cs="Arial"/>
          <w:sz w:val="17"/>
          <w:szCs w:val="17"/>
        </w:rPr>
        <w:t xml:space="preserve">party </w:t>
      </w:r>
      <w:r>
        <w:rPr>
          <w:rFonts w:ascii="Arial" w:hAnsi="Arial" w:cs="Arial"/>
          <w:sz w:val="17"/>
          <w:szCs w:val="17"/>
        </w:rPr>
        <w:t>a</w:t>
      </w:r>
      <w:r w:rsidR="00A1327E" w:rsidRPr="00455280">
        <w:rPr>
          <w:rFonts w:ascii="Arial" w:hAnsi="Arial" w:cs="Arial"/>
          <w:sz w:val="17"/>
          <w:szCs w:val="17"/>
        </w:rPr>
        <w:t>dministrator</w:t>
      </w:r>
      <w:r w:rsidR="007B51EE">
        <w:rPr>
          <w:rFonts w:ascii="Arial" w:hAnsi="Arial" w:cs="Arial"/>
          <w:sz w:val="17"/>
          <w:szCs w:val="17"/>
        </w:rPr>
        <w:t>.</w:t>
      </w:r>
    </w:p>
    <w:p w14:paraId="7C608A8B" w14:textId="006904CB" w:rsidR="00A1327E" w:rsidRPr="00455280" w:rsidRDefault="00A1327E" w:rsidP="00A1327E">
      <w:pPr>
        <w:rPr>
          <w:rFonts w:ascii="Arial" w:hAnsi="Arial" w:cs="Arial"/>
          <w:sz w:val="17"/>
          <w:szCs w:val="17"/>
        </w:rPr>
      </w:pPr>
      <w:r w:rsidRPr="00455280">
        <w:rPr>
          <w:rFonts w:ascii="Arial" w:hAnsi="Arial" w:cs="Arial"/>
          <w:sz w:val="17"/>
          <w:szCs w:val="17"/>
        </w:rPr>
        <w:t xml:space="preserve">Source: Company </w:t>
      </w:r>
      <w:r w:rsidR="008817A8">
        <w:rPr>
          <w:rFonts w:ascii="Arial" w:hAnsi="Arial" w:cs="Arial"/>
          <w:sz w:val="17"/>
          <w:szCs w:val="17"/>
        </w:rPr>
        <w:t>files</w:t>
      </w:r>
      <w:r w:rsidR="009771B9">
        <w:rPr>
          <w:rFonts w:ascii="Arial" w:hAnsi="Arial" w:cs="Arial"/>
          <w:sz w:val="17"/>
          <w:szCs w:val="17"/>
        </w:rPr>
        <w:t>.</w:t>
      </w:r>
    </w:p>
    <w:p w14:paraId="1EAFF4FA" w14:textId="77777777" w:rsidR="00A1327E" w:rsidRDefault="00A1327E">
      <w:pPr>
        <w:spacing w:after="200" w:line="276" w:lineRule="auto"/>
        <w:rPr>
          <w:rFonts w:ascii="Arial" w:hAnsi="Arial" w:cs="Arial"/>
          <w:b/>
        </w:rPr>
      </w:pPr>
      <w:r>
        <w:rPr>
          <w:rFonts w:ascii="Arial" w:hAnsi="Arial" w:cs="Arial"/>
          <w:b/>
        </w:rPr>
        <w:br w:type="page"/>
      </w:r>
    </w:p>
    <w:p w14:paraId="5F55E5AC" w14:textId="77777777" w:rsidR="00A1327E" w:rsidRPr="00455280" w:rsidRDefault="00A1327E" w:rsidP="00A1327E">
      <w:pPr>
        <w:jc w:val="center"/>
        <w:rPr>
          <w:rFonts w:ascii="Arial" w:hAnsi="Arial" w:cs="Arial"/>
          <w:b/>
        </w:rPr>
      </w:pPr>
      <w:r w:rsidRPr="00455280">
        <w:rPr>
          <w:rFonts w:ascii="Arial" w:hAnsi="Arial" w:cs="Arial"/>
          <w:b/>
        </w:rPr>
        <w:lastRenderedPageBreak/>
        <w:t>EXHIBIT 3: POST-REVIVAL FOS SCORES</w:t>
      </w:r>
    </w:p>
    <w:p w14:paraId="7D58E2EE" w14:textId="77777777" w:rsidR="00A1327E" w:rsidRPr="00455280" w:rsidRDefault="00A1327E" w:rsidP="00A1327E">
      <w:pPr>
        <w:rPr>
          <w:rFonts w:ascii="Arial" w:hAnsi="Arial" w:cs="Arial"/>
          <w:sz w:val="17"/>
          <w:szCs w:val="17"/>
        </w:rPr>
      </w:pPr>
    </w:p>
    <w:p w14:paraId="4F660A09" w14:textId="0CEE2B76" w:rsidR="00FD7211" w:rsidRDefault="00FD7211" w:rsidP="00CF2A43">
      <w:pPr>
        <w:jc w:val="center"/>
        <w:rPr>
          <w:rFonts w:ascii="Arial" w:hAnsi="Arial" w:cs="Arial"/>
          <w:sz w:val="17"/>
          <w:szCs w:val="17"/>
        </w:rPr>
      </w:pPr>
      <w:r>
        <w:rPr>
          <w:noProof/>
        </w:rPr>
        <w:drawing>
          <wp:inline distT="0" distB="0" distL="0" distR="0" wp14:anchorId="2806186C" wp14:editId="08ECC5D5">
            <wp:extent cx="5255812" cy="3148716"/>
            <wp:effectExtent l="0" t="0" r="2540" b="139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BFBF4C" w14:textId="77777777" w:rsidR="00490D59" w:rsidRDefault="00490D59" w:rsidP="00A1327E">
      <w:pPr>
        <w:rPr>
          <w:rFonts w:ascii="Arial" w:hAnsi="Arial" w:cs="Arial"/>
          <w:sz w:val="17"/>
          <w:szCs w:val="17"/>
        </w:rPr>
      </w:pPr>
    </w:p>
    <w:p w14:paraId="3BCC644A" w14:textId="49FB8417" w:rsidR="007A6D74" w:rsidRDefault="007A6D74" w:rsidP="00A1327E">
      <w:pPr>
        <w:rPr>
          <w:rFonts w:ascii="Arial" w:hAnsi="Arial" w:cs="Arial"/>
          <w:sz w:val="17"/>
          <w:szCs w:val="17"/>
        </w:rPr>
      </w:pPr>
      <w:r>
        <w:rPr>
          <w:rFonts w:ascii="Arial" w:hAnsi="Arial" w:cs="Arial"/>
          <w:sz w:val="17"/>
          <w:szCs w:val="17"/>
        </w:rPr>
        <w:t>Note: FOS = Fortis Operating System</w:t>
      </w:r>
      <w:r w:rsidR="007B51EE">
        <w:rPr>
          <w:rFonts w:ascii="Arial" w:hAnsi="Arial" w:cs="Arial"/>
          <w:sz w:val="17"/>
          <w:szCs w:val="17"/>
        </w:rPr>
        <w:t>.</w:t>
      </w:r>
    </w:p>
    <w:p w14:paraId="1EEBA9BF" w14:textId="4655A66C" w:rsidR="00A1327E" w:rsidRPr="00455280" w:rsidRDefault="00A1327E" w:rsidP="00A1327E">
      <w:pPr>
        <w:rPr>
          <w:rFonts w:ascii="Arial" w:hAnsi="Arial" w:cs="Arial"/>
          <w:sz w:val="17"/>
          <w:szCs w:val="17"/>
        </w:rPr>
      </w:pPr>
      <w:r w:rsidRPr="00455280">
        <w:rPr>
          <w:rFonts w:ascii="Arial" w:hAnsi="Arial" w:cs="Arial"/>
          <w:sz w:val="17"/>
          <w:szCs w:val="17"/>
        </w:rPr>
        <w:t xml:space="preserve">Source: Company </w:t>
      </w:r>
      <w:r w:rsidR="008817A8">
        <w:rPr>
          <w:rFonts w:ascii="Arial" w:hAnsi="Arial" w:cs="Arial"/>
          <w:sz w:val="17"/>
          <w:szCs w:val="17"/>
        </w:rPr>
        <w:t>files</w:t>
      </w:r>
      <w:r w:rsidR="009771B9">
        <w:rPr>
          <w:rFonts w:ascii="Arial" w:hAnsi="Arial" w:cs="Arial"/>
          <w:sz w:val="17"/>
          <w:szCs w:val="17"/>
        </w:rPr>
        <w:t>.</w:t>
      </w:r>
    </w:p>
    <w:p w14:paraId="51DBB610" w14:textId="77777777" w:rsidR="00A1327E" w:rsidRDefault="00A1327E" w:rsidP="00A1327E">
      <w:pPr>
        <w:rPr>
          <w:b/>
        </w:rPr>
      </w:pPr>
    </w:p>
    <w:p w14:paraId="74E46E0F" w14:textId="77777777" w:rsidR="00A1327E" w:rsidRPr="00455280" w:rsidRDefault="00A1327E" w:rsidP="00A1327E">
      <w:pPr>
        <w:rPr>
          <w:b/>
        </w:rPr>
      </w:pPr>
    </w:p>
    <w:p w14:paraId="7A5F2504" w14:textId="6928AC26" w:rsidR="00A1327E" w:rsidRDefault="00A1327E" w:rsidP="00A1327E">
      <w:pPr>
        <w:pStyle w:val="ExhibitHeading"/>
      </w:pPr>
      <w:r w:rsidRPr="00455280">
        <w:t>EXHIBIT 4: POST-REVIVAL PATIENT FINAL BILL METRICS</w:t>
      </w:r>
      <w:r w:rsidR="00CF2A43">
        <w:t xml:space="preserve"> </w:t>
      </w:r>
    </w:p>
    <w:p w14:paraId="6F4FCC71" w14:textId="77777777" w:rsidR="00FD7211" w:rsidRDefault="00FD7211" w:rsidP="00A1327E">
      <w:pPr>
        <w:pStyle w:val="ExhibitHeading"/>
      </w:pPr>
    </w:p>
    <w:p w14:paraId="6362FEF7" w14:textId="49210C2F" w:rsidR="00FD7211" w:rsidRDefault="00490D59" w:rsidP="00A1327E">
      <w:pPr>
        <w:pStyle w:val="ExhibitHeading"/>
      </w:pPr>
      <w:r>
        <w:rPr>
          <w:noProof/>
        </w:rPr>
        <w:drawing>
          <wp:inline distT="0" distB="0" distL="0" distR="0" wp14:anchorId="13DD408B" wp14:editId="2F414865">
            <wp:extent cx="5151893" cy="2973787"/>
            <wp:effectExtent l="0" t="0" r="10795" b="1714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18C2BC" w14:textId="77777777" w:rsidR="00490D59" w:rsidRDefault="00490D59" w:rsidP="00A1327E">
      <w:pPr>
        <w:pStyle w:val="ExhibitHeading"/>
      </w:pPr>
    </w:p>
    <w:p w14:paraId="391D4337" w14:textId="56B6BC43" w:rsidR="00A1327E" w:rsidRPr="00455280" w:rsidRDefault="00A1327E" w:rsidP="00A1327E">
      <w:pPr>
        <w:rPr>
          <w:rFonts w:ascii="Arial" w:hAnsi="Arial" w:cs="Arial"/>
          <w:sz w:val="17"/>
          <w:szCs w:val="17"/>
        </w:rPr>
      </w:pPr>
      <w:r w:rsidRPr="00455280">
        <w:rPr>
          <w:rFonts w:ascii="Arial" w:hAnsi="Arial" w:cs="Arial"/>
          <w:sz w:val="17"/>
          <w:szCs w:val="17"/>
        </w:rPr>
        <w:t xml:space="preserve">Source: Company </w:t>
      </w:r>
      <w:r w:rsidR="008817A8">
        <w:rPr>
          <w:rFonts w:ascii="Arial" w:hAnsi="Arial" w:cs="Arial"/>
          <w:sz w:val="17"/>
          <w:szCs w:val="17"/>
        </w:rPr>
        <w:t>files</w:t>
      </w:r>
      <w:r w:rsidR="009771B9">
        <w:rPr>
          <w:rFonts w:ascii="Arial" w:hAnsi="Arial" w:cs="Arial"/>
          <w:sz w:val="17"/>
          <w:szCs w:val="17"/>
        </w:rPr>
        <w:t>.</w:t>
      </w:r>
    </w:p>
    <w:p w14:paraId="32A866F4" w14:textId="77777777" w:rsidR="00A1327E" w:rsidRDefault="00A1327E" w:rsidP="00A1327E"/>
    <w:p w14:paraId="01826D8B" w14:textId="77777777" w:rsidR="00E53402" w:rsidRPr="00455280" w:rsidRDefault="00E53402" w:rsidP="00A1327E"/>
    <w:p w14:paraId="03B12B3E" w14:textId="68D31167" w:rsidR="00A1327E" w:rsidRDefault="00A1327E" w:rsidP="00E53402">
      <w:pPr>
        <w:pStyle w:val="ExhibitHeading"/>
      </w:pPr>
      <w:r w:rsidRPr="00455280">
        <w:lastRenderedPageBreak/>
        <w:t>EXHIBIT 5: POST-REVIVAL LENGTH OF DISCHARGE PROCESS</w:t>
      </w:r>
    </w:p>
    <w:p w14:paraId="28E1A147" w14:textId="77777777" w:rsidR="009D7AF0" w:rsidRPr="00CF2A43" w:rsidRDefault="009D7AF0" w:rsidP="00E53402">
      <w:pPr>
        <w:pStyle w:val="ExhibitHeading"/>
        <w:rPr>
          <w:sz w:val="18"/>
        </w:rPr>
      </w:pPr>
    </w:p>
    <w:p w14:paraId="72F4F622" w14:textId="7F5CBA80" w:rsidR="009D7AF0" w:rsidRDefault="009D7AF0" w:rsidP="00E53402">
      <w:pPr>
        <w:pStyle w:val="ExhibitHeading"/>
      </w:pPr>
      <w:r>
        <w:rPr>
          <w:noProof/>
        </w:rPr>
        <w:drawing>
          <wp:inline distT="0" distB="0" distL="0" distR="0" wp14:anchorId="236BCC05" wp14:editId="03DE0B83">
            <wp:extent cx="5462215" cy="3315694"/>
            <wp:effectExtent l="0" t="0" r="5715"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30626C" w14:textId="77777777" w:rsidR="00E53402" w:rsidRPr="00CF2A43" w:rsidRDefault="00E53402" w:rsidP="00A1327E">
      <w:pPr>
        <w:rPr>
          <w:rFonts w:ascii="Arial" w:hAnsi="Arial" w:cs="Arial"/>
          <w:sz w:val="15"/>
          <w:szCs w:val="17"/>
        </w:rPr>
      </w:pPr>
    </w:p>
    <w:p w14:paraId="003CA82C" w14:textId="70A62E48" w:rsidR="00A1327E" w:rsidRPr="00455280" w:rsidRDefault="00A1327E" w:rsidP="00A1327E">
      <w:pPr>
        <w:rPr>
          <w:rFonts w:ascii="Arial" w:hAnsi="Arial" w:cs="Arial"/>
          <w:sz w:val="17"/>
          <w:szCs w:val="17"/>
        </w:rPr>
      </w:pPr>
      <w:r w:rsidRPr="00455280">
        <w:rPr>
          <w:rFonts w:ascii="Arial" w:hAnsi="Arial" w:cs="Arial"/>
          <w:sz w:val="17"/>
          <w:szCs w:val="17"/>
        </w:rPr>
        <w:t xml:space="preserve">Source: Company </w:t>
      </w:r>
      <w:r w:rsidR="008817A8">
        <w:rPr>
          <w:rFonts w:ascii="Arial" w:hAnsi="Arial" w:cs="Arial"/>
          <w:sz w:val="17"/>
          <w:szCs w:val="17"/>
        </w:rPr>
        <w:t>files</w:t>
      </w:r>
      <w:r w:rsidR="009771B9">
        <w:rPr>
          <w:rFonts w:ascii="Arial" w:hAnsi="Arial" w:cs="Arial"/>
          <w:sz w:val="17"/>
          <w:szCs w:val="17"/>
        </w:rPr>
        <w:t>.</w:t>
      </w:r>
    </w:p>
    <w:p w14:paraId="320C58C8" w14:textId="77777777" w:rsidR="00A1327E" w:rsidRPr="00CF2A43" w:rsidRDefault="00A1327E" w:rsidP="00E53402">
      <w:pPr>
        <w:pStyle w:val="BodyTextMain"/>
        <w:rPr>
          <w:sz w:val="18"/>
        </w:rPr>
      </w:pPr>
    </w:p>
    <w:p w14:paraId="1EB6BE5C" w14:textId="77777777" w:rsidR="00E53402" w:rsidRPr="00CF2A43" w:rsidRDefault="00E53402" w:rsidP="00E53402">
      <w:pPr>
        <w:pStyle w:val="BodyTextMain"/>
        <w:rPr>
          <w:sz w:val="16"/>
        </w:rPr>
      </w:pPr>
    </w:p>
    <w:p w14:paraId="63B19F25" w14:textId="65836C83" w:rsidR="00A1327E" w:rsidRDefault="00A1327E" w:rsidP="00A1327E">
      <w:pPr>
        <w:jc w:val="center"/>
        <w:rPr>
          <w:rFonts w:ascii="Arial" w:hAnsi="Arial" w:cs="Arial"/>
          <w:b/>
        </w:rPr>
      </w:pPr>
      <w:r w:rsidRPr="00455280">
        <w:rPr>
          <w:rFonts w:ascii="Arial" w:hAnsi="Arial" w:cs="Arial"/>
          <w:b/>
        </w:rPr>
        <w:t>EXHIBIT 6: POST-REVIVAL O</w:t>
      </w:r>
      <w:r w:rsidR="009771B9">
        <w:rPr>
          <w:rFonts w:ascii="Arial" w:hAnsi="Arial" w:cs="Arial"/>
          <w:b/>
        </w:rPr>
        <w:t>UTPATIENT DEPARTMENT</w:t>
      </w:r>
      <w:r w:rsidRPr="00455280">
        <w:rPr>
          <w:rFonts w:ascii="Arial" w:hAnsi="Arial" w:cs="Arial"/>
          <w:b/>
        </w:rPr>
        <w:t xml:space="preserve"> METRICS</w:t>
      </w:r>
    </w:p>
    <w:p w14:paraId="17BE8122" w14:textId="24380AB5" w:rsidR="009D7AF0" w:rsidRDefault="009D7AF0" w:rsidP="00A1327E">
      <w:pPr>
        <w:jc w:val="center"/>
        <w:rPr>
          <w:rFonts w:ascii="Arial" w:hAnsi="Arial" w:cs="Arial"/>
          <w:b/>
        </w:rPr>
      </w:pPr>
    </w:p>
    <w:p w14:paraId="30333279" w14:textId="66436FA6" w:rsidR="00E53402" w:rsidRPr="00455280" w:rsidRDefault="00CF2A43" w:rsidP="00A1327E">
      <w:pPr>
        <w:jc w:val="center"/>
        <w:rPr>
          <w:rFonts w:ascii="Arial" w:hAnsi="Arial" w:cs="Arial"/>
          <w:b/>
        </w:rPr>
      </w:pPr>
      <w:r>
        <w:rPr>
          <w:noProof/>
        </w:rPr>
        <w:drawing>
          <wp:inline distT="0" distB="0" distL="0" distR="0" wp14:anchorId="441F2BCA" wp14:editId="7F6CB871">
            <wp:extent cx="5565664" cy="3188473"/>
            <wp:effectExtent l="0" t="0" r="16510" b="120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24123E" w14:textId="6BF7A1B9" w:rsidR="00A1327E" w:rsidRPr="00455280" w:rsidRDefault="00A1327E" w:rsidP="00A1327E"/>
    <w:p w14:paraId="7B8C5261" w14:textId="56448A10" w:rsidR="009771B9" w:rsidRDefault="009771B9" w:rsidP="00A1327E">
      <w:pPr>
        <w:rPr>
          <w:rFonts w:ascii="Arial" w:hAnsi="Arial" w:cs="Arial"/>
          <w:sz w:val="17"/>
          <w:szCs w:val="17"/>
        </w:rPr>
      </w:pPr>
      <w:r>
        <w:rPr>
          <w:rFonts w:ascii="Arial" w:hAnsi="Arial" w:cs="Arial"/>
          <w:sz w:val="17"/>
          <w:szCs w:val="17"/>
        </w:rPr>
        <w:t>Note: OPD = outpatient department</w:t>
      </w:r>
      <w:r w:rsidR="007B51EE">
        <w:rPr>
          <w:rFonts w:ascii="Arial" w:hAnsi="Arial" w:cs="Arial"/>
          <w:sz w:val="17"/>
          <w:szCs w:val="17"/>
        </w:rPr>
        <w:t>.</w:t>
      </w:r>
    </w:p>
    <w:p w14:paraId="01BF93AB" w14:textId="190A006B" w:rsidR="00465348" w:rsidRPr="00FE43C4" w:rsidRDefault="00A1327E" w:rsidP="00CF2A43">
      <w:r w:rsidRPr="00455280">
        <w:rPr>
          <w:rFonts w:ascii="Arial" w:hAnsi="Arial" w:cs="Arial"/>
          <w:sz w:val="17"/>
          <w:szCs w:val="17"/>
        </w:rPr>
        <w:t xml:space="preserve">Source: Company </w:t>
      </w:r>
      <w:r w:rsidR="008817A8">
        <w:rPr>
          <w:rFonts w:ascii="Arial" w:hAnsi="Arial" w:cs="Arial"/>
          <w:sz w:val="17"/>
          <w:szCs w:val="17"/>
        </w:rPr>
        <w:t>files</w:t>
      </w:r>
      <w:r w:rsidR="009771B9">
        <w:rPr>
          <w:rFonts w:ascii="Arial" w:hAnsi="Arial" w:cs="Arial"/>
          <w:sz w:val="17"/>
          <w:szCs w:val="17"/>
        </w:rPr>
        <w:t>.</w:t>
      </w:r>
    </w:p>
    <w:sectPr w:rsidR="00465348" w:rsidRPr="00FE43C4" w:rsidSect="00751E0B">
      <w:headerReference w:type="default" r:id="rId17"/>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2F7D5" w14:textId="77777777" w:rsidR="005F074F" w:rsidRDefault="005F074F" w:rsidP="00D75295">
      <w:r>
        <w:separator/>
      </w:r>
    </w:p>
  </w:endnote>
  <w:endnote w:type="continuationSeparator" w:id="0">
    <w:p w14:paraId="73355EFE" w14:textId="77777777" w:rsidR="005F074F" w:rsidRDefault="005F074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FFB93" w14:textId="77777777" w:rsidR="005F074F" w:rsidRDefault="005F074F" w:rsidP="00D75295">
      <w:r>
        <w:separator/>
      </w:r>
    </w:p>
  </w:footnote>
  <w:footnote w:type="continuationSeparator" w:id="0">
    <w:p w14:paraId="26DB6C9A" w14:textId="77777777" w:rsidR="005F074F" w:rsidRDefault="005F074F" w:rsidP="00D75295">
      <w:r>
        <w:continuationSeparator/>
      </w:r>
    </w:p>
  </w:footnote>
  <w:footnote w:id="1">
    <w:p w14:paraId="266D3FB4" w14:textId="0D1FF9F9" w:rsidR="006C0476" w:rsidRDefault="006C0476" w:rsidP="006C0476">
      <w:pPr>
        <w:pStyle w:val="Footnote"/>
      </w:pPr>
      <w:r>
        <w:rPr>
          <w:rStyle w:val="FootnoteReference"/>
        </w:rPr>
        <w:footnoteRef/>
      </w:r>
      <w:r>
        <w:t xml:space="preserve"> The authors gratefully acknowledge the support provided by the Max Institute of Healthcare Management at the Indian School of Business in the writing of this case.</w:t>
      </w:r>
    </w:p>
  </w:footnote>
  <w:footnote w:id="2">
    <w:p w14:paraId="62457066" w14:textId="52528C13" w:rsidR="005F75C6" w:rsidRPr="00D93578" w:rsidRDefault="005F75C6" w:rsidP="00FE43C4">
      <w:pPr>
        <w:pStyle w:val="FootnoteText"/>
        <w:rPr>
          <w:rFonts w:ascii="Arial" w:hAnsi="Arial" w:cs="Arial"/>
          <w:sz w:val="17"/>
          <w:szCs w:val="17"/>
        </w:rPr>
      </w:pPr>
      <w:r w:rsidRPr="00D93578">
        <w:rPr>
          <w:rStyle w:val="FootnoteReference"/>
          <w:rFonts w:ascii="Arial" w:hAnsi="Arial" w:cs="Arial"/>
          <w:sz w:val="17"/>
          <w:szCs w:val="17"/>
        </w:rPr>
        <w:footnoteRef/>
      </w:r>
      <w:r w:rsidRPr="00D93578">
        <w:rPr>
          <w:rFonts w:ascii="Arial" w:hAnsi="Arial" w:cs="Arial"/>
          <w:sz w:val="17"/>
          <w:szCs w:val="17"/>
        </w:rPr>
        <w:t xml:space="preserve"> Cleveland Clinic, a reputed multi-specialty academic hospital located in </w:t>
      </w:r>
      <w:hyperlink r:id="rId1" w:tooltip="Cleveland, Ohio" w:history="1">
        <w:r w:rsidRPr="00D93578">
          <w:rPr>
            <w:rFonts w:ascii="Arial" w:hAnsi="Arial" w:cs="Arial"/>
            <w:sz w:val="17"/>
            <w:szCs w:val="17"/>
          </w:rPr>
          <w:t>Cleveland, Ohio</w:t>
        </w:r>
      </w:hyperlink>
      <w:r>
        <w:rPr>
          <w:rFonts w:ascii="Arial" w:hAnsi="Arial" w:cs="Arial"/>
          <w:sz w:val="17"/>
          <w:szCs w:val="17"/>
        </w:rPr>
        <w:t>,</w:t>
      </w:r>
      <w:r w:rsidRPr="00D93578">
        <w:rPr>
          <w:rFonts w:ascii="Arial" w:hAnsi="Arial" w:cs="Arial"/>
          <w:sz w:val="17"/>
          <w:szCs w:val="17"/>
        </w:rPr>
        <w:t xml:space="preserve"> had initiated a transformational initiative in 2009 to enhance its patient experience scores.</w:t>
      </w:r>
    </w:p>
  </w:footnote>
  <w:footnote w:id="3">
    <w:p w14:paraId="1CF5F464" w14:textId="1AD8E4B8" w:rsidR="005F75C6" w:rsidRPr="00D93578" w:rsidRDefault="005F75C6" w:rsidP="00FE43C4">
      <w:pPr>
        <w:pStyle w:val="FootnoteText"/>
        <w:rPr>
          <w:rFonts w:ascii="Arial" w:hAnsi="Arial" w:cs="Arial"/>
          <w:sz w:val="17"/>
          <w:szCs w:val="17"/>
        </w:rPr>
      </w:pPr>
      <w:r w:rsidRPr="00D93578">
        <w:rPr>
          <w:rStyle w:val="FootnoteReference"/>
          <w:rFonts w:ascii="Arial" w:hAnsi="Arial" w:cs="Arial"/>
          <w:sz w:val="17"/>
          <w:szCs w:val="17"/>
        </w:rPr>
        <w:footnoteRef/>
      </w:r>
      <w:r w:rsidRPr="00D93578">
        <w:rPr>
          <w:rFonts w:ascii="Arial" w:hAnsi="Arial" w:cs="Arial"/>
          <w:sz w:val="17"/>
          <w:szCs w:val="17"/>
        </w:rPr>
        <w:t xml:space="preserve"> A Hindi expression</w:t>
      </w:r>
      <w:r>
        <w:rPr>
          <w:rFonts w:ascii="Arial" w:hAnsi="Arial" w:cs="Arial"/>
          <w:sz w:val="17"/>
          <w:szCs w:val="17"/>
        </w:rPr>
        <w:t>, roughly translated as</w:t>
      </w:r>
      <w:r w:rsidRPr="00D93578">
        <w:rPr>
          <w:rFonts w:ascii="Arial" w:hAnsi="Arial" w:cs="Arial"/>
          <w:sz w:val="17"/>
          <w:szCs w:val="17"/>
        </w:rPr>
        <w:t xml:space="preserve"> “Let us meet together</w:t>
      </w:r>
      <w:r>
        <w:rPr>
          <w:rFonts w:ascii="Arial" w:hAnsi="Arial" w:cs="Arial"/>
          <w:sz w:val="17"/>
          <w:szCs w:val="17"/>
        </w:rPr>
        <w:t>.</w:t>
      </w:r>
      <w:r w:rsidRPr="00D93578">
        <w:rPr>
          <w:rFonts w:ascii="Arial" w:hAnsi="Arial" w:cs="Arial"/>
          <w:sz w:val="17"/>
          <w:szCs w:val="17"/>
        </w:rPr>
        <w:t>”</w:t>
      </w:r>
    </w:p>
  </w:footnote>
  <w:footnote w:id="4">
    <w:p w14:paraId="22AD530F" w14:textId="5FA15AE2" w:rsidR="005F75C6" w:rsidRPr="00D93578" w:rsidRDefault="005F75C6" w:rsidP="00FE43C4">
      <w:pPr>
        <w:pStyle w:val="FootnoteText"/>
        <w:rPr>
          <w:rFonts w:ascii="Arial" w:hAnsi="Arial" w:cs="Arial"/>
          <w:sz w:val="17"/>
          <w:szCs w:val="17"/>
        </w:rPr>
      </w:pPr>
      <w:r w:rsidRPr="00D93578">
        <w:rPr>
          <w:rStyle w:val="FootnoteReference"/>
          <w:rFonts w:ascii="Arial" w:hAnsi="Arial" w:cs="Arial"/>
          <w:sz w:val="17"/>
          <w:szCs w:val="17"/>
        </w:rPr>
        <w:footnoteRef/>
      </w:r>
      <w:r w:rsidRPr="00D93578">
        <w:rPr>
          <w:rFonts w:ascii="Arial" w:hAnsi="Arial" w:cs="Arial"/>
          <w:sz w:val="17"/>
          <w:szCs w:val="17"/>
        </w:rPr>
        <w:t xml:space="preserve"> C</w:t>
      </w:r>
      <w:r>
        <w:rPr>
          <w:rFonts w:ascii="Arial" w:hAnsi="Arial" w:cs="Arial"/>
          <w:sz w:val="17"/>
          <w:szCs w:val="17"/>
        </w:rPr>
        <w:t xml:space="preserve">hief executive </w:t>
      </w:r>
      <w:proofErr w:type="gramStart"/>
      <w:r>
        <w:rPr>
          <w:rFonts w:ascii="Arial" w:hAnsi="Arial" w:cs="Arial"/>
          <w:sz w:val="17"/>
          <w:szCs w:val="17"/>
        </w:rPr>
        <w:t>committee</w:t>
      </w:r>
      <w:proofErr w:type="gramEnd"/>
      <w:r w:rsidRPr="00D93578">
        <w:rPr>
          <w:rFonts w:ascii="Arial" w:hAnsi="Arial" w:cs="Arial"/>
          <w:sz w:val="17"/>
          <w:szCs w:val="17"/>
        </w:rPr>
        <w:t xml:space="preserve"> members included the senior managers who reported to the CEO directly</w:t>
      </w:r>
      <w:r>
        <w:rPr>
          <w:rFonts w:ascii="Arial" w:hAnsi="Arial" w:cs="Arial"/>
          <w:sz w:val="17"/>
          <w:szCs w:val="17"/>
        </w:rPr>
        <w:t>;</w:t>
      </w:r>
      <w:r w:rsidRPr="00D93578">
        <w:rPr>
          <w:rFonts w:ascii="Arial" w:hAnsi="Arial" w:cs="Arial"/>
          <w:sz w:val="17"/>
          <w:szCs w:val="17"/>
        </w:rPr>
        <w:t xml:space="preserve"> </w:t>
      </w:r>
      <w:r>
        <w:rPr>
          <w:rFonts w:ascii="Arial" w:hAnsi="Arial" w:cs="Arial"/>
          <w:sz w:val="17"/>
          <w:szCs w:val="17"/>
        </w:rPr>
        <w:t>f</w:t>
      </w:r>
      <w:r w:rsidRPr="00D93578">
        <w:rPr>
          <w:rFonts w:ascii="Arial" w:hAnsi="Arial" w:cs="Arial"/>
          <w:sz w:val="17"/>
          <w:szCs w:val="17"/>
        </w:rPr>
        <w:t>or example</w:t>
      </w:r>
      <w:r>
        <w:rPr>
          <w:rFonts w:ascii="Arial" w:hAnsi="Arial" w:cs="Arial"/>
          <w:sz w:val="17"/>
          <w:szCs w:val="17"/>
        </w:rPr>
        <w:t>,</w:t>
      </w:r>
      <w:r w:rsidRPr="00D93578">
        <w:rPr>
          <w:rFonts w:ascii="Arial" w:hAnsi="Arial" w:cs="Arial"/>
          <w:sz w:val="17"/>
          <w:szCs w:val="17"/>
        </w:rPr>
        <w:t xml:space="preserve"> </w:t>
      </w:r>
      <w:r>
        <w:rPr>
          <w:rFonts w:ascii="Arial" w:hAnsi="Arial" w:cs="Arial"/>
          <w:sz w:val="17"/>
          <w:szCs w:val="17"/>
        </w:rPr>
        <w:t>h</w:t>
      </w:r>
      <w:r w:rsidRPr="00D93578">
        <w:rPr>
          <w:rFonts w:ascii="Arial" w:hAnsi="Arial" w:cs="Arial"/>
          <w:sz w:val="17"/>
          <w:szCs w:val="17"/>
        </w:rPr>
        <w:t xml:space="preserve">ead </w:t>
      </w:r>
      <w:r>
        <w:rPr>
          <w:rFonts w:ascii="Arial" w:hAnsi="Arial" w:cs="Arial"/>
          <w:sz w:val="17"/>
          <w:szCs w:val="17"/>
        </w:rPr>
        <w:t xml:space="preserve">of </w:t>
      </w:r>
      <w:r w:rsidRPr="00D93578">
        <w:rPr>
          <w:rFonts w:ascii="Arial" w:hAnsi="Arial" w:cs="Arial"/>
          <w:sz w:val="17"/>
          <w:szCs w:val="17"/>
        </w:rPr>
        <w:t xml:space="preserve">Medical Support </w:t>
      </w:r>
      <w:r>
        <w:rPr>
          <w:rFonts w:ascii="Arial" w:hAnsi="Arial" w:cs="Arial"/>
          <w:sz w:val="17"/>
          <w:szCs w:val="17"/>
        </w:rPr>
        <w:t>and</w:t>
      </w:r>
      <w:r w:rsidRPr="00D93578">
        <w:rPr>
          <w:rFonts w:ascii="Arial" w:hAnsi="Arial" w:cs="Arial"/>
          <w:sz w:val="17"/>
          <w:szCs w:val="17"/>
        </w:rPr>
        <w:t xml:space="preserve"> Operations </w:t>
      </w:r>
      <w:r>
        <w:rPr>
          <w:rFonts w:ascii="Arial" w:hAnsi="Arial" w:cs="Arial"/>
          <w:sz w:val="17"/>
          <w:szCs w:val="17"/>
        </w:rPr>
        <w:t>g</w:t>
      </w:r>
      <w:r w:rsidRPr="00D93578">
        <w:rPr>
          <w:rFonts w:ascii="Arial" w:hAnsi="Arial" w:cs="Arial"/>
          <w:sz w:val="17"/>
          <w:szCs w:val="17"/>
        </w:rPr>
        <w:t xml:space="preserve">roup, </w:t>
      </w:r>
      <w:r>
        <w:rPr>
          <w:rFonts w:ascii="Arial" w:hAnsi="Arial" w:cs="Arial"/>
          <w:sz w:val="17"/>
          <w:szCs w:val="17"/>
        </w:rPr>
        <w:t>h</w:t>
      </w:r>
      <w:r w:rsidRPr="00D93578">
        <w:rPr>
          <w:rFonts w:ascii="Arial" w:hAnsi="Arial" w:cs="Arial"/>
          <w:sz w:val="17"/>
          <w:szCs w:val="17"/>
        </w:rPr>
        <w:t xml:space="preserve">ead </w:t>
      </w:r>
      <w:r>
        <w:rPr>
          <w:rFonts w:ascii="Arial" w:hAnsi="Arial" w:cs="Arial"/>
          <w:sz w:val="17"/>
          <w:szCs w:val="17"/>
        </w:rPr>
        <w:t xml:space="preserve">of </w:t>
      </w:r>
      <w:r w:rsidRPr="00D93578">
        <w:rPr>
          <w:rFonts w:ascii="Arial" w:hAnsi="Arial" w:cs="Arial"/>
          <w:sz w:val="17"/>
          <w:szCs w:val="17"/>
        </w:rPr>
        <w:t xml:space="preserve">Nursing, </w:t>
      </w:r>
      <w:r>
        <w:rPr>
          <w:rFonts w:ascii="Arial" w:hAnsi="Arial" w:cs="Arial"/>
          <w:sz w:val="17"/>
          <w:szCs w:val="17"/>
        </w:rPr>
        <w:t>h</w:t>
      </w:r>
      <w:r w:rsidRPr="00D93578">
        <w:rPr>
          <w:rFonts w:ascii="Arial" w:hAnsi="Arial" w:cs="Arial"/>
          <w:sz w:val="17"/>
          <w:szCs w:val="17"/>
        </w:rPr>
        <w:t xml:space="preserve">ead </w:t>
      </w:r>
      <w:r>
        <w:rPr>
          <w:rFonts w:ascii="Arial" w:hAnsi="Arial" w:cs="Arial"/>
          <w:sz w:val="17"/>
          <w:szCs w:val="17"/>
        </w:rPr>
        <w:t>of o</w:t>
      </w:r>
      <w:r w:rsidRPr="00D93578">
        <w:rPr>
          <w:rFonts w:ascii="Arial" w:hAnsi="Arial" w:cs="Arial"/>
          <w:sz w:val="17"/>
          <w:szCs w:val="17"/>
        </w:rPr>
        <w:t xml:space="preserve">perational </w:t>
      </w:r>
      <w:r>
        <w:rPr>
          <w:rFonts w:ascii="Arial" w:hAnsi="Arial" w:cs="Arial"/>
          <w:sz w:val="17"/>
          <w:szCs w:val="17"/>
        </w:rPr>
        <w:t>e</w:t>
      </w:r>
      <w:r w:rsidRPr="00D93578">
        <w:rPr>
          <w:rFonts w:ascii="Arial" w:hAnsi="Arial" w:cs="Arial"/>
          <w:sz w:val="17"/>
          <w:szCs w:val="17"/>
        </w:rPr>
        <w:t xml:space="preserve">xcellence, </w:t>
      </w:r>
      <w:r>
        <w:rPr>
          <w:rFonts w:ascii="Arial" w:hAnsi="Arial" w:cs="Arial"/>
          <w:sz w:val="17"/>
          <w:szCs w:val="17"/>
        </w:rPr>
        <w:t>h</w:t>
      </w:r>
      <w:r w:rsidRPr="00D93578">
        <w:rPr>
          <w:rFonts w:ascii="Arial" w:hAnsi="Arial" w:cs="Arial"/>
          <w:sz w:val="17"/>
          <w:szCs w:val="17"/>
        </w:rPr>
        <w:t xml:space="preserve">ead </w:t>
      </w:r>
      <w:r>
        <w:rPr>
          <w:rFonts w:ascii="Arial" w:hAnsi="Arial" w:cs="Arial"/>
          <w:sz w:val="17"/>
          <w:szCs w:val="17"/>
        </w:rPr>
        <w:t xml:space="preserve">of </w:t>
      </w:r>
      <w:r w:rsidRPr="00D93578">
        <w:rPr>
          <w:rFonts w:ascii="Arial" w:hAnsi="Arial" w:cs="Arial"/>
          <w:sz w:val="17"/>
          <w:szCs w:val="17"/>
        </w:rPr>
        <w:t xml:space="preserve">HR, </w:t>
      </w:r>
      <w:r>
        <w:rPr>
          <w:rFonts w:ascii="Arial" w:hAnsi="Arial" w:cs="Arial"/>
          <w:sz w:val="17"/>
          <w:szCs w:val="17"/>
        </w:rPr>
        <w:t>and h</w:t>
      </w:r>
      <w:r w:rsidRPr="00D93578">
        <w:rPr>
          <w:rFonts w:ascii="Arial" w:hAnsi="Arial" w:cs="Arial"/>
          <w:sz w:val="17"/>
          <w:szCs w:val="17"/>
        </w:rPr>
        <w:t xml:space="preserve">ead </w:t>
      </w:r>
      <w:r>
        <w:rPr>
          <w:rFonts w:ascii="Arial" w:hAnsi="Arial" w:cs="Arial"/>
          <w:sz w:val="17"/>
          <w:szCs w:val="17"/>
        </w:rPr>
        <w:t xml:space="preserve">of </w:t>
      </w:r>
      <w:r w:rsidRPr="00D93578">
        <w:rPr>
          <w:rFonts w:ascii="Arial" w:hAnsi="Arial" w:cs="Arial"/>
          <w:sz w:val="17"/>
          <w:szCs w:val="17"/>
        </w:rPr>
        <w:t xml:space="preserve">Finance.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FC77" w14:textId="12786B22" w:rsidR="005F75C6" w:rsidRPr="00C92CC4" w:rsidRDefault="005F75C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B1519">
      <w:rPr>
        <w:rFonts w:ascii="Arial" w:hAnsi="Arial"/>
        <w:b/>
        <w:noProof/>
      </w:rPr>
      <w:t>10</w:t>
    </w:r>
    <w:r>
      <w:rPr>
        <w:rFonts w:ascii="Arial" w:hAnsi="Arial"/>
        <w:b/>
      </w:rPr>
      <w:fldChar w:fldCharType="end"/>
    </w:r>
    <w:r>
      <w:rPr>
        <w:rFonts w:ascii="Arial" w:hAnsi="Arial"/>
        <w:b/>
      </w:rPr>
      <w:tab/>
    </w:r>
    <w:r w:rsidR="00943431">
      <w:rPr>
        <w:rFonts w:ascii="Arial" w:hAnsi="Arial"/>
        <w:b/>
      </w:rPr>
      <w:t>9B18C019</w:t>
    </w:r>
  </w:p>
  <w:p w14:paraId="602A2E7B" w14:textId="77777777" w:rsidR="005F75C6" w:rsidRDefault="005F75C6" w:rsidP="00D13667">
    <w:pPr>
      <w:pStyle w:val="Header"/>
      <w:tabs>
        <w:tab w:val="clear" w:pos="4680"/>
      </w:tabs>
      <w:rPr>
        <w:sz w:val="18"/>
        <w:szCs w:val="18"/>
      </w:rPr>
    </w:pPr>
  </w:p>
  <w:p w14:paraId="4D4608F0" w14:textId="77777777" w:rsidR="005F75C6" w:rsidRPr="00C92CC4" w:rsidRDefault="005F75C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A41"/>
    <w:rsid w:val="00013360"/>
    <w:rsid w:val="00016759"/>
    <w:rsid w:val="000216CE"/>
    <w:rsid w:val="00024ED4"/>
    <w:rsid w:val="00025DC7"/>
    <w:rsid w:val="000262ED"/>
    <w:rsid w:val="00035F09"/>
    <w:rsid w:val="00044ECC"/>
    <w:rsid w:val="000531D3"/>
    <w:rsid w:val="0005646B"/>
    <w:rsid w:val="0006513E"/>
    <w:rsid w:val="0008102D"/>
    <w:rsid w:val="000867D1"/>
    <w:rsid w:val="000903A0"/>
    <w:rsid w:val="00094C0E"/>
    <w:rsid w:val="00094DDA"/>
    <w:rsid w:val="000B59FF"/>
    <w:rsid w:val="000D7091"/>
    <w:rsid w:val="000E34F4"/>
    <w:rsid w:val="000E3E56"/>
    <w:rsid w:val="000F0C22"/>
    <w:rsid w:val="000F6B09"/>
    <w:rsid w:val="000F6FDC"/>
    <w:rsid w:val="00104567"/>
    <w:rsid w:val="00104916"/>
    <w:rsid w:val="00104AA7"/>
    <w:rsid w:val="0012732D"/>
    <w:rsid w:val="001309B8"/>
    <w:rsid w:val="00143F25"/>
    <w:rsid w:val="001441AB"/>
    <w:rsid w:val="00152682"/>
    <w:rsid w:val="00154FC9"/>
    <w:rsid w:val="00157644"/>
    <w:rsid w:val="0019241A"/>
    <w:rsid w:val="001A0D49"/>
    <w:rsid w:val="001A22D1"/>
    <w:rsid w:val="001A37BF"/>
    <w:rsid w:val="001A752D"/>
    <w:rsid w:val="001A757E"/>
    <w:rsid w:val="001B5032"/>
    <w:rsid w:val="001C7777"/>
    <w:rsid w:val="001D36C6"/>
    <w:rsid w:val="001E364F"/>
    <w:rsid w:val="001F4222"/>
    <w:rsid w:val="00203AA1"/>
    <w:rsid w:val="00213E98"/>
    <w:rsid w:val="0023081A"/>
    <w:rsid w:val="002D2DAD"/>
    <w:rsid w:val="002F460C"/>
    <w:rsid w:val="002F48D6"/>
    <w:rsid w:val="00317391"/>
    <w:rsid w:val="00326216"/>
    <w:rsid w:val="003265FB"/>
    <w:rsid w:val="00336580"/>
    <w:rsid w:val="00354899"/>
    <w:rsid w:val="00355FD6"/>
    <w:rsid w:val="00363429"/>
    <w:rsid w:val="00364A5C"/>
    <w:rsid w:val="00373FB1"/>
    <w:rsid w:val="00396C76"/>
    <w:rsid w:val="003B30D8"/>
    <w:rsid w:val="003B7EF2"/>
    <w:rsid w:val="003C3FA4"/>
    <w:rsid w:val="003D0BA1"/>
    <w:rsid w:val="003F1C67"/>
    <w:rsid w:val="003F2B0C"/>
    <w:rsid w:val="004105B2"/>
    <w:rsid w:val="00412900"/>
    <w:rsid w:val="00412992"/>
    <w:rsid w:val="004221E4"/>
    <w:rsid w:val="004273F8"/>
    <w:rsid w:val="004355A3"/>
    <w:rsid w:val="00444FFA"/>
    <w:rsid w:val="00446546"/>
    <w:rsid w:val="00452769"/>
    <w:rsid w:val="00465348"/>
    <w:rsid w:val="004702E6"/>
    <w:rsid w:val="00472286"/>
    <w:rsid w:val="00482128"/>
    <w:rsid w:val="004854C6"/>
    <w:rsid w:val="00490D59"/>
    <w:rsid w:val="004B1CCB"/>
    <w:rsid w:val="004B632F"/>
    <w:rsid w:val="004D3FB1"/>
    <w:rsid w:val="004D6F21"/>
    <w:rsid w:val="004D73A5"/>
    <w:rsid w:val="004E1263"/>
    <w:rsid w:val="004E5314"/>
    <w:rsid w:val="005127C0"/>
    <w:rsid w:val="005160F1"/>
    <w:rsid w:val="00524F2F"/>
    <w:rsid w:val="00527E5C"/>
    <w:rsid w:val="00532CF5"/>
    <w:rsid w:val="005528CB"/>
    <w:rsid w:val="00566771"/>
    <w:rsid w:val="00581E2E"/>
    <w:rsid w:val="00584F15"/>
    <w:rsid w:val="0059514B"/>
    <w:rsid w:val="005A1B0F"/>
    <w:rsid w:val="005A4975"/>
    <w:rsid w:val="005A5272"/>
    <w:rsid w:val="005F074F"/>
    <w:rsid w:val="005F75C6"/>
    <w:rsid w:val="006163F7"/>
    <w:rsid w:val="00622D32"/>
    <w:rsid w:val="00627C63"/>
    <w:rsid w:val="00630749"/>
    <w:rsid w:val="0063350B"/>
    <w:rsid w:val="006442AC"/>
    <w:rsid w:val="00652606"/>
    <w:rsid w:val="006946EE"/>
    <w:rsid w:val="006A58A9"/>
    <w:rsid w:val="006A606D"/>
    <w:rsid w:val="006B2368"/>
    <w:rsid w:val="006C02C1"/>
    <w:rsid w:val="006C0371"/>
    <w:rsid w:val="006C0476"/>
    <w:rsid w:val="006C08B6"/>
    <w:rsid w:val="006C0B1A"/>
    <w:rsid w:val="006C6065"/>
    <w:rsid w:val="006C7F9F"/>
    <w:rsid w:val="006E2F6D"/>
    <w:rsid w:val="006E58F6"/>
    <w:rsid w:val="006E7151"/>
    <w:rsid w:val="006E77E1"/>
    <w:rsid w:val="006F131D"/>
    <w:rsid w:val="00711642"/>
    <w:rsid w:val="00726A91"/>
    <w:rsid w:val="00736A84"/>
    <w:rsid w:val="007507C6"/>
    <w:rsid w:val="00751E0B"/>
    <w:rsid w:val="00752BCD"/>
    <w:rsid w:val="00766DA1"/>
    <w:rsid w:val="00780D94"/>
    <w:rsid w:val="007866A6"/>
    <w:rsid w:val="007A130D"/>
    <w:rsid w:val="007A6D74"/>
    <w:rsid w:val="007B51EE"/>
    <w:rsid w:val="007D1A2D"/>
    <w:rsid w:val="007D4102"/>
    <w:rsid w:val="007E47CB"/>
    <w:rsid w:val="007F43B7"/>
    <w:rsid w:val="00821FFC"/>
    <w:rsid w:val="008271CA"/>
    <w:rsid w:val="008467D5"/>
    <w:rsid w:val="00877B58"/>
    <w:rsid w:val="008817A8"/>
    <w:rsid w:val="008A4DC4"/>
    <w:rsid w:val="008B1519"/>
    <w:rsid w:val="008B438C"/>
    <w:rsid w:val="008D06CA"/>
    <w:rsid w:val="008D3A46"/>
    <w:rsid w:val="008E6AE0"/>
    <w:rsid w:val="009067A4"/>
    <w:rsid w:val="00914B09"/>
    <w:rsid w:val="00914F49"/>
    <w:rsid w:val="00930885"/>
    <w:rsid w:val="00933D68"/>
    <w:rsid w:val="009340DB"/>
    <w:rsid w:val="00943431"/>
    <w:rsid w:val="0094618C"/>
    <w:rsid w:val="0095684B"/>
    <w:rsid w:val="009625B0"/>
    <w:rsid w:val="00972498"/>
    <w:rsid w:val="0097481F"/>
    <w:rsid w:val="00974CC6"/>
    <w:rsid w:val="00976AD4"/>
    <w:rsid w:val="009771B9"/>
    <w:rsid w:val="00995547"/>
    <w:rsid w:val="00995EAC"/>
    <w:rsid w:val="009A312F"/>
    <w:rsid w:val="009A5348"/>
    <w:rsid w:val="009B0AB7"/>
    <w:rsid w:val="009C76D5"/>
    <w:rsid w:val="009D7AF0"/>
    <w:rsid w:val="009E43C8"/>
    <w:rsid w:val="009F30B6"/>
    <w:rsid w:val="009F7AA4"/>
    <w:rsid w:val="00A10AD7"/>
    <w:rsid w:val="00A1327E"/>
    <w:rsid w:val="00A20EE3"/>
    <w:rsid w:val="00A379F5"/>
    <w:rsid w:val="00A559DB"/>
    <w:rsid w:val="00A569EA"/>
    <w:rsid w:val="00A60536"/>
    <w:rsid w:val="00A767B8"/>
    <w:rsid w:val="00A90F05"/>
    <w:rsid w:val="00AF35FC"/>
    <w:rsid w:val="00AF5556"/>
    <w:rsid w:val="00B03639"/>
    <w:rsid w:val="00B0652A"/>
    <w:rsid w:val="00B40937"/>
    <w:rsid w:val="00B423EF"/>
    <w:rsid w:val="00B453DE"/>
    <w:rsid w:val="00B713BA"/>
    <w:rsid w:val="00B72597"/>
    <w:rsid w:val="00B901F9"/>
    <w:rsid w:val="00BD36FF"/>
    <w:rsid w:val="00BD6EFB"/>
    <w:rsid w:val="00C1584D"/>
    <w:rsid w:val="00C15BE2"/>
    <w:rsid w:val="00C3447F"/>
    <w:rsid w:val="00C5222B"/>
    <w:rsid w:val="00C53CEE"/>
    <w:rsid w:val="00C56C80"/>
    <w:rsid w:val="00C67102"/>
    <w:rsid w:val="00C81491"/>
    <w:rsid w:val="00C81676"/>
    <w:rsid w:val="00C83474"/>
    <w:rsid w:val="00C85C5D"/>
    <w:rsid w:val="00C92CC4"/>
    <w:rsid w:val="00C959F0"/>
    <w:rsid w:val="00CA0AFB"/>
    <w:rsid w:val="00CA2CE1"/>
    <w:rsid w:val="00CA3976"/>
    <w:rsid w:val="00CA50E3"/>
    <w:rsid w:val="00CA757B"/>
    <w:rsid w:val="00CC1787"/>
    <w:rsid w:val="00CC182C"/>
    <w:rsid w:val="00CC1EF3"/>
    <w:rsid w:val="00CD0824"/>
    <w:rsid w:val="00CD16E5"/>
    <w:rsid w:val="00CD2908"/>
    <w:rsid w:val="00CF2A43"/>
    <w:rsid w:val="00D03A82"/>
    <w:rsid w:val="00D13667"/>
    <w:rsid w:val="00D15344"/>
    <w:rsid w:val="00D23F57"/>
    <w:rsid w:val="00D31BEC"/>
    <w:rsid w:val="00D63150"/>
    <w:rsid w:val="00D636BA"/>
    <w:rsid w:val="00D64A32"/>
    <w:rsid w:val="00D64EFC"/>
    <w:rsid w:val="00D70AE9"/>
    <w:rsid w:val="00D75295"/>
    <w:rsid w:val="00D76AF2"/>
    <w:rsid w:val="00D76CE9"/>
    <w:rsid w:val="00D8170B"/>
    <w:rsid w:val="00D97F12"/>
    <w:rsid w:val="00DA6095"/>
    <w:rsid w:val="00DA7D32"/>
    <w:rsid w:val="00DB42E7"/>
    <w:rsid w:val="00DE01A6"/>
    <w:rsid w:val="00DE7A98"/>
    <w:rsid w:val="00DF045C"/>
    <w:rsid w:val="00DF32C2"/>
    <w:rsid w:val="00DF4007"/>
    <w:rsid w:val="00E0109A"/>
    <w:rsid w:val="00E471A7"/>
    <w:rsid w:val="00E53402"/>
    <w:rsid w:val="00E60725"/>
    <w:rsid w:val="00E635CF"/>
    <w:rsid w:val="00E7136E"/>
    <w:rsid w:val="00EC6E0A"/>
    <w:rsid w:val="00ED0CDA"/>
    <w:rsid w:val="00ED24B5"/>
    <w:rsid w:val="00ED4E18"/>
    <w:rsid w:val="00EE1F37"/>
    <w:rsid w:val="00F0159C"/>
    <w:rsid w:val="00F105B7"/>
    <w:rsid w:val="00F13220"/>
    <w:rsid w:val="00F17A21"/>
    <w:rsid w:val="00F235AC"/>
    <w:rsid w:val="00F37B27"/>
    <w:rsid w:val="00F46556"/>
    <w:rsid w:val="00F47BBF"/>
    <w:rsid w:val="00F50E91"/>
    <w:rsid w:val="00F57D29"/>
    <w:rsid w:val="00F96201"/>
    <w:rsid w:val="00FD0B18"/>
    <w:rsid w:val="00FD2FAD"/>
    <w:rsid w:val="00FD7211"/>
    <w:rsid w:val="00FE43C4"/>
    <w:rsid w:val="00FE714F"/>
    <w:rsid w:val="00FF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6E7108C"/>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CD1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mailto:cases@ivey.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leveland,_Oh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Fortis%20RN\Book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Fortis%20RN\Book1.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D:\Fortis%20RN\Book1.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D:\Fortis%20RN\Book1.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Sheet1!$D$63</c:f>
              <c:strCache>
                <c:ptCount val="1"/>
                <c:pt idx="0">
                  <c:v>SCORE</c:v>
                </c:pt>
              </c:strCache>
            </c:strRef>
          </c:tx>
          <c:spPr>
            <a:ln w="28575" cap="rnd" cmpd="sng" algn="ctr">
              <a:solidFill>
                <a:schemeClr val="dk1">
                  <a:tint val="88500"/>
                  <a:shade val="95000"/>
                  <a:satMod val="105000"/>
                </a:schemeClr>
              </a:solidFill>
              <a:prstDash val="solid"/>
              <a:round/>
            </a:ln>
            <a:effectLst/>
          </c:spPr>
          <c:marker>
            <c:spPr>
              <a:solidFill>
                <a:schemeClr val="dk1">
                  <a:tint val="88500"/>
                </a:schemeClr>
              </a:solidFill>
              <a:ln w="9525" cap="flat" cmpd="sng" algn="ctr">
                <a:solidFill>
                  <a:schemeClr val="dk1">
                    <a:tint val="88500"/>
                    <a:shade val="95000"/>
                    <a:satMod val="105000"/>
                  </a:schemeClr>
                </a:solidFill>
                <a:prstDash val="solid"/>
                <a:round/>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Sheet1!$C$64:$C$69</c:f>
              <c:strCache>
                <c:ptCount val="6"/>
                <c:pt idx="0">
                  <c:v>Q3 15–16</c:v>
                </c:pt>
                <c:pt idx="1">
                  <c:v>Q4 15–16</c:v>
                </c:pt>
                <c:pt idx="2">
                  <c:v>Q1 16–17</c:v>
                </c:pt>
                <c:pt idx="3">
                  <c:v>Q2 16–17</c:v>
                </c:pt>
                <c:pt idx="4">
                  <c:v>Q3 16–17</c:v>
                </c:pt>
                <c:pt idx="5">
                  <c:v>Q4 16–17</c:v>
                </c:pt>
              </c:strCache>
            </c:strRef>
          </c:cat>
          <c:val>
            <c:numRef>
              <c:f>Sheet1!$D$64:$D$69</c:f>
              <c:numCache>
                <c:formatCode>0%</c:formatCode>
                <c:ptCount val="6"/>
                <c:pt idx="0">
                  <c:v>0.69</c:v>
                </c:pt>
                <c:pt idx="1">
                  <c:v>0.71</c:v>
                </c:pt>
                <c:pt idx="2">
                  <c:v>0.79</c:v>
                </c:pt>
                <c:pt idx="3">
                  <c:v>0.8</c:v>
                </c:pt>
                <c:pt idx="4">
                  <c:v>0.84</c:v>
                </c:pt>
                <c:pt idx="5">
                  <c:v>0.86</c:v>
                </c:pt>
              </c:numCache>
            </c:numRef>
          </c:val>
          <c:smooth val="0"/>
        </c:ser>
        <c:dLbls>
          <c:showLegendKey val="0"/>
          <c:showVal val="0"/>
          <c:showCatName val="0"/>
          <c:showSerName val="0"/>
          <c:showPercent val="0"/>
          <c:showBubbleSize val="0"/>
        </c:dLbls>
        <c:hiLowLines>
          <c:spPr>
            <a:ln w="9525" cap="flat" cmpd="sng" algn="ctr">
              <a:solidFill>
                <a:schemeClr val="tx1">
                  <a:shade val="95000"/>
                  <a:satMod val="105000"/>
                </a:schemeClr>
              </a:solidFill>
              <a:prstDash val="solid"/>
              <a:round/>
            </a:ln>
            <a:effectLst/>
          </c:spPr>
        </c:hiLowLines>
        <c:upDownBars>
          <c:gapWidth val="150"/>
          <c:upBars>
            <c:spPr>
              <a:solidFill>
                <a:schemeClr val="dk1">
                  <a:tint val="5000"/>
                </a:schemeClr>
              </a:solidFill>
              <a:ln w="9525" cap="flat" cmpd="sng" algn="ctr">
                <a:solidFill>
                  <a:schemeClr val="tx1">
                    <a:shade val="95000"/>
                    <a:satMod val="105000"/>
                  </a:schemeClr>
                </a:solidFill>
                <a:prstDash val="solid"/>
                <a:round/>
              </a:ln>
              <a:effectLst/>
            </c:spPr>
          </c:upBars>
          <c:downBars>
            <c:spPr>
              <a:solidFill>
                <a:schemeClr val="dk1">
                  <a:tint val="95000"/>
                </a:schemeClr>
              </a:solidFill>
              <a:ln w="9525" cap="flat" cmpd="sng" algn="ctr">
                <a:solidFill>
                  <a:schemeClr val="tx1">
                    <a:shade val="95000"/>
                    <a:satMod val="105000"/>
                  </a:schemeClr>
                </a:solidFill>
                <a:prstDash val="solid"/>
                <a:round/>
              </a:ln>
              <a:effectLst/>
            </c:spPr>
          </c:downBars>
        </c:upDownBars>
        <c:marker val="1"/>
        <c:smooth val="0"/>
        <c:axId val="161162584"/>
        <c:axId val="74049792"/>
      </c:lineChart>
      <c:catAx>
        <c:axId val="16116258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QUARTER</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4049792"/>
        <c:crossesAt val="0"/>
        <c:auto val="1"/>
        <c:lblAlgn val="ctr"/>
        <c:lblOffset val="100"/>
        <c:noMultiLvlLbl val="0"/>
      </c:catAx>
      <c:valAx>
        <c:axId val="74049792"/>
        <c:scaling>
          <c:orientation val="minMax"/>
          <c:max val="1"/>
          <c:min val="0.60000000000000009"/>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FOS SCORE</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1162584"/>
        <c:crosses val="autoZero"/>
        <c:crossBetween val="between"/>
      </c:valAx>
      <c:spPr>
        <a:solidFill>
          <a:schemeClr val="bg1"/>
        </a:solidFill>
        <a:ln>
          <a:noFill/>
        </a:ln>
        <a:effectLst/>
      </c:spPr>
    </c:plotArea>
    <c:plotVisOnly val="1"/>
    <c:dispBlanksAs val="gap"/>
    <c:showDLblsOverMax val="0"/>
  </c:chart>
  <c:spPr>
    <a:solidFill>
      <a:schemeClr val="bg1"/>
    </a:solidFill>
    <a:ln w="9525" cap="flat" cmpd="sng" algn="ctr">
      <a:solidFill>
        <a:schemeClr val="tx1"/>
      </a:solidFill>
      <a:prstDash val="solid"/>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Patients with final bill more than 5% of estimate (%)</a:t>
            </a:r>
          </a:p>
        </c:rich>
      </c:tx>
      <c:layout>
        <c:manualLayout>
          <c:xMode val="edge"/>
          <c:yMode val="edge"/>
          <c:x val="0.21102777777777779"/>
          <c:y val="2.7777777777777776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Sheet1!$D$77</c:f>
              <c:strCache>
                <c:ptCount val="1"/>
                <c:pt idx="0">
                  <c:v>PERCENTAGE</c:v>
                </c:pt>
              </c:strCache>
            </c:strRef>
          </c:tx>
          <c:spPr>
            <a:ln w="28575" cap="rnd" cmpd="sng" algn="ctr">
              <a:solidFill>
                <a:schemeClr val="dk1">
                  <a:tint val="88500"/>
                  <a:shade val="95000"/>
                  <a:satMod val="105000"/>
                </a:schemeClr>
              </a:solidFill>
              <a:prstDash val="solid"/>
              <a:round/>
            </a:ln>
            <a:effectLst/>
          </c:spPr>
          <c:marker>
            <c:spPr>
              <a:solidFill>
                <a:schemeClr val="dk1">
                  <a:tint val="88500"/>
                </a:schemeClr>
              </a:solidFill>
              <a:ln w="9525" cap="flat" cmpd="sng" algn="ctr">
                <a:solidFill>
                  <a:schemeClr val="dk1">
                    <a:tint val="88500"/>
                    <a:shade val="95000"/>
                    <a:satMod val="105000"/>
                  </a:schemeClr>
                </a:solidFill>
                <a:prstDash val="solid"/>
                <a:round/>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Sheet1!$C$78:$C$81</c:f>
              <c:strCache>
                <c:ptCount val="4"/>
                <c:pt idx="0">
                  <c:v>13–14</c:v>
                </c:pt>
                <c:pt idx="1">
                  <c:v>14–15</c:v>
                </c:pt>
                <c:pt idx="2">
                  <c:v>15–16</c:v>
                </c:pt>
                <c:pt idx="3">
                  <c:v>16–17</c:v>
                </c:pt>
              </c:strCache>
            </c:strRef>
          </c:cat>
          <c:val>
            <c:numRef>
              <c:f>Sheet1!$D$78:$D$81</c:f>
              <c:numCache>
                <c:formatCode>0%</c:formatCode>
                <c:ptCount val="4"/>
                <c:pt idx="0">
                  <c:v>0.1</c:v>
                </c:pt>
                <c:pt idx="1">
                  <c:v>0.12</c:v>
                </c:pt>
                <c:pt idx="2">
                  <c:v>0.14000000000000001</c:v>
                </c:pt>
                <c:pt idx="3" formatCode="0.00%">
                  <c:v>7.17E-2</c:v>
                </c:pt>
              </c:numCache>
            </c:numRef>
          </c:val>
          <c:smooth val="0"/>
        </c:ser>
        <c:dLbls>
          <c:dLblPos val="t"/>
          <c:showLegendKey val="0"/>
          <c:showVal val="1"/>
          <c:showCatName val="0"/>
          <c:showSerName val="0"/>
          <c:showPercent val="0"/>
          <c:showBubbleSize val="0"/>
        </c:dLbls>
        <c:marker val="1"/>
        <c:smooth val="0"/>
        <c:axId val="458214248"/>
        <c:axId val="458214640"/>
      </c:lineChart>
      <c:catAx>
        <c:axId val="458214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050">
                    <a:latin typeface="Arial" panose="020B0604020202020204" pitchFamily="34" charset="0"/>
                    <a:cs typeface="Arial" panose="020B0604020202020204" pitchFamily="34" charset="0"/>
                  </a:rPr>
                  <a:t>YEAR</a:t>
                </a:r>
              </a:p>
            </c:rich>
          </c:tx>
          <c:layout>
            <c:manualLayout>
              <c:xMode val="edge"/>
              <c:yMode val="edge"/>
              <c:x val="0.52105971654319738"/>
              <c:y val="0.8854580397181295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58214640"/>
        <c:crosses val="autoZero"/>
        <c:auto val="1"/>
        <c:lblAlgn val="ctr"/>
        <c:lblOffset val="100"/>
        <c:noMultiLvlLbl val="0"/>
      </c:catAx>
      <c:valAx>
        <c:axId val="45821464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050">
                    <a:latin typeface="Arial" panose="020B0604020202020204" pitchFamily="34" charset="0"/>
                    <a:cs typeface="Arial" panose="020B0604020202020204" pitchFamily="34" charset="0"/>
                  </a:rPr>
                  <a:t>PERCENTAGE</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58214248"/>
        <c:crosses val="autoZero"/>
        <c:crossBetween val="between"/>
        <c:majorUnit val="5.000000000000001E-2"/>
      </c:valAx>
      <c:spPr>
        <a:solidFill>
          <a:schemeClr val="bg1"/>
        </a:solidFill>
        <a:ln>
          <a:noFill/>
        </a:ln>
        <a:effectLst/>
      </c:spPr>
    </c:plotArea>
    <c:plotVisOnly val="1"/>
    <c:dispBlanksAs val="gap"/>
    <c:showDLblsOverMax val="0"/>
  </c:chart>
  <c:spPr>
    <a:solidFill>
      <a:schemeClr val="bg1"/>
    </a:solidFill>
    <a:ln w="9525" cap="flat" cmpd="sng" algn="ctr">
      <a:solidFill>
        <a:schemeClr val="tx1"/>
      </a:solidFill>
      <a:prstDash val="solid"/>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291795405588252"/>
          <c:y val="4.596820532465045E-2"/>
          <c:w val="0.85150362483029352"/>
          <c:h val="0.78505369743932363"/>
        </c:manualLayout>
      </c:layout>
      <c:lineChart>
        <c:grouping val="standard"/>
        <c:varyColors val="0"/>
        <c:ser>
          <c:idx val="0"/>
          <c:order val="0"/>
          <c:tx>
            <c:strRef>
              <c:f>Sheet1!$D$87</c:f>
              <c:strCache>
                <c:ptCount val="1"/>
                <c:pt idx="0">
                  <c:v>MINUTES</c:v>
                </c:pt>
              </c:strCache>
            </c:strRef>
          </c:tx>
          <c:spPr>
            <a:ln w="28575" cap="rnd" cmpd="sng" algn="ctr">
              <a:solidFill>
                <a:schemeClr val="dk1">
                  <a:tint val="88500"/>
                  <a:shade val="95000"/>
                  <a:satMod val="105000"/>
                </a:schemeClr>
              </a:solidFill>
              <a:prstDash val="solid"/>
              <a:round/>
            </a:ln>
            <a:effectLst/>
          </c:spPr>
          <c:marker>
            <c:spPr>
              <a:solidFill>
                <a:schemeClr val="dk1">
                  <a:tint val="88500"/>
                </a:schemeClr>
              </a:solidFill>
              <a:ln w="9525" cap="flat" cmpd="sng" algn="ctr">
                <a:solidFill>
                  <a:schemeClr val="dk1">
                    <a:tint val="88500"/>
                    <a:shade val="95000"/>
                    <a:satMod val="105000"/>
                  </a:schemeClr>
                </a:solidFill>
                <a:prstDash val="solid"/>
                <a:round/>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Sheet1!$C$88:$C$91</c:f>
              <c:strCache>
                <c:ptCount val="4"/>
                <c:pt idx="0">
                  <c:v>13–14</c:v>
                </c:pt>
                <c:pt idx="1">
                  <c:v>14–15</c:v>
                </c:pt>
                <c:pt idx="2">
                  <c:v>15–16</c:v>
                </c:pt>
                <c:pt idx="3">
                  <c:v>16–17</c:v>
                </c:pt>
              </c:strCache>
            </c:strRef>
          </c:cat>
          <c:val>
            <c:numRef>
              <c:f>Sheet1!$D$88:$D$91</c:f>
              <c:numCache>
                <c:formatCode>General</c:formatCode>
                <c:ptCount val="4"/>
                <c:pt idx="0">
                  <c:v>173</c:v>
                </c:pt>
                <c:pt idx="1">
                  <c:v>176</c:v>
                </c:pt>
                <c:pt idx="2">
                  <c:v>179</c:v>
                </c:pt>
                <c:pt idx="3">
                  <c:v>138</c:v>
                </c:pt>
              </c:numCache>
            </c:numRef>
          </c:val>
          <c:smooth val="0"/>
        </c:ser>
        <c:dLbls>
          <c:dLblPos val="t"/>
          <c:showLegendKey val="0"/>
          <c:showVal val="1"/>
          <c:showCatName val="0"/>
          <c:showSerName val="0"/>
          <c:showPercent val="0"/>
          <c:showBubbleSize val="0"/>
        </c:dLbls>
        <c:marker val="1"/>
        <c:smooth val="0"/>
        <c:axId val="458215424"/>
        <c:axId val="458215816"/>
      </c:lineChart>
      <c:catAx>
        <c:axId val="4582154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050">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58215816"/>
        <c:crosses val="autoZero"/>
        <c:auto val="1"/>
        <c:lblAlgn val="ctr"/>
        <c:lblOffset val="100"/>
        <c:noMultiLvlLbl val="0"/>
      </c:catAx>
      <c:valAx>
        <c:axId val="458215816"/>
        <c:scaling>
          <c:orientation val="minMax"/>
          <c:max val="200"/>
          <c:min val="120"/>
        </c:scaling>
        <c:delete val="0"/>
        <c:axPos val="l"/>
        <c:majorGridlines>
          <c:spPr>
            <a:ln w="9525" cap="flat" cmpd="sng" algn="ctr">
              <a:no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050">
                    <a:latin typeface="Arial" panose="020B0604020202020204" pitchFamily="34" charset="0"/>
                    <a:cs typeface="Arial" panose="020B0604020202020204" pitchFamily="34" charset="0"/>
                  </a:rPr>
                  <a:t>MINUTES</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58215424"/>
        <c:crosses val="autoZero"/>
        <c:crossBetween val="between"/>
        <c:majorUnit val="20"/>
      </c:valAx>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sz="1400"/>
              <a:t>OPD Metrics (%)</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Sheet1!$D$98:$D$99</c:f>
              <c:strCache>
                <c:ptCount val="2"/>
                <c:pt idx="1">
                  <c:v>Doctors arriving late for OPD patients (%)</c:v>
                </c:pt>
              </c:strCache>
            </c:strRef>
          </c:tx>
          <c:spPr>
            <a:ln w="28575" cap="rnd" cmpd="sng" algn="ctr">
              <a:solidFill>
                <a:schemeClr val="dk1">
                  <a:tint val="88500"/>
                  <a:shade val="95000"/>
                  <a:satMod val="105000"/>
                </a:schemeClr>
              </a:solidFill>
              <a:prstDash val="solid"/>
              <a:round/>
            </a:ln>
            <a:effectLst/>
          </c:spPr>
          <c:marker>
            <c:spPr>
              <a:solidFill>
                <a:schemeClr val="dk1">
                  <a:tint val="88500"/>
                </a:schemeClr>
              </a:solidFill>
              <a:ln w="9525" cap="flat" cmpd="sng" algn="ctr">
                <a:solidFill>
                  <a:schemeClr val="dk1">
                    <a:tint val="88500"/>
                    <a:shade val="95000"/>
                    <a:satMod val="105000"/>
                  </a:schemeClr>
                </a:solidFill>
                <a:prstDash val="solid"/>
                <a:round/>
              </a:ln>
              <a:effectLst/>
            </c:spPr>
          </c:marker>
          <c:dLbls>
            <c:dLbl>
              <c:idx val="0"/>
              <c:layout>
                <c:manualLayout>
                  <c:x val="-5.0402896718202195E-2"/>
                  <c:y val="-4.5821668124817728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4.4148514282430024E-2"/>
                  <c:y val="-3.193277923592882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3.4416154185106421E-2"/>
                  <c:y val="-3.656240886555847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3.5225204513669367E-2"/>
                  <c:y val="-4.5821668124817728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Sheet1!$C$100:$C$103</c:f>
              <c:strCache>
                <c:ptCount val="4"/>
                <c:pt idx="0">
                  <c:v>13–15</c:v>
                </c:pt>
                <c:pt idx="1">
                  <c:v>14–15</c:v>
                </c:pt>
                <c:pt idx="2">
                  <c:v>15–16</c:v>
                </c:pt>
                <c:pt idx="3">
                  <c:v>16–17</c:v>
                </c:pt>
              </c:strCache>
            </c:strRef>
          </c:cat>
          <c:val>
            <c:numRef>
              <c:f>Sheet1!$D$100:$D$103</c:f>
              <c:numCache>
                <c:formatCode>0%</c:formatCode>
                <c:ptCount val="4"/>
                <c:pt idx="0">
                  <c:v>0.19</c:v>
                </c:pt>
                <c:pt idx="1">
                  <c:v>0.21</c:v>
                </c:pt>
                <c:pt idx="2">
                  <c:v>0.2</c:v>
                </c:pt>
                <c:pt idx="3" formatCode="0.00%">
                  <c:v>0.15970000000000001</c:v>
                </c:pt>
              </c:numCache>
            </c:numRef>
          </c:val>
          <c:smooth val="0"/>
        </c:ser>
        <c:ser>
          <c:idx val="1"/>
          <c:order val="1"/>
          <c:tx>
            <c:strRef>
              <c:f>Sheet1!$E$98:$E$99</c:f>
              <c:strCache>
                <c:ptCount val="2"/>
                <c:pt idx="1">
                  <c:v>Patients waiting beyond appointment time (%)</c:v>
                </c:pt>
              </c:strCache>
            </c:strRef>
          </c:tx>
          <c:spPr>
            <a:ln w="28575" cap="rnd" cmpd="sng" algn="ctr">
              <a:solidFill>
                <a:schemeClr val="dk1">
                  <a:tint val="55000"/>
                  <a:shade val="95000"/>
                  <a:satMod val="105000"/>
                </a:schemeClr>
              </a:solidFill>
              <a:prstDash val="solid"/>
              <a:round/>
            </a:ln>
            <a:effectLst/>
          </c:spPr>
          <c:marker>
            <c:spPr>
              <a:solidFill>
                <a:schemeClr val="dk1">
                  <a:tint val="55000"/>
                </a:schemeClr>
              </a:solidFill>
              <a:ln w="9525" cap="flat" cmpd="sng" algn="ctr">
                <a:solidFill>
                  <a:schemeClr val="dk1">
                    <a:tint val="55000"/>
                    <a:shade val="95000"/>
                    <a:satMod val="105000"/>
                  </a:schemeClr>
                </a:solidFill>
                <a:prstDash val="solid"/>
                <a:round/>
              </a:ln>
              <a:effectLst/>
            </c:spPr>
          </c:marker>
          <c:dLbls>
            <c:dLbl>
              <c:idx val="0"/>
              <c:layout>
                <c:manualLayout>
                  <c:x val="-4.4148514282430024E-2"/>
                  <c:y val="4.6770924467774901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7.2625246661685586E-2"/>
                  <c:y val="4.2141294838145271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Sheet1!$C$100:$C$103</c:f>
              <c:strCache>
                <c:ptCount val="4"/>
                <c:pt idx="0">
                  <c:v>13–15</c:v>
                </c:pt>
                <c:pt idx="1">
                  <c:v>14–15</c:v>
                </c:pt>
                <c:pt idx="2">
                  <c:v>15–16</c:v>
                </c:pt>
                <c:pt idx="3">
                  <c:v>16–17</c:v>
                </c:pt>
              </c:strCache>
            </c:strRef>
          </c:cat>
          <c:val>
            <c:numRef>
              <c:f>Sheet1!$E$100:$E$103</c:f>
              <c:numCache>
                <c:formatCode>@</c:formatCode>
                <c:ptCount val="4"/>
                <c:pt idx="0">
                  <c:v>0.18</c:v>
                </c:pt>
                <c:pt idx="1">
                  <c:v>0.19</c:v>
                </c:pt>
                <c:pt idx="2">
                  <c:v>0.18</c:v>
                </c:pt>
                <c:pt idx="3">
                  <c:v>0.12709999999999999</c:v>
                </c:pt>
              </c:numCache>
            </c:numRef>
          </c:val>
          <c:smooth val="0"/>
        </c:ser>
        <c:dLbls>
          <c:dLblPos val="b"/>
          <c:showLegendKey val="0"/>
          <c:showVal val="1"/>
          <c:showCatName val="0"/>
          <c:showSerName val="0"/>
          <c:showPercent val="0"/>
          <c:showBubbleSize val="0"/>
        </c:dLbls>
        <c:marker val="1"/>
        <c:smooth val="0"/>
        <c:axId val="452899088"/>
        <c:axId val="452899480"/>
      </c:lineChart>
      <c:catAx>
        <c:axId val="4528990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050">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52899480"/>
        <c:crosses val="autoZero"/>
        <c:auto val="1"/>
        <c:lblAlgn val="ctr"/>
        <c:lblOffset val="100"/>
        <c:noMultiLvlLbl val="0"/>
      </c:catAx>
      <c:valAx>
        <c:axId val="452899480"/>
        <c:scaling>
          <c:orientation val="minMax"/>
          <c:min val="0"/>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050">
                    <a:latin typeface="Arial" panose="020B0604020202020204" pitchFamily="34" charset="0"/>
                    <a:cs typeface="Arial" panose="020B0604020202020204" pitchFamily="34" charset="0"/>
                  </a:rPr>
                  <a:t>PERCENTAGE</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52899088"/>
        <c:crosses val="autoZero"/>
        <c:crossBetween val="between"/>
        <c:majorUnit val="4.0000000000000008E-2"/>
        <c:minorUnit val="4.000000000000001E-3"/>
      </c:valAx>
      <c:spPr>
        <a:solidFill>
          <a:schemeClr val="bg1"/>
        </a:solidFill>
        <a:ln>
          <a:noFill/>
        </a:ln>
        <a:effectLst/>
      </c:spPr>
    </c:plotArea>
    <c:legend>
      <c:legendPos val="r"/>
      <c:layout>
        <c:manualLayout>
          <c:xMode val="edge"/>
          <c:yMode val="edge"/>
          <c:x val="0.65610317080971903"/>
          <c:y val="0.41985330901552065"/>
          <c:w val="0.33476857725052739"/>
          <c:h val="0.240317281590548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0.3</cdr:x>
      <cdr:y>0.07292</cdr:y>
    </cdr:from>
    <cdr:to>
      <cdr:x>0.3</cdr:x>
      <cdr:y>0.79861</cdr:y>
    </cdr:to>
    <cdr:cxnSp macro="">
      <cdr:nvCxnSpPr>
        <cdr:cNvPr id="3" name="Straight Connector 2"/>
        <cdr:cNvCxnSpPr/>
      </cdr:nvCxnSpPr>
      <cdr:spPr>
        <a:xfrm xmlns:a="http://schemas.openxmlformats.org/drawingml/2006/main">
          <a:off x="1371600" y="200025"/>
          <a:ext cx="0" cy="1990725"/>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0.17776</cdr:x>
      <cdr:y>0.52994</cdr:y>
    </cdr:from>
    <cdr:to>
      <cdr:x>0.25335</cdr:x>
      <cdr:y>0.63584</cdr:y>
    </cdr:to>
    <cdr:sp macro="" textlink="">
      <cdr:nvSpPr>
        <cdr:cNvPr id="4" name="Oval 3"/>
        <cdr:cNvSpPr/>
      </cdr:nvSpPr>
      <cdr:spPr>
        <a:xfrm xmlns:a="http://schemas.openxmlformats.org/drawingml/2006/main">
          <a:off x="934169" y="1668440"/>
          <a:ext cx="397245" cy="333408"/>
        </a:xfrm>
        <a:prstGeom xmlns:a="http://schemas.openxmlformats.org/drawingml/2006/main" prst="ellipse">
          <a:avLst/>
        </a:prstGeom>
        <a:noFill xmlns:a="http://schemas.openxmlformats.org/drawingml/2006/main"/>
        <a:ln xmlns:a="http://schemas.openxmlformats.org/drawingml/2006/main">
          <a:solidFill>
            <a:schemeClr val="tx1">
              <a:lumMod val="50000"/>
              <a:lumOff val="50000"/>
            </a:schemeClr>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0.86362</cdr:x>
      <cdr:y>0.17462</cdr:y>
    </cdr:from>
    <cdr:to>
      <cdr:x>0.94462</cdr:x>
      <cdr:y>0.29421</cdr:y>
    </cdr:to>
    <cdr:sp macro="" textlink="">
      <cdr:nvSpPr>
        <cdr:cNvPr id="5" name="Oval 4"/>
        <cdr:cNvSpPr/>
      </cdr:nvSpPr>
      <cdr:spPr>
        <a:xfrm xmlns:a="http://schemas.openxmlformats.org/drawingml/2006/main">
          <a:off x="3948461" y="512280"/>
          <a:ext cx="370358" cy="350858"/>
        </a:xfrm>
        <a:prstGeom xmlns:a="http://schemas.openxmlformats.org/drawingml/2006/main" prst="ellipse">
          <a:avLst/>
        </a:prstGeom>
        <a:noFill xmlns:a="http://schemas.openxmlformats.org/drawingml/2006/main"/>
        <a:ln xmlns:a="http://schemas.openxmlformats.org/drawingml/2006/main">
          <a:solidFill>
            <a:schemeClr val="tx1">
              <a:lumMod val="50000"/>
              <a:lumOff val="50000"/>
            </a:schemeClr>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userShapes>
</file>

<file path=word/drawings/drawing2.xml><?xml version="1.0" encoding="utf-8"?>
<c:userShapes xmlns:c="http://schemas.openxmlformats.org/drawingml/2006/chart">
  <cdr:relSizeAnchor xmlns:cdr="http://schemas.openxmlformats.org/drawingml/2006/chartDrawing">
    <cdr:from>
      <cdr:x>0.61667</cdr:x>
      <cdr:y>0.14931</cdr:y>
    </cdr:from>
    <cdr:to>
      <cdr:x>0.61875</cdr:x>
      <cdr:y>0.78125</cdr:y>
    </cdr:to>
    <cdr:cxnSp macro="">
      <cdr:nvCxnSpPr>
        <cdr:cNvPr id="3" name="Straight Connector 2"/>
        <cdr:cNvCxnSpPr/>
      </cdr:nvCxnSpPr>
      <cdr:spPr>
        <a:xfrm xmlns:a="http://schemas.openxmlformats.org/drawingml/2006/main" flipV="1">
          <a:off x="2819400" y="409575"/>
          <a:ext cx="9525" cy="1733553"/>
        </a:xfrm>
        <a:prstGeom xmlns:a="http://schemas.openxmlformats.org/drawingml/2006/main" prst="line">
          <a:avLst/>
        </a:prstGeom>
        <a:ln xmlns:a="http://schemas.openxmlformats.org/drawingml/2006/main">
          <a:solidFill>
            <a:schemeClr val="tx1"/>
          </a:solidFill>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0.77917</cdr:x>
      <cdr:y>0.53125</cdr:y>
    </cdr:from>
    <cdr:to>
      <cdr:x>0.94167</cdr:x>
      <cdr:y>0.66667</cdr:y>
    </cdr:to>
    <cdr:sp macro="" textlink="">
      <cdr:nvSpPr>
        <cdr:cNvPr id="8" name="TextBox 7"/>
        <cdr:cNvSpPr txBox="1"/>
      </cdr:nvSpPr>
      <cdr:spPr>
        <a:xfrm xmlns:a="http://schemas.openxmlformats.org/drawingml/2006/main">
          <a:off x="3562350" y="1457325"/>
          <a:ext cx="742950" cy="371475"/>
        </a:xfrm>
        <a:prstGeom xmlns:a="http://schemas.openxmlformats.org/drawingml/2006/main" prst="rect">
          <a:avLst/>
        </a:prstGeom>
        <a:solidFill xmlns:a="http://schemas.openxmlformats.org/drawingml/2006/main">
          <a:schemeClr val="tx1">
            <a:lumMod val="50000"/>
            <a:lumOff val="50000"/>
          </a:schemeClr>
        </a:solidFill>
      </cdr:spPr>
      <cdr:txBody>
        <a:bodyPr xmlns:a="http://schemas.openxmlformats.org/drawingml/2006/main" vertOverflow="clip" wrap="square" rtlCol="0"/>
        <a:lstStyle xmlns:a="http://schemas.openxmlformats.org/drawingml/2006/main"/>
        <a:p xmlns:a="http://schemas.openxmlformats.org/drawingml/2006/main">
          <a:pPr algn="ctr"/>
          <a:r>
            <a:rPr lang="en-US" sz="800">
              <a:solidFill>
                <a:schemeClr val="bg1"/>
              </a:solidFill>
              <a:latin typeface="Arial" panose="020B0604020202020204" pitchFamily="34" charset="0"/>
              <a:cs typeface="Arial" panose="020B0604020202020204" pitchFamily="34" charset="0"/>
            </a:rPr>
            <a:t>Post-Revival Phase</a:t>
          </a:r>
        </a:p>
      </cdr:txBody>
    </cdr:sp>
  </cdr:relSizeAnchor>
</c:userShapes>
</file>

<file path=word/drawings/drawing3.xml><?xml version="1.0" encoding="utf-8"?>
<c:userShapes xmlns:c="http://schemas.openxmlformats.org/drawingml/2006/chart">
  <cdr:relSizeAnchor xmlns:cdr="http://schemas.openxmlformats.org/drawingml/2006/chartDrawing">
    <cdr:from>
      <cdr:x>0.79735</cdr:x>
      <cdr:y>0.35715</cdr:y>
    </cdr:from>
    <cdr:to>
      <cdr:x>0.95985</cdr:x>
      <cdr:y>0.49257</cdr:y>
    </cdr:to>
    <cdr:sp macro="" textlink="">
      <cdr:nvSpPr>
        <cdr:cNvPr id="3" name="TextBox 1"/>
        <cdr:cNvSpPr txBox="1"/>
      </cdr:nvSpPr>
      <cdr:spPr>
        <a:xfrm xmlns:a="http://schemas.openxmlformats.org/drawingml/2006/main">
          <a:off x="4354844" y="1184061"/>
          <a:ext cx="887516" cy="448962"/>
        </a:xfrm>
        <a:prstGeom xmlns:a="http://schemas.openxmlformats.org/drawingml/2006/main" prst="rect">
          <a:avLst/>
        </a:prstGeom>
        <a:solidFill xmlns:a="http://schemas.openxmlformats.org/drawingml/2006/main">
          <a:schemeClr val="tx1">
            <a:lumMod val="50000"/>
            <a:lumOff val="50000"/>
          </a:schemeClr>
        </a:solidFill>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800">
              <a:solidFill>
                <a:schemeClr val="bg1"/>
              </a:solidFill>
              <a:latin typeface="Arial" panose="020B0604020202020204" pitchFamily="34" charset="0"/>
              <a:cs typeface="Arial" panose="020B0604020202020204" pitchFamily="34" charset="0"/>
            </a:rPr>
            <a:t>Post-Revival Phase</a:t>
          </a:r>
        </a:p>
      </cdr:txBody>
    </cdr:sp>
  </cdr:relSizeAnchor>
  <cdr:relSizeAnchor xmlns:cdr="http://schemas.openxmlformats.org/drawingml/2006/chartDrawing">
    <cdr:from>
      <cdr:x>0.6375</cdr:x>
      <cdr:y>0.24306</cdr:y>
    </cdr:from>
    <cdr:to>
      <cdr:x>0.63774</cdr:x>
      <cdr:y>0.78125</cdr:y>
    </cdr:to>
    <cdr:cxnSp macro="">
      <cdr:nvCxnSpPr>
        <cdr:cNvPr id="5" name="Straight Connector 4"/>
        <cdr:cNvCxnSpPr/>
      </cdr:nvCxnSpPr>
      <cdr:spPr>
        <a:xfrm xmlns:a="http://schemas.openxmlformats.org/drawingml/2006/main">
          <a:off x="3218259" y="666756"/>
          <a:ext cx="1191" cy="1476369"/>
        </a:xfrm>
        <a:prstGeom xmlns:a="http://schemas.openxmlformats.org/drawingml/2006/main" prst="line">
          <a:avLst/>
        </a:prstGeom>
        <a:ln xmlns:a="http://schemas.openxmlformats.org/drawingml/2006/main" w="19050">
          <a:solidFill>
            <a:schemeClr val="tx1"/>
          </a:solidFill>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0.45255</cdr:x>
      <cdr:y>0.26736</cdr:y>
    </cdr:from>
    <cdr:to>
      <cdr:x>0.45255</cdr:x>
      <cdr:y>0.78819</cdr:y>
    </cdr:to>
    <cdr:cxnSp macro="">
      <cdr:nvCxnSpPr>
        <cdr:cNvPr id="3" name="Straight Connector 2"/>
        <cdr:cNvCxnSpPr/>
      </cdr:nvCxnSpPr>
      <cdr:spPr>
        <a:xfrm xmlns:a="http://schemas.openxmlformats.org/drawingml/2006/main">
          <a:off x="2362200" y="733425"/>
          <a:ext cx="0" cy="1428750"/>
        </a:xfrm>
        <a:prstGeom xmlns:a="http://schemas.openxmlformats.org/drawingml/2006/main" prst="line">
          <a:avLst/>
        </a:prstGeom>
        <a:ln xmlns:a="http://schemas.openxmlformats.org/drawingml/2006/main" w="19050">
          <a:solidFill>
            <a:schemeClr val="tx1"/>
          </a:solidFill>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0.51338</cdr:x>
      <cdr:y>0.6088</cdr:y>
    </cdr:from>
    <cdr:to>
      <cdr:x>0.65693</cdr:x>
      <cdr:y>0.74422</cdr:y>
    </cdr:to>
    <cdr:sp macro="" textlink="">
      <cdr:nvSpPr>
        <cdr:cNvPr id="4" name="TextBox 1"/>
        <cdr:cNvSpPr txBox="1"/>
      </cdr:nvSpPr>
      <cdr:spPr>
        <a:xfrm xmlns:a="http://schemas.openxmlformats.org/drawingml/2006/main">
          <a:off x="2679701" y="1670050"/>
          <a:ext cx="749300" cy="371484"/>
        </a:xfrm>
        <a:prstGeom xmlns:a="http://schemas.openxmlformats.org/drawingml/2006/main" prst="rect">
          <a:avLst/>
        </a:prstGeom>
        <a:solidFill xmlns:a="http://schemas.openxmlformats.org/drawingml/2006/main">
          <a:schemeClr val="tx1">
            <a:lumMod val="50000"/>
            <a:lumOff val="50000"/>
          </a:schemeClr>
        </a:solidFill>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800">
              <a:solidFill>
                <a:schemeClr val="bg1"/>
              </a:solidFill>
              <a:latin typeface="Arial" panose="020B0604020202020204" pitchFamily="34" charset="0"/>
              <a:cs typeface="Arial" panose="020B0604020202020204" pitchFamily="34" charset="0"/>
            </a:rPr>
            <a:t>Post-Revival Phase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89785-7CF2-46DD-8A9F-4459A9612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4799</Words>
  <Characters>27358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2018-06-23T01:34:00Z</cp:lastPrinted>
  <dcterms:created xsi:type="dcterms:W3CDTF">2018-06-28T16:19:00Z</dcterms:created>
  <dcterms:modified xsi:type="dcterms:W3CDTF">2018-06-29T17:01:00Z</dcterms:modified>
</cp:coreProperties>
</file>