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1076A" w14:textId="77777777" w:rsidR="008467D5" w:rsidRPr="005954B6" w:rsidRDefault="008467D5" w:rsidP="004A4B80">
      <w:pPr>
        <w:pStyle w:val="IveyQuotes"/>
        <w:rPr>
          <w:sz w:val="2"/>
        </w:rPr>
      </w:pPr>
    </w:p>
    <w:p w14:paraId="27BA32F6" w14:textId="167E711F" w:rsidR="00856D9F" w:rsidRPr="00DA1242" w:rsidRDefault="00C121A5" w:rsidP="008467D5">
      <w:pPr>
        <w:pBdr>
          <w:bottom w:val="single" w:sz="18" w:space="1" w:color="auto"/>
        </w:pBdr>
        <w:tabs>
          <w:tab w:val="left" w:pos="-1440"/>
          <w:tab w:val="left" w:pos="-720"/>
          <w:tab w:val="left" w:pos="1"/>
        </w:tabs>
        <w:jc w:val="both"/>
        <w:rPr>
          <w:rFonts w:ascii="Arial" w:hAnsi="Arial"/>
          <w:b/>
          <w:sz w:val="24"/>
        </w:rPr>
      </w:pPr>
      <w:r>
        <w:rPr>
          <w:rFonts w:ascii="Arial" w:hAnsi="Arial"/>
          <w:b/>
          <w:noProof/>
          <w:sz w:val="24"/>
        </w:rPr>
        <w:drawing>
          <wp:inline distT="0" distB="0" distL="0" distR="0" wp14:anchorId="651DB00D" wp14:editId="6A58F028">
            <wp:extent cx="261556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2D41C316" w14:textId="11F952C4" w:rsidR="00D75295" w:rsidRPr="00DA1242" w:rsidRDefault="007A10BA" w:rsidP="00DA1242">
      <w:pPr>
        <w:pStyle w:val="ProductNumber"/>
        <w:outlineLvl w:val="0"/>
      </w:pPr>
      <w:r>
        <w:t>9B18C025</w:t>
      </w:r>
    </w:p>
    <w:p w14:paraId="4EE5F3EA" w14:textId="77777777" w:rsidR="00D75295" w:rsidRPr="00DA1242" w:rsidRDefault="00D75295" w:rsidP="00D75295">
      <w:pPr>
        <w:jc w:val="right"/>
        <w:rPr>
          <w:rFonts w:ascii="Arial" w:hAnsi="Arial"/>
          <w:b/>
          <w:sz w:val="28"/>
        </w:rPr>
      </w:pPr>
    </w:p>
    <w:p w14:paraId="66CB3870" w14:textId="77777777" w:rsidR="00866F6D" w:rsidRPr="00DA1242" w:rsidRDefault="00866F6D" w:rsidP="00D75295">
      <w:pPr>
        <w:jc w:val="right"/>
        <w:rPr>
          <w:rFonts w:ascii="Arial" w:hAnsi="Arial"/>
          <w:b/>
          <w:sz w:val="28"/>
        </w:rPr>
      </w:pPr>
    </w:p>
    <w:p w14:paraId="1D411820" w14:textId="21DC01DD" w:rsidR="00013360" w:rsidRPr="00DA1242" w:rsidRDefault="00F96550" w:rsidP="00DA1242">
      <w:pPr>
        <w:pStyle w:val="CaseTitle"/>
        <w:spacing w:after="0" w:line="240" w:lineRule="auto"/>
        <w:outlineLvl w:val="0"/>
      </w:pPr>
      <w:r w:rsidRPr="00DA1242">
        <w:t>Som</w:t>
      </w:r>
      <w:r w:rsidR="007359F0">
        <w:t>a</w:t>
      </w:r>
      <w:r w:rsidRPr="00DA1242">
        <w:t>ny ceramics: recruitment challenges</w:t>
      </w:r>
    </w:p>
    <w:p w14:paraId="65474BA1" w14:textId="77777777" w:rsidR="00013360" w:rsidRPr="00DA1242" w:rsidRDefault="00013360" w:rsidP="00013360">
      <w:pPr>
        <w:pStyle w:val="CaseTitle"/>
        <w:spacing w:after="0" w:line="240" w:lineRule="auto"/>
        <w:rPr>
          <w:sz w:val="20"/>
        </w:rPr>
      </w:pPr>
    </w:p>
    <w:p w14:paraId="14305855" w14:textId="77777777" w:rsidR="00013360" w:rsidRPr="00DA1242" w:rsidRDefault="00013360" w:rsidP="00013360">
      <w:pPr>
        <w:pStyle w:val="CaseTitle"/>
        <w:spacing w:after="0" w:line="240" w:lineRule="auto"/>
        <w:rPr>
          <w:sz w:val="20"/>
        </w:rPr>
      </w:pPr>
    </w:p>
    <w:p w14:paraId="1DB976BE" w14:textId="6B3A2B21" w:rsidR="00013360" w:rsidRPr="00DA1242" w:rsidRDefault="00FC398A" w:rsidP="00104567">
      <w:pPr>
        <w:pStyle w:val="StyleCopyrightStatementAfter0ptBottomSinglesolidline1"/>
      </w:pPr>
      <w:r w:rsidRPr="00DA1242">
        <w:t xml:space="preserve">Amitabh </w:t>
      </w:r>
      <w:proofErr w:type="spellStart"/>
      <w:r w:rsidRPr="00DA1242">
        <w:t>Deo</w:t>
      </w:r>
      <w:proofErr w:type="spellEnd"/>
      <w:r w:rsidRPr="00DA1242">
        <w:t xml:space="preserve"> </w:t>
      </w:r>
      <w:proofErr w:type="spellStart"/>
      <w:r w:rsidRPr="00DA1242">
        <w:t>Kodwani</w:t>
      </w:r>
      <w:proofErr w:type="spellEnd"/>
      <w:r w:rsidRPr="00DA1242">
        <w:t xml:space="preserve">, </w:t>
      </w:r>
      <w:proofErr w:type="spellStart"/>
      <w:r w:rsidR="007241DB">
        <w:t>Mukesh</w:t>
      </w:r>
      <w:proofErr w:type="spellEnd"/>
      <w:r w:rsidR="007241DB">
        <w:t xml:space="preserve"> Kumar</w:t>
      </w:r>
      <w:r w:rsidR="00E77417">
        <w:t>,</w:t>
      </w:r>
      <w:r w:rsidR="007241DB">
        <w:t xml:space="preserve"> </w:t>
      </w:r>
      <w:r w:rsidRPr="00DA1242">
        <w:t xml:space="preserve">and Sanjeev </w:t>
      </w:r>
      <w:proofErr w:type="spellStart"/>
      <w:r w:rsidRPr="00DA1242">
        <w:t>Prashar</w:t>
      </w:r>
      <w:proofErr w:type="spellEnd"/>
      <w:r w:rsidR="007E5921" w:rsidRPr="00DA1242">
        <w:t xml:space="preserve"> wrote this case sol</w:t>
      </w:r>
      <w:r w:rsidR="00D75295" w:rsidRPr="00DA1242">
        <w:t>ely to provide material f</w:t>
      </w:r>
      <w:r w:rsidR="001A04F0" w:rsidRPr="00DA1242">
        <w:t xml:space="preserve">or class discussion. The </w:t>
      </w:r>
      <w:r w:rsidR="001A04F0">
        <w:t>author</w:t>
      </w:r>
      <w:r w:rsidR="007359F0">
        <w:t>s</w:t>
      </w:r>
      <w:r w:rsidR="00D75295" w:rsidRPr="00CB6B09">
        <w:t xml:space="preserve"> do</w:t>
      </w:r>
      <w:r w:rsidR="00D75295" w:rsidRPr="00DA1242">
        <w:t xml:space="preserve"> not intend to illustrate either effective or ineffective handling of a managerial situation. The authors may have disguised certain names and other identifying information to protect confidentiality.</w:t>
      </w:r>
    </w:p>
    <w:p w14:paraId="6F0D23E6" w14:textId="77777777" w:rsidR="00013360" w:rsidRPr="00DA1242" w:rsidRDefault="00013360" w:rsidP="00104567">
      <w:pPr>
        <w:pStyle w:val="StyleCopyrightStatementAfter0ptBottomSinglesolidline1"/>
      </w:pPr>
    </w:p>
    <w:p w14:paraId="218DFCD5" w14:textId="77777777" w:rsidR="00C121A5" w:rsidRDefault="00C121A5" w:rsidP="00C121A5">
      <w:pPr>
        <w:pStyle w:val="StyleStyleCopyrightStatementAfter0ptBottomSinglesolid"/>
        <w:outlineLvl w:val="0"/>
      </w:pPr>
      <w: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5F2931F9" w14:textId="77777777" w:rsidR="00C121A5" w:rsidRDefault="00C121A5" w:rsidP="00C121A5">
      <w:pPr>
        <w:pStyle w:val="StyleStyleCopyrightStatementAfter0ptBottomSinglesolid"/>
        <w:outlineLvl w:val="0"/>
      </w:pPr>
    </w:p>
    <w:p w14:paraId="143C5A7A" w14:textId="3CB06AA9" w:rsidR="003B7EF2" w:rsidRPr="00DA1242" w:rsidRDefault="00C121A5" w:rsidP="00C121A5">
      <w:pPr>
        <w:pStyle w:val="StyleStyleCopyrightStatementAfter0ptBottomSinglesolid"/>
        <w:outlineLvl w:val="0"/>
      </w:pPr>
      <w:r>
        <w:t>Copyright © 2018, Ivey Business School Foundation</w:t>
      </w:r>
      <w:r w:rsidR="003B7EF2" w:rsidRPr="00DA1242">
        <w:tab/>
        <w:t xml:space="preserve">Version: </w:t>
      </w:r>
      <w:r w:rsidR="00361C8E" w:rsidRPr="00DA1242">
        <w:t>201</w:t>
      </w:r>
      <w:r w:rsidR="00FC398A" w:rsidRPr="00DA1242">
        <w:t>8</w:t>
      </w:r>
      <w:r w:rsidR="00361C8E" w:rsidRPr="00DA1242">
        <w:t>-</w:t>
      </w:r>
      <w:r w:rsidR="005954B6">
        <w:t>08</w:t>
      </w:r>
      <w:r w:rsidR="00361C8E" w:rsidRPr="00DA1242">
        <w:t>-</w:t>
      </w:r>
      <w:r w:rsidR="00FD643A">
        <w:t>22</w:t>
      </w:r>
    </w:p>
    <w:p w14:paraId="6A67C9BE" w14:textId="77777777" w:rsidR="003B7EF2" w:rsidRPr="00DA1242" w:rsidRDefault="003B7EF2" w:rsidP="00104567">
      <w:pPr>
        <w:pStyle w:val="StyleCopyrightStatementAfter0ptBottomSinglesolidline1"/>
        <w:rPr>
          <w:rFonts w:ascii="Times New Roman" w:hAnsi="Times New Roman"/>
          <w:sz w:val="20"/>
        </w:rPr>
      </w:pPr>
    </w:p>
    <w:p w14:paraId="2AB36C8B" w14:textId="77777777" w:rsidR="003B7EF2" w:rsidRDefault="003B7EF2" w:rsidP="00F96550">
      <w:pPr>
        <w:pStyle w:val="BodyTextMain"/>
      </w:pPr>
    </w:p>
    <w:p w14:paraId="4057E743" w14:textId="63527B66" w:rsidR="00F96550" w:rsidRPr="00BB100E" w:rsidRDefault="00F96550" w:rsidP="00F96550">
      <w:pPr>
        <w:pStyle w:val="BodyTextMain"/>
      </w:pPr>
      <w:r w:rsidRPr="00BB100E">
        <w:t xml:space="preserve">After meeting the top executives of the company in December 2016, </w:t>
      </w:r>
      <w:proofErr w:type="spellStart"/>
      <w:r w:rsidRPr="00BB100E">
        <w:t>Hrishikesh</w:t>
      </w:r>
      <w:proofErr w:type="spellEnd"/>
      <w:r w:rsidRPr="00BB100E">
        <w:t xml:space="preserve"> Kumar, </w:t>
      </w:r>
      <w:r w:rsidR="007359F0">
        <w:t>d</w:t>
      </w:r>
      <w:r w:rsidRPr="00BB100E">
        <w:t xml:space="preserve">irector of </w:t>
      </w:r>
      <w:r w:rsidR="007359F0">
        <w:t xml:space="preserve">human resources (HR) at </w:t>
      </w:r>
      <w:proofErr w:type="spellStart"/>
      <w:r w:rsidRPr="00BB100E">
        <w:t>Somany</w:t>
      </w:r>
      <w:proofErr w:type="spellEnd"/>
      <w:r w:rsidRPr="00BB100E">
        <w:t xml:space="preserve"> Ceramics Limited (SCL)</w:t>
      </w:r>
      <w:r w:rsidR="007359F0">
        <w:t>,</w:t>
      </w:r>
      <w:r w:rsidRPr="00BB100E">
        <w:t xml:space="preserve"> was </w:t>
      </w:r>
      <w:r w:rsidR="007359F0">
        <w:t xml:space="preserve">both excited and </w:t>
      </w:r>
      <w:r w:rsidR="000E62E5">
        <w:t>troubled</w:t>
      </w:r>
      <w:r w:rsidR="007359F0">
        <w:t>: he</w:t>
      </w:r>
      <w:r w:rsidRPr="00BB100E">
        <w:t xml:space="preserve"> was excited about the growth prospects </w:t>
      </w:r>
      <w:r w:rsidR="007359F0">
        <w:t>in</w:t>
      </w:r>
      <w:r w:rsidRPr="00BB100E">
        <w:t xml:space="preserve"> the </w:t>
      </w:r>
      <w:r w:rsidR="007359F0">
        <w:t xml:space="preserve">ceramic tiles </w:t>
      </w:r>
      <w:r w:rsidRPr="00BB100E">
        <w:t>industry</w:t>
      </w:r>
      <w:r w:rsidR="00E77417">
        <w:t>,</w:t>
      </w:r>
      <w:r w:rsidRPr="00BB100E">
        <w:t xml:space="preserve"> but </w:t>
      </w:r>
      <w:r w:rsidR="007359F0">
        <w:t xml:space="preserve">uncertain how </w:t>
      </w:r>
      <w:r w:rsidR="00F94B1E">
        <w:t xml:space="preserve">he </w:t>
      </w:r>
      <w:r w:rsidR="009639E8">
        <w:t>could meet the company’s challenges in</w:t>
      </w:r>
      <w:r w:rsidR="007359F0">
        <w:t xml:space="preserve"> get</w:t>
      </w:r>
      <w:r w:rsidR="009639E8">
        <w:t>ting</w:t>
      </w:r>
      <w:r w:rsidR="007359F0">
        <w:t xml:space="preserve"> the</w:t>
      </w:r>
      <w:r w:rsidRPr="00BB100E">
        <w:t xml:space="preserve"> most from this growth. </w:t>
      </w:r>
      <w:r w:rsidR="007359F0">
        <w:t>With a compound annual growth rate (</w:t>
      </w:r>
      <w:r w:rsidRPr="00BB100E">
        <w:t>CAGR</w:t>
      </w:r>
      <w:r w:rsidR="007359F0">
        <w:t>)</w:t>
      </w:r>
      <w:r w:rsidRPr="00BB100E">
        <w:t xml:space="preserve"> of 8.5</w:t>
      </w:r>
      <w:r w:rsidR="007359F0">
        <w:t xml:space="preserve"> per cent,</w:t>
      </w:r>
      <w:r w:rsidRPr="00BB100E">
        <w:t xml:space="preserve"> the market for </w:t>
      </w:r>
      <w:r w:rsidR="007359F0">
        <w:t>c</w:t>
      </w:r>
      <w:r w:rsidRPr="00BB100E">
        <w:t xml:space="preserve">eramic tiles was expected to </w:t>
      </w:r>
      <w:r w:rsidR="007359F0">
        <w:t>grow</w:t>
      </w:r>
      <w:r w:rsidRPr="00BB100E">
        <w:t xml:space="preserve"> from its current demand of 12.3 </w:t>
      </w:r>
      <w:r w:rsidR="007359F0">
        <w:t>b</w:t>
      </w:r>
      <w:r w:rsidRPr="00BB100E">
        <w:t xml:space="preserve">illion square </w:t>
      </w:r>
      <w:proofErr w:type="spellStart"/>
      <w:r w:rsidRPr="00BB100E">
        <w:t>metres</w:t>
      </w:r>
      <w:proofErr w:type="spellEnd"/>
      <w:r w:rsidR="007359F0">
        <w:t xml:space="preserve"> of tile </w:t>
      </w:r>
      <w:r w:rsidR="00C25007">
        <w:t xml:space="preserve">to </w:t>
      </w:r>
      <w:r w:rsidR="007359F0" w:rsidRPr="00BB100E">
        <w:t>21</w:t>
      </w:r>
      <w:r w:rsidR="00C25007">
        <w:t>.</w:t>
      </w:r>
      <w:r w:rsidR="007359F0" w:rsidRPr="00BB100E">
        <w:t>8</w:t>
      </w:r>
      <w:r w:rsidR="00C25007">
        <w:t xml:space="preserve"> b</w:t>
      </w:r>
      <w:r w:rsidR="007359F0" w:rsidRPr="00BB100E">
        <w:t xml:space="preserve">illion square </w:t>
      </w:r>
      <w:proofErr w:type="spellStart"/>
      <w:r w:rsidR="007359F0" w:rsidRPr="00BB100E">
        <w:t>metres</w:t>
      </w:r>
      <w:proofErr w:type="spellEnd"/>
      <w:r w:rsidR="007359F0" w:rsidRPr="00BB100E">
        <w:t xml:space="preserve"> by 2020</w:t>
      </w:r>
      <w:r w:rsidRPr="00BB100E">
        <w:rPr>
          <w:shd w:val="clear" w:color="auto" w:fill="FEFEFE"/>
        </w:rPr>
        <w:t>.</w:t>
      </w:r>
      <w:r w:rsidRPr="00DA1242">
        <w:rPr>
          <w:rStyle w:val="EndnoteReference"/>
        </w:rPr>
        <w:endnoteReference w:id="2"/>
      </w:r>
      <w:r w:rsidRPr="00BB100E">
        <w:rPr>
          <w:shd w:val="clear" w:color="auto" w:fill="FEFEFE"/>
        </w:rPr>
        <w:t xml:space="preserve"> </w:t>
      </w:r>
      <w:r w:rsidR="00BF4C28">
        <w:t>Anticipating</w:t>
      </w:r>
      <w:r w:rsidRPr="00BB100E">
        <w:t xml:space="preserve"> this increase in demand for ceramic tiles, the company wanted to expand rapidly and grab the maximum share of the increasing market. </w:t>
      </w:r>
      <w:r w:rsidR="0009592C">
        <w:t>M</w:t>
      </w:r>
      <w:r w:rsidRPr="00BB100E">
        <w:t xml:space="preserve">anagement </w:t>
      </w:r>
      <w:r w:rsidR="0009592C">
        <w:t>needed</w:t>
      </w:r>
      <w:r w:rsidRPr="00BB100E">
        <w:t xml:space="preserve"> Kumar </w:t>
      </w:r>
      <w:r w:rsidR="0009592C">
        <w:t xml:space="preserve">to </w:t>
      </w:r>
      <w:r w:rsidR="00FC3FC3">
        <w:t xml:space="preserve">increase the company’s </w:t>
      </w:r>
      <w:proofErr w:type="spellStart"/>
      <w:r w:rsidR="00FC3FC3">
        <w:t>labour</w:t>
      </w:r>
      <w:proofErr w:type="spellEnd"/>
      <w:r w:rsidR="00FC3FC3">
        <w:t xml:space="preserve"> resources </w:t>
      </w:r>
      <w:r w:rsidR="00D04C46">
        <w:t xml:space="preserve">so it could keep </w:t>
      </w:r>
      <w:r w:rsidRPr="00BB100E">
        <w:t xml:space="preserve">pace </w:t>
      </w:r>
      <w:r w:rsidR="00D04C46">
        <w:t>with</w:t>
      </w:r>
      <w:r w:rsidRPr="00BB100E">
        <w:t xml:space="preserve"> the </w:t>
      </w:r>
      <w:r w:rsidR="00D04C46">
        <w:t>growth expected in</w:t>
      </w:r>
      <w:r w:rsidRPr="00BB100E">
        <w:t xml:space="preserve"> the industry</w:t>
      </w:r>
      <w:r w:rsidR="009D211B">
        <w:t xml:space="preserve">, but there was an </w:t>
      </w:r>
      <w:r w:rsidRPr="00BB100E">
        <w:t>acute shortage of industry</w:t>
      </w:r>
      <w:r w:rsidR="009D211B">
        <w:t>-</w:t>
      </w:r>
      <w:r w:rsidRPr="00BB100E">
        <w:t xml:space="preserve">ready technical </w:t>
      </w:r>
      <w:proofErr w:type="spellStart"/>
      <w:r w:rsidR="009D211B">
        <w:t>labour</w:t>
      </w:r>
      <w:proofErr w:type="spellEnd"/>
      <w:r w:rsidRPr="00BB100E">
        <w:t xml:space="preserve"> in the market</w:t>
      </w:r>
      <w:r w:rsidR="00E77417">
        <w:t>,</w:t>
      </w:r>
      <w:r w:rsidR="002F55D0">
        <w:t xml:space="preserve"> affecting the entire ceramic tile industry</w:t>
      </w:r>
      <w:r w:rsidRPr="00BB100E">
        <w:t xml:space="preserve">. </w:t>
      </w:r>
      <w:r w:rsidR="00DA5FEB">
        <w:t>How could Kumar hire</w:t>
      </w:r>
      <w:r w:rsidR="00A13E19">
        <w:t xml:space="preserve"> and sustain</w:t>
      </w:r>
      <w:r w:rsidRPr="00BB100E">
        <w:t xml:space="preserve"> </w:t>
      </w:r>
      <w:r w:rsidR="00A13E19">
        <w:t>a workforce</w:t>
      </w:r>
      <w:r w:rsidRPr="00BB100E">
        <w:t xml:space="preserve"> of trained </w:t>
      </w:r>
      <w:proofErr w:type="spellStart"/>
      <w:r w:rsidR="00A13E19">
        <w:t>labourers</w:t>
      </w:r>
      <w:proofErr w:type="spellEnd"/>
      <w:r w:rsidRPr="00BB100E">
        <w:t xml:space="preserve"> over the next five years </w:t>
      </w:r>
      <w:r w:rsidR="00AF0C77">
        <w:t xml:space="preserve">sufficient </w:t>
      </w:r>
      <w:r w:rsidR="00E77417">
        <w:t>for</w:t>
      </w:r>
      <w:r w:rsidRPr="00BB100E">
        <w:t xml:space="preserve"> meet</w:t>
      </w:r>
      <w:r w:rsidR="00E77417">
        <w:t>ing</w:t>
      </w:r>
      <w:r w:rsidRPr="00BB100E">
        <w:t xml:space="preserve"> </w:t>
      </w:r>
      <w:r w:rsidR="00AF0C77">
        <w:t xml:space="preserve">the company’s plans for </w:t>
      </w:r>
      <w:r w:rsidRPr="00BB100E">
        <w:t>expansion</w:t>
      </w:r>
      <w:r w:rsidR="00AF0C77">
        <w:t>?</w:t>
      </w:r>
      <w:r w:rsidRPr="00BB100E">
        <w:t xml:space="preserve"> </w:t>
      </w:r>
      <w:r w:rsidR="00695054">
        <w:t>What</w:t>
      </w:r>
      <w:r w:rsidRPr="00BB100E">
        <w:t xml:space="preserve"> would be both sustainable and cost-effective</w:t>
      </w:r>
      <w:r w:rsidR="00695054">
        <w:t>?</w:t>
      </w:r>
      <w:r w:rsidRPr="00BB100E">
        <w:t xml:space="preserve"> </w:t>
      </w:r>
    </w:p>
    <w:p w14:paraId="074FDC38" w14:textId="77777777" w:rsidR="00F96550" w:rsidRDefault="00F96550" w:rsidP="00F96550">
      <w:pPr>
        <w:jc w:val="both"/>
        <w:rPr>
          <w:b/>
          <w:sz w:val="24"/>
          <w:szCs w:val="24"/>
        </w:rPr>
      </w:pPr>
    </w:p>
    <w:p w14:paraId="1DC012E2" w14:textId="77777777" w:rsidR="00F96550" w:rsidRPr="00BB100E" w:rsidRDefault="00F96550" w:rsidP="00F96550">
      <w:pPr>
        <w:jc w:val="both"/>
        <w:rPr>
          <w:b/>
          <w:sz w:val="24"/>
          <w:szCs w:val="24"/>
        </w:rPr>
      </w:pPr>
    </w:p>
    <w:p w14:paraId="6CA126F7" w14:textId="77777777" w:rsidR="00F96550" w:rsidRPr="00BB100E" w:rsidRDefault="00F96550" w:rsidP="00DA1242">
      <w:pPr>
        <w:pStyle w:val="Casehead1"/>
        <w:outlineLvl w:val="0"/>
      </w:pPr>
      <w:r w:rsidRPr="00BB100E">
        <w:t>The Company</w:t>
      </w:r>
    </w:p>
    <w:p w14:paraId="7D60BAC7" w14:textId="77777777" w:rsidR="00F96550" w:rsidRPr="00BB100E" w:rsidRDefault="00F96550" w:rsidP="00F96550">
      <w:pPr>
        <w:pStyle w:val="BodyTextMain"/>
      </w:pPr>
    </w:p>
    <w:p w14:paraId="02EA579D" w14:textId="30A9989C" w:rsidR="00F96550" w:rsidRPr="00BB100E" w:rsidRDefault="001F35B7" w:rsidP="00F96550">
      <w:pPr>
        <w:pStyle w:val="BodyTextMain"/>
        <w:rPr>
          <w:bCs/>
        </w:rPr>
      </w:pPr>
      <w:r>
        <w:rPr>
          <w:bCs/>
        </w:rPr>
        <w:t xml:space="preserve">SCL began in 1969 </w:t>
      </w:r>
      <w:r w:rsidR="00F96550" w:rsidRPr="00BB100E">
        <w:rPr>
          <w:bCs/>
        </w:rPr>
        <w:t xml:space="preserve">as </w:t>
      </w:r>
      <w:proofErr w:type="spellStart"/>
      <w:r w:rsidR="00F96550" w:rsidRPr="00BB100E">
        <w:rPr>
          <w:bCs/>
        </w:rPr>
        <w:t>Somany</w:t>
      </w:r>
      <w:proofErr w:type="spellEnd"/>
      <w:r w:rsidR="00F96550" w:rsidRPr="00BB100E">
        <w:rPr>
          <w:bCs/>
        </w:rPr>
        <w:t xml:space="preserve"> Pilkington</w:t>
      </w:r>
      <w:r w:rsidR="00F455B0">
        <w:rPr>
          <w:bCs/>
        </w:rPr>
        <w:t>—</w:t>
      </w:r>
      <w:r>
        <w:rPr>
          <w:bCs/>
        </w:rPr>
        <w:t>a</w:t>
      </w:r>
      <w:r w:rsidR="00F96550" w:rsidRPr="00BB100E">
        <w:rPr>
          <w:bCs/>
        </w:rPr>
        <w:t xml:space="preserve"> collaboration with Pilkington Tiles</w:t>
      </w:r>
      <w:r w:rsidR="00B7751A">
        <w:rPr>
          <w:bCs/>
        </w:rPr>
        <w:t xml:space="preserve"> in the United Kingdom.</w:t>
      </w:r>
      <w:r w:rsidR="00F96550" w:rsidRPr="00BB100E">
        <w:rPr>
          <w:bCs/>
        </w:rPr>
        <w:t xml:space="preserve"> The Indian promoters bought all equity shares from their U</w:t>
      </w:r>
      <w:r w:rsidR="00E77417">
        <w:rPr>
          <w:bCs/>
        </w:rPr>
        <w:t>.</w:t>
      </w:r>
      <w:r w:rsidR="00F96550" w:rsidRPr="00BB100E">
        <w:rPr>
          <w:bCs/>
        </w:rPr>
        <w:t>K</w:t>
      </w:r>
      <w:r w:rsidR="00E77417">
        <w:rPr>
          <w:bCs/>
        </w:rPr>
        <w:t>.</w:t>
      </w:r>
      <w:r w:rsidR="00F96550" w:rsidRPr="00BB100E">
        <w:rPr>
          <w:bCs/>
        </w:rPr>
        <w:t xml:space="preserve"> partner in 1994</w:t>
      </w:r>
      <w:r w:rsidR="00B7751A">
        <w:rPr>
          <w:bCs/>
        </w:rPr>
        <w:t>, and in 2007, the company was re</w:t>
      </w:r>
      <w:r w:rsidR="00E77417">
        <w:rPr>
          <w:bCs/>
        </w:rPr>
        <w:t>-</w:t>
      </w:r>
      <w:r w:rsidR="00B7751A">
        <w:rPr>
          <w:bCs/>
        </w:rPr>
        <w:t xml:space="preserve">named </w:t>
      </w:r>
      <w:proofErr w:type="spellStart"/>
      <w:r w:rsidR="00B7751A">
        <w:rPr>
          <w:bCs/>
        </w:rPr>
        <w:t>Somany</w:t>
      </w:r>
      <w:proofErr w:type="spellEnd"/>
      <w:r w:rsidR="00B7751A">
        <w:rPr>
          <w:bCs/>
        </w:rPr>
        <w:t xml:space="preserve"> Ceramics Limited</w:t>
      </w:r>
      <w:r w:rsidR="00F96550" w:rsidRPr="00BB100E">
        <w:rPr>
          <w:bCs/>
        </w:rPr>
        <w:t xml:space="preserve">. </w:t>
      </w:r>
      <w:r w:rsidR="001C09C8">
        <w:rPr>
          <w:bCs/>
        </w:rPr>
        <w:t>In 2016, t</w:t>
      </w:r>
      <w:r w:rsidR="00F96550" w:rsidRPr="00BB100E">
        <w:rPr>
          <w:bCs/>
        </w:rPr>
        <w:t>he company founder</w:t>
      </w:r>
      <w:r w:rsidR="005D4398">
        <w:rPr>
          <w:bCs/>
        </w:rPr>
        <w:t>,</w:t>
      </w:r>
      <w:r w:rsidR="00F96550" w:rsidRPr="00BB100E">
        <w:rPr>
          <w:bCs/>
        </w:rPr>
        <w:t xml:space="preserve"> H</w:t>
      </w:r>
      <w:r w:rsidR="00C24646">
        <w:rPr>
          <w:bCs/>
        </w:rPr>
        <w:t>.</w:t>
      </w:r>
      <w:r w:rsidR="00F96550" w:rsidRPr="00BB100E">
        <w:rPr>
          <w:bCs/>
        </w:rPr>
        <w:t xml:space="preserve"> L</w:t>
      </w:r>
      <w:r w:rsidR="00C24646">
        <w:rPr>
          <w:bCs/>
        </w:rPr>
        <w:t>.</w:t>
      </w:r>
      <w:r w:rsidR="00F96550" w:rsidRPr="00BB100E">
        <w:rPr>
          <w:bCs/>
        </w:rPr>
        <w:t xml:space="preserve"> </w:t>
      </w:r>
      <w:proofErr w:type="spellStart"/>
      <w:r w:rsidR="00F96550" w:rsidRPr="00BB100E">
        <w:rPr>
          <w:bCs/>
        </w:rPr>
        <w:t>Somany</w:t>
      </w:r>
      <w:proofErr w:type="spellEnd"/>
      <w:r w:rsidR="001C09C8">
        <w:rPr>
          <w:bCs/>
        </w:rPr>
        <w:t xml:space="preserve">, </w:t>
      </w:r>
      <w:r w:rsidR="00F96550" w:rsidRPr="00BB100E">
        <w:rPr>
          <w:bCs/>
        </w:rPr>
        <w:t>was serv</w:t>
      </w:r>
      <w:r w:rsidR="001C09C8">
        <w:rPr>
          <w:bCs/>
        </w:rPr>
        <w:t>ing as chairman emeritus</w:t>
      </w:r>
      <w:r w:rsidR="007E268C">
        <w:rPr>
          <w:bCs/>
        </w:rPr>
        <w:t xml:space="preserve">; </w:t>
      </w:r>
      <w:proofErr w:type="spellStart"/>
      <w:r w:rsidR="00F96550" w:rsidRPr="00BB100E">
        <w:rPr>
          <w:bCs/>
        </w:rPr>
        <w:t>Shreekant</w:t>
      </w:r>
      <w:proofErr w:type="spellEnd"/>
      <w:r w:rsidR="00F96550" w:rsidRPr="00BB100E">
        <w:rPr>
          <w:bCs/>
        </w:rPr>
        <w:t xml:space="preserve"> </w:t>
      </w:r>
      <w:proofErr w:type="spellStart"/>
      <w:r w:rsidR="00F96550" w:rsidRPr="00BB100E">
        <w:rPr>
          <w:bCs/>
        </w:rPr>
        <w:t>Somany</w:t>
      </w:r>
      <w:proofErr w:type="spellEnd"/>
      <w:r w:rsidR="007E268C">
        <w:rPr>
          <w:bCs/>
        </w:rPr>
        <w:t xml:space="preserve"> was chairman</w:t>
      </w:r>
      <w:r w:rsidR="00F96550" w:rsidRPr="00BB100E">
        <w:rPr>
          <w:bCs/>
        </w:rPr>
        <w:t xml:space="preserve"> and </w:t>
      </w:r>
      <w:r w:rsidR="007E268C">
        <w:rPr>
          <w:bCs/>
        </w:rPr>
        <w:t>managing d</w:t>
      </w:r>
      <w:r w:rsidR="00F96550" w:rsidRPr="00BB100E">
        <w:rPr>
          <w:bCs/>
        </w:rPr>
        <w:t>irector</w:t>
      </w:r>
      <w:r w:rsidR="007E268C">
        <w:rPr>
          <w:bCs/>
        </w:rPr>
        <w:t>,</w:t>
      </w:r>
      <w:r w:rsidR="00F96550" w:rsidRPr="00BB100E">
        <w:rPr>
          <w:bCs/>
        </w:rPr>
        <w:t xml:space="preserve"> and Abhishek </w:t>
      </w:r>
      <w:proofErr w:type="spellStart"/>
      <w:r w:rsidR="00F96550" w:rsidRPr="00BB100E">
        <w:rPr>
          <w:bCs/>
        </w:rPr>
        <w:t>Somany</w:t>
      </w:r>
      <w:proofErr w:type="spellEnd"/>
      <w:r w:rsidR="007E268C">
        <w:rPr>
          <w:bCs/>
        </w:rPr>
        <w:t xml:space="preserve"> was </w:t>
      </w:r>
      <w:r w:rsidR="000B390C">
        <w:rPr>
          <w:bCs/>
        </w:rPr>
        <w:t>joint managing d</w:t>
      </w:r>
      <w:r w:rsidR="00F96550" w:rsidRPr="00BB100E">
        <w:rPr>
          <w:bCs/>
        </w:rPr>
        <w:t xml:space="preserve">irector. </w:t>
      </w:r>
      <w:r w:rsidR="00537660">
        <w:rPr>
          <w:bCs/>
        </w:rPr>
        <w:t>The company’s vision was</w:t>
      </w:r>
      <w:r w:rsidR="00F96550" w:rsidRPr="00BB100E">
        <w:rPr>
          <w:bCs/>
        </w:rPr>
        <w:t xml:space="preserve"> to be the most sought-after tile and allied product in India and the best employer in the tile industry</w:t>
      </w:r>
      <w:r w:rsidR="00537660">
        <w:rPr>
          <w:bCs/>
        </w:rPr>
        <w:t xml:space="preserve">. </w:t>
      </w:r>
      <w:r w:rsidR="00962D01">
        <w:rPr>
          <w:bCs/>
        </w:rPr>
        <w:t xml:space="preserve">It </w:t>
      </w:r>
      <w:r w:rsidR="00F96550" w:rsidRPr="00BB100E">
        <w:rPr>
          <w:bCs/>
        </w:rPr>
        <w:t xml:space="preserve">aimed </w:t>
      </w:r>
      <w:r w:rsidR="00962D01">
        <w:rPr>
          <w:bCs/>
        </w:rPr>
        <w:t>for</w:t>
      </w:r>
      <w:r w:rsidR="00F96550" w:rsidRPr="00BB100E">
        <w:rPr>
          <w:bCs/>
        </w:rPr>
        <w:t xml:space="preserve"> customer delight </w:t>
      </w:r>
      <w:r w:rsidR="00962D01">
        <w:rPr>
          <w:bCs/>
        </w:rPr>
        <w:t>with</w:t>
      </w:r>
      <w:r w:rsidR="00F96550" w:rsidRPr="00BB100E">
        <w:rPr>
          <w:bCs/>
        </w:rPr>
        <w:t xml:space="preserve"> business innovation and cost effectiveness while pursuing </w:t>
      </w:r>
      <w:r w:rsidR="00962D01">
        <w:rPr>
          <w:bCs/>
        </w:rPr>
        <w:t xml:space="preserve">the </w:t>
      </w:r>
      <w:r w:rsidR="00F96550" w:rsidRPr="00BB100E">
        <w:rPr>
          <w:bCs/>
        </w:rPr>
        <w:t xml:space="preserve">latest fashion trends in ceramics </w:t>
      </w:r>
      <w:r w:rsidR="00962D01">
        <w:rPr>
          <w:bCs/>
        </w:rPr>
        <w:t>and</w:t>
      </w:r>
      <w:r w:rsidR="00F96550" w:rsidRPr="00BB100E">
        <w:rPr>
          <w:bCs/>
        </w:rPr>
        <w:t xml:space="preserve"> allied products.</w:t>
      </w:r>
    </w:p>
    <w:p w14:paraId="732FC420" w14:textId="77777777" w:rsidR="00F96550" w:rsidRPr="00BB100E" w:rsidRDefault="00F96550" w:rsidP="00F96550">
      <w:pPr>
        <w:pStyle w:val="BodyTextMain"/>
        <w:rPr>
          <w:bCs/>
        </w:rPr>
      </w:pPr>
    </w:p>
    <w:p w14:paraId="0A83F245" w14:textId="56F8ACAF" w:rsidR="00F96550" w:rsidRDefault="00F96550" w:rsidP="00F96550">
      <w:pPr>
        <w:pStyle w:val="BodyTextMain"/>
        <w:rPr>
          <w:bCs/>
        </w:rPr>
      </w:pPr>
      <w:r w:rsidRPr="00BB100E">
        <w:rPr>
          <w:bCs/>
        </w:rPr>
        <w:t>Headquartered in Noida</w:t>
      </w:r>
      <w:r w:rsidR="00FD643A">
        <w:rPr>
          <w:bCs/>
        </w:rPr>
        <w:t>,</w:t>
      </w:r>
      <w:r w:rsidRPr="00BB100E">
        <w:rPr>
          <w:bCs/>
        </w:rPr>
        <w:t xml:space="preserve"> </w:t>
      </w:r>
      <w:r w:rsidR="00722079">
        <w:rPr>
          <w:bCs/>
        </w:rPr>
        <w:t>in India’s northern state of Uttar Pradesh,</w:t>
      </w:r>
      <w:r w:rsidRPr="00BB100E">
        <w:rPr>
          <w:bCs/>
        </w:rPr>
        <w:t xml:space="preserve"> SCL </w:t>
      </w:r>
      <w:r w:rsidR="00722079">
        <w:rPr>
          <w:bCs/>
        </w:rPr>
        <w:t xml:space="preserve">manufactured a range of tile and </w:t>
      </w:r>
      <w:r w:rsidR="00CD614B">
        <w:rPr>
          <w:bCs/>
        </w:rPr>
        <w:t>related</w:t>
      </w:r>
      <w:r w:rsidR="00722079">
        <w:rPr>
          <w:bCs/>
        </w:rPr>
        <w:t xml:space="preserve"> </w:t>
      </w:r>
      <w:r w:rsidRPr="00BB100E">
        <w:rPr>
          <w:bCs/>
        </w:rPr>
        <w:t>products</w:t>
      </w:r>
      <w:r w:rsidR="00722079">
        <w:rPr>
          <w:bCs/>
        </w:rPr>
        <w:t xml:space="preserve">, such as floor </w:t>
      </w:r>
      <w:r w:rsidR="00304612">
        <w:rPr>
          <w:bCs/>
        </w:rPr>
        <w:t>and</w:t>
      </w:r>
      <w:r w:rsidR="00722079">
        <w:rPr>
          <w:bCs/>
        </w:rPr>
        <w:t xml:space="preserve"> wall tiles, </w:t>
      </w:r>
      <w:r w:rsidR="00304612">
        <w:rPr>
          <w:bCs/>
        </w:rPr>
        <w:t>including</w:t>
      </w:r>
      <w:r w:rsidR="00B9038F">
        <w:rPr>
          <w:bCs/>
        </w:rPr>
        <w:t xml:space="preserve"> those made from</w:t>
      </w:r>
      <w:r w:rsidR="00304612">
        <w:rPr>
          <w:bCs/>
        </w:rPr>
        <w:t xml:space="preserve"> </w:t>
      </w:r>
      <w:r w:rsidR="001B3DED">
        <w:rPr>
          <w:bCs/>
        </w:rPr>
        <w:t xml:space="preserve">imported tiles; </w:t>
      </w:r>
      <w:proofErr w:type="spellStart"/>
      <w:r w:rsidR="00133C75">
        <w:rPr>
          <w:bCs/>
        </w:rPr>
        <w:t>sanitaryware</w:t>
      </w:r>
      <w:proofErr w:type="spellEnd"/>
      <w:r w:rsidR="00D56002">
        <w:rPr>
          <w:rStyle w:val="EndnoteReference"/>
          <w:bCs/>
        </w:rPr>
        <w:endnoteReference w:id="3"/>
      </w:r>
      <w:r w:rsidR="00133C75">
        <w:rPr>
          <w:bCs/>
        </w:rPr>
        <w:t xml:space="preserve"> </w:t>
      </w:r>
      <w:r w:rsidR="00553F8F">
        <w:rPr>
          <w:bCs/>
        </w:rPr>
        <w:t xml:space="preserve">and </w:t>
      </w:r>
      <w:r w:rsidR="00CD614B">
        <w:rPr>
          <w:bCs/>
        </w:rPr>
        <w:t>chrome plated</w:t>
      </w:r>
      <w:r w:rsidR="00896857">
        <w:rPr>
          <w:bCs/>
        </w:rPr>
        <w:t xml:space="preserve"> fittings</w:t>
      </w:r>
      <w:r w:rsidR="00553F8F">
        <w:rPr>
          <w:bCs/>
        </w:rPr>
        <w:t xml:space="preserve">; </w:t>
      </w:r>
      <w:r w:rsidR="00896857">
        <w:rPr>
          <w:bCs/>
        </w:rPr>
        <w:t>and til</w:t>
      </w:r>
      <w:r w:rsidR="00E56224">
        <w:rPr>
          <w:bCs/>
        </w:rPr>
        <w:t>e</w:t>
      </w:r>
      <w:r w:rsidR="00896857">
        <w:rPr>
          <w:bCs/>
        </w:rPr>
        <w:t xml:space="preserve"> laying solutions</w:t>
      </w:r>
      <w:r w:rsidRPr="00BB100E">
        <w:rPr>
          <w:bCs/>
        </w:rPr>
        <w:t xml:space="preserve"> (</w:t>
      </w:r>
      <w:r>
        <w:rPr>
          <w:bCs/>
        </w:rPr>
        <w:t>see Exhibit 1</w:t>
      </w:r>
      <w:r w:rsidRPr="00BB100E">
        <w:rPr>
          <w:bCs/>
        </w:rPr>
        <w:t xml:space="preserve">). The </w:t>
      </w:r>
      <w:r w:rsidR="003C0794">
        <w:rPr>
          <w:bCs/>
        </w:rPr>
        <w:t xml:space="preserve">company’s </w:t>
      </w:r>
      <w:r w:rsidRPr="00BB100E">
        <w:rPr>
          <w:bCs/>
        </w:rPr>
        <w:t xml:space="preserve">manufacturing plants were located </w:t>
      </w:r>
      <w:r w:rsidR="00235B61">
        <w:rPr>
          <w:bCs/>
        </w:rPr>
        <w:t>in</w:t>
      </w:r>
      <w:r w:rsidRPr="00BB100E">
        <w:rPr>
          <w:bCs/>
        </w:rPr>
        <w:t xml:space="preserve"> </w:t>
      </w:r>
      <w:proofErr w:type="spellStart"/>
      <w:r w:rsidRPr="00BB100E">
        <w:rPr>
          <w:bCs/>
        </w:rPr>
        <w:t>Kassar</w:t>
      </w:r>
      <w:proofErr w:type="spellEnd"/>
      <w:r w:rsidR="00235B61">
        <w:rPr>
          <w:bCs/>
        </w:rPr>
        <w:t>, a village</w:t>
      </w:r>
      <w:r w:rsidRPr="00BB100E">
        <w:rPr>
          <w:bCs/>
        </w:rPr>
        <w:t xml:space="preserve"> in </w:t>
      </w:r>
      <w:r w:rsidR="006920B9">
        <w:rPr>
          <w:bCs/>
        </w:rPr>
        <w:t xml:space="preserve">the state of </w:t>
      </w:r>
      <w:r w:rsidRPr="00BB100E">
        <w:rPr>
          <w:bCs/>
        </w:rPr>
        <w:t xml:space="preserve">Haryana, </w:t>
      </w:r>
      <w:r w:rsidR="00701970">
        <w:rPr>
          <w:bCs/>
        </w:rPr>
        <w:t>and in</w:t>
      </w:r>
      <w:r w:rsidRPr="00BB100E">
        <w:rPr>
          <w:bCs/>
        </w:rPr>
        <w:t xml:space="preserve"> </w:t>
      </w:r>
      <w:proofErr w:type="spellStart"/>
      <w:r w:rsidRPr="00BB100E">
        <w:rPr>
          <w:bCs/>
        </w:rPr>
        <w:t>Kadi</w:t>
      </w:r>
      <w:proofErr w:type="spellEnd"/>
      <w:r w:rsidR="0058664D">
        <w:rPr>
          <w:bCs/>
        </w:rPr>
        <w:t>,</w:t>
      </w:r>
      <w:r w:rsidRPr="00BB100E">
        <w:rPr>
          <w:bCs/>
        </w:rPr>
        <w:t xml:space="preserve"> in </w:t>
      </w:r>
      <w:r w:rsidR="0058664D">
        <w:rPr>
          <w:bCs/>
        </w:rPr>
        <w:t xml:space="preserve">the westernmost state of </w:t>
      </w:r>
      <w:r w:rsidRPr="00BB100E">
        <w:rPr>
          <w:bCs/>
        </w:rPr>
        <w:t>Gujarat. These plants</w:t>
      </w:r>
      <w:r w:rsidR="0058664D">
        <w:rPr>
          <w:bCs/>
        </w:rPr>
        <w:t xml:space="preserve"> and</w:t>
      </w:r>
      <w:r w:rsidRPr="00BB100E">
        <w:rPr>
          <w:bCs/>
        </w:rPr>
        <w:t xml:space="preserve"> other joint ventures had </w:t>
      </w:r>
      <w:r w:rsidR="0058664D">
        <w:rPr>
          <w:bCs/>
        </w:rPr>
        <w:t>a combined</w:t>
      </w:r>
      <w:r w:rsidRPr="00BB100E">
        <w:rPr>
          <w:bCs/>
        </w:rPr>
        <w:t xml:space="preserve"> </w:t>
      </w:r>
      <w:r w:rsidR="0058664D">
        <w:rPr>
          <w:bCs/>
        </w:rPr>
        <w:t>annual</w:t>
      </w:r>
      <w:r w:rsidRPr="00BB100E">
        <w:rPr>
          <w:bCs/>
        </w:rPr>
        <w:t xml:space="preserve"> production capacity of 41 million square </w:t>
      </w:r>
      <w:proofErr w:type="spellStart"/>
      <w:r w:rsidRPr="00BB100E">
        <w:rPr>
          <w:bCs/>
        </w:rPr>
        <w:t>met</w:t>
      </w:r>
      <w:r w:rsidR="0058664D">
        <w:rPr>
          <w:bCs/>
        </w:rPr>
        <w:t>re</w:t>
      </w:r>
      <w:r w:rsidRPr="00BB100E">
        <w:rPr>
          <w:bCs/>
        </w:rPr>
        <w:t>s</w:t>
      </w:r>
      <w:proofErr w:type="spellEnd"/>
      <w:r w:rsidRPr="00BB100E">
        <w:rPr>
          <w:bCs/>
        </w:rPr>
        <w:t>.</w:t>
      </w:r>
      <w:r w:rsidR="00904711">
        <w:rPr>
          <w:bCs/>
        </w:rPr>
        <w:t xml:space="preserve"> </w:t>
      </w:r>
      <w:r w:rsidR="00054AA6">
        <w:rPr>
          <w:bCs/>
        </w:rPr>
        <w:t xml:space="preserve">In 2016, </w:t>
      </w:r>
      <w:r w:rsidR="00956631" w:rsidRPr="00BB100E">
        <w:rPr>
          <w:bCs/>
        </w:rPr>
        <w:t>SCL</w:t>
      </w:r>
      <w:r w:rsidR="00054AA6">
        <w:rPr>
          <w:bCs/>
        </w:rPr>
        <w:t>’s</w:t>
      </w:r>
      <w:r w:rsidR="00956631" w:rsidRPr="00BB100E">
        <w:rPr>
          <w:bCs/>
        </w:rPr>
        <w:t xml:space="preserve"> market capitalization </w:t>
      </w:r>
      <w:r w:rsidR="00054AA6">
        <w:rPr>
          <w:bCs/>
        </w:rPr>
        <w:t xml:space="preserve">was approximately </w:t>
      </w:r>
      <w:r w:rsidR="00054AA6" w:rsidRPr="005954B6">
        <w:rPr>
          <w:rFonts w:ascii="Arial" w:hAnsi="Arial" w:cs="Arial"/>
          <w:bCs/>
          <w:sz w:val="20"/>
          <w:szCs w:val="20"/>
        </w:rPr>
        <w:t>₹</w:t>
      </w:r>
      <w:r w:rsidR="00956631" w:rsidRPr="00BB100E">
        <w:rPr>
          <w:bCs/>
        </w:rPr>
        <w:t>31</w:t>
      </w:r>
      <w:r w:rsidR="00145588">
        <w:rPr>
          <w:bCs/>
        </w:rPr>
        <w:t>.02 billion (</w:t>
      </w:r>
      <w:r w:rsidR="00956631" w:rsidRPr="00BB100E">
        <w:rPr>
          <w:bCs/>
        </w:rPr>
        <w:t>US</w:t>
      </w:r>
      <w:r w:rsidR="00145588">
        <w:rPr>
          <w:bCs/>
        </w:rPr>
        <w:t>$</w:t>
      </w:r>
      <w:r w:rsidR="00956631" w:rsidRPr="00BB100E">
        <w:rPr>
          <w:bCs/>
        </w:rPr>
        <w:t>462.98 million)</w:t>
      </w:r>
      <w:r w:rsidR="00145588">
        <w:rPr>
          <w:bCs/>
        </w:rPr>
        <w:t>.</w:t>
      </w:r>
      <w:r w:rsidR="00E34F27">
        <w:rPr>
          <w:rStyle w:val="EndnoteReference"/>
          <w:bCs/>
        </w:rPr>
        <w:endnoteReference w:id="4"/>
      </w:r>
    </w:p>
    <w:p w14:paraId="059EEA97" w14:textId="77777777" w:rsidR="00DC4976" w:rsidRPr="00BB100E" w:rsidRDefault="00DC4976" w:rsidP="00F96550">
      <w:pPr>
        <w:pStyle w:val="BodyTextMain"/>
        <w:rPr>
          <w:bCs/>
        </w:rPr>
      </w:pPr>
    </w:p>
    <w:p w14:paraId="51222AE8" w14:textId="262C5395" w:rsidR="00384CA6" w:rsidRDefault="004711AC" w:rsidP="00F96550">
      <w:pPr>
        <w:pStyle w:val="BodyTextMain"/>
      </w:pPr>
      <w:r>
        <w:lastRenderedPageBreak/>
        <w:t>In 1996, w</w:t>
      </w:r>
      <w:r w:rsidR="00F96550" w:rsidRPr="00BB100E">
        <w:t xml:space="preserve">ith its </w:t>
      </w:r>
      <w:r w:rsidR="003C3B47">
        <w:t>research and development</w:t>
      </w:r>
      <w:r w:rsidR="00F96550" w:rsidRPr="00BB100E">
        <w:t xml:space="preserve"> facility, SCL became the first in India to produce ceramic tile</w:t>
      </w:r>
      <w:r w:rsidR="007F09CC">
        <w:t>s</w:t>
      </w:r>
      <w:r w:rsidR="00F96550" w:rsidRPr="00BB100E">
        <w:t xml:space="preserve"> of 45 </w:t>
      </w:r>
      <w:r w:rsidR="006D0B7C">
        <w:t>by</w:t>
      </w:r>
      <w:r w:rsidR="00F96550" w:rsidRPr="00BB100E">
        <w:t xml:space="preserve"> 45 </w:t>
      </w:r>
      <w:proofErr w:type="spellStart"/>
      <w:r w:rsidR="006D0B7C">
        <w:t>centimetres</w:t>
      </w:r>
      <w:proofErr w:type="spellEnd"/>
      <w:r w:rsidR="00F96550" w:rsidRPr="00BB100E">
        <w:t>, the largest tile size produced in India.</w:t>
      </w:r>
      <w:r w:rsidR="00F96550" w:rsidRPr="00BB100E">
        <w:rPr>
          <w:rStyle w:val="EndnoteReference"/>
          <w:bCs/>
        </w:rPr>
        <w:endnoteReference w:id="5"/>
      </w:r>
      <w:r w:rsidR="00F96550" w:rsidRPr="00BB100E">
        <w:t xml:space="preserve"> In 1999, the company </w:t>
      </w:r>
      <w:r w:rsidR="00A0034A">
        <w:t>was</w:t>
      </w:r>
      <w:r w:rsidR="00F96550" w:rsidRPr="00BB100E">
        <w:t xml:space="preserve"> accredited with </w:t>
      </w:r>
      <w:r w:rsidR="003D5D37">
        <w:t xml:space="preserve">the quality management standard </w:t>
      </w:r>
      <w:r w:rsidR="00F96550" w:rsidRPr="00BB100E">
        <w:t>ISO 9001</w:t>
      </w:r>
      <w:r w:rsidR="003D5D37">
        <w:t>,</w:t>
      </w:r>
      <w:r w:rsidR="00F96550" w:rsidRPr="00BB100E">
        <w:t xml:space="preserve"> and </w:t>
      </w:r>
      <w:r w:rsidR="00ED1DF9">
        <w:t xml:space="preserve">accredited with </w:t>
      </w:r>
      <w:r w:rsidR="00F96550" w:rsidRPr="00BB100E">
        <w:t xml:space="preserve">ISO 14001 for its environmentally friendly manufacturing facility </w:t>
      </w:r>
      <w:r w:rsidR="00384CA6">
        <w:t>in</w:t>
      </w:r>
      <w:r w:rsidR="00F96550" w:rsidRPr="00BB100E">
        <w:t xml:space="preserve"> </w:t>
      </w:r>
      <w:proofErr w:type="spellStart"/>
      <w:r w:rsidR="00F96550" w:rsidRPr="00BB100E">
        <w:t>Kadi</w:t>
      </w:r>
      <w:proofErr w:type="spellEnd"/>
      <w:r w:rsidR="00F96550" w:rsidRPr="00BB100E">
        <w:t>.</w:t>
      </w:r>
      <w:r w:rsidR="00D0482A">
        <w:t xml:space="preserve"> </w:t>
      </w:r>
    </w:p>
    <w:p w14:paraId="26D4E870" w14:textId="77777777" w:rsidR="00384CA6" w:rsidRDefault="00384CA6" w:rsidP="00F96550">
      <w:pPr>
        <w:pStyle w:val="BodyTextMain"/>
      </w:pPr>
    </w:p>
    <w:p w14:paraId="1A30684A" w14:textId="4E62701F" w:rsidR="00F96550" w:rsidRPr="00BB100E" w:rsidRDefault="00F96550" w:rsidP="00F96550">
      <w:pPr>
        <w:pStyle w:val="BodyTextMain"/>
      </w:pPr>
      <w:r w:rsidRPr="00BB100E">
        <w:t xml:space="preserve">In an industry </w:t>
      </w:r>
      <w:r w:rsidR="00CE3F18">
        <w:t>with</w:t>
      </w:r>
      <w:r w:rsidRPr="00BB100E">
        <w:t xml:space="preserve"> numerous </w:t>
      </w:r>
      <w:r w:rsidR="008201E6">
        <w:t xml:space="preserve">product </w:t>
      </w:r>
      <w:r w:rsidRPr="00BB100E">
        <w:t>design</w:t>
      </w:r>
      <w:r w:rsidR="008201E6">
        <w:t>s</w:t>
      </w:r>
      <w:r w:rsidRPr="00BB100E">
        <w:t xml:space="preserve"> and brands, SCL strongly believed that </w:t>
      </w:r>
      <w:r w:rsidR="00DB6059">
        <w:t>its</w:t>
      </w:r>
      <w:r w:rsidRPr="00BB100E">
        <w:t xml:space="preserve"> singular differentiator in the industry </w:t>
      </w:r>
      <w:r w:rsidR="00E4386C">
        <w:t>was</w:t>
      </w:r>
      <w:r w:rsidRPr="00BB100E">
        <w:t xml:space="preserve"> the quality of its </w:t>
      </w:r>
      <w:proofErr w:type="spellStart"/>
      <w:r w:rsidR="00E4386C">
        <w:t>labourers</w:t>
      </w:r>
      <w:proofErr w:type="spellEnd"/>
      <w:r w:rsidRPr="00BB100E">
        <w:t>. Characterized by a</w:t>
      </w:r>
      <w:r w:rsidR="00C8332D">
        <w:t>n uncommon</w:t>
      </w:r>
      <w:r w:rsidRPr="00BB100E">
        <w:t xml:space="preserve"> blend of youth and experience, SCL had a vibrant team of 2,130 staff and workers in its two plants (</w:t>
      </w:r>
      <w:r>
        <w:t>see Exhibit 2</w:t>
      </w:r>
      <w:r w:rsidRPr="00BB100E">
        <w:t xml:space="preserve">). The </w:t>
      </w:r>
      <w:r w:rsidR="00C8332D">
        <w:t>c</w:t>
      </w:r>
      <w:r w:rsidRPr="00BB100E">
        <w:t xml:space="preserve">ompany’s average age of employees </w:t>
      </w:r>
      <w:r w:rsidR="00963B15">
        <w:t>dropped</w:t>
      </w:r>
      <w:r w:rsidRPr="00BB100E">
        <w:t xml:space="preserve"> from 40 in 2008</w:t>
      </w:r>
      <w:r w:rsidR="00963B15">
        <w:t>–</w:t>
      </w:r>
      <w:r w:rsidRPr="00BB100E">
        <w:t>09 to 34 in 2014</w:t>
      </w:r>
      <w:r w:rsidR="00963B15">
        <w:t>–</w:t>
      </w:r>
      <w:r w:rsidRPr="00BB100E">
        <w:t xml:space="preserve">15, making </w:t>
      </w:r>
      <w:r w:rsidR="00963B15">
        <w:t>SCL</w:t>
      </w:r>
      <w:r w:rsidRPr="00BB100E">
        <w:t xml:space="preserve"> a yout</w:t>
      </w:r>
      <w:r w:rsidR="00963B15">
        <w:t>h</w:t>
      </w:r>
      <w:r w:rsidRPr="00BB100E">
        <w:t xml:space="preserve">ful organization. </w:t>
      </w:r>
    </w:p>
    <w:p w14:paraId="4E1D8C5E" w14:textId="77777777" w:rsidR="00F96550" w:rsidRPr="00BB100E" w:rsidRDefault="00F96550" w:rsidP="00F96550">
      <w:pPr>
        <w:pStyle w:val="BodyTextMain"/>
        <w:rPr>
          <w:b/>
        </w:rPr>
      </w:pPr>
    </w:p>
    <w:p w14:paraId="5E9EC671" w14:textId="34DC2A6F" w:rsidR="00F96550" w:rsidRPr="00BB100E" w:rsidRDefault="00F96550" w:rsidP="00F96550">
      <w:pPr>
        <w:pStyle w:val="BodyTextMain"/>
      </w:pPr>
      <w:r w:rsidRPr="00BB100E">
        <w:t>The company had been expanding consistently</w:t>
      </w:r>
      <w:r w:rsidR="00214C9C">
        <w:t>,</w:t>
      </w:r>
      <w:r w:rsidRPr="00BB100E">
        <w:t xml:space="preserve"> and over 2015</w:t>
      </w:r>
      <w:r w:rsidR="00443EB6">
        <w:t>–</w:t>
      </w:r>
      <w:r w:rsidRPr="00BB100E">
        <w:t xml:space="preserve">16, </w:t>
      </w:r>
      <w:r w:rsidR="000F39BC">
        <w:t xml:space="preserve">it increased its </w:t>
      </w:r>
      <w:r w:rsidRPr="00BB100E">
        <w:t xml:space="preserve">manufacturing capacity from 21.55 to 25.55 million square </w:t>
      </w:r>
      <w:proofErr w:type="spellStart"/>
      <w:r w:rsidRPr="00BB100E">
        <w:t>metres</w:t>
      </w:r>
      <w:proofErr w:type="spellEnd"/>
      <w:r w:rsidRPr="00BB100E">
        <w:t xml:space="preserve"> per </w:t>
      </w:r>
      <w:r w:rsidR="00214C9C">
        <w:t>year</w:t>
      </w:r>
      <w:r w:rsidRPr="00BB100E">
        <w:t xml:space="preserve"> at its </w:t>
      </w:r>
      <w:proofErr w:type="spellStart"/>
      <w:r w:rsidRPr="00BB100E">
        <w:t>Kassar</w:t>
      </w:r>
      <w:proofErr w:type="spellEnd"/>
      <w:r w:rsidRPr="00BB100E">
        <w:t xml:space="preserve"> </w:t>
      </w:r>
      <w:r w:rsidR="005020D5">
        <w:t>p</w:t>
      </w:r>
      <w:r w:rsidRPr="00BB100E">
        <w:t>lant</w:t>
      </w:r>
      <w:r w:rsidR="005020D5">
        <w:t>,</w:t>
      </w:r>
      <w:r w:rsidRPr="00BB100E">
        <w:t xml:space="preserve"> and</w:t>
      </w:r>
      <w:r w:rsidR="005020D5">
        <w:t>, during the same period, increased its</w:t>
      </w:r>
      <w:r w:rsidRPr="00BB100E">
        <w:t xml:space="preserve"> capacity at its subsidiaries and associates from 20.97 million square </w:t>
      </w:r>
      <w:proofErr w:type="spellStart"/>
      <w:r w:rsidRPr="00BB100E">
        <w:t>metres</w:t>
      </w:r>
      <w:proofErr w:type="spellEnd"/>
      <w:r w:rsidRPr="00BB100E">
        <w:t xml:space="preserve"> to 25.70 million square </w:t>
      </w:r>
      <w:proofErr w:type="spellStart"/>
      <w:r w:rsidRPr="00BB100E">
        <w:t>metres</w:t>
      </w:r>
      <w:proofErr w:type="spellEnd"/>
      <w:r w:rsidRPr="00BB100E">
        <w:t xml:space="preserve"> per </w:t>
      </w:r>
      <w:r w:rsidR="00214C9C">
        <w:t>year</w:t>
      </w:r>
      <w:r w:rsidRPr="00BB100E">
        <w:t>.</w:t>
      </w:r>
      <w:r w:rsidRPr="007359F0">
        <w:rPr>
          <w:rStyle w:val="EndnoteReference"/>
        </w:rPr>
        <w:endnoteReference w:id="6"/>
      </w:r>
      <w:r w:rsidR="00AE5967">
        <w:t xml:space="preserve"> SCL</w:t>
      </w:r>
      <w:r w:rsidRPr="00BB100E">
        <w:t xml:space="preserve"> operated with a network of 1</w:t>
      </w:r>
      <w:r w:rsidR="00D0482A">
        <w:t>,</w:t>
      </w:r>
      <w:r w:rsidRPr="00BB100E">
        <w:t>490 dealers, 8</w:t>
      </w:r>
      <w:r w:rsidR="00D0482A">
        <w:t>,</w:t>
      </w:r>
      <w:r w:rsidRPr="00BB100E">
        <w:t>000 sub-dealers</w:t>
      </w:r>
      <w:r w:rsidR="00AE5967">
        <w:t>,</w:t>
      </w:r>
      <w:r w:rsidRPr="00BB100E">
        <w:t xml:space="preserve"> and 146 retail showrooms across India.</w:t>
      </w:r>
      <w:r w:rsidRPr="00DA1242">
        <w:rPr>
          <w:rStyle w:val="EndnoteReference"/>
        </w:rPr>
        <w:endnoteReference w:id="7"/>
      </w:r>
      <w:r w:rsidRPr="00BB100E">
        <w:rPr>
          <w:vertAlign w:val="superscript"/>
        </w:rPr>
        <w:t xml:space="preserve"> </w:t>
      </w:r>
      <w:r w:rsidRPr="00BB100E">
        <w:t xml:space="preserve">With </w:t>
      </w:r>
      <w:r w:rsidR="000D0767">
        <w:t xml:space="preserve">its </w:t>
      </w:r>
      <w:r w:rsidRPr="00BB100E">
        <w:t xml:space="preserve">expansion and a growing network of dealers, the company posted </w:t>
      </w:r>
      <w:r w:rsidR="004F69AE">
        <w:t>a</w:t>
      </w:r>
      <w:r w:rsidRPr="00BB100E">
        <w:t xml:space="preserve"> net profit of </w:t>
      </w:r>
      <w:r w:rsidR="00214C9C" w:rsidRPr="005D1160">
        <w:rPr>
          <w:rFonts w:ascii="Arial" w:hAnsi="Arial" w:cs="Arial"/>
          <w:bCs/>
          <w:sz w:val="20"/>
          <w:szCs w:val="20"/>
        </w:rPr>
        <w:t>₹</w:t>
      </w:r>
      <w:r w:rsidRPr="00BB100E">
        <w:t xml:space="preserve">610.6 million with revenue of </w:t>
      </w:r>
      <w:r w:rsidR="00214C9C" w:rsidRPr="005D1160">
        <w:rPr>
          <w:rFonts w:ascii="Arial" w:hAnsi="Arial" w:cs="Arial"/>
          <w:bCs/>
          <w:sz w:val="20"/>
          <w:szCs w:val="20"/>
        </w:rPr>
        <w:t>₹</w:t>
      </w:r>
      <w:r w:rsidRPr="00BB100E">
        <w:t>17</w:t>
      </w:r>
      <w:r w:rsidR="00E553D1">
        <w:t>.3</w:t>
      </w:r>
      <w:r w:rsidRPr="00BB100E">
        <w:t xml:space="preserve"> </w:t>
      </w:r>
      <w:r w:rsidR="00E553D1">
        <w:t>b</w:t>
      </w:r>
      <w:r w:rsidRPr="00BB100E">
        <w:t xml:space="preserve">illion during </w:t>
      </w:r>
      <w:r w:rsidR="00E553D1">
        <w:t>fiscal year</w:t>
      </w:r>
      <w:r w:rsidR="00866362">
        <w:t xml:space="preserve"> (FY)</w:t>
      </w:r>
      <w:r w:rsidR="00E553D1">
        <w:t xml:space="preserve"> 2015–</w:t>
      </w:r>
      <w:r w:rsidRPr="00BB100E">
        <w:t>16.</w:t>
      </w:r>
      <w:r w:rsidRPr="00DA1242">
        <w:rPr>
          <w:rStyle w:val="EndnoteReference"/>
        </w:rPr>
        <w:endnoteReference w:id="8"/>
      </w:r>
    </w:p>
    <w:p w14:paraId="0C2FC428" w14:textId="77777777" w:rsidR="00F96550" w:rsidRDefault="00F96550" w:rsidP="00F96550">
      <w:pPr>
        <w:jc w:val="both"/>
        <w:rPr>
          <w:b/>
        </w:rPr>
      </w:pPr>
    </w:p>
    <w:p w14:paraId="1F84E39D" w14:textId="77777777" w:rsidR="00F96550" w:rsidRPr="00BB100E" w:rsidRDefault="00F96550" w:rsidP="00F96550">
      <w:pPr>
        <w:jc w:val="both"/>
        <w:rPr>
          <w:b/>
        </w:rPr>
      </w:pPr>
    </w:p>
    <w:p w14:paraId="481CB089" w14:textId="47A7E4E2" w:rsidR="00F96550" w:rsidRDefault="000D0767" w:rsidP="00DA1242">
      <w:pPr>
        <w:pStyle w:val="Casehead1"/>
        <w:outlineLvl w:val="0"/>
      </w:pPr>
      <w:r>
        <w:t xml:space="preserve">The </w:t>
      </w:r>
      <w:r w:rsidR="00F96550" w:rsidRPr="00BB100E">
        <w:t>Ceramic Tile Industry in India</w:t>
      </w:r>
    </w:p>
    <w:p w14:paraId="0FAD61F2" w14:textId="77777777" w:rsidR="00F96550" w:rsidRPr="00BB100E" w:rsidRDefault="00F96550" w:rsidP="00F96550">
      <w:pPr>
        <w:pStyle w:val="BodyTextMain"/>
      </w:pPr>
    </w:p>
    <w:p w14:paraId="4817533B" w14:textId="756B6EB1" w:rsidR="00C8550C" w:rsidRDefault="00F96550" w:rsidP="00F96550">
      <w:pPr>
        <w:pStyle w:val="BodyTextMain"/>
        <w:rPr>
          <w:bCs/>
        </w:rPr>
      </w:pPr>
      <w:r w:rsidRPr="00BB100E">
        <w:rPr>
          <w:bCs/>
        </w:rPr>
        <w:t>Globally, the market for ceramic tiles was valued at $76.81 billion in 2015 and forecasted to reach $178.1 billion by 2024.</w:t>
      </w:r>
      <w:r w:rsidRPr="00BB100E">
        <w:rPr>
          <w:rStyle w:val="EndnoteReference"/>
          <w:bCs/>
        </w:rPr>
        <w:endnoteReference w:id="9"/>
      </w:r>
      <w:r w:rsidRPr="00BB100E">
        <w:rPr>
          <w:bCs/>
        </w:rPr>
        <w:t xml:space="preserve"> In India, </w:t>
      </w:r>
      <w:r w:rsidR="00455F5D">
        <w:rPr>
          <w:bCs/>
        </w:rPr>
        <w:t xml:space="preserve">the </w:t>
      </w:r>
      <w:r w:rsidRPr="00BB100E">
        <w:rPr>
          <w:bCs/>
        </w:rPr>
        <w:t xml:space="preserve">ceramic tile market was estimated to be </w:t>
      </w:r>
      <w:r w:rsidR="00214C9C" w:rsidRPr="005D1160">
        <w:rPr>
          <w:rFonts w:ascii="Arial" w:hAnsi="Arial" w:cs="Arial"/>
          <w:bCs/>
          <w:sz w:val="20"/>
          <w:szCs w:val="20"/>
        </w:rPr>
        <w:t>₹</w:t>
      </w:r>
      <w:r w:rsidRPr="00BB100E">
        <w:rPr>
          <w:bCs/>
        </w:rPr>
        <w:t>270</w:t>
      </w:r>
      <w:r w:rsidR="004B1DA6">
        <w:rPr>
          <w:bCs/>
        </w:rPr>
        <w:t xml:space="preserve"> b</w:t>
      </w:r>
      <w:r w:rsidRPr="00BB100E">
        <w:rPr>
          <w:bCs/>
        </w:rPr>
        <w:t>illion (</w:t>
      </w:r>
      <w:r w:rsidR="004B1DA6">
        <w:rPr>
          <w:bCs/>
        </w:rPr>
        <w:t>$</w:t>
      </w:r>
      <w:r w:rsidRPr="00BB100E">
        <w:rPr>
          <w:bCs/>
        </w:rPr>
        <w:t>4</w:t>
      </w:r>
      <w:r w:rsidR="00332D4B">
        <w:rPr>
          <w:bCs/>
        </w:rPr>
        <w:t>.03</w:t>
      </w:r>
      <w:r w:rsidRPr="00BB100E">
        <w:rPr>
          <w:bCs/>
        </w:rPr>
        <w:t xml:space="preserve"> </w:t>
      </w:r>
      <w:r w:rsidR="00332D4B">
        <w:rPr>
          <w:bCs/>
        </w:rPr>
        <w:t>b</w:t>
      </w:r>
      <w:r w:rsidRPr="00BB100E">
        <w:rPr>
          <w:bCs/>
        </w:rPr>
        <w:t>illion) as of March 31, 2016.</w:t>
      </w:r>
      <w:r w:rsidRPr="00BB100E">
        <w:rPr>
          <w:rStyle w:val="EndnoteReference"/>
          <w:bCs/>
        </w:rPr>
        <w:endnoteReference w:id="10"/>
      </w:r>
      <w:r w:rsidRPr="00BB100E">
        <w:rPr>
          <w:bCs/>
        </w:rPr>
        <w:t xml:space="preserve"> However, </w:t>
      </w:r>
      <w:r w:rsidR="000807A7">
        <w:rPr>
          <w:bCs/>
        </w:rPr>
        <w:t xml:space="preserve">the </w:t>
      </w:r>
      <w:r w:rsidRPr="00BB100E">
        <w:rPr>
          <w:bCs/>
        </w:rPr>
        <w:t>per</w:t>
      </w:r>
      <w:r w:rsidR="009E28C4">
        <w:rPr>
          <w:bCs/>
        </w:rPr>
        <w:t>-</w:t>
      </w:r>
      <w:r w:rsidRPr="00BB100E">
        <w:rPr>
          <w:bCs/>
        </w:rPr>
        <w:t xml:space="preserve">capita consumption </w:t>
      </w:r>
      <w:r w:rsidR="001E1CDE">
        <w:rPr>
          <w:bCs/>
        </w:rPr>
        <w:t xml:space="preserve">of ceramic tiles </w:t>
      </w:r>
      <w:r w:rsidRPr="00BB100E">
        <w:rPr>
          <w:bCs/>
        </w:rPr>
        <w:t>in India</w:t>
      </w:r>
      <w:r w:rsidR="006407E4">
        <w:rPr>
          <w:bCs/>
        </w:rPr>
        <w:t xml:space="preserve"> was low, at 0.59 </w:t>
      </w:r>
      <w:r w:rsidR="00E325BB">
        <w:rPr>
          <w:bCs/>
        </w:rPr>
        <w:t xml:space="preserve">square </w:t>
      </w:r>
      <w:proofErr w:type="spellStart"/>
      <w:r w:rsidR="00E325BB">
        <w:rPr>
          <w:bCs/>
        </w:rPr>
        <w:t>metres</w:t>
      </w:r>
      <w:proofErr w:type="spellEnd"/>
      <w:r w:rsidR="00CC0EA7">
        <w:rPr>
          <w:bCs/>
        </w:rPr>
        <w:t>. Although consumption had been increasing, t</w:t>
      </w:r>
      <w:r w:rsidR="000807A7">
        <w:rPr>
          <w:bCs/>
        </w:rPr>
        <w:t xml:space="preserve">he </w:t>
      </w:r>
      <w:r w:rsidRPr="00BB100E">
        <w:rPr>
          <w:bCs/>
        </w:rPr>
        <w:t>per</w:t>
      </w:r>
      <w:r w:rsidR="009E28C4">
        <w:rPr>
          <w:bCs/>
        </w:rPr>
        <w:t>-</w:t>
      </w:r>
      <w:r w:rsidRPr="00BB100E">
        <w:rPr>
          <w:bCs/>
        </w:rPr>
        <w:t>capita consumption in India was still much lower than that in Brazil, China</w:t>
      </w:r>
      <w:r w:rsidR="00E325BB">
        <w:rPr>
          <w:bCs/>
        </w:rPr>
        <w:t>,</w:t>
      </w:r>
      <w:r w:rsidRPr="00BB100E">
        <w:rPr>
          <w:bCs/>
        </w:rPr>
        <w:t xml:space="preserve"> and Vietnam at 4.12, 3.33</w:t>
      </w:r>
      <w:r w:rsidR="00207768">
        <w:rPr>
          <w:bCs/>
        </w:rPr>
        <w:t>,</w:t>
      </w:r>
      <w:r w:rsidRPr="00BB100E">
        <w:rPr>
          <w:bCs/>
        </w:rPr>
        <w:t xml:space="preserve"> and 2.8 square </w:t>
      </w:r>
      <w:proofErr w:type="spellStart"/>
      <w:r w:rsidRPr="00BB100E">
        <w:rPr>
          <w:bCs/>
        </w:rPr>
        <w:t>metres</w:t>
      </w:r>
      <w:proofErr w:type="spellEnd"/>
      <w:r w:rsidR="00207768">
        <w:rPr>
          <w:bCs/>
        </w:rPr>
        <w:t>,</w:t>
      </w:r>
      <w:r w:rsidRPr="00BB100E">
        <w:rPr>
          <w:bCs/>
        </w:rPr>
        <w:t xml:space="preserve"> respectively.</w:t>
      </w:r>
      <w:r w:rsidRPr="00BB100E">
        <w:rPr>
          <w:rStyle w:val="EndnoteReference"/>
          <w:bCs/>
        </w:rPr>
        <w:endnoteReference w:id="11"/>
      </w:r>
      <w:r w:rsidRPr="00BB100E">
        <w:rPr>
          <w:bCs/>
        </w:rPr>
        <w:t xml:space="preserve"> </w:t>
      </w:r>
      <w:r w:rsidR="00E325BB">
        <w:rPr>
          <w:bCs/>
        </w:rPr>
        <w:t>T</w:t>
      </w:r>
      <w:r w:rsidR="00CC0EA7">
        <w:rPr>
          <w:bCs/>
        </w:rPr>
        <w:t>hus, the market had</w:t>
      </w:r>
      <w:r w:rsidR="00CC0EA7" w:rsidRPr="00BB100E">
        <w:rPr>
          <w:bCs/>
        </w:rPr>
        <w:t xml:space="preserve"> potential for growth.</w:t>
      </w:r>
    </w:p>
    <w:p w14:paraId="41E0D174" w14:textId="77777777" w:rsidR="00C8550C" w:rsidRDefault="00C8550C" w:rsidP="00F96550">
      <w:pPr>
        <w:pStyle w:val="BodyTextMain"/>
        <w:rPr>
          <w:bCs/>
        </w:rPr>
      </w:pPr>
    </w:p>
    <w:p w14:paraId="09934328" w14:textId="3B7F1C79" w:rsidR="00F96550" w:rsidRDefault="00406B13" w:rsidP="00F96550">
      <w:pPr>
        <w:pStyle w:val="BodyTextMain"/>
        <w:rPr>
          <w:bCs/>
        </w:rPr>
      </w:pPr>
      <w:r>
        <w:rPr>
          <w:bCs/>
        </w:rPr>
        <w:t xml:space="preserve">Growth in the </w:t>
      </w:r>
      <w:r w:rsidR="00F96550" w:rsidRPr="00BB100E">
        <w:rPr>
          <w:bCs/>
        </w:rPr>
        <w:t xml:space="preserve">Indian </w:t>
      </w:r>
      <w:r>
        <w:rPr>
          <w:bCs/>
        </w:rPr>
        <w:t xml:space="preserve">tile market was </w:t>
      </w:r>
      <w:proofErr w:type="spellStart"/>
      <w:r>
        <w:rPr>
          <w:bCs/>
        </w:rPr>
        <w:t>fuelled</w:t>
      </w:r>
      <w:proofErr w:type="spellEnd"/>
      <w:r>
        <w:rPr>
          <w:bCs/>
        </w:rPr>
        <w:t xml:space="preserve"> by </w:t>
      </w:r>
      <w:r w:rsidR="00F96550" w:rsidRPr="00BB100E">
        <w:rPr>
          <w:bCs/>
        </w:rPr>
        <w:t xml:space="preserve">government programs </w:t>
      </w:r>
      <w:r w:rsidR="004233D9">
        <w:rPr>
          <w:bCs/>
        </w:rPr>
        <w:t>such as</w:t>
      </w:r>
      <w:r w:rsidR="00F96550" w:rsidRPr="00BB100E">
        <w:rPr>
          <w:bCs/>
        </w:rPr>
        <w:t xml:space="preserve"> </w:t>
      </w:r>
      <w:proofErr w:type="spellStart"/>
      <w:r w:rsidR="00F96550" w:rsidRPr="00BB100E">
        <w:rPr>
          <w:bCs/>
        </w:rPr>
        <w:t>Swachh</w:t>
      </w:r>
      <w:proofErr w:type="spellEnd"/>
      <w:r w:rsidR="00F96550" w:rsidRPr="00BB100E">
        <w:rPr>
          <w:bCs/>
        </w:rPr>
        <w:t xml:space="preserve"> Bharat </w:t>
      </w:r>
      <w:proofErr w:type="spellStart"/>
      <w:r w:rsidR="00F96550" w:rsidRPr="00BB100E">
        <w:rPr>
          <w:bCs/>
        </w:rPr>
        <w:t>Abhiyan</w:t>
      </w:r>
      <w:proofErr w:type="spellEnd"/>
      <w:r w:rsidR="005A48C3">
        <w:rPr>
          <w:bCs/>
        </w:rPr>
        <w:t xml:space="preserve"> (Clean India Mission), which </w:t>
      </w:r>
      <w:proofErr w:type="spellStart"/>
      <w:r w:rsidR="005A48C3">
        <w:rPr>
          <w:bCs/>
        </w:rPr>
        <w:t>endeavoured</w:t>
      </w:r>
      <w:proofErr w:type="spellEnd"/>
      <w:r w:rsidR="005A48C3">
        <w:rPr>
          <w:bCs/>
        </w:rPr>
        <w:t xml:space="preserve"> to </w:t>
      </w:r>
      <w:r w:rsidR="00246F62">
        <w:rPr>
          <w:bCs/>
        </w:rPr>
        <w:t>provide household-owned and community-owned toilets</w:t>
      </w:r>
      <w:r w:rsidR="00F96550" w:rsidRPr="00BB100E">
        <w:rPr>
          <w:bCs/>
        </w:rPr>
        <w:t xml:space="preserve"> for all, smart cities</w:t>
      </w:r>
      <w:r w:rsidR="004233D9">
        <w:rPr>
          <w:bCs/>
        </w:rPr>
        <w:t>,</w:t>
      </w:r>
      <w:r w:rsidR="00F96550" w:rsidRPr="00BB100E">
        <w:rPr>
          <w:bCs/>
        </w:rPr>
        <w:t xml:space="preserve"> and </w:t>
      </w:r>
      <w:r w:rsidR="004233D9">
        <w:rPr>
          <w:bCs/>
        </w:rPr>
        <w:t xml:space="preserve">a </w:t>
      </w:r>
      <w:r w:rsidR="00F96550" w:rsidRPr="00BB100E">
        <w:rPr>
          <w:bCs/>
        </w:rPr>
        <w:t xml:space="preserve">thrust </w:t>
      </w:r>
      <w:r w:rsidR="009E28C4">
        <w:rPr>
          <w:bCs/>
        </w:rPr>
        <w:t>to</w:t>
      </w:r>
      <w:r w:rsidR="004073FF">
        <w:rPr>
          <w:bCs/>
        </w:rPr>
        <w:t>wards</w:t>
      </w:r>
      <w:r w:rsidR="00F96550" w:rsidRPr="00BB100E">
        <w:rPr>
          <w:bCs/>
        </w:rPr>
        <w:t xml:space="preserve"> urbanization. </w:t>
      </w:r>
      <w:r w:rsidR="00EB0C38">
        <w:rPr>
          <w:bCs/>
        </w:rPr>
        <w:t>Forecasters predicted</w:t>
      </w:r>
      <w:r w:rsidR="00F96550" w:rsidRPr="00BB100E">
        <w:rPr>
          <w:bCs/>
        </w:rPr>
        <w:t xml:space="preserve"> the Indian market </w:t>
      </w:r>
      <w:r w:rsidR="00EB0C38">
        <w:rPr>
          <w:bCs/>
        </w:rPr>
        <w:t>would</w:t>
      </w:r>
      <w:r w:rsidR="00F96550" w:rsidRPr="00BB100E">
        <w:rPr>
          <w:bCs/>
        </w:rPr>
        <w:t xml:space="preserve"> grow at </w:t>
      </w:r>
      <w:r w:rsidR="00EB0C38">
        <w:rPr>
          <w:bCs/>
        </w:rPr>
        <w:t xml:space="preserve">a </w:t>
      </w:r>
      <w:r w:rsidR="00F96550" w:rsidRPr="00BB100E">
        <w:rPr>
          <w:bCs/>
        </w:rPr>
        <w:t>CAGR of 12</w:t>
      </w:r>
      <w:r w:rsidR="00EB0C38">
        <w:rPr>
          <w:bCs/>
        </w:rPr>
        <w:t>–</w:t>
      </w:r>
      <w:r w:rsidR="00F96550" w:rsidRPr="00BB100E">
        <w:rPr>
          <w:bCs/>
        </w:rPr>
        <w:t>15</w:t>
      </w:r>
      <w:r w:rsidR="00EB0C38">
        <w:rPr>
          <w:bCs/>
        </w:rPr>
        <w:t xml:space="preserve"> per cent</w:t>
      </w:r>
      <w:r w:rsidR="007E64C6">
        <w:rPr>
          <w:bCs/>
        </w:rPr>
        <w:t>—a notably</w:t>
      </w:r>
      <w:r w:rsidR="00F96550" w:rsidRPr="00BB100E">
        <w:rPr>
          <w:bCs/>
        </w:rPr>
        <w:t xml:space="preserve"> faster </w:t>
      </w:r>
      <w:r w:rsidR="007E64C6">
        <w:rPr>
          <w:bCs/>
        </w:rPr>
        <w:t xml:space="preserve">rate </w:t>
      </w:r>
      <w:r w:rsidR="00F96550" w:rsidRPr="00BB100E">
        <w:rPr>
          <w:bCs/>
        </w:rPr>
        <w:t xml:space="preserve">than the estimated </w:t>
      </w:r>
      <w:r w:rsidR="0086511D">
        <w:rPr>
          <w:bCs/>
        </w:rPr>
        <w:t>9.8 per cent CAGR</w:t>
      </w:r>
      <w:r w:rsidR="00F96550" w:rsidRPr="00BB100E">
        <w:rPr>
          <w:bCs/>
        </w:rPr>
        <w:t xml:space="preserve"> of the global market.</w:t>
      </w:r>
      <w:r w:rsidR="00F96550" w:rsidRPr="00DA1242">
        <w:rPr>
          <w:rStyle w:val="EndnoteReference"/>
        </w:rPr>
        <w:endnoteReference w:id="12"/>
      </w:r>
      <w:r w:rsidR="00F96550" w:rsidRPr="00BB100E">
        <w:rPr>
          <w:bCs/>
        </w:rPr>
        <w:t xml:space="preserve"> </w:t>
      </w:r>
      <w:r w:rsidR="00F43668">
        <w:rPr>
          <w:bCs/>
        </w:rPr>
        <w:t>According to the</w:t>
      </w:r>
      <w:r w:rsidR="00F96550" w:rsidRPr="00BB100E">
        <w:rPr>
          <w:bCs/>
        </w:rPr>
        <w:t xml:space="preserve"> Indian Council of Ceramic Tiles and </w:t>
      </w:r>
      <w:proofErr w:type="spellStart"/>
      <w:r w:rsidR="00F96550" w:rsidRPr="00BB100E">
        <w:rPr>
          <w:bCs/>
        </w:rPr>
        <w:t>Sanitaryware</w:t>
      </w:r>
      <w:proofErr w:type="spellEnd"/>
      <w:r w:rsidR="00F96550" w:rsidRPr="00BB100E">
        <w:rPr>
          <w:bCs/>
        </w:rPr>
        <w:t>, the apex body of manufacturers of ceramic tiles, India was the third</w:t>
      </w:r>
      <w:r w:rsidR="00866362">
        <w:rPr>
          <w:bCs/>
        </w:rPr>
        <w:t>-</w:t>
      </w:r>
      <w:r w:rsidR="00F96550" w:rsidRPr="00BB100E">
        <w:rPr>
          <w:bCs/>
        </w:rPr>
        <w:t>largest producer and consumer of ceramic tiles</w:t>
      </w:r>
      <w:r w:rsidR="00F43668">
        <w:rPr>
          <w:bCs/>
        </w:rPr>
        <w:t>,</w:t>
      </w:r>
      <w:r w:rsidR="00F96550" w:rsidRPr="00BB100E">
        <w:rPr>
          <w:bCs/>
        </w:rPr>
        <w:t xml:space="preserve"> and with the latest technical upgrad</w:t>
      </w:r>
      <w:r w:rsidR="00F43668">
        <w:rPr>
          <w:bCs/>
        </w:rPr>
        <w:t>es</w:t>
      </w:r>
      <w:r w:rsidR="00F96550" w:rsidRPr="00BB100E">
        <w:rPr>
          <w:bCs/>
        </w:rPr>
        <w:t>, the quality of Indian tiles matched international standards.</w:t>
      </w:r>
    </w:p>
    <w:p w14:paraId="7183F885" w14:textId="77777777" w:rsidR="00F96550" w:rsidRPr="00BB100E" w:rsidRDefault="00F96550" w:rsidP="00F96550">
      <w:pPr>
        <w:pStyle w:val="BodyTextMain"/>
        <w:rPr>
          <w:bCs/>
        </w:rPr>
      </w:pPr>
    </w:p>
    <w:p w14:paraId="6EE1FFD9" w14:textId="09A7E1DC" w:rsidR="00F96550" w:rsidRPr="00D0482A" w:rsidRDefault="00F96550" w:rsidP="00F96550">
      <w:pPr>
        <w:pStyle w:val="BodyTextMain"/>
        <w:rPr>
          <w:bCs/>
          <w:vertAlign w:val="superscript"/>
        </w:rPr>
      </w:pPr>
      <w:r w:rsidRPr="00BB100E">
        <w:rPr>
          <w:bCs/>
        </w:rPr>
        <w:t xml:space="preserve">Indian ceramic products included ceramic tiles, </w:t>
      </w:r>
      <w:proofErr w:type="spellStart"/>
      <w:r w:rsidRPr="00BB100E">
        <w:rPr>
          <w:bCs/>
        </w:rPr>
        <w:t>sanitaryware</w:t>
      </w:r>
      <w:proofErr w:type="spellEnd"/>
      <w:r w:rsidR="000B765C">
        <w:rPr>
          <w:bCs/>
        </w:rPr>
        <w:t>,</w:t>
      </w:r>
      <w:r w:rsidRPr="00BB100E">
        <w:rPr>
          <w:bCs/>
        </w:rPr>
        <w:t xml:space="preserve"> and crockery items. The major </w:t>
      </w:r>
      <w:r w:rsidR="000B765C">
        <w:rPr>
          <w:bCs/>
        </w:rPr>
        <w:t>manufacturers</w:t>
      </w:r>
      <w:r w:rsidRPr="00BB100E">
        <w:rPr>
          <w:bCs/>
        </w:rPr>
        <w:t xml:space="preserve"> in the Indian ceramic industry were </w:t>
      </w:r>
      <w:proofErr w:type="spellStart"/>
      <w:r w:rsidRPr="00BB100E">
        <w:rPr>
          <w:bCs/>
        </w:rPr>
        <w:t>Kajaria</w:t>
      </w:r>
      <w:proofErr w:type="spellEnd"/>
      <w:r w:rsidRPr="00BB100E">
        <w:rPr>
          <w:bCs/>
        </w:rPr>
        <w:t xml:space="preserve"> Ceramics</w:t>
      </w:r>
      <w:r w:rsidR="00382CFF">
        <w:rPr>
          <w:bCs/>
        </w:rPr>
        <w:t xml:space="preserve"> Ltd.</w:t>
      </w:r>
      <w:r w:rsidR="00866362">
        <w:rPr>
          <w:bCs/>
        </w:rPr>
        <w:t xml:space="preserve"> (</w:t>
      </w:r>
      <w:proofErr w:type="spellStart"/>
      <w:r w:rsidR="00866362">
        <w:rPr>
          <w:bCs/>
        </w:rPr>
        <w:t>Kajaria</w:t>
      </w:r>
      <w:proofErr w:type="spellEnd"/>
      <w:r w:rsidR="00866362">
        <w:rPr>
          <w:bCs/>
        </w:rPr>
        <w:t xml:space="preserve"> Ceramics)</w:t>
      </w:r>
      <w:r w:rsidRPr="00BB100E">
        <w:rPr>
          <w:bCs/>
        </w:rPr>
        <w:t>, HSIL</w:t>
      </w:r>
      <w:r w:rsidR="00382CFF">
        <w:rPr>
          <w:bCs/>
        </w:rPr>
        <w:t xml:space="preserve"> Ltd.</w:t>
      </w:r>
      <w:r w:rsidR="00866362">
        <w:rPr>
          <w:bCs/>
        </w:rPr>
        <w:t xml:space="preserve"> (HSIL)</w:t>
      </w:r>
      <w:r w:rsidRPr="00BB100E">
        <w:rPr>
          <w:bCs/>
        </w:rPr>
        <w:t xml:space="preserve">, </w:t>
      </w:r>
      <w:proofErr w:type="spellStart"/>
      <w:r w:rsidRPr="00BB100E">
        <w:rPr>
          <w:bCs/>
        </w:rPr>
        <w:t>Cera</w:t>
      </w:r>
      <w:proofErr w:type="spellEnd"/>
      <w:r w:rsidRPr="00BB100E">
        <w:rPr>
          <w:bCs/>
        </w:rPr>
        <w:t xml:space="preserve"> </w:t>
      </w:r>
      <w:proofErr w:type="spellStart"/>
      <w:r w:rsidRPr="00BB100E">
        <w:rPr>
          <w:bCs/>
        </w:rPr>
        <w:t>Sanitaryware</w:t>
      </w:r>
      <w:proofErr w:type="spellEnd"/>
      <w:r w:rsidR="00382CFF">
        <w:rPr>
          <w:bCs/>
        </w:rPr>
        <w:t xml:space="preserve"> Ltd.</w:t>
      </w:r>
      <w:r w:rsidR="00866362">
        <w:rPr>
          <w:bCs/>
        </w:rPr>
        <w:t xml:space="preserve"> (</w:t>
      </w:r>
      <w:proofErr w:type="spellStart"/>
      <w:r w:rsidR="00866362">
        <w:rPr>
          <w:bCs/>
        </w:rPr>
        <w:t>Cera</w:t>
      </w:r>
      <w:proofErr w:type="spellEnd"/>
      <w:r w:rsidR="00866362">
        <w:rPr>
          <w:bCs/>
        </w:rPr>
        <w:t>)</w:t>
      </w:r>
      <w:r w:rsidRPr="00BB100E">
        <w:rPr>
          <w:bCs/>
        </w:rPr>
        <w:t xml:space="preserve">, Roca </w:t>
      </w:r>
      <w:r w:rsidR="00382CFF">
        <w:rPr>
          <w:bCs/>
        </w:rPr>
        <w:t>Sanitaria SA</w:t>
      </w:r>
      <w:r w:rsidR="000B765C">
        <w:rPr>
          <w:bCs/>
        </w:rPr>
        <w:t>,</w:t>
      </w:r>
      <w:r w:rsidRPr="00BB100E">
        <w:rPr>
          <w:bCs/>
        </w:rPr>
        <w:t xml:space="preserve"> and </w:t>
      </w:r>
      <w:r w:rsidR="004C792A">
        <w:rPr>
          <w:bCs/>
        </w:rPr>
        <w:t>SCL</w:t>
      </w:r>
      <w:r>
        <w:rPr>
          <w:bCs/>
        </w:rPr>
        <w:t xml:space="preserve"> (see Exhibit 3)</w:t>
      </w:r>
      <w:r w:rsidRPr="00BB100E">
        <w:rPr>
          <w:bCs/>
        </w:rPr>
        <w:t>. In the tiles space, almost 45</w:t>
      </w:r>
      <w:r w:rsidR="00472CF7">
        <w:rPr>
          <w:bCs/>
        </w:rPr>
        <w:t>–</w:t>
      </w:r>
      <w:r w:rsidRPr="00BB100E">
        <w:rPr>
          <w:bCs/>
        </w:rPr>
        <w:t xml:space="preserve">50 per cent of the market was dominated by </w:t>
      </w:r>
      <w:r w:rsidR="007335BB">
        <w:rPr>
          <w:bCs/>
        </w:rPr>
        <w:t>multiple</w:t>
      </w:r>
      <w:r w:rsidRPr="00BB100E">
        <w:rPr>
          <w:bCs/>
        </w:rPr>
        <w:t xml:space="preserve"> unbranded players.</w:t>
      </w:r>
      <w:r w:rsidRPr="00DA1242">
        <w:rPr>
          <w:rStyle w:val="EndnoteReference"/>
        </w:rPr>
        <w:endnoteReference w:id="13"/>
      </w:r>
      <w:r w:rsidRPr="00F96550">
        <w:rPr>
          <w:bCs/>
          <w:vertAlign w:val="superscript"/>
        </w:rPr>
        <w:t xml:space="preserve"> </w:t>
      </w:r>
      <w:r>
        <w:rPr>
          <w:bCs/>
        </w:rPr>
        <w:t>A total of over 5</w:t>
      </w:r>
      <w:r w:rsidRPr="00BB100E">
        <w:rPr>
          <w:bCs/>
        </w:rPr>
        <w:t>50,000 people were employed in this sector</w:t>
      </w:r>
      <w:r w:rsidR="0083078F">
        <w:rPr>
          <w:bCs/>
        </w:rPr>
        <w:t>:</w:t>
      </w:r>
      <w:r w:rsidRPr="00BB100E">
        <w:rPr>
          <w:bCs/>
        </w:rPr>
        <w:t xml:space="preserve"> 50,000 </w:t>
      </w:r>
      <w:r>
        <w:rPr>
          <w:bCs/>
        </w:rPr>
        <w:t xml:space="preserve">were directly </w:t>
      </w:r>
      <w:r w:rsidR="0083078F">
        <w:rPr>
          <w:bCs/>
        </w:rPr>
        <w:t xml:space="preserve">employed </w:t>
      </w:r>
      <w:r>
        <w:rPr>
          <w:bCs/>
        </w:rPr>
        <w:t>and 5</w:t>
      </w:r>
      <w:r w:rsidRPr="00BB100E">
        <w:rPr>
          <w:bCs/>
        </w:rPr>
        <w:t>00,000 were indirectly associated</w:t>
      </w:r>
      <w:r w:rsidR="0083078F">
        <w:rPr>
          <w:bCs/>
        </w:rPr>
        <w:t xml:space="preserve"> with the industry</w:t>
      </w:r>
      <w:r w:rsidRPr="00BB100E">
        <w:rPr>
          <w:bCs/>
        </w:rPr>
        <w:t>.</w:t>
      </w:r>
      <w:r w:rsidRPr="007359F0">
        <w:rPr>
          <w:rStyle w:val="EndnoteReference"/>
        </w:rPr>
        <w:endnoteReference w:id="14"/>
      </w:r>
      <w:r w:rsidRPr="00BB100E">
        <w:rPr>
          <w:bCs/>
        </w:rPr>
        <w:t xml:space="preserve"> </w:t>
      </w:r>
      <w:bookmarkStart w:id="0" w:name="_GoBack"/>
      <w:bookmarkEnd w:id="0"/>
    </w:p>
    <w:p w14:paraId="6F2119A5" w14:textId="77777777" w:rsidR="00F96550" w:rsidRDefault="00F96550" w:rsidP="00F96550">
      <w:pPr>
        <w:pStyle w:val="BodyTextMain"/>
        <w:rPr>
          <w:bCs/>
        </w:rPr>
      </w:pPr>
    </w:p>
    <w:p w14:paraId="55329249" w14:textId="77777777" w:rsidR="009E725E" w:rsidRDefault="009E725E" w:rsidP="00F96550">
      <w:pPr>
        <w:pStyle w:val="BodyTextMain"/>
        <w:rPr>
          <w:bCs/>
        </w:rPr>
      </w:pPr>
    </w:p>
    <w:p w14:paraId="685615E0" w14:textId="77777777" w:rsidR="00F96550" w:rsidRDefault="00F96550" w:rsidP="00DA1242">
      <w:pPr>
        <w:pStyle w:val="Casehead1"/>
        <w:outlineLvl w:val="0"/>
      </w:pPr>
      <w:r w:rsidRPr="00BB100E">
        <w:t>Competition in Tiles Space</w:t>
      </w:r>
    </w:p>
    <w:p w14:paraId="49922E9B" w14:textId="77777777" w:rsidR="00F96550" w:rsidRPr="00BB100E" w:rsidRDefault="00F96550" w:rsidP="00554788">
      <w:pPr>
        <w:pStyle w:val="Casehead1"/>
        <w:keepNext w:val="0"/>
      </w:pPr>
    </w:p>
    <w:p w14:paraId="0812D04C" w14:textId="77777777" w:rsidR="00F96550" w:rsidRDefault="00F96550" w:rsidP="00DA1242">
      <w:pPr>
        <w:pStyle w:val="Casehead2"/>
        <w:outlineLvl w:val="0"/>
      </w:pPr>
      <w:proofErr w:type="spellStart"/>
      <w:r w:rsidRPr="00BB100E">
        <w:t>Kajaria</w:t>
      </w:r>
      <w:proofErr w:type="spellEnd"/>
      <w:r w:rsidRPr="00BB100E">
        <w:t xml:space="preserve"> Ceramics</w:t>
      </w:r>
    </w:p>
    <w:p w14:paraId="54CD9ADF" w14:textId="77777777" w:rsidR="00F96550" w:rsidRPr="00BB100E" w:rsidRDefault="00F96550" w:rsidP="00F96550">
      <w:pPr>
        <w:pStyle w:val="BodyTextMain"/>
      </w:pPr>
    </w:p>
    <w:p w14:paraId="6EBB3DBE" w14:textId="57FF1FBC" w:rsidR="00F96550" w:rsidRDefault="00F96550" w:rsidP="00F96550">
      <w:pPr>
        <w:pStyle w:val="BodyTextMain"/>
      </w:pPr>
      <w:r w:rsidRPr="00BB100E">
        <w:t xml:space="preserve">Incorporated in 1985, </w:t>
      </w:r>
      <w:proofErr w:type="spellStart"/>
      <w:r w:rsidRPr="00BB100E">
        <w:t>Kajaria</w:t>
      </w:r>
      <w:proofErr w:type="spellEnd"/>
      <w:r w:rsidRPr="00BB100E">
        <w:t xml:space="preserve"> Ceramics was the largest ceramic tile manufacturer in India. The company offered more than 1</w:t>
      </w:r>
      <w:r w:rsidR="007F09B8">
        <w:t>,</w:t>
      </w:r>
      <w:r w:rsidRPr="00BB100E">
        <w:t>200 options in ceramic wall and floor tiles, designer tiles</w:t>
      </w:r>
      <w:r w:rsidR="007F09B8">
        <w:t>,</w:t>
      </w:r>
      <w:r w:rsidRPr="00BB100E">
        <w:t xml:space="preserve"> and vitrified tiles.</w:t>
      </w:r>
      <w:r w:rsidRPr="00BB100E">
        <w:rPr>
          <w:rStyle w:val="EndnoteReference"/>
        </w:rPr>
        <w:endnoteReference w:id="15"/>
      </w:r>
      <w:r w:rsidRPr="00BB100E">
        <w:t xml:space="preserve"> It </w:t>
      </w:r>
      <w:r w:rsidRPr="00BB100E">
        <w:lastRenderedPageBreak/>
        <w:t xml:space="preserve">exported products to 20 countries and had many reputed </w:t>
      </w:r>
      <w:r w:rsidR="00526AA2">
        <w:t xml:space="preserve">real estate </w:t>
      </w:r>
      <w:r w:rsidRPr="00BB100E">
        <w:t xml:space="preserve">developers </w:t>
      </w:r>
      <w:r w:rsidR="00BA3EA7">
        <w:t>in India as its clients, including</w:t>
      </w:r>
      <w:r w:rsidRPr="00BB100E">
        <w:t xml:space="preserve"> </w:t>
      </w:r>
      <w:proofErr w:type="spellStart"/>
      <w:r w:rsidRPr="00BB100E">
        <w:t>Unitech</w:t>
      </w:r>
      <w:proofErr w:type="spellEnd"/>
      <w:r w:rsidR="00526AA2">
        <w:t xml:space="preserve"> Ltd.</w:t>
      </w:r>
      <w:r w:rsidRPr="00BB100E">
        <w:t>, DLF</w:t>
      </w:r>
      <w:r w:rsidR="00526AA2">
        <w:t xml:space="preserve"> Ltd.</w:t>
      </w:r>
      <w:r w:rsidRPr="00BB100E">
        <w:t xml:space="preserve">, </w:t>
      </w:r>
      <w:proofErr w:type="spellStart"/>
      <w:r w:rsidRPr="00BB100E">
        <w:t>Parsvnath</w:t>
      </w:r>
      <w:proofErr w:type="spellEnd"/>
      <w:r w:rsidR="00526AA2">
        <w:t xml:space="preserve"> Developers Ltd.</w:t>
      </w:r>
      <w:r w:rsidRPr="00BB100E">
        <w:t xml:space="preserve">, </w:t>
      </w:r>
      <w:proofErr w:type="spellStart"/>
      <w:r w:rsidRPr="00BB100E">
        <w:t>Magarpatta</w:t>
      </w:r>
      <w:proofErr w:type="spellEnd"/>
      <w:r w:rsidR="00526AA2">
        <w:t xml:space="preserve"> (a privately owned gated community in Pune)</w:t>
      </w:r>
      <w:r w:rsidRPr="00BB100E">
        <w:t xml:space="preserve">, </w:t>
      </w:r>
      <w:proofErr w:type="spellStart"/>
      <w:r w:rsidRPr="00BB100E">
        <w:t>Sobha</w:t>
      </w:r>
      <w:proofErr w:type="spellEnd"/>
      <w:r w:rsidRPr="00BB100E">
        <w:t xml:space="preserve"> </w:t>
      </w:r>
      <w:r w:rsidR="00526AA2">
        <w:t>Ltd.</w:t>
      </w:r>
      <w:r w:rsidRPr="00BB100E">
        <w:t>, DSK</w:t>
      </w:r>
      <w:r w:rsidR="00503C8C">
        <w:t xml:space="preserve"> Developers Ltd.</w:t>
      </w:r>
      <w:r w:rsidRPr="00BB100E">
        <w:t xml:space="preserve">, </w:t>
      </w:r>
      <w:proofErr w:type="spellStart"/>
      <w:r w:rsidRPr="00BB100E">
        <w:t>Mantri</w:t>
      </w:r>
      <w:proofErr w:type="spellEnd"/>
      <w:r w:rsidRPr="00BB100E">
        <w:t xml:space="preserve"> </w:t>
      </w:r>
      <w:r w:rsidR="00503C8C">
        <w:t>Developers Pvt. Ltd.</w:t>
      </w:r>
      <w:r w:rsidRPr="00BB100E">
        <w:t>,</w:t>
      </w:r>
      <w:r w:rsidR="007F09B8">
        <w:t xml:space="preserve"> </w:t>
      </w:r>
      <w:r w:rsidRPr="00BB100E">
        <w:t xml:space="preserve">Prestige Group, </w:t>
      </w:r>
      <w:proofErr w:type="spellStart"/>
      <w:r w:rsidRPr="00BB100E">
        <w:t>Ansal</w:t>
      </w:r>
      <w:proofErr w:type="spellEnd"/>
      <w:r w:rsidR="00503C8C">
        <w:t xml:space="preserve"> </w:t>
      </w:r>
      <w:proofErr w:type="spellStart"/>
      <w:r w:rsidR="00503C8C">
        <w:t>Buildwell</w:t>
      </w:r>
      <w:proofErr w:type="spellEnd"/>
      <w:r w:rsidR="00503C8C">
        <w:t xml:space="preserve"> Ltd.</w:t>
      </w:r>
      <w:r w:rsidRPr="00BB100E">
        <w:t xml:space="preserve">, </w:t>
      </w:r>
      <w:proofErr w:type="spellStart"/>
      <w:r w:rsidRPr="00BB100E">
        <w:t>Hiranandani</w:t>
      </w:r>
      <w:proofErr w:type="spellEnd"/>
      <w:r w:rsidR="00503C8C">
        <w:t xml:space="preserve"> Developers Pvt. Ltd.</w:t>
      </w:r>
      <w:r w:rsidR="00BA3EA7">
        <w:t xml:space="preserve">, </w:t>
      </w:r>
      <w:r w:rsidR="005518A4">
        <w:t>and</w:t>
      </w:r>
      <w:r w:rsidRPr="00BB100E">
        <w:t xml:space="preserve"> </w:t>
      </w:r>
      <w:proofErr w:type="spellStart"/>
      <w:r w:rsidRPr="00BB100E">
        <w:t>Raheja</w:t>
      </w:r>
      <w:proofErr w:type="spellEnd"/>
      <w:r w:rsidRPr="00BB100E">
        <w:t xml:space="preserve"> Developers</w:t>
      </w:r>
      <w:r w:rsidR="005518A4">
        <w:t xml:space="preserve"> Ltd</w:t>
      </w:r>
      <w:r w:rsidRPr="00BB100E">
        <w:t xml:space="preserve">. </w:t>
      </w:r>
      <w:r w:rsidR="004652E6">
        <w:t>By 2016, t</w:t>
      </w:r>
      <w:r w:rsidRPr="00BB100E">
        <w:t xml:space="preserve">he company had received the </w:t>
      </w:r>
      <w:proofErr w:type="spellStart"/>
      <w:r w:rsidR="005518A4">
        <w:t>Superb</w:t>
      </w:r>
      <w:r w:rsidRPr="00BB100E">
        <w:t>rand</w:t>
      </w:r>
      <w:r w:rsidR="005518A4">
        <w:t>s</w:t>
      </w:r>
      <w:proofErr w:type="spellEnd"/>
      <w:r w:rsidR="005518A4">
        <w:t xml:space="preserve"> India</w:t>
      </w:r>
      <w:r w:rsidR="00E34F27">
        <w:rPr>
          <w:rStyle w:val="EndnoteReference"/>
        </w:rPr>
        <w:endnoteReference w:id="16"/>
      </w:r>
      <w:r w:rsidRPr="00BB100E">
        <w:t xml:space="preserve"> title seven times for its quality products. During </w:t>
      </w:r>
      <w:r w:rsidR="004652E6">
        <w:t>FY</w:t>
      </w:r>
      <w:r w:rsidRPr="00BB100E">
        <w:t>20</w:t>
      </w:r>
      <w:r w:rsidR="000B1032">
        <w:t>15–</w:t>
      </w:r>
      <w:r w:rsidRPr="00BB100E">
        <w:t xml:space="preserve">16, the company reported net sales of </w:t>
      </w:r>
      <w:r w:rsidR="00866362" w:rsidRPr="005D1160">
        <w:rPr>
          <w:rFonts w:ascii="Arial" w:hAnsi="Arial" w:cs="Arial"/>
          <w:bCs/>
          <w:sz w:val="20"/>
          <w:szCs w:val="20"/>
        </w:rPr>
        <w:t>₹</w:t>
      </w:r>
      <w:r w:rsidRPr="00BB100E">
        <w:t>24</w:t>
      </w:r>
      <w:r w:rsidR="000B1032">
        <w:t>.48</w:t>
      </w:r>
      <w:r w:rsidRPr="00BB100E">
        <w:t xml:space="preserve"> </w:t>
      </w:r>
      <w:r w:rsidR="000B1032">
        <w:t>b</w:t>
      </w:r>
      <w:r w:rsidRPr="00BB100E">
        <w:t>illion (</w:t>
      </w:r>
      <w:r w:rsidR="000B1032">
        <w:t>$</w:t>
      </w:r>
      <w:r w:rsidRPr="00BB100E">
        <w:t>365.37 million).</w:t>
      </w:r>
      <w:r w:rsidRPr="00BB100E">
        <w:rPr>
          <w:rStyle w:val="EndnoteReference"/>
        </w:rPr>
        <w:endnoteReference w:id="17"/>
      </w:r>
      <w:r w:rsidRPr="00BB100E">
        <w:t xml:space="preserve"> </w:t>
      </w:r>
    </w:p>
    <w:p w14:paraId="203C8EF9" w14:textId="77777777" w:rsidR="00F96550" w:rsidRDefault="00F96550" w:rsidP="00F96550">
      <w:pPr>
        <w:pStyle w:val="BodyTextMain"/>
      </w:pPr>
    </w:p>
    <w:p w14:paraId="4E459E21" w14:textId="77777777" w:rsidR="00F96550" w:rsidRPr="00BB100E" w:rsidRDefault="00F96550" w:rsidP="00B545E8">
      <w:pPr>
        <w:pStyle w:val="BodyTextMain"/>
      </w:pPr>
    </w:p>
    <w:p w14:paraId="5FD03041" w14:textId="77777777" w:rsidR="00F96550" w:rsidRDefault="00F96550" w:rsidP="00B545E8">
      <w:pPr>
        <w:pStyle w:val="Casehead2"/>
        <w:outlineLvl w:val="0"/>
      </w:pPr>
      <w:r w:rsidRPr="00BB100E">
        <w:t>HSIL</w:t>
      </w:r>
    </w:p>
    <w:p w14:paraId="50D80667" w14:textId="77777777" w:rsidR="00F96550" w:rsidRPr="00BB100E" w:rsidRDefault="00F96550" w:rsidP="00B545E8">
      <w:pPr>
        <w:pStyle w:val="BodyTextMain"/>
      </w:pPr>
    </w:p>
    <w:p w14:paraId="0A7A80A0" w14:textId="2C78C420" w:rsidR="00F96550" w:rsidRPr="00DA1242" w:rsidRDefault="00F96550" w:rsidP="00B545E8">
      <w:pPr>
        <w:pStyle w:val="BodyTextMain"/>
      </w:pPr>
      <w:r w:rsidRPr="00BB100E">
        <w:t xml:space="preserve">Founded </w:t>
      </w:r>
      <w:r w:rsidR="005E0743">
        <w:t xml:space="preserve">by the </w:t>
      </w:r>
      <w:proofErr w:type="spellStart"/>
      <w:r w:rsidR="005E0743">
        <w:t>Somany</w:t>
      </w:r>
      <w:proofErr w:type="spellEnd"/>
      <w:r w:rsidR="005E0743">
        <w:t xml:space="preserve"> family </w:t>
      </w:r>
      <w:r w:rsidRPr="00BB100E">
        <w:t xml:space="preserve">in 1960 in collaboration with </w:t>
      </w:r>
      <w:r w:rsidR="00C50275">
        <w:t>the U.K.-based</w:t>
      </w:r>
      <w:r w:rsidRPr="00BB100E">
        <w:t xml:space="preserve"> </w:t>
      </w:r>
      <w:proofErr w:type="spellStart"/>
      <w:r w:rsidRPr="00BB100E">
        <w:t>Twyfords</w:t>
      </w:r>
      <w:proofErr w:type="spellEnd"/>
      <w:r w:rsidRPr="00BB100E">
        <w:t xml:space="preserve"> Ltd., </w:t>
      </w:r>
      <w:r w:rsidR="006207BD" w:rsidRPr="00BB100E">
        <w:t xml:space="preserve">Hindustan </w:t>
      </w:r>
      <w:proofErr w:type="spellStart"/>
      <w:r w:rsidR="006207BD" w:rsidRPr="00BB100E">
        <w:t>Twyfords</w:t>
      </w:r>
      <w:proofErr w:type="spellEnd"/>
      <w:r w:rsidR="006207BD" w:rsidRPr="00BB100E">
        <w:t xml:space="preserve"> Ltd.</w:t>
      </w:r>
      <w:r w:rsidRPr="00BB100E">
        <w:t xml:space="preserve"> introduced </w:t>
      </w:r>
      <w:r w:rsidR="00A372AF" w:rsidRPr="00A372AF">
        <w:t>vitr</w:t>
      </w:r>
      <w:r w:rsidR="00A372AF">
        <w:t>e</w:t>
      </w:r>
      <w:r w:rsidR="00A372AF" w:rsidRPr="00A372AF">
        <w:t>ous</w:t>
      </w:r>
      <w:r w:rsidR="00A372AF">
        <w:t xml:space="preserve"> C</w:t>
      </w:r>
      <w:r w:rsidRPr="00BB100E">
        <w:t xml:space="preserve">hina ceramic </w:t>
      </w:r>
      <w:proofErr w:type="spellStart"/>
      <w:r w:rsidRPr="00BB100E">
        <w:t>sanit</w:t>
      </w:r>
      <w:r w:rsidR="00C50275" w:rsidRPr="00BB100E">
        <w:t>a</w:t>
      </w:r>
      <w:r w:rsidRPr="00BB100E">
        <w:t>ryware</w:t>
      </w:r>
      <w:proofErr w:type="spellEnd"/>
      <w:r w:rsidRPr="00BB100E">
        <w:t xml:space="preserve"> in India. </w:t>
      </w:r>
      <w:r w:rsidR="009D0749">
        <w:t>T</w:t>
      </w:r>
      <w:r w:rsidRPr="00BB100E">
        <w:t>he company changed its name to HSIL Ltd</w:t>
      </w:r>
      <w:r w:rsidR="004C0044">
        <w:t>.</w:t>
      </w:r>
      <w:r w:rsidRPr="00BB100E">
        <w:t xml:space="preserve"> in 2009.</w:t>
      </w:r>
      <w:r w:rsidRPr="00BB100E">
        <w:rPr>
          <w:rStyle w:val="EndnoteReference"/>
        </w:rPr>
        <w:endnoteReference w:id="18"/>
      </w:r>
      <w:r w:rsidRPr="00BB100E">
        <w:t xml:space="preserve"> HSIL had the reputation of being the first Indian company in the building materials industry to have received ISO 9001, </w:t>
      </w:r>
      <w:r w:rsidR="00A1675E">
        <w:t>ISO</w:t>
      </w:r>
      <w:r w:rsidRPr="00BB100E">
        <w:t>14001</w:t>
      </w:r>
      <w:r w:rsidR="00A1675E">
        <w:t>,</w:t>
      </w:r>
      <w:r w:rsidRPr="00BB100E">
        <w:t xml:space="preserve"> and OHSAS 18001 certificate</w:t>
      </w:r>
      <w:r w:rsidR="00A1675E">
        <w:t>s</w:t>
      </w:r>
      <w:r w:rsidR="00866362">
        <w:t>,</w:t>
      </w:r>
      <w:r w:rsidR="00404E1C" w:rsidDel="00404E1C">
        <w:rPr>
          <w:rStyle w:val="FootnoteReference"/>
        </w:rPr>
        <w:t xml:space="preserve"> </w:t>
      </w:r>
      <w:r w:rsidR="00404E1C">
        <w:rPr>
          <w:rStyle w:val="EndnoteReference"/>
        </w:rPr>
        <w:endnoteReference w:id="19"/>
      </w:r>
      <w:r w:rsidR="00A1675E">
        <w:t xml:space="preserve"> all awarded</w:t>
      </w:r>
      <w:r w:rsidRPr="00BB100E">
        <w:t xml:space="preserve"> in 1962.</w:t>
      </w:r>
      <w:r w:rsidRPr="00BB100E">
        <w:rPr>
          <w:rStyle w:val="EndnoteReference"/>
        </w:rPr>
        <w:endnoteReference w:id="20"/>
      </w:r>
      <w:r w:rsidRPr="00BB100E">
        <w:t xml:space="preserve"> In the ceramics tile space, the company increased its strength by acquiring Krishna Ceramics Ltd</w:t>
      </w:r>
      <w:r w:rsidR="004C0044">
        <w:t>.</w:t>
      </w:r>
      <w:r w:rsidRPr="00BB100E">
        <w:t xml:space="preserve"> in 1989 and </w:t>
      </w:r>
      <w:proofErr w:type="spellStart"/>
      <w:r w:rsidRPr="00BB100E">
        <w:t>Raasi</w:t>
      </w:r>
      <w:proofErr w:type="spellEnd"/>
      <w:r w:rsidRPr="00BB100E">
        <w:t xml:space="preserve"> Ceramics Ltd</w:t>
      </w:r>
      <w:r w:rsidR="004C0044">
        <w:t>.</w:t>
      </w:r>
      <w:r w:rsidRPr="00BB100E">
        <w:t xml:space="preserve"> in 1999.</w:t>
      </w:r>
      <w:r w:rsidRPr="00BB100E">
        <w:rPr>
          <w:rStyle w:val="EndnoteReference"/>
        </w:rPr>
        <w:endnoteReference w:id="21"/>
      </w:r>
      <w:r w:rsidRPr="00BB100E">
        <w:t xml:space="preserve"> </w:t>
      </w:r>
      <w:r w:rsidR="000C356F">
        <w:t>Previously l</w:t>
      </w:r>
      <w:r w:rsidRPr="00BB100E">
        <w:t xml:space="preserve">imited to the production of </w:t>
      </w:r>
      <w:proofErr w:type="spellStart"/>
      <w:r w:rsidRPr="00BB100E">
        <w:t>sanit</w:t>
      </w:r>
      <w:r w:rsidR="004C0044">
        <w:t>a</w:t>
      </w:r>
      <w:r w:rsidRPr="00BB100E">
        <w:t>ryware</w:t>
      </w:r>
      <w:proofErr w:type="spellEnd"/>
      <w:r w:rsidRPr="00BB100E">
        <w:t xml:space="preserve">, the company entered </w:t>
      </w:r>
      <w:r w:rsidRPr="00B545E8">
        <w:t xml:space="preserve">the tiles segment with the launch of </w:t>
      </w:r>
      <w:r w:rsidR="004C0044" w:rsidRPr="00B545E8">
        <w:t xml:space="preserve">its </w:t>
      </w:r>
      <w:proofErr w:type="spellStart"/>
      <w:r w:rsidRPr="00B545E8">
        <w:t>Hindware</w:t>
      </w:r>
      <w:proofErr w:type="spellEnd"/>
      <w:r w:rsidRPr="00B545E8">
        <w:t xml:space="preserve"> Italian collection in 2010.</w:t>
      </w:r>
      <w:r w:rsidRPr="00B545E8">
        <w:rPr>
          <w:rStyle w:val="EndnoteReference"/>
        </w:rPr>
        <w:endnoteReference w:id="22"/>
      </w:r>
      <w:r w:rsidRPr="00B545E8">
        <w:t xml:space="preserve"> </w:t>
      </w:r>
      <w:r w:rsidR="00E05480" w:rsidRPr="00B545E8">
        <w:t>HSIL</w:t>
      </w:r>
      <w:r w:rsidRPr="00B545E8">
        <w:t xml:space="preserve"> reported net sales of </w:t>
      </w:r>
      <w:r w:rsidR="00866362" w:rsidRPr="00B545E8">
        <w:rPr>
          <w:rFonts w:ascii="Arial" w:hAnsi="Arial" w:cs="Arial"/>
          <w:bCs/>
          <w:sz w:val="20"/>
          <w:szCs w:val="20"/>
        </w:rPr>
        <w:t>₹</w:t>
      </w:r>
      <w:r w:rsidR="00E05480" w:rsidRPr="00B545E8">
        <w:t>19.44 b</w:t>
      </w:r>
      <w:r w:rsidRPr="00B545E8">
        <w:t>illion (</w:t>
      </w:r>
      <w:r w:rsidR="00E05480" w:rsidRPr="00B545E8">
        <w:t>$</w:t>
      </w:r>
      <w:r w:rsidRPr="00B545E8">
        <w:t>290.19 million) in 2016.</w:t>
      </w:r>
      <w:r w:rsidRPr="00B545E8">
        <w:rPr>
          <w:rStyle w:val="EndnoteReference"/>
        </w:rPr>
        <w:endnoteReference w:id="23"/>
      </w:r>
    </w:p>
    <w:p w14:paraId="18A5407C" w14:textId="77777777" w:rsidR="00F96550" w:rsidRDefault="00F96550" w:rsidP="00B545E8">
      <w:pPr>
        <w:pStyle w:val="BodyTextMain"/>
        <w:rPr>
          <w:shd w:val="clear" w:color="auto" w:fill="FFFFFF"/>
        </w:rPr>
      </w:pPr>
    </w:p>
    <w:p w14:paraId="16A79E08" w14:textId="77777777" w:rsidR="00F96550" w:rsidRPr="00BB100E" w:rsidRDefault="00F96550" w:rsidP="00B545E8">
      <w:pPr>
        <w:pStyle w:val="BodyTextMain"/>
        <w:rPr>
          <w:lang w:bidi="hi-IN"/>
        </w:rPr>
      </w:pPr>
    </w:p>
    <w:p w14:paraId="2C957420" w14:textId="77777777" w:rsidR="00F96550" w:rsidRDefault="00F96550" w:rsidP="00B545E8">
      <w:pPr>
        <w:pStyle w:val="Casehead2"/>
        <w:outlineLvl w:val="0"/>
        <w:rPr>
          <w:shd w:val="clear" w:color="auto" w:fill="FFFFFF"/>
        </w:rPr>
      </w:pPr>
      <w:proofErr w:type="spellStart"/>
      <w:r w:rsidRPr="00BB100E">
        <w:rPr>
          <w:shd w:val="clear" w:color="auto" w:fill="FFFFFF"/>
        </w:rPr>
        <w:t>C</w:t>
      </w:r>
      <w:r w:rsidR="003B6670">
        <w:rPr>
          <w:shd w:val="clear" w:color="auto" w:fill="FFFFFF"/>
        </w:rPr>
        <w:t>era</w:t>
      </w:r>
      <w:proofErr w:type="spellEnd"/>
    </w:p>
    <w:p w14:paraId="7C94CAF6" w14:textId="77777777" w:rsidR="00F96550" w:rsidRPr="00BB100E" w:rsidRDefault="00F96550" w:rsidP="00B545E8">
      <w:pPr>
        <w:pStyle w:val="BodyTextMain"/>
        <w:rPr>
          <w:shd w:val="clear" w:color="auto" w:fill="FFFFFF"/>
        </w:rPr>
      </w:pPr>
    </w:p>
    <w:p w14:paraId="2B1B806A" w14:textId="0F50244F" w:rsidR="00F96550" w:rsidRDefault="00A372AF" w:rsidP="00B545E8">
      <w:pPr>
        <w:pStyle w:val="BodyTextMain"/>
        <w:rPr>
          <w:lang w:bidi="hi-IN"/>
        </w:rPr>
      </w:pPr>
      <w:r w:rsidRPr="00B545E8">
        <w:t>Started in 1980</w:t>
      </w:r>
      <w:r w:rsidR="00F96550" w:rsidRPr="00B545E8">
        <w:t xml:space="preserve">, </w:t>
      </w:r>
      <w:proofErr w:type="spellStart"/>
      <w:r w:rsidR="00E34F27" w:rsidRPr="00B545E8">
        <w:t>Cera</w:t>
      </w:r>
      <w:proofErr w:type="spellEnd"/>
      <w:r w:rsidR="00F96550" w:rsidRPr="00B545E8">
        <w:t xml:space="preserve"> was a pioneer in this segment</w:t>
      </w:r>
      <w:r w:rsidR="00123339" w:rsidRPr="00B545E8">
        <w:t xml:space="preserve">, introducing a wide </w:t>
      </w:r>
      <w:proofErr w:type="spellStart"/>
      <w:r w:rsidR="00123339" w:rsidRPr="00B545E8">
        <w:t>colour</w:t>
      </w:r>
      <w:proofErr w:type="spellEnd"/>
      <w:r w:rsidR="00123339" w:rsidRPr="00B545E8">
        <w:t xml:space="preserve"> range, bath suites, </w:t>
      </w:r>
      <w:r w:rsidR="00137120" w:rsidRPr="00B545E8">
        <w:t xml:space="preserve">and innovative </w:t>
      </w:r>
      <w:r w:rsidR="00123339" w:rsidRPr="00B545E8">
        <w:t>and water-saving designs to India</w:t>
      </w:r>
      <w:r w:rsidR="00F96550" w:rsidRPr="00B545E8">
        <w:t>. It had a sales network of 400 distributors and 4</w:t>
      </w:r>
      <w:r w:rsidR="00AB7A7F" w:rsidRPr="00B545E8">
        <w:t>,</w:t>
      </w:r>
      <w:r w:rsidR="00F96550" w:rsidRPr="00B545E8">
        <w:t>000 retailers.</w:t>
      </w:r>
      <w:r w:rsidR="00F96550" w:rsidRPr="00B545E8">
        <w:rPr>
          <w:rStyle w:val="EndnoteReference"/>
        </w:rPr>
        <w:endnoteReference w:id="24"/>
      </w:r>
      <w:r w:rsidR="00F96550" w:rsidRPr="00B545E8">
        <w:t xml:space="preserve"> </w:t>
      </w:r>
      <w:r w:rsidR="00123339" w:rsidRPr="00B545E8">
        <w:t>In addition to</w:t>
      </w:r>
      <w:r w:rsidR="00F96550" w:rsidRPr="00B545E8">
        <w:t xml:space="preserve"> manufacturing a wide range of showers, kitchen sink</w:t>
      </w:r>
      <w:r w:rsidR="006C30D9" w:rsidRPr="00B545E8">
        <w:t>s</w:t>
      </w:r>
      <w:r w:rsidR="00F96550" w:rsidRPr="00B545E8">
        <w:t>, wash basin</w:t>
      </w:r>
      <w:r w:rsidR="006C30D9" w:rsidRPr="00B545E8">
        <w:t>s,</w:t>
      </w:r>
      <w:r w:rsidR="00F96550" w:rsidRPr="00B545E8">
        <w:t xml:space="preserve"> and taps,</w:t>
      </w:r>
      <w:r w:rsidRPr="00B545E8">
        <w:t xml:space="preserve"> the company manufactured a range of tiles, including floor tiles and intricately designed wall tiles</w:t>
      </w:r>
      <w:r w:rsidR="00F96550" w:rsidRPr="00B545E8">
        <w:t xml:space="preserve">. </w:t>
      </w:r>
      <w:r w:rsidR="00DA303B" w:rsidRPr="00B545E8">
        <w:t>The company also had</w:t>
      </w:r>
      <w:r w:rsidR="00F96550" w:rsidRPr="00B545E8">
        <w:t xml:space="preserve"> a tie</w:t>
      </w:r>
      <w:r w:rsidR="00133C75" w:rsidRPr="00B545E8">
        <w:t>-</w:t>
      </w:r>
      <w:r w:rsidR="00F96550" w:rsidRPr="00B545E8">
        <w:t xml:space="preserve">up with </w:t>
      </w:r>
      <w:proofErr w:type="spellStart"/>
      <w:r w:rsidR="00F96550" w:rsidRPr="00B545E8">
        <w:t>Rondine</w:t>
      </w:r>
      <w:proofErr w:type="spellEnd"/>
      <w:r w:rsidR="00F96550" w:rsidRPr="00B545E8">
        <w:t xml:space="preserve"> Group</w:t>
      </w:r>
      <w:r w:rsidR="007033F0" w:rsidRPr="00B545E8">
        <w:t xml:space="preserve"> </w:t>
      </w:r>
      <w:proofErr w:type="spellStart"/>
      <w:r w:rsidR="007033F0" w:rsidRPr="00B545E8">
        <w:t>SpA</w:t>
      </w:r>
      <w:proofErr w:type="spellEnd"/>
      <w:r w:rsidR="00F96550" w:rsidRPr="00B545E8">
        <w:t xml:space="preserve">, </w:t>
      </w:r>
      <w:r w:rsidR="00DA303B" w:rsidRPr="00B545E8">
        <w:t>an Italian tile maker, and</w:t>
      </w:r>
      <w:r w:rsidR="00F96550" w:rsidRPr="00B545E8">
        <w:t xml:space="preserve"> marketed </w:t>
      </w:r>
      <w:proofErr w:type="spellStart"/>
      <w:r w:rsidR="00C12126" w:rsidRPr="00B545E8">
        <w:t>Rondine</w:t>
      </w:r>
      <w:proofErr w:type="spellEnd"/>
      <w:r w:rsidR="00E34F27" w:rsidRPr="00B545E8">
        <w:t xml:space="preserve"> Group </w:t>
      </w:r>
      <w:proofErr w:type="spellStart"/>
      <w:r w:rsidR="00E34F27" w:rsidRPr="00B545E8">
        <w:t>SpA</w:t>
      </w:r>
      <w:r w:rsidR="00C12126" w:rsidRPr="00B545E8">
        <w:t>’s</w:t>
      </w:r>
      <w:proofErr w:type="spellEnd"/>
      <w:r w:rsidR="00F96550" w:rsidRPr="00B545E8">
        <w:t xml:space="preserve"> </w:t>
      </w:r>
      <w:r w:rsidR="00F96550" w:rsidRPr="00B545E8">
        <w:rPr>
          <w:lang w:bidi="hi-IN"/>
        </w:rPr>
        <w:t xml:space="preserve">designer products in India. </w:t>
      </w:r>
      <w:r w:rsidR="00C12126" w:rsidRPr="00B545E8">
        <w:rPr>
          <w:lang w:bidi="hi-IN"/>
        </w:rPr>
        <w:t>However, e</w:t>
      </w:r>
      <w:r w:rsidR="00F96550" w:rsidRPr="00B545E8">
        <w:rPr>
          <w:lang w:bidi="hi-IN"/>
        </w:rPr>
        <w:t xml:space="preserve">ven though </w:t>
      </w:r>
      <w:proofErr w:type="spellStart"/>
      <w:r w:rsidR="007033F0" w:rsidRPr="00B545E8">
        <w:rPr>
          <w:lang w:bidi="hi-IN"/>
        </w:rPr>
        <w:t>Cera</w:t>
      </w:r>
      <w:proofErr w:type="spellEnd"/>
      <w:r w:rsidR="00F96550" w:rsidRPr="00B545E8">
        <w:rPr>
          <w:lang w:bidi="hi-IN"/>
        </w:rPr>
        <w:t xml:space="preserve"> </w:t>
      </w:r>
      <w:r w:rsidR="00C12126" w:rsidRPr="00B545E8">
        <w:rPr>
          <w:lang w:bidi="hi-IN"/>
        </w:rPr>
        <w:t>seemed to be serious</w:t>
      </w:r>
      <w:r w:rsidR="00F96550" w:rsidRPr="00B545E8">
        <w:rPr>
          <w:lang w:bidi="hi-IN"/>
        </w:rPr>
        <w:t xml:space="preserve"> about its tiles business, tiles only</w:t>
      </w:r>
      <w:r w:rsidR="00F96550" w:rsidRPr="00BB100E">
        <w:rPr>
          <w:lang w:bidi="hi-IN"/>
        </w:rPr>
        <w:t xml:space="preserve"> contributed 12 per cent </w:t>
      </w:r>
      <w:r w:rsidR="00C12126">
        <w:rPr>
          <w:lang w:bidi="hi-IN"/>
        </w:rPr>
        <w:t xml:space="preserve">of </w:t>
      </w:r>
      <w:r w:rsidR="007033F0">
        <w:rPr>
          <w:lang w:bidi="hi-IN"/>
        </w:rPr>
        <w:t>its</w:t>
      </w:r>
      <w:r w:rsidR="00F96550" w:rsidRPr="00BB100E">
        <w:rPr>
          <w:lang w:bidi="hi-IN"/>
        </w:rPr>
        <w:t xml:space="preserve"> total turnover for </w:t>
      </w:r>
      <w:r w:rsidR="001E589E">
        <w:rPr>
          <w:lang w:bidi="hi-IN"/>
        </w:rPr>
        <w:t>FY</w:t>
      </w:r>
      <w:r w:rsidR="00F96550" w:rsidRPr="00BB100E">
        <w:rPr>
          <w:lang w:bidi="hi-IN"/>
        </w:rPr>
        <w:t>2014</w:t>
      </w:r>
      <w:r w:rsidR="001E589E">
        <w:rPr>
          <w:lang w:bidi="hi-IN"/>
        </w:rPr>
        <w:t>–</w:t>
      </w:r>
      <w:r w:rsidR="00F96550" w:rsidRPr="00BB100E">
        <w:rPr>
          <w:lang w:bidi="hi-IN"/>
        </w:rPr>
        <w:t>15</w:t>
      </w:r>
      <w:r w:rsidR="00660098">
        <w:rPr>
          <w:lang w:bidi="hi-IN"/>
        </w:rPr>
        <w:t xml:space="preserve">; </w:t>
      </w:r>
      <w:r w:rsidR="001E589E">
        <w:rPr>
          <w:lang w:bidi="hi-IN"/>
        </w:rPr>
        <w:t xml:space="preserve">in contrast, </w:t>
      </w:r>
      <w:proofErr w:type="spellStart"/>
      <w:r w:rsidR="007033F0">
        <w:rPr>
          <w:lang w:bidi="hi-IN"/>
        </w:rPr>
        <w:t>sanitary</w:t>
      </w:r>
      <w:r w:rsidR="00F96550" w:rsidRPr="00BB100E">
        <w:rPr>
          <w:lang w:bidi="hi-IN"/>
        </w:rPr>
        <w:t>ware</w:t>
      </w:r>
      <w:proofErr w:type="spellEnd"/>
      <w:r w:rsidR="00F96550" w:rsidRPr="00BB100E">
        <w:rPr>
          <w:lang w:bidi="hi-IN"/>
        </w:rPr>
        <w:t xml:space="preserve"> contributed </w:t>
      </w:r>
      <w:r w:rsidR="001E589E">
        <w:rPr>
          <w:lang w:bidi="hi-IN"/>
        </w:rPr>
        <w:t xml:space="preserve">approximately </w:t>
      </w:r>
      <w:r w:rsidR="00F96550" w:rsidRPr="00BB100E">
        <w:rPr>
          <w:lang w:bidi="hi-IN"/>
        </w:rPr>
        <w:t>60 per cent.</w:t>
      </w:r>
      <w:r w:rsidR="00F96550" w:rsidRPr="00DA1242">
        <w:rPr>
          <w:rStyle w:val="EndnoteReference"/>
        </w:rPr>
        <w:endnoteReference w:id="25"/>
      </w:r>
      <w:r w:rsidR="00F96550" w:rsidRPr="00BB100E">
        <w:rPr>
          <w:lang w:bidi="hi-IN"/>
        </w:rPr>
        <w:t xml:space="preserve"> </w:t>
      </w:r>
      <w:r w:rsidR="00D402A7">
        <w:rPr>
          <w:lang w:bidi="hi-IN"/>
        </w:rPr>
        <w:t>In 2016, t</w:t>
      </w:r>
      <w:r w:rsidR="00F96550" w:rsidRPr="00BB100E">
        <w:rPr>
          <w:lang w:bidi="hi-IN"/>
        </w:rPr>
        <w:t xml:space="preserve">he company posted revenue of </w:t>
      </w:r>
      <w:r w:rsidR="00866362" w:rsidRPr="005D1160">
        <w:rPr>
          <w:rFonts w:ascii="Arial" w:hAnsi="Arial" w:cs="Arial"/>
          <w:bCs/>
          <w:sz w:val="20"/>
          <w:szCs w:val="20"/>
        </w:rPr>
        <w:t>₹</w:t>
      </w:r>
      <w:r w:rsidR="00F96550" w:rsidRPr="00BB100E">
        <w:rPr>
          <w:lang w:bidi="hi-IN"/>
        </w:rPr>
        <w:t>9</w:t>
      </w:r>
      <w:r w:rsidR="00BD25D1">
        <w:rPr>
          <w:lang w:bidi="hi-IN"/>
        </w:rPr>
        <w:t>.</w:t>
      </w:r>
      <w:r w:rsidR="00F96550" w:rsidRPr="00BB100E">
        <w:rPr>
          <w:lang w:bidi="hi-IN"/>
        </w:rPr>
        <w:t>3</w:t>
      </w:r>
      <w:r w:rsidR="00BD25D1">
        <w:rPr>
          <w:lang w:bidi="hi-IN"/>
        </w:rPr>
        <w:t>4</w:t>
      </w:r>
      <w:r w:rsidR="0084752E">
        <w:rPr>
          <w:lang w:bidi="hi-IN"/>
        </w:rPr>
        <w:t xml:space="preserve"> b</w:t>
      </w:r>
      <w:r w:rsidR="00F96550" w:rsidRPr="00BB100E">
        <w:rPr>
          <w:lang w:bidi="hi-IN"/>
        </w:rPr>
        <w:t>illion (US</w:t>
      </w:r>
      <w:r w:rsidR="00BD25D1">
        <w:rPr>
          <w:lang w:bidi="hi-IN"/>
        </w:rPr>
        <w:t>$</w:t>
      </w:r>
      <w:r w:rsidR="00F96550" w:rsidRPr="00BB100E">
        <w:rPr>
          <w:lang w:bidi="hi-IN"/>
        </w:rPr>
        <w:t>139.35 million), an increase of 13.63</w:t>
      </w:r>
      <w:r w:rsidR="002571BF">
        <w:rPr>
          <w:lang w:bidi="hi-IN"/>
        </w:rPr>
        <w:t xml:space="preserve"> per cent</w:t>
      </w:r>
      <w:r w:rsidR="00F96550" w:rsidRPr="00BB100E">
        <w:rPr>
          <w:lang w:bidi="hi-IN"/>
        </w:rPr>
        <w:t xml:space="preserve"> over the previous year. </w:t>
      </w:r>
      <w:proofErr w:type="spellStart"/>
      <w:r w:rsidR="002571BF">
        <w:rPr>
          <w:lang w:bidi="hi-IN"/>
        </w:rPr>
        <w:t>Cera’s</w:t>
      </w:r>
      <w:proofErr w:type="spellEnd"/>
      <w:r w:rsidR="00F96550" w:rsidRPr="00BB100E">
        <w:rPr>
          <w:lang w:bidi="hi-IN"/>
        </w:rPr>
        <w:t xml:space="preserve"> profit had also increased</w:t>
      </w:r>
      <w:r w:rsidR="00E34F27">
        <w:rPr>
          <w:lang w:bidi="hi-IN"/>
        </w:rPr>
        <w:t>,</w:t>
      </w:r>
      <w:r w:rsidR="00F96550" w:rsidRPr="00BB100E">
        <w:rPr>
          <w:lang w:bidi="hi-IN"/>
        </w:rPr>
        <w:t xml:space="preserve"> by 23.34</w:t>
      </w:r>
      <w:r w:rsidR="002571BF">
        <w:rPr>
          <w:lang w:bidi="hi-IN"/>
        </w:rPr>
        <w:t xml:space="preserve"> per cent</w:t>
      </w:r>
      <w:r w:rsidR="00F96550" w:rsidRPr="00BB100E">
        <w:rPr>
          <w:lang w:bidi="hi-IN"/>
        </w:rPr>
        <w:t xml:space="preserve"> since 2015</w:t>
      </w:r>
      <w:r w:rsidR="00E34F27">
        <w:rPr>
          <w:lang w:bidi="hi-IN"/>
        </w:rPr>
        <w:t>,</w:t>
      </w:r>
      <w:r w:rsidR="00F96550" w:rsidRPr="00BB100E">
        <w:rPr>
          <w:lang w:bidi="hi-IN"/>
        </w:rPr>
        <w:t xml:space="preserve"> and stood at </w:t>
      </w:r>
      <w:r w:rsidR="00866362" w:rsidRPr="005D1160">
        <w:rPr>
          <w:rFonts w:ascii="Arial" w:hAnsi="Arial" w:cs="Arial"/>
          <w:bCs/>
          <w:sz w:val="20"/>
          <w:szCs w:val="20"/>
        </w:rPr>
        <w:t>₹</w:t>
      </w:r>
      <w:r w:rsidR="00F96550" w:rsidRPr="00BB100E">
        <w:rPr>
          <w:lang w:bidi="hi-IN"/>
        </w:rPr>
        <w:t>834.6 million (</w:t>
      </w:r>
      <w:r w:rsidR="003522D7">
        <w:rPr>
          <w:lang w:bidi="hi-IN"/>
        </w:rPr>
        <w:t>$</w:t>
      </w:r>
      <w:r w:rsidR="00F96550" w:rsidRPr="00BB100E">
        <w:rPr>
          <w:lang w:bidi="hi-IN"/>
        </w:rPr>
        <w:t>12.45 million).</w:t>
      </w:r>
      <w:r w:rsidR="00F96550" w:rsidRPr="00DA1242">
        <w:rPr>
          <w:rStyle w:val="EndnoteReference"/>
        </w:rPr>
        <w:endnoteReference w:id="26"/>
      </w:r>
    </w:p>
    <w:p w14:paraId="591A20FF" w14:textId="77777777" w:rsidR="00F96550" w:rsidRDefault="00F96550" w:rsidP="00B545E8">
      <w:pPr>
        <w:pStyle w:val="BodyTextMain"/>
        <w:rPr>
          <w:lang w:bidi="hi-IN"/>
        </w:rPr>
      </w:pPr>
    </w:p>
    <w:p w14:paraId="5A70C335" w14:textId="77777777" w:rsidR="00F96550" w:rsidRPr="00BB100E" w:rsidRDefault="00F96550" w:rsidP="00B545E8">
      <w:pPr>
        <w:pStyle w:val="BodyTextMain"/>
        <w:rPr>
          <w:rFonts w:ascii="Georgia" w:hAnsi="Georgia"/>
          <w:sz w:val="21"/>
          <w:szCs w:val="21"/>
          <w:shd w:val="clear" w:color="auto" w:fill="FFFFFF"/>
        </w:rPr>
      </w:pPr>
    </w:p>
    <w:p w14:paraId="32FDA9A9" w14:textId="77777777" w:rsidR="00F96550" w:rsidRPr="00BB100E" w:rsidRDefault="00F96550" w:rsidP="00B545E8">
      <w:pPr>
        <w:pStyle w:val="Casehead1"/>
        <w:outlineLvl w:val="0"/>
      </w:pPr>
      <w:r w:rsidRPr="00BB100E">
        <w:t xml:space="preserve">Hiring Challenge: Tug or Train </w:t>
      </w:r>
    </w:p>
    <w:p w14:paraId="48629754" w14:textId="77777777" w:rsidR="00F96550" w:rsidRPr="00BB100E" w:rsidRDefault="00F96550" w:rsidP="00F96550">
      <w:pPr>
        <w:pStyle w:val="BodyTextMain"/>
      </w:pPr>
    </w:p>
    <w:p w14:paraId="7AD6EDE6" w14:textId="42F69D8B" w:rsidR="00851A3E" w:rsidRPr="00DA1242" w:rsidRDefault="00F96550" w:rsidP="009E725E">
      <w:pPr>
        <w:pStyle w:val="BodyTextMain"/>
        <w:rPr>
          <w:shd w:val="clear" w:color="auto" w:fill="FFFFFF"/>
        </w:rPr>
      </w:pPr>
      <w:r w:rsidRPr="00BB100E">
        <w:rPr>
          <w:bCs/>
        </w:rPr>
        <w:t xml:space="preserve">Under </w:t>
      </w:r>
      <w:r w:rsidRPr="00BB100E">
        <w:t xml:space="preserve">Abhishek </w:t>
      </w:r>
      <w:proofErr w:type="spellStart"/>
      <w:r w:rsidRPr="00BB100E">
        <w:t>Somany</w:t>
      </w:r>
      <w:r w:rsidR="00D06FF8">
        <w:t>’s</w:t>
      </w:r>
      <w:proofErr w:type="spellEnd"/>
      <w:r w:rsidR="00D06FF8" w:rsidRPr="00D06FF8">
        <w:rPr>
          <w:bCs/>
        </w:rPr>
        <w:t xml:space="preserve"> </w:t>
      </w:r>
      <w:r w:rsidRPr="00BB100E">
        <w:rPr>
          <w:bCs/>
        </w:rPr>
        <w:t>leadership</w:t>
      </w:r>
      <w:r w:rsidRPr="00BB100E">
        <w:t xml:space="preserve">, SCL </w:t>
      </w:r>
      <w:r w:rsidR="009F3127">
        <w:t>had grown</w:t>
      </w:r>
      <w:r w:rsidRPr="00BB100E">
        <w:t xml:space="preserve"> consistently since its foundation in 1969. </w:t>
      </w:r>
      <w:r w:rsidR="00D06FF8">
        <w:t>But the managing d</w:t>
      </w:r>
      <w:r w:rsidRPr="00BB100E">
        <w:t xml:space="preserve">irector wanted the company to grow faster, and for </w:t>
      </w:r>
      <w:r w:rsidRPr="009E725E">
        <w:t xml:space="preserve">such aggressive growth it needed competent talent with appropriate technical expertise in ceramics. However, over the years, the industry </w:t>
      </w:r>
      <w:r w:rsidR="003D461E" w:rsidRPr="009E725E">
        <w:t xml:space="preserve">had been challenged </w:t>
      </w:r>
      <w:r w:rsidR="00404E1C" w:rsidRPr="009E725E">
        <w:t>in</w:t>
      </w:r>
      <w:r w:rsidRPr="009E725E">
        <w:t xml:space="preserve"> hir</w:t>
      </w:r>
      <w:r w:rsidR="00404E1C" w:rsidRPr="009E725E">
        <w:t>ing</w:t>
      </w:r>
      <w:r w:rsidR="003D461E" w:rsidRPr="009E725E">
        <w:t xml:space="preserve"> workers</w:t>
      </w:r>
      <w:r w:rsidRPr="009E725E">
        <w:t xml:space="preserve"> ready for deployment. </w:t>
      </w:r>
      <w:r w:rsidR="00376F4D" w:rsidRPr="009E725E">
        <w:t>C</w:t>
      </w:r>
      <w:r w:rsidRPr="009E725E">
        <w:t xml:space="preserve">eramics technology was evolving day by day, </w:t>
      </w:r>
      <w:r w:rsidR="00376F4D" w:rsidRPr="009E725E">
        <w:t xml:space="preserve">but job seekers showed a </w:t>
      </w:r>
      <w:r w:rsidRPr="009E725E">
        <w:t xml:space="preserve">lack of interest in </w:t>
      </w:r>
      <w:r w:rsidR="00376F4D" w:rsidRPr="009E725E">
        <w:t>the fiel</w:t>
      </w:r>
      <w:r w:rsidR="00376F4D">
        <w:rPr>
          <w:shd w:val="clear" w:color="auto" w:fill="FFFFFF"/>
        </w:rPr>
        <w:t>d</w:t>
      </w:r>
      <w:r w:rsidRPr="00BB100E">
        <w:rPr>
          <w:shd w:val="clear" w:color="auto" w:fill="FFFFFF"/>
        </w:rPr>
        <w:t>.</w:t>
      </w:r>
      <w:r w:rsidR="00851A3E" w:rsidRPr="00DA1242">
        <w:rPr>
          <w:shd w:val="clear" w:color="auto" w:fill="FFFFFF"/>
        </w:rPr>
        <w:t xml:space="preserve"> </w:t>
      </w:r>
    </w:p>
    <w:p w14:paraId="623A4873" w14:textId="77777777" w:rsidR="00E16532" w:rsidRDefault="00E16532" w:rsidP="009E725E">
      <w:pPr>
        <w:pStyle w:val="BodyTextMain"/>
        <w:rPr>
          <w:shd w:val="clear" w:color="auto" w:fill="FFFFFF"/>
        </w:rPr>
      </w:pPr>
    </w:p>
    <w:p w14:paraId="256BE5D4" w14:textId="0A3685FE" w:rsidR="00844DF0" w:rsidRDefault="00196781" w:rsidP="009E725E">
      <w:pPr>
        <w:pStyle w:val="BodyTextMain"/>
        <w:rPr>
          <w:bCs/>
          <w:vertAlign w:val="superscript"/>
        </w:rPr>
      </w:pPr>
      <w:r w:rsidRPr="009E725E">
        <w:t>P</w:t>
      </w:r>
      <w:r w:rsidR="00F96550" w:rsidRPr="009E725E">
        <w:t>reference for jobs in this industry was relatively low</w:t>
      </w:r>
      <w:r w:rsidRPr="009E725E">
        <w:t xml:space="preserve"> among diploma and degree holders, and even lower still among those with graduate degrees</w:t>
      </w:r>
      <w:r w:rsidR="00F96550" w:rsidRPr="009E725E">
        <w:t>.</w:t>
      </w:r>
      <w:r w:rsidR="00F96550" w:rsidRPr="009E725E">
        <w:rPr>
          <w:rStyle w:val="EndnoteReference"/>
        </w:rPr>
        <w:endnoteReference w:id="27"/>
      </w:r>
      <w:r w:rsidR="00851A3E" w:rsidRPr="00044208">
        <w:t xml:space="preserve"> </w:t>
      </w:r>
      <w:r w:rsidR="00941039">
        <w:t>S</w:t>
      </w:r>
      <w:r w:rsidR="00F96550" w:rsidRPr="00044208">
        <w:t xml:space="preserve">killed </w:t>
      </w:r>
      <w:r w:rsidR="00941039">
        <w:t>and</w:t>
      </w:r>
      <w:r w:rsidR="00F96550" w:rsidRPr="00044208">
        <w:t xml:space="preserve"> semi-skilled work</w:t>
      </w:r>
      <w:r w:rsidR="00941039">
        <w:t xml:space="preserve">ers preferred </w:t>
      </w:r>
      <w:r w:rsidR="00E742E9">
        <w:t xml:space="preserve">attractive alternative </w:t>
      </w:r>
      <w:r w:rsidR="00F96550" w:rsidRPr="00044208">
        <w:t xml:space="preserve">employment opportunities available in the </w:t>
      </w:r>
      <w:r w:rsidR="00CF5DA4">
        <w:t>information technology</w:t>
      </w:r>
      <w:r w:rsidR="00F96550" w:rsidRPr="00044208">
        <w:t xml:space="preserve"> (IT) and </w:t>
      </w:r>
      <w:r w:rsidR="00CF5DA4">
        <w:t>c</w:t>
      </w:r>
      <w:r w:rsidR="00F96550" w:rsidRPr="00044208">
        <w:t xml:space="preserve">onstruction sectors. </w:t>
      </w:r>
      <w:r w:rsidR="0087323F">
        <w:t>Approximately</w:t>
      </w:r>
      <w:r w:rsidR="00BD2FCB" w:rsidRPr="00044208">
        <w:t xml:space="preserve"> 780</w:t>
      </w:r>
      <w:r w:rsidR="0087323F">
        <w:t>,000</w:t>
      </w:r>
      <w:r w:rsidR="00BD2FCB" w:rsidRPr="00044208">
        <w:t xml:space="preserve"> engineers </w:t>
      </w:r>
      <w:r w:rsidR="0087323F">
        <w:t>entered India’s</w:t>
      </w:r>
      <w:r w:rsidR="00BD2FCB" w:rsidRPr="00044208">
        <w:t xml:space="preserve"> job market every ye</w:t>
      </w:r>
      <w:r w:rsidR="00786CCB" w:rsidRPr="00044208">
        <w:t>ar</w:t>
      </w:r>
      <w:r w:rsidR="0087323F">
        <w:t>; 150,000</w:t>
      </w:r>
      <w:r w:rsidR="00786CCB" w:rsidRPr="00044208">
        <w:t xml:space="preserve"> of them</w:t>
      </w:r>
      <w:r w:rsidR="0087323F">
        <w:t xml:space="preserve"> </w:t>
      </w:r>
      <w:r w:rsidR="00077B0D">
        <w:t>were</w:t>
      </w:r>
      <w:r w:rsidR="00BD2FCB" w:rsidRPr="00044208">
        <w:t xml:space="preserve"> IT engineers </w:t>
      </w:r>
      <w:r w:rsidR="00077B0D">
        <w:t xml:space="preserve">but they all seemed to prefer the IT sector </w:t>
      </w:r>
      <w:r w:rsidR="00BD2FCB" w:rsidRPr="00044208">
        <w:t>because of the glamo</w:t>
      </w:r>
      <w:r w:rsidR="00077B0D">
        <w:t>u</w:t>
      </w:r>
      <w:r w:rsidR="00BD2FCB" w:rsidRPr="00044208">
        <w:t>r and benefits associated with the industry.</w:t>
      </w:r>
      <w:r w:rsidR="00BD2FCB" w:rsidRPr="00044208">
        <w:rPr>
          <w:rStyle w:val="EndnoteReference"/>
        </w:rPr>
        <w:endnoteReference w:id="28"/>
      </w:r>
      <w:r w:rsidR="00BD2FCB" w:rsidRPr="00044208">
        <w:t xml:space="preserve"> </w:t>
      </w:r>
      <w:r w:rsidR="00507FDE" w:rsidRPr="00507FDE">
        <w:rPr>
          <w:bCs/>
        </w:rPr>
        <w:t>Nielsen</w:t>
      </w:r>
      <w:r w:rsidR="008F6E21">
        <w:rPr>
          <w:bCs/>
        </w:rPr>
        <w:t>’</w:t>
      </w:r>
      <w:r w:rsidR="00507FDE" w:rsidRPr="00507FDE">
        <w:rPr>
          <w:bCs/>
        </w:rPr>
        <w:t>s Campus Track Technology School survey</w:t>
      </w:r>
      <w:r w:rsidR="009E725E">
        <w:rPr>
          <w:bCs/>
        </w:rPr>
        <w:t xml:space="preserve"> in 2012</w:t>
      </w:r>
      <w:r w:rsidR="00507FDE" w:rsidRPr="00507FDE">
        <w:rPr>
          <w:bCs/>
        </w:rPr>
        <w:t xml:space="preserve"> revealed that IT was the most preferred sector among students graduating in 2013</w:t>
      </w:r>
      <w:r w:rsidR="008F6E21">
        <w:rPr>
          <w:bCs/>
        </w:rPr>
        <w:t>,</w:t>
      </w:r>
      <w:r w:rsidR="00507FDE" w:rsidRPr="00507FDE">
        <w:rPr>
          <w:bCs/>
        </w:rPr>
        <w:t xml:space="preserve"> with 63 per cent of students showing a prefere</w:t>
      </w:r>
      <w:r w:rsidR="00507FDE">
        <w:rPr>
          <w:bCs/>
        </w:rPr>
        <w:t>nce for IT services or products</w:t>
      </w:r>
      <w:r w:rsidR="0012228E" w:rsidRPr="00044208">
        <w:rPr>
          <w:bCs/>
        </w:rPr>
        <w:t>.</w:t>
      </w:r>
      <w:r w:rsidR="00A05C8C" w:rsidRPr="00044208">
        <w:rPr>
          <w:rStyle w:val="EndnoteReference"/>
          <w:bCs/>
        </w:rPr>
        <w:endnoteReference w:id="29"/>
      </w:r>
      <w:r w:rsidR="00E806FD" w:rsidRPr="00044208">
        <w:rPr>
          <w:bCs/>
        </w:rPr>
        <w:t xml:space="preserve"> To add to the woes of the other industries, IT companies </w:t>
      </w:r>
      <w:r w:rsidR="0060644D">
        <w:rPr>
          <w:bCs/>
        </w:rPr>
        <w:t>would</w:t>
      </w:r>
      <w:r w:rsidR="00E806FD" w:rsidRPr="00044208">
        <w:rPr>
          <w:bCs/>
        </w:rPr>
        <w:t xml:space="preserve"> hire fresh </w:t>
      </w:r>
      <w:r w:rsidR="00E806FD" w:rsidRPr="00044208">
        <w:rPr>
          <w:bCs/>
        </w:rPr>
        <w:lastRenderedPageBreak/>
        <w:t xml:space="preserve">graduates irrespective of their </w:t>
      </w:r>
      <w:r w:rsidR="00786CCB" w:rsidRPr="00044208">
        <w:rPr>
          <w:bCs/>
        </w:rPr>
        <w:t xml:space="preserve">specialization and </w:t>
      </w:r>
      <w:r w:rsidR="00E806FD" w:rsidRPr="00044208">
        <w:rPr>
          <w:bCs/>
        </w:rPr>
        <w:t xml:space="preserve">provide </w:t>
      </w:r>
      <w:r w:rsidR="0060644D">
        <w:rPr>
          <w:bCs/>
        </w:rPr>
        <w:t>them with three</w:t>
      </w:r>
      <w:r w:rsidR="00E806FD" w:rsidRPr="00044208">
        <w:rPr>
          <w:bCs/>
        </w:rPr>
        <w:t xml:space="preserve"> months to </w:t>
      </w:r>
      <w:r w:rsidR="0060644D">
        <w:rPr>
          <w:bCs/>
        </w:rPr>
        <w:t>one</w:t>
      </w:r>
      <w:r w:rsidR="00E806FD" w:rsidRPr="00044208">
        <w:rPr>
          <w:bCs/>
        </w:rPr>
        <w:t xml:space="preserve"> year </w:t>
      </w:r>
      <w:r w:rsidR="0060644D">
        <w:rPr>
          <w:bCs/>
        </w:rPr>
        <w:t xml:space="preserve">of </w:t>
      </w:r>
      <w:r w:rsidR="00E806FD" w:rsidRPr="00044208">
        <w:rPr>
          <w:bCs/>
        </w:rPr>
        <w:t>training to prepare them for the company’s objectives.</w:t>
      </w:r>
      <w:r w:rsidR="0012228E" w:rsidRPr="00044208">
        <w:rPr>
          <w:bCs/>
          <w:vertAlign w:val="superscript"/>
        </w:rPr>
        <w:t xml:space="preserve"> </w:t>
      </w:r>
    </w:p>
    <w:p w14:paraId="375CABE4" w14:textId="77777777" w:rsidR="00844DF0" w:rsidRDefault="00844DF0" w:rsidP="00F96550">
      <w:pPr>
        <w:pStyle w:val="BodyTextMain"/>
        <w:rPr>
          <w:bCs/>
          <w:vertAlign w:val="superscript"/>
        </w:rPr>
      </w:pPr>
    </w:p>
    <w:p w14:paraId="7A12448F" w14:textId="76D42610" w:rsidR="00F96550" w:rsidRDefault="00F96550" w:rsidP="00F96550">
      <w:pPr>
        <w:pStyle w:val="BodyTextMain"/>
      </w:pPr>
      <w:r w:rsidRPr="00044208">
        <w:t>IT employees earned much better salaries than their counterpart</w:t>
      </w:r>
      <w:r w:rsidR="00844DF0">
        <w:t>s</w:t>
      </w:r>
      <w:r w:rsidRPr="00044208">
        <w:t xml:space="preserve"> in other sectors, especially </w:t>
      </w:r>
      <w:r w:rsidR="00844DF0">
        <w:t xml:space="preserve">those </w:t>
      </w:r>
      <w:r w:rsidRPr="00044208">
        <w:t>in the manufacturing sector</w:t>
      </w:r>
      <w:r w:rsidR="00844DF0">
        <w:t xml:space="preserve"> </w:t>
      </w:r>
      <w:r w:rsidR="00844DF0" w:rsidRPr="00044208">
        <w:t xml:space="preserve">(see Exhibit </w:t>
      </w:r>
      <w:r w:rsidR="002335D9">
        <w:t>4</w:t>
      </w:r>
      <w:r w:rsidR="00844DF0" w:rsidRPr="00044208">
        <w:t>)</w:t>
      </w:r>
      <w:r w:rsidRPr="00044208">
        <w:t xml:space="preserve">. </w:t>
      </w:r>
      <w:r w:rsidR="000F3296">
        <w:t xml:space="preserve">In addition to </w:t>
      </w:r>
      <w:r w:rsidR="008F6E21">
        <w:t xml:space="preserve">offering </w:t>
      </w:r>
      <w:r w:rsidR="000F3296">
        <w:t xml:space="preserve">better </w:t>
      </w:r>
      <w:r w:rsidRPr="00044208">
        <w:t xml:space="preserve">salaries, IT jobs </w:t>
      </w:r>
      <w:r w:rsidR="000F3296">
        <w:t xml:space="preserve">were perceived </w:t>
      </w:r>
      <w:r w:rsidR="00A22977">
        <w:t>as superior</w:t>
      </w:r>
      <w:r w:rsidR="000F3296">
        <w:t xml:space="preserve"> </w:t>
      </w:r>
      <w:r w:rsidR="008F6E21">
        <w:t>because they offered</w:t>
      </w:r>
      <w:r w:rsidRPr="00044208">
        <w:t xml:space="preserve"> better career opportunities, work environment, lifestyle, </w:t>
      </w:r>
      <w:r w:rsidR="00F01E24">
        <w:t>status,</w:t>
      </w:r>
      <w:r w:rsidR="008F6E21">
        <w:t xml:space="preserve"> and transferable skills,</w:t>
      </w:r>
      <w:r w:rsidR="00F01E24">
        <w:t xml:space="preserve"> </w:t>
      </w:r>
      <w:r w:rsidR="008F6E21">
        <w:t xml:space="preserve">as well as </w:t>
      </w:r>
      <w:r w:rsidRPr="00044208">
        <w:t>flexible work schedules</w:t>
      </w:r>
      <w:r w:rsidR="00197D23">
        <w:t>.</w:t>
      </w:r>
      <w:r w:rsidRPr="00BB100E">
        <w:t xml:space="preserve"> </w:t>
      </w:r>
      <w:r w:rsidR="00F01E24">
        <w:t>In contrast</w:t>
      </w:r>
      <w:r w:rsidRPr="00BB100E">
        <w:t xml:space="preserve">, </w:t>
      </w:r>
      <w:r w:rsidR="008F6E21">
        <w:t xml:space="preserve">a career in </w:t>
      </w:r>
      <w:r w:rsidRPr="00BB100E">
        <w:t xml:space="preserve">the ceramics industry was </w:t>
      </w:r>
      <w:r w:rsidR="00F01E24">
        <w:t>perceived as</w:t>
      </w:r>
      <w:r w:rsidRPr="00BB100E">
        <w:t xml:space="preserve"> </w:t>
      </w:r>
      <w:r w:rsidR="00133C75">
        <w:rPr>
          <w:lang w:val="en-IN"/>
        </w:rPr>
        <w:t>unconventional</w:t>
      </w:r>
      <w:r w:rsidRPr="00BB100E">
        <w:t xml:space="preserve">. </w:t>
      </w:r>
      <w:r w:rsidR="00AD7AF3">
        <w:t xml:space="preserve">Further, in addition to the challenges of </w:t>
      </w:r>
      <w:r w:rsidRPr="00BB100E">
        <w:t>attracting and retaining employees</w:t>
      </w:r>
      <w:r w:rsidR="00F45A74">
        <w:t xml:space="preserve">, </w:t>
      </w:r>
      <w:r w:rsidR="00AD7AF3">
        <w:t>the ceramics</w:t>
      </w:r>
      <w:r w:rsidRPr="00BB100E">
        <w:t xml:space="preserve"> industry</w:t>
      </w:r>
      <w:r w:rsidR="00AD7AF3">
        <w:t xml:space="preserve"> </w:t>
      </w:r>
      <w:r w:rsidR="00F45A74">
        <w:t xml:space="preserve">required </w:t>
      </w:r>
      <w:r w:rsidR="00983B52">
        <w:t xml:space="preserve">many more </w:t>
      </w:r>
      <w:r w:rsidRPr="00BB100E">
        <w:t xml:space="preserve">workers </w:t>
      </w:r>
      <w:r w:rsidR="00983B52">
        <w:t xml:space="preserve">than </w:t>
      </w:r>
      <w:r w:rsidR="008F6E21">
        <w:t xml:space="preserve">the </w:t>
      </w:r>
      <w:r w:rsidR="00983B52">
        <w:t>IT and c</w:t>
      </w:r>
      <w:r w:rsidRPr="00BB100E">
        <w:t xml:space="preserve">onstruction sectors. </w:t>
      </w:r>
      <w:r w:rsidR="002154CF">
        <w:t xml:space="preserve">Making the situation even worse, </w:t>
      </w:r>
      <w:r w:rsidR="0058624F">
        <w:t xml:space="preserve">it was estimated that </w:t>
      </w:r>
      <w:r w:rsidRPr="00BB100E">
        <w:t xml:space="preserve">only </w:t>
      </w:r>
      <w:r w:rsidR="0058624F">
        <w:t xml:space="preserve">7–10 </w:t>
      </w:r>
      <w:r w:rsidRPr="00BB100E">
        <w:t>per</w:t>
      </w:r>
      <w:r w:rsidR="0058624F">
        <w:t xml:space="preserve"> </w:t>
      </w:r>
      <w:r w:rsidRPr="00BB100E">
        <w:t xml:space="preserve">cent of </w:t>
      </w:r>
      <w:r w:rsidR="0058624F">
        <w:t xml:space="preserve">new </w:t>
      </w:r>
      <w:r w:rsidRPr="00BB100E">
        <w:t>engineers were employable for core engineering jobs</w:t>
      </w:r>
      <w:r w:rsidR="0043450B">
        <w:t>.</w:t>
      </w:r>
      <w:r w:rsidR="0043450B">
        <w:rPr>
          <w:rStyle w:val="EndnoteReference"/>
        </w:rPr>
        <w:endnoteReference w:id="30"/>
      </w:r>
    </w:p>
    <w:p w14:paraId="51726062" w14:textId="77777777" w:rsidR="0012228E" w:rsidRDefault="0012228E" w:rsidP="00F96550">
      <w:pPr>
        <w:pStyle w:val="BodyTextMain"/>
      </w:pPr>
    </w:p>
    <w:p w14:paraId="19214F73" w14:textId="7DFF1F7E" w:rsidR="00C56FF0" w:rsidRDefault="006F7109" w:rsidP="00F96550">
      <w:pPr>
        <w:pStyle w:val="BodyTextMain"/>
      </w:pPr>
      <w:r>
        <w:t xml:space="preserve">Even once </w:t>
      </w:r>
      <w:r w:rsidR="009046AE">
        <w:t>ceramics companies had hired workers, the companies struggled to maintain their</w:t>
      </w:r>
      <w:r w:rsidR="00F96550" w:rsidRPr="00BB100E">
        <w:t xml:space="preserve"> technical </w:t>
      </w:r>
      <w:proofErr w:type="spellStart"/>
      <w:r w:rsidR="009046AE">
        <w:t>labour</w:t>
      </w:r>
      <w:proofErr w:type="spellEnd"/>
      <w:r w:rsidR="009046AE">
        <w:t xml:space="preserve"> force</w:t>
      </w:r>
      <w:r w:rsidR="008E5896">
        <w:t xml:space="preserve">. </w:t>
      </w:r>
      <w:r w:rsidR="009E608B" w:rsidRPr="009E608B">
        <w:t>Workers could not be retained for long without incremental salary increases; the turnover rate was 3 per cent</w:t>
      </w:r>
      <w:r w:rsidR="00044208" w:rsidRPr="00F45587">
        <w:t xml:space="preserve">. </w:t>
      </w:r>
      <w:r w:rsidR="00F96550" w:rsidRPr="00F45587">
        <w:t xml:space="preserve">Recruiting people for technical jobs </w:t>
      </w:r>
      <w:r w:rsidR="000038F4" w:rsidRPr="00F45587">
        <w:t>on the</w:t>
      </w:r>
      <w:r w:rsidR="00F96550" w:rsidRPr="00F45587">
        <w:t xml:space="preserve"> shop floor was especially difficult</w:t>
      </w:r>
      <w:r w:rsidR="008F6E21">
        <w:t>—b</w:t>
      </w:r>
      <w:r w:rsidR="009E608B">
        <w:t xml:space="preserve">ecause of IT sector growth in India, most technical </w:t>
      </w:r>
      <w:proofErr w:type="spellStart"/>
      <w:r w:rsidR="008F6E21">
        <w:t>labour</w:t>
      </w:r>
      <w:r w:rsidR="006B39C4">
        <w:t>ers</w:t>
      </w:r>
      <w:proofErr w:type="spellEnd"/>
      <w:r w:rsidR="008F6E21">
        <w:t xml:space="preserve"> </w:t>
      </w:r>
      <w:r w:rsidR="009E608B">
        <w:t>(engineers) were interested in joining IT companies rather than any shop floor job in manufacturing.</w:t>
      </w:r>
      <w:r w:rsidR="00F96550" w:rsidRPr="00F45587">
        <w:t xml:space="preserve"> Traditional methods </w:t>
      </w:r>
      <w:r w:rsidR="000038F4" w:rsidRPr="00F45587">
        <w:t xml:space="preserve">of acquiring </w:t>
      </w:r>
      <w:r w:rsidR="00F96550" w:rsidRPr="00F45587">
        <w:t xml:space="preserve">talent proved to be of little help for </w:t>
      </w:r>
      <w:r w:rsidR="00C56FF0" w:rsidRPr="00F45587">
        <w:t>ceramics</w:t>
      </w:r>
      <w:r w:rsidR="00673DD8" w:rsidRPr="00F45587">
        <w:t xml:space="preserve"> compan</w:t>
      </w:r>
      <w:r w:rsidR="009E608B">
        <w:t>ies</w:t>
      </w:r>
      <w:r w:rsidR="00F96550" w:rsidRPr="00F45587">
        <w:t xml:space="preserve">. </w:t>
      </w:r>
    </w:p>
    <w:p w14:paraId="2DF1A2DB" w14:textId="77777777" w:rsidR="00C56FF0" w:rsidRDefault="00C56FF0" w:rsidP="00F96550">
      <w:pPr>
        <w:pStyle w:val="BodyTextMain"/>
      </w:pPr>
    </w:p>
    <w:p w14:paraId="57EBF295" w14:textId="1B7751EB" w:rsidR="00F96550" w:rsidRPr="00BB100E" w:rsidRDefault="00C56FF0" w:rsidP="00F96550">
      <w:pPr>
        <w:pStyle w:val="BodyTextMain"/>
      </w:pPr>
      <w:r>
        <w:t xml:space="preserve">Kumar and his </w:t>
      </w:r>
      <w:r w:rsidR="00F96550" w:rsidRPr="00BB100E">
        <w:t xml:space="preserve">recruitment team </w:t>
      </w:r>
      <w:r>
        <w:t xml:space="preserve">at SCL were considering </w:t>
      </w:r>
      <w:r w:rsidR="00F96550" w:rsidRPr="00BB100E">
        <w:t xml:space="preserve">two possible options </w:t>
      </w:r>
      <w:r>
        <w:t>for</w:t>
      </w:r>
      <w:r w:rsidR="00F96550" w:rsidRPr="00BB100E">
        <w:t xml:space="preserve"> managing the </w:t>
      </w:r>
      <w:r>
        <w:t>company’s</w:t>
      </w:r>
      <w:r w:rsidR="00F96550" w:rsidRPr="00BB100E">
        <w:t xml:space="preserve"> demand</w:t>
      </w:r>
      <w:r>
        <w:t xml:space="preserve"> for workers</w:t>
      </w:r>
      <w:r w:rsidR="00F96550" w:rsidRPr="00BB100E">
        <w:t>: hir</w:t>
      </w:r>
      <w:r>
        <w:t>e</w:t>
      </w:r>
      <w:r w:rsidR="00F96550" w:rsidRPr="00BB100E">
        <w:t xml:space="preserve"> from the competition or train non-ceramic professionals. Attracting talent from the competition required </w:t>
      </w:r>
      <w:r>
        <w:t xml:space="preserve">SCL </w:t>
      </w:r>
      <w:r w:rsidR="006B39C4">
        <w:t xml:space="preserve">to </w:t>
      </w:r>
      <w:r>
        <w:t>pay</w:t>
      </w:r>
      <w:r w:rsidR="00F96550" w:rsidRPr="00BB100E">
        <w:t xml:space="preserve"> </w:t>
      </w:r>
      <w:r w:rsidR="006B39C4">
        <w:t xml:space="preserve">the workers </w:t>
      </w:r>
      <w:r w:rsidR="00F96550" w:rsidRPr="00BB100E">
        <w:t xml:space="preserve">far more than </w:t>
      </w:r>
      <w:r w:rsidR="006B39C4">
        <w:t>they</w:t>
      </w:r>
      <w:r>
        <w:t xml:space="preserve"> were</w:t>
      </w:r>
      <w:r w:rsidR="00F96550" w:rsidRPr="00BB100E">
        <w:t xml:space="preserve"> currently </w:t>
      </w:r>
      <w:r>
        <w:t>being paid</w:t>
      </w:r>
      <w:r w:rsidR="00F96550" w:rsidRPr="00BB100E">
        <w:t xml:space="preserve"> by their employers. </w:t>
      </w:r>
      <w:r w:rsidR="00564ACB">
        <w:t>However</w:t>
      </w:r>
      <w:r w:rsidR="00621B81">
        <w:t>, p</w:t>
      </w:r>
      <w:r>
        <w:t xml:space="preserve">oaching </w:t>
      </w:r>
      <w:r w:rsidR="006B39C4">
        <w:t xml:space="preserve">the </w:t>
      </w:r>
      <w:r>
        <w:t>competitor’s workers</w:t>
      </w:r>
      <w:r w:rsidR="00F96550" w:rsidRPr="00BB100E">
        <w:t xml:space="preserve"> would disturb the equilibrium in the organization and industry</w:t>
      </w:r>
      <w:r w:rsidR="00621B81">
        <w:t xml:space="preserve">; SCL </w:t>
      </w:r>
      <w:r w:rsidR="00564ACB" w:rsidRPr="00BB100E">
        <w:t xml:space="preserve">even </w:t>
      </w:r>
      <w:r w:rsidR="00621B81" w:rsidRPr="00BB100E">
        <w:t xml:space="preserve">had to </w:t>
      </w:r>
      <w:r w:rsidR="003B6670">
        <w:t>guard</w:t>
      </w:r>
      <w:r w:rsidR="00621B81" w:rsidRPr="00BB100E">
        <w:t xml:space="preserve"> its </w:t>
      </w:r>
      <w:r w:rsidR="003B6670">
        <w:t xml:space="preserve">own </w:t>
      </w:r>
      <w:r w:rsidR="00621B81" w:rsidRPr="00BB100E">
        <w:t>skil</w:t>
      </w:r>
      <w:r w:rsidR="008A36BE">
        <w:t>led workers</w:t>
      </w:r>
      <w:r w:rsidR="00621B81" w:rsidRPr="00BB100E">
        <w:t xml:space="preserve"> against poaching attempts by competing firms. </w:t>
      </w:r>
      <w:r w:rsidR="00564ACB">
        <w:t>Also</w:t>
      </w:r>
      <w:r w:rsidR="008A36BE">
        <w:t>,</w:t>
      </w:r>
      <w:r>
        <w:t xml:space="preserve"> paying new employees </w:t>
      </w:r>
      <w:r w:rsidR="00F96550" w:rsidRPr="00BB100E">
        <w:t xml:space="preserve">a higher salary to </w:t>
      </w:r>
      <w:r>
        <w:t xml:space="preserve">attract them </w:t>
      </w:r>
      <w:r w:rsidR="00F96550" w:rsidRPr="00BB100E">
        <w:t xml:space="preserve">would </w:t>
      </w:r>
      <w:r>
        <w:t xml:space="preserve">create discontent among </w:t>
      </w:r>
      <w:r w:rsidR="00F96550" w:rsidRPr="00BB100E">
        <w:t>the existing staff</w:t>
      </w:r>
      <w:r w:rsidRPr="00BB100E">
        <w:t xml:space="preserve">. </w:t>
      </w:r>
      <w:r>
        <w:t>T</w:t>
      </w:r>
      <w:r w:rsidR="00F96550" w:rsidRPr="00BB100E">
        <w:t>he company</w:t>
      </w:r>
      <w:r>
        <w:t xml:space="preserve">’s </w:t>
      </w:r>
      <w:proofErr w:type="spellStart"/>
      <w:r>
        <w:t>labour</w:t>
      </w:r>
      <w:proofErr w:type="spellEnd"/>
      <w:r>
        <w:t xml:space="preserve"> costs were already increasing as </w:t>
      </w:r>
      <w:r w:rsidR="00F96550" w:rsidRPr="00BB100E">
        <w:t xml:space="preserve">the company </w:t>
      </w:r>
      <w:r>
        <w:t>expanded</w:t>
      </w:r>
      <w:r w:rsidR="006B39C4">
        <w:t>—t</w:t>
      </w:r>
      <w:r w:rsidR="0070129A">
        <w:t>he</w:t>
      </w:r>
      <w:r w:rsidR="006B39C4">
        <w:t>y</w:t>
      </w:r>
      <w:r w:rsidR="0070129A">
        <w:t xml:space="preserve"> had</w:t>
      </w:r>
      <w:r w:rsidR="00F96550" w:rsidRPr="00BB100E">
        <w:t xml:space="preserve"> increased from </w:t>
      </w:r>
      <w:r w:rsidR="006B39C4" w:rsidRPr="005D1160">
        <w:rPr>
          <w:rFonts w:ascii="Arial" w:hAnsi="Arial" w:cs="Arial"/>
          <w:bCs/>
          <w:sz w:val="20"/>
          <w:szCs w:val="20"/>
        </w:rPr>
        <w:t>₹</w:t>
      </w:r>
      <w:r w:rsidR="00F96550" w:rsidRPr="00BB100E">
        <w:t xml:space="preserve">963.6 million ($15.05 million) in 2015 to </w:t>
      </w:r>
      <w:r w:rsidR="006B39C4" w:rsidRPr="005D1160">
        <w:rPr>
          <w:rFonts w:ascii="Arial" w:hAnsi="Arial" w:cs="Arial"/>
          <w:bCs/>
          <w:sz w:val="20"/>
          <w:szCs w:val="20"/>
        </w:rPr>
        <w:t>₹</w:t>
      </w:r>
      <w:r w:rsidR="00F96550" w:rsidRPr="00BB100E">
        <w:t>1</w:t>
      </w:r>
      <w:r w:rsidR="0070129A">
        <w:t>.12 billion (</w:t>
      </w:r>
      <w:r w:rsidR="00F96550" w:rsidRPr="00BB100E">
        <w:t>$16.66 million) in 2016</w:t>
      </w:r>
      <w:r w:rsidR="00F96550">
        <w:t xml:space="preserve"> (see Exhibit </w:t>
      </w:r>
      <w:r w:rsidR="002335D9">
        <w:t>5</w:t>
      </w:r>
      <w:r w:rsidR="00F96550">
        <w:t>)</w:t>
      </w:r>
      <w:r w:rsidR="0070129A">
        <w:t>.</w:t>
      </w:r>
    </w:p>
    <w:p w14:paraId="11C61A25" w14:textId="77777777" w:rsidR="00F96550" w:rsidRPr="00BB100E" w:rsidRDefault="00F96550" w:rsidP="00F96550">
      <w:pPr>
        <w:pStyle w:val="BodyTextMain"/>
      </w:pPr>
    </w:p>
    <w:p w14:paraId="77E5B303" w14:textId="163A61CA" w:rsidR="00F96550" w:rsidRPr="00BB100E" w:rsidRDefault="00F96550" w:rsidP="00F96550">
      <w:pPr>
        <w:pStyle w:val="BodyTextMain"/>
      </w:pPr>
      <w:r w:rsidRPr="00BB100E">
        <w:t xml:space="preserve">The second option </w:t>
      </w:r>
      <w:r w:rsidR="0070129A">
        <w:t>Kumar’s team considered</w:t>
      </w:r>
      <w:r w:rsidRPr="00BB100E">
        <w:t xml:space="preserve"> was identifying and hiring suitable jobless candidates from non-ceramic background</w:t>
      </w:r>
      <w:r w:rsidR="0070129A">
        <w:t>s</w:t>
      </w:r>
      <w:r w:rsidRPr="00BB100E">
        <w:t xml:space="preserve">. </w:t>
      </w:r>
      <w:r w:rsidR="0070129A">
        <w:t>A</w:t>
      </w:r>
      <w:r w:rsidRPr="00BB100E">
        <w:t xml:space="preserve"> shortlist </w:t>
      </w:r>
      <w:r w:rsidR="0070129A">
        <w:t xml:space="preserve">could be compiled of </w:t>
      </w:r>
      <w:r w:rsidRPr="00BB100E">
        <w:t>candidate</w:t>
      </w:r>
      <w:r w:rsidR="0070129A">
        <w:t>s</w:t>
      </w:r>
      <w:r w:rsidRPr="00BB100E">
        <w:t xml:space="preserve"> unable to find jobs in other sectors because of </w:t>
      </w:r>
      <w:r w:rsidR="0070129A">
        <w:t xml:space="preserve">the candidates’ lack of </w:t>
      </w:r>
      <w:r w:rsidRPr="00BB100E">
        <w:t xml:space="preserve">technical skills. Provided these potential employees </w:t>
      </w:r>
      <w:r w:rsidR="0070129A">
        <w:t>showed</w:t>
      </w:r>
      <w:r w:rsidRPr="00BB100E">
        <w:t xml:space="preserve"> interest in making their career</w:t>
      </w:r>
      <w:r w:rsidR="0070129A">
        <w:t>s</w:t>
      </w:r>
      <w:r w:rsidRPr="00BB100E">
        <w:t xml:space="preserve"> </w:t>
      </w:r>
      <w:r w:rsidR="00564ACB">
        <w:t>in</w:t>
      </w:r>
      <w:r w:rsidRPr="00BB100E">
        <w:t xml:space="preserve"> the </w:t>
      </w:r>
      <w:r w:rsidR="0070129A">
        <w:t>c</w:t>
      </w:r>
      <w:r w:rsidRPr="00BB100E">
        <w:t>eramic</w:t>
      </w:r>
      <w:r w:rsidR="0070129A">
        <w:t>s</w:t>
      </w:r>
      <w:r w:rsidRPr="00BB100E">
        <w:t xml:space="preserve"> industry, </w:t>
      </w:r>
      <w:r w:rsidR="0070129A">
        <w:t>SCL</w:t>
      </w:r>
      <w:r w:rsidRPr="00BB100E">
        <w:t xml:space="preserve"> could train them and make them industry ready. This way, a continuous supply of talented</w:t>
      </w:r>
      <w:r w:rsidR="00621B81">
        <w:t xml:space="preserve"> and </w:t>
      </w:r>
      <w:r w:rsidRPr="00BB100E">
        <w:t xml:space="preserve">trained </w:t>
      </w:r>
      <w:r w:rsidR="00621B81">
        <w:t xml:space="preserve">workers with the right </w:t>
      </w:r>
      <w:r w:rsidRPr="00BB100E">
        <w:t xml:space="preserve">technical </w:t>
      </w:r>
      <w:r w:rsidR="00621B81">
        <w:t>skills could</w:t>
      </w:r>
      <w:r w:rsidRPr="00BB100E">
        <w:t xml:space="preserve"> be maintained. However, the HR executives </w:t>
      </w:r>
      <w:r w:rsidR="00621B81">
        <w:t>were concerned that</w:t>
      </w:r>
      <w:r w:rsidRPr="00BB100E">
        <w:t xml:space="preserve"> at the end of </w:t>
      </w:r>
      <w:r w:rsidR="00621B81">
        <w:t>a</w:t>
      </w:r>
      <w:r w:rsidRPr="00BB100E">
        <w:t xml:space="preserve"> long training program </w:t>
      </w:r>
      <w:r w:rsidR="00621B81">
        <w:t>for</w:t>
      </w:r>
      <w:r w:rsidRPr="00BB100E">
        <w:t xml:space="preserve"> potential candidates </w:t>
      </w:r>
      <w:r w:rsidR="00621B81">
        <w:t>with</w:t>
      </w:r>
      <w:r w:rsidRPr="00BB100E">
        <w:t xml:space="preserve"> little or no background in the ceramic industry</w:t>
      </w:r>
      <w:r w:rsidR="00621B81">
        <w:t>, the</w:t>
      </w:r>
      <w:r w:rsidRPr="00BB100E">
        <w:t xml:space="preserve"> candidates </w:t>
      </w:r>
      <w:r w:rsidR="00621B81">
        <w:t xml:space="preserve">could still be </w:t>
      </w:r>
      <w:r w:rsidRPr="00BB100E">
        <w:t>unsuitable for the industry</w:t>
      </w:r>
      <w:r w:rsidR="00621B81">
        <w:t>. If that were the case, the</w:t>
      </w:r>
      <w:r w:rsidRPr="00BB100E">
        <w:t xml:space="preserve"> costs and time </w:t>
      </w:r>
      <w:r w:rsidR="00621B81">
        <w:t>incurred would be lost</w:t>
      </w:r>
      <w:r w:rsidRPr="00BB100E">
        <w:t xml:space="preserve">. </w:t>
      </w:r>
      <w:r w:rsidR="00621B81">
        <w:t>The costs would be significant because</w:t>
      </w:r>
      <w:r w:rsidRPr="00BB100E">
        <w:t xml:space="preserve">, as a practice, </w:t>
      </w:r>
      <w:r w:rsidR="00621B81">
        <w:t>SCL</w:t>
      </w:r>
      <w:r w:rsidRPr="00BB100E">
        <w:t xml:space="preserve"> would </w:t>
      </w:r>
      <w:r w:rsidR="00621B81">
        <w:t>be expected</w:t>
      </w:r>
      <w:r w:rsidRPr="00BB100E">
        <w:t xml:space="preserve"> to pay </w:t>
      </w:r>
      <w:r w:rsidR="00621B81">
        <w:t xml:space="preserve">trainees </w:t>
      </w:r>
      <w:r w:rsidRPr="00BB100E">
        <w:t>a</w:t>
      </w:r>
      <w:r w:rsidR="00BC675D">
        <w:t xml:space="preserve"> full</w:t>
      </w:r>
      <w:r w:rsidRPr="00BB100E">
        <w:t xml:space="preserve"> salary while they underwent the training program. </w:t>
      </w:r>
    </w:p>
    <w:p w14:paraId="4211756C" w14:textId="77777777" w:rsidR="00F96550" w:rsidRDefault="00F96550" w:rsidP="00F96550">
      <w:pPr>
        <w:pStyle w:val="BodyTextMain"/>
        <w:rPr>
          <w:sz w:val="24"/>
          <w:szCs w:val="24"/>
        </w:rPr>
      </w:pPr>
    </w:p>
    <w:p w14:paraId="329DF242" w14:textId="28775F1C" w:rsidR="00F96550" w:rsidRDefault="00F96550" w:rsidP="00044208">
      <w:pPr>
        <w:pStyle w:val="BodyTextMain"/>
      </w:pPr>
      <w:r w:rsidRPr="00BB100E">
        <w:t xml:space="preserve">SCL knew </w:t>
      </w:r>
      <w:r w:rsidR="008A36BE">
        <w:t>it</w:t>
      </w:r>
      <w:r w:rsidRPr="00BB100E">
        <w:t xml:space="preserve"> could </w:t>
      </w:r>
      <w:r w:rsidR="008A36BE">
        <w:t>beat its</w:t>
      </w:r>
      <w:r w:rsidRPr="00BB100E">
        <w:t xml:space="preserve"> </w:t>
      </w:r>
      <w:r w:rsidRPr="00044208">
        <w:t xml:space="preserve">competitors </w:t>
      </w:r>
      <w:r w:rsidR="008A36BE">
        <w:t>to</w:t>
      </w:r>
      <w:r w:rsidRPr="00044208">
        <w:t xml:space="preserve"> grab the largest chunk of the increased market only by increasing </w:t>
      </w:r>
      <w:r w:rsidR="008A36BE">
        <w:t>its</w:t>
      </w:r>
      <w:r w:rsidRPr="00044208">
        <w:t xml:space="preserve"> production in a timely manner. </w:t>
      </w:r>
      <w:r w:rsidR="00044208" w:rsidRPr="00044208">
        <w:t xml:space="preserve">Salaries were in tune with the average salaries offered in </w:t>
      </w:r>
      <w:r w:rsidR="008A36BE">
        <w:t>India’s</w:t>
      </w:r>
      <w:r w:rsidR="00044208" w:rsidRPr="00044208">
        <w:t xml:space="preserve"> </w:t>
      </w:r>
      <w:r w:rsidR="008A36BE">
        <w:t>c</w:t>
      </w:r>
      <w:r w:rsidR="00044208" w:rsidRPr="00044208">
        <w:t>eramic tile industry</w:t>
      </w:r>
      <w:r w:rsidR="00A9245E">
        <w:t>,</w:t>
      </w:r>
      <w:r w:rsidR="00044208" w:rsidRPr="00044208">
        <w:t xml:space="preserve"> </w:t>
      </w:r>
      <w:r w:rsidR="008A36BE">
        <w:t>but</w:t>
      </w:r>
      <w:r w:rsidRPr="00BB100E">
        <w:t xml:space="preserve"> hiring and retaining skilled talent </w:t>
      </w:r>
      <w:r w:rsidR="008A36BE">
        <w:t>was a problem</w:t>
      </w:r>
      <w:r w:rsidRPr="00BB100E">
        <w:t xml:space="preserve">. The majority </w:t>
      </w:r>
      <w:r w:rsidR="008A36BE">
        <w:t>of Kumar’s team</w:t>
      </w:r>
      <w:r w:rsidRPr="00BB100E">
        <w:t xml:space="preserve"> </w:t>
      </w:r>
      <w:proofErr w:type="spellStart"/>
      <w:r w:rsidRPr="00BB100E">
        <w:t>favo</w:t>
      </w:r>
      <w:r w:rsidR="008A36BE">
        <w:t>u</w:t>
      </w:r>
      <w:r w:rsidRPr="00BB100E">
        <w:t>red</w:t>
      </w:r>
      <w:proofErr w:type="spellEnd"/>
      <w:r w:rsidRPr="00BB100E">
        <w:t xml:space="preserve"> training unskilled </w:t>
      </w:r>
      <w:r w:rsidR="008A36BE">
        <w:t>workers</w:t>
      </w:r>
      <w:r w:rsidRPr="00BB100E">
        <w:t xml:space="preserve"> with the hope that retaining </w:t>
      </w:r>
      <w:r w:rsidR="008A36BE">
        <w:t>these workers</w:t>
      </w:r>
      <w:r w:rsidRPr="00BB100E">
        <w:t xml:space="preserve"> would be easier. </w:t>
      </w:r>
      <w:r w:rsidR="008A36BE">
        <w:t>The minority, however,</w:t>
      </w:r>
      <w:r w:rsidRPr="00BB100E">
        <w:t xml:space="preserve"> felt that identifying and training such individuals could take </w:t>
      </w:r>
      <w:r w:rsidR="008A36BE">
        <w:t>a great deal of time</w:t>
      </w:r>
      <w:r w:rsidRPr="00BB100E">
        <w:t xml:space="preserve"> and prove to be a costly affair. </w:t>
      </w:r>
      <w:r w:rsidR="008A36BE">
        <w:t>SCL needed to arrive</w:t>
      </w:r>
      <w:r w:rsidRPr="00BB100E">
        <w:t xml:space="preserve"> at a cost-effective and sustainable decision </w:t>
      </w:r>
      <w:r w:rsidR="008A36BE">
        <w:t>if it wanted</w:t>
      </w:r>
      <w:r w:rsidR="00CE1CD1">
        <w:t xml:space="preserve"> to obtain</w:t>
      </w:r>
      <w:r w:rsidR="008A36BE">
        <w:t xml:space="preserve"> the</w:t>
      </w:r>
      <w:r w:rsidRPr="00BB100E">
        <w:t xml:space="preserve"> competitive edge it desired. </w:t>
      </w:r>
      <w:r>
        <w:br w:type="page"/>
      </w:r>
    </w:p>
    <w:p w14:paraId="7063A557" w14:textId="756F4FE9" w:rsidR="00F96550" w:rsidRDefault="00F96550" w:rsidP="00DA1242">
      <w:pPr>
        <w:pStyle w:val="ExhibitHeading"/>
        <w:outlineLvl w:val="0"/>
      </w:pPr>
      <w:r>
        <w:lastRenderedPageBreak/>
        <w:t>EXHIBIT 1</w:t>
      </w:r>
      <w:r w:rsidRPr="00BB100E">
        <w:t>: Somany Ceramics Limited</w:t>
      </w:r>
      <w:r w:rsidR="000A5929">
        <w:t>,</w:t>
      </w:r>
      <w:r w:rsidR="000A5929" w:rsidRPr="000A5929">
        <w:t xml:space="preserve"> </w:t>
      </w:r>
      <w:r w:rsidRPr="00BB100E">
        <w:t>Major Products and Services</w:t>
      </w:r>
    </w:p>
    <w:p w14:paraId="39CAF2DE" w14:textId="77777777" w:rsidR="00F96550" w:rsidRPr="00BB100E" w:rsidRDefault="00F96550" w:rsidP="00F96550">
      <w:pPr>
        <w:pStyle w:val="ExhibitHeading"/>
      </w:pPr>
    </w:p>
    <w:tbl>
      <w:tblPr>
        <w:tblStyle w:val="TableGrid"/>
        <w:tblW w:w="4000" w:type="pct"/>
        <w:jc w:val="center"/>
        <w:tblCellMar>
          <w:top w:w="58" w:type="dxa"/>
          <w:left w:w="115" w:type="dxa"/>
          <w:bottom w:w="58" w:type="dxa"/>
          <w:right w:w="115" w:type="dxa"/>
        </w:tblCellMar>
        <w:tblLook w:val="04A0" w:firstRow="1" w:lastRow="0" w:firstColumn="1" w:lastColumn="0" w:noHBand="0" w:noVBand="1"/>
      </w:tblPr>
      <w:tblGrid>
        <w:gridCol w:w="2695"/>
        <w:gridCol w:w="4785"/>
      </w:tblGrid>
      <w:tr w:rsidR="00F96550" w:rsidRPr="00BB100E" w14:paraId="08600E0B" w14:textId="77777777" w:rsidTr="00DA1242">
        <w:trPr>
          <w:trHeight w:val="288"/>
          <w:jc w:val="center"/>
        </w:trPr>
        <w:tc>
          <w:tcPr>
            <w:tcW w:w="2695" w:type="dxa"/>
            <w:vAlign w:val="center"/>
          </w:tcPr>
          <w:p w14:paraId="39D3F6A8" w14:textId="77777777" w:rsidR="00F96550" w:rsidRPr="00DA1242" w:rsidRDefault="00F96550" w:rsidP="005954B6">
            <w:pPr>
              <w:pStyle w:val="ExhibitText"/>
              <w:jc w:val="center"/>
              <w:rPr>
                <w:b/>
              </w:rPr>
            </w:pPr>
            <w:r w:rsidRPr="00DA1242">
              <w:rPr>
                <w:b/>
              </w:rPr>
              <w:t>Product/Service Category</w:t>
            </w:r>
          </w:p>
        </w:tc>
        <w:tc>
          <w:tcPr>
            <w:tcW w:w="4785" w:type="dxa"/>
            <w:vAlign w:val="center"/>
          </w:tcPr>
          <w:p w14:paraId="13AA53DD" w14:textId="4A59A02B" w:rsidR="00F96550" w:rsidRPr="00DA1242" w:rsidRDefault="005669C8" w:rsidP="005954B6">
            <w:pPr>
              <w:pStyle w:val="ExhibitText"/>
              <w:jc w:val="center"/>
              <w:rPr>
                <w:b/>
              </w:rPr>
            </w:pPr>
            <w:r>
              <w:rPr>
                <w:b/>
              </w:rPr>
              <w:t>S</w:t>
            </w:r>
            <w:r w:rsidR="007033F0">
              <w:rPr>
                <w:b/>
              </w:rPr>
              <w:t>ubc</w:t>
            </w:r>
            <w:r w:rsidR="00F96550" w:rsidRPr="005669C8">
              <w:rPr>
                <w:b/>
              </w:rPr>
              <w:t>ategories</w:t>
            </w:r>
          </w:p>
        </w:tc>
      </w:tr>
      <w:tr w:rsidR="00F96550" w:rsidRPr="00BB100E" w14:paraId="0BF36247" w14:textId="77777777" w:rsidTr="00DA1242">
        <w:trPr>
          <w:trHeight w:val="288"/>
          <w:jc w:val="center"/>
        </w:trPr>
        <w:tc>
          <w:tcPr>
            <w:tcW w:w="2695" w:type="dxa"/>
            <w:vAlign w:val="center"/>
          </w:tcPr>
          <w:p w14:paraId="68077DC8" w14:textId="4AC2B17A" w:rsidR="00F96550" w:rsidRPr="00BB100E" w:rsidRDefault="00F96550" w:rsidP="00DA1242">
            <w:pPr>
              <w:pStyle w:val="ExhibitText"/>
              <w:jc w:val="left"/>
            </w:pPr>
            <w:r w:rsidRPr="00BB100E">
              <w:t>Floor Tiles</w:t>
            </w:r>
          </w:p>
          <w:p w14:paraId="02714DEF" w14:textId="77777777" w:rsidR="00F96550" w:rsidRPr="00BB100E" w:rsidRDefault="00F96550" w:rsidP="00DA1242">
            <w:pPr>
              <w:pStyle w:val="ExhibitText"/>
              <w:jc w:val="left"/>
            </w:pPr>
          </w:p>
        </w:tc>
        <w:tc>
          <w:tcPr>
            <w:tcW w:w="4785" w:type="dxa"/>
            <w:vAlign w:val="center"/>
          </w:tcPr>
          <w:p w14:paraId="47E89500" w14:textId="0631E3E9" w:rsidR="00F96550" w:rsidRPr="00BB100E" w:rsidRDefault="00F96550" w:rsidP="00DA1242">
            <w:pPr>
              <w:pStyle w:val="ExhibitText"/>
              <w:jc w:val="left"/>
            </w:pPr>
            <w:r w:rsidRPr="00BB100E">
              <w:t xml:space="preserve">Ceramic </w:t>
            </w:r>
            <w:r w:rsidR="00A9245E">
              <w:t>T</w:t>
            </w:r>
            <w:r w:rsidRPr="00BB100E">
              <w:t>iles</w:t>
            </w:r>
          </w:p>
          <w:p w14:paraId="12A4F8C9" w14:textId="77777777" w:rsidR="00F96550" w:rsidRPr="00BB100E" w:rsidRDefault="00F96550" w:rsidP="00DA1242">
            <w:pPr>
              <w:pStyle w:val="ExhibitText"/>
              <w:jc w:val="left"/>
            </w:pPr>
            <w:proofErr w:type="spellStart"/>
            <w:r w:rsidRPr="00BB100E">
              <w:t>Durastone</w:t>
            </w:r>
            <w:proofErr w:type="spellEnd"/>
          </w:p>
          <w:p w14:paraId="4ADDA2CB" w14:textId="77777777" w:rsidR="00F96550" w:rsidRPr="00BB100E" w:rsidRDefault="00F75F4E" w:rsidP="00DA1242">
            <w:pPr>
              <w:pStyle w:val="ExhibitText"/>
              <w:jc w:val="left"/>
            </w:pPr>
            <w:r>
              <w:t>GVT/</w:t>
            </w:r>
            <w:proofErr w:type="spellStart"/>
            <w:r w:rsidR="00F96550" w:rsidRPr="00BB100E">
              <w:t>Duragres</w:t>
            </w:r>
            <w:proofErr w:type="spellEnd"/>
          </w:p>
          <w:p w14:paraId="40A8F2E6" w14:textId="4301139F" w:rsidR="00F96550" w:rsidRPr="00BB100E" w:rsidRDefault="00F96550" w:rsidP="00DA1242">
            <w:pPr>
              <w:pStyle w:val="ExhibitText"/>
              <w:jc w:val="left"/>
            </w:pPr>
            <w:r w:rsidRPr="00BB100E">
              <w:t xml:space="preserve">Polished </w:t>
            </w:r>
            <w:r w:rsidR="00A9245E">
              <w:t>V</w:t>
            </w:r>
            <w:r w:rsidRPr="00BB100E">
              <w:t xml:space="preserve">itrified    </w:t>
            </w:r>
          </w:p>
          <w:p w14:paraId="33BB177E" w14:textId="77777777" w:rsidR="00F75F4E" w:rsidRDefault="00F75F4E" w:rsidP="00643D07">
            <w:pPr>
              <w:pStyle w:val="ExhibitText"/>
              <w:jc w:val="left"/>
            </w:pPr>
            <w:r>
              <w:t>Slip Shield</w:t>
            </w:r>
          </w:p>
          <w:p w14:paraId="2C7B297D" w14:textId="35B8F072" w:rsidR="00F96550" w:rsidRPr="00BB100E" w:rsidRDefault="00F96550" w:rsidP="00DA1242">
            <w:pPr>
              <w:pStyle w:val="ExhibitText"/>
              <w:jc w:val="left"/>
            </w:pPr>
            <w:r w:rsidRPr="00BB100E">
              <w:t>VC Shield</w:t>
            </w:r>
          </w:p>
        </w:tc>
      </w:tr>
      <w:tr w:rsidR="00F96550" w:rsidRPr="00BB100E" w14:paraId="773DA6DE" w14:textId="77777777" w:rsidTr="00DA1242">
        <w:trPr>
          <w:trHeight w:val="288"/>
          <w:jc w:val="center"/>
        </w:trPr>
        <w:tc>
          <w:tcPr>
            <w:tcW w:w="2695" w:type="dxa"/>
            <w:vAlign w:val="center"/>
          </w:tcPr>
          <w:p w14:paraId="130DE44F" w14:textId="77777777" w:rsidR="00F96550" w:rsidRPr="00BB100E" w:rsidRDefault="00F96550" w:rsidP="00DA1242">
            <w:pPr>
              <w:pStyle w:val="ExhibitText"/>
              <w:jc w:val="left"/>
            </w:pPr>
            <w:r w:rsidRPr="00BB100E">
              <w:t>Wall Tiles</w:t>
            </w:r>
          </w:p>
        </w:tc>
        <w:tc>
          <w:tcPr>
            <w:tcW w:w="4785" w:type="dxa"/>
            <w:vAlign w:val="center"/>
          </w:tcPr>
          <w:p w14:paraId="16FC6C1D" w14:textId="77777777" w:rsidR="00F96550" w:rsidRPr="00BB100E" w:rsidRDefault="00F96550" w:rsidP="00DA1242">
            <w:pPr>
              <w:pStyle w:val="ExhibitText"/>
              <w:jc w:val="left"/>
              <w:rPr>
                <w:bCs/>
              </w:rPr>
            </w:pPr>
            <w:r w:rsidRPr="00BB100E">
              <w:rPr>
                <w:bCs/>
              </w:rPr>
              <w:t>Tiles</w:t>
            </w:r>
          </w:p>
          <w:p w14:paraId="6CCC5DF6" w14:textId="1B5A9A86" w:rsidR="00F96550" w:rsidRPr="00BB100E" w:rsidRDefault="00F96550" w:rsidP="00904483">
            <w:pPr>
              <w:pStyle w:val="ExhibitText"/>
              <w:jc w:val="left"/>
            </w:pPr>
            <w:r w:rsidRPr="00BB100E">
              <w:rPr>
                <w:bCs/>
              </w:rPr>
              <w:t xml:space="preserve">Wall </w:t>
            </w:r>
            <w:r w:rsidR="00A9245E">
              <w:rPr>
                <w:bCs/>
              </w:rPr>
              <w:t>C</w:t>
            </w:r>
            <w:r w:rsidRPr="00BB100E">
              <w:rPr>
                <w:bCs/>
              </w:rPr>
              <w:t>laddings</w:t>
            </w:r>
          </w:p>
        </w:tc>
      </w:tr>
      <w:tr w:rsidR="00F96550" w:rsidRPr="00BB100E" w14:paraId="0565E745" w14:textId="77777777" w:rsidTr="00DA1242">
        <w:trPr>
          <w:trHeight w:val="288"/>
          <w:jc w:val="center"/>
        </w:trPr>
        <w:tc>
          <w:tcPr>
            <w:tcW w:w="2695" w:type="dxa"/>
            <w:vAlign w:val="center"/>
          </w:tcPr>
          <w:p w14:paraId="13378046" w14:textId="12ED0F85" w:rsidR="00F96550" w:rsidRPr="00BB100E" w:rsidRDefault="00F96550" w:rsidP="00DA1242">
            <w:pPr>
              <w:pStyle w:val="ExhibitText"/>
              <w:jc w:val="left"/>
              <w:rPr>
                <w:bCs/>
              </w:rPr>
            </w:pPr>
            <w:r w:rsidRPr="00BB100E">
              <w:rPr>
                <w:bCs/>
              </w:rPr>
              <w:t>C</w:t>
            </w:r>
            <w:r w:rsidR="005669C8">
              <w:rPr>
                <w:bCs/>
              </w:rPr>
              <w:t xml:space="preserve">hrome </w:t>
            </w:r>
            <w:r w:rsidRPr="00BB100E">
              <w:rPr>
                <w:bCs/>
              </w:rPr>
              <w:t>P</w:t>
            </w:r>
            <w:r w:rsidR="005669C8">
              <w:rPr>
                <w:bCs/>
              </w:rPr>
              <w:t>lated</w:t>
            </w:r>
            <w:r w:rsidRPr="00BB100E">
              <w:rPr>
                <w:bCs/>
              </w:rPr>
              <w:t xml:space="preserve"> Fittings</w:t>
            </w:r>
          </w:p>
        </w:tc>
        <w:tc>
          <w:tcPr>
            <w:tcW w:w="4785" w:type="dxa"/>
            <w:vAlign w:val="center"/>
          </w:tcPr>
          <w:p w14:paraId="27B3964F" w14:textId="77777777" w:rsidR="00F96550" w:rsidRPr="00BB100E" w:rsidRDefault="00F96550" w:rsidP="005669C8">
            <w:pPr>
              <w:pStyle w:val="ExhibitText"/>
              <w:jc w:val="left"/>
            </w:pPr>
            <w:r w:rsidRPr="00BB100E">
              <w:t>Accessories</w:t>
            </w:r>
            <w:r w:rsidR="00DC1EBA">
              <w:t xml:space="preserve"> (e.g., towel bars and soap dishes)</w:t>
            </w:r>
          </w:p>
          <w:p w14:paraId="46EFED36" w14:textId="7DE6BF66" w:rsidR="00F96550" w:rsidRDefault="00F96550" w:rsidP="005669C8">
            <w:pPr>
              <w:pStyle w:val="ExhibitText"/>
              <w:jc w:val="left"/>
            </w:pPr>
            <w:r w:rsidRPr="00BB100E">
              <w:t xml:space="preserve">Allied </w:t>
            </w:r>
            <w:r w:rsidR="00A9245E">
              <w:t>P</w:t>
            </w:r>
            <w:r w:rsidRPr="00BB100E">
              <w:t>roducts</w:t>
            </w:r>
            <w:r w:rsidR="00DC1EBA">
              <w:t xml:space="preserve"> (e.g., faucet fittings and drains)</w:t>
            </w:r>
          </w:p>
          <w:p w14:paraId="5340A704" w14:textId="2F9A20FA" w:rsidR="00F96550" w:rsidRPr="00BB100E" w:rsidRDefault="00F96550" w:rsidP="00DA1242">
            <w:pPr>
              <w:pStyle w:val="ExhibitText"/>
              <w:jc w:val="left"/>
            </w:pPr>
            <w:r w:rsidRPr="00BB100E">
              <w:t>Faucets</w:t>
            </w:r>
          </w:p>
          <w:p w14:paraId="7C849570" w14:textId="2C2D4E47" w:rsidR="00F96550" w:rsidRPr="00BB100E" w:rsidRDefault="00F96550" w:rsidP="00DA1242">
            <w:pPr>
              <w:pStyle w:val="ExhibitText"/>
              <w:jc w:val="left"/>
            </w:pPr>
            <w:r w:rsidRPr="00BB100E">
              <w:t>Showers</w:t>
            </w:r>
          </w:p>
        </w:tc>
      </w:tr>
      <w:tr w:rsidR="00F96550" w:rsidRPr="00BB100E" w14:paraId="3F306F33" w14:textId="77777777" w:rsidTr="00DA1242">
        <w:trPr>
          <w:trHeight w:val="288"/>
          <w:jc w:val="center"/>
        </w:trPr>
        <w:tc>
          <w:tcPr>
            <w:tcW w:w="2695" w:type="dxa"/>
            <w:vAlign w:val="center"/>
          </w:tcPr>
          <w:p w14:paraId="7D6C1B03" w14:textId="77777777" w:rsidR="00F96550" w:rsidRPr="00BB100E" w:rsidRDefault="00DC1EBA" w:rsidP="005669C8">
            <w:pPr>
              <w:pStyle w:val="ExhibitText"/>
              <w:jc w:val="left"/>
            </w:pPr>
            <w:proofErr w:type="spellStart"/>
            <w:r>
              <w:t>Sanitaryw</w:t>
            </w:r>
            <w:r w:rsidR="00F96550" w:rsidRPr="00BB100E">
              <w:t>are</w:t>
            </w:r>
            <w:proofErr w:type="spellEnd"/>
          </w:p>
          <w:p w14:paraId="32020AB8" w14:textId="77777777" w:rsidR="00F96550" w:rsidRPr="00BB100E" w:rsidRDefault="00F96550" w:rsidP="00DA1242">
            <w:pPr>
              <w:pStyle w:val="ExhibitText"/>
              <w:jc w:val="left"/>
            </w:pPr>
          </w:p>
        </w:tc>
        <w:tc>
          <w:tcPr>
            <w:tcW w:w="4785" w:type="dxa"/>
            <w:vAlign w:val="center"/>
          </w:tcPr>
          <w:p w14:paraId="5C758DA6" w14:textId="1DC6E2F1" w:rsidR="00DC1EBA" w:rsidRDefault="00DC1EBA" w:rsidP="00643D07">
            <w:pPr>
              <w:pStyle w:val="ExhibitText"/>
              <w:jc w:val="left"/>
            </w:pPr>
            <w:r>
              <w:t>Accessories</w:t>
            </w:r>
            <w:r w:rsidRPr="00BB100E">
              <w:t xml:space="preserve"> </w:t>
            </w:r>
            <w:r>
              <w:t>(e.g.</w:t>
            </w:r>
            <w:r w:rsidR="00A9245E">
              <w:t>,</w:t>
            </w:r>
            <w:r>
              <w:t xml:space="preserve"> seats and covers)</w:t>
            </w:r>
          </w:p>
          <w:p w14:paraId="715514CC" w14:textId="77777777" w:rsidR="00F96550" w:rsidRPr="00BB100E" w:rsidRDefault="00F96550" w:rsidP="00DA1242">
            <w:pPr>
              <w:pStyle w:val="ExhibitText"/>
              <w:jc w:val="left"/>
            </w:pPr>
            <w:r w:rsidRPr="00BB100E">
              <w:t>Basins</w:t>
            </w:r>
          </w:p>
          <w:p w14:paraId="680BD1E4" w14:textId="71FCF1FE" w:rsidR="00F96550" w:rsidRPr="00BB100E" w:rsidRDefault="00F96550" w:rsidP="00DA1242">
            <w:pPr>
              <w:pStyle w:val="ExhibitText"/>
              <w:jc w:val="left"/>
            </w:pPr>
            <w:r w:rsidRPr="00BB100E">
              <w:t>Cabinet Basins</w:t>
            </w:r>
          </w:p>
          <w:p w14:paraId="24C7F492" w14:textId="77777777" w:rsidR="00F96550" w:rsidRPr="00BB100E" w:rsidRDefault="00F96550" w:rsidP="005669C8">
            <w:pPr>
              <w:pStyle w:val="ExhibitText"/>
              <w:jc w:val="left"/>
            </w:pPr>
            <w:r w:rsidRPr="00BB100E">
              <w:t>Cistern</w:t>
            </w:r>
            <w:r w:rsidR="005669C8">
              <w:t>s</w:t>
            </w:r>
          </w:p>
          <w:p w14:paraId="25FE41A8" w14:textId="1208CC36" w:rsidR="00F96550" w:rsidRPr="00BB100E" w:rsidRDefault="00F96550" w:rsidP="00DA1242">
            <w:pPr>
              <w:pStyle w:val="ExhibitText"/>
              <w:jc w:val="left"/>
            </w:pPr>
            <w:r w:rsidRPr="00BB100E">
              <w:t>Toilets</w:t>
            </w:r>
          </w:p>
          <w:p w14:paraId="4FCE7A23" w14:textId="2632D72D" w:rsidR="00F96550" w:rsidRPr="00BB100E" w:rsidRDefault="00F96550" w:rsidP="00DA1242">
            <w:pPr>
              <w:pStyle w:val="ExhibitText"/>
              <w:jc w:val="left"/>
            </w:pPr>
            <w:r w:rsidRPr="00BB100E">
              <w:t>Urinals</w:t>
            </w:r>
            <w:r w:rsidR="00643D07">
              <w:t xml:space="preserve"> </w:t>
            </w:r>
          </w:p>
        </w:tc>
      </w:tr>
      <w:tr w:rsidR="00F96550" w:rsidRPr="00BB100E" w14:paraId="6EB716AA" w14:textId="77777777" w:rsidTr="00DA1242">
        <w:trPr>
          <w:trHeight w:val="288"/>
          <w:jc w:val="center"/>
        </w:trPr>
        <w:tc>
          <w:tcPr>
            <w:tcW w:w="2695" w:type="dxa"/>
            <w:vAlign w:val="center"/>
          </w:tcPr>
          <w:p w14:paraId="4026D33D" w14:textId="0775AEEB" w:rsidR="00F96550" w:rsidRPr="00BB100E" w:rsidRDefault="00DC1EBA" w:rsidP="00DA1242">
            <w:pPr>
              <w:pStyle w:val="ExhibitText"/>
              <w:jc w:val="left"/>
              <w:rPr>
                <w:bCs/>
              </w:rPr>
            </w:pPr>
            <w:r>
              <w:rPr>
                <w:bCs/>
              </w:rPr>
              <w:t xml:space="preserve">Tile </w:t>
            </w:r>
            <w:r w:rsidR="00F96550" w:rsidRPr="00BB100E">
              <w:rPr>
                <w:bCs/>
              </w:rPr>
              <w:t>Laying Solutions</w:t>
            </w:r>
          </w:p>
        </w:tc>
        <w:tc>
          <w:tcPr>
            <w:tcW w:w="4785" w:type="dxa"/>
            <w:vAlign w:val="center"/>
          </w:tcPr>
          <w:p w14:paraId="2C82B197" w14:textId="77777777" w:rsidR="00F96550" w:rsidRPr="00BB100E" w:rsidRDefault="00F96550" w:rsidP="00DA1242">
            <w:pPr>
              <w:pStyle w:val="ExhibitText"/>
              <w:jc w:val="left"/>
              <w:rPr>
                <w:bCs/>
              </w:rPr>
            </w:pPr>
            <w:proofErr w:type="spellStart"/>
            <w:r w:rsidRPr="00BB100E">
              <w:rPr>
                <w:bCs/>
              </w:rPr>
              <w:t>Ezy</w:t>
            </w:r>
            <w:proofErr w:type="spellEnd"/>
            <w:r w:rsidRPr="00BB100E">
              <w:rPr>
                <w:bCs/>
              </w:rPr>
              <w:t xml:space="preserve"> Fix</w:t>
            </w:r>
          </w:p>
          <w:p w14:paraId="29AB19CC" w14:textId="77777777" w:rsidR="00DC1EBA" w:rsidRDefault="00F96550" w:rsidP="00DC1EBA">
            <w:pPr>
              <w:pStyle w:val="ExhibitText"/>
              <w:jc w:val="left"/>
              <w:rPr>
                <w:bCs/>
              </w:rPr>
            </w:pPr>
            <w:proofErr w:type="spellStart"/>
            <w:r w:rsidRPr="00BB100E">
              <w:rPr>
                <w:bCs/>
              </w:rPr>
              <w:t>Ezy</w:t>
            </w:r>
            <w:proofErr w:type="spellEnd"/>
            <w:r w:rsidRPr="00BB100E">
              <w:rPr>
                <w:bCs/>
              </w:rPr>
              <w:t xml:space="preserve"> Grout</w:t>
            </w:r>
          </w:p>
          <w:p w14:paraId="356E9782" w14:textId="631EF712" w:rsidR="00F96550" w:rsidRPr="00BB100E" w:rsidRDefault="00F96550" w:rsidP="00DA1242">
            <w:pPr>
              <w:pStyle w:val="ExhibitText"/>
              <w:jc w:val="left"/>
            </w:pPr>
            <w:r w:rsidRPr="00BB100E">
              <w:rPr>
                <w:bCs/>
              </w:rPr>
              <w:t>Tile Master</w:t>
            </w:r>
          </w:p>
        </w:tc>
      </w:tr>
    </w:tbl>
    <w:p w14:paraId="00ED59B1" w14:textId="77777777" w:rsidR="00F96550" w:rsidRPr="00DA1242" w:rsidRDefault="00F96550" w:rsidP="00DA1242">
      <w:pPr>
        <w:pStyle w:val="ExhibitText"/>
      </w:pPr>
    </w:p>
    <w:p w14:paraId="3F7F3607" w14:textId="7EBC88E2" w:rsidR="0083320F" w:rsidRDefault="0083320F" w:rsidP="00DA1242">
      <w:pPr>
        <w:pStyle w:val="Footnote"/>
        <w:outlineLvl w:val="0"/>
      </w:pPr>
      <w:r>
        <w:t xml:space="preserve">Note: GVT = Glazed Vitrified </w:t>
      </w:r>
      <w:proofErr w:type="gramStart"/>
      <w:r>
        <w:t>Tiles.;</w:t>
      </w:r>
      <w:proofErr w:type="gramEnd"/>
      <w:r>
        <w:t xml:space="preserve"> VC = Veil Craft. </w:t>
      </w:r>
    </w:p>
    <w:p w14:paraId="6F610C6D" w14:textId="0E48810D" w:rsidR="00F96550" w:rsidRDefault="00F96550" w:rsidP="00DA1242">
      <w:pPr>
        <w:pStyle w:val="Footnote"/>
        <w:outlineLvl w:val="0"/>
      </w:pPr>
      <w:r w:rsidRPr="00F96550">
        <w:t>Source:</w:t>
      </w:r>
      <w:r w:rsidRPr="00BB100E">
        <w:rPr>
          <w:rFonts w:ascii="Times New Roman" w:hAnsi="Times New Roman" w:cs="Times New Roman"/>
        </w:rPr>
        <w:t xml:space="preserve"> </w:t>
      </w:r>
      <w:r>
        <w:t xml:space="preserve">Company documents. </w:t>
      </w:r>
    </w:p>
    <w:p w14:paraId="7926A309" w14:textId="77777777" w:rsidR="00F96550" w:rsidRPr="00BB100E" w:rsidRDefault="00F96550" w:rsidP="00DA1242">
      <w:pPr>
        <w:pStyle w:val="ExhibitText"/>
      </w:pPr>
    </w:p>
    <w:p w14:paraId="5A4990C5" w14:textId="77777777" w:rsidR="00F96550" w:rsidRPr="00BB100E" w:rsidRDefault="00F96550" w:rsidP="00DA1242">
      <w:pPr>
        <w:pStyle w:val="ExhibitText"/>
        <w:rPr>
          <w:b/>
          <w:sz w:val="24"/>
          <w:szCs w:val="24"/>
        </w:rPr>
      </w:pPr>
    </w:p>
    <w:p w14:paraId="5343C330" w14:textId="396D4C4E" w:rsidR="00F96550" w:rsidRPr="00BB100E" w:rsidRDefault="00F96550" w:rsidP="00DA1242">
      <w:pPr>
        <w:pStyle w:val="ExhibitHeading"/>
        <w:outlineLvl w:val="0"/>
      </w:pPr>
      <w:r>
        <w:t>EXHIBIT 2</w:t>
      </w:r>
      <w:r w:rsidRPr="00BB100E">
        <w:t xml:space="preserve">: </w:t>
      </w:r>
      <w:r w:rsidR="005669C8">
        <w:t>Somany Ceramics Limited, Workforce (</w:t>
      </w:r>
      <w:r w:rsidRPr="00BB100E">
        <w:t>2016</w:t>
      </w:r>
      <w:r w:rsidR="005669C8">
        <w:t>)</w:t>
      </w:r>
    </w:p>
    <w:p w14:paraId="69A3D84F" w14:textId="77777777" w:rsidR="00F96550" w:rsidRPr="00BB100E" w:rsidRDefault="00F96550" w:rsidP="00F96550">
      <w:pPr>
        <w:jc w:val="center"/>
        <w:rPr>
          <w:b/>
          <w:bCs/>
          <w:sz w:val="24"/>
          <w:szCs w:val="24"/>
        </w:rPr>
      </w:pP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4"/>
        <w:gridCol w:w="1196"/>
      </w:tblGrid>
      <w:tr w:rsidR="00F96550" w:rsidRPr="00BB100E" w14:paraId="0D077406" w14:textId="77777777" w:rsidTr="00DA1242">
        <w:trPr>
          <w:trHeight w:val="360"/>
          <w:jc w:val="center"/>
        </w:trPr>
        <w:tc>
          <w:tcPr>
            <w:tcW w:w="4245" w:type="dxa"/>
            <w:shd w:val="clear" w:color="auto" w:fill="auto"/>
            <w:noWrap/>
            <w:vAlign w:val="center"/>
          </w:tcPr>
          <w:p w14:paraId="4DAE40AA" w14:textId="77777777" w:rsidR="00F96550" w:rsidRPr="00DA1242" w:rsidRDefault="00F96550" w:rsidP="005954B6">
            <w:pPr>
              <w:pStyle w:val="ExhibitText"/>
              <w:jc w:val="center"/>
              <w:rPr>
                <w:b/>
              </w:rPr>
            </w:pPr>
            <w:r w:rsidRPr="00DA1242">
              <w:rPr>
                <w:b/>
              </w:rPr>
              <w:t>Employment Mode</w:t>
            </w:r>
          </w:p>
        </w:tc>
        <w:tc>
          <w:tcPr>
            <w:tcW w:w="1150" w:type="dxa"/>
            <w:shd w:val="clear" w:color="auto" w:fill="auto"/>
            <w:noWrap/>
            <w:vAlign w:val="center"/>
          </w:tcPr>
          <w:p w14:paraId="30F39E2A" w14:textId="77777777" w:rsidR="00F96550" w:rsidRPr="00DA1242" w:rsidRDefault="00F96550" w:rsidP="00904483">
            <w:pPr>
              <w:pStyle w:val="ExhibitText"/>
              <w:jc w:val="center"/>
              <w:rPr>
                <w:b/>
              </w:rPr>
            </w:pPr>
            <w:r w:rsidRPr="00DA1242">
              <w:rPr>
                <w:b/>
              </w:rPr>
              <w:t>Number</w:t>
            </w:r>
          </w:p>
        </w:tc>
      </w:tr>
      <w:tr w:rsidR="00F96550" w:rsidRPr="00BB100E" w14:paraId="55C8FCB6" w14:textId="77777777" w:rsidTr="00DA1242">
        <w:trPr>
          <w:trHeight w:val="360"/>
          <w:jc w:val="center"/>
        </w:trPr>
        <w:tc>
          <w:tcPr>
            <w:tcW w:w="4245" w:type="dxa"/>
            <w:shd w:val="clear" w:color="auto" w:fill="auto"/>
            <w:noWrap/>
            <w:vAlign w:val="center"/>
          </w:tcPr>
          <w:p w14:paraId="71FAB795" w14:textId="11C870A5" w:rsidR="00F96550" w:rsidRPr="00BB100E" w:rsidRDefault="00F96550" w:rsidP="00DA1242">
            <w:pPr>
              <w:pStyle w:val="ExhibitText"/>
              <w:jc w:val="left"/>
            </w:pPr>
            <w:r w:rsidRPr="00BB100E">
              <w:t>Staff (</w:t>
            </w:r>
            <w:r w:rsidR="005669C8">
              <w:t>c</w:t>
            </w:r>
            <w:r w:rsidRPr="00BB100E">
              <w:t xml:space="preserve">ompany roll + </w:t>
            </w:r>
            <w:r w:rsidR="005669C8">
              <w:t>o</w:t>
            </w:r>
            <w:r w:rsidRPr="00BB100E">
              <w:t>utsourced)</w:t>
            </w:r>
          </w:p>
        </w:tc>
        <w:tc>
          <w:tcPr>
            <w:tcW w:w="1150" w:type="dxa"/>
            <w:shd w:val="clear" w:color="auto" w:fill="auto"/>
            <w:noWrap/>
            <w:vAlign w:val="center"/>
          </w:tcPr>
          <w:p w14:paraId="3A61D22E" w14:textId="77777777" w:rsidR="00F96550" w:rsidRPr="00BB100E" w:rsidRDefault="00F96550" w:rsidP="00DA1242">
            <w:pPr>
              <w:pStyle w:val="ExhibitText"/>
              <w:ind w:right="144"/>
              <w:jc w:val="right"/>
            </w:pPr>
            <w:r w:rsidRPr="00BB100E">
              <w:t>432</w:t>
            </w:r>
          </w:p>
        </w:tc>
      </w:tr>
      <w:tr w:rsidR="00F96550" w:rsidRPr="00BB100E" w14:paraId="30E60E51" w14:textId="77777777" w:rsidTr="00DA1242">
        <w:trPr>
          <w:trHeight w:val="360"/>
          <w:jc w:val="center"/>
        </w:trPr>
        <w:tc>
          <w:tcPr>
            <w:tcW w:w="4245" w:type="dxa"/>
            <w:shd w:val="clear" w:color="auto" w:fill="auto"/>
            <w:noWrap/>
            <w:vAlign w:val="center"/>
            <w:hideMark/>
          </w:tcPr>
          <w:p w14:paraId="1A93AF55" w14:textId="51962EF3" w:rsidR="00F96550" w:rsidRPr="00BB100E" w:rsidRDefault="00F96550" w:rsidP="00DA1242">
            <w:pPr>
              <w:pStyle w:val="ExhibitText"/>
              <w:jc w:val="left"/>
            </w:pPr>
            <w:r w:rsidRPr="00BB100E">
              <w:t xml:space="preserve">Permanent </w:t>
            </w:r>
            <w:r w:rsidR="005669C8">
              <w:t>w</w:t>
            </w:r>
            <w:r w:rsidRPr="00BB100E">
              <w:t>orkers</w:t>
            </w:r>
          </w:p>
        </w:tc>
        <w:tc>
          <w:tcPr>
            <w:tcW w:w="1150" w:type="dxa"/>
            <w:shd w:val="clear" w:color="auto" w:fill="auto"/>
            <w:noWrap/>
            <w:vAlign w:val="center"/>
          </w:tcPr>
          <w:p w14:paraId="2EBA01DC" w14:textId="77777777" w:rsidR="00F96550" w:rsidRPr="00BB100E" w:rsidRDefault="00F96550" w:rsidP="00DA1242">
            <w:pPr>
              <w:pStyle w:val="ExhibitText"/>
              <w:ind w:right="144"/>
              <w:jc w:val="right"/>
            </w:pPr>
            <w:r w:rsidRPr="00BB100E">
              <w:t>492</w:t>
            </w:r>
          </w:p>
        </w:tc>
      </w:tr>
      <w:tr w:rsidR="00F96550" w:rsidRPr="00BB100E" w14:paraId="39D9D59D" w14:textId="77777777" w:rsidTr="00DA1242">
        <w:trPr>
          <w:trHeight w:val="360"/>
          <w:jc w:val="center"/>
        </w:trPr>
        <w:tc>
          <w:tcPr>
            <w:tcW w:w="4245" w:type="dxa"/>
            <w:shd w:val="clear" w:color="auto" w:fill="auto"/>
            <w:noWrap/>
            <w:vAlign w:val="center"/>
          </w:tcPr>
          <w:p w14:paraId="04C01884" w14:textId="77777777" w:rsidR="00F96550" w:rsidRPr="00BB100E" w:rsidRDefault="00F96550" w:rsidP="00DA1242">
            <w:pPr>
              <w:pStyle w:val="ExhibitText"/>
              <w:jc w:val="left"/>
            </w:pPr>
            <w:r w:rsidRPr="00BB100E">
              <w:t>Outsourced workers</w:t>
            </w:r>
          </w:p>
        </w:tc>
        <w:tc>
          <w:tcPr>
            <w:tcW w:w="1150" w:type="dxa"/>
            <w:shd w:val="clear" w:color="auto" w:fill="auto"/>
            <w:noWrap/>
            <w:vAlign w:val="center"/>
          </w:tcPr>
          <w:p w14:paraId="58792052" w14:textId="77777777" w:rsidR="00F96550" w:rsidRPr="00BB100E" w:rsidRDefault="00F96550" w:rsidP="00DA1242">
            <w:pPr>
              <w:pStyle w:val="ExhibitText"/>
              <w:ind w:right="144"/>
              <w:jc w:val="right"/>
            </w:pPr>
            <w:r w:rsidRPr="00BB100E">
              <w:t>0</w:t>
            </w:r>
          </w:p>
        </w:tc>
      </w:tr>
      <w:tr w:rsidR="00F96550" w:rsidRPr="00BB100E" w14:paraId="7982067B" w14:textId="77777777" w:rsidTr="00DA1242">
        <w:trPr>
          <w:trHeight w:val="360"/>
          <w:jc w:val="center"/>
        </w:trPr>
        <w:tc>
          <w:tcPr>
            <w:tcW w:w="4245" w:type="dxa"/>
            <w:shd w:val="clear" w:color="auto" w:fill="auto"/>
            <w:noWrap/>
            <w:vAlign w:val="center"/>
            <w:hideMark/>
          </w:tcPr>
          <w:p w14:paraId="74E4AA1E" w14:textId="09940549" w:rsidR="00F96550" w:rsidRPr="00BB100E" w:rsidRDefault="00F96550" w:rsidP="00DA1242">
            <w:pPr>
              <w:pStyle w:val="ExhibitText"/>
              <w:jc w:val="left"/>
            </w:pPr>
            <w:r w:rsidRPr="00BB100E">
              <w:t xml:space="preserve">Contractual </w:t>
            </w:r>
            <w:r w:rsidR="005669C8">
              <w:t>w</w:t>
            </w:r>
            <w:r w:rsidRPr="00BB100E">
              <w:t>orkers</w:t>
            </w:r>
          </w:p>
        </w:tc>
        <w:tc>
          <w:tcPr>
            <w:tcW w:w="1150" w:type="dxa"/>
            <w:shd w:val="clear" w:color="auto" w:fill="auto"/>
            <w:noWrap/>
            <w:vAlign w:val="center"/>
          </w:tcPr>
          <w:p w14:paraId="035F490C" w14:textId="77777777" w:rsidR="00F96550" w:rsidRPr="00BB100E" w:rsidRDefault="00F96550" w:rsidP="00DA1242">
            <w:pPr>
              <w:pStyle w:val="ExhibitText"/>
              <w:ind w:right="144"/>
              <w:jc w:val="right"/>
            </w:pPr>
            <w:r w:rsidRPr="00BB100E">
              <w:t>880</w:t>
            </w:r>
          </w:p>
        </w:tc>
      </w:tr>
      <w:tr w:rsidR="00F96550" w:rsidRPr="00BB100E" w14:paraId="166F683E" w14:textId="77777777" w:rsidTr="00DA1242">
        <w:trPr>
          <w:trHeight w:val="360"/>
          <w:jc w:val="center"/>
        </w:trPr>
        <w:tc>
          <w:tcPr>
            <w:tcW w:w="4245" w:type="dxa"/>
            <w:shd w:val="clear" w:color="auto" w:fill="auto"/>
            <w:noWrap/>
            <w:vAlign w:val="center"/>
            <w:hideMark/>
          </w:tcPr>
          <w:p w14:paraId="0C3F9493" w14:textId="0E9B6F4E" w:rsidR="00F96550" w:rsidRPr="00BB100E" w:rsidRDefault="00F96550" w:rsidP="00DA1242">
            <w:pPr>
              <w:pStyle w:val="ExhibitText"/>
              <w:jc w:val="left"/>
            </w:pPr>
            <w:r w:rsidRPr="00BB100E">
              <w:t xml:space="preserve">Casual </w:t>
            </w:r>
            <w:r w:rsidR="005669C8">
              <w:t>w</w:t>
            </w:r>
            <w:r w:rsidRPr="00BB100E">
              <w:t>orker</w:t>
            </w:r>
            <w:r w:rsidR="005669C8">
              <w:t>s</w:t>
            </w:r>
          </w:p>
        </w:tc>
        <w:tc>
          <w:tcPr>
            <w:tcW w:w="1150" w:type="dxa"/>
            <w:shd w:val="clear" w:color="auto" w:fill="auto"/>
            <w:noWrap/>
            <w:vAlign w:val="center"/>
          </w:tcPr>
          <w:p w14:paraId="7E33707D" w14:textId="77777777" w:rsidR="00F96550" w:rsidRPr="00BB100E" w:rsidRDefault="00F96550" w:rsidP="00DA1242">
            <w:pPr>
              <w:pStyle w:val="ExhibitText"/>
              <w:ind w:right="144"/>
              <w:jc w:val="right"/>
            </w:pPr>
            <w:r w:rsidRPr="00BB100E">
              <w:t>326</w:t>
            </w:r>
          </w:p>
        </w:tc>
      </w:tr>
      <w:tr w:rsidR="00F96550" w:rsidRPr="00BB100E" w14:paraId="28F6B853" w14:textId="77777777" w:rsidTr="00DA1242">
        <w:trPr>
          <w:trHeight w:val="360"/>
          <w:jc w:val="center"/>
        </w:trPr>
        <w:tc>
          <w:tcPr>
            <w:tcW w:w="4245" w:type="dxa"/>
            <w:shd w:val="clear" w:color="auto" w:fill="auto"/>
            <w:noWrap/>
            <w:vAlign w:val="center"/>
            <w:hideMark/>
          </w:tcPr>
          <w:p w14:paraId="4AFEDDAD" w14:textId="1B9D3C67" w:rsidR="00F96550" w:rsidRPr="00DA1242" w:rsidRDefault="00F96550" w:rsidP="00DA1242">
            <w:pPr>
              <w:pStyle w:val="ExhibitText"/>
              <w:jc w:val="left"/>
              <w:rPr>
                <w:b/>
              </w:rPr>
            </w:pPr>
            <w:r w:rsidRPr="00DA1242">
              <w:rPr>
                <w:b/>
              </w:rPr>
              <w:t xml:space="preserve">Total </w:t>
            </w:r>
            <w:r w:rsidR="005669C8" w:rsidRPr="00E330B1">
              <w:rPr>
                <w:b/>
              </w:rPr>
              <w:t>workforce</w:t>
            </w:r>
            <w:r w:rsidRPr="00DA1242">
              <w:rPr>
                <w:b/>
              </w:rPr>
              <w:t xml:space="preserve"> in </w:t>
            </w:r>
            <w:r w:rsidR="005669C8" w:rsidRPr="00E330B1">
              <w:rPr>
                <w:b/>
              </w:rPr>
              <w:t>both p</w:t>
            </w:r>
            <w:r w:rsidRPr="00E330B1">
              <w:rPr>
                <w:b/>
              </w:rPr>
              <w:t>lants</w:t>
            </w:r>
          </w:p>
        </w:tc>
        <w:tc>
          <w:tcPr>
            <w:tcW w:w="1150" w:type="dxa"/>
            <w:shd w:val="clear" w:color="auto" w:fill="auto"/>
            <w:noWrap/>
            <w:vAlign w:val="center"/>
          </w:tcPr>
          <w:p w14:paraId="2E8B16CE" w14:textId="77777777" w:rsidR="00F96550" w:rsidRPr="00DA1242" w:rsidRDefault="00F96550" w:rsidP="00DA1242">
            <w:pPr>
              <w:pStyle w:val="ExhibitText"/>
              <w:ind w:right="144"/>
              <w:jc w:val="right"/>
              <w:rPr>
                <w:b/>
              </w:rPr>
            </w:pPr>
            <w:r w:rsidRPr="00DA1242">
              <w:rPr>
                <w:b/>
              </w:rPr>
              <w:t>2,130</w:t>
            </w:r>
          </w:p>
        </w:tc>
      </w:tr>
    </w:tbl>
    <w:p w14:paraId="1C0A19AD" w14:textId="77777777" w:rsidR="00F96550" w:rsidRDefault="00F96550" w:rsidP="00F96550">
      <w:pPr>
        <w:ind w:left="360" w:hanging="360"/>
        <w:jc w:val="center"/>
        <w:rPr>
          <w:sz w:val="16"/>
          <w:szCs w:val="16"/>
          <w:shd w:val="clear" w:color="auto" w:fill="FFFFFF"/>
        </w:rPr>
      </w:pPr>
    </w:p>
    <w:p w14:paraId="4A87CD4D" w14:textId="77777777" w:rsidR="00F96550" w:rsidRPr="00BB100E" w:rsidRDefault="00F96550" w:rsidP="00F96550">
      <w:pPr>
        <w:pStyle w:val="Footnote"/>
        <w:rPr>
          <w:rFonts w:ascii="Times New Roman" w:hAnsi="Times New Roman" w:cs="Times New Roman"/>
          <w:shd w:val="clear" w:color="auto" w:fill="FFFFFF"/>
        </w:rPr>
      </w:pPr>
      <w:r w:rsidRPr="00BB100E">
        <w:rPr>
          <w:rFonts w:ascii="Times New Roman" w:hAnsi="Times New Roman" w:cs="Times New Roman"/>
          <w:shd w:val="clear" w:color="auto" w:fill="FFFFFF"/>
        </w:rPr>
        <w:t xml:space="preserve">Source: </w:t>
      </w:r>
      <w:r>
        <w:rPr>
          <w:shd w:val="clear" w:color="auto" w:fill="FFFFFF"/>
        </w:rPr>
        <w:t>Company documents.</w:t>
      </w:r>
    </w:p>
    <w:p w14:paraId="56DBD970" w14:textId="77777777" w:rsidR="00F96550" w:rsidRPr="00BB100E" w:rsidRDefault="00F96550" w:rsidP="00F96550">
      <w:pPr>
        <w:ind w:left="360" w:hanging="360"/>
        <w:jc w:val="center"/>
        <w:rPr>
          <w:sz w:val="16"/>
          <w:szCs w:val="16"/>
          <w:shd w:val="clear" w:color="auto" w:fill="FFFFFF"/>
        </w:rPr>
      </w:pPr>
      <w:r w:rsidRPr="00BB100E">
        <w:rPr>
          <w:sz w:val="16"/>
          <w:szCs w:val="16"/>
          <w:shd w:val="clear" w:color="auto" w:fill="FFFFFF"/>
        </w:rPr>
        <w:br w:type="page"/>
      </w:r>
    </w:p>
    <w:p w14:paraId="4B318F0E" w14:textId="28F45BB6" w:rsidR="00F96550" w:rsidRDefault="00F96550" w:rsidP="00DA1242">
      <w:pPr>
        <w:pStyle w:val="ExhibitHeading"/>
        <w:outlineLvl w:val="0"/>
      </w:pPr>
      <w:r>
        <w:lastRenderedPageBreak/>
        <w:t>EXHIBIT</w:t>
      </w:r>
      <w:r w:rsidRPr="00BB100E">
        <w:t xml:space="preserve"> 3: Major </w:t>
      </w:r>
      <w:r w:rsidR="009B54BA">
        <w:t>Companies</w:t>
      </w:r>
      <w:r w:rsidRPr="00BB100E">
        <w:t xml:space="preserve"> in the Ceramics Industry</w:t>
      </w:r>
      <w:r w:rsidR="009B54BA">
        <w:t>,</w:t>
      </w:r>
      <w:r w:rsidRPr="00BB100E">
        <w:t xml:space="preserve"> India</w:t>
      </w:r>
    </w:p>
    <w:p w14:paraId="4749DF1B" w14:textId="77777777" w:rsidR="00F96550" w:rsidRPr="00BB100E" w:rsidRDefault="00F96550" w:rsidP="00F96550">
      <w:pPr>
        <w:jc w:val="center"/>
        <w:rPr>
          <w:b/>
          <w:sz w:val="24"/>
          <w:szCs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5"/>
        <w:gridCol w:w="3960"/>
        <w:gridCol w:w="630"/>
        <w:gridCol w:w="4135"/>
      </w:tblGrid>
      <w:tr w:rsidR="00F96550" w:rsidRPr="00BB100E" w14:paraId="35E8E8B6" w14:textId="77777777" w:rsidTr="00DA1242">
        <w:trPr>
          <w:trHeight w:val="360"/>
          <w:jc w:val="center"/>
        </w:trPr>
        <w:tc>
          <w:tcPr>
            <w:tcW w:w="625" w:type="dxa"/>
            <w:vAlign w:val="center"/>
          </w:tcPr>
          <w:p w14:paraId="7800F289" w14:textId="416F1615" w:rsidR="00F96550" w:rsidRPr="00DA1242" w:rsidRDefault="00F96550" w:rsidP="00904483">
            <w:pPr>
              <w:pStyle w:val="ExhibitText"/>
              <w:jc w:val="center"/>
              <w:rPr>
                <w:b/>
              </w:rPr>
            </w:pPr>
            <w:r w:rsidRPr="00DA1242">
              <w:rPr>
                <w:b/>
              </w:rPr>
              <w:t>No.</w:t>
            </w:r>
          </w:p>
        </w:tc>
        <w:tc>
          <w:tcPr>
            <w:tcW w:w="3960" w:type="dxa"/>
            <w:vAlign w:val="center"/>
          </w:tcPr>
          <w:p w14:paraId="576568E8" w14:textId="77777777" w:rsidR="00F96550" w:rsidRPr="00DA1242" w:rsidRDefault="00F96550" w:rsidP="005954B6">
            <w:pPr>
              <w:pStyle w:val="ExhibitText"/>
              <w:jc w:val="center"/>
              <w:rPr>
                <w:b/>
              </w:rPr>
            </w:pPr>
            <w:r w:rsidRPr="00DA1242">
              <w:rPr>
                <w:b/>
              </w:rPr>
              <w:t>Company Name</w:t>
            </w:r>
          </w:p>
        </w:tc>
        <w:tc>
          <w:tcPr>
            <w:tcW w:w="630" w:type="dxa"/>
            <w:vAlign w:val="center"/>
          </w:tcPr>
          <w:p w14:paraId="68765EED" w14:textId="5DAEE99C" w:rsidR="00F96550" w:rsidRPr="00DA1242" w:rsidRDefault="00F96550" w:rsidP="00904483">
            <w:pPr>
              <w:pStyle w:val="ExhibitText"/>
              <w:jc w:val="center"/>
              <w:rPr>
                <w:b/>
              </w:rPr>
            </w:pPr>
            <w:r w:rsidRPr="00DA1242">
              <w:rPr>
                <w:b/>
              </w:rPr>
              <w:t>No.</w:t>
            </w:r>
          </w:p>
        </w:tc>
        <w:tc>
          <w:tcPr>
            <w:tcW w:w="4135" w:type="dxa"/>
            <w:vAlign w:val="center"/>
          </w:tcPr>
          <w:p w14:paraId="2024915A" w14:textId="77777777" w:rsidR="00F96550" w:rsidRPr="00DA1242" w:rsidRDefault="00F96550" w:rsidP="005954B6">
            <w:pPr>
              <w:pStyle w:val="ExhibitText"/>
              <w:jc w:val="center"/>
              <w:rPr>
                <w:b/>
              </w:rPr>
            </w:pPr>
            <w:r w:rsidRPr="00DA1242">
              <w:rPr>
                <w:b/>
              </w:rPr>
              <w:t>Company Name</w:t>
            </w:r>
          </w:p>
        </w:tc>
      </w:tr>
      <w:tr w:rsidR="00F96550" w:rsidRPr="00BB100E" w14:paraId="55C94654" w14:textId="77777777" w:rsidTr="00DA1242">
        <w:trPr>
          <w:trHeight w:val="360"/>
          <w:jc w:val="center"/>
        </w:trPr>
        <w:tc>
          <w:tcPr>
            <w:tcW w:w="625" w:type="dxa"/>
            <w:vAlign w:val="center"/>
          </w:tcPr>
          <w:p w14:paraId="43345EBD" w14:textId="77777777" w:rsidR="00F96550" w:rsidRPr="00BB100E" w:rsidRDefault="00F96550" w:rsidP="00DA1242">
            <w:pPr>
              <w:pStyle w:val="ExhibitText"/>
              <w:ind w:right="72"/>
              <w:jc w:val="right"/>
            </w:pPr>
            <w:r w:rsidRPr="00BB100E">
              <w:t>1</w:t>
            </w:r>
          </w:p>
        </w:tc>
        <w:tc>
          <w:tcPr>
            <w:tcW w:w="3960" w:type="dxa"/>
            <w:vAlign w:val="center"/>
          </w:tcPr>
          <w:p w14:paraId="4B236395" w14:textId="1A44F88A" w:rsidR="00F96550" w:rsidRPr="00BB100E" w:rsidRDefault="00CD27D1" w:rsidP="00DA1242">
            <w:pPr>
              <w:pStyle w:val="ExhibitText"/>
              <w:jc w:val="left"/>
            </w:pPr>
            <w:proofErr w:type="spellStart"/>
            <w:r>
              <w:t>Aro</w:t>
            </w:r>
            <w:proofErr w:type="spellEnd"/>
            <w:r>
              <w:t xml:space="preserve"> Granite</w:t>
            </w:r>
          </w:p>
        </w:tc>
        <w:tc>
          <w:tcPr>
            <w:tcW w:w="630" w:type="dxa"/>
            <w:vAlign w:val="center"/>
          </w:tcPr>
          <w:p w14:paraId="27B02CB0" w14:textId="77777777" w:rsidR="00F96550" w:rsidRPr="00BB100E" w:rsidRDefault="00F96550" w:rsidP="00DA1242">
            <w:pPr>
              <w:pStyle w:val="ExhibitText"/>
              <w:ind w:right="72"/>
              <w:jc w:val="right"/>
            </w:pPr>
            <w:r w:rsidRPr="00BB100E">
              <w:t>16</w:t>
            </w:r>
          </w:p>
        </w:tc>
        <w:tc>
          <w:tcPr>
            <w:tcW w:w="4135" w:type="dxa"/>
            <w:vAlign w:val="center"/>
          </w:tcPr>
          <w:p w14:paraId="2CAF2272" w14:textId="51AA10F9" w:rsidR="00F96550" w:rsidRPr="00BB100E" w:rsidRDefault="00F96550" w:rsidP="00DA1242">
            <w:pPr>
              <w:pStyle w:val="ExhibitText"/>
              <w:jc w:val="left"/>
            </w:pPr>
            <w:proofErr w:type="spellStart"/>
            <w:r w:rsidRPr="00BB100E">
              <w:t>Neelkanth</w:t>
            </w:r>
            <w:proofErr w:type="spellEnd"/>
            <w:r w:rsidRPr="00BB100E">
              <w:t xml:space="preserve"> Rock</w:t>
            </w:r>
            <w:r w:rsidR="00CD27D1">
              <w:t xml:space="preserve"> Minerals Ltd.</w:t>
            </w:r>
          </w:p>
        </w:tc>
      </w:tr>
      <w:tr w:rsidR="00F96550" w:rsidRPr="00BB100E" w14:paraId="5E1D30B3" w14:textId="77777777" w:rsidTr="00DA1242">
        <w:trPr>
          <w:trHeight w:val="360"/>
          <w:jc w:val="center"/>
        </w:trPr>
        <w:tc>
          <w:tcPr>
            <w:tcW w:w="625" w:type="dxa"/>
            <w:vAlign w:val="center"/>
          </w:tcPr>
          <w:p w14:paraId="259BF955" w14:textId="77777777" w:rsidR="00F96550" w:rsidRPr="00BB100E" w:rsidRDefault="00F96550" w:rsidP="00DA1242">
            <w:pPr>
              <w:pStyle w:val="ExhibitText"/>
              <w:ind w:right="72"/>
              <w:jc w:val="right"/>
            </w:pPr>
            <w:r w:rsidRPr="00BB100E">
              <w:t>2</w:t>
            </w:r>
          </w:p>
        </w:tc>
        <w:tc>
          <w:tcPr>
            <w:tcW w:w="3960" w:type="dxa"/>
            <w:vAlign w:val="center"/>
          </w:tcPr>
          <w:p w14:paraId="6BB8EC2C" w14:textId="62FF8B11" w:rsidR="00F96550" w:rsidRPr="00BB100E" w:rsidRDefault="00F96550" w:rsidP="00DA1242">
            <w:pPr>
              <w:pStyle w:val="ExhibitText"/>
              <w:jc w:val="left"/>
            </w:pPr>
            <w:r w:rsidRPr="00BB100E">
              <w:t xml:space="preserve">Asian </w:t>
            </w:r>
            <w:proofErr w:type="spellStart"/>
            <w:r w:rsidRPr="00BB100E">
              <w:t>Granito</w:t>
            </w:r>
            <w:proofErr w:type="spellEnd"/>
            <w:r w:rsidR="00CD27D1">
              <w:t xml:space="preserve"> India Ltd.</w:t>
            </w:r>
          </w:p>
        </w:tc>
        <w:tc>
          <w:tcPr>
            <w:tcW w:w="630" w:type="dxa"/>
            <w:vAlign w:val="center"/>
          </w:tcPr>
          <w:p w14:paraId="304939F7" w14:textId="77777777" w:rsidR="00F96550" w:rsidRPr="00BB100E" w:rsidRDefault="00F96550" w:rsidP="00DA1242">
            <w:pPr>
              <w:pStyle w:val="ExhibitText"/>
              <w:ind w:right="72"/>
              <w:jc w:val="right"/>
            </w:pPr>
            <w:r w:rsidRPr="00BB100E">
              <w:t>17</w:t>
            </w:r>
          </w:p>
        </w:tc>
        <w:tc>
          <w:tcPr>
            <w:tcW w:w="4135" w:type="dxa"/>
            <w:vAlign w:val="center"/>
          </w:tcPr>
          <w:p w14:paraId="04417474" w14:textId="46EF71F7" w:rsidR="00F96550" w:rsidRPr="00BB100E" w:rsidRDefault="00F96550" w:rsidP="00DA1242">
            <w:pPr>
              <w:pStyle w:val="ExhibitText"/>
              <w:jc w:val="left"/>
            </w:pPr>
            <w:proofErr w:type="spellStart"/>
            <w:r w:rsidRPr="00BB100E">
              <w:t>Nitco</w:t>
            </w:r>
            <w:proofErr w:type="spellEnd"/>
            <w:r w:rsidR="00CD27D1">
              <w:t xml:space="preserve"> Ltd.</w:t>
            </w:r>
          </w:p>
        </w:tc>
      </w:tr>
      <w:tr w:rsidR="00F96550" w:rsidRPr="00BB100E" w14:paraId="14953A6A" w14:textId="77777777" w:rsidTr="00DA1242">
        <w:trPr>
          <w:trHeight w:val="360"/>
          <w:jc w:val="center"/>
        </w:trPr>
        <w:tc>
          <w:tcPr>
            <w:tcW w:w="625" w:type="dxa"/>
            <w:vAlign w:val="center"/>
          </w:tcPr>
          <w:p w14:paraId="20E22376" w14:textId="77777777" w:rsidR="00F96550" w:rsidRPr="00BB100E" w:rsidRDefault="00F96550" w:rsidP="00DA1242">
            <w:pPr>
              <w:pStyle w:val="ExhibitText"/>
              <w:ind w:right="72"/>
              <w:jc w:val="right"/>
            </w:pPr>
            <w:r w:rsidRPr="00BB100E">
              <w:t>3</w:t>
            </w:r>
          </w:p>
        </w:tc>
        <w:tc>
          <w:tcPr>
            <w:tcW w:w="3960" w:type="dxa"/>
            <w:vAlign w:val="center"/>
          </w:tcPr>
          <w:p w14:paraId="1E7736F1" w14:textId="0086E937" w:rsidR="00F96550" w:rsidRPr="00BB100E" w:rsidRDefault="00CD27D1" w:rsidP="00DA1242">
            <w:pPr>
              <w:pStyle w:val="ExhibitText"/>
              <w:jc w:val="left"/>
            </w:pPr>
            <w:proofErr w:type="spellStart"/>
            <w:r w:rsidRPr="00BB100E">
              <w:t>Cera</w:t>
            </w:r>
            <w:proofErr w:type="spellEnd"/>
            <w:r w:rsidRPr="00BB100E">
              <w:t xml:space="preserve"> </w:t>
            </w:r>
            <w:proofErr w:type="spellStart"/>
            <w:r w:rsidRPr="00BB100E">
              <w:t>Sanitary</w:t>
            </w:r>
            <w:r>
              <w:t>ware</w:t>
            </w:r>
            <w:proofErr w:type="spellEnd"/>
            <w:r>
              <w:t xml:space="preserve"> Ltd.</w:t>
            </w:r>
          </w:p>
        </w:tc>
        <w:tc>
          <w:tcPr>
            <w:tcW w:w="630" w:type="dxa"/>
            <w:vAlign w:val="center"/>
          </w:tcPr>
          <w:p w14:paraId="5E83838E" w14:textId="77777777" w:rsidR="00F96550" w:rsidRPr="00BB100E" w:rsidRDefault="00F96550" w:rsidP="00DA1242">
            <w:pPr>
              <w:pStyle w:val="ExhibitText"/>
              <w:ind w:right="72"/>
              <w:jc w:val="right"/>
            </w:pPr>
            <w:r w:rsidRPr="00BB100E">
              <w:t>18</w:t>
            </w:r>
          </w:p>
        </w:tc>
        <w:tc>
          <w:tcPr>
            <w:tcW w:w="4135" w:type="dxa"/>
            <w:vAlign w:val="center"/>
          </w:tcPr>
          <w:p w14:paraId="765ACDC7" w14:textId="2838EEB5" w:rsidR="00F96550" w:rsidRPr="00BB100E" w:rsidRDefault="00F96550" w:rsidP="00DA1242">
            <w:pPr>
              <w:pStyle w:val="ExhibitText"/>
              <w:jc w:val="left"/>
            </w:pPr>
            <w:r w:rsidRPr="00BB100E">
              <w:t>Orient Bell</w:t>
            </w:r>
            <w:r w:rsidR="00E369C0">
              <w:t xml:space="preserve"> Ltd.</w:t>
            </w:r>
          </w:p>
        </w:tc>
      </w:tr>
      <w:tr w:rsidR="00F96550" w:rsidRPr="00BB100E" w14:paraId="29E35E48" w14:textId="77777777" w:rsidTr="00DA1242">
        <w:trPr>
          <w:trHeight w:val="360"/>
          <w:jc w:val="center"/>
        </w:trPr>
        <w:tc>
          <w:tcPr>
            <w:tcW w:w="625" w:type="dxa"/>
            <w:vAlign w:val="center"/>
          </w:tcPr>
          <w:p w14:paraId="3BEEB65F" w14:textId="77777777" w:rsidR="00F96550" w:rsidRPr="00BB100E" w:rsidRDefault="00F96550" w:rsidP="00DA1242">
            <w:pPr>
              <w:pStyle w:val="ExhibitText"/>
              <w:ind w:right="72"/>
              <w:jc w:val="right"/>
            </w:pPr>
            <w:r w:rsidRPr="00BB100E">
              <w:t>4</w:t>
            </w:r>
          </w:p>
        </w:tc>
        <w:tc>
          <w:tcPr>
            <w:tcW w:w="3960" w:type="dxa"/>
            <w:vAlign w:val="center"/>
          </w:tcPr>
          <w:p w14:paraId="4FD72763" w14:textId="52AD94E2" w:rsidR="00F96550" w:rsidRPr="00BB100E" w:rsidRDefault="00F96550" w:rsidP="00DA1242">
            <w:pPr>
              <w:pStyle w:val="ExhibitText"/>
              <w:jc w:val="left"/>
            </w:pPr>
            <w:proofErr w:type="spellStart"/>
            <w:r w:rsidRPr="00BB100E">
              <w:t>Divyashakti</w:t>
            </w:r>
            <w:proofErr w:type="spellEnd"/>
            <w:r w:rsidR="00CD27D1">
              <w:t xml:space="preserve"> Granites Ltd.</w:t>
            </w:r>
          </w:p>
        </w:tc>
        <w:tc>
          <w:tcPr>
            <w:tcW w:w="630" w:type="dxa"/>
            <w:vAlign w:val="center"/>
          </w:tcPr>
          <w:p w14:paraId="0C0EE8BE" w14:textId="77777777" w:rsidR="00F96550" w:rsidRPr="00BB100E" w:rsidRDefault="00F96550" w:rsidP="00DA1242">
            <w:pPr>
              <w:pStyle w:val="ExhibitText"/>
              <w:ind w:right="72"/>
              <w:jc w:val="right"/>
            </w:pPr>
            <w:r w:rsidRPr="00BB100E">
              <w:t>19</w:t>
            </w:r>
          </w:p>
        </w:tc>
        <w:tc>
          <w:tcPr>
            <w:tcW w:w="4135" w:type="dxa"/>
            <w:vAlign w:val="center"/>
          </w:tcPr>
          <w:p w14:paraId="33038A74" w14:textId="1A14DE9E" w:rsidR="00F96550" w:rsidRPr="00BB100E" w:rsidRDefault="00F96550" w:rsidP="00DA1242">
            <w:pPr>
              <w:pStyle w:val="ExhibitText"/>
              <w:jc w:val="left"/>
            </w:pPr>
            <w:r w:rsidRPr="00BB100E">
              <w:t xml:space="preserve">Oriental </w:t>
            </w:r>
            <w:proofErr w:type="spellStart"/>
            <w:r w:rsidRPr="00BB100E">
              <w:t>Trimex</w:t>
            </w:r>
            <w:proofErr w:type="spellEnd"/>
            <w:r w:rsidR="00E369C0">
              <w:t xml:space="preserve"> Ltd.</w:t>
            </w:r>
          </w:p>
        </w:tc>
      </w:tr>
      <w:tr w:rsidR="00F96550" w:rsidRPr="00BB100E" w14:paraId="5B115600" w14:textId="77777777" w:rsidTr="00DA1242">
        <w:trPr>
          <w:trHeight w:val="360"/>
          <w:jc w:val="center"/>
        </w:trPr>
        <w:tc>
          <w:tcPr>
            <w:tcW w:w="625" w:type="dxa"/>
            <w:vAlign w:val="center"/>
          </w:tcPr>
          <w:p w14:paraId="12A4B757" w14:textId="77777777" w:rsidR="00F96550" w:rsidRPr="00BB100E" w:rsidRDefault="00F96550" w:rsidP="00DA1242">
            <w:pPr>
              <w:pStyle w:val="ExhibitText"/>
              <w:ind w:right="72"/>
              <w:jc w:val="right"/>
            </w:pPr>
            <w:r w:rsidRPr="00BB100E">
              <w:t>5</w:t>
            </w:r>
          </w:p>
        </w:tc>
        <w:tc>
          <w:tcPr>
            <w:tcW w:w="3960" w:type="dxa"/>
            <w:vAlign w:val="center"/>
          </w:tcPr>
          <w:p w14:paraId="541A4D83" w14:textId="68357AE4" w:rsidR="00F96550" w:rsidRPr="00BB100E" w:rsidRDefault="00CD27D1" w:rsidP="00DA1242">
            <w:pPr>
              <w:pStyle w:val="ExhibitText"/>
              <w:jc w:val="left"/>
            </w:pPr>
            <w:r w:rsidRPr="00BB100E">
              <w:t>Elegant Marble</w:t>
            </w:r>
            <w:r>
              <w:t>s &amp; Granite Industries Ltd.</w:t>
            </w:r>
          </w:p>
        </w:tc>
        <w:tc>
          <w:tcPr>
            <w:tcW w:w="630" w:type="dxa"/>
            <w:vAlign w:val="center"/>
          </w:tcPr>
          <w:p w14:paraId="101C6A51" w14:textId="77777777" w:rsidR="00F96550" w:rsidRPr="00BB100E" w:rsidRDefault="00F96550" w:rsidP="00DA1242">
            <w:pPr>
              <w:pStyle w:val="ExhibitText"/>
              <w:ind w:right="72"/>
              <w:jc w:val="right"/>
            </w:pPr>
            <w:r w:rsidRPr="00BB100E">
              <w:t>20</w:t>
            </w:r>
          </w:p>
        </w:tc>
        <w:tc>
          <w:tcPr>
            <w:tcW w:w="4135" w:type="dxa"/>
            <w:vAlign w:val="center"/>
          </w:tcPr>
          <w:p w14:paraId="2D276318" w14:textId="66B86B7F" w:rsidR="00F96550" w:rsidRPr="00BB100E" w:rsidRDefault="00F96550" w:rsidP="00DA1242">
            <w:pPr>
              <w:pStyle w:val="ExhibitText"/>
              <w:jc w:val="left"/>
            </w:pPr>
            <w:r w:rsidRPr="00BB100E">
              <w:t xml:space="preserve">Pacific </w:t>
            </w:r>
            <w:r w:rsidR="00CD27D1" w:rsidRPr="00BB100E">
              <w:t>Ind</w:t>
            </w:r>
            <w:r w:rsidR="00E369C0">
              <w:t>ustries Ltd.</w:t>
            </w:r>
          </w:p>
        </w:tc>
      </w:tr>
      <w:tr w:rsidR="00F96550" w:rsidRPr="00BB100E" w14:paraId="33EF7BD0" w14:textId="77777777" w:rsidTr="00DA1242">
        <w:trPr>
          <w:trHeight w:val="360"/>
          <w:jc w:val="center"/>
        </w:trPr>
        <w:tc>
          <w:tcPr>
            <w:tcW w:w="625" w:type="dxa"/>
            <w:vAlign w:val="center"/>
          </w:tcPr>
          <w:p w14:paraId="431D2660" w14:textId="77777777" w:rsidR="00F96550" w:rsidRPr="00BB100E" w:rsidRDefault="00F96550" w:rsidP="00DA1242">
            <w:pPr>
              <w:pStyle w:val="ExhibitText"/>
              <w:ind w:right="72"/>
              <w:jc w:val="right"/>
            </w:pPr>
            <w:r w:rsidRPr="00BB100E">
              <w:t>6</w:t>
            </w:r>
          </w:p>
        </w:tc>
        <w:tc>
          <w:tcPr>
            <w:tcW w:w="3960" w:type="dxa"/>
            <w:vAlign w:val="center"/>
          </w:tcPr>
          <w:p w14:paraId="50560BB0" w14:textId="4C00CBD7" w:rsidR="00F96550" w:rsidRPr="00BB100E" w:rsidRDefault="00F96550" w:rsidP="00DA1242">
            <w:pPr>
              <w:pStyle w:val="ExhibitText"/>
              <w:jc w:val="left"/>
            </w:pPr>
            <w:r w:rsidRPr="00BB100E">
              <w:t>Euro Ceramics</w:t>
            </w:r>
            <w:r w:rsidR="00CD27D1">
              <w:t xml:space="preserve"> Ltd.</w:t>
            </w:r>
          </w:p>
        </w:tc>
        <w:tc>
          <w:tcPr>
            <w:tcW w:w="630" w:type="dxa"/>
            <w:vAlign w:val="center"/>
          </w:tcPr>
          <w:p w14:paraId="100B3E79" w14:textId="77777777" w:rsidR="00F96550" w:rsidRPr="00BB100E" w:rsidRDefault="00F96550" w:rsidP="00DA1242">
            <w:pPr>
              <w:pStyle w:val="ExhibitText"/>
              <w:ind w:right="72"/>
              <w:jc w:val="right"/>
            </w:pPr>
            <w:r w:rsidRPr="00BB100E">
              <w:t>21</w:t>
            </w:r>
          </w:p>
        </w:tc>
        <w:tc>
          <w:tcPr>
            <w:tcW w:w="4135" w:type="dxa"/>
            <w:vAlign w:val="center"/>
          </w:tcPr>
          <w:p w14:paraId="1A687223" w14:textId="61C0AF54" w:rsidR="00F96550" w:rsidRPr="00BB100E" w:rsidRDefault="00F96550" w:rsidP="00DA1242">
            <w:pPr>
              <w:pStyle w:val="ExhibitText"/>
              <w:jc w:val="left"/>
            </w:pPr>
            <w:proofErr w:type="spellStart"/>
            <w:r w:rsidRPr="00BB100E">
              <w:t>Pokarna</w:t>
            </w:r>
            <w:proofErr w:type="spellEnd"/>
            <w:r w:rsidR="00E369C0">
              <w:t xml:space="preserve"> Ltd.</w:t>
            </w:r>
          </w:p>
        </w:tc>
      </w:tr>
      <w:tr w:rsidR="00F96550" w:rsidRPr="00BB100E" w14:paraId="2C8894E3" w14:textId="77777777" w:rsidTr="00DA1242">
        <w:trPr>
          <w:trHeight w:val="360"/>
          <w:jc w:val="center"/>
        </w:trPr>
        <w:tc>
          <w:tcPr>
            <w:tcW w:w="625" w:type="dxa"/>
            <w:vAlign w:val="center"/>
          </w:tcPr>
          <w:p w14:paraId="056D9EE7" w14:textId="77777777" w:rsidR="00F96550" w:rsidRPr="00BB100E" w:rsidRDefault="00F96550" w:rsidP="00DA1242">
            <w:pPr>
              <w:pStyle w:val="ExhibitText"/>
              <w:ind w:right="72"/>
              <w:jc w:val="right"/>
            </w:pPr>
            <w:r w:rsidRPr="00BB100E">
              <w:t>7</w:t>
            </w:r>
          </w:p>
        </w:tc>
        <w:tc>
          <w:tcPr>
            <w:tcW w:w="3960" w:type="dxa"/>
            <w:vAlign w:val="center"/>
          </w:tcPr>
          <w:p w14:paraId="5975AA35" w14:textId="5598D5BD" w:rsidR="00F96550" w:rsidRPr="00BB100E" w:rsidRDefault="00CD27D1" w:rsidP="00DA1242">
            <w:pPr>
              <w:pStyle w:val="ExhibitText"/>
              <w:jc w:val="left"/>
            </w:pPr>
            <w:proofErr w:type="spellStart"/>
            <w:r w:rsidRPr="00BB100E">
              <w:t>Glitt</w:t>
            </w:r>
            <w:r>
              <w:t>e</w:t>
            </w:r>
            <w:r w:rsidRPr="00BB100E">
              <w:t>k</w:t>
            </w:r>
            <w:proofErr w:type="spellEnd"/>
            <w:r w:rsidRPr="00BB100E">
              <w:t xml:space="preserve"> Granite</w:t>
            </w:r>
            <w:r>
              <w:t>s Ltd.</w:t>
            </w:r>
          </w:p>
        </w:tc>
        <w:tc>
          <w:tcPr>
            <w:tcW w:w="630" w:type="dxa"/>
            <w:vAlign w:val="center"/>
          </w:tcPr>
          <w:p w14:paraId="120F8621" w14:textId="77777777" w:rsidR="00F96550" w:rsidRPr="00BB100E" w:rsidRDefault="00F96550" w:rsidP="00DA1242">
            <w:pPr>
              <w:pStyle w:val="ExhibitText"/>
              <w:ind w:right="72"/>
              <w:jc w:val="right"/>
            </w:pPr>
            <w:r w:rsidRPr="00BB100E">
              <w:t>22</w:t>
            </w:r>
          </w:p>
        </w:tc>
        <w:tc>
          <w:tcPr>
            <w:tcW w:w="4135" w:type="dxa"/>
            <w:vAlign w:val="center"/>
          </w:tcPr>
          <w:p w14:paraId="78994F6A" w14:textId="634C9D4F" w:rsidR="00F96550" w:rsidRPr="00BB100E" w:rsidRDefault="00F96550" w:rsidP="00DA1242">
            <w:pPr>
              <w:pStyle w:val="ExhibitText"/>
              <w:jc w:val="left"/>
            </w:pPr>
            <w:proofErr w:type="spellStart"/>
            <w:r w:rsidRPr="00BB100E">
              <w:t>Rajdarshan</w:t>
            </w:r>
            <w:proofErr w:type="spellEnd"/>
            <w:r w:rsidRPr="00BB100E">
              <w:t xml:space="preserve"> </w:t>
            </w:r>
            <w:r w:rsidR="00CD27D1" w:rsidRPr="00BB100E">
              <w:t>Ind</w:t>
            </w:r>
            <w:r w:rsidR="00E369C0">
              <w:t>ustries Ltd.</w:t>
            </w:r>
          </w:p>
        </w:tc>
      </w:tr>
      <w:tr w:rsidR="00F96550" w:rsidRPr="00BB100E" w14:paraId="410F5687" w14:textId="77777777" w:rsidTr="00DA1242">
        <w:trPr>
          <w:trHeight w:val="360"/>
          <w:jc w:val="center"/>
        </w:trPr>
        <w:tc>
          <w:tcPr>
            <w:tcW w:w="625" w:type="dxa"/>
            <w:vAlign w:val="center"/>
          </w:tcPr>
          <w:p w14:paraId="0EC49A37" w14:textId="77777777" w:rsidR="00F96550" w:rsidRPr="00BB100E" w:rsidRDefault="00F96550" w:rsidP="00DA1242">
            <w:pPr>
              <w:pStyle w:val="ExhibitText"/>
              <w:ind w:right="72"/>
              <w:jc w:val="right"/>
            </w:pPr>
            <w:r w:rsidRPr="00BB100E">
              <w:t>8</w:t>
            </w:r>
          </w:p>
        </w:tc>
        <w:tc>
          <w:tcPr>
            <w:tcW w:w="3960" w:type="dxa"/>
            <w:vAlign w:val="center"/>
          </w:tcPr>
          <w:p w14:paraId="275CE9FA" w14:textId="2EE7C67D" w:rsidR="00F96550" w:rsidRPr="00BB100E" w:rsidRDefault="00CD27D1" w:rsidP="00DA1242">
            <w:pPr>
              <w:pStyle w:val="ExhibitText"/>
              <w:jc w:val="left"/>
            </w:pPr>
            <w:r w:rsidRPr="00BB100E">
              <w:t>Himalaya</w:t>
            </w:r>
            <w:r>
              <w:t>n</w:t>
            </w:r>
            <w:r w:rsidRPr="00BB100E">
              <w:t xml:space="preserve"> Granit</w:t>
            </w:r>
            <w:r>
              <w:t>es Ltd.</w:t>
            </w:r>
          </w:p>
        </w:tc>
        <w:tc>
          <w:tcPr>
            <w:tcW w:w="630" w:type="dxa"/>
            <w:vAlign w:val="center"/>
          </w:tcPr>
          <w:p w14:paraId="3288E5ED" w14:textId="77777777" w:rsidR="00F96550" w:rsidRPr="00BB100E" w:rsidRDefault="00F96550" w:rsidP="00DA1242">
            <w:pPr>
              <w:pStyle w:val="ExhibitText"/>
              <w:ind w:right="72"/>
              <w:jc w:val="right"/>
            </w:pPr>
            <w:r w:rsidRPr="00BB100E">
              <w:t>23</w:t>
            </w:r>
          </w:p>
        </w:tc>
        <w:tc>
          <w:tcPr>
            <w:tcW w:w="4135" w:type="dxa"/>
            <w:vAlign w:val="center"/>
          </w:tcPr>
          <w:p w14:paraId="48E98139" w14:textId="18499927" w:rsidR="00F96550" w:rsidRPr="00BB100E" w:rsidRDefault="00F96550" w:rsidP="00904483">
            <w:pPr>
              <w:pStyle w:val="ExhibitText"/>
              <w:jc w:val="left"/>
            </w:pPr>
            <w:proofErr w:type="spellStart"/>
            <w:r w:rsidRPr="00BB100E">
              <w:t>Ravi</w:t>
            </w:r>
            <w:r w:rsidR="00A9245E">
              <w:t>l</w:t>
            </w:r>
            <w:r w:rsidRPr="00BB100E">
              <w:t>eela</w:t>
            </w:r>
            <w:proofErr w:type="spellEnd"/>
            <w:r w:rsidRPr="00BB100E">
              <w:t xml:space="preserve"> </w:t>
            </w:r>
            <w:r w:rsidR="00CD27D1" w:rsidRPr="00E369C0">
              <w:t>Gran</w:t>
            </w:r>
            <w:r w:rsidR="00E369C0" w:rsidRPr="00E369C0">
              <w:t>ites</w:t>
            </w:r>
            <w:r w:rsidR="00E369C0">
              <w:t xml:space="preserve"> Ltd.</w:t>
            </w:r>
            <w:r w:rsidR="00C121A5">
              <w:t>*</w:t>
            </w:r>
          </w:p>
        </w:tc>
      </w:tr>
      <w:tr w:rsidR="00F96550" w:rsidRPr="00BB100E" w14:paraId="159FA16C" w14:textId="77777777" w:rsidTr="00DA1242">
        <w:trPr>
          <w:trHeight w:val="360"/>
          <w:jc w:val="center"/>
        </w:trPr>
        <w:tc>
          <w:tcPr>
            <w:tcW w:w="625" w:type="dxa"/>
            <w:vAlign w:val="center"/>
          </w:tcPr>
          <w:p w14:paraId="04774553" w14:textId="77777777" w:rsidR="00F96550" w:rsidRPr="00BB100E" w:rsidRDefault="00F96550" w:rsidP="00DA1242">
            <w:pPr>
              <w:pStyle w:val="ExhibitText"/>
              <w:ind w:right="72"/>
              <w:jc w:val="right"/>
            </w:pPr>
            <w:r w:rsidRPr="00BB100E">
              <w:t>9</w:t>
            </w:r>
          </w:p>
        </w:tc>
        <w:tc>
          <w:tcPr>
            <w:tcW w:w="3960" w:type="dxa"/>
            <w:vAlign w:val="center"/>
          </w:tcPr>
          <w:p w14:paraId="6EAB312E" w14:textId="47F06D4E" w:rsidR="00F96550" w:rsidRPr="00BB100E" w:rsidRDefault="00CD27D1" w:rsidP="00DA1242">
            <w:pPr>
              <w:pStyle w:val="ExhibitText"/>
              <w:jc w:val="left"/>
            </w:pPr>
            <w:r w:rsidRPr="00BB100E">
              <w:t>HSIL</w:t>
            </w:r>
            <w:r>
              <w:t xml:space="preserve"> Ltd.</w:t>
            </w:r>
          </w:p>
        </w:tc>
        <w:tc>
          <w:tcPr>
            <w:tcW w:w="630" w:type="dxa"/>
            <w:vAlign w:val="center"/>
          </w:tcPr>
          <w:p w14:paraId="388A9C1C" w14:textId="77777777" w:rsidR="00F96550" w:rsidRPr="00BB100E" w:rsidRDefault="00F96550" w:rsidP="00DA1242">
            <w:pPr>
              <w:pStyle w:val="ExhibitText"/>
              <w:ind w:right="72"/>
              <w:jc w:val="right"/>
            </w:pPr>
            <w:r w:rsidRPr="00BB100E">
              <w:t>24</w:t>
            </w:r>
          </w:p>
        </w:tc>
        <w:tc>
          <w:tcPr>
            <w:tcW w:w="4135" w:type="dxa"/>
            <w:vAlign w:val="center"/>
          </w:tcPr>
          <w:p w14:paraId="3893B550" w14:textId="6D9E19E2" w:rsidR="00F96550" w:rsidRPr="00BB100E" w:rsidRDefault="00F96550" w:rsidP="00DA1242">
            <w:pPr>
              <w:pStyle w:val="ExhibitText"/>
              <w:jc w:val="left"/>
            </w:pPr>
            <w:r w:rsidRPr="00BB100E">
              <w:t xml:space="preserve">Regency </w:t>
            </w:r>
            <w:r w:rsidR="00CD27D1" w:rsidRPr="00BB100E">
              <w:t>Ceramic</w:t>
            </w:r>
            <w:r w:rsidR="002171DA">
              <w:t>s Ltd.</w:t>
            </w:r>
          </w:p>
        </w:tc>
      </w:tr>
      <w:tr w:rsidR="00F96550" w:rsidRPr="00BB100E" w14:paraId="66666AFA" w14:textId="77777777" w:rsidTr="00DA1242">
        <w:trPr>
          <w:trHeight w:val="360"/>
          <w:jc w:val="center"/>
        </w:trPr>
        <w:tc>
          <w:tcPr>
            <w:tcW w:w="625" w:type="dxa"/>
            <w:vAlign w:val="center"/>
          </w:tcPr>
          <w:p w14:paraId="28005A2B" w14:textId="77777777" w:rsidR="00F96550" w:rsidRPr="00BB100E" w:rsidRDefault="00F96550" w:rsidP="00DA1242">
            <w:pPr>
              <w:pStyle w:val="ExhibitText"/>
              <w:ind w:right="72"/>
              <w:jc w:val="right"/>
            </w:pPr>
            <w:r w:rsidRPr="00BB100E">
              <w:t>10</w:t>
            </w:r>
          </w:p>
        </w:tc>
        <w:tc>
          <w:tcPr>
            <w:tcW w:w="3960" w:type="dxa"/>
            <w:vAlign w:val="center"/>
          </w:tcPr>
          <w:p w14:paraId="308FE45C" w14:textId="6553D70E" w:rsidR="00F96550" w:rsidRPr="00BB100E" w:rsidRDefault="00F96550" w:rsidP="00DA1242">
            <w:pPr>
              <w:pStyle w:val="ExhibitText"/>
              <w:jc w:val="left"/>
            </w:pPr>
            <w:proofErr w:type="spellStart"/>
            <w:r w:rsidRPr="00BB100E">
              <w:t>Inani</w:t>
            </w:r>
            <w:proofErr w:type="spellEnd"/>
            <w:r w:rsidRPr="00BB100E">
              <w:t xml:space="preserve"> Marbles</w:t>
            </w:r>
            <w:r w:rsidR="00CD27D1">
              <w:t xml:space="preserve"> &amp; Industries Ltd.</w:t>
            </w:r>
          </w:p>
        </w:tc>
        <w:tc>
          <w:tcPr>
            <w:tcW w:w="630" w:type="dxa"/>
            <w:vAlign w:val="center"/>
          </w:tcPr>
          <w:p w14:paraId="1B3874DE" w14:textId="77777777" w:rsidR="00F96550" w:rsidRPr="00BB100E" w:rsidRDefault="00F96550" w:rsidP="00DA1242">
            <w:pPr>
              <w:pStyle w:val="ExhibitText"/>
              <w:ind w:right="72"/>
              <w:jc w:val="right"/>
            </w:pPr>
            <w:r w:rsidRPr="00BB100E">
              <w:t>25</w:t>
            </w:r>
          </w:p>
        </w:tc>
        <w:tc>
          <w:tcPr>
            <w:tcW w:w="4135" w:type="dxa"/>
            <w:vAlign w:val="center"/>
          </w:tcPr>
          <w:p w14:paraId="5FE81B26" w14:textId="5C6E19E9" w:rsidR="00F96550" w:rsidRPr="00BB100E" w:rsidRDefault="00F96550" w:rsidP="00DA1242">
            <w:pPr>
              <w:pStyle w:val="ExhibitText"/>
              <w:jc w:val="left"/>
            </w:pPr>
            <w:proofErr w:type="spellStart"/>
            <w:r w:rsidRPr="00BB100E">
              <w:t>Restile</w:t>
            </w:r>
            <w:proofErr w:type="spellEnd"/>
            <w:r w:rsidRPr="00BB100E">
              <w:t xml:space="preserve"> </w:t>
            </w:r>
            <w:r w:rsidR="00CD27D1" w:rsidRPr="00BB100E">
              <w:t>Ceramic</w:t>
            </w:r>
            <w:r w:rsidR="002171DA">
              <w:t>s Ltd.</w:t>
            </w:r>
          </w:p>
        </w:tc>
      </w:tr>
      <w:tr w:rsidR="00F96550" w:rsidRPr="00BB100E" w14:paraId="005C7DAA" w14:textId="77777777" w:rsidTr="00DA1242">
        <w:trPr>
          <w:trHeight w:val="360"/>
          <w:jc w:val="center"/>
        </w:trPr>
        <w:tc>
          <w:tcPr>
            <w:tcW w:w="625" w:type="dxa"/>
            <w:vAlign w:val="center"/>
          </w:tcPr>
          <w:p w14:paraId="0222E16D" w14:textId="77777777" w:rsidR="00F96550" w:rsidRPr="00BB100E" w:rsidRDefault="00F96550" w:rsidP="00DA1242">
            <w:pPr>
              <w:pStyle w:val="ExhibitText"/>
              <w:ind w:right="72"/>
              <w:jc w:val="right"/>
            </w:pPr>
            <w:r w:rsidRPr="00BB100E">
              <w:t>11</w:t>
            </w:r>
          </w:p>
        </w:tc>
        <w:tc>
          <w:tcPr>
            <w:tcW w:w="3960" w:type="dxa"/>
            <w:vAlign w:val="center"/>
          </w:tcPr>
          <w:p w14:paraId="0F2EB598" w14:textId="06E4FA15" w:rsidR="00F96550" w:rsidRPr="00BB100E" w:rsidRDefault="00CD27D1" w:rsidP="00DA1242">
            <w:pPr>
              <w:pStyle w:val="ExhibitText"/>
              <w:jc w:val="left"/>
            </w:pPr>
            <w:proofErr w:type="spellStart"/>
            <w:r w:rsidRPr="00BB100E">
              <w:t>Kajaria</w:t>
            </w:r>
            <w:proofErr w:type="spellEnd"/>
            <w:r w:rsidRPr="00BB100E">
              <w:t xml:space="preserve"> Ceramic</w:t>
            </w:r>
            <w:r>
              <w:t>s Ltd.</w:t>
            </w:r>
          </w:p>
        </w:tc>
        <w:tc>
          <w:tcPr>
            <w:tcW w:w="630" w:type="dxa"/>
            <w:vAlign w:val="center"/>
          </w:tcPr>
          <w:p w14:paraId="0DF93508" w14:textId="77777777" w:rsidR="00F96550" w:rsidRPr="00BB100E" w:rsidRDefault="00F96550" w:rsidP="00DA1242">
            <w:pPr>
              <w:pStyle w:val="ExhibitText"/>
              <w:ind w:right="72"/>
              <w:jc w:val="right"/>
            </w:pPr>
            <w:r w:rsidRPr="00BB100E">
              <w:t>26</w:t>
            </w:r>
          </w:p>
        </w:tc>
        <w:tc>
          <w:tcPr>
            <w:tcW w:w="4135" w:type="dxa"/>
            <w:vAlign w:val="center"/>
          </w:tcPr>
          <w:p w14:paraId="2C742FDA" w14:textId="63ECC211" w:rsidR="00F96550" w:rsidRPr="00BB100E" w:rsidRDefault="00F96550" w:rsidP="00DA1242">
            <w:pPr>
              <w:pStyle w:val="ExhibitText"/>
              <w:jc w:val="left"/>
            </w:pPr>
            <w:proofErr w:type="spellStart"/>
            <w:r w:rsidRPr="00BB100E">
              <w:t>Schablona</w:t>
            </w:r>
            <w:proofErr w:type="spellEnd"/>
            <w:r w:rsidRPr="00BB100E">
              <w:t xml:space="preserve"> India</w:t>
            </w:r>
            <w:r w:rsidR="002171DA">
              <w:t xml:space="preserve"> Ltd.</w:t>
            </w:r>
          </w:p>
        </w:tc>
      </w:tr>
      <w:tr w:rsidR="00F96550" w:rsidRPr="00BB100E" w14:paraId="68560709" w14:textId="77777777" w:rsidTr="00DA1242">
        <w:trPr>
          <w:trHeight w:val="360"/>
          <w:jc w:val="center"/>
        </w:trPr>
        <w:tc>
          <w:tcPr>
            <w:tcW w:w="625" w:type="dxa"/>
            <w:vAlign w:val="center"/>
          </w:tcPr>
          <w:p w14:paraId="774D9076" w14:textId="77777777" w:rsidR="00F96550" w:rsidRPr="00BB100E" w:rsidRDefault="00F96550" w:rsidP="00DA1242">
            <w:pPr>
              <w:pStyle w:val="ExhibitText"/>
              <w:ind w:right="72"/>
              <w:jc w:val="right"/>
            </w:pPr>
            <w:r w:rsidRPr="00BB100E">
              <w:t>12</w:t>
            </w:r>
          </w:p>
        </w:tc>
        <w:tc>
          <w:tcPr>
            <w:tcW w:w="3960" w:type="dxa"/>
            <w:vAlign w:val="center"/>
          </w:tcPr>
          <w:p w14:paraId="75ABF76D" w14:textId="195AA377" w:rsidR="00F96550" w:rsidRPr="00BB100E" w:rsidRDefault="00F96550" w:rsidP="00DA1242">
            <w:pPr>
              <w:pStyle w:val="ExhibitText"/>
              <w:jc w:val="left"/>
            </w:pPr>
            <w:proofErr w:type="spellStart"/>
            <w:r w:rsidRPr="00BB100E">
              <w:t>Madhav</w:t>
            </w:r>
            <w:proofErr w:type="spellEnd"/>
            <w:r w:rsidRPr="00BB100E">
              <w:t xml:space="preserve"> Marbles</w:t>
            </w:r>
            <w:r w:rsidR="00CD27D1">
              <w:t xml:space="preserve"> &amp; Granites Ltd.</w:t>
            </w:r>
          </w:p>
        </w:tc>
        <w:tc>
          <w:tcPr>
            <w:tcW w:w="630" w:type="dxa"/>
            <w:vAlign w:val="center"/>
          </w:tcPr>
          <w:p w14:paraId="614002DD" w14:textId="77777777" w:rsidR="00F96550" w:rsidRPr="00BB100E" w:rsidRDefault="00F96550" w:rsidP="00DA1242">
            <w:pPr>
              <w:pStyle w:val="ExhibitText"/>
              <w:ind w:right="72"/>
              <w:jc w:val="right"/>
            </w:pPr>
            <w:r w:rsidRPr="00BB100E">
              <w:t>27</w:t>
            </w:r>
          </w:p>
        </w:tc>
        <w:tc>
          <w:tcPr>
            <w:tcW w:w="4135" w:type="dxa"/>
            <w:vAlign w:val="center"/>
          </w:tcPr>
          <w:p w14:paraId="6FBAB245" w14:textId="4573D973" w:rsidR="00F96550" w:rsidRPr="00BB100E" w:rsidRDefault="00F96550" w:rsidP="00DA1242">
            <w:pPr>
              <w:pStyle w:val="ExhibitText"/>
              <w:jc w:val="left"/>
            </w:pPr>
            <w:r w:rsidRPr="00BB100E">
              <w:t>Solid Stone</w:t>
            </w:r>
            <w:r w:rsidR="002171DA">
              <w:t xml:space="preserve"> Company Ltd.</w:t>
            </w:r>
          </w:p>
        </w:tc>
      </w:tr>
      <w:tr w:rsidR="00F96550" w:rsidRPr="00BB100E" w14:paraId="4691EDAE" w14:textId="77777777" w:rsidTr="00DA1242">
        <w:trPr>
          <w:trHeight w:val="360"/>
          <w:jc w:val="center"/>
        </w:trPr>
        <w:tc>
          <w:tcPr>
            <w:tcW w:w="625" w:type="dxa"/>
            <w:vAlign w:val="center"/>
          </w:tcPr>
          <w:p w14:paraId="4758DBC8" w14:textId="77777777" w:rsidR="00F96550" w:rsidRPr="00BB100E" w:rsidRDefault="00F96550" w:rsidP="00DA1242">
            <w:pPr>
              <w:pStyle w:val="ExhibitText"/>
              <w:ind w:right="72"/>
              <w:jc w:val="right"/>
            </w:pPr>
            <w:r w:rsidRPr="00BB100E">
              <w:t>13</w:t>
            </w:r>
          </w:p>
        </w:tc>
        <w:tc>
          <w:tcPr>
            <w:tcW w:w="3960" w:type="dxa"/>
            <w:vAlign w:val="center"/>
          </w:tcPr>
          <w:p w14:paraId="36F456A2" w14:textId="453DC9AC" w:rsidR="00F96550" w:rsidRPr="00BB100E" w:rsidRDefault="00F96550" w:rsidP="00DA1242">
            <w:pPr>
              <w:pStyle w:val="ExhibitText"/>
              <w:jc w:val="left"/>
            </w:pPr>
            <w:r w:rsidRPr="00BB100E">
              <w:t>Midwest Gold</w:t>
            </w:r>
            <w:r w:rsidR="00CD27D1">
              <w:t xml:space="preserve"> Ltd.</w:t>
            </w:r>
          </w:p>
        </w:tc>
        <w:tc>
          <w:tcPr>
            <w:tcW w:w="630" w:type="dxa"/>
            <w:vAlign w:val="center"/>
          </w:tcPr>
          <w:p w14:paraId="56AC498F" w14:textId="77777777" w:rsidR="00F96550" w:rsidRPr="00BB100E" w:rsidRDefault="00F96550" w:rsidP="00DA1242">
            <w:pPr>
              <w:pStyle w:val="ExhibitText"/>
              <w:ind w:right="72"/>
              <w:jc w:val="right"/>
            </w:pPr>
            <w:r w:rsidRPr="00BB100E">
              <w:t>28</w:t>
            </w:r>
          </w:p>
        </w:tc>
        <w:tc>
          <w:tcPr>
            <w:tcW w:w="4135" w:type="dxa"/>
            <w:vAlign w:val="center"/>
          </w:tcPr>
          <w:p w14:paraId="2A8EE272" w14:textId="6A323EFF" w:rsidR="00F96550" w:rsidRPr="00BB100E" w:rsidRDefault="00F96550" w:rsidP="00DA1242">
            <w:pPr>
              <w:pStyle w:val="ExhibitText"/>
              <w:jc w:val="left"/>
            </w:pPr>
            <w:proofErr w:type="spellStart"/>
            <w:r w:rsidRPr="00BB100E">
              <w:t>Somany</w:t>
            </w:r>
            <w:proofErr w:type="spellEnd"/>
            <w:r w:rsidRPr="00BB100E">
              <w:t xml:space="preserve"> Ceramics</w:t>
            </w:r>
            <w:r w:rsidR="002171DA">
              <w:t xml:space="preserve"> Ltd.</w:t>
            </w:r>
          </w:p>
        </w:tc>
      </w:tr>
      <w:tr w:rsidR="00F96550" w:rsidRPr="00BB100E" w14:paraId="2988149D" w14:textId="77777777" w:rsidTr="00DA1242">
        <w:trPr>
          <w:trHeight w:val="360"/>
          <w:jc w:val="center"/>
        </w:trPr>
        <w:tc>
          <w:tcPr>
            <w:tcW w:w="625" w:type="dxa"/>
            <w:vAlign w:val="center"/>
          </w:tcPr>
          <w:p w14:paraId="675803E0" w14:textId="77777777" w:rsidR="00F96550" w:rsidRPr="00BB100E" w:rsidRDefault="00F96550" w:rsidP="00DA1242">
            <w:pPr>
              <w:pStyle w:val="ExhibitText"/>
              <w:ind w:right="72"/>
              <w:jc w:val="right"/>
            </w:pPr>
            <w:r w:rsidRPr="00BB100E">
              <w:t>14</w:t>
            </w:r>
          </w:p>
        </w:tc>
        <w:tc>
          <w:tcPr>
            <w:tcW w:w="3960" w:type="dxa"/>
            <w:vAlign w:val="center"/>
          </w:tcPr>
          <w:p w14:paraId="36999625" w14:textId="6E6EA339" w:rsidR="00F96550" w:rsidRPr="00BB100E" w:rsidRDefault="00F96550" w:rsidP="00DA1242">
            <w:pPr>
              <w:pStyle w:val="ExhibitText"/>
              <w:jc w:val="left"/>
            </w:pPr>
            <w:r w:rsidRPr="00BB100E">
              <w:t>Milestone</w:t>
            </w:r>
            <w:r w:rsidR="00CD27D1">
              <w:t xml:space="preserve"> Global Ltd.</w:t>
            </w:r>
          </w:p>
        </w:tc>
        <w:tc>
          <w:tcPr>
            <w:tcW w:w="630" w:type="dxa"/>
            <w:vAlign w:val="center"/>
          </w:tcPr>
          <w:p w14:paraId="3D21E741" w14:textId="77777777" w:rsidR="00F96550" w:rsidRPr="00BB100E" w:rsidRDefault="00F96550" w:rsidP="00DA1242">
            <w:pPr>
              <w:pStyle w:val="ExhibitText"/>
              <w:ind w:right="72"/>
              <w:jc w:val="right"/>
            </w:pPr>
            <w:r w:rsidRPr="00BB100E">
              <w:t>29</w:t>
            </w:r>
          </w:p>
        </w:tc>
        <w:tc>
          <w:tcPr>
            <w:tcW w:w="4135" w:type="dxa"/>
            <w:vAlign w:val="center"/>
          </w:tcPr>
          <w:p w14:paraId="58B16BF9" w14:textId="2578B673" w:rsidR="00F96550" w:rsidRPr="00BB100E" w:rsidRDefault="00F96550" w:rsidP="00DA1242">
            <w:pPr>
              <w:pStyle w:val="ExhibitText"/>
              <w:jc w:val="left"/>
            </w:pPr>
            <w:r w:rsidRPr="00BB100E">
              <w:t xml:space="preserve">Sri Vajra </w:t>
            </w:r>
            <w:r w:rsidR="00CD27D1" w:rsidRPr="00BB100E">
              <w:t>Gran</w:t>
            </w:r>
            <w:r w:rsidR="002171DA">
              <w:t>ites Ltd.</w:t>
            </w:r>
          </w:p>
        </w:tc>
      </w:tr>
      <w:tr w:rsidR="00F96550" w:rsidRPr="00BB100E" w14:paraId="0919D73E" w14:textId="77777777" w:rsidTr="00DA1242">
        <w:trPr>
          <w:trHeight w:val="360"/>
          <w:jc w:val="center"/>
        </w:trPr>
        <w:tc>
          <w:tcPr>
            <w:tcW w:w="625" w:type="dxa"/>
            <w:vAlign w:val="center"/>
          </w:tcPr>
          <w:p w14:paraId="648B86C0" w14:textId="322C6B02" w:rsidR="00F96550" w:rsidRPr="00BB100E" w:rsidRDefault="00F96550" w:rsidP="00DA1242">
            <w:pPr>
              <w:pStyle w:val="ExhibitText"/>
              <w:ind w:right="72"/>
              <w:jc w:val="right"/>
            </w:pPr>
            <w:r w:rsidRPr="00BB100E">
              <w:t>15</w:t>
            </w:r>
          </w:p>
        </w:tc>
        <w:tc>
          <w:tcPr>
            <w:tcW w:w="3960" w:type="dxa"/>
            <w:vAlign w:val="center"/>
          </w:tcPr>
          <w:p w14:paraId="57BD6B09" w14:textId="22FC0D41" w:rsidR="00F96550" w:rsidRPr="00BB100E" w:rsidRDefault="00CD27D1" w:rsidP="00DA1242">
            <w:pPr>
              <w:pStyle w:val="ExhibitText"/>
              <w:jc w:val="left"/>
            </w:pPr>
            <w:proofErr w:type="spellStart"/>
            <w:r w:rsidRPr="00BB100E">
              <w:t>Murudeshwar</w:t>
            </w:r>
            <w:proofErr w:type="spellEnd"/>
            <w:r w:rsidRPr="00BB100E">
              <w:t xml:space="preserve"> Cer</w:t>
            </w:r>
            <w:r>
              <w:t>amics Ltd.</w:t>
            </w:r>
          </w:p>
        </w:tc>
        <w:tc>
          <w:tcPr>
            <w:tcW w:w="630" w:type="dxa"/>
            <w:vAlign w:val="center"/>
          </w:tcPr>
          <w:p w14:paraId="18C018B4" w14:textId="77777777" w:rsidR="00F96550" w:rsidRPr="00BB100E" w:rsidRDefault="00F96550" w:rsidP="00DA1242">
            <w:pPr>
              <w:pStyle w:val="ExhibitText"/>
              <w:ind w:right="72"/>
              <w:jc w:val="right"/>
            </w:pPr>
            <w:r w:rsidRPr="00BB100E">
              <w:t>30</w:t>
            </w:r>
          </w:p>
        </w:tc>
        <w:tc>
          <w:tcPr>
            <w:tcW w:w="4135" w:type="dxa"/>
            <w:vAlign w:val="center"/>
          </w:tcPr>
          <w:p w14:paraId="1C808277" w14:textId="3A954849" w:rsidR="00F96550" w:rsidRPr="00BB100E" w:rsidRDefault="00F96550" w:rsidP="00DA1242">
            <w:pPr>
              <w:pStyle w:val="ExhibitText"/>
              <w:jc w:val="left"/>
            </w:pPr>
            <w:r w:rsidRPr="00BB100E">
              <w:t xml:space="preserve">Vertical </w:t>
            </w:r>
            <w:r w:rsidR="00CD27D1" w:rsidRPr="00BB100E">
              <w:t>Ind</w:t>
            </w:r>
            <w:r w:rsidR="002171DA">
              <w:t>ustries Ltd.</w:t>
            </w:r>
          </w:p>
        </w:tc>
      </w:tr>
    </w:tbl>
    <w:p w14:paraId="3F6307FE" w14:textId="77777777" w:rsidR="00F96550" w:rsidRPr="00DA1242" w:rsidRDefault="00F96550" w:rsidP="00DA1242">
      <w:pPr>
        <w:pStyle w:val="ExhibitText"/>
      </w:pPr>
    </w:p>
    <w:p w14:paraId="1DA38B1C" w14:textId="5A8532A0" w:rsidR="00C121A5" w:rsidRDefault="00C121A5" w:rsidP="005954B6">
      <w:pPr>
        <w:pStyle w:val="Footnote"/>
        <w:jc w:val="both"/>
      </w:pPr>
      <w:r>
        <w:t>Note: *</w:t>
      </w:r>
      <w:proofErr w:type="spellStart"/>
      <w:r>
        <w:t>Ravi</w:t>
      </w:r>
      <w:r w:rsidR="00A9245E">
        <w:t>l</w:t>
      </w:r>
      <w:r>
        <w:t>eela</w:t>
      </w:r>
      <w:proofErr w:type="spellEnd"/>
      <w:r>
        <w:t xml:space="preserve"> Granites Ltd. was removed from Money Control’s list of top companies in December 2017; however, it is still in business.</w:t>
      </w:r>
    </w:p>
    <w:p w14:paraId="55366407" w14:textId="42F40C93" w:rsidR="00F96550" w:rsidRDefault="00F96550" w:rsidP="005954B6">
      <w:pPr>
        <w:pStyle w:val="Footnote"/>
        <w:jc w:val="both"/>
      </w:pPr>
      <w:r w:rsidRPr="000D26CC">
        <w:rPr>
          <w:spacing w:val="-2"/>
          <w:kern w:val="17"/>
        </w:rPr>
        <w:t>Source: “Top Companies in India by Net Profit</w:t>
      </w:r>
      <w:r w:rsidR="00A15470" w:rsidRPr="000D26CC">
        <w:rPr>
          <w:spacing w:val="-2"/>
          <w:kern w:val="17"/>
        </w:rPr>
        <w:t>—</w:t>
      </w:r>
      <w:r w:rsidRPr="000D26CC">
        <w:rPr>
          <w:spacing w:val="-2"/>
          <w:kern w:val="17"/>
        </w:rPr>
        <w:t xml:space="preserve">BSE,” Money Control, </w:t>
      </w:r>
      <w:r w:rsidR="00CD27D1" w:rsidRPr="000D26CC">
        <w:rPr>
          <w:spacing w:val="-2"/>
          <w:kern w:val="17"/>
        </w:rPr>
        <w:t>December 29</w:t>
      </w:r>
      <w:r w:rsidRPr="000D26CC">
        <w:rPr>
          <w:spacing w:val="-2"/>
          <w:kern w:val="17"/>
        </w:rPr>
        <w:t>, 2017</w:t>
      </w:r>
      <w:r w:rsidR="00CD27D1" w:rsidRPr="000D26CC">
        <w:rPr>
          <w:spacing w:val="-2"/>
          <w:kern w:val="17"/>
        </w:rPr>
        <w:t>,</w:t>
      </w:r>
      <w:r w:rsidR="00A15470" w:rsidRPr="000D26CC">
        <w:rPr>
          <w:spacing w:val="-2"/>
          <w:kern w:val="17"/>
        </w:rPr>
        <w:t xml:space="preserve"> a</w:t>
      </w:r>
      <w:r w:rsidRPr="000D26CC">
        <w:rPr>
          <w:spacing w:val="-2"/>
          <w:kern w:val="17"/>
        </w:rPr>
        <w:t xml:space="preserve">ccessed May </w:t>
      </w:r>
      <w:r w:rsidR="00CD27D1" w:rsidRPr="000D26CC">
        <w:rPr>
          <w:spacing w:val="-2"/>
          <w:kern w:val="17"/>
        </w:rPr>
        <w:t>29, 2018</w:t>
      </w:r>
      <w:r w:rsidRPr="000D26CC">
        <w:rPr>
          <w:spacing w:val="-2"/>
          <w:kern w:val="17"/>
        </w:rPr>
        <w:t>, www.moneycontrol.com/stocks/marketinfo/netprofit.php?optex=BSE&amp;opttopic=&amp;group=All&amp;sort=sc_comp&amp;order=&amp;indcode=19</w:t>
      </w:r>
      <w:r w:rsidR="002335D9">
        <w:t>.</w:t>
      </w:r>
    </w:p>
    <w:p w14:paraId="481D1D6F" w14:textId="77777777" w:rsidR="002335D9" w:rsidRDefault="002335D9" w:rsidP="002335D9">
      <w:pPr>
        <w:pStyle w:val="ExhibitText"/>
      </w:pPr>
    </w:p>
    <w:p w14:paraId="1FFEF595" w14:textId="77777777" w:rsidR="002335D9" w:rsidRDefault="002335D9" w:rsidP="002335D9">
      <w:pPr>
        <w:pStyle w:val="ExhibitText"/>
      </w:pPr>
    </w:p>
    <w:p w14:paraId="22A848B2" w14:textId="27934530" w:rsidR="00F96550" w:rsidRPr="00DA1242" w:rsidRDefault="00F96550" w:rsidP="00F96550">
      <w:pPr>
        <w:pStyle w:val="ExhibitHeading"/>
      </w:pPr>
      <w:r>
        <w:t>EXHIBIT</w:t>
      </w:r>
      <w:r w:rsidRPr="00270FC4">
        <w:t xml:space="preserve"> 4: </w:t>
      </w:r>
      <w:r w:rsidR="002335D9" w:rsidRPr="001C378E">
        <w:t>ENTRY</w:t>
      </w:r>
      <w:r w:rsidR="00A9245E">
        <w:t>-</w:t>
      </w:r>
      <w:r w:rsidR="002335D9" w:rsidRPr="001C378E">
        <w:t>LEVEL SALARIES OF ENGINEER</w:t>
      </w:r>
      <w:r w:rsidR="002335D9">
        <w:t>s</w:t>
      </w:r>
      <w:r w:rsidR="002335D9" w:rsidRPr="001C378E">
        <w:t xml:space="preserve"> IN VARIOUS SECTORS</w:t>
      </w:r>
      <w:r w:rsidR="002335D9">
        <w:t>,</w:t>
      </w:r>
      <w:r w:rsidR="002335D9" w:rsidRPr="001C378E">
        <w:t xml:space="preserve"> INDIA</w:t>
      </w:r>
    </w:p>
    <w:p w14:paraId="3A6A1642" w14:textId="77777777" w:rsidR="00F96550" w:rsidRPr="00DA1242" w:rsidRDefault="00F96550" w:rsidP="00DA1242">
      <w:pPr>
        <w:pStyle w:val="ExhibitText"/>
      </w:pPr>
    </w:p>
    <w:tbl>
      <w:tblPr>
        <w:tblStyle w:val="TableGrid"/>
        <w:tblW w:w="2666" w:type="pct"/>
        <w:jc w:val="center"/>
        <w:tblLayout w:type="fixed"/>
        <w:tblLook w:val="04A0" w:firstRow="1" w:lastRow="0" w:firstColumn="1" w:lastColumn="0" w:noHBand="0" w:noVBand="1"/>
      </w:tblPr>
      <w:tblGrid>
        <w:gridCol w:w="2492"/>
        <w:gridCol w:w="2493"/>
      </w:tblGrid>
      <w:tr w:rsidR="00A9245E" w:rsidRPr="00F31E94" w14:paraId="2B23741B" w14:textId="77777777" w:rsidTr="005954B6">
        <w:trPr>
          <w:trHeight w:val="360"/>
          <w:jc w:val="center"/>
        </w:trPr>
        <w:tc>
          <w:tcPr>
            <w:tcW w:w="2492" w:type="dxa"/>
            <w:vAlign w:val="center"/>
          </w:tcPr>
          <w:p w14:paraId="29663F7F" w14:textId="59731C3C" w:rsidR="00A9245E" w:rsidRPr="00DA1242" w:rsidRDefault="00A9245E" w:rsidP="005954B6">
            <w:pPr>
              <w:pStyle w:val="ExhibitText"/>
              <w:jc w:val="center"/>
            </w:pPr>
            <w:r w:rsidRPr="001C378E">
              <w:t>Sector/Jobs</w:t>
            </w:r>
          </w:p>
        </w:tc>
        <w:tc>
          <w:tcPr>
            <w:tcW w:w="2493" w:type="dxa"/>
            <w:vAlign w:val="center"/>
          </w:tcPr>
          <w:p w14:paraId="529EA4C1" w14:textId="0DB27B2B" w:rsidR="00A9245E" w:rsidRPr="00DA1242" w:rsidRDefault="00A9245E" w:rsidP="005954B6">
            <w:pPr>
              <w:pStyle w:val="ExhibitText"/>
              <w:jc w:val="center"/>
            </w:pPr>
            <w:r>
              <w:t xml:space="preserve">Average Entry-Level </w:t>
            </w:r>
            <w:r w:rsidRPr="001C378E">
              <w:t xml:space="preserve">Salaries </w:t>
            </w:r>
            <w:r>
              <w:t>(₹ thousands)</w:t>
            </w:r>
          </w:p>
        </w:tc>
      </w:tr>
      <w:tr w:rsidR="00A9245E" w:rsidRPr="00F31E94" w14:paraId="091C76D1" w14:textId="77777777" w:rsidTr="005954B6">
        <w:trPr>
          <w:trHeight w:val="360"/>
          <w:jc w:val="center"/>
        </w:trPr>
        <w:tc>
          <w:tcPr>
            <w:tcW w:w="2492" w:type="dxa"/>
            <w:vAlign w:val="center"/>
          </w:tcPr>
          <w:p w14:paraId="6D5C2335" w14:textId="14438B72" w:rsidR="00A9245E" w:rsidRPr="00DA1242" w:rsidRDefault="00A9245E" w:rsidP="00DA1242">
            <w:pPr>
              <w:pStyle w:val="ExhibitText"/>
              <w:jc w:val="left"/>
            </w:pPr>
            <w:r w:rsidRPr="001C378E">
              <w:t>Civil/Construction</w:t>
            </w:r>
          </w:p>
        </w:tc>
        <w:tc>
          <w:tcPr>
            <w:tcW w:w="2493" w:type="dxa"/>
            <w:vAlign w:val="center"/>
          </w:tcPr>
          <w:p w14:paraId="02BF89F7" w14:textId="7E4951A1" w:rsidR="00A9245E" w:rsidRPr="00DA1242" w:rsidRDefault="00A9245E" w:rsidP="00DA1242">
            <w:pPr>
              <w:pStyle w:val="ExhibitText"/>
              <w:ind w:right="288"/>
              <w:jc w:val="right"/>
            </w:pPr>
            <w:r w:rsidRPr="001C378E">
              <w:t>325</w:t>
            </w:r>
          </w:p>
        </w:tc>
      </w:tr>
      <w:tr w:rsidR="00A9245E" w:rsidRPr="00F31E94" w14:paraId="07099857" w14:textId="77777777" w:rsidTr="005954B6">
        <w:trPr>
          <w:trHeight w:val="360"/>
          <w:jc w:val="center"/>
        </w:trPr>
        <w:tc>
          <w:tcPr>
            <w:tcW w:w="2492" w:type="dxa"/>
            <w:vAlign w:val="center"/>
          </w:tcPr>
          <w:p w14:paraId="0CC9CD7A" w14:textId="2B727D6A" w:rsidR="00A9245E" w:rsidRPr="001C378E" w:rsidRDefault="00A9245E" w:rsidP="00125DC0">
            <w:pPr>
              <w:pStyle w:val="ExhibitText"/>
              <w:jc w:val="left"/>
            </w:pPr>
            <w:r w:rsidRPr="001C378E">
              <w:t>Software Engineer</w:t>
            </w:r>
          </w:p>
        </w:tc>
        <w:tc>
          <w:tcPr>
            <w:tcW w:w="2493" w:type="dxa"/>
            <w:vAlign w:val="center"/>
          </w:tcPr>
          <w:p w14:paraId="34DC6B35" w14:textId="624219CE" w:rsidR="00A9245E" w:rsidRPr="001C378E" w:rsidRDefault="00A9245E" w:rsidP="00125DC0">
            <w:pPr>
              <w:pStyle w:val="ExhibitText"/>
              <w:ind w:right="288"/>
              <w:jc w:val="right"/>
            </w:pPr>
            <w:r w:rsidRPr="001C378E">
              <w:t>408</w:t>
            </w:r>
          </w:p>
        </w:tc>
      </w:tr>
      <w:tr w:rsidR="00A9245E" w:rsidRPr="00F31E94" w14:paraId="2E3DA603" w14:textId="77777777" w:rsidTr="005954B6">
        <w:trPr>
          <w:trHeight w:val="360"/>
          <w:jc w:val="center"/>
        </w:trPr>
        <w:tc>
          <w:tcPr>
            <w:tcW w:w="2492" w:type="dxa"/>
            <w:vAlign w:val="center"/>
          </w:tcPr>
          <w:p w14:paraId="75F53254" w14:textId="1561E198" w:rsidR="00A9245E" w:rsidRPr="001C378E" w:rsidRDefault="00A9245E" w:rsidP="00125DC0">
            <w:pPr>
              <w:pStyle w:val="ExhibitText"/>
              <w:jc w:val="left"/>
            </w:pPr>
            <w:r w:rsidRPr="001C378E">
              <w:t>Ceramics</w:t>
            </w:r>
          </w:p>
        </w:tc>
        <w:tc>
          <w:tcPr>
            <w:tcW w:w="2493" w:type="dxa"/>
            <w:vAlign w:val="center"/>
          </w:tcPr>
          <w:p w14:paraId="5A98AD4F" w14:textId="67183F1C" w:rsidR="00A9245E" w:rsidRPr="001C378E" w:rsidRDefault="00A9245E" w:rsidP="00125DC0">
            <w:pPr>
              <w:pStyle w:val="ExhibitText"/>
              <w:ind w:right="288"/>
              <w:jc w:val="right"/>
            </w:pPr>
            <w:r>
              <w:t>210</w:t>
            </w:r>
          </w:p>
        </w:tc>
      </w:tr>
    </w:tbl>
    <w:p w14:paraId="2D2E5C40" w14:textId="77777777" w:rsidR="002335D9" w:rsidRDefault="002335D9" w:rsidP="002335D9">
      <w:pPr>
        <w:pStyle w:val="ExhibitText"/>
      </w:pPr>
    </w:p>
    <w:p w14:paraId="367FBC96" w14:textId="21BEDB17" w:rsidR="00A9245E" w:rsidRDefault="00A9245E" w:rsidP="0001004B">
      <w:pPr>
        <w:pStyle w:val="Footnote"/>
      </w:pPr>
      <w:r>
        <w:t xml:space="preserve">Note: </w:t>
      </w:r>
      <w:r w:rsidRPr="005D1160">
        <w:rPr>
          <w:rStyle w:val="FootnoteChar"/>
        </w:rPr>
        <w:t>₹ = INR = Indian rupee; the average exchange was ₹67.17 = US$1 in 2016</w:t>
      </w:r>
    </w:p>
    <w:p w14:paraId="45F9AF05" w14:textId="57D1F77C" w:rsidR="0001004B" w:rsidRDefault="002335D9" w:rsidP="005954B6">
      <w:pPr>
        <w:pStyle w:val="Footnote"/>
        <w:jc w:val="both"/>
      </w:pPr>
      <w:r w:rsidRPr="00270FC4">
        <w:t xml:space="preserve">Source: </w:t>
      </w:r>
      <w:r w:rsidR="0001004B">
        <w:t>Ceramic Engineers: Company Sources;</w:t>
      </w:r>
      <w:r>
        <w:t xml:space="preserve"> “</w:t>
      </w:r>
      <w:r w:rsidR="0001004B">
        <w:t>Civil Engineer Salary</w:t>
      </w:r>
      <w:r>
        <w:t xml:space="preserve">,” </w:t>
      </w:r>
      <w:proofErr w:type="spellStart"/>
      <w:r>
        <w:t>PayScale</w:t>
      </w:r>
      <w:proofErr w:type="spellEnd"/>
      <w:r>
        <w:t xml:space="preserve">, accessed </w:t>
      </w:r>
      <w:r w:rsidR="0001004B">
        <w:t>August 1, 2018</w:t>
      </w:r>
      <w:r>
        <w:t xml:space="preserve">, </w:t>
      </w:r>
      <w:r w:rsidR="0001004B" w:rsidRPr="0001004B">
        <w:t>https://www.payscale.com/research/IN/Job=Civil_Engineer/Salary</w:t>
      </w:r>
      <w:r w:rsidR="0001004B">
        <w:t>; “Software Engineer Salary</w:t>
      </w:r>
      <w:r w:rsidR="00A9245E">
        <w:t>,</w:t>
      </w:r>
      <w:r w:rsidR="0001004B">
        <w:t xml:space="preserve">” </w:t>
      </w:r>
      <w:proofErr w:type="spellStart"/>
      <w:r w:rsidR="0001004B">
        <w:t>PayScale</w:t>
      </w:r>
      <w:proofErr w:type="spellEnd"/>
      <w:r w:rsidR="0001004B">
        <w:t xml:space="preserve">, accessed August 1, 2018, </w:t>
      </w:r>
      <w:r w:rsidR="0001004B" w:rsidRPr="00C75EB2">
        <w:t>https://www.payscale.com/research/IN/Job=Software_Engineer/Salary/3d540d01/Entry-Level</w:t>
      </w:r>
      <w:r w:rsidR="0001004B">
        <w:t>.</w:t>
      </w:r>
    </w:p>
    <w:p w14:paraId="16BC1A60" w14:textId="77777777" w:rsidR="0001004B" w:rsidRDefault="0001004B" w:rsidP="0001004B">
      <w:pPr>
        <w:pStyle w:val="CommentText"/>
      </w:pPr>
    </w:p>
    <w:p w14:paraId="5E67689B" w14:textId="77777777" w:rsidR="001C378E" w:rsidRDefault="00F96550" w:rsidP="00DA1242">
      <w:pPr>
        <w:pStyle w:val="Footnote"/>
      </w:pPr>
      <w:r>
        <w:br w:type="page"/>
      </w:r>
    </w:p>
    <w:p w14:paraId="627FFF91" w14:textId="77777777" w:rsidR="00F96550" w:rsidRPr="00270FC4" w:rsidRDefault="001C378E" w:rsidP="00006177">
      <w:pPr>
        <w:pStyle w:val="ExhibitHeading"/>
        <w:outlineLvl w:val="0"/>
        <w:rPr>
          <w:color w:val="393536"/>
        </w:rPr>
      </w:pPr>
      <w:r w:rsidRPr="00554788">
        <w:lastRenderedPageBreak/>
        <w:t xml:space="preserve">EXHIBIT 5: </w:t>
      </w:r>
      <w:r w:rsidR="00A15470">
        <w:t xml:space="preserve">Somany Ceramics LImited, </w:t>
      </w:r>
      <w:r w:rsidR="00F96550" w:rsidRPr="00270FC4">
        <w:t xml:space="preserve">Statement of Profit &amp; Loss </w:t>
      </w:r>
      <w:r w:rsidR="00C919C6">
        <w:t>(₹ millions)</w:t>
      </w:r>
    </w:p>
    <w:p w14:paraId="637C5542" w14:textId="77777777" w:rsidR="00D0482A" w:rsidRDefault="00D0482A" w:rsidP="00A15470">
      <w:pPr>
        <w:pStyle w:val="ExhibitText"/>
      </w:pPr>
    </w:p>
    <w:tbl>
      <w:tblPr>
        <w:tblW w:w="461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6"/>
        <w:gridCol w:w="2070"/>
        <w:gridCol w:w="2070"/>
      </w:tblGrid>
      <w:tr w:rsidR="006B7B81" w:rsidRPr="00C919C6" w14:paraId="2D01BAF5" w14:textId="77777777" w:rsidTr="006B7B81">
        <w:trPr>
          <w:trHeight w:val="360"/>
          <w:jc w:val="center"/>
        </w:trPr>
        <w:tc>
          <w:tcPr>
            <w:tcW w:w="4495" w:type="dxa"/>
            <w:shd w:val="clear" w:color="auto" w:fill="auto"/>
            <w:noWrap/>
            <w:vAlign w:val="center"/>
          </w:tcPr>
          <w:p w14:paraId="33DFC149" w14:textId="77777777" w:rsidR="006B7B81" w:rsidRPr="00C919C6" w:rsidRDefault="006B7B81" w:rsidP="006B7B81">
            <w:pPr>
              <w:pStyle w:val="ExhibitText"/>
              <w:jc w:val="right"/>
              <w:rPr>
                <w:b/>
              </w:rPr>
            </w:pPr>
            <w:r w:rsidRPr="00C919C6">
              <w:rPr>
                <w:b/>
              </w:rPr>
              <w:t>For the year ended</w:t>
            </w:r>
          </w:p>
        </w:tc>
        <w:tc>
          <w:tcPr>
            <w:tcW w:w="2070" w:type="dxa"/>
            <w:vAlign w:val="center"/>
          </w:tcPr>
          <w:p w14:paraId="2A06CE1C" w14:textId="77777777" w:rsidR="006B7B81" w:rsidRPr="00C919C6" w:rsidRDefault="006B7B81" w:rsidP="006B7B81">
            <w:pPr>
              <w:pStyle w:val="ExhibitText"/>
              <w:jc w:val="center"/>
              <w:rPr>
                <w:b/>
              </w:rPr>
            </w:pPr>
            <w:r w:rsidRPr="00C919C6">
              <w:rPr>
                <w:b/>
              </w:rPr>
              <w:t>March 31, 2015</w:t>
            </w:r>
          </w:p>
        </w:tc>
        <w:tc>
          <w:tcPr>
            <w:tcW w:w="2070" w:type="dxa"/>
            <w:shd w:val="clear" w:color="auto" w:fill="auto"/>
            <w:noWrap/>
            <w:vAlign w:val="center"/>
          </w:tcPr>
          <w:p w14:paraId="621DD1AD" w14:textId="77777777" w:rsidR="006B7B81" w:rsidRPr="00C919C6" w:rsidRDefault="006B7B81" w:rsidP="006B7B81">
            <w:pPr>
              <w:pStyle w:val="ExhibitText"/>
              <w:jc w:val="center"/>
              <w:rPr>
                <w:b/>
              </w:rPr>
            </w:pPr>
            <w:r w:rsidRPr="00C919C6">
              <w:rPr>
                <w:b/>
              </w:rPr>
              <w:t>March 31, 2016</w:t>
            </w:r>
          </w:p>
        </w:tc>
      </w:tr>
      <w:tr w:rsidR="006B7B81" w:rsidRPr="00C919C6" w14:paraId="5EF56C2D" w14:textId="77777777" w:rsidTr="006B7B81">
        <w:trPr>
          <w:trHeight w:val="360"/>
          <w:jc w:val="center"/>
        </w:trPr>
        <w:tc>
          <w:tcPr>
            <w:tcW w:w="4495" w:type="dxa"/>
            <w:shd w:val="clear" w:color="auto" w:fill="auto"/>
            <w:noWrap/>
            <w:vAlign w:val="center"/>
            <w:hideMark/>
          </w:tcPr>
          <w:p w14:paraId="366E0C11" w14:textId="77777777" w:rsidR="006B7B81" w:rsidRPr="00C919C6" w:rsidRDefault="006B7B81" w:rsidP="006B7B81">
            <w:pPr>
              <w:pStyle w:val="ExhibitText"/>
              <w:jc w:val="left"/>
            </w:pPr>
            <w:r w:rsidRPr="00C919C6">
              <w:t>Revenue from Operations</w:t>
            </w:r>
          </w:p>
        </w:tc>
        <w:tc>
          <w:tcPr>
            <w:tcW w:w="2070" w:type="dxa"/>
            <w:vAlign w:val="center"/>
          </w:tcPr>
          <w:p w14:paraId="36D1B175" w14:textId="77777777" w:rsidR="006B7B81" w:rsidRPr="00C919C6" w:rsidRDefault="006B7B81" w:rsidP="006B7B81">
            <w:pPr>
              <w:pStyle w:val="ExhibitText"/>
              <w:ind w:right="144"/>
              <w:jc w:val="right"/>
            </w:pPr>
            <w:r w:rsidRPr="00C919C6">
              <w:t>15,410</w:t>
            </w:r>
            <w:r>
              <w:t>.00</w:t>
            </w:r>
          </w:p>
        </w:tc>
        <w:tc>
          <w:tcPr>
            <w:tcW w:w="2070" w:type="dxa"/>
            <w:shd w:val="clear" w:color="auto" w:fill="auto"/>
            <w:noWrap/>
            <w:vAlign w:val="center"/>
            <w:hideMark/>
          </w:tcPr>
          <w:p w14:paraId="2591A1B5" w14:textId="77777777" w:rsidR="006B7B81" w:rsidRPr="00C919C6" w:rsidRDefault="006B7B81" w:rsidP="006B7B81">
            <w:pPr>
              <w:pStyle w:val="ExhibitText"/>
              <w:ind w:right="144"/>
              <w:jc w:val="right"/>
            </w:pPr>
            <w:r w:rsidRPr="00C919C6">
              <w:t>17,307</w:t>
            </w:r>
            <w:r>
              <w:t>.00</w:t>
            </w:r>
          </w:p>
        </w:tc>
      </w:tr>
      <w:tr w:rsidR="006B7B81" w:rsidRPr="00C919C6" w14:paraId="2F1C5881" w14:textId="77777777" w:rsidTr="006B7B81">
        <w:trPr>
          <w:trHeight w:val="360"/>
          <w:jc w:val="center"/>
        </w:trPr>
        <w:tc>
          <w:tcPr>
            <w:tcW w:w="4495" w:type="dxa"/>
            <w:shd w:val="clear" w:color="auto" w:fill="auto"/>
            <w:noWrap/>
            <w:vAlign w:val="center"/>
            <w:hideMark/>
          </w:tcPr>
          <w:p w14:paraId="0843E8DF" w14:textId="77777777" w:rsidR="006B7B81" w:rsidRPr="00C919C6" w:rsidRDefault="006B7B81" w:rsidP="006B7B81">
            <w:pPr>
              <w:pStyle w:val="ExhibitText"/>
              <w:jc w:val="left"/>
            </w:pPr>
            <w:r w:rsidRPr="00C919C6">
              <w:t>Other Income</w:t>
            </w:r>
          </w:p>
        </w:tc>
        <w:tc>
          <w:tcPr>
            <w:tcW w:w="2070" w:type="dxa"/>
            <w:vAlign w:val="center"/>
          </w:tcPr>
          <w:p w14:paraId="3049636B" w14:textId="77777777" w:rsidR="006B7B81" w:rsidRPr="00C919C6" w:rsidRDefault="006B7B81" w:rsidP="006B7B81">
            <w:pPr>
              <w:pStyle w:val="ExhibitText"/>
              <w:ind w:right="144"/>
              <w:jc w:val="right"/>
            </w:pPr>
            <w:r w:rsidRPr="00C919C6">
              <w:t>78.34</w:t>
            </w:r>
          </w:p>
        </w:tc>
        <w:tc>
          <w:tcPr>
            <w:tcW w:w="2070" w:type="dxa"/>
            <w:shd w:val="clear" w:color="auto" w:fill="auto"/>
            <w:noWrap/>
            <w:vAlign w:val="center"/>
            <w:hideMark/>
          </w:tcPr>
          <w:p w14:paraId="0A77C063" w14:textId="77777777" w:rsidR="006B7B81" w:rsidRPr="00C919C6" w:rsidRDefault="006B7B81" w:rsidP="006B7B81">
            <w:pPr>
              <w:pStyle w:val="ExhibitText"/>
              <w:ind w:right="144"/>
              <w:jc w:val="right"/>
            </w:pPr>
            <w:r w:rsidRPr="00C919C6">
              <w:t>92.06</w:t>
            </w:r>
          </w:p>
        </w:tc>
      </w:tr>
      <w:tr w:rsidR="006B7B81" w:rsidRPr="00B27641" w14:paraId="2AE793DD" w14:textId="77777777" w:rsidTr="006B7B81">
        <w:trPr>
          <w:trHeight w:val="360"/>
          <w:jc w:val="center"/>
        </w:trPr>
        <w:tc>
          <w:tcPr>
            <w:tcW w:w="4495" w:type="dxa"/>
            <w:tcBorders>
              <w:bottom w:val="single" w:sz="4" w:space="0" w:color="auto"/>
            </w:tcBorders>
            <w:shd w:val="clear" w:color="auto" w:fill="auto"/>
            <w:noWrap/>
            <w:vAlign w:val="center"/>
            <w:hideMark/>
          </w:tcPr>
          <w:p w14:paraId="6D7C0BBA" w14:textId="77777777" w:rsidR="006B7B81" w:rsidRPr="00B27641" w:rsidRDefault="006B7B81" w:rsidP="006B7B81">
            <w:pPr>
              <w:pStyle w:val="ExhibitText"/>
              <w:jc w:val="left"/>
              <w:rPr>
                <w:b/>
              </w:rPr>
            </w:pPr>
            <w:r w:rsidRPr="00B27641">
              <w:rPr>
                <w:b/>
              </w:rPr>
              <w:t>Total Revenue</w:t>
            </w:r>
          </w:p>
        </w:tc>
        <w:tc>
          <w:tcPr>
            <w:tcW w:w="2070" w:type="dxa"/>
            <w:tcBorders>
              <w:bottom w:val="single" w:sz="4" w:space="0" w:color="auto"/>
            </w:tcBorders>
            <w:vAlign w:val="center"/>
          </w:tcPr>
          <w:p w14:paraId="4ADAC79F" w14:textId="77777777" w:rsidR="006B7B81" w:rsidRPr="00B27641" w:rsidRDefault="006B7B81" w:rsidP="006B7B81">
            <w:pPr>
              <w:pStyle w:val="ExhibitText"/>
              <w:ind w:right="144"/>
              <w:jc w:val="right"/>
              <w:rPr>
                <w:b/>
              </w:rPr>
            </w:pPr>
            <w:r w:rsidRPr="00B27641">
              <w:rPr>
                <w:b/>
              </w:rPr>
              <w:t>15,489.00</w:t>
            </w:r>
          </w:p>
        </w:tc>
        <w:tc>
          <w:tcPr>
            <w:tcW w:w="2070" w:type="dxa"/>
            <w:tcBorders>
              <w:bottom w:val="single" w:sz="4" w:space="0" w:color="auto"/>
            </w:tcBorders>
            <w:shd w:val="clear" w:color="auto" w:fill="auto"/>
            <w:noWrap/>
            <w:vAlign w:val="center"/>
            <w:hideMark/>
          </w:tcPr>
          <w:p w14:paraId="4628EBB7" w14:textId="77777777" w:rsidR="006B7B81" w:rsidRPr="00B27641" w:rsidRDefault="006B7B81" w:rsidP="006B7B81">
            <w:pPr>
              <w:pStyle w:val="ExhibitText"/>
              <w:ind w:right="144"/>
              <w:jc w:val="right"/>
              <w:rPr>
                <w:b/>
              </w:rPr>
            </w:pPr>
            <w:r w:rsidRPr="00B27641">
              <w:rPr>
                <w:b/>
              </w:rPr>
              <w:t>17,399.00</w:t>
            </w:r>
          </w:p>
        </w:tc>
      </w:tr>
      <w:tr w:rsidR="006B7B81" w:rsidRPr="00C919C6" w14:paraId="55D23FAB" w14:textId="77777777" w:rsidTr="006B7B81">
        <w:trPr>
          <w:trHeight w:val="360"/>
          <w:jc w:val="center"/>
        </w:trPr>
        <w:tc>
          <w:tcPr>
            <w:tcW w:w="4495" w:type="dxa"/>
            <w:tcBorders>
              <w:right w:val="nil"/>
            </w:tcBorders>
            <w:shd w:val="clear" w:color="auto" w:fill="auto"/>
            <w:noWrap/>
            <w:vAlign w:val="center"/>
          </w:tcPr>
          <w:p w14:paraId="11204A99" w14:textId="77777777" w:rsidR="006B7B81" w:rsidRPr="00C919C6" w:rsidRDefault="006B7B81" w:rsidP="006B7B81">
            <w:pPr>
              <w:pStyle w:val="ExhibitText"/>
              <w:ind w:right="144"/>
              <w:jc w:val="left"/>
              <w:rPr>
                <w:b/>
              </w:rPr>
            </w:pPr>
            <w:r w:rsidRPr="00C919C6">
              <w:rPr>
                <w:b/>
              </w:rPr>
              <w:t>Expenses</w:t>
            </w:r>
          </w:p>
        </w:tc>
        <w:tc>
          <w:tcPr>
            <w:tcW w:w="2070" w:type="dxa"/>
            <w:tcBorders>
              <w:left w:val="nil"/>
              <w:right w:val="nil"/>
            </w:tcBorders>
            <w:vAlign w:val="center"/>
          </w:tcPr>
          <w:p w14:paraId="1EDA83BC" w14:textId="77777777" w:rsidR="006B7B81" w:rsidRPr="00C919C6" w:rsidRDefault="006B7B81" w:rsidP="006B7B81">
            <w:pPr>
              <w:pStyle w:val="ExhibitText"/>
              <w:ind w:right="144"/>
              <w:jc w:val="left"/>
              <w:rPr>
                <w:b/>
              </w:rPr>
            </w:pPr>
          </w:p>
        </w:tc>
        <w:tc>
          <w:tcPr>
            <w:tcW w:w="2070" w:type="dxa"/>
            <w:tcBorders>
              <w:left w:val="nil"/>
            </w:tcBorders>
            <w:shd w:val="clear" w:color="auto" w:fill="auto"/>
            <w:vAlign w:val="center"/>
          </w:tcPr>
          <w:p w14:paraId="3FFC86F5" w14:textId="77777777" w:rsidR="006B7B81" w:rsidRPr="00C919C6" w:rsidRDefault="006B7B81" w:rsidP="006B7B81">
            <w:pPr>
              <w:pStyle w:val="ExhibitText"/>
              <w:ind w:right="144"/>
              <w:jc w:val="left"/>
              <w:rPr>
                <w:b/>
              </w:rPr>
            </w:pPr>
          </w:p>
        </w:tc>
      </w:tr>
      <w:tr w:rsidR="006B7B81" w:rsidRPr="00C919C6" w14:paraId="182BC61A" w14:textId="77777777" w:rsidTr="006B7B81">
        <w:trPr>
          <w:trHeight w:val="360"/>
          <w:jc w:val="center"/>
        </w:trPr>
        <w:tc>
          <w:tcPr>
            <w:tcW w:w="4495" w:type="dxa"/>
            <w:shd w:val="clear" w:color="auto" w:fill="auto"/>
            <w:noWrap/>
            <w:vAlign w:val="center"/>
            <w:hideMark/>
          </w:tcPr>
          <w:p w14:paraId="7DE154B7" w14:textId="77777777" w:rsidR="006B7B81" w:rsidRPr="00C919C6" w:rsidRDefault="006B7B81" w:rsidP="006B7B81">
            <w:pPr>
              <w:pStyle w:val="ExhibitText"/>
              <w:jc w:val="left"/>
            </w:pPr>
            <w:r w:rsidRPr="00C919C6">
              <w:t>Cost of Materials Consumed</w:t>
            </w:r>
          </w:p>
        </w:tc>
        <w:tc>
          <w:tcPr>
            <w:tcW w:w="2070" w:type="dxa"/>
            <w:vAlign w:val="center"/>
          </w:tcPr>
          <w:p w14:paraId="487BE944" w14:textId="77777777" w:rsidR="006B7B81" w:rsidRDefault="006B7B81" w:rsidP="006B7B81">
            <w:pPr>
              <w:pStyle w:val="ExhibitText"/>
              <w:ind w:right="144"/>
              <w:jc w:val="right"/>
            </w:pPr>
            <w:r w:rsidRPr="00C919C6">
              <w:t>1,699.7</w:t>
            </w:r>
            <w:r>
              <w:t>0</w:t>
            </w:r>
          </w:p>
        </w:tc>
        <w:tc>
          <w:tcPr>
            <w:tcW w:w="2070" w:type="dxa"/>
            <w:shd w:val="clear" w:color="auto" w:fill="auto"/>
            <w:noWrap/>
            <w:vAlign w:val="center"/>
            <w:hideMark/>
          </w:tcPr>
          <w:p w14:paraId="54B0A80C" w14:textId="77777777" w:rsidR="006B7B81" w:rsidRPr="00C919C6" w:rsidRDefault="006B7B81" w:rsidP="006B7B81">
            <w:pPr>
              <w:pStyle w:val="ExhibitText"/>
              <w:ind w:right="144"/>
              <w:jc w:val="right"/>
            </w:pPr>
            <w:r>
              <w:t>1,6</w:t>
            </w:r>
            <w:r w:rsidRPr="00C919C6">
              <w:t>46.2</w:t>
            </w:r>
            <w:r>
              <w:t>0</w:t>
            </w:r>
          </w:p>
        </w:tc>
      </w:tr>
      <w:tr w:rsidR="006B7B81" w:rsidRPr="00C919C6" w14:paraId="59606A1E" w14:textId="77777777" w:rsidTr="006B7B81">
        <w:trPr>
          <w:trHeight w:val="360"/>
          <w:jc w:val="center"/>
        </w:trPr>
        <w:tc>
          <w:tcPr>
            <w:tcW w:w="4495" w:type="dxa"/>
            <w:shd w:val="clear" w:color="auto" w:fill="auto"/>
            <w:noWrap/>
            <w:vAlign w:val="center"/>
            <w:hideMark/>
          </w:tcPr>
          <w:p w14:paraId="625BA2F1" w14:textId="77777777" w:rsidR="006B7B81" w:rsidRPr="00C919C6" w:rsidRDefault="006B7B81" w:rsidP="006B7B81">
            <w:pPr>
              <w:pStyle w:val="ExhibitText"/>
              <w:jc w:val="left"/>
            </w:pPr>
            <w:r w:rsidRPr="00C919C6">
              <w:t>Purchases of Stock-in-Trade</w:t>
            </w:r>
          </w:p>
        </w:tc>
        <w:tc>
          <w:tcPr>
            <w:tcW w:w="2070" w:type="dxa"/>
            <w:vAlign w:val="center"/>
          </w:tcPr>
          <w:p w14:paraId="7086ED09" w14:textId="77777777" w:rsidR="006B7B81" w:rsidRPr="00C919C6" w:rsidRDefault="006B7B81" w:rsidP="006B7B81">
            <w:pPr>
              <w:pStyle w:val="ExhibitText"/>
              <w:ind w:right="144"/>
              <w:jc w:val="right"/>
            </w:pPr>
            <w:r w:rsidRPr="00C919C6">
              <w:t>8,504</w:t>
            </w:r>
            <w:r>
              <w:t>.00</w:t>
            </w:r>
          </w:p>
        </w:tc>
        <w:tc>
          <w:tcPr>
            <w:tcW w:w="2070" w:type="dxa"/>
            <w:shd w:val="clear" w:color="auto" w:fill="auto"/>
            <w:noWrap/>
            <w:vAlign w:val="center"/>
            <w:hideMark/>
          </w:tcPr>
          <w:p w14:paraId="03406B48" w14:textId="77777777" w:rsidR="006B7B81" w:rsidRPr="00C919C6" w:rsidRDefault="006B7B81" w:rsidP="006B7B81">
            <w:pPr>
              <w:pStyle w:val="ExhibitText"/>
              <w:ind w:right="144"/>
              <w:jc w:val="right"/>
            </w:pPr>
            <w:r w:rsidRPr="00C919C6">
              <w:t>9,528.4</w:t>
            </w:r>
            <w:r>
              <w:t>0</w:t>
            </w:r>
          </w:p>
        </w:tc>
      </w:tr>
      <w:tr w:rsidR="006B7B81" w:rsidRPr="00C919C6" w14:paraId="5A0D87E2" w14:textId="77777777" w:rsidTr="006B7B81">
        <w:trPr>
          <w:trHeight w:val="360"/>
          <w:jc w:val="center"/>
        </w:trPr>
        <w:tc>
          <w:tcPr>
            <w:tcW w:w="4495" w:type="dxa"/>
            <w:shd w:val="clear" w:color="auto" w:fill="auto"/>
            <w:noWrap/>
            <w:vAlign w:val="center"/>
            <w:hideMark/>
          </w:tcPr>
          <w:p w14:paraId="62D3ED3F" w14:textId="77777777" w:rsidR="006B7B81" w:rsidRPr="00C919C6" w:rsidRDefault="006B7B81" w:rsidP="006B7B81">
            <w:pPr>
              <w:pStyle w:val="ExhibitText"/>
              <w:jc w:val="left"/>
            </w:pPr>
            <w:r w:rsidRPr="00C919C6">
              <w:t>Change in Inventories of Finished Goods</w:t>
            </w:r>
          </w:p>
        </w:tc>
        <w:tc>
          <w:tcPr>
            <w:tcW w:w="2070" w:type="dxa"/>
            <w:vAlign w:val="center"/>
          </w:tcPr>
          <w:p w14:paraId="77416D63" w14:textId="77777777" w:rsidR="006B7B81" w:rsidRPr="00C919C6" w:rsidRDefault="006B7B81" w:rsidP="006B7B81">
            <w:pPr>
              <w:pStyle w:val="ExhibitText"/>
              <w:ind w:right="144"/>
              <w:jc w:val="right"/>
            </w:pPr>
          </w:p>
        </w:tc>
        <w:tc>
          <w:tcPr>
            <w:tcW w:w="2070" w:type="dxa"/>
            <w:vAlign w:val="center"/>
          </w:tcPr>
          <w:p w14:paraId="240E7790" w14:textId="77777777" w:rsidR="006B7B81" w:rsidRPr="00C919C6" w:rsidRDefault="006B7B81" w:rsidP="006B7B81">
            <w:pPr>
              <w:pStyle w:val="ExhibitText"/>
              <w:ind w:right="144"/>
              <w:jc w:val="right"/>
            </w:pPr>
          </w:p>
        </w:tc>
      </w:tr>
      <w:tr w:rsidR="006B7B81" w:rsidRPr="00C919C6" w14:paraId="05F490B5" w14:textId="77777777" w:rsidTr="006B7B81">
        <w:trPr>
          <w:trHeight w:val="360"/>
          <w:jc w:val="center"/>
        </w:trPr>
        <w:tc>
          <w:tcPr>
            <w:tcW w:w="4495" w:type="dxa"/>
            <w:shd w:val="clear" w:color="auto" w:fill="auto"/>
            <w:noWrap/>
            <w:vAlign w:val="center"/>
            <w:hideMark/>
          </w:tcPr>
          <w:p w14:paraId="5422C842" w14:textId="2D1040F7" w:rsidR="006B7B81" w:rsidRPr="00C919C6" w:rsidRDefault="006B7B81" w:rsidP="00904483">
            <w:pPr>
              <w:pStyle w:val="ExhibitText"/>
              <w:jc w:val="left"/>
            </w:pPr>
            <w:r w:rsidRPr="00C919C6">
              <w:t>Work-in-</w:t>
            </w:r>
            <w:r w:rsidR="00A9245E">
              <w:t>P</w:t>
            </w:r>
            <w:r w:rsidRPr="00C919C6">
              <w:t>rogress and Stock-in-Trade</w:t>
            </w:r>
          </w:p>
        </w:tc>
        <w:tc>
          <w:tcPr>
            <w:tcW w:w="2070" w:type="dxa"/>
            <w:vAlign w:val="center"/>
          </w:tcPr>
          <w:p w14:paraId="5569800A" w14:textId="77777777" w:rsidR="006B7B81" w:rsidRPr="00C919C6" w:rsidRDefault="006B7B81" w:rsidP="006B7B81">
            <w:pPr>
              <w:pStyle w:val="ExhibitText"/>
              <w:ind w:right="144"/>
              <w:jc w:val="right"/>
            </w:pPr>
            <w:r>
              <w:t>(−</w:t>
            </w:r>
            <w:r w:rsidRPr="00C919C6">
              <w:t>350.78)</w:t>
            </w:r>
          </w:p>
        </w:tc>
        <w:tc>
          <w:tcPr>
            <w:tcW w:w="2070" w:type="dxa"/>
            <w:shd w:val="clear" w:color="auto" w:fill="auto"/>
            <w:noWrap/>
            <w:vAlign w:val="center"/>
            <w:hideMark/>
          </w:tcPr>
          <w:p w14:paraId="4B61E755" w14:textId="77777777" w:rsidR="006B7B81" w:rsidRPr="00C919C6" w:rsidRDefault="006B7B81" w:rsidP="006B7B81">
            <w:pPr>
              <w:pStyle w:val="ExhibitText"/>
              <w:ind w:right="144"/>
              <w:jc w:val="right"/>
            </w:pPr>
            <w:r w:rsidRPr="00C919C6">
              <w:t>62.07</w:t>
            </w:r>
          </w:p>
        </w:tc>
      </w:tr>
      <w:tr w:rsidR="006B7B81" w:rsidRPr="00C919C6" w14:paraId="5DCB7FB7" w14:textId="77777777" w:rsidTr="006B7B81">
        <w:trPr>
          <w:trHeight w:val="360"/>
          <w:jc w:val="center"/>
        </w:trPr>
        <w:tc>
          <w:tcPr>
            <w:tcW w:w="4495" w:type="dxa"/>
            <w:shd w:val="clear" w:color="auto" w:fill="auto"/>
            <w:noWrap/>
            <w:vAlign w:val="center"/>
            <w:hideMark/>
          </w:tcPr>
          <w:p w14:paraId="126027A7" w14:textId="77777777" w:rsidR="006B7B81" w:rsidRPr="00C919C6" w:rsidRDefault="006B7B81" w:rsidP="006B7B81">
            <w:pPr>
              <w:pStyle w:val="ExhibitText"/>
              <w:jc w:val="left"/>
            </w:pPr>
            <w:r w:rsidRPr="00C919C6">
              <w:t>Employee Benefit Expense</w:t>
            </w:r>
          </w:p>
        </w:tc>
        <w:tc>
          <w:tcPr>
            <w:tcW w:w="2070" w:type="dxa"/>
            <w:vAlign w:val="center"/>
          </w:tcPr>
          <w:p w14:paraId="0DDDF87B" w14:textId="77777777" w:rsidR="006B7B81" w:rsidRPr="00C919C6" w:rsidRDefault="006B7B81" w:rsidP="006B7B81">
            <w:pPr>
              <w:pStyle w:val="ExhibitText"/>
              <w:ind w:right="144"/>
              <w:jc w:val="right"/>
            </w:pPr>
            <w:r w:rsidRPr="00C919C6">
              <w:t>953.61</w:t>
            </w:r>
          </w:p>
        </w:tc>
        <w:tc>
          <w:tcPr>
            <w:tcW w:w="2070" w:type="dxa"/>
            <w:shd w:val="clear" w:color="auto" w:fill="auto"/>
            <w:noWrap/>
            <w:vAlign w:val="center"/>
            <w:hideMark/>
          </w:tcPr>
          <w:p w14:paraId="17922CC0" w14:textId="77777777" w:rsidR="006B7B81" w:rsidRPr="00C919C6" w:rsidRDefault="006B7B81" w:rsidP="006B7B81">
            <w:pPr>
              <w:pStyle w:val="ExhibitText"/>
              <w:ind w:right="144"/>
              <w:jc w:val="right"/>
            </w:pPr>
            <w:r w:rsidRPr="00C919C6">
              <w:t>1,116.3</w:t>
            </w:r>
            <w:r>
              <w:t>0</w:t>
            </w:r>
          </w:p>
        </w:tc>
      </w:tr>
      <w:tr w:rsidR="006B7B81" w:rsidRPr="00C919C6" w14:paraId="63CF20B5" w14:textId="77777777" w:rsidTr="006B7B81">
        <w:trPr>
          <w:trHeight w:val="360"/>
          <w:jc w:val="center"/>
        </w:trPr>
        <w:tc>
          <w:tcPr>
            <w:tcW w:w="4495" w:type="dxa"/>
            <w:shd w:val="clear" w:color="auto" w:fill="auto"/>
            <w:noWrap/>
            <w:vAlign w:val="center"/>
            <w:hideMark/>
          </w:tcPr>
          <w:p w14:paraId="62EF71A2" w14:textId="77777777" w:rsidR="006B7B81" w:rsidRPr="00C919C6" w:rsidRDefault="006B7B81" w:rsidP="006B7B81">
            <w:pPr>
              <w:pStyle w:val="ExhibitText"/>
              <w:jc w:val="left"/>
            </w:pPr>
            <w:r w:rsidRPr="00C919C6">
              <w:t>Finance Cost</w:t>
            </w:r>
          </w:p>
        </w:tc>
        <w:tc>
          <w:tcPr>
            <w:tcW w:w="2070" w:type="dxa"/>
            <w:vAlign w:val="center"/>
          </w:tcPr>
          <w:p w14:paraId="16E7521C" w14:textId="77777777" w:rsidR="006B7B81" w:rsidRPr="00C919C6" w:rsidRDefault="006B7B81" w:rsidP="006B7B81">
            <w:pPr>
              <w:pStyle w:val="ExhibitText"/>
              <w:ind w:right="144"/>
              <w:jc w:val="right"/>
            </w:pPr>
            <w:r w:rsidRPr="00C919C6">
              <w:t>163.07</w:t>
            </w:r>
          </w:p>
        </w:tc>
        <w:tc>
          <w:tcPr>
            <w:tcW w:w="2070" w:type="dxa"/>
            <w:shd w:val="clear" w:color="auto" w:fill="auto"/>
            <w:noWrap/>
            <w:vAlign w:val="center"/>
            <w:hideMark/>
          </w:tcPr>
          <w:p w14:paraId="4345B21F" w14:textId="77777777" w:rsidR="006B7B81" w:rsidRPr="00C919C6" w:rsidRDefault="006B7B81" w:rsidP="006B7B81">
            <w:pPr>
              <w:pStyle w:val="ExhibitText"/>
              <w:ind w:right="144"/>
              <w:jc w:val="right"/>
            </w:pPr>
            <w:r w:rsidRPr="00C919C6">
              <w:t>163.33</w:t>
            </w:r>
          </w:p>
        </w:tc>
      </w:tr>
      <w:tr w:rsidR="006B7B81" w:rsidRPr="00C919C6" w14:paraId="2FE01999" w14:textId="77777777" w:rsidTr="006B7B81">
        <w:trPr>
          <w:trHeight w:val="360"/>
          <w:jc w:val="center"/>
        </w:trPr>
        <w:tc>
          <w:tcPr>
            <w:tcW w:w="4495" w:type="dxa"/>
            <w:shd w:val="clear" w:color="auto" w:fill="auto"/>
            <w:noWrap/>
            <w:vAlign w:val="center"/>
            <w:hideMark/>
          </w:tcPr>
          <w:p w14:paraId="1C26AA9B" w14:textId="77777777" w:rsidR="006B7B81" w:rsidRPr="00C919C6" w:rsidRDefault="006B7B81" w:rsidP="006B7B81">
            <w:pPr>
              <w:pStyle w:val="ExhibitText"/>
              <w:jc w:val="left"/>
            </w:pPr>
            <w:r w:rsidRPr="00C919C6">
              <w:t>Depreciation and Amortization Expense</w:t>
            </w:r>
          </w:p>
        </w:tc>
        <w:tc>
          <w:tcPr>
            <w:tcW w:w="2070" w:type="dxa"/>
            <w:vAlign w:val="center"/>
          </w:tcPr>
          <w:p w14:paraId="126BB089" w14:textId="77777777" w:rsidR="006B7B81" w:rsidRPr="00C919C6" w:rsidRDefault="006B7B81" w:rsidP="006B7B81">
            <w:pPr>
              <w:pStyle w:val="ExhibitText"/>
              <w:ind w:right="144"/>
              <w:jc w:val="right"/>
            </w:pPr>
            <w:r w:rsidRPr="00C919C6">
              <w:t>222.68</w:t>
            </w:r>
          </w:p>
        </w:tc>
        <w:tc>
          <w:tcPr>
            <w:tcW w:w="2070" w:type="dxa"/>
            <w:shd w:val="clear" w:color="auto" w:fill="auto"/>
            <w:noWrap/>
            <w:vAlign w:val="center"/>
            <w:hideMark/>
          </w:tcPr>
          <w:p w14:paraId="48604266" w14:textId="77777777" w:rsidR="006B7B81" w:rsidRPr="00C919C6" w:rsidRDefault="006B7B81" w:rsidP="006B7B81">
            <w:pPr>
              <w:pStyle w:val="ExhibitText"/>
              <w:ind w:right="144"/>
              <w:jc w:val="right"/>
            </w:pPr>
            <w:r w:rsidRPr="00C919C6">
              <w:t>205.69</w:t>
            </w:r>
          </w:p>
        </w:tc>
      </w:tr>
      <w:tr w:rsidR="006B7B81" w:rsidRPr="00C919C6" w14:paraId="4567046B" w14:textId="77777777" w:rsidTr="006B7B81">
        <w:trPr>
          <w:trHeight w:val="360"/>
          <w:jc w:val="center"/>
        </w:trPr>
        <w:tc>
          <w:tcPr>
            <w:tcW w:w="4495" w:type="dxa"/>
            <w:shd w:val="clear" w:color="auto" w:fill="auto"/>
            <w:noWrap/>
            <w:vAlign w:val="center"/>
            <w:hideMark/>
          </w:tcPr>
          <w:p w14:paraId="4342D48E" w14:textId="77777777" w:rsidR="006B7B81" w:rsidRPr="00C919C6" w:rsidRDefault="006B7B81" w:rsidP="006B7B81">
            <w:pPr>
              <w:pStyle w:val="ExhibitText"/>
              <w:jc w:val="left"/>
            </w:pPr>
            <w:r w:rsidRPr="00C919C6">
              <w:t>Other Expenses</w:t>
            </w:r>
          </w:p>
        </w:tc>
        <w:tc>
          <w:tcPr>
            <w:tcW w:w="2070" w:type="dxa"/>
            <w:vAlign w:val="center"/>
          </w:tcPr>
          <w:p w14:paraId="75E11A7C" w14:textId="77777777" w:rsidR="006B7B81" w:rsidRPr="00C919C6" w:rsidRDefault="006B7B81" w:rsidP="006B7B81">
            <w:pPr>
              <w:pStyle w:val="ExhibitText"/>
              <w:ind w:right="144"/>
              <w:jc w:val="right"/>
            </w:pPr>
            <w:r w:rsidRPr="00C919C6">
              <w:t>3,641.5</w:t>
            </w:r>
            <w:r>
              <w:t>0</w:t>
            </w:r>
          </w:p>
        </w:tc>
        <w:tc>
          <w:tcPr>
            <w:tcW w:w="2070" w:type="dxa"/>
            <w:shd w:val="clear" w:color="auto" w:fill="auto"/>
            <w:noWrap/>
            <w:vAlign w:val="center"/>
            <w:hideMark/>
          </w:tcPr>
          <w:p w14:paraId="57C1EB26" w14:textId="77777777" w:rsidR="006B7B81" w:rsidRPr="00C919C6" w:rsidRDefault="006B7B81" w:rsidP="006B7B81">
            <w:pPr>
              <w:pStyle w:val="ExhibitText"/>
              <w:ind w:right="144"/>
              <w:jc w:val="right"/>
            </w:pPr>
            <w:r w:rsidRPr="00C919C6">
              <w:t>3</w:t>
            </w:r>
            <w:r>
              <w:t>,</w:t>
            </w:r>
            <w:r w:rsidRPr="00C919C6">
              <w:t>724</w:t>
            </w:r>
            <w:r>
              <w:t>.00</w:t>
            </w:r>
          </w:p>
        </w:tc>
      </w:tr>
      <w:tr w:rsidR="006B7B81" w:rsidRPr="00B27641" w14:paraId="3903A957" w14:textId="77777777" w:rsidTr="006B7B81">
        <w:trPr>
          <w:trHeight w:val="360"/>
          <w:jc w:val="center"/>
        </w:trPr>
        <w:tc>
          <w:tcPr>
            <w:tcW w:w="4495" w:type="dxa"/>
            <w:shd w:val="clear" w:color="auto" w:fill="auto"/>
            <w:noWrap/>
            <w:vAlign w:val="center"/>
            <w:hideMark/>
          </w:tcPr>
          <w:p w14:paraId="1C216121" w14:textId="77777777" w:rsidR="006B7B81" w:rsidRPr="00B27641" w:rsidRDefault="006B7B81" w:rsidP="006B7B81">
            <w:pPr>
              <w:pStyle w:val="ExhibitText"/>
              <w:jc w:val="left"/>
              <w:rPr>
                <w:b/>
              </w:rPr>
            </w:pPr>
            <w:r w:rsidRPr="00B27641">
              <w:rPr>
                <w:b/>
              </w:rPr>
              <w:t>Total Expenses</w:t>
            </w:r>
          </w:p>
        </w:tc>
        <w:tc>
          <w:tcPr>
            <w:tcW w:w="2070" w:type="dxa"/>
            <w:vAlign w:val="center"/>
          </w:tcPr>
          <w:p w14:paraId="4797E3D0" w14:textId="77777777" w:rsidR="006B7B81" w:rsidRPr="00B27641" w:rsidRDefault="006B7B81" w:rsidP="006B7B81">
            <w:pPr>
              <w:pStyle w:val="ExhibitText"/>
              <w:ind w:right="144"/>
              <w:jc w:val="right"/>
              <w:rPr>
                <w:b/>
              </w:rPr>
            </w:pPr>
            <w:r w:rsidRPr="00B27641">
              <w:rPr>
                <w:b/>
              </w:rPr>
              <w:t>14,834</w:t>
            </w:r>
            <w:r>
              <w:rPr>
                <w:b/>
              </w:rPr>
              <w:t>.00</w:t>
            </w:r>
          </w:p>
        </w:tc>
        <w:tc>
          <w:tcPr>
            <w:tcW w:w="2070" w:type="dxa"/>
            <w:shd w:val="clear" w:color="auto" w:fill="auto"/>
            <w:noWrap/>
            <w:vAlign w:val="center"/>
            <w:hideMark/>
          </w:tcPr>
          <w:p w14:paraId="290B7E93" w14:textId="77777777" w:rsidR="006B7B81" w:rsidRPr="00B27641" w:rsidRDefault="006B7B81" w:rsidP="006B7B81">
            <w:pPr>
              <w:pStyle w:val="ExhibitText"/>
              <w:ind w:right="144"/>
              <w:jc w:val="right"/>
              <w:rPr>
                <w:b/>
              </w:rPr>
            </w:pPr>
            <w:r w:rsidRPr="00B27641">
              <w:rPr>
                <w:b/>
              </w:rPr>
              <w:t>16,446</w:t>
            </w:r>
            <w:r>
              <w:rPr>
                <w:b/>
              </w:rPr>
              <w:t>.00</w:t>
            </w:r>
          </w:p>
        </w:tc>
      </w:tr>
      <w:tr w:rsidR="006B7B81" w:rsidRPr="00C919C6" w14:paraId="34F158A6" w14:textId="77777777" w:rsidTr="006B7B81">
        <w:trPr>
          <w:trHeight w:val="360"/>
          <w:jc w:val="center"/>
        </w:trPr>
        <w:tc>
          <w:tcPr>
            <w:tcW w:w="4495" w:type="dxa"/>
            <w:shd w:val="clear" w:color="auto" w:fill="auto"/>
            <w:noWrap/>
            <w:vAlign w:val="center"/>
            <w:hideMark/>
          </w:tcPr>
          <w:p w14:paraId="5C844393" w14:textId="6399134D" w:rsidR="006B7B81" w:rsidRPr="00C919C6" w:rsidRDefault="006B7B81" w:rsidP="00904483">
            <w:pPr>
              <w:pStyle w:val="ExhibitText"/>
              <w:jc w:val="left"/>
            </w:pPr>
            <w:r w:rsidRPr="00C919C6">
              <w:t xml:space="preserve">Profit </w:t>
            </w:r>
            <w:r w:rsidR="00A9245E">
              <w:t>b</w:t>
            </w:r>
            <w:r w:rsidRPr="00C919C6">
              <w:t xml:space="preserve">efore Exceptional and Extraordinary </w:t>
            </w:r>
          </w:p>
        </w:tc>
        <w:tc>
          <w:tcPr>
            <w:tcW w:w="2070" w:type="dxa"/>
            <w:vAlign w:val="center"/>
          </w:tcPr>
          <w:p w14:paraId="5921377E" w14:textId="77777777" w:rsidR="006B7B81" w:rsidRPr="00C919C6" w:rsidRDefault="006B7B81" w:rsidP="006B7B81">
            <w:pPr>
              <w:pStyle w:val="ExhibitText"/>
              <w:ind w:right="144"/>
              <w:jc w:val="right"/>
            </w:pPr>
            <w:r w:rsidRPr="00C919C6">
              <w:t>655.07</w:t>
            </w:r>
          </w:p>
        </w:tc>
        <w:tc>
          <w:tcPr>
            <w:tcW w:w="2070" w:type="dxa"/>
            <w:shd w:val="clear" w:color="auto" w:fill="auto"/>
            <w:noWrap/>
            <w:vAlign w:val="center"/>
            <w:hideMark/>
          </w:tcPr>
          <w:p w14:paraId="6A5AB57C" w14:textId="77777777" w:rsidR="006B7B81" w:rsidRPr="00C919C6" w:rsidRDefault="006B7B81" w:rsidP="006B7B81">
            <w:pPr>
              <w:pStyle w:val="ExhibitText"/>
              <w:ind w:right="144"/>
              <w:jc w:val="right"/>
            </w:pPr>
            <w:r w:rsidRPr="00C919C6">
              <w:t>953.05</w:t>
            </w:r>
          </w:p>
        </w:tc>
      </w:tr>
      <w:tr w:rsidR="00D0482A" w:rsidRPr="00F31E94" w14:paraId="3C1F585A" w14:textId="77777777" w:rsidTr="00DA1242">
        <w:trPr>
          <w:trHeight w:val="360"/>
          <w:jc w:val="center"/>
        </w:trPr>
        <w:tc>
          <w:tcPr>
            <w:tcW w:w="4495" w:type="dxa"/>
            <w:shd w:val="clear" w:color="auto" w:fill="auto"/>
            <w:noWrap/>
            <w:vAlign w:val="center"/>
            <w:hideMark/>
          </w:tcPr>
          <w:p w14:paraId="5481B56F" w14:textId="4024E55D" w:rsidR="00D0482A" w:rsidRPr="00DA1242" w:rsidRDefault="00D0482A" w:rsidP="00DA1242">
            <w:pPr>
              <w:pStyle w:val="ExhibitText"/>
              <w:jc w:val="left"/>
            </w:pPr>
            <w:r w:rsidRPr="00DA1242">
              <w:t>Items and Tax</w:t>
            </w:r>
          </w:p>
        </w:tc>
        <w:tc>
          <w:tcPr>
            <w:tcW w:w="2070" w:type="dxa"/>
            <w:vAlign w:val="center"/>
          </w:tcPr>
          <w:p w14:paraId="0F1A3AC5" w14:textId="77777777" w:rsidR="00D0482A" w:rsidRPr="00DA1242" w:rsidRDefault="00D0482A" w:rsidP="00DA1242">
            <w:pPr>
              <w:pStyle w:val="ExhibitText"/>
              <w:ind w:right="144"/>
              <w:jc w:val="right"/>
            </w:pPr>
          </w:p>
        </w:tc>
        <w:tc>
          <w:tcPr>
            <w:tcW w:w="2070" w:type="dxa"/>
            <w:shd w:val="clear" w:color="auto" w:fill="auto"/>
            <w:noWrap/>
            <w:vAlign w:val="center"/>
            <w:hideMark/>
          </w:tcPr>
          <w:p w14:paraId="7C4D4A11" w14:textId="77777777" w:rsidR="00D0482A" w:rsidRPr="00DA1242" w:rsidRDefault="00D0482A" w:rsidP="00DA1242">
            <w:pPr>
              <w:pStyle w:val="ExhibitText"/>
              <w:ind w:right="144"/>
              <w:jc w:val="right"/>
            </w:pPr>
          </w:p>
        </w:tc>
      </w:tr>
      <w:tr w:rsidR="00D0482A" w:rsidRPr="00F31E94" w14:paraId="569B6C9B" w14:textId="77777777" w:rsidTr="00DA1242">
        <w:trPr>
          <w:trHeight w:val="360"/>
          <w:jc w:val="center"/>
        </w:trPr>
        <w:tc>
          <w:tcPr>
            <w:tcW w:w="4495" w:type="dxa"/>
            <w:shd w:val="clear" w:color="auto" w:fill="auto"/>
            <w:noWrap/>
            <w:vAlign w:val="center"/>
            <w:hideMark/>
          </w:tcPr>
          <w:p w14:paraId="198D3702" w14:textId="55FFA4CE" w:rsidR="00D0482A" w:rsidRPr="00DA1242" w:rsidRDefault="00D0482A" w:rsidP="00DA1242">
            <w:pPr>
              <w:pStyle w:val="ExhibitText"/>
              <w:jc w:val="left"/>
            </w:pPr>
            <w:r w:rsidRPr="00DA1242">
              <w:t>Exceptional Items (Net)</w:t>
            </w:r>
          </w:p>
        </w:tc>
        <w:tc>
          <w:tcPr>
            <w:tcW w:w="2070" w:type="dxa"/>
            <w:vAlign w:val="center"/>
          </w:tcPr>
          <w:p w14:paraId="5984180C" w14:textId="4B626626" w:rsidR="00D0482A" w:rsidRPr="00DA1242" w:rsidRDefault="00D0482A" w:rsidP="00DA1242">
            <w:pPr>
              <w:pStyle w:val="ExhibitText"/>
              <w:ind w:right="144"/>
              <w:jc w:val="right"/>
            </w:pPr>
          </w:p>
        </w:tc>
        <w:tc>
          <w:tcPr>
            <w:tcW w:w="2070" w:type="dxa"/>
            <w:shd w:val="clear" w:color="auto" w:fill="auto"/>
            <w:noWrap/>
            <w:vAlign w:val="center"/>
            <w:hideMark/>
          </w:tcPr>
          <w:p w14:paraId="3B9B79C6" w14:textId="29E2A2C9" w:rsidR="00D0482A" w:rsidRPr="00DA1242" w:rsidRDefault="006B7B81" w:rsidP="00DA1242">
            <w:pPr>
              <w:pStyle w:val="ExhibitText"/>
              <w:ind w:right="144"/>
              <w:jc w:val="right"/>
            </w:pPr>
            <w:r w:rsidRPr="00C919C6">
              <w:t>44.29</w:t>
            </w:r>
          </w:p>
        </w:tc>
      </w:tr>
      <w:tr w:rsidR="00D0482A" w:rsidRPr="00F31E94" w14:paraId="3209CBCA" w14:textId="77777777" w:rsidTr="00DA1242">
        <w:trPr>
          <w:trHeight w:val="360"/>
          <w:jc w:val="center"/>
        </w:trPr>
        <w:tc>
          <w:tcPr>
            <w:tcW w:w="4495" w:type="dxa"/>
            <w:tcBorders>
              <w:bottom w:val="single" w:sz="4" w:space="0" w:color="auto"/>
            </w:tcBorders>
            <w:shd w:val="clear" w:color="auto" w:fill="auto"/>
            <w:noWrap/>
            <w:vAlign w:val="center"/>
            <w:hideMark/>
          </w:tcPr>
          <w:p w14:paraId="23A261AF" w14:textId="02866D6F" w:rsidR="00D0482A" w:rsidRPr="00DA1242" w:rsidRDefault="00D0482A" w:rsidP="00904483">
            <w:pPr>
              <w:pStyle w:val="ExhibitText"/>
              <w:jc w:val="left"/>
              <w:rPr>
                <w:b/>
              </w:rPr>
            </w:pPr>
            <w:r w:rsidRPr="00DA1242">
              <w:rPr>
                <w:b/>
              </w:rPr>
              <w:t xml:space="preserve">Profit </w:t>
            </w:r>
            <w:r w:rsidR="00A9245E">
              <w:rPr>
                <w:b/>
              </w:rPr>
              <w:t>b</w:t>
            </w:r>
            <w:r w:rsidR="006B7B81" w:rsidRPr="00B27641">
              <w:rPr>
                <w:b/>
              </w:rPr>
              <w:t>efore Tax</w:t>
            </w:r>
          </w:p>
        </w:tc>
        <w:tc>
          <w:tcPr>
            <w:tcW w:w="2070" w:type="dxa"/>
            <w:tcBorders>
              <w:bottom w:val="single" w:sz="4" w:space="0" w:color="auto"/>
            </w:tcBorders>
            <w:vAlign w:val="center"/>
          </w:tcPr>
          <w:p w14:paraId="278A3537" w14:textId="24361C89" w:rsidR="00D0482A" w:rsidRPr="00DA1242" w:rsidRDefault="00D0482A" w:rsidP="00DA1242">
            <w:pPr>
              <w:pStyle w:val="ExhibitText"/>
              <w:ind w:right="144"/>
              <w:jc w:val="right"/>
              <w:rPr>
                <w:b/>
              </w:rPr>
            </w:pPr>
            <w:r w:rsidRPr="00DA1242">
              <w:rPr>
                <w:b/>
              </w:rPr>
              <w:t>655.07</w:t>
            </w:r>
          </w:p>
        </w:tc>
        <w:tc>
          <w:tcPr>
            <w:tcW w:w="2070" w:type="dxa"/>
            <w:tcBorders>
              <w:bottom w:val="single" w:sz="4" w:space="0" w:color="auto"/>
            </w:tcBorders>
            <w:shd w:val="clear" w:color="auto" w:fill="auto"/>
            <w:noWrap/>
            <w:vAlign w:val="center"/>
            <w:hideMark/>
          </w:tcPr>
          <w:p w14:paraId="7C28531F" w14:textId="4AF167EB" w:rsidR="00D0482A" w:rsidRPr="00DA1242" w:rsidRDefault="00D0482A" w:rsidP="00DA1242">
            <w:pPr>
              <w:pStyle w:val="ExhibitText"/>
              <w:ind w:right="144"/>
              <w:jc w:val="right"/>
              <w:rPr>
                <w:b/>
              </w:rPr>
            </w:pPr>
            <w:r w:rsidRPr="00DA1242">
              <w:rPr>
                <w:b/>
              </w:rPr>
              <w:t>908.76</w:t>
            </w:r>
          </w:p>
        </w:tc>
      </w:tr>
      <w:tr w:rsidR="00D0482A" w:rsidRPr="00F31E94" w14:paraId="28E92AF0" w14:textId="77777777" w:rsidTr="00DA1242">
        <w:trPr>
          <w:trHeight w:val="360"/>
          <w:jc w:val="center"/>
        </w:trPr>
        <w:tc>
          <w:tcPr>
            <w:tcW w:w="4495" w:type="dxa"/>
            <w:tcBorders>
              <w:right w:val="nil"/>
            </w:tcBorders>
            <w:shd w:val="clear" w:color="auto" w:fill="auto"/>
            <w:noWrap/>
            <w:vAlign w:val="center"/>
            <w:hideMark/>
          </w:tcPr>
          <w:p w14:paraId="3CDBE437" w14:textId="2A2C8C65" w:rsidR="00D0482A" w:rsidRPr="00DA1242" w:rsidRDefault="00D0482A" w:rsidP="00DA1242">
            <w:pPr>
              <w:pStyle w:val="ExhibitText"/>
              <w:ind w:right="144"/>
              <w:jc w:val="left"/>
              <w:rPr>
                <w:b/>
              </w:rPr>
            </w:pPr>
            <w:r w:rsidRPr="00DA1242">
              <w:rPr>
                <w:b/>
              </w:rPr>
              <w:t>Tax Expense</w:t>
            </w:r>
            <w:r w:rsidR="006B7B81">
              <w:rPr>
                <w:b/>
                <w:bCs/>
              </w:rPr>
              <w:t>s</w:t>
            </w:r>
          </w:p>
        </w:tc>
        <w:tc>
          <w:tcPr>
            <w:tcW w:w="2070" w:type="dxa"/>
            <w:tcBorders>
              <w:left w:val="nil"/>
              <w:right w:val="nil"/>
            </w:tcBorders>
            <w:vAlign w:val="center"/>
          </w:tcPr>
          <w:p w14:paraId="5ACEF808" w14:textId="77777777" w:rsidR="00D0482A" w:rsidRPr="00DA1242" w:rsidRDefault="00D0482A" w:rsidP="00DA1242">
            <w:pPr>
              <w:pStyle w:val="ExhibitText"/>
              <w:ind w:right="144"/>
              <w:jc w:val="left"/>
              <w:rPr>
                <w:b/>
              </w:rPr>
            </w:pPr>
          </w:p>
        </w:tc>
        <w:tc>
          <w:tcPr>
            <w:tcW w:w="2070" w:type="dxa"/>
            <w:tcBorders>
              <w:left w:val="nil"/>
            </w:tcBorders>
            <w:shd w:val="clear" w:color="auto" w:fill="auto"/>
            <w:vAlign w:val="center"/>
          </w:tcPr>
          <w:p w14:paraId="510E33E1" w14:textId="77777777" w:rsidR="00D0482A" w:rsidRPr="00DA1242" w:rsidRDefault="00D0482A" w:rsidP="00DA1242">
            <w:pPr>
              <w:pStyle w:val="ExhibitText"/>
              <w:ind w:right="144"/>
              <w:jc w:val="left"/>
              <w:rPr>
                <w:b/>
              </w:rPr>
            </w:pPr>
          </w:p>
        </w:tc>
      </w:tr>
      <w:tr w:rsidR="00D0482A" w:rsidRPr="00F31E94" w14:paraId="63F308EE" w14:textId="77777777" w:rsidTr="00DA1242">
        <w:trPr>
          <w:trHeight w:val="360"/>
          <w:jc w:val="center"/>
        </w:trPr>
        <w:tc>
          <w:tcPr>
            <w:tcW w:w="4495" w:type="dxa"/>
            <w:shd w:val="clear" w:color="auto" w:fill="auto"/>
            <w:noWrap/>
            <w:vAlign w:val="center"/>
            <w:hideMark/>
          </w:tcPr>
          <w:p w14:paraId="1420F7C1" w14:textId="77777777" w:rsidR="00D0482A" w:rsidRPr="00DA1242" w:rsidRDefault="00D0482A" w:rsidP="00DA1242">
            <w:pPr>
              <w:pStyle w:val="ExhibitText"/>
              <w:jc w:val="left"/>
            </w:pPr>
            <w:r w:rsidRPr="00DA1242">
              <w:t>Current Tax</w:t>
            </w:r>
          </w:p>
        </w:tc>
        <w:tc>
          <w:tcPr>
            <w:tcW w:w="2070" w:type="dxa"/>
            <w:vAlign w:val="center"/>
          </w:tcPr>
          <w:p w14:paraId="4FCD744A" w14:textId="0A12D95C" w:rsidR="00D0482A" w:rsidRPr="00DA1242" w:rsidRDefault="00D0482A" w:rsidP="00DA1242">
            <w:pPr>
              <w:pStyle w:val="ExhibitText"/>
              <w:ind w:right="144"/>
              <w:jc w:val="right"/>
            </w:pPr>
            <w:r w:rsidRPr="00DA1242">
              <w:t>202.86</w:t>
            </w:r>
          </w:p>
        </w:tc>
        <w:tc>
          <w:tcPr>
            <w:tcW w:w="2070" w:type="dxa"/>
            <w:vAlign w:val="center"/>
          </w:tcPr>
          <w:p w14:paraId="17F3182C" w14:textId="102949A9" w:rsidR="00D0482A" w:rsidRPr="00DA1242" w:rsidRDefault="006B7B81" w:rsidP="00DA1242">
            <w:pPr>
              <w:pStyle w:val="ExhibitText"/>
              <w:ind w:right="144"/>
              <w:jc w:val="right"/>
            </w:pPr>
            <w:r w:rsidRPr="00C919C6">
              <w:t>248.4</w:t>
            </w:r>
            <w:r>
              <w:t>0</w:t>
            </w:r>
          </w:p>
        </w:tc>
      </w:tr>
      <w:tr w:rsidR="00D0482A" w:rsidRPr="00F31E94" w14:paraId="1DC1C5B7" w14:textId="77777777" w:rsidTr="00DA1242">
        <w:trPr>
          <w:trHeight w:val="360"/>
          <w:jc w:val="center"/>
        </w:trPr>
        <w:tc>
          <w:tcPr>
            <w:tcW w:w="4495" w:type="dxa"/>
            <w:shd w:val="clear" w:color="auto" w:fill="auto"/>
            <w:noWrap/>
            <w:vAlign w:val="center"/>
            <w:hideMark/>
          </w:tcPr>
          <w:p w14:paraId="7DAA6E18" w14:textId="77777777" w:rsidR="00F96550" w:rsidRPr="00DA1242" w:rsidRDefault="00F96550" w:rsidP="00DA1242">
            <w:pPr>
              <w:pStyle w:val="ExhibitText"/>
              <w:jc w:val="left"/>
            </w:pPr>
            <w:r w:rsidRPr="00DA1242">
              <w:t>Deferred Tax Charge/(Credit)</w:t>
            </w:r>
          </w:p>
        </w:tc>
        <w:tc>
          <w:tcPr>
            <w:tcW w:w="2070" w:type="dxa"/>
            <w:vAlign w:val="center"/>
          </w:tcPr>
          <w:p w14:paraId="0E4E948B" w14:textId="1AFB8474" w:rsidR="00F96550" w:rsidRPr="00DA1242" w:rsidRDefault="00F96550" w:rsidP="00DA1242">
            <w:pPr>
              <w:pStyle w:val="ExhibitText"/>
              <w:ind w:right="144"/>
              <w:jc w:val="right"/>
            </w:pPr>
            <w:r w:rsidRPr="00DA1242">
              <w:t>71.62</w:t>
            </w:r>
          </w:p>
        </w:tc>
        <w:tc>
          <w:tcPr>
            <w:tcW w:w="2070" w:type="dxa"/>
            <w:shd w:val="clear" w:color="auto" w:fill="auto"/>
            <w:noWrap/>
            <w:vAlign w:val="center"/>
            <w:hideMark/>
          </w:tcPr>
          <w:p w14:paraId="77A55BDB" w14:textId="3E15287D" w:rsidR="00F96550" w:rsidRPr="00DA1242" w:rsidRDefault="00F96550" w:rsidP="00DA1242">
            <w:pPr>
              <w:pStyle w:val="ExhibitText"/>
              <w:ind w:right="144"/>
              <w:jc w:val="right"/>
            </w:pPr>
            <w:r w:rsidRPr="00DA1242">
              <w:t>40.26</w:t>
            </w:r>
          </w:p>
        </w:tc>
      </w:tr>
      <w:tr w:rsidR="00D0482A" w:rsidRPr="00F31E94" w14:paraId="5CB42F18" w14:textId="77777777" w:rsidTr="00DA1242">
        <w:trPr>
          <w:trHeight w:val="360"/>
          <w:jc w:val="center"/>
        </w:trPr>
        <w:tc>
          <w:tcPr>
            <w:tcW w:w="4495" w:type="dxa"/>
            <w:shd w:val="clear" w:color="auto" w:fill="auto"/>
            <w:noWrap/>
            <w:vAlign w:val="center"/>
            <w:hideMark/>
          </w:tcPr>
          <w:p w14:paraId="2DCAB95A" w14:textId="4CBF0ECA" w:rsidR="00F96550" w:rsidRPr="00DA1242" w:rsidRDefault="00F96550" w:rsidP="00DA1242">
            <w:pPr>
              <w:pStyle w:val="ExhibitText"/>
              <w:jc w:val="left"/>
            </w:pPr>
            <w:r w:rsidRPr="00DA1242">
              <w:t xml:space="preserve">Income Tax for </w:t>
            </w:r>
            <w:r w:rsidR="006B7B81">
              <w:t>Earlier Y</w:t>
            </w:r>
            <w:r w:rsidR="006B7B81" w:rsidRPr="00C919C6">
              <w:t>ears</w:t>
            </w:r>
          </w:p>
        </w:tc>
        <w:tc>
          <w:tcPr>
            <w:tcW w:w="2070" w:type="dxa"/>
            <w:vAlign w:val="center"/>
          </w:tcPr>
          <w:p w14:paraId="55356A31" w14:textId="58A72AE1" w:rsidR="00F96550" w:rsidRPr="00DA1242" w:rsidRDefault="006B7B81" w:rsidP="00DA1242">
            <w:pPr>
              <w:pStyle w:val="ExhibitText"/>
              <w:ind w:right="144"/>
              <w:jc w:val="right"/>
            </w:pPr>
            <w:r w:rsidRPr="00C919C6">
              <w:t>12.34</w:t>
            </w:r>
          </w:p>
        </w:tc>
        <w:tc>
          <w:tcPr>
            <w:tcW w:w="2070" w:type="dxa"/>
            <w:shd w:val="clear" w:color="auto" w:fill="auto"/>
            <w:noWrap/>
            <w:vAlign w:val="center"/>
            <w:hideMark/>
          </w:tcPr>
          <w:p w14:paraId="7D37B1FD" w14:textId="2024EF3A" w:rsidR="00F96550" w:rsidRPr="00DA1242" w:rsidRDefault="00F96550" w:rsidP="00DA1242">
            <w:pPr>
              <w:pStyle w:val="ExhibitText"/>
              <w:ind w:right="144"/>
              <w:jc w:val="right"/>
            </w:pPr>
            <w:r w:rsidRPr="00DA1242">
              <w:t>9.52</w:t>
            </w:r>
          </w:p>
        </w:tc>
      </w:tr>
      <w:tr w:rsidR="00D0482A" w:rsidRPr="00F31E94" w14:paraId="3687F3E4" w14:textId="77777777" w:rsidTr="00DA1242">
        <w:trPr>
          <w:trHeight w:val="360"/>
          <w:jc w:val="center"/>
        </w:trPr>
        <w:tc>
          <w:tcPr>
            <w:tcW w:w="4495" w:type="dxa"/>
            <w:shd w:val="clear" w:color="auto" w:fill="auto"/>
            <w:noWrap/>
            <w:vAlign w:val="center"/>
            <w:hideMark/>
          </w:tcPr>
          <w:p w14:paraId="077F930C" w14:textId="77777777" w:rsidR="00D0482A" w:rsidRPr="00DA1242" w:rsidRDefault="00D0482A" w:rsidP="00DA1242">
            <w:pPr>
              <w:pStyle w:val="ExhibitText"/>
              <w:jc w:val="left"/>
              <w:rPr>
                <w:b/>
              </w:rPr>
            </w:pPr>
            <w:r w:rsidRPr="00DA1242">
              <w:rPr>
                <w:b/>
              </w:rPr>
              <w:t>Profit after Tax</w:t>
            </w:r>
          </w:p>
        </w:tc>
        <w:tc>
          <w:tcPr>
            <w:tcW w:w="2070" w:type="dxa"/>
            <w:vAlign w:val="center"/>
          </w:tcPr>
          <w:p w14:paraId="4438F958" w14:textId="43FA56B7" w:rsidR="00D0482A" w:rsidRPr="00DA1242" w:rsidRDefault="00D0482A" w:rsidP="00DA1242">
            <w:pPr>
              <w:pStyle w:val="ExhibitText"/>
              <w:ind w:right="144"/>
              <w:jc w:val="right"/>
              <w:rPr>
                <w:b/>
              </w:rPr>
            </w:pPr>
            <w:r w:rsidRPr="00DA1242">
              <w:rPr>
                <w:b/>
              </w:rPr>
              <w:t>443.83</w:t>
            </w:r>
          </w:p>
        </w:tc>
        <w:tc>
          <w:tcPr>
            <w:tcW w:w="2070" w:type="dxa"/>
            <w:vAlign w:val="center"/>
          </w:tcPr>
          <w:p w14:paraId="58C27178" w14:textId="75DD91BB" w:rsidR="00D0482A" w:rsidRPr="00DA1242" w:rsidRDefault="00D0482A" w:rsidP="00DA1242">
            <w:pPr>
              <w:pStyle w:val="ExhibitText"/>
              <w:ind w:right="144"/>
              <w:jc w:val="right"/>
              <w:rPr>
                <w:b/>
              </w:rPr>
            </w:pPr>
            <w:r w:rsidRPr="00DA1242">
              <w:rPr>
                <w:b/>
              </w:rPr>
              <w:t>610.58</w:t>
            </w:r>
          </w:p>
        </w:tc>
      </w:tr>
    </w:tbl>
    <w:p w14:paraId="18A44FDE" w14:textId="77777777" w:rsidR="00F96550" w:rsidRPr="00DA1242" w:rsidRDefault="00F96550" w:rsidP="00DA1242">
      <w:pPr>
        <w:pStyle w:val="ExhibitText"/>
      </w:pPr>
    </w:p>
    <w:p w14:paraId="31E7CEC2" w14:textId="3458E748" w:rsidR="00A9245E" w:rsidRDefault="00A9245E" w:rsidP="00D0482A">
      <w:pPr>
        <w:pStyle w:val="Footnote"/>
      </w:pPr>
      <w:r>
        <w:t xml:space="preserve">Note: </w:t>
      </w:r>
      <w:r w:rsidRPr="005D1160">
        <w:rPr>
          <w:rStyle w:val="FootnoteChar"/>
        </w:rPr>
        <w:t>₹ = INR = Indian rupee; the average exchange was ₹67.17 = US$1 in 2016</w:t>
      </w:r>
    </w:p>
    <w:p w14:paraId="7298A98C" w14:textId="59DC05C2" w:rsidR="00F96550" w:rsidRDefault="00F96550" w:rsidP="00D0482A">
      <w:pPr>
        <w:pStyle w:val="Footnote"/>
      </w:pPr>
      <w:r w:rsidRPr="00270FC4">
        <w:t xml:space="preserve">Source: </w:t>
      </w:r>
      <w:r w:rsidR="00D0482A">
        <w:t>Company documents.</w:t>
      </w:r>
    </w:p>
    <w:p w14:paraId="3913FEF4" w14:textId="283A0C89" w:rsidR="00160088" w:rsidRDefault="00160088" w:rsidP="00B27641">
      <w:pPr>
        <w:pStyle w:val="ExhibitText"/>
      </w:pPr>
    </w:p>
    <w:p w14:paraId="4F28ACCF" w14:textId="77777777" w:rsidR="00160088" w:rsidRDefault="00160088" w:rsidP="00B27641">
      <w:pPr>
        <w:pStyle w:val="ExhibitText"/>
      </w:pPr>
    </w:p>
    <w:p w14:paraId="075678BC" w14:textId="77777777" w:rsidR="001C378E" w:rsidRPr="00DA1242" w:rsidRDefault="001C378E" w:rsidP="00DA1242">
      <w:pPr>
        <w:pStyle w:val="ExhibitText"/>
      </w:pPr>
      <w:r>
        <w:br w:type="page"/>
      </w:r>
    </w:p>
    <w:p w14:paraId="1EF9DED7" w14:textId="7A20E37C" w:rsidR="00F96550" w:rsidRDefault="00D0482A" w:rsidP="00DA1242">
      <w:pPr>
        <w:pStyle w:val="Casehead1"/>
        <w:outlineLvl w:val="0"/>
      </w:pPr>
      <w:r>
        <w:lastRenderedPageBreak/>
        <w:t>ENDNOTE</w:t>
      </w:r>
      <w:r w:rsidR="001963EF">
        <w:t>S</w:t>
      </w:r>
    </w:p>
    <w:sectPr w:rsidR="00F96550" w:rsidSect="00DA1242">
      <w:headerReference w:type="default" r:id="rId9"/>
      <w:footnotePr>
        <w:numRestart w:val="eachPage"/>
      </w:footnotePr>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2B9125" w16cid:durableId="1EB6552E"/>
  <w16cid:commentId w16cid:paraId="0672BF24" w16cid:durableId="1EB6512B"/>
  <w16cid:commentId w16cid:paraId="420DB6E3" w16cid:durableId="1EB6831F"/>
  <w16cid:commentId w16cid:paraId="54010EF6" w16cid:durableId="1EB68469"/>
  <w16cid:commentId w16cid:paraId="6E24B9B4" w16cid:durableId="1EB79DA8"/>
  <w16cid:commentId w16cid:paraId="6927C5B6" w16cid:durableId="1EB79E18"/>
  <w16cid:commentId w16cid:paraId="4CF8E6EE" w16cid:durableId="1EB79FB0"/>
  <w16cid:commentId w16cid:paraId="0945812A" w16cid:durableId="1EB689DE"/>
  <w16cid:commentId w16cid:paraId="658B26CB" w16cid:durableId="1EB7A589"/>
  <w16cid:commentId w16cid:paraId="5BCBEA8C" w16cid:durableId="1EB7A716"/>
  <w16cid:commentId w16cid:paraId="3817DD21" w16cid:durableId="1EB6A238"/>
  <w16cid:commentId w16cid:paraId="39284D05" w16cid:durableId="1EB6A41D"/>
  <w16cid:commentId w16cid:paraId="22DF371C" w16cid:durableId="1EB6A825"/>
  <w16cid:commentId w16cid:paraId="628620BE" w16cid:durableId="1EB6A8BB"/>
  <w16cid:commentId w16cid:paraId="57502D8C" w16cid:durableId="1EB6AC23"/>
  <w16cid:commentId w16cid:paraId="7DC4EE85" w16cid:durableId="1EB6AC50"/>
  <w16cid:commentId w16cid:paraId="3D1AFF73" w16cid:durableId="1EB6AD2D"/>
  <w16cid:commentId w16cid:paraId="165D4ECC" w16cid:durableId="1EB6AE8D"/>
  <w16cid:commentId w16cid:paraId="10CE714F" w16cid:durableId="1EB6AEC7"/>
  <w16cid:commentId w16cid:paraId="4EC3A150" w16cid:durableId="1EB6B0AE"/>
  <w16cid:commentId w16cid:paraId="2A1F6CFD" w16cid:durableId="1EB7ACFD"/>
  <w16cid:commentId w16cid:paraId="37553F98" w16cid:durableId="1EB7AB93"/>
  <w16cid:commentId w16cid:paraId="5609CF2D" w16cid:durableId="1EB7B368"/>
  <w16cid:commentId w16cid:paraId="6D11F5C1" w16cid:durableId="1EB7B0BF"/>
  <w16cid:commentId w16cid:paraId="07302E28" w16cid:durableId="1EB6C15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F2740" w14:textId="77777777" w:rsidR="002A12B4" w:rsidRDefault="002A12B4" w:rsidP="00D75295">
      <w:r>
        <w:separator/>
      </w:r>
    </w:p>
  </w:endnote>
  <w:endnote w:type="continuationSeparator" w:id="0">
    <w:p w14:paraId="3111DF5D" w14:textId="77777777" w:rsidR="002A12B4" w:rsidRDefault="002A12B4" w:rsidP="00D75295">
      <w:r>
        <w:continuationSeparator/>
      </w:r>
    </w:p>
  </w:endnote>
  <w:endnote w:type="continuationNotice" w:id="1">
    <w:p w14:paraId="036195D7" w14:textId="77777777" w:rsidR="002A12B4" w:rsidRDefault="002A12B4"/>
  </w:endnote>
  <w:endnote w:id="2">
    <w:p w14:paraId="0D8FD485" w14:textId="5AC3F3AC" w:rsidR="00DE7D91" w:rsidRPr="001963EF" w:rsidRDefault="00DE7D91" w:rsidP="005954B6">
      <w:pPr>
        <w:pStyle w:val="Footnote"/>
        <w:jc w:val="both"/>
      </w:pPr>
      <w:r w:rsidRPr="001963EF">
        <w:rPr>
          <w:rStyle w:val="EndnoteReference"/>
          <w:rFonts w:ascii="Times New Roman" w:hAnsi="Times New Roman" w:cs="Times New Roman"/>
        </w:rPr>
        <w:endnoteRef/>
      </w:r>
      <w:r w:rsidRPr="001963EF">
        <w:t xml:space="preserve"> “</w:t>
      </w:r>
      <w:r w:rsidRPr="001963EF">
        <w:rPr>
          <w:shd w:val="clear" w:color="auto" w:fill="FFFFFF"/>
        </w:rPr>
        <w:t xml:space="preserve">Ceramic Tiles Market Analysis and Segment Forecasts to 2020—Key Players Are Crossville Inc., </w:t>
      </w:r>
      <w:proofErr w:type="spellStart"/>
      <w:r w:rsidRPr="001963EF">
        <w:rPr>
          <w:shd w:val="clear" w:color="auto" w:fill="FFFFFF"/>
        </w:rPr>
        <w:t>Saloni</w:t>
      </w:r>
      <w:proofErr w:type="spellEnd"/>
      <w:r w:rsidRPr="001963EF">
        <w:rPr>
          <w:shd w:val="clear" w:color="auto" w:fill="FFFFFF"/>
        </w:rPr>
        <w:t xml:space="preserve"> </w:t>
      </w:r>
      <w:proofErr w:type="spellStart"/>
      <w:r w:rsidRPr="001963EF">
        <w:rPr>
          <w:shd w:val="clear" w:color="auto" w:fill="FFFFFF"/>
        </w:rPr>
        <w:t>Ceramica</w:t>
      </w:r>
      <w:proofErr w:type="spellEnd"/>
      <w:r w:rsidRPr="001963EF">
        <w:rPr>
          <w:shd w:val="clear" w:color="auto" w:fill="FFFFFF"/>
        </w:rPr>
        <w:t xml:space="preserve">, and China Ceramics - Research and Markets,” </w:t>
      </w:r>
      <w:r w:rsidRPr="001963EF">
        <w:rPr>
          <w:i/>
          <w:shd w:val="clear" w:color="auto" w:fill="FFFFFF"/>
        </w:rPr>
        <w:t>Business Wire</w:t>
      </w:r>
      <w:r w:rsidRPr="001963EF">
        <w:rPr>
          <w:shd w:val="clear" w:color="auto" w:fill="FFFFFF"/>
        </w:rPr>
        <w:t>, February 17, 2016, accessed May 22, 2017, www.businesswire.com/news/home/20160217006073/en/Ceramic-Tiles-Market-Analysis-Segment-Forecasts-2020.</w:t>
      </w:r>
    </w:p>
  </w:endnote>
  <w:endnote w:id="3">
    <w:p w14:paraId="3B7133FA" w14:textId="4E2A09B6" w:rsidR="00DE7D91" w:rsidRPr="005954B6" w:rsidRDefault="00DE7D91" w:rsidP="005954B6">
      <w:pPr>
        <w:pStyle w:val="Footnote"/>
        <w:jc w:val="both"/>
        <w:rPr>
          <w:lang w:val="en-CA"/>
        </w:rPr>
      </w:pPr>
      <w:r>
        <w:rPr>
          <w:rStyle w:val="EndnoteReference"/>
        </w:rPr>
        <w:endnoteRef/>
      </w:r>
      <w:r>
        <w:t xml:space="preserve"> </w:t>
      </w:r>
      <w:proofErr w:type="spellStart"/>
      <w:r>
        <w:t>Sanitaryware</w:t>
      </w:r>
      <w:proofErr w:type="spellEnd"/>
      <w:r>
        <w:t xml:space="preserve"> included </w:t>
      </w:r>
      <w:r w:rsidRPr="00133C75">
        <w:t>ceramic toilet bowls, cisterns, and other fittings used in bathrooms</w:t>
      </w:r>
      <w:r>
        <w:t>.</w:t>
      </w:r>
    </w:p>
  </w:endnote>
  <w:endnote w:id="4">
    <w:p w14:paraId="40ACB47D" w14:textId="06F2837B" w:rsidR="00DE7D91" w:rsidRPr="005954B6" w:rsidRDefault="00DE7D91" w:rsidP="005954B6">
      <w:pPr>
        <w:pStyle w:val="EndnoteText"/>
        <w:jc w:val="both"/>
        <w:rPr>
          <w:lang w:val="en-CA"/>
        </w:rPr>
      </w:pPr>
      <w:r>
        <w:rPr>
          <w:rStyle w:val="EndnoteReference"/>
        </w:rPr>
        <w:endnoteRef/>
      </w:r>
      <w:r>
        <w:t xml:space="preserve"> </w:t>
      </w:r>
      <w:r w:rsidRPr="005954B6">
        <w:rPr>
          <w:rStyle w:val="FootnoteChar"/>
        </w:rPr>
        <w:t>₹ = INR = Indian rupee; the average exchange was ₹67.17 = US$1 in 2016. All dollar amounts are in U.S. dollars unless otherwise specified.</w:t>
      </w:r>
    </w:p>
  </w:endnote>
  <w:endnote w:id="5">
    <w:p w14:paraId="61D8B959" w14:textId="62477BF2" w:rsidR="00DE7D91" w:rsidRPr="001963EF" w:rsidRDefault="00DE7D91" w:rsidP="005954B6">
      <w:pPr>
        <w:pStyle w:val="Footnote"/>
        <w:jc w:val="both"/>
      </w:pPr>
      <w:r w:rsidRPr="001963EF">
        <w:rPr>
          <w:rStyle w:val="EndnoteReference"/>
          <w:rFonts w:ascii="Times New Roman" w:hAnsi="Times New Roman" w:cs="Times New Roman"/>
        </w:rPr>
        <w:endnoteRef/>
      </w:r>
      <w:r w:rsidRPr="001963EF">
        <w:t xml:space="preserve"> “Markets Tracker: </w:t>
      </w:r>
      <w:proofErr w:type="spellStart"/>
      <w:r w:rsidRPr="001963EF">
        <w:t>Somany</w:t>
      </w:r>
      <w:proofErr w:type="spellEnd"/>
      <w:r w:rsidRPr="001963EF">
        <w:t xml:space="preserve"> Ceramics,” </w:t>
      </w:r>
      <w:r w:rsidRPr="001963EF">
        <w:rPr>
          <w:i/>
        </w:rPr>
        <w:t>Economic Times</w:t>
      </w:r>
      <w:r w:rsidRPr="001963EF">
        <w:t>, accessed May 22, 2017, http://economictimes.indiatimes.com/somany-ceramics-ltd/infocompanyhistory/companyid-13077.cms.</w:t>
      </w:r>
    </w:p>
  </w:endnote>
  <w:endnote w:id="6">
    <w:p w14:paraId="5B6E6AE4" w14:textId="62FDB2C6" w:rsidR="00DE7D91" w:rsidRPr="001963EF" w:rsidRDefault="00DE7D91" w:rsidP="005954B6">
      <w:pPr>
        <w:pStyle w:val="Footnote"/>
        <w:jc w:val="both"/>
      </w:pPr>
      <w:r w:rsidRPr="001963EF">
        <w:rPr>
          <w:rStyle w:val="EndnoteReference"/>
          <w:rFonts w:ascii="Times New Roman" w:hAnsi="Times New Roman" w:cs="Times New Roman"/>
        </w:rPr>
        <w:endnoteRef/>
      </w:r>
      <w:r w:rsidRPr="001963EF">
        <w:t xml:space="preserve"> Ibid. </w:t>
      </w:r>
    </w:p>
  </w:endnote>
  <w:endnote w:id="7">
    <w:p w14:paraId="32948DBA" w14:textId="6B6ADB10" w:rsidR="00DE7D91" w:rsidRPr="001963EF" w:rsidRDefault="00DE7D91" w:rsidP="005954B6">
      <w:pPr>
        <w:pStyle w:val="Footnote"/>
        <w:jc w:val="both"/>
      </w:pPr>
      <w:r w:rsidRPr="001963EF">
        <w:rPr>
          <w:rStyle w:val="EndnoteReference"/>
          <w:rFonts w:ascii="Times New Roman" w:hAnsi="Times New Roman" w:cs="Times New Roman"/>
        </w:rPr>
        <w:endnoteRef/>
      </w:r>
      <w:r w:rsidRPr="001963EF">
        <w:t xml:space="preserve"> Company sources.</w:t>
      </w:r>
    </w:p>
  </w:endnote>
  <w:endnote w:id="8">
    <w:p w14:paraId="080DD57E" w14:textId="39C04C3E" w:rsidR="00DE7D91" w:rsidRPr="001963EF" w:rsidRDefault="00DE7D91" w:rsidP="005954B6">
      <w:pPr>
        <w:pStyle w:val="Footnote"/>
        <w:jc w:val="both"/>
      </w:pPr>
      <w:r w:rsidRPr="001963EF">
        <w:rPr>
          <w:rStyle w:val="EndnoteReference"/>
          <w:rFonts w:ascii="Times New Roman" w:hAnsi="Times New Roman" w:cs="Times New Roman"/>
        </w:rPr>
        <w:endnoteRef/>
      </w:r>
      <w:r w:rsidRPr="001963EF">
        <w:t xml:space="preserve"> “</w:t>
      </w:r>
      <w:proofErr w:type="spellStart"/>
      <w:r w:rsidRPr="001963EF">
        <w:t>Somany</w:t>
      </w:r>
      <w:proofErr w:type="spellEnd"/>
      <w:r w:rsidRPr="001963EF">
        <w:t xml:space="preserve"> Ceramics Ltd.</w:t>
      </w:r>
      <w:r>
        <w:t>,</w:t>
      </w:r>
      <w:r w:rsidRPr="001963EF">
        <w:t>” BSE, accessed May 22, 2017, www.bseindia.com/stock-share-price/somany-ceramics-ltd/somanycera/531548/.</w:t>
      </w:r>
    </w:p>
  </w:endnote>
  <w:endnote w:id="9">
    <w:p w14:paraId="15C3E9BD" w14:textId="2139B919" w:rsidR="00DE7D91" w:rsidRPr="001963EF" w:rsidRDefault="00DE7D91" w:rsidP="005954B6">
      <w:pPr>
        <w:pStyle w:val="Footnote"/>
        <w:jc w:val="both"/>
      </w:pPr>
      <w:r w:rsidRPr="001963EF">
        <w:rPr>
          <w:rStyle w:val="EndnoteReference"/>
          <w:rFonts w:ascii="Times New Roman" w:hAnsi="Times New Roman" w:cs="Times New Roman"/>
        </w:rPr>
        <w:endnoteRef/>
      </w:r>
      <w:r w:rsidRPr="001963EF">
        <w:t xml:space="preserve"> “</w:t>
      </w:r>
      <w:r w:rsidRPr="001963EF">
        <w:rPr>
          <w:lang w:val="en-CA"/>
        </w:rPr>
        <w:t>Ceramic Tiles Market (Product—Floor Tiles, Wall Tiles, and Ceiling Tiles and Roofing Tiles; Application—Residential Replacement, Commercial, New Residential, and Industrial)—Global Industry Analysis, Size, Share, Growth, Trends, and Forecast, 2016 – 2024,”</w:t>
      </w:r>
      <w:r w:rsidRPr="001963EF">
        <w:t xml:space="preserve"> Transparency Market Research, accessed May 22, 2017, www.transparencymarketresearch.com/ceramic-tiles-market.html.</w:t>
      </w:r>
    </w:p>
  </w:endnote>
  <w:endnote w:id="10">
    <w:p w14:paraId="17EABC86" w14:textId="64166E48" w:rsidR="00DE7D91" w:rsidRPr="001963EF" w:rsidRDefault="00DE7D91" w:rsidP="005954B6">
      <w:pPr>
        <w:pStyle w:val="Footnote"/>
        <w:jc w:val="both"/>
      </w:pPr>
      <w:r w:rsidRPr="001963EF">
        <w:rPr>
          <w:rStyle w:val="EndnoteReference"/>
          <w:rFonts w:ascii="Times New Roman" w:hAnsi="Times New Roman" w:cs="Times New Roman"/>
        </w:rPr>
        <w:endnoteRef/>
      </w:r>
      <w:r w:rsidRPr="001963EF">
        <w:t xml:space="preserve"> P. N. Trivedi, “Directors’ Report for the </w:t>
      </w:r>
      <w:r>
        <w:t>Y</w:t>
      </w:r>
      <w:r w:rsidRPr="001963EF">
        <w:t xml:space="preserve">ear </w:t>
      </w:r>
      <w:r>
        <w:t>E</w:t>
      </w:r>
      <w:r w:rsidRPr="001963EF">
        <w:t xml:space="preserve">nded 31st March 2016,” </w:t>
      </w:r>
      <w:r>
        <w:t>R</w:t>
      </w:r>
      <w:r w:rsidRPr="001963EF">
        <w:t xml:space="preserve">eport to the Indian Council of Ceramic Tiles and </w:t>
      </w:r>
      <w:proofErr w:type="spellStart"/>
      <w:r w:rsidRPr="001963EF">
        <w:t>Sanitaryware</w:t>
      </w:r>
      <w:proofErr w:type="spellEnd"/>
      <w:r>
        <w:t>,</w:t>
      </w:r>
      <w:r w:rsidRPr="001963EF">
        <w:t xml:space="preserve"> June 30, 2016</w:t>
      </w:r>
      <w:r>
        <w:t>,</w:t>
      </w:r>
      <w:r w:rsidRPr="001963EF">
        <w:t xml:space="preserve"> accessed May 22, 2017, www.icctas.com/pdf/d-report-2016.pdf.</w:t>
      </w:r>
    </w:p>
  </w:endnote>
  <w:endnote w:id="11">
    <w:p w14:paraId="234F1163" w14:textId="75178C5D" w:rsidR="00DE7D91" w:rsidRPr="001963EF" w:rsidRDefault="00DE7D91" w:rsidP="005954B6">
      <w:pPr>
        <w:pStyle w:val="Footnote"/>
        <w:jc w:val="both"/>
      </w:pPr>
      <w:r w:rsidRPr="001963EF">
        <w:rPr>
          <w:rStyle w:val="EndnoteReference"/>
          <w:rFonts w:ascii="Times New Roman" w:hAnsi="Times New Roman" w:cs="Times New Roman"/>
        </w:rPr>
        <w:endnoteRef/>
      </w:r>
      <w:r w:rsidRPr="001963EF">
        <w:t xml:space="preserve"> “</w:t>
      </w:r>
      <w:r w:rsidRPr="001963EF">
        <w:rPr>
          <w:lang w:val="en-CA"/>
        </w:rPr>
        <w:t xml:space="preserve">Ceramic Tiles Market,” op. </w:t>
      </w:r>
      <w:proofErr w:type="spellStart"/>
      <w:r w:rsidRPr="001963EF">
        <w:rPr>
          <w:lang w:val="en-CA"/>
        </w:rPr>
        <w:t>cit</w:t>
      </w:r>
      <w:proofErr w:type="spellEnd"/>
      <w:r w:rsidRPr="001963EF">
        <w:t>.</w:t>
      </w:r>
    </w:p>
  </w:endnote>
  <w:endnote w:id="12">
    <w:p w14:paraId="2B5AB8FD" w14:textId="3E63054E" w:rsidR="00DE7D91" w:rsidRPr="002544DA" w:rsidRDefault="00DE7D91" w:rsidP="005954B6">
      <w:pPr>
        <w:pStyle w:val="Footnote"/>
        <w:jc w:val="both"/>
      </w:pPr>
      <w:r w:rsidRPr="001963EF">
        <w:rPr>
          <w:rStyle w:val="EndnoteReference"/>
          <w:rFonts w:ascii="Times New Roman" w:hAnsi="Times New Roman" w:cs="Times New Roman"/>
        </w:rPr>
        <w:endnoteRef/>
      </w:r>
      <w:r w:rsidRPr="001963EF">
        <w:t xml:space="preserve"> </w:t>
      </w:r>
      <w:r w:rsidRPr="002544DA">
        <w:t xml:space="preserve">Ibid. </w:t>
      </w:r>
    </w:p>
  </w:endnote>
  <w:endnote w:id="13">
    <w:p w14:paraId="52779A53" w14:textId="21BE0DFB" w:rsidR="00DE7D91" w:rsidRPr="002544DA" w:rsidRDefault="00DE7D91" w:rsidP="005954B6">
      <w:pPr>
        <w:pStyle w:val="Footnote"/>
        <w:jc w:val="both"/>
      </w:pPr>
      <w:r w:rsidRPr="002544DA">
        <w:rPr>
          <w:rStyle w:val="EndnoteReference"/>
          <w:rFonts w:ascii="Times New Roman" w:hAnsi="Times New Roman" w:cs="Times New Roman"/>
        </w:rPr>
        <w:endnoteRef/>
      </w:r>
      <w:r w:rsidRPr="002544DA">
        <w:t xml:space="preserve"> </w:t>
      </w:r>
      <w:proofErr w:type="spellStart"/>
      <w:r w:rsidRPr="002544DA">
        <w:t>Rajalakshmi</w:t>
      </w:r>
      <w:proofErr w:type="spellEnd"/>
      <w:r w:rsidRPr="002544DA">
        <w:t xml:space="preserve"> </w:t>
      </w:r>
      <w:proofErr w:type="spellStart"/>
      <w:r w:rsidRPr="002544DA">
        <w:t>Nirmal</w:t>
      </w:r>
      <w:proofErr w:type="spellEnd"/>
      <w:r w:rsidRPr="002544DA">
        <w:t>, “</w:t>
      </w:r>
      <w:proofErr w:type="spellStart"/>
      <w:r w:rsidRPr="002544DA">
        <w:t>Somany</w:t>
      </w:r>
      <w:proofErr w:type="spellEnd"/>
      <w:r w:rsidRPr="002544DA">
        <w:t xml:space="preserve"> Ceramics: Gaining Ground—Buy,” </w:t>
      </w:r>
      <w:r w:rsidRPr="002544DA">
        <w:rPr>
          <w:i/>
        </w:rPr>
        <w:t>Hindu Business Line</w:t>
      </w:r>
      <w:r w:rsidRPr="002544DA">
        <w:t xml:space="preserve">, August 7, 2016, accessed May 22, 2017, http://premium.thehindubusinessline.com/portfolio/firm-calls/somany-ceramics-gaining-ground-buy/article8955786.ece. </w:t>
      </w:r>
    </w:p>
  </w:endnote>
  <w:endnote w:id="14">
    <w:p w14:paraId="63F3EB02" w14:textId="77CF4777" w:rsidR="00DE7D91" w:rsidRPr="002544DA" w:rsidRDefault="00DE7D91" w:rsidP="005954B6">
      <w:pPr>
        <w:pStyle w:val="Footnote"/>
        <w:jc w:val="both"/>
      </w:pPr>
      <w:r w:rsidRPr="002544DA">
        <w:rPr>
          <w:rStyle w:val="EndnoteReference"/>
          <w:rFonts w:ascii="Times New Roman" w:hAnsi="Times New Roman" w:cs="Times New Roman"/>
        </w:rPr>
        <w:endnoteRef/>
      </w:r>
      <w:r w:rsidRPr="002544DA">
        <w:t xml:space="preserve"> “Employment,” </w:t>
      </w:r>
      <w:proofErr w:type="spellStart"/>
      <w:r w:rsidRPr="002544DA">
        <w:t>MorbiCeramics</w:t>
      </w:r>
      <w:proofErr w:type="spellEnd"/>
      <w:r w:rsidRPr="002544DA">
        <w:t xml:space="preserve"> Associations, accessed May 22, 2017, www.ceramicassociation.com.</w:t>
      </w:r>
    </w:p>
  </w:endnote>
  <w:endnote w:id="15">
    <w:p w14:paraId="28C0BAB4" w14:textId="1B2F930A" w:rsidR="00DE7D91" w:rsidRPr="002544DA" w:rsidRDefault="00DE7D91" w:rsidP="005954B6">
      <w:pPr>
        <w:pStyle w:val="Footnote"/>
        <w:jc w:val="both"/>
      </w:pPr>
      <w:r w:rsidRPr="002544DA">
        <w:rPr>
          <w:rStyle w:val="EndnoteReference"/>
          <w:rFonts w:ascii="Times New Roman" w:hAnsi="Times New Roman" w:cs="Times New Roman"/>
        </w:rPr>
        <w:endnoteRef/>
      </w:r>
      <w:r w:rsidRPr="002544DA">
        <w:t xml:space="preserve"> ACE Knowledge Portal, “[Keyword Used: </w:t>
      </w:r>
      <w:proofErr w:type="spellStart"/>
      <w:r w:rsidRPr="002544DA">
        <w:t>Kajaria</w:t>
      </w:r>
      <w:proofErr w:type="spellEnd"/>
      <w:r w:rsidRPr="002544DA">
        <w:t xml:space="preserve"> Ceramics Ltd]” accessed May 22, 2017, www.acekp.in. </w:t>
      </w:r>
    </w:p>
  </w:endnote>
  <w:endnote w:id="16">
    <w:p w14:paraId="25A4FC5F" w14:textId="6B29E139" w:rsidR="00DE7D91" w:rsidRPr="005954B6" w:rsidRDefault="00DE7D91" w:rsidP="005954B6">
      <w:pPr>
        <w:pStyle w:val="Footnote"/>
        <w:jc w:val="both"/>
        <w:rPr>
          <w:lang w:val="en-CA"/>
        </w:rPr>
      </w:pPr>
      <w:r>
        <w:rPr>
          <w:rStyle w:val="EndnoteReference"/>
        </w:rPr>
        <w:endnoteRef/>
      </w:r>
      <w:r>
        <w:t xml:space="preserve"> </w:t>
      </w:r>
      <w:proofErr w:type="spellStart"/>
      <w:r>
        <w:t>Superbrands</w:t>
      </w:r>
      <w:proofErr w:type="spellEnd"/>
      <w:r>
        <w:t xml:space="preserve"> India was an independent arbiter that assessed and awarded brands that maintained the highest level of integrity and brand development; </w:t>
      </w:r>
      <w:proofErr w:type="spellStart"/>
      <w:r>
        <w:t>Superbrands</w:t>
      </w:r>
      <w:proofErr w:type="spellEnd"/>
      <w:r>
        <w:t xml:space="preserve"> India, accessed May 29, 2018, </w:t>
      </w:r>
      <w:r w:rsidRPr="005518A4">
        <w:t>www.superbrandsindia.com</w:t>
      </w:r>
      <w:r>
        <w:t>.</w:t>
      </w:r>
    </w:p>
  </w:endnote>
  <w:endnote w:id="17">
    <w:p w14:paraId="04C75280" w14:textId="31760148" w:rsidR="00DE7D91" w:rsidRPr="002544DA" w:rsidRDefault="00DE7D91" w:rsidP="005954B6">
      <w:pPr>
        <w:pStyle w:val="Footnote"/>
        <w:jc w:val="both"/>
      </w:pPr>
      <w:r w:rsidRPr="002544DA">
        <w:rPr>
          <w:rStyle w:val="EndnoteReference"/>
          <w:rFonts w:ascii="Times New Roman" w:hAnsi="Times New Roman" w:cs="Times New Roman"/>
        </w:rPr>
        <w:endnoteRef/>
      </w:r>
      <w:r w:rsidRPr="002544DA">
        <w:t xml:space="preserve"> ACE Knowledge Portal, </w:t>
      </w:r>
      <w:r>
        <w:t>op. cit.</w:t>
      </w:r>
    </w:p>
  </w:endnote>
  <w:endnote w:id="18">
    <w:p w14:paraId="6DB4BA6F" w14:textId="171BFD7A" w:rsidR="00DE7D91" w:rsidRPr="002544DA" w:rsidRDefault="00DE7D91" w:rsidP="005954B6">
      <w:pPr>
        <w:pStyle w:val="Footnote"/>
        <w:jc w:val="both"/>
      </w:pPr>
      <w:r w:rsidRPr="002544DA">
        <w:rPr>
          <w:rStyle w:val="EndnoteReference"/>
          <w:rFonts w:ascii="Times New Roman" w:hAnsi="Times New Roman" w:cs="Times New Roman"/>
        </w:rPr>
        <w:endnoteRef/>
      </w:r>
      <w:r w:rsidRPr="002544DA">
        <w:t xml:space="preserve"> “About Us: The Company,” </w:t>
      </w:r>
      <w:proofErr w:type="spellStart"/>
      <w:r w:rsidRPr="002544DA">
        <w:t>Hindware</w:t>
      </w:r>
      <w:proofErr w:type="spellEnd"/>
      <w:r w:rsidRPr="002544DA">
        <w:t xml:space="preserve"> </w:t>
      </w:r>
      <w:proofErr w:type="spellStart"/>
      <w:r w:rsidRPr="002544DA">
        <w:t>Sanitaryware</w:t>
      </w:r>
      <w:proofErr w:type="spellEnd"/>
      <w:r w:rsidRPr="002544DA">
        <w:t xml:space="preserve"> and Faucet Collection, accessed May 22, 2017, www.hindwarehomes.com/thecompany.aspx.</w:t>
      </w:r>
    </w:p>
  </w:endnote>
  <w:endnote w:id="19">
    <w:p w14:paraId="1F52DF26" w14:textId="21484179" w:rsidR="00DE7D91" w:rsidRPr="005954B6" w:rsidRDefault="00DE7D91" w:rsidP="005954B6">
      <w:pPr>
        <w:pStyle w:val="EndnoteText"/>
        <w:jc w:val="both"/>
        <w:rPr>
          <w:lang w:val="en-CA"/>
        </w:rPr>
      </w:pPr>
      <w:r>
        <w:rPr>
          <w:rStyle w:val="EndnoteReference"/>
        </w:rPr>
        <w:endnoteRef/>
      </w:r>
      <w:r>
        <w:t xml:space="preserve"> </w:t>
      </w:r>
      <w:r w:rsidRPr="00A372AF">
        <w:rPr>
          <w:rStyle w:val="FootnoteChar"/>
        </w:rPr>
        <w:t>International Organization for Standardization, “About ISO</w:t>
      </w:r>
      <w:r>
        <w:rPr>
          <w:rStyle w:val="FootnoteChar"/>
        </w:rPr>
        <w:t>,</w:t>
      </w:r>
      <w:r w:rsidRPr="00A372AF">
        <w:rPr>
          <w:rStyle w:val="FootnoteChar"/>
        </w:rPr>
        <w:t>” iso.org, accessed August 1, 2018, https://www.iso.org/home.html.</w:t>
      </w:r>
    </w:p>
  </w:endnote>
  <w:endnote w:id="20">
    <w:p w14:paraId="49612E88" w14:textId="27D7EE64" w:rsidR="00DE7D91" w:rsidRPr="002544DA" w:rsidRDefault="00DE7D91" w:rsidP="005954B6">
      <w:pPr>
        <w:pStyle w:val="Footnote"/>
        <w:jc w:val="both"/>
      </w:pPr>
      <w:r w:rsidRPr="002544DA">
        <w:rPr>
          <w:rStyle w:val="EndnoteReference"/>
          <w:rFonts w:ascii="Times New Roman" w:hAnsi="Times New Roman" w:cs="Times New Roman"/>
        </w:rPr>
        <w:endnoteRef/>
      </w:r>
      <w:r w:rsidRPr="002544DA">
        <w:t xml:space="preserve"> “About Us: Overview,” </w:t>
      </w:r>
      <w:proofErr w:type="spellStart"/>
      <w:r w:rsidRPr="002544DA">
        <w:t>Hindware</w:t>
      </w:r>
      <w:proofErr w:type="spellEnd"/>
      <w:r w:rsidRPr="002544DA">
        <w:t xml:space="preserve"> </w:t>
      </w:r>
      <w:proofErr w:type="spellStart"/>
      <w:r w:rsidRPr="002544DA">
        <w:t>Sanitaryware</w:t>
      </w:r>
      <w:proofErr w:type="spellEnd"/>
      <w:r w:rsidRPr="002544DA">
        <w:t xml:space="preserve"> and Faucet Collection, accessed May 22, 2017, www.hindwarehomes.com/about-usoverview.aspx#section2.</w:t>
      </w:r>
    </w:p>
  </w:endnote>
  <w:endnote w:id="21">
    <w:p w14:paraId="3042FB23" w14:textId="07B4E842" w:rsidR="00DE7D91" w:rsidRPr="002544DA" w:rsidRDefault="00DE7D91" w:rsidP="005954B6">
      <w:pPr>
        <w:pStyle w:val="Footnote"/>
        <w:jc w:val="both"/>
      </w:pPr>
      <w:r w:rsidRPr="002544DA">
        <w:rPr>
          <w:rStyle w:val="EndnoteReference"/>
          <w:rFonts w:ascii="Times New Roman" w:hAnsi="Times New Roman" w:cs="Times New Roman"/>
        </w:rPr>
        <w:endnoteRef/>
      </w:r>
      <w:r w:rsidRPr="002544DA">
        <w:t xml:space="preserve"> “HSIL Ltd,” NDTV Profit, accessed May 22, 2017, http://profit.ndtv.com/stock/hsil-ltd_hsil/reports.</w:t>
      </w:r>
    </w:p>
  </w:endnote>
  <w:endnote w:id="22">
    <w:p w14:paraId="14A93E7E" w14:textId="55AABF0D" w:rsidR="00DE7D91" w:rsidRPr="002544DA" w:rsidRDefault="00DE7D91" w:rsidP="005954B6">
      <w:pPr>
        <w:pStyle w:val="Footnote"/>
        <w:jc w:val="both"/>
      </w:pPr>
      <w:r w:rsidRPr="002544DA">
        <w:rPr>
          <w:rStyle w:val="EndnoteReference"/>
          <w:rFonts w:ascii="Times New Roman" w:hAnsi="Times New Roman" w:cs="Times New Roman"/>
        </w:rPr>
        <w:endnoteRef/>
      </w:r>
      <w:r w:rsidRPr="002544DA">
        <w:t xml:space="preserve"> </w:t>
      </w:r>
      <w:r>
        <w:t xml:space="preserve">Amit </w:t>
      </w:r>
      <w:proofErr w:type="spellStart"/>
      <w:r>
        <w:t>Mitra</w:t>
      </w:r>
      <w:proofErr w:type="spellEnd"/>
      <w:r>
        <w:t xml:space="preserve">, </w:t>
      </w:r>
      <w:r w:rsidRPr="002544DA">
        <w:t>“</w:t>
      </w:r>
      <w:proofErr w:type="spellStart"/>
      <w:r w:rsidRPr="002544DA">
        <w:t>Hindware</w:t>
      </w:r>
      <w:proofErr w:type="spellEnd"/>
      <w:r w:rsidRPr="002544DA">
        <w:t xml:space="preserve"> to Enter Tiles Production,” </w:t>
      </w:r>
      <w:r w:rsidRPr="002544DA">
        <w:rPr>
          <w:i/>
        </w:rPr>
        <w:t>Hindu Business Line</w:t>
      </w:r>
      <w:r w:rsidRPr="002544DA">
        <w:t xml:space="preserve">, </w:t>
      </w:r>
      <w:r>
        <w:t>December 8, 2010</w:t>
      </w:r>
      <w:r w:rsidRPr="002544DA">
        <w:t>, accessed May 22, 2017, www.thehindubusinessline.com/todays-paper/tp-corporate/hindware-to-enter-tiles-production/article1028100.ece.</w:t>
      </w:r>
    </w:p>
  </w:endnote>
  <w:endnote w:id="23">
    <w:p w14:paraId="3BCF13E8" w14:textId="12702D8B" w:rsidR="00DE7D91" w:rsidRPr="00E34F27" w:rsidRDefault="00DE7D91" w:rsidP="005954B6">
      <w:pPr>
        <w:pStyle w:val="Footnote"/>
        <w:jc w:val="both"/>
      </w:pPr>
      <w:r w:rsidRPr="005954B6">
        <w:rPr>
          <w:rStyle w:val="EndnoteReference"/>
        </w:rPr>
        <w:endnoteRef/>
      </w:r>
      <w:r w:rsidRPr="006B39C4">
        <w:t xml:space="preserve"> “</w:t>
      </w:r>
      <w:r w:rsidRPr="00904483">
        <w:t xml:space="preserve">HSIL,” Money Control, </w:t>
      </w:r>
      <w:r w:rsidRPr="001A666C">
        <w:t xml:space="preserve">accessed May 22, 2017, </w:t>
      </w:r>
      <w:r w:rsidRPr="002D1D97">
        <w:t>www.moneycontrol.com/financials/hsil/financial-graphs/net-sales</w:t>
      </w:r>
      <w:r w:rsidRPr="00E34F27">
        <w:t>-income-from-operations/HSI02.</w:t>
      </w:r>
    </w:p>
  </w:endnote>
  <w:endnote w:id="24">
    <w:p w14:paraId="123B8499" w14:textId="1F06C532" w:rsidR="00DE7D91" w:rsidRPr="006B39C4" w:rsidRDefault="00DE7D91" w:rsidP="005954B6">
      <w:pPr>
        <w:pStyle w:val="Footnote"/>
        <w:jc w:val="both"/>
      </w:pPr>
      <w:r w:rsidRPr="005954B6">
        <w:rPr>
          <w:rStyle w:val="EndnoteReference"/>
        </w:rPr>
        <w:endnoteRef/>
      </w:r>
      <w:r w:rsidRPr="006B39C4">
        <w:t xml:space="preserve"> </w:t>
      </w:r>
      <w:r w:rsidRPr="005954B6">
        <w:rPr>
          <w:rStyle w:val="FootnoteChar"/>
        </w:rPr>
        <w:t>“</w:t>
      </w:r>
      <w:proofErr w:type="spellStart"/>
      <w:r w:rsidRPr="005954B6">
        <w:rPr>
          <w:rStyle w:val="FootnoteChar"/>
        </w:rPr>
        <w:t>Cera</w:t>
      </w:r>
      <w:proofErr w:type="spellEnd"/>
      <w:r w:rsidRPr="005954B6">
        <w:rPr>
          <w:rStyle w:val="FootnoteChar"/>
        </w:rPr>
        <w:t xml:space="preserve"> </w:t>
      </w:r>
      <w:proofErr w:type="spellStart"/>
      <w:r w:rsidRPr="005954B6">
        <w:rPr>
          <w:rStyle w:val="FootnoteChar"/>
        </w:rPr>
        <w:t>Sanitaryware</w:t>
      </w:r>
      <w:proofErr w:type="spellEnd"/>
      <w:r w:rsidRPr="005954B6">
        <w:rPr>
          <w:rStyle w:val="FootnoteChar"/>
        </w:rPr>
        <w:t xml:space="preserve"> Limited,” NDTV Profit, accessed May 22, 2016, http://profit.ndtv.com//stock/cera-sanitaryware-ltd_cera/reports.</w:t>
      </w:r>
    </w:p>
  </w:endnote>
  <w:endnote w:id="25">
    <w:p w14:paraId="105AA8D8" w14:textId="748FDC79" w:rsidR="00DE7D91" w:rsidRPr="006B39C4" w:rsidRDefault="00DE7D91" w:rsidP="005954B6">
      <w:pPr>
        <w:pStyle w:val="Footnote"/>
        <w:jc w:val="both"/>
      </w:pPr>
      <w:r w:rsidRPr="005954B6">
        <w:rPr>
          <w:rStyle w:val="EndnoteReference"/>
        </w:rPr>
        <w:endnoteRef/>
      </w:r>
      <w:r w:rsidRPr="006B39C4">
        <w:t xml:space="preserve"> </w:t>
      </w:r>
      <w:r w:rsidRPr="005954B6">
        <w:rPr>
          <w:rStyle w:val="FootnoteChar"/>
        </w:rPr>
        <w:t>“</w:t>
      </w:r>
      <w:proofErr w:type="spellStart"/>
      <w:r w:rsidRPr="005954B6">
        <w:rPr>
          <w:rStyle w:val="FootnoteChar"/>
        </w:rPr>
        <w:t>Cera</w:t>
      </w:r>
      <w:proofErr w:type="spellEnd"/>
      <w:r w:rsidRPr="005954B6">
        <w:rPr>
          <w:rStyle w:val="FootnoteChar"/>
        </w:rPr>
        <w:t xml:space="preserve"> Forms </w:t>
      </w:r>
      <w:proofErr w:type="spellStart"/>
      <w:r w:rsidRPr="005954B6">
        <w:rPr>
          <w:rStyle w:val="FootnoteChar"/>
        </w:rPr>
        <w:t>Jt</w:t>
      </w:r>
      <w:proofErr w:type="spellEnd"/>
      <w:r w:rsidRPr="005954B6">
        <w:rPr>
          <w:rStyle w:val="FootnoteChar"/>
        </w:rPr>
        <w:t xml:space="preserve"> Venture for Tile Making Unit,” </w:t>
      </w:r>
      <w:r w:rsidRPr="005954B6">
        <w:rPr>
          <w:rStyle w:val="FootnoteChar"/>
          <w:i/>
        </w:rPr>
        <w:t>Hindu Business Line</w:t>
      </w:r>
      <w:r w:rsidRPr="005954B6">
        <w:rPr>
          <w:rStyle w:val="FootnoteChar"/>
        </w:rPr>
        <w:t>, October 23, 2015, accessed May 22, 2017, www.thehindubusinessline.com/companies/cera-forms-jt-venture-for-tile-making-unit/article7797236.ece.</w:t>
      </w:r>
    </w:p>
  </w:endnote>
  <w:endnote w:id="26">
    <w:p w14:paraId="010C0FFC" w14:textId="722A3416" w:rsidR="00DE7D91" w:rsidRPr="006B39C4" w:rsidRDefault="00DE7D91" w:rsidP="005954B6">
      <w:pPr>
        <w:pStyle w:val="Footnote"/>
        <w:jc w:val="both"/>
      </w:pPr>
      <w:r w:rsidRPr="005954B6">
        <w:rPr>
          <w:rStyle w:val="EndnoteReference"/>
        </w:rPr>
        <w:endnoteRef/>
      </w:r>
      <w:r w:rsidRPr="006B39C4">
        <w:t xml:space="preserve"> </w:t>
      </w:r>
      <w:r w:rsidRPr="005954B6">
        <w:rPr>
          <w:rStyle w:val="FootnoteChar"/>
        </w:rPr>
        <w:t>“</w:t>
      </w:r>
      <w:proofErr w:type="spellStart"/>
      <w:r w:rsidRPr="005954B6">
        <w:rPr>
          <w:rStyle w:val="FootnoteChar"/>
        </w:rPr>
        <w:t>Cera</w:t>
      </w:r>
      <w:proofErr w:type="spellEnd"/>
      <w:r w:rsidRPr="005954B6">
        <w:rPr>
          <w:rStyle w:val="FootnoteChar"/>
        </w:rPr>
        <w:t xml:space="preserve"> </w:t>
      </w:r>
      <w:proofErr w:type="spellStart"/>
      <w:r w:rsidRPr="005954B6">
        <w:rPr>
          <w:rStyle w:val="FootnoteChar"/>
        </w:rPr>
        <w:t>Sanitaryware’s</w:t>
      </w:r>
      <w:proofErr w:type="spellEnd"/>
      <w:r w:rsidRPr="005954B6">
        <w:rPr>
          <w:rStyle w:val="FootnoteChar"/>
        </w:rPr>
        <w:t xml:space="preserve"> Q4FY16 Standalone Net Profit Rises 34.73% YoY to Rs.29.80 Crore: Beats Estimates,” India Infoline (IIFL), accessed May 22, 2017, www.indiainfoline.com/article/equity-earnings-result-commentary/cera-sanitaryware-s-q4fy16-standalone-net-profit-rises-34-73-yoy-to-rs-29-80-crore-beats-estimates-116050300461_1.html.</w:t>
      </w:r>
    </w:p>
  </w:endnote>
  <w:endnote w:id="27">
    <w:p w14:paraId="5A1F9161" w14:textId="581D1C0A" w:rsidR="00DE7D91" w:rsidRPr="005954B6" w:rsidRDefault="00DE7D91" w:rsidP="005954B6">
      <w:pPr>
        <w:pStyle w:val="Footnote"/>
        <w:jc w:val="both"/>
        <w:rPr>
          <w:rStyle w:val="FootnoteChar"/>
        </w:rPr>
      </w:pPr>
      <w:r w:rsidRPr="005954B6">
        <w:rPr>
          <w:rStyle w:val="EndnoteReference"/>
        </w:rPr>
        <w:endnoteRef/>
      </w:r>
      <w:r w:rsidRPr="005954B6">
        <w:rPr>
          <w:vertAlign w:val="superscript"/>
        </w:rPr>
        <w:t xml:space="preserve"> </w:t>
      </w:r>
      <w:proofErr w:type="spellStart"/>
      <w:r w:rsidRPr="005954B6">
        <w:rPr>
          <w:rStyle w:val="FootnoteChar"/>
        </w:rPr>
        <w:t>Hardeep</w:t>
      </w:r>
      <w:proofErr w:type="spellEnd"/>
      <w:r w:rsidRPr="005954B6">
        <w:rPr>
          <w:rStyle w:val="FootnoteChar"/>
        </w:rPr>
        <w:t xml:space="preserve">, “Human Resource Development in Tile Industry in India—A </w:t>
      </w:r>
      <w:r>
        <w:rPr>
          <w:rStyle w:val="FootnoteChar"/>
        </w:rPr>
        <w:t>S</w:t>
      </w:r>
      <w:r w:rsidRPr="005954B6">
        <w:rPr>
          <w:rStyle w:val="FootnoteChar"/>
        </w:rPr>
        <w:t xml:space="preserve">trategy for Employee Retention,” </w:t>
      </w:r>
      <w:r w:rsidRPr="005954B6">
        <w:rPr>
          <w:rStyle w:val="FootnoteChar"/>
          <w:i/>
        </w:rPr>
        <w:t>Economic Challenger</w:t>
      </w:r>
      <w:r w:rsidRPr="005954B6">
        <w:rPr>
          <w:rStyle w:val="FootnoteChar"/>
        </w:rPr>
        <w:t xml:space="preserve"> 15, no. 60 (2013), accessed May 22, 2017, https://www.pressreader.com/india/economic-challenger/20130730/281981785254244. </w:t>
      </w:r>
    </w:p>
  </w:endnote>
  <w:endnote w:id="28">
    <w:p w14:paraId="36EF48B5" w14:textId="20AAC949" w:rsidR="00DE7D91" w:rsidRPr="005954B6" w:rsidRDefault="00DE7D91" w:rsidP="005954B6">
      <w:pPr>
        <w:pStyle w:val="Footnote"/>
        <w:jc w:val="both"/>
        <w:rPr>
          <w:rStyle w:val="FootnoteChar"/>
        </w:rPr>
      </w:pPr>
      <w:r w:rsidRPr="005954B6">
        <w:rPr>
          <w:rStyle w:val="EndnoteReference"/>
        </w:rPr>
        <w:endnoteRef/>
      </w:r>
      <w:r w:rsidRPr="005954B6">
        <w:rPr>
          <w:rStyle w:val="FootnoteChar"/>
        </w:rPr>
        <w:t xml:space="preserve"> T. </w:t>
      </w:r>
      <w:proofErr w:type="spellStart"/>
      <w:r w:rsidRPr="005954B6">
        <w:rPr>
          <w:rStyle w:val="FootnoteChar"/>
        </w:rPr>
        <w:t>Murlidharan</w:t>
      </w:r>
      <w:proofErr w:type="spellEnd"/>
      <w:r w:rsidRPr="005954B6">
        <w:rPr>
          <w:rStyle w:val="FootnoteChar"/>
        </w:rPr>
        <w:t>, “</w:t>
      </w:r>
      <w:r w:rsidR="00904483">
        <w:rPr>
          <w:rStyle w:val="FootnoteChar"/>
        </w:rPr>
        <w:t xml:space="preserve">Engineering a Career,” </w:t>
      </w:r>
      <w:r w:rsidRPr="005954B6">
        <w:rPr>
          <w:rStyle w:val="FootnoteChar"/>
          <w:i/>
        </w:rPr>
        <w:t>The Hindu</w:t>
      </w:r>
      <w:r w:rsidRPr="005954B6">
        <w:rPr>
          <w:rStyle w:val="FootnoteChar"/>
        </w:rPr>
        <w:t>, August 21, 2016, accessed May 20, 2017, www.thehindu.com/features/education/ Engineering-a-career/article14580455.ece.</w:t>
      </w:r>
    </w:p>
  </w:endnote>
  <w:endnote w:id="29">
    <w:p w14:paraId="220FC4E1" w14:textId="52F8C9F6" w:rsidR="00DE7D91" w:rsidRPr="005954B6" w:rsidRDefault="00DE7D91" w:rsidP="005954B6">
      <w:pPr>
        <w:pStyle w:val="Footnote"/>
        <w:jc w:val="both"/>
        <w:rPr>
          <w:rStyle w:val="FootnoteChar"/>
        </w:rPr>
      </w:pPr>
      <w:r w:rsidRPr="005954B6">
        <w:rPr>
          <w:rStyle w:val="EndnoteReference"/>
        </w:rPr>
        <w:endnoteRef/>
      </w:r>
      <w:r w:rsidRPr="005954B6">
        <w:rPr>
          <w:rStyle w:val="FootnoteChar"/>
        </w:rPr>
        <w:t xml:space="preserve"> </w:t>
      </w:r>
      <w:r w:rsidR="00904483">
        <w:rPr>
          <w:rStyle w:val="FootnoteChar"/>
        </w:rPr>
        <w:t xml:space="preserve">PTI, </w:t>
      </w:r>
      <w:r w:rsidRPr="005954B6">
        <w:rPr>
          <w:rStyle w:val="FootnoteChar"/>
        </w:rPr>
        <w:t>“</w:t>
      </w:r>
      <w:proofErr w:type="spellStart"/>
      <w:r w:rsidRPr="005954B6">
        <w:rPr>
          <w:rStyle w:val="FootnoteChar"/>
        </w:rPr>
        <w:t>Engg</w:t>
      </w:r>
      <w:proofErr w:type="spellEnd"/>
      <w:r w:rsidRPr="005954B6">
        <w:rPr>
          <w:rStyle w:val="FootnoteChar"/>
        </w:rPr>
        <w:t xml:space="preserve"> Students Prefer IT; Google Most Wanted Employer: Nielsen,” </w:t>
      </w:r>
      <w:r w:rsidRPr="005954B6">
        <w:rPr>
          <w:rStyle w:val="FootnoteChar"/>
          <w:i/>
        </w:rPr>
        <w:t>Hindu Business Line</w:t>
      </w:r>
      <w:r w:rsidRPr="005954B6">
        <w:rPr>
          <w:rStyle w:val="FootnoteChar"/>
        </w:rPr>
        <w:t>, March 26, 2013, accessed May 22, 2016, www.thehindubusinessline.com/info-tech/engg-students-prefer-it-google-most-wanted-employer-nielsen/article4551054.ece.</w:t>
      </w:r>
    </w:p>
  </w:endnote>
  <w:endnote w:id="30">
    <w:p w14:paraId="25BCE42E" w14:textId="3DEDF17D" w:rsidR="00DE7D91" w:rsidRPr="0043450B" w:rsidRDefault="00DE7D91" w:rsidP="005954B6">
      <w:pPr>
        <w:pStyle w:val="Footnote"/>
        <w:jc w:val="both"/>
        <w:rPr>
          <w:lang w:val="en-IN"/>
        </w:rPr>
      </w:pPr>
      <w:r w:rsidRPr="006B39C4">
        <w:rPr>
          <w:rStyle w:val="EndnoteReference"/>
        </w:rPr>
        <w:endnoteRef/>
      </w:r>
      <w:r w:rsidRPr="006B39C4">
        <w:t xml:space="preserve"> </w:t>
      </w:r>
      <w:proofErr w:type="spellStart"/>
      <w:r w:rsidRPr="005954B6">
        <w:rPr>
          <w:rStyle w:val="FootnoteChar"/>
          <w:rFonts w:eastAsiaTheme="majorEastAsia"/>
        </w:rPr>
        <w:t>Roshni</w:t>
      </w:r>
      <w:proofErr w:type="spellEnd"/>
      <w:r w:rsidRPr="005954B6">
        <w:rPr>
          <w:rStyle w:val="FootnoteChar"/>
          <w:rFonts w:eastAsiaTheme="majorEastAsia"/>
        </w:rPr>
        <w:t xml:space="preserve"> </w:t>
      </w:r>
      <w:proofErr w:type="spellStart"/>
      <w:r w:rsidRPr="005954B6">
        <w:rPr>
          <w:rStyle w:val="FootnoteChar"/>
          <w:rFonts w:eastAsiaTheme="majorEastAsia"/>
        </w:rPr>
        <w:t>Chakrabarty</w:t>
      </w:r>
      <w:proofErr w:type="spellEnd"/>
      <w:r w:rsidRPr="005954B6">
        <w:rPr>
          <w:rStyle w:val="FootnoteChar"/>
          <w:rFonts w:eastAsiaTheme="majorEastAsia"/>
        </w:rPr>
        <w:t xml:space="preserve">, “Only 7 </w:t>
      </w:r>
      <w:r w:rsidR="00904483">
        <w:rPr>
          <w:rStyle w:val="FootnoteChar"/>
          <w:rFonts w:eastAsiaTheme="majorEastAsia"/>
        </w:rPr>
        <w:t>P</w:t>
      </w:r>
      <w:r w:rsidRPr="005954B6">
        <w:rPr>
          <w:rStyle w:val="FootnoteChar"/>
          <w:rFonts w:eastAsiaTheme="majorEastAsia"/>
        </w:rPr>
        <w:t xml:space="preserve">er </w:t>
      </w:r>
      <w:r w:rsidR="00904483">
        <w:rPr>
          <w:rStyle w:val="FootnoteChar"/>
          <w:rFonts w:eastAsiaTheme="majorEastAsia"/>
        </w:rPr>
        <w:t>C</w:t>
      </w:r>
      <w:r w:rsidRPr="005954B6">
        <w:rPr>
          <w:rStyle w:val="FootnoteChar"/>
          <w:rFonts w:eastAsiaTheme="majorEastAsia"/>
        </w:rPr>
        <w:t xml:space="preserve">ent </w:t>
      </w:r>
      <w:r w:rsidR="00904483">
        <w:rPr>
          <w:rStyle w:val="FootnoteChar"/>
          <w:rFonts w:eastAsiaTheme="majorEastAsia"/>
        </w:rPr>
        <w:t>E</w:t>
      </w:r>
      <w:r w:rsidRPr="005954B6">
        <w:rPr>
          <w:rStyle w:val="FootnoteChar"/>
          <w:rFonts w:eastAsiaTheme="majorEastAsia"/>
        </w:rPr>
        <w:t xml:space="preserve">ngineering </w:t>
      </w:r>
      <w:r w:rsidR="00904483">
        <w:rPr>
          <w:rStyle w:val="FootnoteChar"/>
          <w:rFonts w:eastAsiaTheme="majorEastAsia"/>
        </w:rPr>
        <w:t>G</w:t>
      </w:r>
      <w:r w:rsidRPr="005954B6">
        <w:rPr>
          <w:rStyle w:val="FootnoteChar"/>
          <w:rFonts w:eastAsiaTheme="majorEastAsia"/>
        </w:rPr>
        <w:t xml:space="preserve">raduates </w:t>
      </w:r>
      <w:r w:rsidR="00904483">
        <w:rPr>
          <w:rStyle w:val="FootnoteChar"/>
          <w:rFonts w:eastAsiaTheme="majorEastAsia"/>
        </w:rPr>
        <w:t>E</w:t>
      </w:r>
      <w:r w:rsidRPr="005954B6">
        <w:rPr>
          <w:rStyle w:val="FootnoteChar"/>
          <w:rFonts w:eastAsiaTheme="majorEastAsia"/>
        </w:rPr>
        <w:t xml:space="preserve">mployable: What's </w:t>
      </w:r>
      <w:r w:rsidR="00904483">
        <w:rPr>
          <w:rStyle w:val="FootnoteChar"/>
          <w:rFonts w:eastAsiaTheme="majorEastAsia"/>
        </w:rPr>
        <w:t>W</w:t>
      </w:r>
      <w:r w:rsidRPr="005954B6">
        <w:rPr>
          <w:rStyle w:val="FootnoteChar"/>
          <w:rFonts w:eastAsiaTheme="majorEastAsia"/>
        </w:rPr>
        <w:t xml:space="preserve">rong with India's </w:t>
      </w:r>
      <w:r w:rsidR="00904483">
        <w:rPr>
          <w:rStyle w:val="FootnoteChar"/>
          <w:rFonts w:eastAsiaTheme="majorEastAsia"/>
        </w:rPr>
        <w:t>E</w:t>
      </w:r>
      <w:r w:rsidRPr="005954B6">
        <w:rPr>
          <w:rStyle w:val="FootnoteChar"/>
          <w:rFonts w:eastAsiaTheme="majorEastAsia"/>
        </w:rPr>
        <w:t>ngineers</w:t>
      </w:r>
      <w:proofErr w:type="gramStart"/>
      <w:r w:rsidRPr="005954B6">
        <w:rPr>
          <w:rStyle w:val="FootnoteChar"/>
          <w:rFonts w:eastAsiaTheme="majorEastAsia"/>
        </w:rPr>
        <w:t>?,</w:t>
      </w:r>
      <w:proofErr w:type="gramEnd"/>
      <w:r w:rsidRPr="005954B6">
        <w:rPr>
          <w:rStyle w:val="FootnoteChar"/>
          <w:rFonts w:eastAsiaTheme="majorEastAsia"/>
        </w:rPr>
        <w:t xml:space="preserve">” </w:t>
      </w:r>
      <w:r w:rsidRPr="005954B6">
        <w:rPr>
          <w:rStyle w:val="FootnoteChar"/>
          <w:rFonts w:eastAsiaTheme="majorEastAsia"/>
          <w:i/>
        </w:rPr>
        <w:t>India Today</w:t>
      </w:r>
      <w:r w:rsidRPr="005954B6">
        <w:rPr>
          <w:rStyle w:val="FootnoteChar"/>
          <w:rFonts w:eastAsiaTheme="majorEastAsia"/>
        </w:rPr>
        <w:t>, July 13, 2016, accessed June 10, 2018, https://www.indiatoday.in/education-today/featurephilia/story/engineering-employment-problems-329022-2016-07-13</w:t>
      </w:r>
      <w:r w:rsidR="00904483">
        <w:rPr>
          <w:rStyle w:val="FootnoteChar"/>
          <w:rFonts w:eastAsiaTheme="majorEastAsia"/>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DF86F1" w14:textId="77777777" w:rsidR="002A12B4" w:rsidRDefault="002A12B4" w:rsidP="00D75295">
      <w:r>
        <w:separator/>
      </w:r>
    </w:p>
  </w:footnote>
  <w:footnote w:type="continuationSeparator" w:id="0">
    <w:p w14:paraId="669363C8" w14:textId="77777777" w:rsidR="002A12B4" w:rsidRDefault="002A12B4" w:rsidP="00D75295">
      <w:r>
        <w:continuationSeparator/>
      </w:r>
    </w:p>
  </w:footnote>
  <w:footnote w:type="continuationNotice" w:id="1">
    <w:p w14:paraId="1135DEED" w14:textId="77777777" w:rsidR="002A12B4" w:rsidRDefault="002A12B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07A9FA" w14:textId="6DF12500" w:rsidR="00DE7D91" w:rsidRDefault="00DE7D9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0D26CC">
      <w:rPr>
        <w:rFonts w:ascii="Arial" w:hAnsi="Arial"/>
        <w:b/>
        <w:noProof/>
      </w:rPr>
      <w:t>7</w:t>
    </w:r>
    <w:r>
      <w:rPr>
        <w:rFonts w:ascii="Arial" w:hAnsi="Arial"/>
        <w:b/>
      </w:rPr>
      <w:fldChar w:fldCharType="end"/>
    </w:r>
    <w:r>
      <w:rPr>
        <w:rFonts w:ascii="Arial" w:hAnsi="Arial"/>
        <w:b/>
      </w:rPr>
      <w:tab/>
    </w:r>
    <w:r w:rsidR="007A10BA">
      <w:rPr>
        <w:rFonts w:ascii="Arial" w:hAnsi="Arial"/>
        <w:b/>
      </w:rPr>
      <w:t>9B18C025</w:t>
    </w:r>
  </w:p>
  <w:p w14:paraId="2810A1BB" w14:textId="77777777" w:rsidR="00DE7D91" w:rsidRPr="00C92CC4" w:rsidRDefault="00DE7D91">
    <w:pPr>
      <w:pStyle w:val="Header"/>
      <w:rPr>
        <w:sz w:val="18"/>
        <w:szCs w:val="18"/>
      </w:rPr>
    </w:pPr>
  </w:p>
  <w:p w14:paraId="21194878" w14:textId="77777777" w:rsidR="00DE7D91" w:rsidRPr="00C92CC4" w:rsidRDefault="00DE7D91">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numRestart w:val="eachPage"/>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38F4"/>
    <w:rsid w:val="00006177"/>
    <w:rsid w:val="0001004B"/>
    <w:rsid w:val="00012620"/>
    <w:rsid w:val="00013360"/>
    <w:rsid w:val="000216CE"/>
    <w:rsid w:val="00025DC7"/>
    <w:rsid w:val="00026486"/>
    <w:rsid w:val="00030E72"/>
    <w:rsid w:val="00032D2E"/>
    <w:rsid w:val="00044208"/>
    <w:rsid w:val="00044ECC"/>
    <w:rsid w:val="000531D3"/>
    <w:rsid w:val="00054AA6"/>
    <w:rsid w:val="0005646B"/>
    <w:rsid w:val="00057061"/>
    <w:rsid w:val="00063D31"/>
    <w:rsid w:val="00077744"/>
    <w:rsid w:val="00077B0D"/>
    <w:rsid w:val="000807A7"/>
    <w:rsid w:val="0008102D"/>
    <w:rsid w:val="00094C0E"/>
    <w:rsid w:val="0009592C"/>
    <w:rsid w:val="000A48A5"/>
    <w:rsid w:val="000A5929"/>
    <w:rsid w:val="000B1032"/>
    <w:rsid w:val="000B390C"/>
    <w:rsid w:val="000B3AF4"/>
    <w:rsid w:val="000B765C"/>
    <w:rsid w:val="000C356F"/>
    <w:rsid w:val="000D0767"/>
    <w:rsid w:val="000D26CC"/>
    <w:rsid w:val="000D46AF"/>
    <w:rsid w:val="000E62E5"/>
    <w:rsid w:val="000F0C22"/>
    <w:rsid w:val="000F3296"/>
    <w:rsid w:val="000F39BC"/>
    <w:rsid w:val="000F6B09"/>
    <w:rsid w:val="000F6FDC"/>
    <w:rsid w:val="00103F70"/>
    <w:rsid w:val="00104567"/>
    <w:rsid w:val="0012228E"/>
    <w:rsid w:val="00123339"/>
    <w:rsid w:val="00124EB5"/>
    <w:rsid w:val="00125DC0"/>
    <w:rsid w:val="0012732D"/>
    <w:rsid w:val="00133C75"/>
    <w:rsid w:val="00137120"/>
    <w:rsid w:val="00145588"/>
    <w:rsid w:val="00150517"/>
    <w:rsid w:val="00154FC9"/>
    <w:rsid w:val="00160088"/>
    <w:rsid w:val="00166C3B"/>
    <w:rsid w:val="00174A91"/>
    <w:rsid w:val="0019241A"/>
    <w:rsid w:val="001963EF"/>
    <w:rsid w:val="00196781"/>
    <w:rsid w:val="00197D23"/>
    <w:rsid w:val="001A04F0"/>
    <w:rsid w:val="001A3898"/>
    <w:rsid w:val="001A5335"/>
    <w:rsid w:val="001A666C"/>
    <w:rsid w:val="001A752D"/>
    <w:rsid w:val="001B3DED"/>
    <w:rsid w:val="001B5DC8"/>
    <w:rsid w:val="001C09C8"/>
    <w:rsid w:val="001C378E"/>
    <w:rsid w:val="001D69EB"/>
    <w:rsid w:val="001E1CDE"/>
    <w:rsid w:val="001E22AE"/>
    <w:rsid w:val="001E3B8E"/>
    <w:rsid w:val="001E589E"/>
    <w:rsid w:val="001F35B7"/>
    <w:rsid w:val="00203AA1"/>
    <w:rsid w:val="00207768"/>
    <w:rsid w:val="00213E98"/>
    <w:rsid w:val="00214C9C"/>
    <w:rsid w:val="002154CF"/>
    <w:rsid w:val="002171DA"/>
    <w:rsid w:val="002335D9"/>
    <w:rsid w:val="00235B61"/>
    <w:rsid w:val="002433B6"/>
    <w:rsid w:val="00246F62"/>
    <w:rsid w:val="002544DA"/>
    <w:rsid w:val="00256453"/>
    <w:rsid w:val="002571BF"/>
    <w:rsid w:val="002A12B4"/>
    <w:rsid w:val="002D1D97"/>
    <w:rsid w:val="002E32F0"/>
    <w:rsid w:val="002F460C"/>
    <w:rsid w:val="002F48D6"/>
    <w:rsid w:val="002F55D0"/>
    <w:rsid w:val="00304612"/>
    <w:rsid w:val="0033014F"/>
    <w:rsid w:val="00332D4B"/>
    <w:rsid w:val="003522D7"/>
    <w:rsid w:val="00354899"/>
    <w:rsid w:val="00355FD6"/>
    <w:rsid w:val="00361C8E"/>
    <w:rsid w:val="00364A5C"/>
    <w:rsid w:val="003679F0"/>
    <w:rsid w:val="00367AC3"/>
    <w:rsid w:val="00373FB1"/>
    <w:rsid w:val="00376F4D"/>
    <w:rsid w:val="00382CFF"/>
    <w:rsid w:val="00384CA6"/>
    <w:rsid w:val="003B052D"/>
    <w:rsid w:val="003B30D8"/>
    <w:rsid w:val="003B3D71"/>
    <w:rsid w:val="003B6670"/>
    <w:rsid w:val="003B7EF2"/>
    <w:rsid w:val="003C0794"/>
    <w:rsid w:val="003C3B47"/>
    <w:rsid w:val="003C3FA4"/>
    <w:rsid w:val="003D461E"/>
    <w:rsid w:val="003D5D37"/>
    <w:rsid w:val="003F2B0C"/>
    <w:rsid w:val="004014D9"/>
    <w:rsid w:val="00404E1C"/>
    <w:rsid w:val="00406B13"/>
    <w:rsid w:val="004073FF"/>
    <w:rsid w:val="004076BF"/>
    <w:rsid w:val="004162B4"/>
    <w:rsid w:val="004221E4"/>
    <w:rsid w:val="004233D9"/>
    <w:rsid w:val="004233F0"/>
    <w:rsid w:val="00424469"/>
    <w:rsid w:val="00431C4E"/>
    <w:rsid w:val="0043450B"/>
    <w:rsid w:val="0043484F"/>
    <w:rsid w:val="00443BA1"/>
    <w:rsid w:val="00443EB6"/>
    <w:rsid w:val="00455F5D"/>
    <w:rsid w:val="004652E6"/>
    <w:rsid w:val="004661D2"/>
    <w:rsid w:val="00471088"/>
    <w:rsid w:val="004711AC"/>
    <w:rsid w:val="00472CF7"/>
    <w:rsid w:val="004759A8"/>
    <w:rsid w:val="00483AF9"/>
    <w:rsid w:val="004A4B80"/>
    <w:rsid w:val="004A765D"/>
    <w:rsid w:val="004B1CCB"/>
    <w:rsid w:val="004B1DA6"/>
    <w:rsid w:val="004C0044"/>
    <w:rsid w:val="004C792A"/>
    <w:rsid w:val="004D73A5"/>
    <w:rsid w:val="004F12D3"/>
    <w:rsid w:val="004F69AE"/>
    <w:rsid w:val="00500C9A"/>
    <w:rsid w:val="005020D5"/>
    <w:rsid w:val="00503C8C"/>
    <w:rsid w:val="00506766"/>
    <w:rsid w:val="00507FDE"/>
    <w:rsid w:val="005251BC"/>
    <w:rsid w:val="00526AA2"/>
    <w:rsid w:val="00532CF5"/>
    <w:rsid w:val="005335C7"/>
    <w:rsid w:val="00537660"/>
    <w:rsid w:val="005472DE"/>
    <w:rsid w:val="005518A4"/>
    <w:rsid w:val="005528CB"/>
    <w:rsid w:val="00553F8F"/>
    <w:rsid w:val="00554788"/>
    <w:rsid w:val="00564ACB"/>
    <w:rsid w:val="00566771"/>
    <w:rsid w:val="005669C8"/>
    <w:rsid w:val="00580D18"/>
    <w:rsid w:val="00581E2E"/>
    <w:rsid w:val="00584F15"/>
    <w:rsid w:val="0058624F"/>
    <w:rsid w:val="0058664D"/>
    <w:rsid w:val="00590052"/>
    <w:rsid w:val="005954B6"/>
    <w:rsid w:val="005A48C3"/>
    <w:rsid w:val="005A5653"/>
    <w:rsid w:val="005C3B53"/>
    <w:rsid w:val="005D4398"/>
    <w:rsid w:val="005E0743"/>
    <w:rsid w:val="0060644D"/>
    <w:rsid w:val="0061051E"/>
    <w:rsid w:val="006163F7"/>
    <w:rsid w:val="006207BD"/>
    <w:rsid w:val="00621B81"/>
    <w:rsid w:val="006407E4"/>
    <w:rsid w:val="00643D07"/>
    <w:rsid w:val="00650F3D"/>
    <w:rsid w:val="00652606"/>
    <w:rsid w:val="00660098"/>
    <w:rsid w:val="0066697D"/>
    <w:rsid w:val="00673DD8"/>
    <w:rsid w:val="006748AC"/>
    <w:rsid w:val="00682754"/>
    <w:rsid w:val="006838E6"/>
    <w:rsid w:val="006920B9"/>
    <w:rsid w:val="00695054"/>
    <w:rsid w:val="00695C51"/>
    <w:rsid w:val="006A3FFB"/>
    <w:rsid w:val="006A58A9"/>
    <w:rsid w:val="006A606D"/>
    <w:rsid w:val="006B39C4"/>
    <w:rsid w:val="006B7B81"/>
    <w:rsid w:val="006B7F7A"/>
    <w:rsid w:val="006C0371"/>
    <w:rsid w:val="006C08B6"/>
    <w:rsid w:val="006C0B1A"/>
    <w:rsid w:val="006C30D9"/>
    <w:rsid w:val="006C4384"/>
    <w:rsid w:val="006C6065"/>
    <w:rsid w:val="006C7F9F"/>
    <w:rsid w:val="006D0B7C"/>
    <w:rsid w:val="006E2F6D"/>
    <w:rsid w:val="006E58F6"/>
    <w:rsid w:val="006E77E1"/>
    <w:rsid w:val="006F131D"/>
    <w:rsid w:val="006F1D9E"/>
    <w:rsid w:val="006F20BF"/>
    <w:rsid w:val="006F7109"/>
    <w:rsid w:val="0070129A"/>
    <w:rsid w:val="00701970"/>
    <w:rsid w:val="007033F0"/>
    <w:rsid w:val="00722079"/>
    <w:rsid w:val="007241DB"/>
    <w:rsid w:val="007335BB"/>
    <w:rsid w:val="007359F0"/>
    <w:rsid w:val="007416F0"/>
    <w:rsid w:val="00745068"/>
    <w:rsid w:val="00752BCD"/>
    <w:rsid w:val="00766DA1"/>
    <w:rsid w:val="007866A6"/>
    <w:rsid w:val="00786CCB"/>
    <w:rsid w:val="007A10BA"/>
    <w:rsid w:val="007A130D"/>
    <w:rsid w:val="007A469C"/>
    <w:rsid w:val="007C0184"/>
    <w:rsid w:val="007D0AA6"/>
    <w:rsid w:val="007D0BDC"/>
    <w:rsid w:val="007D4102"/>
    <w:rsid w:val="007E268C"/>
    <w:rsid w:val="007E5921"/>
    <w:rsid w:val="007E64C6"/>
    <w:rsid w:val="007F09B8"/>
    <w:rsid w:val="007F09CC"/>
    <w:rsid w:val="008136B3"/>
    <w:rsid w:val="00815683"/>
    <w:rsid w:val="008201E6"/>
    <w:rsid w:val="00821FFC"/>
    <w:rsid w:val="008271CA"/>
    <w:rsid w:val="0083078F"/>
    <w:rsid w:val="0083320F"/>
    <w:rsid w:val="00844DF0"/>
    <w:rsid w:val="008467D5"/>
    <w:rsid w:val="0084752E"/>
    <w:rsid w:val="00850BB3"/>
    <w:rsid w:val="00851A3E"/>
    <w:rsid w:val="00856D9F"/>
    <w:rsid w:val="0086052B"/>
    <w:rsid w:val="0086511D"/>
    <w:rsid w:val="00866362"/>
    <w:rsid w:val="00866F6D"/>
    <w:rsid w:val="0087323F"/>
    <w:rsid w:val="00882F58"/>
    <w:rsid w:val="00896857"/>
    <w:rsid w:val="00897817"/>
    <w:rsid w:val="008A36BE"/>
    <w:rsid w:val="008A4DC4"/>
    <w:rsid w:val="008E5896"/>
    <w:rsid w:val="008F6518"/>
    <w:rsid w:val="008F6E21"/>
    <w:rsid w:val="00903449"/>
    <w:rsid w:val="00904483"/>
    <w:rsid w:val="009046AE"/>
    <w:rsid w:val="00904711"/>
    <w:rsid w:val="009067A4"/>
    <w:rsid w:val="0090722E"/>
    <w:rsid w:val="00933165"/>
    <w:rsid w:val="009340DB"/>
    <w:rsid w:val="00934C70"/>
    <w:rsid w:val="0093667A"/>
    <w:rsid w:val="00941039"/>
    <w:rsid w:val="00945F9E"/>
    <w:rsid w:val="00951B74"/>
    <w:rsid w:val="00952EA9"/>
    <w:rsid w:val="00956631"/>
    <w:rsid w:val="00962D01"/>
    <w:rsid w:val="0096353E"/>
    <w:rsid w:val="009639E8"/>
    <w:rsid w:val="00963B15"/>
    <w:rsid w:val="00972498"/>
    <w:rsid w:val="00974CC6"/>
    <w:rsid w:val="009757E6"/>
    <w:rsid w:val="00976AD4"/>
    <w:rsid w:val="00980005"/>
    <w:rsid w:val="00983B52"/>
    <w:rsid w:val="00991F56"/>
    <w:rsid w:val="009A312F"/>
    <w:rsid w:val="009A5348"/>
    <w:rsid w:val="009A67BB"/>
    <w:rsid w:val="009B0BB0"/>
    <w:rsid w:val="009B54BA"/>
    <w:rsid w:val="009C76D5"/>
    <w:rsid w:val="009D0749"/>
    <w:rsid w:val="009D211B"/>
    <w:rsid w:val="009E1258"/>
    <w:rsid w:val="009E246D"/>
    <w:rsid w:val="009E28C4"/>
    <w:rsid w:val="009E3EFE"/>
    <w:rsid w:val="009E608B"/>
    <w:rsid w:val="009E6963"/>
    <w:rsid w:val="009E725E"/>
    <w:rsid w:val="009F3127"/>
    <w:rsid w:val="009F7AA4"/>
    <w:rsid w:val="00A0034A"/>
    <w:rsid w:val="00A05C8C"/>
    <w:rsid w:val="00A13E19"/>
    <w:rsid w:val="00A14898"/>
    <w:rsid w:val="00A15470"/>
    <w:rsid w:val="00A1675E"/>
    <w:rsid w:val="00A22977"/>
    <w:rsid w:val="00A35F4F"/>
    <w:rsid w:val="00A372AF"/>
    <w:rsid w:val="00A559DB"/>
    <w:rsid w:val="00A9245E"/>
    <w:rsid w:val="00AA0E60"/>
    <w:rsid w:val="00AA5BCC"/>
    <w:rsid w:val="00AB7A7F"/>
    <w:rsid w:val="00AD7AF3"/>
    <w:rsid w:val="00AE5967"/>
    <w:rsid w:val="00AF0C77"/>
    <w:rsid w:val="00AF35FC"/>
    <w:rsid w:val="00AF5D16"/>
    <w:rsid w:val="00B03639"/>
    <w:rsid w:val="00B05545"/>
    <w:rsid w:val="00B0652A"/>
    <w:rsid w:val="00B24973"/>
    <w:rsid w:val="00B27641"/>
    <w:rsid w:val="00B33A8A"/>
    <w:rsid w:val="00B3757D"/>
    <w:rsid w:val="00B40937"/>
    <w:rsid w:val="00B423EF"/>
    <w:rsid w:val="00B44FC7"/>
    <w:rsid w:val="00B453DE"/>
    <w:rsid w:val="00B4742F"/>
    <w:rsid w:val="00B545E8"/>
    <w:rsid w:val="00B55457"/>
    <w:rsid w:val="00B571E3"/>
    <w:rsid w:val="00B731AF"/>
    <w:rsid w:val="00B7751A"/>
    <w:rsid w:val="00B83C68"/>
    <w:rsid w:val="00B901F9"/>
    <w:rsid w:val="00B9038F"/>
    <w:rsid w:val="00BA3EA7"/>
    <w:rsid w:val="00BC675D"/>
    <w:rsid w:val="00BD25D1"/>
    <w:rsid w:val="00BD2FCB"/>
    <w:rsid w:val="00BD6EFB"/>
    <w:rsid w:val="00BF4C28"/>
    <w:rsid w:val="00C12126"/>
    <w:rsid w:val="00C121A5"/>
    <w:rsid w:val="00C15BE2"/>
    <w:rsid w:val="00C20B30"/>
    <w:rsid w:val="00C22219"/>
    <w:rsid w:val="00C24646"/>
    <w:rsid w:val="00C25007"/>
    <w:rsid w:val="00C2579A"/>
    <w:rsid w:val="00C2589E"/>
    <w:rsid w:val="00C3447F"/>
    <w:rsid w:val="00C411E4"/>
    <w:rsid w:val="00C42ADD"/>
    <w:rsid w:val="00C50275"/>
    <w:rsid w:val="00C56398"/>
    <w:rsid w:val="00C56FF0"/>
    <w:rsid w:val="00C617E7"/>
    <w:rsid w:val="00C6363C"/>
    <w:rsid w:val="00C75EB2"/>
    <w:rsid w:val="00C81491"/>
    <w:rsid w:val="00C81676"/>
    <w:rsid w:val="00C8332D"/>
    <w:rsid w:val="00C8550C"/>
    <w:rsid w:val="00C9082C"/>
    <w:rsid w:val="00C919C6"/>
    <w:rsid w:val="00C92CC4"/>
    <w:rsid w:val="00C96B9C"/>
    <w:rsid w:val="00CA0AFB"/>
    <w:rsid w:val="00CA1E3A"/>
    <w:rsid w:val="00CA2CE1"/>
    <w:rsid w:val="00CA3976"/>
    <w:rsid w:val="00CA757B"/>
    <w:rsid w:val="00CB28DC"/>
    <w:rsid w:val="00CB6B09"/>
    <w:rsid w:val="00CB7617"/>
    <w:rsid w:val="00CC0EA7"/>
    <w:rsid w:val="00CC1787"/>
    <w:rsid w:val="00CC182C"/>
    <w:rsid w:val="00CD0824"/>
    <w:rsid w:val="00CD17DC"/>
    <w:rsid w:val="00CD27D1"/>
    <w:rsid w:val="00CD2908"/>
    <w:rsid w:val="00CD614B"/>
    <w:rsid w:val="00CE1CD1"/>
    <w:rsid w:val="00CE3F18"/>
    <w:rsid w:val="00CE5F59"/>
    <w:rsid w:val="00CF5DA4"/>
    <w:rsid w:val="00CF6143"/>
    <w:rsid w:val="00D03A82"/>
    <w:rsid w:val="00D0482A"/>
    <w:rsid w:val="00D04C46"/>
    <w:rsid w:val="00D06FF8"/>
    <w:rsid w:val="00D07D73"/>
    <w:rsid w:val="00D106E3"/>
    <w:rsid w:val="00D15344"/>
    <w:rsid w:val="00D31BEC"/>
    <w:rsid w:val="00D321ED"/>
    <w:rsid w:val="00D402A7"/>
    <w:rsid w:val="00D4629A"/>
    <w:rsid w:val="00D53FCD"/>
    <w:rsid w:val="00D56002"/>
    <w:rsid w:val="00D63150"/>
    <w:rsid w:val="00D64A32"/>
    <w:rsid w:val="00D64EFC"/>
    <w:rsid w:val="00D664F1"/>
    <w:rsid w:val="00D74F0F"/>
    <w:rsid w:val="00D75295"/>
    <w:rsid w:val="00D7542A"/>
    <w:rsid w:val="00D76CE9"/>
    <w:rsid w:val="00D8716E"/>
    <w:rsid w:val="00D97F12"/>
    <w:rsid w:val="00DA1242"/>
    <w:rsid w:val="00DA303B"/>
    <w:rsid w:val="00DA5FEB"/>
    <w:rsid w:val="00DB42E7"/>
    <w:rsid w:val="00DB6059"/>
    <w:rsid w:val="00DC0E77"/>
    <w:rsid w:val="00DC1EBA"/>
    <w:rsid w:val="00DC4976"/>
    <w:rsid w:val="00DD3DAC"/>
    <w:rsid w:val="00DE7D91"/>
    <w:rsid w:val="00DF32C2"/>
    <w:rsid w:val="00E05480"/>
    <w:rsid w:val="00E16532"/>
    <w:rsid w:val="00E221E3"/>
    <w:rsid w:val="00E2503C"/>
    <w:rsid w:val="00E30DC2"/>
    <w:rsid w:val="00E325BB"/>
    <w:rsid w:val="00E330B1"/>
    <w:rsid w:val="00E34F27"/>
    <w:rsid w:val="00E369C0"/>
    <w:rsid w:val="00E4386C"/>
    <w:rsid w:val="00E471A7"/>
    <w:rsid w:val="00E50014"/>
    <w:rsid w:val="00E553D1"/>
    <w:rsid w:val="00E56224"/>
    <w:rsid w:val="00E635CF"/>
    <w:rsid w:val="00E742E9"/>
    <w:rsid w:val="00E76EF1"/>
    <w:rsid w:val="00E77417"/>
    <w:rsid w:val="00E806FD"/>
    <w:rsid w:val="00E8144F"/>
    <w:rsid w:val="00E92A8E"/>
    <w:rsid w:val="00EB0C38"/>
    <w:rsid w:val="00EB5410"/>
    <w:rsid w:val="00EC6E0A"/>
    <w:rsid w:val="00EC6E36"/>
    <w:rsid w:val="00ED1DF9"/>
    <w:rsid w:val="00ED4E18"/>
    <w:rsid w:val="00ED6050"/>
    <w:rsid w:val="00EE1F37"/>
    <w:rsid w:val="00F00FCD"/>
    <w:rsid w:val="00F0159C"/>
    <w:rsid w:val="00F01E24"/>
    <w:rsid w:val="00F10296"/>
    <w:rsid w:val="00F105B7"/>
    <w:rsid w:val="00F13844"/>
    <w:rsid w:val="00F1628F"/>
    <w:rsid w:val="00F17A21"/>
    <w:rsid w:val="00F31E94"/>
    <w:rsid w:val="00F43668"/>
    <w:rsid w:val="00F45587"/>
    <w:rsid w:val="00F455B0"/>
    <w:rsid w:val="00F45A74"/>
    <w:rsid w:val="00F50E91"/>
    <w:rsid w:val="00F57D29"/>
    <w:rsid w:val="00F632A0"/>
    <w:rsid w:val="00F75F4E"/>
    <w:rsid w:val="00F92A99"/>
    <w:rsid w:val="00F94B1E"/>
    <w:rsid w:val="00F96201"/>
    <w:rsid w:val="00F96550"/>
    <w:rsid w:val="00FC30E9"/>
    <w:rsid w:val="00FC3467"/>
    <w:rsid w:val="00FC3526"/>
    <w:rsid w:val="00FC398A"/>
    <w:rsid w:val="00FC3FC3"/>
    <w:rsid w:val="00FD0B18"/>
    <w:rsid w:val="00FD0F82"/>
    <w:rsid w:val="00FD1F15"/>
    <w:rsid w:val="00FD643A"/>
    <w:rsid w:val="00FE714F"/>
    <w:rsid w:val="00FF4E85"/>
    <w:rsid w:val="00FF5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10DC367"/>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rsid w:val="00554788"/>
    <w:pPr>
      <w:spacing w:before="100" w:beforeAutospacing="1" w:after="100" w:afterAutospacing="1"/>
      <w:outlineLvl w:val="1"/>
    </w:pPr>
    <w:rPr>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7335BB"/>
    <w:pPr>
      <w:keepNext/>
    </w:pPr>
    <w:rPr>
      <w:rFonts w:ascii="Arial" w:hAnsi="Arial" w:cs="Arial"/>
      <w:b/>
      <w:caps/>
      <w:sz w:val="20"/>
      <w:szCs w:val="20"/>
      <w:lang w:val="en-GB"/>
    </w:rPr>
  </w:style>
  <w:style w:type="character" w:customStyle="1" w:styleId="Casehead1Char">
    <w:name w:val="Casehead 1 Char"/>
    <w:basedOn w:val="BodyTextMainChar"/>
    <w:link w:val="Casehead1"/>
    <w:rsid w:val="00213E98"/>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60088"/>
    <w:rPr>
      <w:rFonts w:ascii="Arial" w:hAnsi="Arial" w:cs="Arial"/>
      <w:sz w:val="17"/>
      <w:szCs w:val="17"/>
      <w:lang w:val="en-GB"/>
    </w:rPr>
  </w:style>
  <w:style w:type="character" w:customStyle="1" w:styleId="FootnoteChar">
    <w:name w:val="Footnote Char"/>
    <w:basedOn w:val="FootnoteTextChar"/>
    <w:link w:val="Footnote"/>
    <w:rsid w:val="006F1D9E"/>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qFormat/>
    <w:rsid w:val="00B4742F"/>
    <w:rPr>
      <w:vertAlign w:val="superscript"/>
    </w:rPr>
  </w:style>
  <w:style w:type="paragraph" w:customStyle="1" w:styleId="IveyQuotes">
    <w:name w:val="Ivey Quotes"/>
    <w:basedOn w:val="Normal"/>
    <w:link w:val="IveyQuotesChar"/>
    <w:rsid w:val="004A4B80"/>
    <w:pPr>
      <w:tabs>
        <w:tab w:val="left" w:pos="-1440"/>
        <w:tab w:val="left" w:pos="-720"/>
        <w:tab w:val="left" w:pos="1"/>
        <w:tab w:val="right" w:pos="9360"/>
      </w:tabs>
      <w:ind w:left="284"/>
      <w:contextualSpacing/>
      <w:jc w:val="both"/>
    </w:pPr>
    <w:rPr>
      <w:sz w:val="22"/>
      <w:lang w:val="en-GB"/>
    </w:rPr>
  </w:style>
  <w:style w:type="character" w:customStyle="1" w:styleId="IveyQuotesChar">
    <w:name w:val="Ivey Quotes Char"/>
    <w:basedOn w:val="DefaultParagraphFont"/>
    <w:link w:val="IveyQuotes"/>
    <w:rsid w:val="004A4B80"/>
    <w:rPr>
      <w:rFonts w:ascii="Times New Roman" w:eastAsia="Times New Roman" w:hAnsi="Times New Roman" w:cs="Times New Roman"/>
      <w:szCs w:val="20"/>
      <w:lang w:val="en-GB"/>
    </w:rPr>
  </w:style>
  <w:style w:type="character" w:customStyle="1" w:styleId="Heading2Char">
    <w:name w:val="Heading 2 Char"/>
    <w:basedOn w:val="DefaultParagraphFont"/>
    <w:link w:val="Heading2"/>
    <w:uiPriority w:val="9"/>
    <w:rsid w:val="00554788"/>
    <w:rPr>
      <w:rFonts w:ascii="Times New Roman" w:eastAsia="Times New Roman" w:hAnsi="Times New Roman" w:cs="Times New Roman"/>
      <w:b/>
      <w:bCs/>
      <w:sz w:val="36"/>
      <w:szCs w:val="3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76206">
      <w:bodyDiv w:val="1"/>
      <w:marLeft w:val="0"/>
      <w:marRight w:val="0"/>
      <w:marTop w:val="0"/>
      <w:marBottom w:val="0"/>
      <w:divBdr>
        <w:top w:val="none" w:sz="0" w:space="0" w:color="auto"/>
        <w:left w:val="none" w:sz="0" w:space="0" w:color="auto"/>
        <w:bottom w:val="none" w:sz="0" w:space="0" w:color="auto"/>
        <w:right w:val="none" w:sz="0" w:space="0" w:color="auto"/>
      </w:divBdr>
    </w:div>
    <w:div w:id="685406437">
      <w:bodyDiv w:val="1"/>
      <w:marLeft w:val="0"/>
      <w:marRight w:val="0"/>
      <w:marTop w:val="0"/>
      <w:marBottom w:val="0"/>
      <w:divBdr>
        <w:top w:val="none" w:sz="0" w:space="0" w:color="auto"/>
        <w:left w:val="none" w:sz="0" w:space="0" w:color="auto"/>
        <w:bottom w:val="none" w:sz="0" w:space="0" w:color="auto"/>
        <w:right w:val="none" w:sz="0" w:space="0" w:color="auto"/>
      </w:divBdr>
    </w:div>
    <w:div w:id="12620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57560-7758-4791-9642-EFE8342C8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2732</Words>
  <Characters>15576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Gow, Jasmin</cp:lastModifiedBy>
  <cp:revision>13</cp:revision>
  <cp:lastPrinted>2018-08-13T13:50:00Z</cp:lastPrinted>
  <dcterms:created xsi:type="dcterms:W3CDTF">2018-08-13T13:49:00Z</dcterms:created>
  <dcterms:modified xsi:type="dcterms:W3CDTF">2018-08-22T18:52:00Z</dcterms:modified>
</cp:coreProperties>
</file>