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A0071" w14:textId="569954FD" w:rsidR="00856D9F" w:rsidRPr="00C66696" w:rsidRDefault="009A6788" w:rsidP="008467D5">
      <w:pPr>
        <w:pBdr>
          <w:bottom w:val="single" w:sz="18" w:space="1" w:color="auto"/>
        </w:pBdr>
        <w:tabs>
          <w:tab w:val="left" w:pos="-1440"/>
          <w:tab w:val="left" w:pos="-720"/>
          <w:tab w:val="left" w:pos="1"/>
        </w:tabs>
        <w:jc w:val="both"/>
        <w:rPr>
          <w:rFonts w:ascii="Arial" w:hAnsi="Arial"/>
          <w:b/>
          <w:sz w:val="16"/>
        </w:rPr>
      </w:pPr>
      <w:r>
        <w:rPr>
          <w:rFonts w:ascii="Arial" w:hAnsi="Arial"/>
          <w:b/>
          <w:noProof/>
        </w:rPr>
        <w:drawing>
          <wp:inline distT="0" distB="0" distL="0" distR="0" wp14:anchorId="568CF37B" wp14:editId="78658A46">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Pr>
          <w:rFonts w:ascii="Arial" w:hAnsi="Arial"/>
          <w:b/>
        </w:rPr>
        <w:t xml:space="preserve">                         </w:t>
      </w:r>
      <w:r w:rsidR="00C66696">
        <w:rPr>
          <w:rFonts w:ascii="Arial" w:hAnsi="Arial"/>
          <w:b/>
          <w:noProof/>
        </w:rPr>
        <w:drawing>
          <wp:inline distT="0" distB="0" distL="0" distR="0" wp14:anchorId="50277054" wp14:editId="140D2035">
            <wp:extent cx="2095500" cy="633424"/>
            <wp:effectExtent l="0" t="0" r="0" b="0"/>
            <wp:docPr id="2" name="Picture 2" descr="H:\shared\Partners-External\Suppliers\Case Western Reserve University\Logos and Templates\CWRU FC BAWB logo November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ase Western Reserve University\Logos and Templates\CWRU FC BAWB logo November 2015.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095500" cy="633424"/>
                    </a:xfrm>
                    <a:prstGeom prst="rect">
                      <a:avLst/>
                    </a:prstGeom>
                    <a:noFill/>
                    <a:ln>
                      <a:noFill/>
                    </a:ln>
                  </pic:spPr>
                </pic:pic>
              </a:graphicData>
            </a:graphic>
          </wp:inline>
        </w:drawing>
      </w:r>
    </w:p>
    <w:p w14:paraId="68430CE7" w14:textId="77777777" w:rsidR="009A6788" w:rsidRPr="009A6788" w:rsidRDefault="009A6788" w:rsidP="008467D5">
      <w:pPr>
        <w:pBdr>
          <w:bottom w:val="single" w:sz="18" w:space="1" w:color="auto"/>
        </w:pBdr>
        <w:tabs>
          <w:tab w:val="left" w:pos="-1440"/>
          <w:tab w:val="left" w:pos="-720"/>
          <w:tab w:val="left" w:pos="1"/>
        </w:tabs>
        <w:jc w:val="both"/>
        <w:rPr>
          <w:rFonts w:ascii="Arial" w:hAnsi="Arial"/>
          <w:b/>
          <w:sz w:val="12"/>
        </w:rPr>
      </w:pPr>
    </w:p>
    <w:p w14:paraId="683FC6B7" w14:textId="58FAD06F" w:rsidR="00D75295" w:rsidRPr="00483937" w:rsidRDefault="00B52761" w:rsidP="00F524F1">
      <w:pPr>
        <w:pStyle w:val="ProductNumber"/>
        <w:outlineLvl w:val="0"/>
      </w:pPr>
      <w:r>
        <w:t>9B18C033</w:t>
      </w:r>
    </w:p>
    <w:p w14:paraId="71B7483F" w14:textId="77777777" w:rsidR="00D75295" w:rsidRPr="00483937" w:rsidRDefault="00D75295" w:rsidP="00D75295">
      <w:pPr>
        <w:jc w:val="right"/>
        <w:rPr>
          <w:rFonts w:ascii="Arial" w:hAnsi="Arial"/>
          <w:b/>
          <w:sz w:val="28"/>
          <w:szCs w:val="28"/>
        </w:rPr>
      </w:pPr>
    </w:p>
    <w:p w14:paraId="1F5B9D10" w14:textId="77777777" w:rsidR="00866F6D" w:rsidRPr="00483937" w:rsidRDefault="00866F6D" w:rsidP="00D75295">
      <w:pPr>
        <w:jc w:val="right"/>
        <w:rPr>
          <w:rFonts w:ascii="Arial" w:hAnsi="Arial"/>
          <w:b/>
          <w:sz w:val="28"/>
          <w:szCs w:val="28"/>
        </w:rPr>
      </w:pPr>
    </w:p>
    <w:p w14:paraId="18A5322D" w14:textId="5FC8CC88" w:rsidR="00013360" w:rsidRPr="00483937" w:rsidRDefault="007C397C" w:rsidP="00013360">
      <w:pPr>
        <w:pStyle w:val="CaseTitle"/>
        <w:spacing w:after="0" w:line="240" w:lineRule="auto"/>
      </w:pPr>
      <w:r>
        <w:t xml:space="preserve">CENTRIC CONSULTING CLEVELAND: </w:t>
      </w:r>
      <w:r w:rsidR="00924A6F" w:rsidRPr="00483937">
        <w:t>STAYING TRUE TO CORE VALUES</w:t>
      </w:r>
    </w:p>
    <w:p w14:paraId="1482A724" w14:textId="77777777" w:rsidR="00CA3976" w:rsidRPr="00483937" w:rsidRDefault="00CA3976" w:rsidP="00013360">
      <w:pPr>
        <w:pStyle w:val="CaseTitle"/>
        <w:spacing w:after="0" w:line="240" w:lineRule="auto"/>
        <w:rPr>
          <w:sz w:val="20"/>
          <w:szCs w:val="20"/>
        </w:rPr>
      </w:pPr>
    </w:p>
    <w:p w14:paraId="7352CBCB" w14:textId="77777777" w:rsidR="00013360" w:rsidRPr="00483937" w:rsidRDefault="00013360" w:rsidP="00013360">
      <w:pPr>
        <w:pStyle w:val="CaseTitle"/>
        <w:spacing w:after="0" w:line="240" w:lineRule="auto"/>
        <w:rPr>
          <w:sz w:val="20"/>
          <w:szCs w:val="20"/>
        </w:rPr>
      </w:pPr>
    </w:p>
    <w:p w14:paraId="4A612208" w14:textId="6B7507D1" w:rsidR="00013360" w:rsidRPr="00483937" w:rsidRDefault="00286F72" w:rsidP="00104567">
      <w:pPr>
        <w:pStyle w:val="StyleCopyrightStatementAfter0ptBottomSinglesolidline1"/>
      </w:pPr>
      <w:proofErr w:type="spellStart"/>
      <w:r>
        <w:t>Honghui</w:t>
      </w:r>
      <w:proofErr w:type="spellEnd"/>
      <w:r>
        <w:t xml:space="preserve"> Liu and Katherine </w:t>
      </w:r>
      <w:proofErr w:type="spellStart"/>
      <w:r>
        <w:t>Gullett</w:t>
      </w:r>
      <w:proofErr w:type="spellEnd"/>
      <w:r>
        <w:t xml:space="preserve"> wrote this case under the supervision of </w:t>
      </w:r>
      <w:r w:rsidR="00924A6F" w:rsidRPr="00483937">
        <w:t>Chris Laszlo</w:t>
      </w:r>
      <w:r w:rsidR="007E5921" w:rsidRPr="00483937">
        <w:t xml:space="preserve"> sol</w:t>
      </w:r>
      <w:r w:rsidR="00D75295" w:rsidRPr="00483937">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B636D58" w14:textId="77777777" w:rsidR="00013360" w:rsidRPr="00483937" w:rsidRDefault="00013360" w:rsidP="00104567">
      <w:pPr>
        <w:pStyle w:val="StyleCopyrightStatementAfter0ptBottomSinglesolidline1"/>
      </w:pPr>
    </w:p>
    <w:p w14:paraId="3D12B8BD" w14:textId="77777777" w:rsidR="009A6788" w:rsidRDefault="009A6788" w:rsidP="009A6788">
      <w:pPr>
        <w:pStyle w:val="StyleStyleCopyrightStatementAfter0ptBottomSinglesolid"/>
        <w:outlineLvl w:val="0"/>
      </w:pPr>
      <w: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1245F4EB" w14:textId="77777777" w:rsidR="009A6788" w:rsidRDefault="009A6788" w:rsidP="009A6788">
      <w:pPr>
        <w:pStyle w:val="StyleStyleCopyrightStatementAfter0ptBottomSinglesolid"/>
        <w:outlineLvl w:val="0"/>
      </w:pPr>
    </w:p>
    <w:p w14:paraId="2532995F" w14:textId="641E54F8" w:rsidR="003B7EF2" w:rsidRPr="00483937" w:rsidRDefault="009A6788" w:rsidP="009A6788">
      <w:pPr>
        <w:pStyle w:val="StyleStyleCopyrightStatementAfter0ptBottomSinglesolid"/>
        <w:jc w:val="left"/>
        <w:outlineLvl w:val="0"/>
      </w:pPr>
      <w:r>
        <w:t>Copyright © 2018, Ivey Business School Foundation</w:t>
      </w:r>
      <w:r w:rsidR="003B7EF2" w:rsidRPr="00483937">
        <w:tab/>
        <w:t xml:space="preserve">Version: </w:t>
      </w:r>
      <w:r w:rsidR="00361C8E" w:rsidRPr="00483937">
        <w:t>201</w:t>
      </w:r>
      <w:r w:rsidR="00012A9F">
        <w:t>8</w:t>
      </w:r>
      <w:r w:rsidR="00361C8E" w:rsidRPr="00483937">
        <w:t>-</w:t>
      </w:r>
      <w:r w:rsidR="00823C3C" w:rsidRPr="00483937">
        <w:t>0</w:t>
      </w:r>
      <w:r>
        <w:t>9</w:t>
      </w:r>
      <w:r w:rsidR="00823C3C" w:rsidRPr="00483937">
        <w:t>-</w:t>
      </w:r>
      <w:r w:rsidR="00C66696">
        <w:t>17</w:t>
      </w:r>
      <w:bookmarkStart w:id="0" w:name="_GoBack"/>
      <w:bookmarkEnd w:id="0"/>
    </w:p>
    <w:p w14:paraId="21328E22" w14:textId="77777777" w:rsidR="003B7EF2" w:rsidRPr="00483937" w:rsidRDefault="003B7EF2" w:rsidP="00104567">
      <w:pPr>
        <w:pStyle w:val="StyleCopyrightStatementAfter0ptBottomSinglesolidline1"/>
        <w:rPr>
          <w:rFonts w:ascii="Times New Roman" w:hAnsi="Times New Roman"/>
          <w:sz w:val="20"/>
        </w:rPr>
      </w:pPr>
    </w:p>
    <w:p w14:paraId="7EF4B547" w14:textId="77777777" w:rsidR="00EE66DA" w:rsidRPr="00483937" w:rsidRDefault="00EE66DA" w:rsidP="009A6788">
      <w:pPr>
        <w:pStyle w:val="BodyTextMain"/>
      </w:pPr>
    </w:p>
    <w:p w14:paraId="38AC7C7D" w14:textId="66649626" w:rsidR="00FD5441" w:rsidRPr="00012A9F" w:rsidRDefault="00FD5441" w:rsidP="009A6788">
      <w:pPr>
        <w:pStyle w:val="BodyTextMain"/>
      </w:pPr>
      <w:bookmarkStart w:id="1" w:name="OLE_LINK7"/>
      <w:r w:rsidRPr="00012A9F">
        <w:t xml:space="preserve">The director of Centric Cleveland, Kevin Bracy, was preparing for a </w:t>
      </w:r>
      <w:r w:rsidR="0001492C">
        <w:t>c</w:t>
      </w:r>
      <w:r w:rsidRPr="00012A9F">
        <w:t xml:space="preserve">areer </w:t>
      </w:r>
      <w:r w:rsidR="004118B8">
        <w:t>f</w:t>
      </w:r>
      <w:r w:rsidRPr="00012A9F">
        <w:t xml:space="preserve">air panel to be held on April 18, 2015. He would be telling prospective hires about the consulting company’s approach to well-being in the workplace. Centric Consulting (Centric), Centric Cleveland’s parent firm, was known in its industry for its positive work culture. Bracy took pride in this and was looking forward to telling his story to the prospective hires who were beginning their careers. </w:t>
      </w:r>
    </w:p>
    <w:p w14:paraId="3688D6BC" w14:textId="77777777" w:rsidR="00147AA3" w:rsidRPr="005C4C90" w:rsidRDefault="00147AA3" w:rsidP="009A6788">
      <w:pPr>
        <w:pStyle w:val="BodyTextMain"/>
      </w:pPr>
    </w:p>
    <w:p w14:paraId="4C3087D9" w14:textId="79E34125" w:rsidR="00FD5441" w:rsidRPr="00012A9F" w:rsidRDefault="00FD5441" w:rsidP="009A6788">
      <w:pPr>
        <w:pStyle w:val="BodyTextMain"/>
        <w:rPr>
          <w:color w:val="222222"/>
        </w:rPr>
      </w:pPr>
      <w:r w:rsidRPr="00012A9F">
        <w:t>A key question that Bracy wanted to address in the panel was</w:t>
      </w:r>
      <w:r w:rsidR="00147AA3">
        <w:t>,</w:t>
      </w:r>
      <w:r w:rsidRPr="00012A9F">
        <w:t xml:space="preserve"> “How do your employees flourish in the workplace?” He glanced around the room he was sitting in: Persian carpet, velvet upholstered chairs, colourful flowers on the table, a marble fountain in the centre of the room. His temporary office was the lounge at the </w:t>
      </w:r>
      <w:r w:rsidR="004118B8" w:rsidRPr="00012A9F">
        <w:t xml:space="preserve">Renaissance </w:t>
      </w:r>
      <w:r w:rsidRPr="00012A9F">
        <w:t>Cleveland Hotel, where he would be meeting a client shortly. Centric Cleveland didn’t have a permanent office space—part of its strategy of giving employees the freedom and flexibility to work from any location. Bracy thought of this as a way of flourishing.</w:t>
      </w:r>
    </w:p>
    <w:p w14:paraId="08E38EF4" w14:textId="77777777" w:rsidR="00147AA3" w:rsidRDefault="00147AA3" w:rsidP="009A6788">
      <w:pPr>
        <w:pStyle w:val="BodyTextMain"/>
        <w:rPr>
          <w:color w:val="222222"/>
        </w:rPr>
      </w:pPr>
    </w:p>
    <w:p w14:paraId="33A35885" w14:textId="30047211" w:rsidR="00FD5441" w:rsidRPr="00FD5441" w:rsidRDefault="00FD5441" w:rsidP="009A6788">
      <w:pPr>
        <w:pStyle w:val="BodyTextMain"/>
      </w:pPr>
      <w:r w:rsidRPr="00FD5441">
        <w:rPr>
          <w:color w:val="222222"/>
        </w:rPr>
        <w:t xml:space="preserve">Bracy </w:t>
      </w:r>
      <w:r w:rsidRPr="00FD5441">
        <w:t>reflected on</w:t>
      </w:r>
      <w:r w:rsidRPr="00AE633B">
        <w:t xml:space="preserve"> another q</w:t>
      </w:r>
      <w:r w:rsidR="00893C10">
        <w:t xml:space="preserve">uestion he frequently had from </w:t>
      </w:r>
      <w:r w:rsidR="004118B8">
        <w:t xml:space="preserve">new employees who were from the </w:t>
      </w:r>
      <w:r w:rsidR="00893C10">
        <w:t>m</w:t>
      </w:r>
      <w:r w:rsidRPr="00AE633B">
        <w:t xml:space="preserve">illennial </w:t>
      </w:r>
      <w:r w:rsidR="00DA0856">
        <w:t>(born between 19</w:t>
      </w:r>
      <w:r w:rsidR="00365A1D">
        <w:t>77 and 1994</w:t>
      </w:r>
      <w:r w:rsidR="00DA0856">
        <w:t xml:space="preserve">) </w:t>
      </w:r>
      <w:r w:rsidR="00893C10">
        <w:t>and g</w:t>
      </w:r>
      <w:r w:rsidRPr="00AE633B">
        <w:t xml:space="preserve">eneration Z </w:t>
      </w:r>
      <w:r w:rsidR="00DA0856">
        <w:t>(born between 19</w:t>
      </w:r>
      <w:r w:rsidR="00365A1D">
        <w:t>95</w:t>
      </w:r>
      <w:r w:rsidR="00DA0856">
        <w:t xml:space="preserve"> and </w:t>
      </w:r>
      <w:r w:rsidR="00365A1D">
        <w:t>2012</w:t>
      </w:r>
      <w:r w:rsidR="00DA0856">
        <w:t xml:space="preserve">) </w:t>
      </w:r>
      <w:r w:rsidR="004118B8">
        <w:t>generations</w:t>
      </w:r>
      <w:r w:rsidRPr="00FD5441">
        <w:t>: “How does your organization sustain its positive culture?” With the company growing quickly, this</w:t>
      </w:r>
      <w:r w:rsidRPr="00AE633B">
        <w:t xml:space="preserve"> question</w:t>
      </w:r>
      <w:r w:rsidRPr="00FD5441">
        <w:t xml:space="preserve">, in particular, had been on the top of his mind in recent weeks. </w:t>
      </w:r>
    </w:p>
    <w:bookmarkEnd w:id="1"/>
    <w:p w14:paraId="547CC1E3" w14:textId="77777777" w:rsidR="00482FD4" w:rsidRPr="00483937" w:rsidRDefault="00482FD4" w:rsidP="00EE66DA">
      <w:pPr>
        <w:pStyle w:val="BodyTextMain"/>
      </w:pPr>
    </w:p>
    <w:p w14:paraId="011F9B97" w14:textId="640BE391" w:rsidR="00482FD4" w:rsidRDefault="00482FD4" w:rsidP="00EE66DA">
      <w:pPr>
        <w:pStyle w:val="BodyTextMain"/>
      </w:pPr>
      <w:r w:rsidRPr="00483937">
        <w:t>Bracy</w:t>
      </w:r>
      <w:r>
        <w:t xml:space="preserve"> </w:t>
      </w:r>
      <w:r w:rsidRPr="00483937">
        <w:t>leaned back into the velvet chair and thought about the elements of Centric that were appealing to new employees.</w:t>
      </w:r>
      <w:r>
        <w:t xml:space="preserve"> </w:t>
      </w:r>
      <w:r w:rsidRPr="00483937">
        <w:t>He knew the company’s exceptional culture of caring and balanced life</w:t>
      </w:r>
      <w:r>
        <w:t>style</w:t>
      </w:r>
      <w:r w:rsidRPr="00483937">
        <w:t xml:space="preserve"> set </w:t>
      </w:r>
      <w:r w:rsidR="004118B8">
        <w:t>it</w:t>
      </w:r>
      <w:r w:rsidR="004118B8" w:rsidRPr="00483937">
        <w:t xml:space="preserve"> </w:t>
      </w:r>
      <w:r w:rsidRPr="00483937">
        <w:t>apart</w:t>
      </w:r>
      <w:r w:rsidR="00234870">
        <w:t xml:space="preserve"> from other consulting companies</w:t>
      </w:r>
      <w:r w:rsidRPr="00483937">
        <w:t>.</w:t>
      </w:r>
      <w:r>
        <w:t xml:space="preserve"> </w:t>
      </w:r>
      <w:r w:rsidRPr="00483937">
        <w:t xml:space="preserve">How could Centric </w:t>
      </w:r>
      <w:r w:rsidR="00850DE8">
        <w:t xml:space="preserve">Cleveland </w:t>
      </w:r>
      <w:r w:rsidRPr="00483937">
        <w:t xml:space="preserve">maintain these core values as </w:t>
      </w:r>
      <w:r w:rsidR="004118B8">
        <w:t>it</w:t>
      </w:r>
      <w:r w:rsidR="004118B8" w:rsidRPr="00483937">
        <w:t xml:space="preserve"> </w:t>
      </w:r>
      <w:r w:rsidRPr="00483937">
        <w:t>gr</w:t>
      </w:r>
      <w:r>
        <w:t>e</w:t>
      </w:r>
      <w:r w:rsidRPr="00483937">
        <w:t>w?</w:t>
      </w:r>
      <w:r>
        <w:t xml:space="preserve"> </w:t>
      </w:r>
      <w:r w:rsidRPr="00483937">
        <w:t>At the organization</w:t>
      </w:r>
      <w:r w:rsidR="004118B8">
        <w:t xml:space="preserve"> </w:t>
      </w:r>
      <w:r w:rsidRPr="00483937">
        <w:t xml:space="preserve">level, the company could maintain the practices that built </w:t>
      </w:r>
      <w:r w:rsidR="004118B8">
        <w:t>its</w:t>
      </w:r>
      <w:r w:rsidR="004118B8" w:rsidRPr="00483937">
        <w:t xml:space="preserve"> </w:t>
      </w:r>
      <w:r w:rsidRPr="00483937">
        <w:t>culture</w:t>
      </w:r>
      <w:r>
        <w:t>,</w:t>
      </w:r>
      <w:r w:rsidRPr="00483937">
        <w:t xml:space="preserve"> but the pressures of growth were making it more difficult for leadership to maintain a conscious awareness of each employee’s work-life balance and individual career growth.</w:t>
      </w:r>
      <w:r>
        <w:t xml:space="preserve"> </w:t>
      </w:r>
      <w:r w:rsidRPr="00483937">
        <w:t>What practices could the company continue that would help ensure each individual’s well-being?</w:t>
      </w:r>
      <w:r>
        <w:t xml:space="preserve"> </w:t>
      </w:r>
      <w:r w:rsidRPr="00483937">
        <w:t xml:space="preserve">Were there new practices to adopt as the company expanded? </w:t>
      </w:r>
    </w:p>
    <w:p w14:paraId="0F8D3DBD" w14:textId="77777777" w:rsidR="00482FD4" w:rsidRDefault="00482FD4" w:rsidP="00EE66DA">
      <w:pPr>
        <w:pStyle w:val="BodyTextMain"/>
      </w:pPr>
    </w:p>
    <w:p w14:paraId="512707AB" w14:textId="533774CF" w:rsidR="00482FD4" w:rsidRPr="00483937" w:rsidRDefault="00482FD4" w:rsidP="00EE66DA">
      <w:pPr>
        <w:pStyle w:val="BodyTextMain"/>
      </w:pPr>
      <w:bookmarkStart w:id="2" w:name="OLE_LINK98"/>
      <w:bookmarkStart w:id="3" w:name="OLE_LINK99"/>
      <w:proofErr w:type="spellStart"/>
      <w:r w:rsidRPr="00483937">
        <w:t>Centric’s</w:t>
      </w:r>
      <w:proofErr w:type="spellEnd"/>
      <w:r w:rsidRPr="00483937">
        <w:t xml:space="preserve"> style was easy-going and supported autonomy; </w:t>
      </w:r>
      <w:r w:rsidR="004118B8">
        <w:t>it</w:t>
      </w:r>
      <w:r w:rsidR="004118B8" w:rsidRPr="00483937">
        <w:t xml:space="preserve"> </w:t>
      </w:r>
      <w:r w:rsidRPr="00483937">
        <w:t xml:space="preserve">didn’t mandate health or fitness programs or use monetary incentives to promote wellness activities. </w:t>
      </w:r>
      <w:bookmarkStart w:id="4" w:name="OLE_LINK5"/>
      <w:bookmarkStart w:id="5" w:name="OLE_LINK6"/>
      <w:bookmarkEnd w:id="2"/>
      <w:bookmarkEnd w:id="3"/>
      <w:r w:rsidR="00377B15">
        <w:t>Centric Cleveland could take a programmatic approach</w:t>
      </w:r>
      <w:r w:rsidR="004118B8">
        <w:t>,</w:t>
      </w:r>
      <w:r w:rsidR="00377B15">
        <w:t xml:space="preserve"> but this might conflict with the organic nature of its culture, in which employees could be involved however </w:t>
      </w:r>
      <w:r w:rsidR="00377B15">
        <w:lastRenderedPageBreak/>
        <w:t xml:space="preserve">they wished. On the other hand, Centric Cleveland could forget about programs and only focus on cultivating and encouraging leadership behaviour and support of the culture. </w:t>
      </w:r>
      <w:bookmarkEnd w:id="4"/>
      <w:bookmarkEnd w:id="5"/>
      <w:r w:rsidRPr="00483937">
        <w:t>Brac</w:t>
      </w:r>
      <w:r>
        <w:t>y</w:t>
      </w:r>
      <w:r w:rsidRPr="00483937">
        <w:t xml:space="preserve"> wondered what approach would best resonate with </w:t>
      </w:r>
      <w:r w:rsidR="004118B8">
        <w:t>m</w:t>
      </w:r>
      <w:r w:rsidRPr="00483937">
        <w:t xml:space="preserve">illennial and </w:t>
      </w:r>
      <w:r w:rsidR="001E0430">
        <w:t>g</w:t>
      </w:r>
      <w:r w:rsidR="001E0430" w:rsidRPr="00483937">
        <w:t xml:space="preserve">eneration </w:t>
      </w:r>
      <w:r w:rsidRPr="00483937">
        <w:t>Z hires.</w:t>
      </w:r>
    </w:p>
    <w:p w14:paraId="615DFBAB" w14:textId="77777777" w:rsidR="00482FD4" w:rsidRPr="00483937" w:rsidRDefault="00482FD4" w:rsidP="00EE66DA">
      <w:pPr>
        <w:pStyle w:val="BodyTextMain"/>
        <w:rPr>
          <w:sz w:val="20"/>
        </w:rPr>
      </w:pPr>
    </w:p>
    <w:p w14:paraId="6D8CB313" w14:textId="77777777" w:rsidR="00482FD4" w:rsidRPr="00483937" w:rsidRDefault="00482FD4" w:rsidP="00EE66DA">
      <w:pPr>
        <w:pStyle w:val="BodyTextMain"/>
        <w:rPr>
          <w:sz w:val="20"/>
        </w:rPr>
      </w:pPr>
    </w:p>
    <w:p w14:paraId="49BEC594" w14:textId="77777777" w:rsidR="00482FD4" w:rsidRPr="00483937" w:rsidRDefault="00482FD4" w:rsidP="00F524F1">
      <w:pPr>
        <w:pStyle w:val="Casehead1"/>
        <w:outlineLvl w:val="0"/>
      </w:pPr>
      <w:r w:rsidRPr="00483937">
        <w:t>COMPANY OVERVIEW</w:t>
      </w:r>
    </w:p>
    <w:p w14:paraId="36AEAB56" w14:textId="77777777" w:rsidR="00482FD4" w:rsidRPr="00483937" w:rsidRDefault="00482FD4" w:rsidP="00EE66DA">
      <w:pPr>
        <w:pStyle w:val="BodyTextMain"/>
      </w:pPr>
    </w:p>
    <w:p w14:paraId="65EFE3A6" w14:textId="7E0CDFC0" w:rsidR="00482FD4" w:rsidRPr="00483937" w:rsidRDefault="00482FD4" w:rsidP="00EE66DA">
      <w:pPr>
        <w:pStyle w:val="BodyTextMain"/>
      </w:pPr>
      <w:r w:rsidRPr="00483937">
        <w:t xml:space="preserve">Centric Consulting </w:t>
      </w:r>
      <w:r>
        <w:t>wa</w:t>
      </w:r>
      <w:r w:rsidRPr="00483937">
        <w:t xml:space="preserve">s a business consulting and technology solutions firm providing full-service management consulting services. It was started in 2000 and headquartered in Dayton, </w:t>
      </w:r>
      <w:r>
        <w:t>Ohio,</w:t>
      </w:r>
      <w:r w:rsidRPr="00483937">
        <w:t xml:space="preserve"> but no executives kept offices there.</w:t>
      </w:r>
      <w:r>
        <w:t xml:space="preserve"> </w:t>
      </w:r>
      <w:r w:rsidRPr="00483937">
        <w:t>Operated locally and individually, Centric had 12 locations across the U</w:t>
      </w:r>
      <w:r>
        <w:t xml:space="preserve">nited </w:t>
      </w:r>
      <w:r w:rsidRPr="00483937">
        <w:t>S</w:t>
      </w:r>
      <w:r>
        <w:t>tates</w:t>
      </w:r>
      <w:r w:rsidRPr="00483937">
        <w:t>: Boston, Charlotte, Chicago, Cincinnati, Cleveland, Columbus, Indianapolis, Louisville, Miami, Seattle, St. Louis</w:t>
      </w:r>
      <w:r>
        <w:t>,</w:t>
      </w:r>
      <w:r w:rsidRPr="00483937">
        <w:t xml:space="preserve"> and Tampa.</w:t>
      </w:r>
      <w:r>
        <w:t xml:space="preserve"> </w:t>
      </w:r>
      <w:r w:rsidRPr="00483937">
        <w:t xml:space="preserve">Each </w:t>
      </w:r>
      <w:r w:rsidR="00234870">
        <w:t>Centric location</w:t>
      </w:r>
      <w:r w:rsidRPr="00483937">
        <w:t xml:space="preserve"> had its own leadership team.</w:t>
      </w:r>
      <w:r>
        <w:t xml:space="preserve"> </w:t>
      </w:r>
      <w:r w:rsidRPr="00483937">
        <w:t xml:space="preserve">To encourage efficient communication and cooperation across the company, Centric organized national events each year to connect employees from the 12 </w:t>
      </w:r>
      <w:r>
        <w:t>units</w:t>
      </w:r>
      <w:r w:rsidRPr="00483937">
        <w:t>.</w:t>
      </w:r>
    </w:p>
    <w:p w14:paraId="3EFD363D" w14:textId="77777777" w:rsidR="00482FD4" w:rsidRPr="00483937" w:rsidRDefault="00482FD4" w:rsidP="00EE66DA">
      <w:pPr>
        <w:pStyle w:val="BodyTextMain"/>
      </w:pPr>
    </w:p>
    <w:p w14:paraId="1316A152" w14:textId="342A0081" w:rsidR="00482FD4" w:rsidRPr="00483937" w:rsidRDefault="00482FD4" w:rsidP="00EE66DA">
      <w:pPr>
        <w:pStyle w:val="BodyTextMain"/>
      </w:pPr>
      <w:r w:rsidRPr="00483937">
        <w:t xml:space="preserve">In 2009, Joe </w:t>
      </w:r>
      <w:proofErr w:type="spellStart"/>
      <w:r w:rsidRPr="00483937">
        <w:t>Smucny</w:t>
      </w:r>
      <w:proofErr w:type="spellEnd"/>
      <w:r w:rsidRPr="00483937">
        <w:t>, vice</w:t>
      </w:r>
      <w:r>
        <w:t>-</w:t>
      </w:r>
      <w:r w:rsidRPr="00483937">
        <w:t xml:space="preserve">president of </w:t>
      </w:r>
      <w:r>
        <w:t>Centric Consulting</w:t>
      </w:r>
      <w:r w:rsidRPr="00483937">
        <w:t xml:space="preserve">, started Centric Cleveland. As a relatively new </w:t>
      </w:r>
      <w:r w:rsidR="006D7EAC">
        <w:t>member</w:t>
      </w:r>
      <w:r w:rsidR="006D7EAC" w:rsidRPr="00483937">
        <w:t xml:space="preserve"> </w:t>
      </w:r>
      <w:r w:rsidRPr="00483937">
        <w:t xml:space="preserve">of </w:t>
      </w:r>
      <w:proofErr w:type="spellStart"/>
      <w:r>
        <w:t>Centric</w:t>
      </w:r>
      <w:r w:rsidR="001E0827">
        <w:t>’s</w:t>
      </w:r>
      <w:proofErr w:type="spellEnd"/>
      <w:r>
        <w:t xml:space="preserve"> </w:t>
      </w:r>
      <w:r w:rsidRPr="00483937">
        <w:t>12</w:t>
      </w:r>
      <w:r w:rsidR="006D7EAC">
        <w:t xml:space="preserve"> units</w:t>
      </w:r>
      <w:r w:rsidRPr="00483937">
        <w:t>, Centric Cleveland focused on providing professional advisory services to companies</w:t>
      </w:r>
      <w:r>
        <w:t xml:space="preserve"> in N</w:t>
      </w:r>
      <w:r w:rsidRPr="00483937">
        <w:t xml:space="preserve">ortheast Ohio. With the mutual efforts of the leadership team and its talented employees, </w:t>
      </w:r>
      <w:r>
        <w:t>Centric Cleveland</w:t>
      </w:r>
      <w:r w:rsidRPr="00483937">
        <w:t xml:space="preserve"> was witnessing rapid growth and its future looked bright. From long projects like multi-year technology implementations to shorter projects like business process improvement consulting, </w:t>
      </w:r>
      <w:r>
        <w:t>Centric Cleveland</w:t>
      </w:r>
      <w:r w:rsidRPr="00483937">
        <w:t xml:space="preserve"> created customized solutions to m</w:t>
      </w:r>
      <w:r w:rsidR="00042F9D">
        <w:t>eet client needs. The Northeast-</w:t>
      </w:r>
      <w:r w:rsidRPr="00483937">
        <w:t>Ohio</w:t>
      </w:r>
      <w:r w:rsidR="00042F9D">
        <w:t>-</w:t>
      </w:r>
      <w:r w:rsidRPr="00483937">
        <w:t xml:space="preserve">based consultants employed by Centric </w:t>
      </w:r>
      <w:r w:rsidR="001E0827">
        <w:t xml:space="preserve">Cleveland </w:t>
      </w:r>
      <w:r w:rsidRPr="00483937">
        <w:t xml:space="preserve">brought years of experience in </w:t>
      </w:r>
      <w:r>
        <w:t>f</w:t>
      </w:r>
      <w:r w:rsidRPr="00483937">
        <w:t xml:space="preserve">inancial </w:t>
      </w:r>
      <w:r>
        <w:t>s</w:t>
      </w:r>
      <w:r w:rsidRPr="00483937">
        <w:t xml:space="preserve">ervices, </w:t>
      </w:r>
      <w:r>
        <w:t>m</w:t>
      </w:r>
      <w:r w:rsidRPr="00483937">
        <w:t xml:space="preserve">anufacturing, </w:t>
      </w:r>
      <w:r>
        <w:t>h</w:t>
      </w:r>
      <w:r w:rsidRPr="00483937">
        <w:t>ealth</w:t>
      </w:r>
      <w:r>
        <w:t xml:space="preserve"> </w:t>
      </w:r>
      <w:r w:rsidRPr="00483937">
        <w:t>care</w:t>
      </w:r>
      <w:r>
        <w:t>,</w:t>
      </w:r>
      <w:r w:rsidRPr="00483937">
        <w:t xml:space="preserve"> and other industries that were core to the region. Centric Cleveland was well-recognized by the consulting market and clients connected to Northeast Ohio. The</w:t>
      </w:r>
      <w:r>
        <w:t xml:space="preserve"> group was</w:t>
      </w:r>
      <w:r w:rsidRPr="00483937">
        <w:t xml:space="preserve"> known for providing innovative consulting services of a high quality. Specifically, Centric Cleveland was successful in providing services to </w:t>
      </w:r>
      <w:r>
        <w:t>f</w:t>
      </w:r>
      <w:r w:rsidRPr="00483937">
        <w:t xml:space="preserve">inancial </w:t>
      </w:r>
      <w:r>
        <w:t>s</w:t>
      </w:r>
      <w:r w:rsidRPr="00483937">
        <w:t xml:space="preserve">ervice, </w:t>
      </w:r>
      <w:r>
        <w:t>r</w:t>
      </w:r>
      <w:r w:rsidRPr="00483937">
        <w:t>etail</w:t>
      </w:r>
      <w:r>
        <w:t>,</w:t>
      </w:r>
      <w:r w:rsidRPr="00483937">
        <w:t xml:space="preserve"> and </w:t>
      </w:r>
      <w:r>
        <w:t>h</w:t>
      </w:r>
      <w:r w:rsidRPr="00483937">
        <w:t>ealth</w:t>
      </w:r>
      <w:r>
        <w:t xml:space="preserve"> </w:t>
      </w:r>
      <w:r w:rsidRPr="00483937">
        <w:t xml:space="preserve">care clients. </w:t>
      </w:r>
    </w:p>
    <w:p w14:paraId="6637947D" w14:textId="77777777" w:rsidR="00482FD4" w:rsidRPr="00483937" w:rsidRDefault="00482FD4" w:rsidP="00EE66DA">
      <w:pPr>
        <w:pStyle w:val="BodyTextMain"/>
      </w:pPr>
    </w:p>
    <w:p w14:paraId="7D48671C" w14:textId="5AA99369" w:rsidR="00482FD4" w:rsidRPr="00483937" w:rsidRDefault="00482FD4" w:rsidP="00EE66DA">
      <w:pPr>
        <w:pStyle w:val="BodyTextMain"/>
      </w:pPr>
      <w:bookmarkStart w:id="6" w:name="OLE_LINK82"/>
      <w:bookmarkStart w:id="7" w:name="OLE_LINK83"/>
      <w:r w:rsidRPr="00483937">
        <w:t xml:space="preserve">Centric </w:t>
      </w:r>
      <w:r>
        <w:t xml:space="preserve">Consulting </w:t>
      </w:r>
      <w:r w:rsidRPr="00483937">
        <w:t xml:space="preserve">was founded </w:t>
      </w:r>
      <w:r>
        <w:t xml:space="preserve">with the intention of being different than </w:t>
      </w:r>
      <w:r w:rsidRPr="00483937">
        <w:t xml:space="preserve">other consulting firms </w:t>
      </w:r>
      <w:r>
        <w:t>with regard to</w:t>
      </w:r>
      <w:r w:rsidRPr="00483937">
        <w:t xml:space="preserve"> building both internal and external relationships, developing and supporting employees, adjusting for work-life balance</w:t>
      </w:r>
      <w:r>
        <w:t>,</w:t>
      </w:r>
      <w:r w:rsidRPr="00483937">
        <w:t xml:space="preserve"> and being devoted to community services</w:t>
      </w:r>
      <w:bookmarkEnd w:id="6"/>
      <w:bookmarkEnd w:id="7"/>
      <w:r w:rsidRPr="00483937">
        <w:t>.</w:t>
      </w:r>
      <w:r>
        <w:t xml:space="preserve"> </w:t>
      </w:r>
      <w:r w:rsidRPr="00483937">
        <w:t>Centric was intentional about building positive, long-lasting relationships with its clients and employees and fostering the same between its employees and their families and communities (</w:t>
      </w:r>
      <w:r>
        <w:t xml:space="preserve">see </w:t>
      </w:r>
      <w:r w:rsidRPr="00483937">
        <w:t>Exhibit 1)</w:t>
      </w:r>
      <w:r>
        <w:t xml:space="preserve">. </w:t>
      </w:r>
      <w:r w:rsidRPr="00483937">
        <w:t>As a regionally</w:t>
      </w:r>
      <w:r w:rsidR="006D7EAC">
        <w:t xml:space="preserve"> </w:t>
      </w:r>
      <w:r w:rsidRPr="00483937">
        <w:t xml:space="preserve">based consulting firm, Centric Cleveland incorporated local culture and traditions into </w:t>
      </w:r>
      <w:r w:rsidR="006D7EAC">
        <w:t>its</w:t>
      </w:r>
      <w:r w:rsidR="006D7EAC" w:rsidRPr="00483937">
        <w:t xml:space="preserve"> </w:t>
      </w:r>
      <w:r w:rsidRPr="00483937">
        <w:t xml:space="preserve">corporate culture; for example, </w:t>
      </w:r>
      <w:r w:rsidR="006D7EAC">
        <w:t>its</w:t>
      </w:r>
      <w:r w:rsidR="006D7EAC" w:rsidRPr="00483937">
        <w:t xml:space="preserve"> </w:t>
      </w:r>
      <w:r w:rsidRPr="00483937">
        <w:t xml:space="preserve">website highlighted that </w:t>
      </w:r>
      <w:proofErr w:type="gramStart"/>
      <w:r w:rsidR="006D7EAC">
        <w:t>Centric</w:t>
      </w:r>
      <w:proofErr w:type="gramEnd"/>
      <w:r w:rsidR="006D7EAC">
        <w:t xml:space="preserve"> employees</w:t>
      </w:r>
      <w:r w:rsidR="006D7EAC" w:rsidRPr="00483937">
        <w:t xml:space="preserve"> </w:t>
      </w:r>
      <w:r w:rsidRPr="00483937">
        <w:t xml:space="preserve">were Cleveland sports fans and joked about Cleveland’s weather (see Exhibit 2). </w:t>
      </w:r>
    </w:p>
    <w:p w14:paraId="5DA885FF" w14:textId="77777777" w:rsidR="00482FD4" w:rsidRPr="009A6788" w:rsidRDefault="00482FD4" w:rsidP="00EE66DA">
      <w:pPr>
        <w:pStyle w:val="BodyTextMain"/>
      </w:pPr>
    </w:p>
    <w:p w14:paraId="252965F9" w14:textId="77777777" w:rsidR="00482FD4" w:rsidRPr="009A6788" w:rsidRDefault="00482FD4" w:rsidP="00EE66DA">
      <w:pPr>
        <w:pStyle w:val="BodyTextMain"/>
      </w:pPr>
    </w:p>
    <w:p w14:paraId="4039CF3C" w14:textId="77777777" w:rsidR="00482FD4" w:rsidRPr="00483937" w:rsidRDefault="00482FD4" w:rsidP="00F524F1">
      <w:pPr>
        <w:pStyle w:val="Casehead1"/>
        <w:outlineLvl w:val="0"/>
      </w:pPr>
      <w:r w:rsidRPr="00483937">
        <w:t>INDUSTRY OVERVIEW</w:t>
      </w:r>
    </w:p>
    <w:p w14:paraId="04CFF91B" w14:textId="77777777" w:rsidR="00482FD4" w:rsidRPr="009A6788" w:rsidRDefault="00482FD4" w:rsidP="00861920">
      <w:pPr>
        <w:pStyle w:val="BodyTextMain"/>
      </w:pPr>
    </w:p>
    <w:p w14:paraId="39943F26" w14:textId="39D58CB7" w:rsidR="00E40A1B" w:rsidRPr="00483937" w:rsidRDefault="00482FD4" w:rsidP="00EE66DA">
      <w:pPr>
        <w:pStyle w:val="BodyTextMain"/>
      </w:pPr>
      <w:r w:rsidRPr="009A6788">
        <w:rPr>
          <w:spacing w:val="-2"/>
          <w:kern w:val="22"/>
        </w:rPr>
        <w:t>Management consulting was an industry with more than US$200 billion</w:t>
      </w:r>
      <w:r w:rsidR="00E40A1B" w:rsidRPr="009A6788">
        <w:rPr>
          <w:rStyle w:val="FootnoteReference"/>
          <w:spacing w:val="-2"/>
          <w:kern w:val="22"/>
        </w:rPr>
        <w:footnoteReference w:id="1"/>
      </w:r>
      <w:r w:rsidR="00E40A1B" w:rsidRPr="009A6788">
        <w:rPr>
          <w:spacing w:val="-2"/>
          <w:kern w:val="22"/>
        </w:rPr>
        <w:t xml:space="preserve"> revenue in 2015 and 5.2 per cent annual growth from 2010 to 2015. It was an industry “composed of firms with the skills, expertise, and flexibility to meet the needs of a variety of clients with varying budget constraints.”</w:t>
      </w:r>
      <w:r w:rsidR="00E40A1B" w:rsidRPr="009A6788">
        <w:rPr>
          <w:rStyle w:val="FootnoteReference"/>
          <w:spacing w:val="-2"/>
          <w:kern w:val="22"/>
        </w:rPr>
        <w:footnoteReference w:id="2"/>
      </w:r>
      <w:r w:rsidR="00E40A1B" w:rsidRPr="009A6788">
        <w:rPr>
          <w:spacing w:val="-2"/>
          <w:kern w:val="22"/>
        </w:rPr>
        <w:t xml:space="preserve"> As the U.S. economy recovered from the recession caused by the financial crisis in 2008, many consulting firms experienced surging demand for advisory services, and the increasingly popular application of information technology also brought consulting firms more opportunities. These factors suggested continuous growth within the industry</w:t>
      </w:r>
      <w:r w:rsidR="00E40A1B" w:rsidRPr="00483937">
        <w:t xml:space="preserve">. </w:t>
      </w:r>
    </w:p>
    <w:p w14:paraId="07477371" w14:textId="77777777" w:rsidR="00E40A1B" w:rsidRPr="00483937" w:rsidRDefault="00E40A1B" w:rsidP="00EE66DA">
      <w:pPr>
        <w:pStyle w:val="BodyTextMain"/>
      </w:pPr>
    </w:p>
    <w:p w14:paraId="5B247956" w14:textId="7E29303E" w:rsidR="00E40A1B" w:rsidRDefault="00E40A1B" w:rsidP="00EE66DA">
      <w:pPr>
        <w:pStyle w:val="BodyTextMain"/>
      </w:pPr>
      <w:r w:rsidRPr="00483937">
        <w:lastRenderedPageBreak/>
        <w:t>Consulting firms provided professional advisory services to various types of firms.</w:t>
      </w:r>
      <w:r>
        <w:t xml:space="preserve"> </w:t>
      </w:r>
      <w:r w:rsidRPr="00483937">
        <w:t xml:space="preserve">According to research done by IBISWorld in 2015, main consulting clients included </w:t>
      </w:r>
      <w:r>
        <w:t>f</w:t>
      </w:r>
      <w:r w:rsidRPr="00483937">
        <w:t xml:space="preserve">inancial </w:t>
      </w:r>
      <w:r>
        <w:t>s</w:t>
      </w:r>
      <w:r w:rsidRPr="00483937">
        <w:t xml:space="preserve">ervice </w:t>
      </w:r>
      <w:r>
        <w:t>c</w:t>
      </w:r>
      <w:r w:rsidRPr="00483937">
        <w:t>ompanies (21.3</w:t>
      </w:r>
      <w:r>
        <w:t xml:space="preserve"> per cent</w:t>
      </w:r>
      <w:r w:rsidRPr="00483937">
        <w:t xml:space="preserve">), </w:t>
      </w:r>
      <w:r>
        <w:t>c</w:t>
      </w:r>
      <w:r w:rsidRPr="00483937">
        <w:t xml:space="preserve">onsumer </w:t>
      </w:r>
      <w:r>
        <w:t>p</w:t>
      </w:r>
      <w:r w:rsidRPr="00483937">
        <w:t xml:space="preserve">roducts </w:t>
      </w:r>
      <w:r>
        <w:t>c</w:t>
      </w:r>
      <w:r w:rsidRPr="00483937">
        <w:t>ompanies (14.8</w:t>
      </w:r>
      <w:r>
        <w:t xml:space="preserve"> per cent)</w:t>
      </w:r>
      <w:r w:rsidRPr="00483937">
        <w:t xml:space="preserve">, </w:t>
      </w:r>
      <w:r>
        <w:t>g</w:t>
      </w:r>
      <w:r w:rsidRPr="00483937">
        <w:t xml:space="preserve">overnment </w:t>
      </w:r>
      <w:r>
        <w:t>o</w:t>
      </w:r>
      <w:r w:rsidRPr="00483937">
        <w:t>rganizations (14.6</w:t>
      </w:r>
      <w:r w:rsidRPr="00ED1DD4">
        <w:t xml:space="preserve"> </w:t>
      </w:r>
      <w:r>
        <w:t>per cent</w:t>
      </w:r>
      <w:r w:rsidRPr="00483937">
        <w:t xml:space="preserve">), </w:t>
      </w:r>
      <w:r>
        <w:t>m</w:t>
      </w:r>
      <w:r w:rsidRPr="00483937">
        <w:t xml:space="preserve">anufacturing </w:t>
      </w:r>
      <w:r>
        <w:t>c</w:t>
      </w:r>
      <w:r w:rsidRPr="00483937">
        <w:t>ompanies (9.7</w:t>
      </w:r>
      <w:r w:rsidRPr="00ED1DD4">
        <w:t xml:space="preserve"> </w:t>
      </w:r>
      <w:r>
        <w:t>per cent</w:t>
      </w:r>
      <w:r w:rsidRPr="00483937">
        <w:t xml:space="preserve">), </w:t>
      </w:r>
      <w:r>
        <w:t>e</w:t>
      </w:r>
      <w:r w:rsidRPr="00483937">
        <w:t xml:space="preserve">nergy and </w:t>
      </w:r>
      <w:r>
        <w:t>u</w:t>
      </w:r>
      <w:r w:rsidRPr="00483937">
        <w:t xml:space="preserve">tilities </w:t>
      </w:r>
      <w:r>
        <w:t>c</w:t>
      </w:r>
      <w:r w:rsidRPr="00483937">
        <w:t>ompanies (6.7</w:t>
      </w:r>
      <w:r w:rsidRPr="00ED1DD4">
        <w:t xml:space="preserve"> </w:t>
      </w:r>
      <w:r>
        <w:t>per cent</w:t>
      </w:r>
      <w:r w:rsidRPr="00483937">
        <w:t xml:space="preserve">), </w:t>
      </w:r>
      <w:r>
        <w:t>n</w:t>
      </w:r>
      <w:r w:rsidRPr="00483937">
        <w:t>on</w:t>
      </w:r>
      <w:r>
        <w:t>-</w:t>
      </w:r>
      <w:r w:rsidRPr="00483937">
        <w:t xml:space="preserve">profit </w:t>
      </w:r>
      <w:r>
        <w:t>o</w:t>
      </w:r>
      <w:r w:rsidRPr="00483937">
        <w:t>rganizations (4.1</w:t>
      </w:r>
      <w:r w:rsidRPr="00ED1DD4">
        <w:t xml:space="preserve"> </w:t>
      </w:r>
      <w:r>
        <w:t>per cent</w:t>
      </w:r>
      <w:r w:rsidRPr="00483937">
        <w:t xml:space="preserve">), </w:t>
      </w:r>
      <w:r>
        <w:t>and i</w:t>
      </w:r>
      <w:r w:rsidRPr="00483937">
        <w:t>ndividuals (4.3</w:t>
      </w:r>
      <w:r w:rsidRPr="00ED1DD4">
        <w:t xml:space="preserve"> </w:t>
      </w:r>
      <w:r>
        <w:t>per cent</w:t>
      </w:r>
      <w:r w:rsidRPr="00483937">
        <w:t>).</w:t>
      </w:r>
      <w:r w:rsidRPr="00483937">
        <w:rPr>
          <w:rStyle w:val="FootnoteReference"/>
        </w:rPr>
        <w:footnoteReference w:id="3"/>
      </w:r>
    </w:p>
    <w:p w14:paraId="272E6B10" w14:textId="77777777" w:rsidR="0083757E" w:rsidRPr="00483937" w:rsidRDefault="0083757E" w:rsidP="00EE66DA">
      <w:pPr>
        <w:pStyle w:val="BodyTextMain"/>
      </w:pPr>
    </w:p>
    <w:p w14:paraId="0A1659CE" w14:textId="438531D8" w:rsidR="00E40A1B" w:rsidRPr="00483937" w:rsidRDefault="00E40A1B" w:rsidP="00EE66DA">
      <w:pPr>
        <w:pStyle w:val="BodyTextMain"/>
      </w:pPr>
      <w:r w:rsidRPr="00483937">
        <w:t>The consulting industry was a highly competitive industry dominated by small and non-employing firms</w:t>
      </w:r>
      <w:r>
        <w:t xml:space="preserve"> (</w:t>
      </w:r>
      <w:r w:rsidRPr="00483937">
        <w:t>sole proprietorships and partnerships without employees</w:t>
      </w:r>
      <w:r>
        <w:t>).</w:t>
      </w:r>
      <w:r w:rsidRPr="00483937">
        <w:t xml:space="preserve"> Labelled as a labour-intensive industry, challenges include</w:t>
      </w:r>
      <w:r>
        <w:t>d</w:t>
      </w:r>
      <w:r w:rsidRPr="00483937">
        <w:t xml:space="preserve"> internal management of human capital such as skills portfolio</w:t>
      </w:r>
      <w:r>
        <w:t>s</w:t>
      </w:r>
      <w:r w:rsidRPr="00483937">
        <w:t xml:space="preserve"> and time control.</w:t>
      </w:r>
      <w:r>
        <w:t xml:space="preserve"> Consulting firms were also challenged to develop employees’ skill sets and keep their employees motivated.</w:t>
      </w:r>
    </w:p>
    <w:p w14:paraId="167FDE06" w14:textId="77777777" w:rsidR="00E40A1B" w:rsidRPr="00483937" w:rsidRDefault="00E40A1B" w:rsidP="00EE66DA">
      <w:pPr>
        <w:pStyle w:val="BodyTextMain"/>
      </w:pPr>
    </w:p>
    <w:p w14:paraId="427549C5" w14:textId="6D639378" w:rsidR="00E40A1B" w:rsidRPr="00483937" w:rsidRDefault="00E40A1B" w:rsidP="00EE66DA">
      <w:pPr>
        <w:pStyle w:val="BodyTextMain"/>
      </w:pPr>
      <w:r w:rsidRPr="00483937">
        <w:t>Since trends indicated that large firms would continue to lean to</w:t>
      </w:r>
      <w:r>
        <w:t>ward</w:t>
      </w:r>
      <w:r w:rsidRPr="00483937">
        <w:t xml:space="preserve"> end</w:t>
      </w:r>
      <w:r>
        <w:t>-</w:t>
      </w:r>
      <w:r w:rsidRPr="00483937">
        <w:t>to</w:t>
      </w:r>
      <w:r>
        <w:t>-</w:t>
      </w:r>
      <w:r w:rsidRPr="00483937">
        <w:t xml:space="preserve">end consulting services in the near future, competition in this industry would focus not only on the service quality and price but also on execution and tangible outcomes. </w:t>
      </w:r>
      <w:bookmarkStart w:id="8" w:name="OLE_LINK104"/>
      <w:bookmarkStart w:id="9" w:name="OLE_LINK105"/>
      <w:r>
        <w:t>A</w:t>
      </w:r>
      <w:r w:rsidRPr="00F9005D">
        <w:t>s a small/medium consulting firm</w:t>
      </w:r>
      <w:r>
        <w:t>,</w:t>
      </w:r>
      <w:r w:rsidRPr="00F9005D">
        <w:t xml:space="preserve"> Centric </w:t>
      </w:r>
      <w:r>
        <w:t xml:space="preserve">Cleveland needed to </w:t>
      </w:r>
      <w:r w:rsidRPr="00F9005D">
        <w:t xml:space="preserve">keep growing </w:t>
      </w:r>
      <w:r>
        <w:t>to meet this trend. But faced with significant growth, Centric Cleveland was also challenged to keep its</w:t>
      </w:r>
      <w:r w:rsidRPr="00F9005D">
        <w:t xml:space="preserve"> unique culture and practices for well-being</w:t>
      </w:r>
      <w:r>
        <w:t xml:space="preserve"> with the intent of helping the </w:t>
      </w:r>
      <w:r w:rsidRPr="00F9005D">
        <w:t>company and its employees flourish</w:t>
      </w:r>
      <w:r>
        <w:t xml:space="preserve">. </w:t>
      </w:r>
      <w:bookmarkEnd w:id="8"/>
      <w:bookmarkEnd w:id="9"/>
      <w:r w:rsidRPr="00483937">
        <w:t>It was crucial to remain competitive while staying true to the</w:t>
      </w:r>
      <w:r>
        <w:t xml:space="preserve"> company’s</w:t>
      </w:r>
      <w:r w:rsidRPr="00483937">
        <w:t xml:space="preserve"> values.</w:t>
      </w:r>
    </w:p>
    <w:p w14:paraId="289BF03F" w14:textId="77777777" w:rsidR="00E40A1B" w:rsidRPr="00483937" w:rsidRDefault="00E40A1B" w:rsidP="00EE66DA">
      <w:pPr>
        <w:pStyle w:val="BodyTextMain"/>
      </w:pPr>
    </w:p>
    <w:p w14:paraId="015C6706" w14:textId="76CD1E0F" w:rsidR="00E40A1B" w:rsidRPr="00483937" w:rsidRDefault="00E40A1B" w:rsidP="00EE66DA">
      <w:pPr>
        <w:pStyle w:val="BodyTextMain"/>
      </w:pPr>
      <w:r w:rsidRPr="00483937">
        <w:t xml:space="preserve">An example of </w:t>
      </w:r>
      <w:r>
        <w:t xml:space="preserve">Centric Consulting’s </w:t>
      </w:r>
      <w:r w:rsidRPr="00483937">
        <w:t xml:space="preserve">competition </w:t>
      </w:r>
      <w:r>
        <w:t>was</w:t>
      </w:r>
      <w:r w:rsidRPr="00483937">
        <w:t xml:space="preserve"> Slalom Consulting, a small consulting firm </w:t>
      </w:r>
      <w:r>
        <w:t>that</w:t>
      </w:r>
      <w:r w:rsidRPr="00483937">
        <w:t xml:space="preserve"> specialized in designing and building strategies and systems to help clients solve business challenges.</w:t>
      </w:r>
      <w:r w:rsidRPr="00483937">
        <w:rPr>
          <w:rStyle w:val="FootnoteReference"/>
          <w:color w:val="222222"/>
        </w:rPr>
        <w:footnoteReference w:id="4"/>
      </w:r>
      <w:r>
        <w:t xml:space="preserve"> </w:t>
      </w:r>
      <w:r w:rsidRPr="00483937">
        <w:t xml:space="preserve">Slalom also specialized in industries including </w:t>
      </w:r>
      <w:r>
        <w:t>h</w:t>
      </w:r>
      <w:r w:rsidRPr="00483937">
        <w:t>ealth</w:t>
      </w:r>
      <w:r>
        <w:t xml:space="preserve"> </w:t>
      </w:r>
      <w:r w:rsidRPr="00483937">
        <w:t xml:space="preserve">care, </w:t>
      </w:r>
      <w:r>
        <w:t>r</w:t>
      </w:r>
      <w:r w:rsidRPr="00483937">
        <w:t>etail</w:t>
      </w:r>
      <w:r>
        <w:t>,</w:t>
      </w:r>
      <w:r w:rsidRPr="00483937">
        <w:t xml:space="preserve"> and </w:t>
      </w:r>
      <w:r>
        <w:t>f</w:t>
      </w:r>
      <w:r w:rsidRPr="00483937">
        <w:t xml:space="preserve">inancial </w:t>
      </w:r>
      <w:r>
        <w:t>s</w:t>
      </w:r>
      <w:r w:rsidRPr="00483937">
        <w:t>ervices</w:t>
      </w:r>
      <w:r>
        <w:t>, and like</w:t>
      </w:r>
      <w:r w:rsidRPr="00483937">
        <w:t xml:space="preserve"> Centric Consulting, Slalom differentiated itself in corporate culture and employee engagement. Slalom and Centric </w:t>
      </w:r>
      <w:r>
        <w:t xml:space="preserve">also </w:t>
      </w:r>
      <w:r w:rsidRPr="00483937">
        <w:t>both focused on providing local service through local communities</w:t>
      </w:r>
      <w:r>
        <w:t xml:space="preserve">. They did not directly compete, though </w:t>
      </w:r>
      <w:r w:rsidRPr="00483937">
        <w:t xml:space="preserve">there were </w:t>
      </w:r>
      <w:r>
        <w:t xml:space="preserve">a </w:t>
      </w:r>
      <w:r w:rsidRPr="00483937">
        <w:t>few locations where they both operated; for example, New York City and Boston.</w:t>
      </w:r>
      <w:r>
        <w:t xml:space="preserve"> </w:t>
      </w:r>
    </w:p>
    <w:p w14:paraId="50E90541" w14:textId="77777777" w:rsidR="00E40A1B" w:rsidRPr="0083757E" w:rsidRDefault="00E40A1B" w:rsidP="00EE66DA">
      <w:pPr>
        <w:pStyle w:val="BodyTextMain"/>
        <w:rPr>
          <w:szCs w:val="20"/>
        </w:rPr>
      </w:pPr>
    </w:p>
    <w:p w14:paraId="167B71AC" w14:textId="77777777" w:rsidR="00E40A1B" w:rsidRPr="0083757E" w:rsidRDefault="00E40A1B" w:rsidP="00EE66DA">
      <w:pPr>
        <w:pStyle w:val="BodyTextMain"/>
        <w:rPr>
          <w:szCs w:val="20"/>
        </w:rPr>
      </w:pPr>
    </w:p>
    <w:p w14:paraId="18C4975F" w14:textId="77777777" w:rsidR="00E40A1B" w:rsidRPr="00483937" w:rsidRDefault="00E40A1B" w:rsidP="00F524F1">
      <w:pPr>
        <w:pStyle w:val="Casehead1"/>
        <w:outlineLvl w:val="0"/>
      </w:pPr>
      <w:r w:rsidRPr="00483937">
        <w:t>CENTRIC’S CULTURE AND PRACTICES</w:t>
      </w:r>
    </w:p>
    <w:p w14:paraId="48EFE0B7" w14:textId="77777777" w:rsidR="00E40A1B" w:rsidRPr="00483937" w:rsidRDefault="00E40A1B" w:rsidP="00EE66DA">
      <w:pPr>
        <w:pStyle w:val="BodyTextMain"/>
        <w:rPr>
          <w:szCs w:val="20"/>
        </w:rPr>
      </w:pPr>
    </w:p>
    <w:p w14:paraId="124431DE" w14:textId="5D4EF56B" w:rsidR="00E40A1B" w:rsidRDefault="00E40A1B" w:rsidP="00EE66DA">
      <w:pPr>
        <w:pStyle w:val="BodyTextMain"/>
      </w:pPr>
      <w:r w:rsidRPr="00483937">
        <w:t xml:space="preserve">Centric Cleveland faced the same challenges of human capital management faced </w:t>
      </w:r>
      <w:r>
        <w:t xml:space="preserve">by </w:t>
      </w:r>
      <w:r w:rsidRPr="00483937">
        <w:t xml:space="preserve">any firm in the consulting industry. However, Centric </w:t>
      </w:r>
      <w:r>
        <w:t xml:space="preserve">Cleveland </w:t>
      </w:r>
      <w:r w:rsidRPr="00483937">
        <w:t xml:space="preserve">differentiated </w:t>
      </w:r>
      <w:r>
        <w:t>itself</w:t>
      </w:r>
      <w:r w:rsidRPr="00483937">
        <w:t xml:space="preserve"> from other consulting firms by creating </w:t>
      </w:r>
      <w:r>
        <w:t>a</w:t>
      </w:r>
      <w:r w:rsidRPr="00483937">
        <w:t xml:space="preserve"> unique corporate culture. Phrases used </w:t>
      </w:r>
      <w:r>
        <w:t>when talking about</w:t>
      </w:r>
      <w:r w:rsidRPr="00483937">
        <w:t xml:space="preserve"> </w:t>
      </w:r>
      <w:r>
        <w:t>its</w:t>
      </w:r>
      <w:r w:rsidRPr="00483937">
        <w:t xml:space="preserve"> culture </w:t>
      </w:r>
      <w:r>
        <w:t>included</w:t>
      </w:r>
      <w:r w:rsidRPr="00483937">
        <w:t xml:space="preserve"> </w:t>
      </w:r>
      <w:r>
        <w:t>“c</w:t>
      </w:r>
      <w:r w:rsidRPr="00483937">
        <w:t>aring,</w:t>
      </w:r>
      <w:r>
        <w:t>”</w:t>
      </w:r>
      <w:r w:rsidRPr="00483937">
        <w:t xml:space="preserve"> </w:t>
      </w:r>
      <w:r>
        <w:t>“w</w:t>
      </w:r>
      <w:r w:rsidRPr="00483937">
        <w:t>ork-</w:t>
      </w:r>
      <w:r>
        <w:t>l</w:t>
      </w:r>
      <w:r w:rsidRPr="00483937">
        <w:t xml:space="preserve">ife </w:t>
      </w:r>
      <w:r>
        <w:t>b</w:t>
      </w:r>
      <w:r w:rsidRPr="00483937">
        <w:t>alance,</w:t>
      </w:r>
      <w:r>
        <w:t>”</w:t>
      </w:r>
      <w:r w:rsidRPr="00483937">
        <w:t xml:space="preserve"> </w:t>
      </w:r>
      <w:r>
        <w:t>“p</w:t>
      </w:r>
      <w:r w:rsidRPr="00483937">
        <w:t xml:space="preserve">eople are </w:t>
      </w:r>
      <w:r>
        <w:t>o</w:t>
      </w:r>
      <w:r w:rsidRPr="00483937">
        <w:t xml:space="preserve">ur </w:t>
      </w:r>
      <w:r>
        <w:t>p</w:t>
      </w:r>
      <w:r w:rsidRPr="00483937">
        <w:t>roduct</w:t>
      </w:r>
      <w:r>
        <w:t>,”</w:t>
      </w:r>
      <w:r w:rsidRPr="00483937">
        <w:t xml:space="preserve"> and </w:t>
      </w:r>
      <w:r>
        <w:t>“c</w:t>
      </w:r>
      <w:r w:rsidRPr="00483937">
        <w:t xml:space="preserve">ontributions to </w:t>
      </w:r>
      <w:r>
        <w:t>c</w:t>
      </w:r>
      <w:r w:rsidRPr="00483937">
        <w:t>ommunity.</w:t>
      </w:r>
      <w:r>
        <w:t>”</w:t>
      </w:r>
      <w:r w:rsidRPr="00483937">
        <w:t xml:space="preserve"> Centric </w:t>
      </w:r>
      <w:r>
        <w:t xml:space="preserve">Cleveland </w:t>
      </w:r>
      <w:r w:rsidRPr="00483937">
        <w:t xml:space="preserve">successfully provided enterprise impact through local delivery. Over the course of several years, </w:t>
      </w:r>
      <w:r>
        <w:t>it</w:t>
      </w:r>
      <w:r w:rsidRPr="00483937">
        <w:t xml:space="preserve"> had developed rapidly</w:t>
      </w:r>
      <w:r>
        <w:t>,</w:t>
      </w:r>
      <w:r w:rsidRPr="00483937">
        <w:t xml:space="preserve"> and the leadership team put great emphasis on creating, improving</w:t>
      </w:r>
      <w:r>
        <w:t>,</w:t>
      </w:r>
      <w:r w:rsidRPr="00483937">
        <w:t xml:space="preserve"> and polishing the culture.</w:t>
      </w:r>
      <w:r>
        <w:t xml:space="preserve"> </w:t>
      </w:r>
    </w:p>
    <w:p w14:paraId="0ADF1EBA" w14:textId="77777777" w:rsidR="00E40A1B" w:rsidRDefault="00E40A1B" w:rsidP="002252B8">
      <w:pPr>
        <w:pStyle w:val="BodyTextMain"/>
      </w:pPr>
    </w:p>
    <w:p w14:paraId="5CF665A8" w14:textId="3929ED87" w:rsidR="00E40A1B" w:rsidRPr="00483937" w:rsidRDefault="00E40A1B" w:rsidP="00DC0515">
      <w:pPr>
        <w:pStyle w:val="BodyTextMain"/>
      </w:pPr>
      <w:r w:rsidRPr="002252B8">
        <w:rPr>
          <w:rFonts w:eastAsiaTheme="minorHAnsi"/>
          <w:lang w:val="en-US"/>
        </w:rPr>
        <w:t xml:space="preserve">The Centric </w:t>
      </w:r>
      <w:r w:rsidRPr="002252B8">
        <w:t xml:space="preserve">Consulting </w:t>
      </w:r>
      <w:r w:rsidRPr="002252B8">
        <w:rPr>
          <w:rFonts w:eastAsiaTheme="minorHAnsi"/>
          <w:lang w:val="en-US"/>
        </w:rPr>
        <w:t xml:space="preserve">culture was composed </w:t>
      </w:r>
      <w:r w:rsidRPr="002252B8">
        <w:rPr>
          <w:rFonts w:eastAsiaTheme="minorHAnsi"/>
        </w:rPr>
        <w:t xml:space="preserve">of seven dimensions: Invest in an Exceptional Culture, Embrace Integrity and Openness, Practice Responsible Stewardship, Strive to Innovate, Ignite Passion for the Greater Good, Live a Balanced Life, and Commit to Delivery Excellence (see Exhibit 3). The unique company culture was embodied in aspects of Centric Cleveland’s strategies and policies. Dale Stewart, </w:t>
      </w:r>
      <w:r w:rsidRPr="00DC0515">
        <w:rPr>
          <w:rFonts w:eastAsiaTheme="minorHAnsi"/>
          <w:highlight w:val="white"/>
        </w:rPr>
        <w:t>senior</w:t>
      </w:r>
      <w:r w:rsidRPr="00DC0515">
        <w:rPr>
          <w:rFonts w:eastAsiaTheme="minorHAnsi"/>
          <w:highlight w:val="white"/>
          <w:shd w:val="clear" w:color="auto" w:fill="000000" w:themeFill="text1"/>
        </w:rPr>
        <w:t xml:space="preserve"> </w:t>
      </w:r>
      <w:r w:rsidRPr="00DC0515">
        <w:rPr>
          <w:rFonts w:eastAsiaTheme="minorHAnsi"/>
          <w:highlight w:val="white"/>
        </w:rPr>
        <w:t>consultant at Centric</w:t>
      </w:r>
      <w:r w:rsidRPr="00381D76">
        <w:rPr>
          <w:rFonts w:eastAsiaTheme="minorHAnsi"/>
          <w:highlight w:val="white"/>
        </w:rPr>
        <w:t xml:space="preserve"> </w:t>
      </w:r>
      <w:r w:rsidRPr="00381D76">
        <w:rPr>
          <w:rFonts w:eastAsiaTheme="minorHAnsi"/>
        </w:rPr>
        <w:t>Cleveland commented, “The culture at Centric is too good to be true.”</w:t>
      </w:r>
      <w:r w:rsidRPr="004135C1" w:rsidDel="00E7401E">
        <w:rPr>
          <w:rFonts w:eastAsiaTheme="minorHAnsi"/>
          <w:vertAlign w:val="superscript"/>
        </w:rPr>
        <w:t xml:space="preserve"> </w:t>
      </w:r>
    </w:p>
    <w:p w14:paraId="684F9AC4" w14:textId="77777777" w:rsidR="0011384B" w:rsidRDefault="0011384B" w:rsidP="002252B8">
      <w:pPr>
        <w:pStyle w:val="BodyTextMain"/>
        <w:rPr>
          <w:sz w:val="20"/>
        </w:rPr>
      </w:pPr>
    </w:p>
    <w:p w14:paraId="017F3F33" w14:textId="77777777" w:rsidR="0011384B" w:rsidRPr="00483937" w:rsidRDefault="0011384B" w:rsidP="002252B8">
      <w:pPr>
        <w:pStyle w:val="BodyTextMain"/>
        <w:rPr>
          <w:sz w:val="20"/>
        </w:rPr>
      </w:pPr>
    </w:p>
    <w:p w14:paraId="6E6DD602" w14:textId="77777777" w:rsidR="00E40A1B" w:rsidRPr="00483937" w:rsidRDefault="00E40A1B" w:rsidP="00F524F1">
      <w:pPr>
        <w:pStyle w:val="Casehead2"/>
        <w:keepNext/>
        <w:outlineLvl w:val="0"/>
      </w:pPr>
      <w:r w:rsidRPr="00483937">
        <w:t>Employee Relationships</w:t>
      </w:r>
    </w:p>
    <w:p w14:paraId="06B7FC79" w14:textId="77777777" w:rsidR="00E40A1B" w:rsidRPr="00483937" w:rsidRDefault="00E40A1B" w:rsidP="00861920">
      <w:pPr>
        <w:pStyle w:val="BodyTextMain"/>
        <w:keepNext/>
      </w:pPr>
    </w:p>
    <w:p w14:paraId="4A7DBEE5" w14:textId="56D5EF71" w:rsidR="00E40A1B" w:rsidRDefault="00E40A1B" w:rsidP="0011384B">
      <w:pPr>
        <w:pStyle w:val="BodyTextMain"/>
        <w:keepNext/>
      </w:pPr>
      <w:r w:rsidRPr="00483937">
        <w:t xml:space="preserve">Payroll had been on a monthly pay schedule, which </w:t>
      </w:r>
      <w:r>
        <w:t>wa</w:t>
      </w:r>
      <w:r w:rsidRPr="00483937">
        <w:t xml:space="preserve">s the nature of consultancy as the client </w:t>
      </w:r>
      <w:r>
        <w:t>wa</w:t>
      </w:r>
      <w:r w:rsidRPr="00483937">
        <w:t xml:space="preserve">s billed after the work </w:t>
      </w:r>
      <w:r>
        <w:t>wa</w:t>
      </w:r>
      <w:r w:rsidRPr="00483937">
        <w:t xml:space="preserve">s done. However, Centric </w:t>
      </w:r>
      <w:r>
        <w:t xml:space="preserve">Cleveland </w:t>
      </w:r>
      <w:r w:rsidRPr="00483937">
        <w:t>responded to employee feedback and switched to a bi-weekly pay schedule.</w:t>
      </w:r>
    </w:p>
    <w:p w14:paraId="54F32881" w14:textId="77777777" w:rsidR="00E40A1B" w:rsidRPr="0011384B" w:rsidRDefault="00E40A1B" w:rsidP="00861920">
      <w:pPr>
        <w:pStyle w:val="BodyTextMain"/>
        <w:rPr>
          <w:sz w:val="8"/>
        </w:rPr>
      </w:pPr>
    </w:p>
    <w:p w14:paraId="55113F31" w14:textId="77777777" w:rsidR="00E40A1B" w:rsidRPr="00483937" w:rsidRDefault="00E40A1B" w:rsidP="00F36C32">
      <w:pPr>
        <w:pStyle w:val="Casehead2"/>
        <w:keepNext/>
        <w:keepLines/>
        <w:outlineLvl w:val="0"/>
      </w:pPr>
      <w:r w:rsidRPr="00483937">
        <w:lastRenderedPageBreak/>
        <w:t>Sustainable Business Model</w:t>
      </w:r>
    </w:p>
    <w:p w14:paraId="11B21923" w14:textId="77777777" w:rsidR="00E40A1B" w:rsidRPr="00301167" w:rsidRDefault="00E40A1B" w:rsidP="00F36C32">
      <w:pPr>
        <w:pStyle w:val="BodyTextMain"/>
        <w:keepNext/>
        <w:keepLines/>
      </w:pPr>
    </w:p>
    <w:p w14:paraId="787B217D" w14:textId="44A9B124" w:rsidR="00E40A1B" w:rsidRPr="00483937" w:rsidRDefault="00E40A1B" w:rsidP="00F36C32">
      <w:pPr>
        <w:pStyle w:val="BodyTextMain"/>
        <w:keepNext/>
        <w:keepLines/>
      </w:pPr>
      <w:r>
        <w:t>Unlike</w:t>
      </w:r>
      <w:r w:rsidRPr="00483937">
        <w:t xml:space="preserve"> most firms, Centric </w:t>
      </w:r>
      <w:r>
        <w:t xml:space="preserve">Cleveland </w:t>
      </w:r>
      <w:r w:rsidRPr="00483937">
        <w:t>ha</w:t>
      </w:r>
      <w:r>
        <w:t>d</w:t>
      </w:r>
      <w:r w:rsidRPr="00483937">
        <w:t xml:space="preserve"> no office buildings: employees either work</w:t>
      </w:r>
      <w:r>
        <w:t>ed</w:t>
      </w:r>
      <w:r w:rsidRPr="00483937">
        <w:t xml:space="preserve"> at a client site or from home.</w:t>
      </w:r>
      <w:r>
        <w:t xml:space="preserve"> </w:t>
      </w:r>
      <w:r w:rsidRPr="00483937">
        <w:t>This helped to maintain low overhead costs and allowed consultants to be very accessible to clients. In addition, local delivery saved costs on travel</w:t>
      </w:r>
      <w:r>
        <w:t>l</w:t>
      </w:r>
      <w:r w:rsidRPr="00483937">
        <w:t>ing and lodging.</w:t>
      </w:r>
    </w:p>
    <w:p w14:paraId="26C0A715" w14:textId="77777777" w:rsidR="00E40A1B" w:rsidRPr="00A25859" w:rsidRDefault="00E40A1B" w:rsidP="00EE66DA">
      <w:pPr>
        <w:pStyle w:val="BodyTextMain"/>
      </w:pPr>
    </w:p>
    <w:p w14:paraId="47D68F0B" w14:textId="77777777" w:rsidR="00E40A1B" w:rsidRPr="00A25859" w:rsidRDefault="00E40A1B" w:rsidP="00EE66DA">
      <w:pPr>
        <w:pStyle w:val="BodyTextMain"/>
      </w:pPr>
    </w:p>
    <w:p w14:paraId="0D3A7E9A" w14:textId="61829B6B" w:rsidR="00E40A1B" w:rsidRPr="00483937" w:rsidRDefault="00E40A1B" w:rsidP="00345FB4">
      <w:pPr>
        <w:pStyle w:val="Casehead2"/>
        <w:keepNext/>
        <w:outlineLvl w:val="0"/>
      </w:pPr>
      <w:r w:rsidRPr="00483937">
        <w:t>Live a Balance</w:t>
      </w:r>
      <w:r>
        <w:t>d</w:t>
      </w:r>
      <w:r w:rsidRPr="00483937">
        <w:t xml:space="preserve"> Life</w:t>
      </w:r>
    </w:p>
    <w:p w14:paraId="1817991D" w14:textId="77777777" w:rsidR="00E40A1B" w:rsidRPr="0083757E" w:rsidRDefault="00E40A1B" w:rsidP="00345FB4">
      <w:pPr>
        <w:pStyle w:val="BodyTextMain"/>
        <w:keepNext/>
      </w:pPr>
    </w:p>
    <w:p w14:paraId="5C59A5BB" w14:textId="75EED5A8" w:rsidR="00E40A1B" w:rsidRPr="00483937" w:rsidRDefault="00E40A1B" w:rsidP="00EE66DA">
      <w:pPr>
        <w:pStyle w:val="BodyTextMain"/>
      </w:pPr>
      <w:r w:rsidRPr="00483937">
        <w:t>“Centric actually does what they say they will do,” beam</w:t>
      </w:r>
      <w:r>
        <w:t>ed</w:t>
      </w:r>
      <w:r w:rsidRPr="00483937">
        <w:t xml:space="preserve"> </w:t>
      </w:r>
      <w:proofErr w:type="spellStart"/>
      <w:r w:rsidRPr="00483937">
        <w:t>Kindra</w:t>
      </w:r>
      <w:proofErr w:type="spellEnd"/>
      <w:r w:rsidRPr="00483937">
        <w:t xml:space="preserve">, </w:t>
      </w:r>
      <w:r w:rsidRPr="00483937">
        <w:rPr>
          <w:highlight w:val="white"/>
        </w:rPr>
        <w:t xml:space="preserve">senior manager at Centric </w:t>
      </w:r>
      <w:r>
        <w:t>Cleveland</w:t>
      </w:r>
      <w:r w:rsidRPr="00483937">
        <w:t>. “All companies say people are their first priority but then they choose the dollar over you every</w:t>
      </w:r>
      <w:r w:rsidRPr="00483937">
        <w:rPr>
          <w:sz w:val="24"/>
        </w:rPr>
        <w:t xml:space="preserve"> </w:t>
      </w:r>
      <w:r w:rsidRPr="00483937">
        <w:t xml:space="preserve">time.” Centric </w:t>
      </w:r>
      <w:r>
        <w:t xml:space="preserve">Cleveland </w:t>
      </w:r>
      <w:r w:rsidRPr="00483937">
        <w:t xml:space="preserve">respected </w:t>
      </w:r>
      <w:r>
        <w:t>its</w:t>
      </w:r>
      <w:r w:rsidRPr="00483937">
        <w:t xml:space="preserve"> employees’ career choices and lifestyle commitments.</w:t>
      </w:r>
      <w:r>
        <w:t xml:space="preserve"> </w:t>
      </w:r>
      <w:r w:rsidRPr="00483937">
        <w:t xml:space="preserve">For instance, if an employee was not assigned to a project, he or she could take time off to recharge or do some additional work related to team management or development for the firm. Employees were encouraged to take on additional responsibilities, specifically tasks that were individually meaningful. Centric </w:t>
      </w:r>
      <w:r>
        <w:t xml:space="preserve">Cleveland </w:t>
      </w:r>
      <w:r w:rsidRPr="00483937">
        <w:t xml:space="preserve">wanted </w:t>
      </w:r>
      <w:r>
        <w:t>its</w:t>
      </w:r>
      <w:r w:rsidRPr="00483937">
        <w:t xml:space="preserve"> employees to find purpose in their work.</w:t>
      </w:r>
    </w:p>
    <w:p w14:paraId="7637D99C" w14:textId="77777777" w:rsidR="00E40A1B" w:rsidRPr="0083757E" w:rsidRDefault="00E40A1B" w:rsidP="00EE66DA">
      <w:pPr>
        <w:pStyle w:val="BodyTextMain"/>
      </w:pPr>
    </w:p>
    <w:p w14:paraId="57A43E57" w14:textId="77777777" w:rsidR="00E40A1B" w:rsidRPr="0083757E" w:rsidRDefault="00E40A1B" w:rsidP="00EE66DA">
      <w:pPr>
        <w:pStyle w:val="BodyTextMain"/>
      </w:pPr>
    </w:p>
    <w:p w14:paraId="52F8756F" w14:textId="77777777" w:rsidR="00E40A1B" w:rsidRPr="00483937" w:rsidRDefault="00E40A1B" w:rsidP="00F524F1">
      <w:pPr>
        <w:pStyle w:val="Casehead2"/>
        <w:outlineLvl w:val="0"/>
      </w:pPr>
      <w:r w:rsidRPr="00483937">
        <w:t>Unique Hiring Process to Ensure Cultural Fit</w:t>
      </w:r>
    </w:p>
    <w:p w14:paraId="20BDF765" w14:textId="77777777" w:rsidR="00E40A1B" w:rsidRPr="0083757E" w:rsidRDefault="00E40A1B" w:rsidP="00EE66DA">
      <w:pPr>
        <w:pStyle w:val="BodyTextMain"/>
      </w:pPr>
      <w:bookmarkStart w:id="14" w:name="OLE_LINK3"/>
      <w:bookmarkStart w:id="15" w:name="OLE_LINK4"/>
    </w:p>
    <w:p w14:paraId="32C8AFE4" w14:textId="6CE00DB2" w:rsidR="00E40A1B" w:rsidRPr="00483937" w:rsidRDefault="00E40A1B" w:rsidP="00EE66DA">
      <w:pPr>
        <w:pStyle w:val="BodyTextMain"/>
      </w:pPr>
      <w:r w:rsidRPr="00483937">
        <w:t xml:space="preserve">According to Bracy, in consulting firms, human resources were an important asset because the firms’ value-add </w:t>
      </w:r>
      <w:r>
        <w:t>wa</w:t>
      </w:r>
      <w:r w:rsidRPr="00483937">
        <w:t xml:space="preserve">s the skill sets and intelligence of their employees. </w:t>
      </w:r>
      <w:bookmarkEnd w:id="14"/>
      <w:bookmarkEnd w:id="15"/>
      <w:r w:rsidRPr="00483937">
        <w:t xml:space="preserve">Centric </w:t>
      </w:r>
      <w:r>
        <w:t xml:space="preserve">Cleveland </w:t>
      </w:r>
      <w:r w:rsidRPr="00483937">
        <w:t xml:space="preserve">not only focused on hiring for skill but also for cultural fit. To realize this goal, each candidate would participate in five to six rounds of interviews, several of which were to assess cultural fit. They would assess cultural fit through a variety of topics: What drives the candidate? What are his or her motivators? What are his or her life priorities and how had he or she made that a priority? Another unusual aspect </w:t>
      </w:r>
      <w:r>
        <w:t>wa</w:t>
      </w:r>
      <w:r w:rsidRPr="00483937">
        <w:t xml:space="preserve">s that the interviews may </w:t>
      </w:r>
      <w:r>
        <w:t xml:space="preserve">have </w:t>
      </w:r>
      <w:r w:rsidRPr="00483937">
        <w:t>be</w:t>
      </w:r>
      <w:r>
        <w:t>en</w:t>
      </w:r>
      <w:r w:rsidRPr="00483937">
        <w:t xml:space="preserve"> held in a less formal setting</w:t>
      </w:r>
      <w:r>
        <w:t>—</w:t>
      </w:r>
      <w:r w:rsidRPr="00483937">
        <w:t xml:space="preserve">for example, at a restaurant or bar. </w:t>
      </w:r>
    </w:p>
    <w:p w14:paraId="58107B45" w14:textId="77777777" w:rsidR="00E40A1B" w:rsidRPr="0083757E" w:rsidRDefault="00E40A1B" w:rsidP="00EE66DA">
      <w:pPr>
        <w:pStyle w:val="BodyTextMain"/>
      </w:pPr>
    </w:p>
    <w:p w14:paraId="0B55DDD0" w14:textId="77777777" w:rsidR="00E40A1B" w:rsidRPr="0083757E" w:rsidRDefault="00E40A1B" w:rsidP="00EE66DA">
      <w:pPr>
        <w:pStyle w:val="BodyTextMain"/>
      </w:pPr>
    </w:p>
    <w:p w14:paraId="782B1C92" w14:textId="77777777" w:rsidR="00E40A1B" w:rsidRPr="00483937" w:rsidRDefault="00E40A1B" w:rsidP="00F524F1">
      <w:pPr>
        <w:pStyle w:val="Casehead2"/>
        <w:outlineLvl w:val="0"/>
      </w:pPr>
      <w:r w:rsidRPr="00483937">
        <w:t>Client Relationships</w:t>
      </w:r>
    </w:p>
    <w:p w14:paraId="28F40D18" w14:textId="77777777" w:rsidR="00E40A1B" w:rsidRPr="0083757E" w:rsidRDefault="00E40A1B" w:rsidP="00EE66DA">
      <w:pPr>
        <w:pStyle w:val="BodyTextMain"/>
      </w:pPr>
    </w:p>
    <w:p w14:paraId="35A71588" w14:textId="02EC6C01" w:rsidR="00E40A1B" w:rsidRPr="00483937" w:rsidRDefault="00E40A1B" w:rsidP="00EE66DA">
      <w:pPr>
        <w:pStyle w:val="BodyTextMain"/>
      </w:pPr>
      <w:r>
        <w:t>A</w:t>
      </w:r>
      <w:r w:rsidRPr="00483937">
        <w:t xml:space="preserve"> critical question for Centric </w:t>
      </w:r>
      <w:r>
        <w:t>Cleveland</w:t>
      </w:r>
      <w:r w:rsidRPr="00483937">
        <w:t xml:space="preserve"> </w:t>
      </w:r>
      <w:r>
        <w:t>was h</w:t>
      </w:r>
      <w:r w:rsidRPr="00483937">
        <w:t xml:space="preserve">ow </w:t>
      </w:r>
      <w:r>
        <w:t>to</w:t>
      </w:r>
      <w:r w:rsidRPr="00483937">
        <w:t xml:space="preserve"> maintain long</w:t>
      </w:r>
      <w:r>
        <w:t>-</w:t>
      </w:r>
      <w:r w:rsidRPr="00483937">
        <w:t>lasting and sustainable relationship</w:t>
      </w:r>
      <w:r>
        <w:t>s</w:t>
      </w:r>
      <w:r w:rsidRPr="00483937">
        <w:t xml:space="preserve"> with clients</w:t>
      </w:r>
      <w:r>
        <w:t>.</w:t>
      </w:r>
      <w:r w:rsidRPr="00483937">
        <w:t xml:space="preserve"> </w:t>
      </w:r>
      <w:r>
        <w:t>Centric</w:t>
      </w:r>
      <w:r w:rsidRPr="00483937">
        <w:t xml:space="preserve"> </w:t>
      </w:r>
      <w:r>
        <w:t xml:space="preserve">Cleveland </w:t>
      </w:r>
      <w:r w:rsidRPr="00483937">
        <w:t xml:space="preserve">made great efforts </w:t>
      </w:r>
      <w:r>
        <w:t xml:space="preserve">to </w:t>
      </w:r>
      <w:r w:rsidRPr="00483937">
        <w:t xml:space="preserve">build and maintain strong relationships with </w:t>
      </w:r>
      <w:r>
        <w:t>its</w:t>
      </w:r>
      <w:r w:rsidRPr="00483937">
        <w:t xml:space="preserve"> clients.</w:t>
      </w:r>
    </w:p>
    <w:p w14:paraId="65F1C4A4" w14:textId="77777777" w:rsidR="00E40A1B" w:rsidRPr="0083757E" w:rsidRDefault="00E40A1B" w:rsidP="00EE66DA">
      <w:pPr>
        <w:pStyle w:val="BodyTextMain"/>
      </w:pPr>
    </w:p>
    <w:p w14:paraId="0711B74D" w14:textId="42F81E88" w:rsidR="00E40A1B" w:rsidRPr="00483937" w:rsidRDefault="00E40A1B" w:rsidP="00EE66DA">
      <w:pPr>
        <w:pStyle w:val="BodyTextMain"/>
      </w:pPr>
      <w:r w:rsidRPr="00483937">
        <w:t>Stewart shared a story about building relationship</w:t>
      </w:r>
      <w:r>
        <w:t>s</w:t>
      </w:r>
      <w:r w:rsidRPr="00483937">
        <w:t xml:space="preserve"> with clients</w:t>
      </w:r>
      <w:r>
        <w:t>.</w:t>
      </w:r>
      <w:r w:rsidRPr="00483937">
        <w:t xml:space="preserve"> His client’s daughter played basketball at </w:t>
      </w:r>
      <w:r>
        <w:t>Cleveland State University</w:t>
      </w:r>
      <w:r w:rsidRPr="00483937">
        <w:t>.</w:t>
      </w:r>
      <w:r>
        <w:t xml:space="preserve"> </w:t>
      </w:r>
      <w:r w:rsidRPr="00483937">
        <w:t xml:space="preserve">When the team went to the championship, Stewart sent an email to the Centric Cleveland group encouraging them to watch the game and share their best wishes with the client. Needless to say, the client appreciated this unexpected support from his consulting firm. </w:t>
      </w:r>
    </w:p>
    <w:p w14:paraId="4DB1B1C7" w14:textId="77777777" w:rsidR="00E40A1B" w:rsidRPr="0083757E" w:rsidRDefault="00E40A1B" w:rsidP="00EE66DA">
      <w:pPr>
        <w:pStyle w:val="BodyTextMain"/>
      </w:pPr>
    </w:p>
    <w:p w14:paraId="34FE10F6" w14:textId="43B81BC7" w:rsidR="00E40A1B" w:rsidRPr="00483937" w:rsidRDefault="00E40A1B" w:rsidP="00EE66DA">
      <w:pPr>
        <w:pStyle w:val="BodyTextMain"/>
      </w:pPr>
      <w:r w:rsidRPr="00483937">
        <w:t>Meanwhile, Centric</w:t>
      </w:r>
      <w:r>
        <w:t xml:space="preserve"> Consulting</w:t>
      </w:r>
      <w:r w:rsidRPr="00483937">
        <w:t xml:space="preserve">’s localization also helped to build connections with clients, </w:t>
      </w:r>
      <w:r>
        <w:t>who</w:t>
      </w:r>
      <w:r w:rsidRPr="00483937">
        <w:t xml:space="preserve"> welcomed </w:t>
      </w:r>
      <w:r>
        <w:t xml:space="preserve">the pride </w:t>
      </w:r>
      <w:r w:rsidRPr="00483937">
        <w:t xml:space="preserve">that their consulting firm shared in their city, </w:t>
      </w:r>
      <w:r>
        <w:t xml:space="preserve">their </w:t>
      </w:r>
      <w:r w:rsidRPr="00483937">
        <w:t xml:space="preserve">interest in local sports teams, </w:t>
      </w:r>
      <w:r>
        <w:t>and so on</w:t>
      </w:r>
      <w:r w:rsidRPr="00483937">
        <w:t>.</w:t>
      </w:r>
    </w:p>
    <w:p w14:paraId="11DD75E7" w14:textId="77777777" w:rsidR="00E40A1B" w:rsidRPr="00301167" w:rsidRDefault="00E40A1B" w:rsidP="00EE66DA">
      <w:pPr>
        <w:pStyle w:val="BodyTextMain"/>
      </w:pPr>
    </w:p>
    <w:p w14:paraId="7800CBCC" w14:textId="2CC83271" w:rsidR="00E40A1B" w:rsidRPr="004428FC" w:rsidRDefault="00E40A1B" w:rsidP="004428FC">
      <w:pPr>
        <w:pStyle w:val="BodyTextMain"/>
        <w:rPr>
          <w:spacing w:val="-2"/>
        </w:rPr>
      </w:pPr>
      <w:r w:rsidRPr="004428FC">
        <w:rPr>
          <w:spacing w:val="-2"/>
        </w:rPr>
        <w:t>Centric Cleveland also worked to bring its firm’s culture to clients. For example, the company made a positive impact on the United Church of Christ. The Church’s administrative processes were done manually and on paper. Automation would be very helpful; however, change was challenging and needed expertise. Centric Cleveland encouraged the client, and through discussions about mutual values such as staying authentic to yourself, Centric Cleveland helped the Church successfully adopt changes that improved its processes.</w:t>
      </w:r>
    </w:p>
    <w:p w14:paraId="519749BE" w14:textId="77777777" w:rsidR="00E40A1B" w:rsidRPr="0083757E" w:rsidRDefault="00E40A1B" w:rsidP="00EE66DA">
      <w:pPr>
        <w:pStyle w:val="BodyTextMain"/>
      </w:pPr>
    </w:p>
    <w:p w14:paraId="5574421E" w14:textId="77777777" w:rsidR="00E40A1B" w:rsidRDefault="00E40A1B" w:rsidP="00EE66DA">
      <w:pPr>
        <w:pStyle w:val="BodyTextMain"/>
      </w:pPr>
    </w:p>
    <w:p w14:paraId="38BD08C6" w14:textId="77777777" w:rsidR="00301167" w:rsidRPr="0083757E" w:rsidRDefault="00301167" w:rsidP="00EE66DA">
      <w:pPr>
        <w:pStyle w:val="BodyTextMain"/>
      </w:pPr>
    </w:p>
    <w:p w14:paraId="55996D78" w14:textId="60CF7678" w:rsidR="00E40A1B" w:rsidRPr="00483937" w:rsidRDefault="00E40A1B" w:rsidP="00F524F1">
      <w:pPr>
        <w:pStyle w:val="Casehead2"/>
        <w:outlineLvl w:val="0"/>
      </w:pPr>
      <w:r w:rsidRPr="00483937">
        <w:lastRenderedPageBreak/>
        <w:t>Social Events</w:t>
      </w:r>
      <w:r>
        <w:t xml:space="preserve"> </w:t>
      </w:r>
    </w:p>
    <w:p w14:paraId="7A098176" w14:textId="77777777" w:rsidR="00E40A1B" w:rsidRPr="009A6788" w:rsidRDefault="00E40A1B" w:rsidP="00EE66DA">
      <w:pPr>
        <w:pStyle w:val="BodyTextMain"/>
        <w:rPr>
          <w:sz w:val="20"/>
        </w:rPr>
      </w:pPr>
    </w:p>
    <w:p w14:paraId="59B88925" w14:textId="22798A53" w:rsidR="00E40A1B" w:rsidRDefault="00E40A1B" w:rsidP="00EE66DA">
      <w:pPr>
        <w:pStyle w:val="BodyTextMain"/>
      </w:pPr>
      <w:r w:rsidRPr="00483937">
        <w:t xml:space="preserve">To balance the lack of a corporate office space </w:t>
      </w:r>
      <w:r>
        <w:t>with the need for</w:t>
      </w:r>
      <w:r w:rsidRPr="00483937">
        <w:t xml:space="preserve"> </w:t>
      </w:r>
      <w:r>
        <w:t>regular</w:t>
      </w:r>
      <w:r w:rsidRPr="00483937">
        <w:t xml:space="preserve"> employee face-to-face interaction, Centric </w:t>
      </w:r>
      <w:r>
        <w:t xml:space="preserve">Cleveland </w:t>
      </w:r>
      <w:r w:rsidRPr="00483937">
        <w:t>organized monthly happy hours, annual parties</w:t>
      </w:r>
      <w:r>
        <w:t>,</w:t>
      </w:r>
      <w:r w:rsidRPr="00483937">
        <w:t xml:space="preserve"> and retreats to connect employees and clients. Holiday parties were organized for employees and their guests as an opportunity to meet and share experiences or simply enjoy leisure time together. </w:t>
      </w:r>
      <w:r>
        <w:t>Beginning in</w:t>
      </w:r>
      <w:r w:rsidRPr="00483937">
        <w:t xml:space="preserve"> Centric</w:t>
      </w:r>
      <w:r>
        <w:t xml:space="preserve"> Consulting</w:t>
      </w:r>
      <w:r w:rsidRPr="00483937">
        <w:t xml:space="preserve">’s early days, employees </w:t>
      </w:r>
      <w:r>
        <w:t xml:space="preserve">from across the </w:t>
      </w:r>
      <w:r w:rsidRPr="00483937">
        <w:t>company gather</w:t>
      </w:r>
      <w:r>
        <w:t>ed</w:t>
      </w:r>
      <w:r w:rsidRPr="00483937">
        <w:t xml:space="preserve"> for an annual three</w:t>
      </w:r>
      <w:r>
        <w:t>-</w:t>
      </w:r>
      <w:r w:rsidRPr="00483937">
        <w:t>day, two</w:t>
      </w:r>
      <w:r>
        <w:t>-</w:t>
      </w:r>
      <w:r w:rsidRPr="00483937">
        <w:t>night retreat in a warm climate.</w:t>
      </w:r>
      <w:r>
        <w:t xml:space="preserve"> </w:t>
      </w:r>
      <w:r w:rsidRPr="00483937">
        <w:t>This gave employees a unique opportunity to relax together and build a sense of team.</w:t>
      </w:r>
      <w:r>
        <w:t xml:space="preserve"> </w:t>
      </w:r>
      <w:r w:rsidRPr="00483937">
        <w:t xml:space="preserve">It also showed </w:t>
      </w:r>
      <w:proofErr w:type="spellStart"/>
      <w:r w:rsidRPr="00483937">
        <w:t>Centric’s</w:t>
      </w:r>
      <w:proofErr w:type="spellEnd"/>
      <w:r w:rsidRPr="00483937">
        <w:t xml:space="preserve"> commitment to work-life balance and </w:t>
      </w:r>
      <w:r>
        <w:t>to its</w:t>
      </w:r>
      <w:r w:rsidRPr="00483937">
        <w:t xml:space="preserve"> employees’ well-being.</w:t>
      </w:r>
    </w:p>
    <w:p w14:paraId="3ACE076D" w14:textId="77777777" w:rsidR="0083757E" w:rsidRDefault="0083757E" w:rsidP="00EE66DA">
      <w:pPr>
        <w:pStyle w:val="BodyTextMain"/>
      </w:pPr>
    </w:p>
    <w:p w14:paraId="0CFFA66F" w14:textId="77777777" w:rsidR="0083757E" w:rsidRPr="00483937" w:rsidRDefault="0083757E" w:rsidP="00EE66DA">
      <w:pPr>
        <w:pStyle w:val="BodyTextMain"/>
      </w:pPr>
    </w:p>
    <w:p w14:paraId="0E6BD00C" w14:textId="77777777" w:rsidR="00E40A1B" w:rsidRPr="00483937" w:rsidRDefault="00E40A1B" w:rsidP="00345FB4">
      <w:pPr>
        <w:pStyle w:val="Casehead2"/>
        <w:keepNext/>
        <w:outlineLvl w:val="0"/>
      </w:pPr>
      <w:r w:rsidRPr="00483937">
        <w:t>Journaling: Corporate Website</w:t>
      </w:r>
    </w:p>
    <w:p w14:paraId="59191800" w14:textId="77777777" w:rsidR="00E40A1B" w:rsidRPr="009A6788" w:rsidRDefault="00E40A1B" w:rsidP="00EE66DA">
      <w:pPr>
        <w:pStyle w:val="BodyTextMain"/>
        <w:rPr>
          <w:sz w:val="20"/>
        </w:rPr>
      </w:pPr>
    </w:p>
    <w:p w14:paraId="32BAA852" w14:textId="0440401F" w:rsidR="00E40A1B" w:rsidRPr="00483937" w:rsidRDefault="00E40A1B" w:rsidP="00EE66DA">
      <w:pPr>
        <w:pStyle w:val="BodyTextMain"/>
      </w:pPr>
      <w:r w:rsidRPr="00483937">
        <w:t>Centric</w:t>
      </w:r>
      <w:r>
        <w:t xml:space="preserve"> Cleveland’s</w:t>
      </w:r>
      <w:r w:rsidRPr="00483937">
        <w:t xml:space="preserve"> official website was unique in that it was open to all employees.</w:t>
      </w:r>
      <w:r>
        <w:t xml:space="preserve"> </w:t>
      </w:r>
      <w:r w:rsidRPr="00483937">
        <w:t xml:space="preserve">Employees had the option of contributing to the website by writing a passage introducing one of their experiences or projects, or sharing skills and lessons learned from their projects. Some employees might be more interested in reading the stories of others than </w:t>
      </w:r>
      <w:r>
        <w:t xml:space="preserve">in </w:t>
      </w:r>
      <w:r w:rsidRPr="00483937">
        <w:t xml:space="preserve">sharing their own; other employees </w:t>
      </w:r>
      <w:r>
        <w:t>were</w:t>
      </w:r>
      <w:r w:rsidRPr="00483937">
        <w:t xml:space="preserve"> passionate about sharing and contribute</w:t>
      </w:r>
      <w:r>
        <w:t>d</w:t>
      </w:r>
      <w:r w:rsidRPr="00483937">
        <w:t xml:space="preserve"> often. This open forum provide</w:t>
      </w:r>
      <w:r>
        <w:t>d</w:t>
      </w:r>
      <w:r w:rsidRPr="00483937">
        <w:t xml:space="preserve"> employees with an opportunity to deepen their connection with the firm and grow their understanding of the overall business. It </w:t>
      </w:r>
      <w:r>
        <w:t>was</w:t>
      </w:r>
      <w:r w:rsidRPr="00483937">
        <w:t xml:space="preserve"> seen as a positive learning tool, and one that offer</w:t>
      </w:r>
      <w:r>
        <w:t>ed</w:t>
      </w:r>
      <w:r w:rsidRPr="00483937">
        <w:t xml:space="preserve"> a creative outlet for employees.</w:t>
      </w:r>
    </w:p>
    <w:p w14:paraId="3DD80FFB" w14:textId="77777777" w:rsidR="00E40A1B" w:rsidRPr="00301167" w:rsidRDefault="00E40A1B" w:rsidP="00EE66DA">
      <w:pPr>
        <w:pStyle w:val="BodyTextMain"/>
      </w:pPr>
    </w:p>
    <w:p w14:paraId="24E9E0E2" w14:textId="77777777" w:rsidR="00E40A1B" w:rsidRPr="00301167" w:rsidRDefault="00E40A1B" w:rsidP="00EE66DA">
      <w:pPr>
        <w:pStyle w:val="BodyTextMain"/>
      </w:pPr>
    </w:p>
    <w:p w14:paraId="3B6509A1" w14:textId="77777777" w:rsidR="00E40A1B" w:rsidRPr="00483937" w:rsidRDefault="00E40A1B" w:rsidP="00F524F1">
      <w:pPr>
        <w:pStyle w:val="Casehead2"/>
        <w:outlineLvl w:val="0"/>
      </w:pPr>
      <w:r w:rsidRPr="00483937">
        <w:t>Community Services</w:t>
      </w:r>
    </w:p>
    <w:p w14:paraId="2E2F42ED" w14:textId="77777777" w:rsidR="00E40A1B" w:rsidRPr="009A6788" w:rsidRDefault="00E40A1B" w:rsidP="00EE66DA">
      <w:pPr>
        <w:pStyle w:val="BodyTextMain"/>
        <w:rPr>
          <w:sz w:val="20"/>
          <w:szCs w:val="20"/>
        </w:rPr>
      </w:pPr>
    </w:p>
    <w:p w14:paraId="662744FA" w14:textId="1015A5BD" w:rsidR="00E40A1B" w:rsidRPr="00483937" w:rsidRDefault="00E40A1B" w:rsidP="00EE66DA">
      <w:pPr>
        <w:pStyle w:val="BodyTextMain"/>
      </w:pPr>
      <w:bookmarkStart w:id="16" w:name="OLE_LINK1"/>
      <w:bookmarkStart w:id="17" w:name="OLE_LINK2"/>
      <w:r w:rsidRPr="00483937">
        <w:t>One o</w:t>
      </w:r>
      <w:bookmarkEnd w:id="16"/>
      <w:bookmarkEnd w:id="17"/>
      <w:r w:rsidRPr="00483937">
        <w:t>f Centric</w:t>
      </w:r>
      <w:r>
        <w:t xml:space="preserve"> Cleveland</w:t>
      </w:r>
      <w:r w:rsidRPr="00483937">
        <w:t>’s core value</w:t>
      </w:r>
      <w:r>
        <w:t>s</w:t>
      </w:r>
      <w:r w:rsidRPr="00483937">
        <w:t xml:space="preserve"> </w:t>
      </w:r>
      <w:r>
        <w:t>wa</w:t>
      </w:r>
      <w:r w:rsidRPr="00483937">
        <w:t xml:space="preserve">s to ignite passion for the greater good, which in part </w:t>
      </w:r>
      <w:r>
        <w:t>meant</w:t>
      </w:r>
      <w:r w:rsidRPr="00483937">
        <w:t xml:space="preserve"> contribut</w:t>
      </w:r>
      <w:r>
        <w:t>ing</w:t>
      </w:r>
      <w:r w:rsidRPr="00483937">
        <w:t xml:space="preserve"> to the local community. </w:t>
      </w:r>
      <w:r>
        <w:t>Its</w:t>
      </w:r>
      <w:r w:rsidRPr="00483937">
        <w:t xml:space="preserve"> goal </w:t>
      </w:r>
      <w:r>
        <w:t>wa</w:t>
      </w:r>
      <w:r w:rsidRPr="00483937">
        <w:t>s to realize 100</w:t>
      </w:r>
      <w:r>
        <w:t xml:space="preserve"> per cent</w:t>
      </w:r>
      <w:r w:rsidRPr="00483937">
        <w:t xml:space="preserve"> employee participation</w:t>
      </w:r>
      <w:r>
        <w:t xml:space="preserve"> in Centric Cleveland’s community activities</w:t>
      </w:r>
      <w:r w:rsidRPr="00483937">
        <w:t>.</w:t>
      </w:r>
    </w:p>
    <w:p w14:paraId="0B8E2495" w14:textId="77777777" w:rsidR="00E40A1B" w:rsidRPr="009A6788" w:rsidRDefault="00E40A1B" w:rsidP="00EE66DA">
      <w:pPr>
        <w:pStyle w:val="BodyTextMain"/>
        <w:rPr>
          <w:sz w:val="20"/>
        </w:rPr>
      </w:pPr>
    </w:p>
    <w:p w14:paraId="671E21F9" w14:textId="369168BC" w:rsidR="00E40A1B" w:rsidRPr="00483937" w:rsidRDefault="00E40A1B" w:rsidP="00EE66DA">
      <w:pPr>
        <w:pStyle w:val="BodyTextMain"/>
      </w:pPr>
      <w:r w:rsidRPr="009A6788">
        <w:rPr>
          <w:spacing w:val="-2"/>
          <w:kern w:val="22"/>
        </w:rPr>
        <w:t xml:space="preserve">In January 2012, Centric Consulting took the first step to organize employees from all 12 business units for the first all-company community service day. More than 300 employees and their family members came together for one day to help rebuild the Hurricane Katrina–damaged </w:t>
      </w:r>
      <w:proofErr w:type="spellStart"/>
      <w:r w:rsidRPr="009A6788">
        <w:rPr>
          <w:spacing w:val="-2"/>
          <w:kern w:val="22"/>
        </w:rPr>
        <w:t>Gentilly</w:t>
      </w:r>
      <w:proofErr w:type="spellEnd"/>
      <w:r w:rsidRPr="009A6788">
        <w:rPr>
          <w:spacing w:val="-2"/>
          <w:kern w:val="22"/>
        </w:rPr>
        <w:t xml:space="preserve"> Community </w:t>
      </w:r>
      <w:proofErr w:type="spellStart"/>
      <w:r w:rsidRPr="009A6788">
        <w:rPr>
          <w:spacing w:val="-2"/>
          <w:kern w:val="22"/>
        </w:rPr>
        <w:t>Center</w:t>
      </w:r>
      <w:proofErr w:type="spellEnd"/>
      <w:r w:rsidRPr="009A6788">
        <w:rPr>
          <w:spacing w:val="-2"/>
          <w:kern w:val="22"/>
        </w:rPr>
        <w:t xml:space="preserve"> of Hope in New Orleans, Louisiana. Together, the team from Centric donated more than 2,400 worked hours to the effort</w:t>
      </w:r>
      <w:r w:rsidRPr="00483937">
        <w:t>.</w:t>
      </w:r>
      <w:r w:rsidRPr="00483937">
        <w:rPr>
          <w:rStyle w:val="FootnoteReference"/>
        </w:rPr>
        <w:footnoteReference w:id="5"/>
      </w:r>
    </w:p>
    <w:p w14:paraId="0A0A2FFE" w14:textId="77777777" w:rsidR="00E40A1B" w:rsidRPr="009A6788" w:rsidRDefault="00E40A1B" w:rsidP="00EE66DA">
      <w:pPr>
        <w:pStyle w:val="BodyTextMain"/>
        <w:rPr>
          <w:sz w:val="20"/>
        </w:rPr>
      </w:pPr>
    </w:p>
    <w:p w14:paraId="43DFD148" w14:textId="59D5A620" w:rsidR="00E40A1B" w:rsidRPr="00483937" w:rsidRDefault="00E40A1B" w:rsidP="00EE66DA">
      <w:pPr>
        <w:pStyle w:val="BodyTextMain"/>
      </w:pPr>
      <w:r w:rsidRPr="009A6788">
        <w:rPr>
          <w:spacing w:val="-2"/>
          <w:kern w:val="22"/>
        </w:rPr>
        <w:t>Centric Cleveland’s practices promoted a strong culture. The firm maintained a low hierarchy structure and worked to cultivate an atmosphere of respect and trust throughout the whole organization. It increased awareness and communication through social media and blog sharing. The leadership team was dedicated to being responsive to employees’ requests and preferences and to involving employees in the firm’s growth</w:t>
      </w:r>
      <w:r>
        <w:t>.</w:t>
      </w:r>
    </w:p>
    <w:p w14:paraId="5F8BB5D2" w14:textId="77777777" w:rsidR="00E40A1B" w:rsidRPr="009A6788" w:rsidRDefault="00E40A1B" w:rsidP="00EE66DA">
      <w:pPr>
        <w:pStyle w:val="BodyTextMain"/>
        <w:rPr>
          <w:sz w:val="20"/>
          <w:highlight w:val="white"/>
        </w:rPr>
      </w:pPr>
    </w:p>
    <w:p w14:paraId="0DCB31ED" w14:textId="31C42DFF" w:rsidR="00E40A1B" w:rsidRDefault="00E40A1B" w:rsidP="00EE66DA">
      <w:pPr>
        <w:pStyle w:val="BodyTextMain"/>
      </w:pPr>
      <w:r w:rsidRPr="00003A04">
        <w:t xml:space="preserve">As Centric Cleveland grew, it needed to assess whether these practices would be systematic and standardized enough to sustain the culture. </w:t>
      </w:r>
      <w:r>
        <w:t>The</w:t>
      </w:r>
      <w:r w:rsidRPr="00003A04">
        <w:t xml:space="preserve"> company could </w:t>
      </w:r>
      <w:r>
        <w:t xml:space="preserve">also </w:t>
      </w:r>
      <w:r w:rsidRPr="00003A04">
        <w:t>introduce new programs, practices</w:t>
      </w:r>
      <w:r>
        <w:t>,</w:t>
      </w:r>
      <w:r w:rsidRPr="00003A04">
        <w:t xml:space="preserve"> or tools that would help employees maintain their individual well-being. Bracy’s challenge was knowing what practices would </w:t>
      </w:r>
      <w:r>
        <w:t>best resonate with millennials and g</w:t>
      </w:r>
      <w:r w:rsidRPr="005C4C90">
        <w:t>eneration Z hires.</w:t>
      </w:r>
    </w:p>
    <w:p w14:paraId="3BEB44D0" w14:textId="77777777" w:rsidR="00E40A1B" w:rsidRPr="00301167" w:rsidRDefault="00E40A1B" w:rsidP="00EE66DA">
      <w:pPr>
        <w:pStyle w:val="BodyTextMain"/>
      </w:pPr>
    </w:p>
    <w:p w14:paraId="488978A0" w14:textId="77777777" w:rsidR="00E40A1B" w:rsidRPr="00301167" w:rsidRDefault="00E40A1B" w:rsidP="00EE66DA">
      <w:pPr>
        <w:pStyle w:val="BodyTextMain"/>
      </w:pPr>
    </w:p>
    <w:p w14:paraId="47471582" w14:textId="77777777" w:rsidR="00E40A1B" w:rsidRPr="00483937" w:rsidRDefault="00E40A1B" w:rsidP="00F524F1">
      <w:pPr>
        <w:pStyle w:val="Casehead2"/>
        <w:outlineLvl w:val="0"/>
        <w:rPr>
          <w:rFonts w:ascii="Times New Roman" w:hAnsi="Times New Roman" w:cs="Times New Roman"/>
        </w:rPr>
      </w:pPr>
      <w:r w:rsidRPr="00483937">
        <w:t>FLOURISHING IN THE INDUSTRY</w:t>
      </w:r>
    </w:p>
    <w:p w14:paraId="0D10EFDA" w14:textId="77777777" w:rsidR="00E40A1B" w:rsidRPr="009A6788" w:rsidRDefault="00E40A1B" w:rsidP="00EE66DA">
      <w:pPr>
        <w:pStyle w:val="BodyTextMain"/>
        <w:rPr>
          <w:sz w:val="20"/>
        </w:rPr>
      </w:pPr>
    </w:p>
    <w:p w14:paraId="5DCE2695" w14:textId="005EFE5F" w:rsidR="00E40A1B" w:rsidRPr="00483937" w:rsidRDefault="00E40A1B" w:rsidP="00251676">
      <w:pPr>
        <w:pStyle w:val="BodyTextMain"/>
      </w:pPr>
      <w:r w:rsidRPr="00483937">
        <w:t xml:space="preserve">Centric was </w:t>
      </w:r>
      <w:r>
        <w:t>c</w:t>
      </w:r>
      <w:r w:rsidRPr="00483937">
        <w:t>ertainly</w:t>
      </w:r>
      <w:r>
        <w:t xml:space="preserve"> </w:t>
      </w:r>
      <w:r w:rsidRPr="00483937">
        <w:t>not the only company in the consulting industry addressing the challenge of sustaining employees. Many consulting firms made substantial investments in time, money</w:t>
      </w:r>
      <w:r>
        <w:t>,</w:t>
      </w:r>
      <w:r w:rsidRPr="00483937">
        <w:t xml:space="preserve"> and energy in an effort to </w:t>
      </w:r>
      <w:r w:rsidRPr="00483937">
        <w:lastRenderedPageBreak/>
        <w:t>improve corporate culture and employee well-being.</w:t>
      </w:r>
      <w:r w:rsidRPr="00251676">
        <w:t xml:space="preserve"> </w:t>
      </w:r>
      <w:r>
        <w:t xml:space="preserve">Many of these investments were in </w:t>
      </w:r>
      <w:r w:rsidRPr="00483937">
        <w:t>training focused on employees’ skill sets and abilities.</w:t>
      </w:r>
      <w:r>
        <w:t xml:space="preserve"> </w:t>
      </w:r>
    </w:p>
    <w:p w14:paraId="48AAF84C" w14:textId="77777777" w:rsidR="00E40A1B" w:rsidRPr="009A6788" w:rsidRDefault="00E40A1B" w:rsidP="00EE66DA">
      <w:pPr>
        <w:pStyle w:val="BodyTextMain"/>
        <w:rPr>
          <w:sz w:val="20"/>
        </w:rPr>
      </w:pPr>
    </w:p>
    <w:p w14:paraId="6204511A" w14:textId="541FF140" w:rsidR="00E40A1B" w:rsidRPr="00345FB4" w:rsidRDefault="00E40A1B" w:rsidP="00EE66DA">
      <w:pPr>
        <w:pStyle w:val="BodyTextMain"/>
        <w:rPr>
          <w:lang w:val="en-US"/>
        </w:rPr>
      </w:pPr>
      <w:r w:rsidRPr="00483937">
        <w:t xml:space="preserve">Deloitte </w:t>
      </w:r>
      <w:proofErr w:type="spellStart"/>
      <w:r w:rsidRPr="00087178">
        <w:rPr>
          <w:lang w:val="en-US"/>
        </w:rPr>
        <w:t>Touche</w:t>
      </w:r>
      <w:proofErr w:type="spellEnd"/>
      <w:r w:rsidRPr="00087178">
        <w:rPr>
          <w:lang w:val="en-US"/>
        </w:rPr>
        <w:t xml:space="preserve"> Tohmatsu Limited</w:t>
      </w:r>
      <w:r w:rsidRPr="00483937">
        <w:t>, one of the top</w:t>
      </w:r>
      <w:r>
        <w:t>-</w:t>
      </w:r>
      <w:r w:rsidRPr="00483937">
        <w:t xml:space="preserve">tier consulting firms, officially opened </w:t>
      </w:r>
      <w:r>
        <w:t>its</w:t>
      </w:r>
      <w:r w:rsidRPr="00483937">
        <w:t xml:space="preserve"> leadership centre</w:t>
      </w:r>
      <w:r>
        <w:t>,</w:t>
      </w:r>
      <w:r w:rsidRPr="00483937">
        <w:t xml:space="preserve"> “Deloitte University</w:t>
      </w:r>
      <w:r>
        <w:t>,</w:t>
      </w:r>
      <w:r w:rsidRPr="00483937">
        <w:t xml:space="preserve">” in October 2011 in Westlake, Texas. </w:t>
      </w:r>
      <w:r>
        <w:t>The centre</w:t>
      </w:r>
      <w:r w:rsidRPr="00483937">
        <w:t xml:space="preserve"> was built to provide an enhanced training experience </w:t>
      </w:r>
      <w:r>
        <w:t>for</w:t>
      </w:r>
      <w:r w:rsidRPr="00483937">
        <w:t xml:space="preserve"> its employees and to help employees from all organization levels gain leadership skills. The vision was “to grow the world’s best leaders.”</w:t>
      </w:r>
      <w:r w:rsidRPr="00483937">
        <w:rPr>
          <w:rStyle w:val="FootnoteReference"/>
          <w:color w:val="222222"/>
        </w:rPr>
        <w:footnoteReference w:id="6"/>
      </w:r>
    </w:p>
    <w:p w14:paraId="5AA835F3" w14:textId="77777777" w:rsidR="00E40A1B" w:rsidRPr="009A6788" w:rsidRDefault="00E40A1B" w:rsidP="00EE66DA">
      <w:pPr>
        <w:pStyle w:val="BodyTextMain"/>
        <w:rPr>
          <w:sz w:val="20"/>
        </w:rPr>
      </w:pPr>
    </w:p>
    <w:p w14:paraId="022A8D83" w14:textId="687709C7" w:rsidR="00E40A1B" w:rsidRPr="00483937" w:rsidRDefault="00E40A1B" w:rsidP="00EE66DA">
      <w:pPr>
        <w:pStyle w:val="BodyTextMain"/>
      </w:pPr>
      <w:r w:rsidRPr="00483937">
        <w:t>Another top</w:t>
      </w:r>
      <w:r>
        <w:t>-</w:t>
      </w:r>
      <w:r w:rsidRPr="00483937">
        <w:t>tier consulting firm, Bain</w:t>
      </w:r>
      <w:r>
        <w:t xml:space="preserve"> &amp; Company</w:t>
      </w:r>
      <w:r w:rsidRPr="00483937">
        <w:t xml:space="preserve">, also provided employees with comprehensive, individualized training to ensure employees had the tools to succeed at Bain and to realize personal career goals </w:t>
      </w:r>
      <w:r>
        <w:t>over</w:t>
      </w:r>
      <w:r w:rsidRPr="00483937">
        <w:t xml:space="preserve"> the long term. As Russ </w:t>
      </w:r>
      <w:proofErr w:type="spellStart"/>
      <w:r w:rsidRPr="00483937">
        <w:t>Hagey</w:t>
      </w:r>
      <w:proofErr w:type="spellEnd"/>
      <w:r w:rsidRPr="00483937">
        <w:t xml:space="preserve">, Bain </w:t>
      </w:r>
      <w:r>
        <w:t>p</w:t>
      </w:r>
      <w:r w:rsidRPr="00483937">
        <w:t xml:space="preserve">artner and </w:t>
      </w:r>
      <w:r>
        <w:t xml:space="preserve">“Worldwide </w:t>
      </w:r>
      <w:r w:rsidRPr="00483937">
        <w:t>Chief Talent Officer,</w:t>
      </w:r>
      <w:r>
        <w:t>”</w:t>
      </w:r>
      <w:r w:rsidRPr="00483937">
        <w:t xml:space="preserve"> said, “Global training is part of our DNA. We've always prioritized global training, regardless of the economic climate</w:t>
      </w:r>
      <w:r>
        <w:t>—</w:t>
      </w:r>
      <w:r w:rsidRPr="00483937">
        <w:t>it</w:t>
      </w:r>
      <w:r>
        <w:t>’</w:t>
      </w:r>
      <w:r w:rsidRPr="00483937">
        <w:t>s that important to us.”</w:t>
      </w:r>
      <w:r w:rsidRPr="00483937">
        <w:rPr>
          <w:rStyle w:val="FootnoteReference"/>
          <w:color w:val="222222"/>
        </w:rPr>
        <w:footnoteReference w:id="7"/>
      </w:r>
    </w:p>
    <w:p w14:paraId="35839316" w14:textId="77777777" w:rsidR="00E40A1B" w:rsidRPr="00483937" w:rsidRDefault="00E40A1B" w:rsidP="00EE66DA">
      <w:pPr>
        <w:pStyle w:val="BodyTextMain"/>
      </w:pPr>
    </w:p>
    <w:p w14:paraId="13AE8B30" w14:textId="39BEF5DA" w:rsidR="00E40A1B" w:rsidRPr="00483937" w:rsidRDefault="00E40A1B" w:rsidP="00EE66DA">
      <w:pPr>
        <w:pStyle w:val="BodyTextMain"/>
      </w:pPr>
      <w:r w:rsidRPr="00483937">
        <w:t>Other top consulting firms such as Mc</w:t>
      </w:r>
      <w:r>
        <w:t>K</w:t>
      </w:r>
      <w:r w:rsidRPr="00483937">
        <w:t xml:space="preserve">insey </w:t>
      </w:r>
      <w:r>
        <w:t xml:space="preserve">&amp; Company </w:t>
      </w:r>
      <w:r w:rsidRPr="00483937">
        <w:t>and L.E.K. Consulting also placed great emphasis on training. Mc</w:t>
      </w:r>
      <w:r>
        <w:t>K</w:t>
      </w:r>
      <w:r w:rsidRPr="00483937">
        <w:t>insey invested more than $100 million each year in employee training. This training was available throughout an employee’s tenure with Mc</w:t>
      </w:r>
      <w:r>
        <w:t>K</w:t>
      </w:r>
      <w:r w:rsidRPr="00483937">
        <w:t>insey and included online learning, new hire orientation, basic consulting readiness, ongoing training</w:t>
      </w:r>
      <w:r>
        <w:t>,</w:t>
      </w:r>
      <w:r w:rsidRPr="00483937">
        <w:t xml:space="preserve"> and on</w:t>
      </w:r>
      <w:r>
        <w:t>-</w:t>
      </w:r>
      <w:r w:rsidRPr="00483937">
        <w:t>the</w:t>
      </w:r>
      <w:r>
        <w:t>-</w:t>
      </w:r>
      <w:r w:rsidRPr="00483937">
        <w:t>job training.</w:t>
      </w:r>
      <w:r w:rsidRPr="00483937">
        <w:rPr>
          <w:rStyle w:val="FootnoteReference"/>
          <w:color w:val="222222"/>
        </w:rPr>
        <w:footnoteReference w:id="8"/>
      </w:r>
    </w:p>
    <w:p w14:paraId="2A1E72E7" w14:textId="77777777" w:rsidR="00E40A1B" w:rsidRPr="00483937" w:rsidRDefault="00E40A1B" w:rsidP="00EE66DA">
      <w:pPr>
        <w:pStyle w:val="BodyTextMain"/>
      </w:pPr>
    </w:p>
    <w:p w14:paraId="541EDB65" w14:textId="61326112" w:rsidR="00E40A1B" w:rsidRPr="00483937" w:rsidRDefault="00E40A1B" w:rsidP="005C4C90">
      <w:pPr>
        <w:pStyle w:val="BodyTextMain"/>
      </w:pPr>
      <w:r>
        <w:t>There were companies that also focused on a culture of caring, such as the aforementioned Slalom Consulting</w:t>
      </w:r>
      <w:r w:rsidRPr="00483937">
        <w:t xml:space="preserve">. </w:t>
      </w:r>
      <w:r>
        <w:t>Slalom</w:t>
      </w:r>
      <w:r w:rsidRPr="00483937">
        <w:t xml:space="preserve"> followed a no</w:t>
      </w:r>
      <w:r>
        <w:t>-</w:t>
      </w:r>
      <w:r w:rsidRPr="00483937">
        <w:t>travel policy to ensure employees’ work-life</w:t>
      </w:r>
      <w:r>
        <w:t xml:space="preserve"> balance</w:t>
      </w:r>
      <w:r w:rsidRPr="00483937">
        <w:t>.</w:t>
      </w:r>
      <w:r w:rsidRPr="00483937">
        <w:rPr>
          <w:rStyle w:val="FootnoteReference"/>
          <w:color w:val="222222"/>
        </w:rPr>
        <w:footnoteReference w:id="9"/>
      </w:r>
      <w:r w:rsidRPr="00483937">
        <w:t xml:space="preserve"> </w:t>
      </w:r>
      <w:r w:rsidRPr="00271102">
        <w:t>Following similar policies and sharing some similarities in culture</w:t>
      </w:r>
      <w:r>
        <w:t xml:space="preserve"> with Slalom</w:t>
      </w:r>
      <w:r w:rsidRPr="00271102">
        <w:t xml:space="preserve">, Centric </w:t>
      </w:r>
      <w:r>
        <w:t xml:space="preserve">Cleveland, along with all </w:t>
      </w:r>
      <w:proofErr w:type="gramStart"/>
      <w:r>
        <w:t>Centric</w:t>
      </w:r>
      <w:proofErr w:type="gramEnd"/>
      <w:r>
        <w:t xml:space="preserve"> branches, needed to find a strategy for staying</w:t>
      </w:r>
      <w:r w:rsidRPr="00271102">
        <w:t xml:space="preserve"> unique and </w:t>
      </w:r>
      <w:r>
        <w:t>competitive in the culture game.</w:t>
      </w:r>
    </w:p>
    <w:p w14:paraId="4D422868" w14:textId="77777777" w:rsidR="00E40A1B" w:rsidRPr="00483937" w:rsidRDefault="00E40A1B" w:rsidP="00EE66DA">
      <w:pPr>
        <w:pStyle w:val="BodyTextMain"/>
      </w:pPr>
    </w:p>
    <w:p w14:paraId="7E14FBD0" w14:textId="58C54B8B" w:rsidR="00E40A1B" w:rsidRDefault="00E40A1B" w:rsidP="00EE66DA">
      <w:pPr>
        <w:pStyle w:val="BodyTextMain"/>
      </w:pPr>
      <w:r w:rsidRPr="00483937">
        <w:t>Company</w:t>
      </w:r>
      <w:r>
        <w:t>–</w:t>
      </w:r>
      <w:r w:rsidRPr="00483937">
        <w:t>employee fit was very important to consulting firms. A common practice in the industry was to apply rigid and structured hiring processes to find the best</w:t>
      </w:r>
      <w:r>
        <w:t>-</w:t>
      </w:r>
      <w:r w:rsidRPr="00483937">
        <w:t>fit</w:t>
      </w:r>
      <w:r>
        <w:t>ting</w:t>
      </w:r>
      <w:r w:rsidRPr="00483937">
        <w:t xml:space="preserve"> candidates. Many consulting firms would conduct several rounds of interviews including behavioural interviews and case interviews specifically to test candidates’ critical thinking, problem solving, and other skills. According to </w:t>
      </w:r>
      <w:r>
        <w:t xml:space="preserve">2013 </w:t>
      </w:r>
      <w:r w:rsidRPr="00483937">
        <w:t>research from Glassdoor, one of the world</w:t>
      </w:r>
      <w:r>
        <w:t>’</w:t>
      </w:r>
      <w:r w:rsidRPr="00483937">
        <w:t>s most transparent jobs and recruiting marketplaces, the company with the toughest interview process was the prestigious consulting firm Mc</w:t>
      </w:r>
      <w:r>
        <w:t>K</w:t>
      </w:r>
      <w:r w:rsidRPr="00483937">
        <w:t>insey.</w:t>
      </w:r>
      <w:r>
        <w:rPr>
          <w:rStyle w:val="FootnoteReference"/>
        </w:rPr>
        <w:footnoteReference w:id="10"/>
      </w:r>
      <w:r w:rsidRPr="00483937">
        <w:t xml:space="preserve"> This firm had taken first place for three consecutive years (see Exhibit 4). This correlation show</w:t>
      </w:r>
      <w:r>
        <w:t>ed</w:t>
      </w:r>
      <w:r w:rsidRPr="00483937">
        <w:t xml:space="preserve"> the importance of the hirin</w:t>
      </w:r>
      <w:r>
        <w:t>g process for consulting firms.</w:t>
      </w:r>
    </w:p>
    <w:p w14:paraId="47067004" w14:textId="77777777" w:rsidR="00301167" w:rsidRPr="00483937" w:rsidRDefault="00301167" w:rsidP="00EE66DA">
      <w:pPr>
        <w:pStyle w:val="BodyTextMain"/>
      </w:pPr>
    </w:p>
    <w:p w14:paraId="492385BE" w14:textId="2307BAB2" w:rsidR="00E40A1B" w:rsidRPr="00483937" w:rsidRDefault="00E40A1B" w:rsidP="00EE66DA">
      <w:pPr>
        <w:pStyle w:val="BodyTextMain"/>
      </w:pPr>
      <w:bookmarkStart w:id="25" w:name="OLE_LINK122"/>
      <w:bookmarkStart w:id="26" w:name="OLE_LINK123"/>
      <w:r w:rsidRPr="009A6788">
        <w:rPr>
          <w:spacing w:val="-2"/>
          <w:kern w:val="22"/>
        </w:rPr>
        <w:t xml:space="preserve">To hire talented and best-fitting consulting candidates, expectations from the younger generation employees who would be the main workforce in the future needed to be accurately understood and taken into careful consideration. </w:t>
      </w:r>
      <w:bookmarkEnd w:id="25"/>
      <w:bookmarkEnd w:id="26"/>
      <w:r w:rsidRPr="009A6788">
        <w:rPr>
          <w:spacing w:val="-2"/>
          <w:kern w:val="22"/>
        </w:rPr>
        <w:t xml:space="preserve">According to the </w:t>
      </w:r>
      <w:r w:rsidRPr="009A6788">
        <w:rPr>
          <w:i/>
          <w:color w:val="000000"/>
          <w:spacing w:val="-2"/>
          <w:kern w:val="22"/>
        </w:rPr>
        <w:t>2015 Deloitte Millennials Survey</w:t>
      </w:r>
      <w:r w:rsidRPr="009A6788">
        <w:rPr>
          <w:color w:val="000000"/>
          <w:spacing w:val="-2"/>
          <w:kern w:val="22"/>
        </w:rPr>
        <w:t>,</w:t>
      </w:r>
      <w:r w:rsidRPr="009A6788">
        <w:rPr>
          <w:spacing w:val="-2"/>
          <w:kern w:val="22"/>
        </w:rPr>
        <w:t xml:space="preserve"> more than 60 per cent of </w:t>
      </w:r>
      <w:bookmarkStart w:id="27" w:name="OLE_LINK108"/>
      <w:bookmarkStart w:id="28" w:name="OLE_LINK109"/>
      <w:r w:rsidRPr="009A6788">
        <w:rPr>
          <w:spacing w:val="-2"/>
          <w:kern w:val="22"/>
        </w:rPr>
        <w:t xml:space="preserve">millennials </w:t>
      </w:r>
      <w:bookmarkEnd w:id="27"/>
      <w:bookmarkEnd w:id="28"/>
      <w:r w:rsidRPr="009A6788">
        <w:rPr>
          <w:spacing w:val="-2"/>
          <w:kern w:val="22"/>
        </w:rPr>
        <w:t>regarded “a sense of purpose” (a company’s business purpose) as part of the reason they chose to work for their current employers.</w:t>
      </w:r>
      <w:r w:rsidRPr="009A6788">
        <w:rPr>
          <w:rStyle w:val="FootnoteReference"/>
          <w:color w:val="000000"/>
          <w:spacing w:val="-2"/>
          <w:kern w:val="22"/>
        </w:rPr>
        <w:footnoteReference w:id="11"/>
      </w:r>
      <w:r w:rsidRPr="009A6788">
        <w:rPr>
          <w:spacing w:val="-2"/>
          <w:kern w:val="22"/>
        </w:rPr>
        <w:t xml:space="preserve"> Millennials and generation Z expected businesses to be more effective in improving </w:t>
      </w:r>
      <w:r w:rsidRPr="009A6788">
        <w:rPr>
          <w:spacing w:val="-2"/>
          <w:kern w:val="22"/>
        </w:rPr>
        <w:lastRenderedPageBreak/>
        <w:t>individual well-being and to generate social benefits instead of focusing only on creating wealth. A strong business purpose was also related to positive organizational performance, including financial success and employees’ satisfaction and recruitment. Companies with stronger purpose appeared to have stronger financial performance, higher employee satisfaction, and more successful recruitment (see Exhibit 5</w:t>
      </w:r>
      <w:r w:rsidRPr="00483937">
        <w:t xml:space="preserve">). </w:t>
      </w:r>
    </w:p>
    <w:p w14:paraId="72CE94CD" w14:textId="77777777" w:rsidR="00E40A1B" w:rsidRPr="00483937" w:rsidRDefault="00E40A1B" w:rsidP="00EE66DA">
      <w:pPr>
        <w:pStyle w:val="BodyTextMain"/>
      </w:pPr>
    </w:p>
    <w:p w14:paraId="7A2F60F3" w14:textId="4C43A812" w:rsidR="00E40A1B" w:rsidRPr="00483937" w:rsidRDefault="00E40A1B" w:rsidP="00EE66DA">
      <w:pPr>
        <w:pStyle w:val="BodyTextMain"/>
      </w:pPr>
      <w:r w:rsidRPr="00483937">
        <w:t>It was becoming exceedingly important for current leaders of companies to consider the e</w:t>
      </w:r>
      <w:r>
        <w:t>xpectations of millennials and g</w:t>
      </w:r>
      <w:r w:rsidRPr="00483937">
        <w:t xml:space="preserve">eneration Z hires when building their long-term organizational strategy. Millennials </w:t>
      </w:r>
      <w:r>
        <w:t>prioritized employee well-being,</w:t>
      </w:r>
      <w:r w:rsidRPr="00483937">
        <w:t xml:space="preserve"> </w:t>
      </w:r>
      <w:r>
        <w:t>employee growth and development,</w:t>
      </w:r>
      <w:r w:rsidRPr="00483937">
        <w:t xml:space="preserve"> </w:t>
      </w:r>
      <w:r>
        <w:t xml:space="preserve">and </w:t>
      </w:r>
      <w:r w:rsidRPr="00483937">
        <w:t>companies’ contribution to local communities and wider society</w:t>
      </w:r>
      <w:r>
        <w:t>,</w:t>
      </w:r>
      <w:r w:rsidRPr="00483937">
        <w:t xml:space="preserve"> while plac</w:t>
      </w:r>
      <w:r>
        <w:t>ing</w:t>
      </w:r>
      <w:r w:rsidRPr="00483937">
        <w:t xml:space="preserve"> less emphasis on personal income/award and short-term financial goals (see Exhibit </w:t>
      </w:r>
      <w:r>
        <w:t>5</w:t>
      </w:r>
      <w:r w:rsidRPr="00483937">
        <w:t>).</w:t>
      </w:r>
      <w:r w:rsidRPr="00483937">
        <w:rPr>
          <w:rStyle w:val="FootnoteReference"/>
          <w:color w:val="222222"/>
        </w:rPr>
        <w:footnoteReference w:id="12"/>
      </w:r>
    </w:p>
    <w:p w14:paraId="06A73A73" w14:textId="77777777" w:rsidR="00E40A1B" w:rsidRPr="00483937" w:rsidRDefault="00E40A1B" w:rsidP="00EE66DA">
      <w:pPr>
        <w:pStyle w:val="BodyTextMain"/>
      </w:pPr>
    </w:p>
    <w:p w14:paraId="560B8F96" w14:textId="07F396B1" w:rsidR="00E40A1B" w:rsidRPr="00483937" w:rsidRDefault="00E40A1B" w:rsidP="00E3573A">
      <w:pPr>
        <w:pStyle w:val="BodyTextMain"/>
      </w:pPr>
      <w:r w:rsidRPr="00483937">
        <w:t>Many companies in other industries had encouraged a positive culture by providing or supporting organizational and individual practices, and in many cases</w:t>
      </w:r>
      <w:r>
        <w:t>,</w:t>
      </w:r>
      <w:r w:rsidRPr="00483937">
        <w:t xml:space="preserve"> these practices brought great benefit to the organization and employees. </w:t>
      </w:r>
    </w:p>
    <w:p w14:paraId="6973D30F" w14:textId="77777777" w:rsidR="00E40A1B" w:rsidRDefault="00E40A1B" w:rsidP="00EE66DA">
      <w:pPr>
        <w:pStyle w:val="BodyTextMain"/>
      </w:pPr>
    </w:p>
    <w:p w14:paraId="1B74DCFD" w14:textId="77777777" w:rsidR="00E40A1B" w:rsidRPr="00DB58F5" w:rsidRDefault="00E40A1B" w:rsidP="00EE66DA">
      <w:pPr>
        <w:pStyle w:val="BodyTextMain"/>
      </w:pPr>
    </w:p>
    <w:p w14:paraId="6B97E15A" w14:textId="77777777" w:rsidR="00E40A1B" w:rsidRPr="00483937" w:rsidRDefault="00E40A1B" w:rsidP="00F524F1">
      <w:pPr>
        <w:pStyle w:val="Casehead2"/>
        <w:outlineLvl w:val="0"/>
      </w:pPr>
      <w:r w:rsidRPr="00483937">
        <w:t>Individual Practices</w:t>
      </w:r>
    </w:p>
    <w:p w14:paraId="3CAD266B" w14:textId="77777777" w:rsidR="00E40A1B" w:rsidRPr="00483937" w:rsidRDefault="00E40A1B" w:rsidP="00EE66DA">
      <w:pPr>
        <w:pStyle w:val="BodyTextMain"/>
      </w:pPr>
    </w:p>
    <w:p w14:paraId="59A79FED" w14:textId="46885137" w:rsidR="00E40A1B" w:rsidRPr="00483937" w:rsidRDefault="00E40A1B" w:rsidP="00EE66DA">
      <w:pPr>
        <w:pStyle w:val="BodyTextMain"/>
      </w:pPr>
      <w:r w:rsidRPr="00483937">
        <w:t xml:space="preserve">There </w:t>
      </w:r>
      <w:r>
        <w:t>were</w:t>
      </w:r>
      <w:r w:rsidRPr="00483937">
        <w:t xml:space="preserve"> many reflective practices available to individuals.</w:t>
      </w:r>
      <w:r>
        <w:t xml:space="preserve"> </w:t>
      </w:r>
      <w:r w:rsidRPr="00483937">
        <w:t>Meditation</w:t>
      </w:r>
      <w:r>
        <w:t xml:space="preserve"> was o</w:t>
      </w:r>
      <w:r w:rsidRPr="00483937">
        <w:t xml:space="preserve">ne well-known practice that </w:t>
      </w:r>
      <w:r>
        <w:t>was</w:t>
      </w:r>
      <w:r w:rsidRPr="00483937">
        <w:t xml:space="preserve"> particularly beneficial to individuals working in a high stress industry like consulting. A study</w:t>
      </w:r>
      <w:r>
        <w:t xml:space="preserve"> </w:t>
      </w:r>
      <w:r w:rsidRPr="00483937">
        <w:t>in</w:t>
      </w:r>
      <w:r>
        <w:t xml:space="preserve"> the journal </w:t>
      </w:r>
      <w:bookmarkStart w:id="29" w:name="OLE_LINK85"/>
      <w:bookmarkStart w:id="30" w:name="OLE_LINK86"/>
      <w:proofErr w:type="spellStart"/>
      <w:r w:rsidRPr="00760AE1">
        <w:rPr>
          <w:i/>
          <w:iCs/>
          <w:lang w:val="en-US"/>
        </w:rPr>
        <w:t>Psychoneuroendocrinology</w:t>
      </w:r>
      <w:proofErr w:type="spellEnd"/>
      <w:r w:rsidRPr="00483937">
        <w:t xml:space="preserve"> </w:t>
      </w:r>
      <w:bookmarkEnd w:id="29"/>
      <w:bookmarkEnd w:id="30"/>
      <w:r>
        <w:t>reported</w:t>
      </w:r>
      <w:r w:rsidRPr="00483937">
        <w:t xml:space="preserve"> that meditation training significantly helped relieve stress and bring calm.</w:t>
      </w:r>
      <w:r w:rsidRPr="00483937">
        <w:rPr>
          <w:rStyle w:val="FootnoteReference"/>
          <w:color w:val="222222"/>
        </w:rPr>
        <w:footnoteReference w:id="13"/>
      </w:r>
      <w:r w:rsidRPr="00483937">
        <w:t xml:space="preserve"> Big technology companies such as Google, Facebook</w:t>
      </w:r>
      <w:r>
        <w:t>,</w:t>
      </w:r>
      <w:r w:rsidRPr="00483937">
        <w:t xml:space="preserve"> and Instagram had brought meditation into their organizations. Google</w:t>
      </w:r>
      <w:r>
        <w:t>’s 52,000</w:t>
      </w:r>
      <w:r w:rsidRPr="00483937">
        <w:t xml:space="preserve"> employees were provided with free lessons in mindfulness. It was common for a meeting at Google to start with a few minutes of meditation to help people relax and focus. According to </w:t>
      </w:r>
      <w:bookmarkStart w:id="36" w:name="OLE_LINK14"/>
      <w:bookmarkStart w:id="37" w:name="OLE_LINK15"/>
      <w:proofErr w:type="spellStart"/>
      <w:r w:rsidRPr="00483937">
        <w:t>Chade-Meng</w:t>
      </w:r>
      <w:proofErr w:type="spellEnd"/>
      <w:r w:rsidRPr="00483937">
        <w:t xml:space="preserve"> Tan</w:t>
      </w:r>
      <w:bookmarkEnd w:id="36"/>
      <w:bookmarkEnd w:id="37"/>
      <w:r w:rsidRPr="00483937">
        <w:t>, Google’s meditation guru, meditation was not only helpful in reducing stress but also helped people to be more productive.</w:t>
      </w:r>
      <w:r w:rsidRPr="00483937">
        <w:rPr>
          <w:rStyle w:val="FootnoteReference"/>
          <w:color w:val="222222"/>
        </w:rPr>
        <w:footnoteReference w:id="14"/>
      </w:r>
    </w:p>
    <w:p w14:paraId="0EAF24C3" w14:textId="77777777" w:rsidR="00E40A1B" w:rsidRPr="0083757E" w:rsidRDefault="00E40A1B" w:rsidP="00EE66DA">
      <w:pPr>
        <w:pStyle w:val="BodyTextMain"/>
        <w:rPr>
          <w:szCs w:val="20"/>
        </w:rPr>
      </w:pPr>
    </w:p>
    <w:p w14:paraId="70220243" w14:textId="088FACE5" w:rsidR="00E40A1B" w:rsidRPr="00483937" w:rsidRDefault="00E40A1B" w:rsidP="00EE66DA">
      <w:pPr>
        <w:pStyle w:val="BodyTextMain"/>
      </w:pPr>
      <w:r w:rsidRPr="00483937">
        <w:t>To help employees deal with stress more effectively and thus decrease the negative effects of stress on their individual and collective work, Aetna</w:t>
      </w:r>
      <w:r>
        <w:t>, Inc.</w:t>
      </w:r>
      <w:r w:rsidRPr="00483937">
        <w:t xml:space="preserve"> announced in 2012 that </w:t>
      </w:r>
      <w:r>
        <w:t>it</w:t>
      </w:r>
      <w:r w:rsidRPr="00483937">
        <w:t xml:space="preserve"> would build two mind</w:t>
      </w:r>
      <w:r>
        <w:t>-</w:t>
      </w:r>
      <w:r w:rsidRPr="00483937">
        <w:t>body stress reduction workplace programs: Mindfulness at Wor</w:t>
      </w:r>
      <w:r>
        <w:t>k</w:t>
      </w:r>
      <w:r w:rsidRPr="00483937">
        <w:t xml:space="preserve"> (mindfulness meditation) and </w:t>
      </w:r>
      <w:proofErr w:type="spellStart"/>
      <w:r w:rsidRPr="00483937">
        <w:t>Viniyoga</w:t>
      </w:r>
      <w:proofErr w:type="spellEnd"/>
      <w:r w:rsidRPr="00483937">
        <w:t xml:space="preserve"> Stress Reduction (therapeutic </w:t>
      </w:r>
      <w:proofErr w:type="spellStart"/>
      <w:r w:rsidRPr="00483937">
        <w:t>Viniyoga</w:t>
      </w:r>
      <w:proofErr w:type="spellEnd"/>
      <w:r w:rsidRPr="00483937">
        <w:t>).</w:t>
      </w:r>
      <w:r w:rsidRPr="00483937">
        <w:rPr>
          <w:rStyle w:val="FootnoteReference"/>
          <w:color w:val="222222"/>
        </w:rPr>
        <w:footnoteReference w:id="15"/>
      </w:r>
      <w:r w:rsidRPr="00483937">
        <w:t xml:space="preserve"> These two programs realized very positive </w:t>
      </w:r>
      <w:r>
        <w:t>outcomes</w:t>
      </w:r>
      <w:r w:rsidRPr="00483937">
        <w:t xml:space="preserve"> at Aetna: stress levels decreased by 28 per cent, </w:t>
      </w:r>
      <w:r>
        <w:t xml:space="preserve">and </w:t>
      </w:r>
      <w:r w:rsidRPr="00483937">
        <w:t xml:space="preserve">employees witnessed a 20 per cent increase in sleep quality and a 19 per cent reduction in pain. </w:t>
      </w:r>
      <w:r>
        <w:t>The programs</w:t>
      </w:r>
      <w:r w:rsidRPr="00483937">
        <w:t xml:space="preserve"> helped to set up a happier and more productive workplace</w:t>
      </w:r>
      <w:r>
        <w:t>.</w:t>
      </w:r>
      <w:r w:rsidRPr="00483937">
        <w:t xml:space="preserve"> </w:t>
      </w:r>
      <w:r>
        <w:t>E</w:t>
      </w:r>
      <w:r w:rsidRPr="00483937">
        <w:t>mployee feedback also reported positive changes in marriages and personal lives.</w:t>
      </w:r>
      <w:r w:rsidRPr="00483937">
        <w:rPr>
          <w:rStyle w:val="FootnoteReference"/>
          <w:color w:val="222222"/>
        </w:rPr>
        <w:footnoteReference w:id="16"/>
      </w:r>
      <w:r w:rsidRPr="00483937">
        <w:t xml:space="preserve"> </w:t>
      </w:r>
    </w:p>
    <w:p w14:paraId="63BDB1BC" w14:textId="77777777" w:rsidR="00E40A1B" w:rsidRPr="00301167" w:rsidRDefault="00E40A1B" w:rsidP="00EE66DA">
      <w:pPr>
        <w:pStyle w:val="BodyTextMain"/>
        <w:rPr>
          <w:szCs w:val="20"/>
        </w:rPr>
      </w:pPr>
    </w:p>
    <w:p w14:paraId="7F585AA0" w14:textId="77777777" w:rsidR="00E40A1B" w:rsidRDefault="00E40A1B" w:rsidP="00EE66DA">
      <w:pPr>
        <w:pStyle w:val="BodyTextMain"/>
        <w:rPr>
          <w:szCs w:val="20"/>
        </w:rPr>
      </w:pPr>
    </w:p>
    <w:p w14:paraId="631DB535" w14:textId="77777777" w:rsidR="00301167" w:rsidRDefault="00301167" w:rsidP="00EE66DA">
      <w:pPr>
        <w:pStyle w:val="BodyTextMain"/>
        <w:rPr>
          <w:szCs w:val="20"/>
        </w:rPr>
      </w:pPr>
    </w:p>
    <w:p w14:paraId="05BD9995" w14:textId="77777777" w:rsidR="00301167" w:rsidRPr="00301167" w:rsidRDefault="00301167" w:rsidP="00EE66DA">
      <w:pPr>
        <w:pStyle w:val="BodyTextMain"/>
        <w:rPr>
          <w:szCs w:val="20"/>
        </w:rPr>
      </w:pPr>
    </w:p>
    <w:p w14:paraId="7B99AA73" w14:textId="77777777" w:rsidR="00E40A1B" w:rsidRPr="00483937" w:rsidRDefault="00E40A1B" w:rsidP="00F524F1">
      <w:pPr>
        <w:pStyle w:val="Casehead2"/>
        <w:outlineLvl w:val="0"/>
      </w:pPr>
      <w:r w:rsidRPr="00483937">
        <w:lastRenderedPageBreak/>
        <w:t>Team and Organizational Practices</w:t>
      </w:r>
    </w:p>
    <w:p w14:paraId="512D0792" w14:textId="77777777" w:rsidR="00E40A1B" w:rsidRPr="009A6788" w:rsidRDefault="00E40A1B" w:rsidP="00EE66DA">
      <w:pPr>
        <w:pStyle w:val="BodyTextMain"/>
        <w:rPr>
          <w:sz w:val="20"/>
          <w:szCs w:val="20"/>
        </w:rPr>
      </w:pPr>
    </w:p>
    <w:p w14:paraId="27EA9B8B" w14:textId="0AE8797A" w:rsidR="00E40A1B" w:rsidRDefault="00E40A1B" w:rsidP="00EE66DA">
      <w:pPr>
        <w:pStyle w:val="BodyTextMain"/>
      </w:pPr>
      <w:r w:rsidRPr="00483937">
        <w:t xml:space="preserve">Organizational practice tools like </w:t>
      </w:r>
      <w:r>
        <w:t>s</w:t>
      </w:r>
      <w:r w:rsidRPr="00483937">
        <w:t xml:space="preserve">hared </w:t>
      </w:r>
      <w:r>
        <w:t>v</w:t>
      </w:r>
      <w:r w:rsidRPr="00483937">
        <w:t xml:space="preserve">alues </w:t>
      </w:r>
      <w:r>
        <w:t>m</w:t>
      </w:r>
      <w:r w:rsidRPr="00483937">
        <w:t>anagement</w:t>
      </w:r>
      <w:r w:rsidRPr="00483937">
        <w:rPr>
          <w:sz w:val="24"/>
          <w:szCs w:val="24"/>
        </w:rPr>
        <w:t xml:space="preserve"> and </w:t>
      </w:r>
      <w:bookmarkStart w:id="50" w:name="OLE_LINK16"/>
      <w:bookmarkStart w:id="51" w:name="OLE_LINK17"/>
      <w:r w:rsidRPr="00483937">
        <w:t>Barrett</w:t>
      </w:r>
      <w:r>
        <w:t>’s Seven Levels Model</w:t>
      </w:r>
      <w:r w:rsidRPr="00483937">
        <w:rPr>
          <w:rStyle w:val="FootnoteReference"/>
          <w:color w:val="222222"/>
        </w:rPr>
        <w:footnoteReference w:id="17"/>
      </w:r>
      <w:r w:rsidRPr="00483937">
        <w:t xml:space="preserve"> </w:t>
      </w:r>
      <w:bookmarkEnd w:id="50"/>
      <w:bookmarkEnd w:id="51"/>
      <w:r>
        <w:t>were</w:t>
      </w:r>
      <w:r w:rsidRPr="00483937">
        <w:t xml:space="preserve"> significant tools that could be used at the organizational level. </w:t>
      </w:r>
    </w:p>
    <w:p w14:paraId="2573AD6F" w14:textId="77777777" w:rsidR="00E40A1B" w:rsidRPr="009A6788" w:rsidRDefault="00E40A1B" w:rsidP="00EE66DA">
      <w:pPr>
        <w:pStyle w:val="BodyTextMain"/>
        <w:rPr>
          <w:sz w:val="20"/>
          <w:szCs w:val="20"/>
        </w:rPr>
      </w:pPr>
    </w:p>
    <w:p w14:paraId="49347C35" w14:textId="254B7274" w:rsidR="00E40A1B" w:rsidRDefault="00E40A1B" w:rsidP="00EE66DA">
      <w:pPr>
        <w:pStyle w:val="BodyTextMain"/>
      </w:pPr>
      <w:r w:rsidRPr="00483937">
        <w:t>Barrett</w:t>
      </w:r>
      <w:r>
        <w:t>’s Seven Levels Model</w:t>
      </w:r>
      <w:r w:rsidRPr="00483937">
        <w:t xml:space="preserve"> was a framework to help individuals, teams</w:t>
      </w:r>
      <w:r>
        <w:t>,</w:t>
      </w:r>
      <w:r w:rsidRPr="00483937">
        <w:t xml:space="preserve"> and organizations identify and clarify how they could develop and grow. Seven levels of personal consciousness, organizational consciousness</w:t>
      </w:r>
      <w:r>
        <w:t>,</w:t>
      </w:r>
      <w:r w:rsidRPr="00483937">
        <w:t xml:space="preserve"> or leadership consciousness could be embedded into the framework (see Exhibit </w:t>
      </w:r>
      <w:r>
        <w:t>6</w:t>
      </w:r>
      <w:r w:rsidRPr="00483937">
        <w:t>).</w:t>
      </w:r>
      <w:bookmarkStart w:id="52" w:name="OLE_LINK110"/>
      <w:bookmarkStart w:id="53" w:name="OLE_LINK111"/>
      <w:r w:rsidRPr="00483937">
        <w:rPr>
          <w:rStyle w:val="FootnoteReference"/>
          <w:color w:val="222222"/>
        </w:rPr>
        <w:footnoteReference w:id="18"/>
      </w:r>
      <w:bookmarkEnd w:id="52"/>
      <w:bookmarkEnd w:id="53"/>
    </w:p>
    <w:p w14:paraId="466A5AEA" w14:textId="77777777" w:rsidR="001E0430" w:rsidRPr="009A6788" w:rsidRDefault="001E0430" w:rsidP="00EE66DA">
      <w:pPr>
        <w:pStyle w:val="BodyTextMain"/>
        <w:rPr>
          <w:sz w:val="20"/>
          <w:szCs w:val="20"/>
        </w:rPr>
      </w:pPr>
    </w:p>
    <w:p w14:paraId="520C41D9" w14:textId="7F4EF6B9" w:rsidR="001E0430" w:rsidRDefault="001E0430" w:rsidP="00EE66DA">
      <w:pPr>
        <w:pStyle w:val="BodyTextMain"/>
      </w:pPr>
      <w:r w:rsidRPr="00483937">
        <w:t xml:space="preserve">Shared </w:t>
      </w:r>
      <w:r>
        <w:t>v</w:t>
      </w:r>
      <w:r w:rsidRPr="00483937">
        <w:t xml:space="preserve">alues </w:t>
      </w:r>
      <w:r>
        <w:t>m</w:t>
      </w:r>
      <w:r w:rsidRPr="00483937">
        <w:t>anagement was used by Herman Miller,</w:t>
      </w:r>
      <w:r>
        <w:t xml:space="preserve"> Inc.,</w:t>
      </w:r>
      <w:r w:rsidRPr="00483937">
        <w:t xml:space="preserve"> a recognized innovator in contemporary interior furnishings</w:t>
      </w:r>
      <w:r>
        <w:t xml:space="preserve"> and</w:t>
      </w:r>
      <w:r w:rsidRPr="00483937">
        <w:t xml:space="preserve"> solutions for health</w:t>
      </w:r>
      <w:r>
        <w:t xml:space="preserve"> </w:t>
      </w:r>
      <w:r w:rsidRPr="00483937">
        <w:t>care environments and related technologies and services</w:t>
      </w:r>
      <w:r>
        <w:t>. Herman Miller introduced the process</w:t>
      </w:r>
      <w:r w:rsidR="00611795">
        <w:t xml:space="preserve"> after the company experienced</w:t>
      </w:r>
      <w:r w:rsidRPr="00483937">
        <w:t xml:space="preserve"> culture and value loss during rapid growth. The </w:t>
      </w:r>
      <w:r>
        <w:t>chief executive officer</w:t>
      </w:r>
      <w:r w:rsidRPr="00483937">
        <w:t xml:space="preserve"> responded </w:t>
      </w:r>
      <w:r>
        <w:t xml:space="preserve">to the loss </w:t>
      </w:r>
      <w:r w:rsidRPr="00483937">
        <w:t xml:space="preserve">by calling for renewed efforts to engage employees in the company </w:t>
      </w:r>
      <w:r>
        <w:t>and</w:t>
      </w:r>
      <w:r w:rsidRPr="00483937">
        <w:t xml:space="preserve"> help them understand and recognize the company’s culture and value. They worked in teams to define the core values.</w:t>
      </w:r>
      <w:r>
        <w:t xml:space="preserve"> </w:t>
      </w:r>
      <w:r w:rsidRPr="00483937">
        <w:t>This resulted in engaged employees and a return to</w:t>
      </w:r>
      <w:r>
        <w:t xml:space="preserve"> the company’s founding values.</w:t>
      </w:r>
    </w:p>
    <w:p w14:paraId="2C6B7015" w14:textId="77777777" w:rsidR="001E0430" w:rsidRPr="009A6788" w:rsidRDefault="001E0430" w:rsidP="00EE66DA">
      <w:pPr>
        <w:pStyle w:val="BodyTextMain"/>
        <w:rPr>
          <w:sz w:val="20"/>
          <w:szCs w:val="20"/>
        </w:rPr>
      </w:pPr>
    </w:p>
    <w:p w14:paraId="47884760" w14:textId="098D1CA3" w:rsidR="001E0430" w:rsidRPr="00483937" w:rsidRDefault="001E0430" w:rsidP="00EE66DA">
      <w:pPr>
        <w:pStyle w:val="BodyTextMain"/>
      </w:pPr>
      <w:r w:rsidRPr="00F52042">
        <w:t>Would those reflective practices and principles also be successful at consulting firms? Should Centric Cleveland take a programmatic approach or should caring be embedded in the culture by leadership? What would attract the next generation work force? What else could consulting firms do to attract and encourage employees? What kind of culture or individual reflective practices would help to improve employees’ efficiency and well-being in the short and long</w:t>
      </w:r>
      <w:r w:rsidR="00E02DA0">
        <w:t xml:space="preserve"> </w:t>
      </w:r>
      <w:r w:rsidRPr="00F52042">
        <w:t>terms? After hiring the right employees, what else could companies do to encourage and support these employees’ well-being so they stayed with the company? Could they proactively apply this organizational practice tool so they stayed on course and didn’t risk losing their strong culture?</w:t>
      </w:r>
    </w:p>
    <w:p w14:paraId="522717D3" w14:textId="77777777" w:rsidR="001E0430" w:rsidRPr="009A6788" w:rsidRDefault="001E0430" w:rsidP="00EE66DA">
      <w:pPr>
        <w:pStyle w:val="BodyTextMain"/>
        <w:rPr>
          <w:sz w:val="20"/>
          <w:szCs w:val="20"/>
        </w:rPr>
      </w:pPr>
    </w:p>
    <w:p w14:paraId="40C9CD59" w14:textId="77777777" w:rsidR="001E0430" w:rsidRPr="009A6788" w:rsidRDefault="001E0430" w:rsidP="00EE66DA">
      <w:pPr>
        <w:pStyle w:val="BodyTextMain"/>
        <w:rPr>
          <w:sz w:val="20"/>
          <w:szCs w:val="20"/>
        </w:rPr>
      </w:pPr>
    </w:p>
    <w:p w14:paraId="18D7A50D" w14:textId="77777777" w:rsidR="001E0430" w:rsidRPr="00483937" w:rsidRDefault="001E0430" w:rsidP="00345FB4">
      <w:pPr>
        <w:pStyle w:val="Casehead1"/>
        <w:keepNext/>
        <w:outlineLvl w:val="0"/>
      </w:pPr>
      <w:r w:rsidRPr="00483937">
        <w:t>CHALLENGES AHEAD</w:t>
      </w:r>
    </w:p>
    <w:p w14:paraId="23E3B5C5" w14:textId="77777777" w:rsidR="001E0430" w:rsidRPr="009A6788" w:rsidRDefault="001E0430" w:rsidP="00345FB4">
      <w:pPr>
        <w:pStyle w:val="BodyTextMain"/>
        <w:keepNext/>
        <w:rPr>
          <w:sz w:val="20"/>
          <w:szCs w:val="20"/>
        </w:rPr>
      </w:pPr>
    </w:p>
    <w:p w14:paraId="71C11C6E" w14:textId="6DF9904B" w:rsidR="001E0430" w:rsidRPr="00483937" w:rsidRDefault="001E0430" w:rsidP="00EE66DA">
      <w:pPr>
        <w:pStyle w:val="BodyTextMain"/>
      </w:pPr>
      <w:r w:rsidRPr="00483937">
        <w:t>Centric Consulting’s national leadership team showed ambitious passion: “We want to be here in 100 years.”</w:t>
      </w:r>
      <w:r>
        <w:t xml:space="preserve"> </w:t>
      </w:r>
      <w:r w:rsidRPr="00483937">
        <w:t xml:space="preserve">As </w:t>
      </w:r>
      <w:r>
        <w:t xml:space="preserve">leaders of </w:t>
      </w:r>
      <w:r w:rsidRPr="00483937">
        <w:t>a young firm</w:t>
      </w:r>
      <w:r>
        <w:t>,</w:t>
      </w:r>
      <w:r w:rsidRPr="00483937">
        <w:t xml:space="preserve"> they were determined to sustain their positive business model and culture. With confidence in a bright future for Centric Cleveland, leaders w</w:t>
      </w:r>
      <w:r>
        <w:t>ere</w:t>
      </w:r>
      <w:r w:rsidRPr="00483937">
        <w:t xml:space="preserve"> also determined that the </w:t>
      </w:r>
      <w:r>
        <w:t>business unit</w:t>
      </w:r>
      <w:r w:rsidRPr="00483937">
        <w:t xml:space="preserve"> would continue to be a positive impact on their employees, clients</w:t>
      </w:r>
      <w:r>
        <w:t>,</w:t>
      </w:r>
      <w:r w:rsidRPr="00483937">
        <w:t xml:space="preserve"> and the community. What’s more, they wanted to gain more understanding of their future path and strategies. </w:t>
      </w:r>
    </w:p>
    <w:p w14:paraId="186CAE4F" w14:textId="77777777" w:rsidR="001E0430" w:rsidRPr="009A6788" w:rsidRDefault="001E0430" w:rsidP="00EE66DA">
      <w:pPr>
        <w:pStyle w:val="BodyTextMain"/>
        <w:rPr>
          <w:sz w:val="20"/>
          <w:szCs w:val="20"/>
        </w:rPr>
      </w:pPr>
    </w:p>
    <w:p w14:paraId="1C67DA67" w14:textId="57B1F35B" w:rsidR="001E0430" w:rsidRPr="00483937" w:rsidRDefault="001E0430" w:rsidP="00EE66DA">
      <w:pPr>
        <w:pStyle w:val="BodyTextMain"/>
      </w:pPr>
      <w:r w:rsidRPr="00483937">
        <w:t>Centric Cleveland’s consultants recognized the brilliant culture and, for many of them, the culture was part of their attraction to the company.</w:t>
      </w:r>
      <w:r>
        <w:t xml:space="preserve"> </w:t>
      </w:r>
      <w:r w:rsidRPr="00483937">
        <w:t>In the near future, Centric Cleveland would be hiring more consultants.</w:t>
      </w:r>
      <w:r>
        <w:t xml:space="preserve"> Bracy was certain that culture would be important to its future development and he wanted to stay ahead of the curve, differentiating the culture in a way that would attract the newest generation of employees while staying authentic to </w:t>
      </w:r>
      <w:proofErr w:type="spellStart"/>
      <w:r>
        <w:t>Centric’s</w:t>
      </w:r>
      <w:proofErr w:type="spellEnd"/>
      <w:r>
        <w:t xml:space="preserve"> core values. </w:t>
      </w:r>
    </w:p>
    <w:p w14:paraId="573262C1" w14:textId="77777777" w:rsidR="001E0430" w:rsidRPr="00483937" w:rsidRDefault="001E0430" w:rsidP="00EE66DA">
      <w:pPr>
        <w:pStyle w:val="BodyTextMain"/>
      </w:pPr>
    </w:p>
    <w:p w14:paraId="43036EF0" w14:textId="1A217A1F" w:rsidR="001E0430" w:rsidRPr="00483937" w:rsidRDefault="001E0430" w:rsidP="00EE66DA">
      <w:pPr>
        <w:pStyle w:val="BodyTextMain"/>
      </w:pPr>
      <w:r w:rsidRPr="00483937">
        <w:t>Some from Centric Cleveland believed that clearly defined programs, such as yoga classes and weight loss programs</w:t>
      </w:r>
      <w:r>
        <w:t>,</w:t>
      </w:r>
      <w:r w:rsidRPr="00483937">
        <w:t xml:space="preserve"> would help employees and prospective employees recognize the culture at the company. But would employees engage in such a structured approach if it came to be seen as only programmatic rather than </w:t>
      </w:r>
      <w:r>
        <w:t xml:space="preserve">a culture </w:t>
      </w:r>
      <w:r w:rsidRPr="00483937">
        <w:t xml:space="preserve">fully supported by leadership behaviour at every level of the organization? Others felt that </w:t>
      </w:r>
      <w:r w:rsidRPr="00483937">
        <w:lastRenderedPageBreak/>
        <w:t>Centric</w:t>
      </w:r>
      <w:r>
        <w:t xml:space="preserve"> Cleveland</w:t>
      </w:r>
      <w:r w:rsidRPr="00483937">
        <w:t>’s culture was organic.</w:t>
      </w:r>
      <w:r>
        <w:t xml:space="preserve"> </w:t>
      </w:r>
      <w:r w:rsidRPr="00483937">
        <w:t>They appreciated that each employee could partake in the culture in their own way; it was the freedom and possibilities that made their culture sustainable.</w:t>
      </w:r>
    </w:p>
    <w:p w14:paraId="5BCA3B8B" w14:textId="77777777" w:rsidR="00990E9D" w:rsidRPr="009A6788" w:rsidRDefault="00990E9D" w:rsidP="00EE66DA">
      <w:pPr>
        <w:pStyle w:val="BodyTextMain"/>
        <w:rPr>
          <w:sz w:val="20"/>
        </w:rPr>
      </w:pPr>
    </w:p>
    <w:p w14:paraId="363828F7" w14:textId="247D6C6D" w:rsidR="00840BDE" w:rsidRDefault="008B6D19" w:rsidP="00EE66DA">
      <w:pPr>
        <w:pStyle w:val="BodyTextMain"/>
      </w:pPr>
      <w:r>
        <w:t>Bracy knew he couldn’t answer the culture question in the short amount of time before his next meeting</w:t>
      </w:r>
      <w:r w:rsidR="0001492C">
        <w:t>,</w:t>
      </w:r>
      <w:r w:rsidR="00977DDD">
        <w:t xml:space="preserve"> but he looked forward to hearing the perspectives of potential new hires at the </w:t>
      </w:r>
      <w:r w:rsidR="0001492C">
        <w:t>c</w:t>
      </w:r>
      <w:r w:rsidR="00977DDD">
        <w:t xml:space="preserve">areer </w:t>
      </w:r>
      <w:r w:rsidR="0001492C">
        <w:t>f</w:t>
      </w:r>
      <w:r w:rsidR="00977DDD">
        <w:t xml:space="preserve">air panel. </w:t>
      </w:r>
      <w:r w:rsidR="00A866C2">
        <w:t>Bracy’s</w:t>
      </w:r>
      <w:r w:rsidR="00A866C2" w:rsidRPr="00483937">
        <w:t xml:space="preserve"> </w:t>
      </w:r>
      <w:r w:rsidR="00924A6F" w:rsidRPr="00483937">
        <w:t>thoughts drifted back to the days of 2010 when, attracted by Centric</w:t>
      </w:r>
      <w:r w:rsidR="00BA5A9C">
        <w:t xml:space="preserve"> Cleveland</w:t>
      </w:r>
      <w:r w:rsidR="00924A6F" w:rsidRPr="00483937">
        <w:t xml:space="preserve">’s awesome culture, he had joined the team. Centric Cleveland had been very young at that time; in fact, Bracy was one of the first eight employees. He was impressed by the rapid growth of the </w:t>
      </w:r>
      <w:r w:rsidR="00840BDE">
        <w:t>business unit</w:t>
      </w:r>
      <w:r w:rsidR="00924A6F" w:rsidRPr="00483937">
        <w:t xml:space="preserve">; </w:t>
      </w:r>
      <w:r w:rsidR="0001492C">
        <w:t>it</w:t>
      </w:r>
      <w:r w:rsidR="0001492C" w:rsidRPr="00483937">
        <w:t xml:space="preserve"> </w:t>
      </w:r>
      <w:r w:rsidR="00924A6F" w:rsidRPr="00483937">
        <w:t>now had approximately 40 employees. Meanwhile, he couldn’t ignore the rapidly changing business environment.</w:t>
      </w:r>
      <w:r w:rsidR="00DB58F5">
        <w:t xml:space="preserve"> </w:t>
      </w:r>
      <w:r w:rsidR="00924A6F" w:rsidRPr="00483937">
        <w:t>He thought about the expectations new hires were bringing to the table</w:t>
      </w:r>
      <w:r w:rsidR="00FA60F3">
        <w:t>. T</w:t>
      </w:r>
      <w:r w:rsidR="00924A6F" w:rsidRPr="00483937">
        <w:t>here was an obvious switch away from an exclusive focus on profit, personal income</w:t>
      </w:r>
      <w:r w:rsidR="00FA60F3">
        <w:t>,</w:t>
      </w:r>
      <w:r w:rsidR="00924A6F" w:rsidRPr="00483937">
        <w:t xml:space="preserve"> and reward.</w:t>
      </w:r>
      <w:r w:rsidR="00DB58F5">
        <w:t xml:space="preserve"> </w:t>
      </w:r>
    </w:p>
    <w:p w14:paraId="42D881C5" w14:textId="77777777" w:rsidR="00840BDE" w:rsidRPr="009A6788" w:rsidRDefault="00840BDE" w:rsidP="00611795">
      <w:pPr>
        <w:pStyle w:val="BodyTextMain"/>
      </w:pPr>
    </w:p>
    <w:p w14:paraId="3E0CD0C4" w14:textId="1A4318DA" w:rsidR="00927A31" w:rsidRPr="00F3723C" w:rsidRDefault="00927A31" w:rsidP="00611795">
      <w:pPr>
        <w:pStyle w:val="BodyTextMain"/>
        <w:rPr>
          <w:lang w:val="en-US"/>
        </w:rPr>
      </w:pPr>
      <w:bookmarkStart w:id="57" w:name="OLE_LINK114"/>
      <w:bookmarkStart w:id="58" w:name="OLE_LINK115"/>
      <w:r w:rsidRPr="00F3723C">
        <w:rPr>
          <w:lang w:val="en-US"/>
        </w:rPr>
        <w:t xml:space="preserve">As a leader at Centric Cleveland, Bracy pondered what Centric needed to do to keep its current culture alive and attractive in a </w:t>
      </w:r>
      <w:r w:rsidR="00977DDD">
        <w:rPr>
          <w:lang w:val="en-US"/>
        </w:rPr>
        <w:t xml:space="preserve">fast-moving, </w:t>
      </w:r>
      <w:r w:rsidRPr="00F3723C">
        <w:rPr>
          <w:lang w:val="en-US"/>
        </w:rPr>
        <w:t>changing environment.</w:t>
      </w:r>
    </w:p>
    <w:p w14:paraId="0CB1C06E" w14:textId="77777777" w:rsidR="00927A31" w:rsidRPr="009A6788" w:rsidRDefault="00927A31" w:rsidP="00611795">
      <w:pPr>
        <w:pStyle w:val="BodyTextMain"/>
        <w:rPr>
          <w:lang w:val="en-US"/>
        </w:rPr>
      </w:pPr>
    </w:p>
    <w:p w14:paraId="1A2FF702" w14:textId="1B1D23F0" w:rsidR="00927A31" w:rsidRPr="00F3723C" w:rsidRDefault="00927A31" w:rsidP="00611795">
      <w:pPr>
        <w:pStyle w:val="BodyTextMain"/>
        <w:rPr>
          <w:lang w:val="en-US"/>
        </w:rPr>
      </w:pPr>
      <w:r w:rsidRPr="00F3723C">
        <w:rPr>
          <w:lang w:val="en-US"/>
        </w:rPr>
        <w:t xml:space="preserve">How could </w:t>
      </w:r>
      <w:r w:rsidR="0001492C">
        <w:rPr>
          <w:lang w:val="en-US"/>
        </w:rPr>
        <w:t>it</w:t>
      </w:r>
      <w:r w:rsidR="0001492C" w:rsidRPr="00F3723C">
        <w:rPr>
          <w:lang w:val="en-US"/>
        </w:rPr>
        <w:t xml:space="preserve"> </w:t>
      </w:r>
      <w:r w:rsidRPr="00F3723C">
        <w:rPr>
          <w:lang w:val="en-US"/>
        </w:rPr>
        <w:t xml:space="preserve">minimize the gap between employees of the new generation and the former generations? How could Centric </w:t>
      </w:r>
      <w:r>
        <w:rPr>
          <w:lang w:val="en-US"/>
        </w:rPr>
        <w:t xml:space="preserve">Cleveland </w:t>
      </w:r>
      <w:r w:rsidRPr="00F3723C">
        <w:rPr>
          <w:lang w:val="en-US"/>
        </w:rPr>
        <w:t>i</w:t>
      </w:r>
      <w:r w:rsidR="00F3723C">
        <w:rPr>
          <w:lang w:val="en-US"/>
        </w:rPr>
        <w:t>ncorporate the expectations of millennials and g</w:t>
      </w:r>
      <w:r w:rsidRPr="00F3723C">
        <w:rPr>
          <w:lang w:val="en-US"/>
        </w:rPr>
        <w:t>eneration Z to improve and polish the culture, making it more adaptable to the changing business environment?</w:t>
      </w:r>
    </w:p>
    <w:p w14:paraId="3D23C04C" w14:textId="77777777" w:rsidR="00927A31" w:rsidRPr="009A6788" w:rsidRDefault="00927A31" w:rsidP="00611795">
      <w:pPr>
        <w:pStyle w:val="BodyTextMain"/>
        <w:rPr>
          <w:lang w:val="en-US"/>
        </w:rPr>
      </w:pPr>
    </w:p>
    <w:p w14:paraId="65C3DA6F" w14:textId="47F85F44" w:rsidR="007D78D2" w:rsidRDefault="00927A31" w:rsidP="00611795">
      <w:pPr>
        <w:pStyle w:val="BodyTextMain"/>
        <w:rPr>
          <w:lang w:val="en-US"/>
        </w:rPr>
      </w:pPr>
      <w:r w:rsidRPr="00F3723C">
        <w:rPr>
          <w:lang w:val="en-US"/>
        </w:rPr>
        <w:t xml:space="preserve">How could Centric </w:t>
      </w:r>
      <w:r>
        <w:rPr>
          <w:lang w:val="en-US"/>
        </w:rPr>
        <w:t xml:space="preserve">Cleveland </w:t>
      </w:r>
      <w:r w:rsidRPr="00F3723C">
        <w:rPr>
          <w:lang w:val="en-US"/>
        </w:rPr>
        <w:t xml:space="preserve">make </w:t>
      </w:r>
      <w:r w:rsidR="0001492C">
        <w:rPr>
          <w:lang w:val="en-US"/>
        </w:rPr>
        <w:t>its</w:t>
      </w:r>
      <w:r w:rsidR="0001492C" w:rsidRPr="00F3723C">
        <w:rPr>
          <w:lang w:val="en-US"/>
        </w:rPr>
        <w:t xml:space="preserve"> </w:t>
      </w:r>
      <w:r w:rsidRPr="00F3723C">
        <w:rPr>
          <w:lang w:val="en-US"/>
        </w:rPr>
        <w:t xml:space="preserve">culture stronger as </w:t>
      </w:r>
      <w:r w:rsidR="0001492C">
        <w:rPr>
          <w:lang w:val="en-US"/>
        </w:rPr>
        <w:t>it</w:t>
      </w:r>
      <w:r w:rsidR="0001492C" w:rsidRPr="00F3723C">
        <w:rPr>
          <w:lang w:val="en-US"/>
        </w:rPr>
        <w:t xml:space="preserve"> </w:t>
      </w:r>
      <w:r w:rsidRPr="00F3723C">
        <w:rPr>
          <w:lang w:val="en-US"/>
        </w:rPr>
        <w:t xml:space="preserve">grew? Should </w:t>
      </w:r>
      <w:r w:rsidR="0001492C">
        <w:rPr>
          <w:lang w:val="en-US"/>
        </w:rPr>
        <w:t>it</w:t>
      </w:r>
      <w:r w:rsidR="0001492C" w:rsidRPr="00F3723C">
        <w:rPr>
          <w:lang w:val="en-US"/>
        </w:rPr>
        <w:t xml:space="preserve"> </w:t>
      </w:r>
      <w:r w:rsidRPr="00F3723C">
        <w:rPr>
          <w:lang w:val="en-US"/>
        </w:rPr>
        <w:t xml:space="preserve">incorporate proven wellness tools and practices to encourage employees and organizations to flourish? Or should </w:t>
      </w:r>
      <w:r w:rsidR="0001492C">
        <w:rPr>
          <w:lang w:val="en-US"/>
        </w:rPr>
        <w:t>it</w:t>
      </w:r>
      <w:r w:rsidR="0001492C" w:rsidRPr="00F3723C">
        <w:rPr>
          <w:lang w:val="en-US"/>
        </w:rPr>
        <w:t xml:space="preserve"> </w:t>
      </w:r>
      <w:r w:rsidRPr="00F3723C">
        <w:rPr>
          <w:lang w:val="en-US"/>
        </w:rPr>
        <w:t>cultivate soft lea</w:t>
      </w:r>
      <w:r w:rsidR="007D78D2">
        <w:rPr>
          <w:lang w:val="en-US"/>
        </w:rPr>
        <w:t xml:space="preserve">dership </w:t>
      </w:r>
      <w:proofErr w:type="spellStart"/>
      <w:r w:rsidR="007D78D2">
        <w:rPr>
          <w:lang w:val="en-US"/>
        </w:rPr>
        <w:t>behaviour</w:t>
      </w:r>
      <w:proofErr w:type="spellEnd"/>
      <w:r w:rsidR="007D78D2">
        <w:rPr>
          <w:lang w:val="en-US"/>
        </w:rPr>
        <w:t xml:space="preserve"> and support</w:t>
      </w:r>
      <w:r w:rsidRPr="00F3723C">
        <w:rPr>
          <w:lang w:val="en-US"/>
        </w:rPr>
        <w:t xml:space="preserve"> the existing culture?</w:t>
      </w:r>
    </w:p>
    <w:p w14:paraId="7A706CD9" w14:textId="77777777" w:rsidR="007D78D2" w:rsidRPr="009A6788" w:rsidRDefault="007D78D2" w:rsidP="007D78D2">
      <w:pPr>
        <w:pStyle w:val="CommentText"/>
        <w:rPr>
          <w:szCs w:val="18"/>
          <w:lang w:val="en-US"/>
        </w:rPr>
      </w:pPr>
    </w:p>
    <w:p w14:paraId="1FFF989E" w14:textId="47AF686A" w:rsidR="00177CB0" w:rsidRPr="007D78D2" w:rsidRDefault="00927A31" w:rsidP="007D78D2">
      <w:pPr>
        <w:pStyle w:val="BodyTextMain"/>
      </w:pPr>
      <w:r w:rsidRPr="00927A31">
        <w:t>Many firms were upping their culture game. How could Bracy avoid having Centric</w:t>
      </w:r>
      <w:r>
        <w:t xml:space="preserve"> Cleveland</w:t>
      </w:r>
      <w:r w:rsidRPr="00927A31">
        <w:t xml:space="preserve">’s culture become stale or the same as what other companies were doing? How could </w:t>
      </w:r>
      <w:r w:rsidR="0001492C">
        <w:t>he</w:t>
      </w:r>
      <w:r w:rsidR="0001492C" w:rsidRPr="00927A31">
        <w:t xml:space="preserve"> </w:t>
      </w:r>
      <w:r w:rsidRPr="00927A31">
        <w:t>keep Centric</w:t>
      </w:r>
      <w:r>
        <w:t xml:space="preserve"> Cleveland</w:t>
      </w:r>
      <w:r w:rsidRPr="00927A31">
        <w:t>’s culture as a unique source of competitive advantage?</w:t>
      </w:r>
      <w:bookmarkEnd w:id="57"/>
      <w:bookmarkEnd w:id="58"/>
      <w:r w:rsidR="00177CB0" w:rsidRPr="00483937">
        <w:br w:type="page"/>
      </w:r>
    </w:p>
    <w:p w14:paraId="196BD0F6" w14:textId="503D42F6" w:rsidR="004719E8" w:rsidRDefault="00DB58F5" w:rsidP="00F524F1">
      <w:pPr>
        <w:pStyle w:val="ExhibitHeading"/>
        <w:outlineLvl w:val="0"/>
      </w:pPr>
      <w:r>
        <w:lastRenderedPageBreak/>
        <w:t>Exhibit 1: About CENTRIC</w:t>
      </w:r>
      <w:r w:rsidR="00117827">
        <w:t xml:space="preserve"> Consulting</w:t>
      </w:r>
      <w:r w:rsidR="004E33F7">
        <w:t>, WEBSITE EXCERPTS</w:t>
      </w:r>
    </w:p>
    <w:p w14:paraId="32429C6D" w14:textId="77777777" w:rsidR="00DB58F5" w:rsidRPr="00483937" w:rsidRDefault="00DB58F5" w:rsidP="00DB58F5">
      <w:pPr>
        <w:pStyle w:val="ExhibitHeading"/>
      </w:pPr>
    </w:p>
    <w:p w14:paraId="583C3838" w14:textId="03DE7B54" w:rsidR="00FD1E2A" w:rsidRPr="00483937" w:rsidRDefault="00FD1E2A" w:rsidP="004719E8">
      <w:pPr>
        <w:pStyle w:val="ExhibitText"/>
        <w:rPr>
          <w:highlight w:val="white"/>
        </w:rPr>
      </w:pPr>
      <w:r w:rsidRPr="00483937">
        <w:rPr>
          <w:highlight w:val="white"/>
        </w:rPr>
        <w:t>Centric was founded because we wanted to be different in the way we approached relationships with our clients, people, families</w:t>
      </w:r>
      <w:r w:rsidR="00FA60F3">
        <w:rPr>
          <w:highlight w:val="white"/>
        </w:rPr>
        <w:t>,</w:t>
      </w:r>
      <w:r w:rsidRPr="00483937">
        <w:rPr>
          <w:highlight w:val="white"/>
        </w:rPr>
        <w:t xml:space="preserve"> and community.</w:t>
      </w:r>
    </w:p>
    <w:p w14:paraId="1945A7CB" w14:textId="77777777" w:rsidR="004719E8" w:rsidRPr="00483937" w:rsidRDefault="004719E8" w:rsidP="004719E8">
      <w:pPr>
        <w:pStyle w:val="ExhibitText"/>
        <w:rPr>
          <w:highlight w:val="white"/>
        </w:rPr>
      </w:pPr>
    </w:p>
    <w:p w14:paraId="2042DC5B" w14:textId="4D1471D8" w:rsidR="00FD1E2A" w:rsidRPr="00483937" w:rsidRDefault="00FD1E2A" w:rsidP="004719E8">
      <w:pPr>
        <w:pStyle w:val="ExhibitText"/>
        <w:numPr>
          <w:ilvl w:val="0"/>
          <w:numId w:val="33"/>
        </w:numPr>
        <w:rPr>
          <w:highlight w:val="white"/>
        </w:rPr>
      </w:pPr>
      <w:r w:rsidRPr="00483937">
        <w:rPr>
          <w:highlight w:val="white"/>
        </w:rPr>
        <w:t>Our highest priority is building lifelong relationships with clients based on trust, respect</w:t>
      </w:r>
      <w:r w:rsidR="00C22A4C">
        <w:rPr>
          <w:highlight w:val="white"/>
        </w:rPr>
        <w:t>,</w:t>
      </w:r>
      <w:r w:rsidRPr="00483937">
        <w:rPr>
          <w:highlight w:val="white"/>
        </w:rPr>
        <w:t xml:space="preserve"> and collaboration. </w:t>
      </w:r>
    </w:p>
    <w:p w14:paraId="400C5F15" w14:textId="77777777" w:rsidR="00FD1E2A" w:rsidRPr="00483937" w:rsidRDefault="00FD1E2A" w:rsidP="004719E8">
      <w:pPr>
        <w:pStyle w:val="ExhibitText"/>
        <w:numPr>
          <w:ilvl w:val="0"/>
          <w:numId w:val="33"/>
        </w:numPr>
        <w:rPr>
          <w:highlight w:val="white"/>
        </w:rPr>
      </w:pPr>
      <w:r w:rsidRPr="00483937">
        <w:rPr>
          <w:highlight w:val="white"/>
        </w:rPr>
        <w:t xml:space="preserve">We invest in our talented team and support their well-being by keeping them challenged and inspired. </w:t>
      </w:r>
    </w:p>
    <w:p w14:paraId="35A8822B" w14:textId="77777777" w:rsidR="00FD1E2A" w:rsidRPr="00483937" w:rsidRDefault="00FD1E2A" w:rsidP="004719E8">
      <w:pPr>
        <w:pStyle w:val="ExhibitText"/>
        <w:numPr>
          <w:ilvl w:val="0"/>
          <w:numId w:val="33"/>
        </w:numPr>
        <w:rPr>
          <w:highlight w:val="white"/>
        </w:rPr>
      </w:pPr>
      <w:r w:rsidRPr="00483937">
        <w:rPr>
          <w:highlight w:val="white"/>
        </w:rPr>
        <w:t xml:space="preserve">Our localized company structure allows us to play very active roles in the lives of our families. </w:t>
      </w:r>
    </w:p>
    <w:p w14:paraId="1C9687C9" w14:textId="77777777" w:rsidR="00FD1E2A" w:rsidRPr="00483937" w:rsidRDefault="00FD1E2A" w:rsidP="004719E8">
      <w:pPr>
        <w:pStyle w:val="ExhibitText"/>
        <w:numPr>
          <w:ilvl w:val="0"/>
          <w:numId w:val="33"/>
        </w:numPr>
        <w:rPr>
          <w:highlight w:val="white"/>
        </w:rPr>
      </w:pPr>
      <w:r w:rsidRPr="00483937">
        <w:rPr>
          <w:highlight w:val="white"/>
        </w:rPr>
        <w:t xml:space="preserve">We devote time, both personally and professionally, to making a positive difference through community service. </w:t>
      </w:r>
    </w:p>
    <w:p w14:paraId="55E3ED87" w14:textId="77777777" w:rsidR="00FD1E2A" w:rsidRPr="00483937" w:rsidRDefault="00FD1E2A" w:rsidP="004719E8">
      <w:pPr>
        <w:pStyle w:val="ExhibitText"/>
      </w:pPr>
    </w:p>
    <w:p w14:paraId="241C4723" w14:textId="703D9D34" w:rsidR="004719E8" w:rsidRPr="00483937" w:rsidRDefault="004719E8" w:rsidP="004719E8">
      <w:pPr>
        <w:pStyle w:val="Footnote"/>
      </w:pPr>
      <w:r w:rsidRPr="00483937">
        <w:t xml:space="preserve">Source: </w:t>
      </w:r>
      <w:r w:rsidR="00072152">
        <w:t xml:space="preserve">Centric Consulting, “Why </w:t>
      </w:r>
      <w:proofErr w:type="gramStart"/>
      <w:r w:rsidR="00072152">
        <w:t>We’re</w:t>
      </w:r>
      <w:proofErr w:type="gramEnd"/>
      <w:r w:rsidR="00072152">
        <w:t xml:space="preserve"> Here” in </w:t>
      </w:r>
      <w:r w:rsidR="00072152" w:rsidRPr="00345FB4">
        <w:rPr>
          <w:i/>
        </w:rPr>
        <w:t>Diversity &amp; Inclusion</w:t>
      </w:r>
      <w:r w:rsidR="00072152">
        <w:t xml:space="preserve"> (2012), accessed September 5, 2016, </w:t>
      </w:r>
      <w:r w:rsidR="00072152" w:rsidRPr="00072152">
        <w:t>http://centricconsulting.com/wp-content/uploads/2012/06/DI-One-Pager_121613.pdf</w:t>
      </w:r>
      <w:r w:rsidRPr="00483937">
        <w:t xml:space="preserve">. </w:t>
      </w:r>
    </w:p>
    <w:p w14:paraId="6BE1BD30" w14:textId="77777777" w:rsidR="004719E8" w:rsidRPr="00483937" w:rsidRDefault="004719E8" w:rsidP="004719E8">
      <w:pPr>
        <w:pStyle w:val="ExhibitText"/>
      </w:pPr>
    </w:p>
    <w:p w14:paraId="4E23D279" w14:textId="77777777" w:rsidR="00433A0B" w:rsidRPr="00483937" w:rsidRDefault="00433A0B" w:rsidP="004719E8">
      <w:pPr>
        <w:pStyle w:val="ExhibitText"/>
      </w:pPr>
    </w:p>
    <w:p w14:paraId="4F4E457F" w14:textId="7702984B" w:rsidR="00FD1E2A" w:rsidRPr="00483937" w:rsidRDefault="00FD1E2A" w:rsidP="00F524F1">
      <w:pPr>
        <w:pStyle w:val="ExhibitHeading"/>
        <w:outlineLvl w:val="0"/>
      </w:pPr>
      <w:r w:rsidRPr="00483937">
        <w:t>Exhibit 2</w:t>
      </w:r>
      <w:r w:rsidR="00DB58F5">
        <w:t xml:space="preserve">: </w:t>
      </w:r>
      <w:r w:rsidR="004E33F7">
        <w:t xml:space="preserve">ABOUT cENTRIC </w:t>
      </w:r>
      <w:r w:rsidR="00BA5A9C">
        <w:t>Cleveland</w:t>
      </w:r>
      <w:r w:rsidR="004E33F7">
        <w:t>, website excerpts</w:t>
      </w:r>
    </w:p>
    <w:p w14:paraId="08CCF54D" w14:textId="77777777" w:rsidR="004719E8" w:rsidRPr="00483937" w:rsidRDefault="004719E8" w:rsidP="004719E8">
      <w:pPr>
        <w:pStyle w:val="ExhibitHeading"/>
        <w:rPr>
          <w:rFonts w:ascii="Times New Roman" w:hAnsi="Times New Roman" w:cs="Times New Roman"/>
          <w:color w:val="222222"/>
        </w:rPr>
      </w:pPr>
    </w:p>
    <w:p w14:paraId="752AF1D6" w14:textId="06C4CAF5" w:rsidR="00117827" w:rsidRPr="00345FB4" w:rsidRDefault="00FD1E2A" w:rsidP="004719E8">
      <w:pPr>
        <w:pStyle w:val="ExhibitText"/>
        <w:rPr>
          <w:b/>
          <w:highlight w:val="white"/>
        </w:rPr>
      </w:pPr>
      <w:r w:rsidRPr="00345FB4">
        <w:rPr>
          <w:b/>
          <w:highlight w:val="white"/>
        </w:rPr>
        <w:t>We are 100 per</w:t>
      </w:r>
      <w:r w:rsidR="00DB58F5" w:rsidRPr="00345FB4">
        <w:rPr>
          <w:b/>
          <w:highlight w:val="white"/>
        </w:rPr>
        <w:t xml:space="preserve"> </w:t>
      </w:r>
      <w:r w:rsidRPr="00345FB4">
        <w:rPr>
          <w:b/>
          <w:highlight w:val="white"/>
        </w:rPr>
        <w:t xml:space="preserve">cent referenceable. </w:t>
      </w:r>
    </w:p>
    <w:p w14:paraId="29D1FD15" w14:textId="77777777" w:rsidR="00117827" w:rsidRDefault="00117827" w:rsidP="004719E8">
      <w:pPr>
        <w:pStyle w:val="ExhibitText"/>
        <w:rPr>
          <w:highlight w:val="white"/>
        </w:rPr>
      </w:pPr>
    </w:p>
    <w:p w14:paraId="39EB4E7C" w14:textId="0B8C8B8B" w:rsidR="00FD1E2A" w:rsidRPr="00483937" w:rsidRDefault="00FD1E2A" w:rsidP="00A97577">
      <w:pPr>
        <w:pStyle w:val="ExhibitText"/>
        <w:rPr>
          <w:highlight w:val="white"/>
        </w:rPr>
      </w:pPr>
      <w:r w:rsidRPr="00483937">
        <w:rPr>
          <w:highlight w:val="white"/>
        </w:rPr>
        <w:t>As Cleveland sports fans, clients suffer enough as it is. At Centric, we work until clients are completely satisfied. There’s no “next year” with us.</w:t>
      </w:r>
    </w:p>
    <w:p w14:paraId="132EB7C7" w14:textId="77777777" w:rsidR="004719E8" w:rsidRDefault="004719E8" w:rsidP="00A97577">
      <w:pPr>
        <w:pStyle w:val="ExhibitText"/>
        <w:rPr>
          <w:highlight w:val="white"/>
        </w:rPr>
      </w:pPr>
    </w:p>
    <w:p w14:paraId="64CADA61" w14:textId="77777777" w:rsidR="00611795" w:rsidRPr="00483937" w:rsidRDefault="00611795" w:rsidP="00A97577">
      <w:pPr>
        <w:pStyle w:val="ExhibitText"/>
        <w:rPr>
          <w:highlight w:val="white"/>
        </w:rPr>
      </w:pPr>
    </w:p>
    <w:p w14:paraId="77E6E132" w14:textId="77777777" w:rsidR="00117827" w:rsidRPr="00345FB4" w:rsidRDefault="00FD1E2A" w:rsidP="00A97577">
      <w:pPr>
        <w:pStyle w:val="ExhibitText"/>
        <w:rPr>
          <w:b/>
          <w:highlight w:val="white"/>
        </w:rPr>
      </w:pPr>
      <w:r w:rsidRPr="00345FB4">
        <w:rPr>
          <w:b/>
          <w:highlight w:val="white"/>
        </w:rPr>
        <w:t xml:space="preserve">We’re in it for the long run. </w:t>
      </w:r>
    </w:p>
    <w:p w14:paraId="749B8BC5" w14:textId="77777777" w:rsidR="00117827" w:rsidRDefault="00117827" w:rsidP="00A97577">
      <w:pPr>
        <w:pStyle w:val="ExhibitText"/>
        <w:rPr>
          <w:highlight w:val="white"/>
        </w:rPr>
      </w:pPr>
    </w:p>
    <w:p w14:paraId="024D00C6" w14:textId="6F5A41CF" w:rsidR="00FD1E2A" w:rsidRPr="00483937" w:rsidRDefault="00FD1E2A" w:rsidP="00A97577">
      <w:pPr>
        <w:pStyle w:val="ExhibitText"/>
        <w:rPr>
          <w:highlight w:val="white"/>
        </w:rPr>
      </w:pPr>
      <w:r w:rsidRPr="00483937">
        <w:rPr>
          <w:highlight w:val="white"/>
        </w:rPr>
        <w:t>Literally. Our team includes runners, triathletes</w:t>
      </w:r>
      <w:r w:rsidR="00C22A4C">
        <w:rPr>
          <w:highlight w:val="white"/>
        </w:rPr>
        <w:t>,</w:t>
      </w:r>
      <w:r w:rsidRPr="00483937">
        <w:rPr>
          <w:highlight w:val="white"/>
        </w:rPr>
        <w:t xml:space="preserve"> and even a few “mud” adventure racers. Every year we field a team at the Cleveland Marathon. We bring this passion for achievement to every </w:t>
      </w:r>
      <w:proofErr w:type="gramStart"/>
      <w:r w:rsidRPr="00483937">
        <w:rPr>
          <w:highlight w:val="white"/>
        </w:rPr>
        <w:t>Centric</w:t>
      </w:r>
      <w:proofErr w:type="gramEnd"/>
      <w:r w:rsidRPr="00483937">
        <w:rPr>
          <w:highlight w:val="white"/>
        </w:rPr>
        <w:t xml:space="preserve"> engagement.</w:t>
      </w:r>
    </w:p>
    <w:p w14:paraId="5F23573D" w14:textId="77777777" w:rsidR="004719E8" w:rsidRDefault="004719E8" w:rsidP="00A97577">
      <w:pPr>
        <w:pStyle w:val="ExhibitText"/>
        <w:rPr>
          <w:highlight w:val="white"/>
        </w:rPr>
      </w:pPr>
    </w:p>
    <w:p w14:paraId="1EB1BA97" w14:textId="77777777" w:rsidR="00611795" w:rsidRPr="00483937" w:rsidRDefault="00611795" w:rsidP="00A97577">
      <w:pPr>
        <w:pStyle w:val="ExhibitText"/>
        <w:rPr>
          <w:highlight w:val="white"/>
        </w:rPr>
      </w:pPr>
    </w:p>
    <w:p w14:paraId="0E4E0239" w14:textId="77777777" w:rsidR="00117827" w:rsidRPr="00345FB4" w:rsidRDefault="00FD1E2A" w:rsidP="00A97577">
      <w:pPr>
        <w:pStyle w:val="ExhibitText"/>
        <w:rPr>
          <w:b/>
          <w:highlight w:val="white"/>
        </w:rPr>
      </w:pPr>
      <w:r w:rsidRPr="00345FB4">
        <w:rPr>
          <w:b/>
          <w:highlight w:val="white"/>
        </w:rPr>
        <w:t xml:space="preserve">We are experienced professionals. </w:t>
      </w:r>
    </w:p>
    <w:p w14:paraId="6D3F8C23" w14:textId="77777777" w:rsidR="00117827" w:rsidRDefault="00117827" w:rsidP="00A97577">
      <w:pPr>
        <w:pStyle w:val="ExhibitText"/>
        <w:rPr>
          <w:highlight w:val="white"/>
        </w:rPr>
      </w:pPr>
    </w:p>
    <w:p w14:paraId="69D6988D" w14:textId="1F5134EE" w:rsidR="00FD1E2A" w:rsidRPr="00483937" w:rsidRDefault="00FD1E2A" w:rsidP="00A97577">
      <w:pPr>
        <w:pStyle w:val="ExhibitText"/>
        <w:rPr>
          <w:highlight w:val="white"/>
        </w:rPr>
      </w:pPr>
      <w:r w:rsidRPr="00483937">
        <w:rPr>
          <w:highlight w:val="white"/>
        </w:rPr>
        <w:t xml:space="preserve">All our consultants are veterans of industry. They’ve all weathered all kinds of business climates. And a few </w:t>
      </w:r>
      <w:r w:rsidR="00C22A4C">
        <w:rPr>
          <w:highlight w:val="white"/>
        </w:rPr>
        <w:t>l</w:t>
      </w:r>
      <w:r w:rsidRPr="00483937">
        <w:rPr>
          <w:highlight w:val="white"/>
        </w:rPr>
        <w:t xml:space="preserve">ake </w:t>
      </w:r>
      <w:r w:rsidR="00C22A4C">
        <w:rPr>
          <w:highlight w:val="white"/>
        </w:rPr>
        <w:t>e</w:t>
      </w:r>
      <w:r w:rsidRPr="00483937">
        <w:rPr>
          <w:highlight w:val="white"/>
        </w:rPr>
        <w:t>ffect ones too!</w:t>
      </w:r>
    </w:p>
    <w:p w14:paraId="68A73E73" w14:textId="77777777" w:rsidR="004719E8" w:rsidRDefault="004719E8" w:rsidP="00A97577">
      <w:pPr>
        <w:pStyle w:val="ExhibitText"/>
        <w:rPr>
          <w:highlight w:val="white"/>
        </w:rPr>
      </w:pPr>
    </w:p>
    <w:p w14:paraId="235005E1" w14:textId="77777777" w:rsidR="00611795" w:rsidRPr="00483937" w:rsidRDefault="00611795" w:rsidP="00A97577">
      <w:pPr>
        <w:pStyle w:val="ExhibitText"/>
        <w:rPr>
          <w:highlight w:val="white"/>
        </w:rPr>
      </w:pPr>
    </w:p>
    <w:p w14:paraId="39EFFE72" w14:textId="77777777" w:rsidR="00117827" w:rsidRPr="00345FB4" w:rsidRDefault="00FD1E2A" w:rsidP="00A97577">
      <w:pPr>
        <w:pStyle w:val="ExhibitText"/>
        <w:rPr>
          <w:b/>
          <w:highlight w:val="white"/>
        </w:rPr>
      </w:pPr>
      <w:r w:rsidRPr="00345FB4">
        <w:rPr>
          <w:b/>
          <w:highlight w:val="white"/>
        </w:rPr>
        <w:t xml:space="preserve">We are committed to teamwork. </w:t>
      </w:r>
    </w:p>
    <w:p w14:paraId="130BDFCF" w14:textId="77777777" w:rsidR="00117827" w:rsidRDefault="00117827" w:rsidP="00A97577">
      <w:pPr>
        <w:pStyle w:val="ExhibitText"/>
        <w:rPr>
          <w:highlight w:val="white"/>
        </w:rPr>
      </w:pPr>
    </w:p>
    <w:p w14:paraId="548D53D1" w14:textId="0968513A" w:rsidR="00FD1E2A" w:rsidRPr="00483937" w:rsidRDefault="00FD1E2A" w:rsidP="00A97577">
      <w:pPr>
        <w:pStyle w:val="ExhibitText"/>
      </w:pPr>
      <w:r w:rsidRPr="00483937">
        <w:rPr>
          <w:highlight w:val="white"/>
        </w:rPr>
        <w:t>We don’t have revolving doors on our projects. Unlike other consulting firms, our team plans to stick with Centric and Cleveland for years to come.</w:t>
      </w:r>
    </w:p>
    <w:p w14:paraId="4CD559CF" w14:textId="77777777" w:rsidR="00FD1E2A" w:rsidRPr="00483937" w:rsidRDefault="00FD1E2A" w:rsidP="00A97577">
      <w:pPr>
        <w:rPr>
          <w:rFonts w:ascii="Arial" w:hAnsi="Arial" w:cs="Arial"/>
          <w:b/>
        </w:rPr>
      </w:pPr>
    </w:p>
    <w:p w14:paraId="2FE32EB8" w14:textId="4DC82B2E" w:rsidR="00FD1E2A" w:rsidRPr="00483937" w:rsidRDefault="00611795" w:rsidP="00A97577">
      <w:pPr>
        <w:pStyle w:val="Footnote"/>
        <w:outlineLvl w:val="0"/>
      </w:pPr>
      <w:r>
        <w:t>Source: </w:t>
      </w:r>
      <w:r w:rsidR="004719E8" w:rsidRPr="00483937">
        <w:rPr>
          <w:highlight w:val="white"/>
        </w:rPr>
        <w:t>"</w:t>
      </w:r>
      <w:r>
        <w:rPr>
          <w:highlight w:val="white"/>
        </w:rPr>
        <w:t>Locations: Centric </w:t>
      </w:r>
      <w:r w:rsidR="004719E8" w:rsidRPr="00483937">
        <w:rPr>
          <w:highlight w:val="white"/>
        </w:rPr>
        <w:t>Cleveland</w:t>
      </w:r>
      <w:r>
        <w:rPr>
          <w:highlight w:val="white"/>
        </w:rPr>
        <w:t>,” Centric Consulting, accessed September 5, </w:t>
      </w:r>
      <w:bookmarkStart w:id="59" w:name="OLE_LINK10"/>
      <w:bookmarkStart w:id="60" w:name="OLE_LINK11"/>
      <w:r>
        <w:rPr>
          <w:highlight w:val="white"/>
        </w:rPr>
        <w:t>2016</w:t>
      </w:r>
      <w:proofErr w:type="gramStart"/>
      <w:r>
        <w:rPr>
          <w:highlight w:val="white"/>
        </w:rPr>
        <w:t xml:space="preserve">, </w:t>
      </w:r>
      <w:r w:rsidR="00E40A1B">
        <w:rPr>
          <w:highlight w:val="white"/>
        </w:rPr>
        <w:t xml:space="preserve"> </w:t>
      </w:r>
      <w:r w:rsidR="00F97C16" w:rsidRPr="00DB58F5">
        <w:rPr>
          <w:highlight w:val="white"/>
        </w:rPr>
        <w:t>http</w:t>
      </w:r>
      <w:proofErr w:type="gramEnd"/>
      <w:r w:rsidR="00F97C16" w:rsidRPr="00DB58F5">
        <w:rPr>
          <w:highlight w:val="white"/>
        </w:rPr>
        <w:t>://centricconsulting.com/locations/cleveland</w:t>
      </w:r>
      <w:bookmarkEnd w:id="59"/>
      <w:bookmarkEnd w:id="60"/>
      <w:r w:rsidR="00F97C16" w:rsidRPr="00483937">
        <w:rPr>
          <w:highlight w:val="white"/>
        </w:rPr>
        <w:t>.</w:t>
      </w:r>
      <w:r w:rsidR="00F524F1">
        <w:rPr>
          <w:highlight w:val="white"/>
        </w:rPr>
        <w:t xml:space="preserve"> </w:t>
      </w:r>
    </w:p>
    <w:p w14:paraId="39841E7D" w14:textId="77777777" w:rsidR="00FD1E2A" w:rsidRPr="00483937" w:rsidRDefault="00FD1E2A" w:rsidP="00FD1E2A">
      <w:pPr>
        <w:rPr>
          <w:rFonts w:ascii="Arial" w:hAnsi="Arial" w:cs="Arial"/>
          <w:b/>
        </w:rPr>
      </w:pPr>
    </w:p>
    <w:p w14:paraId="1C926C7E" w14:textId="77777777" w:rsidR="004719E8" w:rsidRPr="00483937" w:rsidRDefault="004719E8">
      <w:pPr>
        <w:spacing w:after="200" w:line="276" w:lineRule="auto"/>
        <w:rPr>
          <w:rFonts w:ascii="Arial" w:hAnsi="Arial" w:cs="Arial"/>
          <w:b/>
        </w:rPr>
      </w:pPr>
      <w:r w:rsidRPr="00483937">
        <w:rPr>
          <w:rFonts w:ascii="Arial" w:hAnsi="Arial" w:cs="Arial"/>
          <w:b/>
        </w:rPr>
        <w:br w:type="page"/>
      </w:r>
    </w:p>
    <w:p w14:paraId="3858D166" w14:textId="62EA9A3C" w:rsidR="00FD1E2A" w:rsidRPr="00483937" w:rsidRDefault="00FD1E2A" w:rsidP="00F524F1">
      <w:pPr>
        <w:pStyle w:val="ExhibitHeading"/>
        <w:outlineLvl w:val="0"/>
      </w:pPr>
      <w:r w:rsidRPr="00483937">
        <w:lastRenderedPageBreak/>
        <w:t>Exhibit 3</w:t>
      </w:r>
      <w:r w:rsidR="004065C6" w:rsidRPr="00483937">
        <w:t xml:space="preserve">: </w:t>
      </w:r>
      <w:r w:rsidR="00C22A4C" w:rsidRPr="00483937">
        <w:t>Centric Consulting</w:t>
      </w:r>
      <w:r w:rsidR="00C22A4C">
        <w:t>’s Seven</w:t>
      </w:r>
      <w:r w:rsidR="00C22A4C" w:rsidRPr="00483937">
        <w:t xml:space="preserve"> </w:t>
      </w:r>
      <w:r w:rsidRPr="00483937">
        <w:t>Core Values</w:t>
      </w:r>
    </w:p>
    <w:p w14:paraId="426615AA" w14:textId="77777777" w:rsidR="00752D98" w:rsidRPr="00483937" w:rsidRDefault="00752D98" w:rsidP="00752D98">
      <w:pPr>
        <w:pStyle w:val="ExhibitHeading"/>
      </w:pPr>
    </w:p>
    <w:p w14:paraId="6159EBE7" w14:textId="77777777" w:rsidR="00FD1E2A" w:rsidRDefault="00FD1E2A" w:rsidP="00A97577">
      <w:pPr>
        <w:jc w:val="center"/>
        <w:rPr>
          <w:b/>
          <w:sz w:val="28"/>
          <w:szCs w:val="28"/>
        </w:rPr>
      </w:pPr>
      <w:r w:rsidRPr="00483937">
        <w:rPr>
          <w:noProof/>
        </w:rPr>
        <w:drawing>
          <wp:inline distT="0" distB="0" distL="0" distR="0" wp14:anchorId="7F6F4ADC" wp14:editId="0660EE44">
            <wp:extent cx="3584610" cy="287079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E46135.tmp"/>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3660426" cy="2931508"/>
                    </a:xfrm>
                    <a:prstGeom prst="rect">
                      <a:avLst/>
                    </a:prstGeom>
                  </pic:spPr>
                </pic:pic>
              </a:graphicData>
            </a:graphic>
          </wp:inline>
        </w:drawing>
      </w:r>
    </w:p>
    <w:p w14:paraId="3BD2C90C" w14:textId="77777777" w:rsidR="00A5189D" w:rsidRPr="00483937" w:rsidRDefault="00A5189D" w:rsidP="00A97577">
      <w:pPr>
        <w:jc w:val="center"/>
        <w:rPr>
          <w:b/>
          <w:sz w:val="28"/>
          <w:szCs w:val="28"/>
        </w:rPr>
      </w:pPr>
    </w:p>
    <w:p w14:paraId="51BBF241" w14:textId="16EFF501" w:rsidR="00FD1E2A" w:rsidRDefault="00FD1E2A" w:rsidP="00A97577">
      <w:pPr>
        <w:pStyle w:val="ExhibitText"/>
        <w:numPr>
          <w:ilvl w:val="0"/>
          <w:numId w:val="34"/>
        </w:numPr>
        <w:rPr>
          <w:highlight w:val="white"/>
        </w:rPr>
      </w:pPr>
      <w:r w:rsidRPr="00345FB4">
        <w:rPr>
          <w:i/>
          <w:highlight w:val="white"/>
        </w:rPr>
        <w:t>Invest in an Exceptional Culture</w:t>
      </w:r>
      <w:r w:rsidRPr="00483937">
        <w:rPr>
          <w:highlight w:val="white"/>
        </w:rPr>
        <w:t>: We strive to hire and retain talented people from diverse backgrounds that are able to create a high impact for our clients and internally within Centric</w:t>
      </w:r>
      <w:r w:rsidR="00C22A4C">
        <w:rPr>
          <w:highlight w:val="white"/>
        </w:rPr>
        <w:t>.</w:t>
      </w:r>
    </w:p>
    <w:p w14:paraId="7C18EAC1" w14:textId="77777777" w:rsidR="00A5189D" w:rsidRPr="00483937" w:rsidRDefault="00A5189D" w:rsidP="00A97577">
      <w:pPr>
        <w:pStyle w:val="ExhibitText"/>
        <w:rPr>
          <w:highlight w:val="white"/>
        </w:rPr>
      </w:pPr>
    </w:p>
    <w:p w14:paraId="324992B0" w14:textId="77777777" w:rsidR="00FD1E2A" w:rsidRDefault="00FD1E2A" w:rsidP="00A97577">
      <w:pPr>
        <w:pStyle w:val="ExhibitText"/>
        <w:numPr>
          <w:ilvl w:val="0"/>
          <w:numId w:val="34"/>
        </w:numPr>
        <w:rPr>
          <w:highlight w:val="white"/>
        </w:rPr>
      </w:pPr>
      <w:r w:rsidRPr="00345FB4">
        <w:rPr>
          <w:i/>
          <w:highlight w:val="white"/>
        </w:rPr>
        <w:t>Embrace Integrity and Openness</w:t>
      </w:r>
      <w:r w:rsidRPr="00483937">
        <w:rPr>
          <w:highlight w:val="white"/>
        </w:rPr>
        <w:t>: We value strong, positive relationships that are open and honest. This differentiates Centric and allows us to accomplish much more than we would be able to otherwise.</w:t>
      </w:r>
    </w:p>
    <w:p w14:paraId="62F2E3D3" w14:textId="77777777" w:rsidR="00A5189D" w:rsidRPr="00483937" w:rsidRDefault="00A5189D" w:rsidP="00A97577">
      <w:pPr>
        <w:pStyle w:val="ExhibitText"/>
        <w:rPr>
          <w:highlight w:val="white"/>
        </w:rPr>
      </w:pPr>
    </w:p>
    <w:p w14:paraId="02ECF7CF" w14:textId="6E61ADD9" w:rsidR="00FD1E2A" w:rsidRDefault="00FD1E2A" w:rsidP="00A97577">
      <w:pPr>
        <w:pStyle w:val="ExhibitText"/>
        <w:numPr>
          <w:ilvl w:val="0"/>
          <w:numId w:val="34"/>
        </w:numPr>
        <w:rPr>
          <w:highlight w:val="white"/>
        </w:rPr>
      </w:pPr>
      <w:bookmarkStart w:id="61" w:name="h.oiwr8ge59kgz" w:colFirst="0" w:colLast="0"/>
      <w:bookmarkEnd w:id="61"/>
      <w:r w:rsidRPr="00345FB4">
        <w:rPr>
          <w:i/>
          <w:highlight w:val="white"/>
        </w:rPr>
        <w:t>Practice Responsible Stewardship</w:t>
      </w:r>
      <w:r w:rsidRPr="00483937">
        <w:rPr>
          <w:highlight w:val="white"/>
        </w:rPr>
        <w:t>: We value stewardship and fiscal accountability and always strive to do more with less. We guard and conserve company resources as if they were our own because it makes good business sense at all times, not just during lean times.</w:t>
      </w:r>
      <w:bookmarkStart w:id="62" w:name="h.81r2zl3h6ycf" w:colFirst="0" w:colLast="0"/>
      <w:bookmarkEnd w:id="62"/>
    </w:p>
    <w:p w14:paraId="5A0B3254" w14:textId="77777777" w:rsidR="00A5189D" w:rsidRPr="00483937" w:rsidRDefault="00A5189D" w:rsidP="00A97577">
      <w:pPr>
        <w:pStyle w:val="ExhibitText"/>
        <w:rPr>
          <w:highlight w:val="white"/>
        </w:rPr>
      </w:pPr>
    </w:p>
    <w:p w14:paraId="57EB7180" w14:textId="77777777" w:rsidR="00FD1E2A" w:rsidRDefault="00FD1E2A" w:rsidP="00A97577">
      <w:pPr>
        <w:pStyle w:val="ExhibitText"/>
        <w:numPr>
          <w:ilvl w:val="0"/>
          <w:numId w:val="34"/>
        </w:numPr>
        <w:rPr>
          <w:highlight w:val="white"/>
        </w:rPr>
      </w:pPr>
      <w:r w:rsidRPr="00345FB4">
        <w:rPr>
          <w:i/>
          <w:highlight w:val="white"/>
        </w:rPr>
        <w:t>Strive to Innovate</w:t>
      </w:r>
      <w:r w:rsidRPr="00483937">
        <w:rPr>
          <w:highlight w:val="white"/>
        </w:rPr>
        <w:t>: Centric values passion, determination, perseverance, and innovation. We are inspired because we believe in what we are doing and where we are going. We believe in using innovation to remove obstacles and help our clients succeed in their goals.</w:t>
      </w:r>
      <w:bookmarkStart w:id="63" w:name="h.x6xlu72iagi3" w:colFirst="0" w:colLast="0"/>
      <w:bookmarkEnd w:id="63"/>
    </w:p>
    <w:p w14:paraId="040CE01F" w14:textId="77777777" w:rsidR="00A5189D" w:rsidRPr="00483937" w:rsidRDefault="00A5189D" w:rsidP="00A97577">
      <w:pPr>
        <w:pStyle w:val="ExhibitText"/>
        <w:rPr>
          <w:highlight w:val="white"/>
        </w:rPr>
      </w:pPr>
    </w:p>
    <w:p w14:paraId="7E6E2945" w14:textId="77777777" w:rsidR="00FD1E2A" w:rsidRDefault="00FD1E2A" w:rsidP="00A97577">
      <w:pPr>
        <w:pStyle w:val="ExhibitText"/>
        <w:numPr>
          <w:ilvl w:val="0"/>
          <w:numId w:val="34"/>
        </w:numPr>
        <w:rPr>
          <w:highlight w:val="white"/>
        </w:rPr>
      </w:pPr>
      <w:r w:rsidRPr="00345FB4">
        <w:rPr>
          <w:i/>
          <w:highlight w:val="white"/>
        </w:rPr>
        <w:t>Ignite Passion for the Greater Good</w:t>
      </w:r>
      <w:r w:rsidRPr="00483937">
        <w:rPr>
          <w:highlight w:val="white"/>
        </w:rPr>
        <w:t>: We take pride in our commitment to improving the world in which we live and take an active role in preserving our environment for future generations. We are steadfast in our devotion to the communities we serve and in actively promoting employee involvement in community improvement projects.</w:t>
      </w:r>
      <w:bookmarkStart w:id="64" w:name="h.yn768v7v47cf" w:colFirst="0" w:colLast="0"/>
      <w:bookmarkEnd w:id="64"/>
    </w:p>
    <w:p w14:paraId="35CBAC1F" w14:textId="77777777" w:rsidR="00A5189D" w:rsidRPr="00483937" w:rsidRDefault="00A5189D" w:rsidP="00A97577">
      <w:pPr>
        <w:pStyle w:val="ExhibitText"/>
        <w:rPr>
          <w:highlight w:val="white"/>
        </w:rPr>
      </w:pPr>
    </w:p>
    <w:p w14:paraId="633230E1" w14:textId="3D4B397C" w:rsidR="00FD1E2A" w:rsidRDefault="00FD1E2A" w:rsidP="00A97577">
      <w:pPr>
        <w:pStyle w:val="ExhibitText"/>
        <w:numPr>
          <w:ilvl w:val="0"/>
          <w:numId w:val="34"/>
        </w:numPr>
        <w:rPr>
          <w:highlight w:val="white"/>
        </w:rPr>
      </w:pPr>
      <w:r w:rsidRPr="00345FB4">
        <w:rPr>
          <w:i/>
          <w:highlight w:val="white"/>
        </w:rPr>
        <w:t xml:space="preserve">Live </w:t>
      </w:r>
      <w:r w:rsidRPr="00A97577">
        <w:rPr>
          <w:i/>
          <w:color w:val="000000" w:themeColor="text1"/>
          <w:highlight w:val="white"/>
        </w:rPr>
        <w:t>a Balanced Life</w:t>
      </w:r>
      <w:r w:rsidRPr="00A97577">
        <w:rPr>
          <w:color w:val="000000" w:themeColor="text1"/>
          <w:highlight w:val="white"/>
        </w:rPr>
        <w:t xml:space="preserve">: Our employees are our greatest asset and people we value highly as individuals. We </w:t>
      </w:r>
      <w:r w:rsidRPr="00A97577">
        <w:rPr>
          <w:color w:val="000000" w:themeColor="text1"/>
          <w:highlight w:val="white"/>
          <w:shd w:val="clear" w:color="auto" w:fill="000000" w:themeFill="text1"/>
        </w:rPr>
        <w:t>support everyone managing a work</w:t>
      </w:r>
      <w:r w:rsidR="00873FA4" w:rsidRPr="00A97577">
        <w:rPr>
          <w:color w:val="000000" w:themeColor="text1"/>
          <w:highlight w:val="white"/>
          <w:shd w:val="clear" w:color="auto" w:fill="000000" w:themeFill="text1"/>
        </w:rPr>
        <w:t>-</w:t>
      </w:r>
      <w:r w:rsidRPr="00A97577">
        <w:rPr>
          <w:color w:val="000000" w:themeColor="text1"/>
          <w:highlight w:val="white"/>
          <w:shd w:val="clear" w:color="auto" w:fill="000000" w:themeFill="text1"/>
        </w:rPr>
        <w:t>life balance that is aligned with their needs and we also actively monitor</w:t>
      </w:r>
      <w:r w:rsidRPr="00A97577">
        <w:rPr>
          <w:color w:val="000000" w:themeColor="text1"/>
          <w:highlight w:val="white"/>
        </w:rPr>
        <w:t xml:space="preserve"> all engagements to ensure our owners and employees have time for family, community</w:t>
      </w:r>
      <w:r w:rsidR="00C22A4C" w:rsidRPr="00A97577">
        <w:rPr>
          <w:color w:val="000000" w:themeColor="text1"/>
          <w:highlight w:val="white"/>
        </w:rPr>
        <w:t>,</w:t>
      </w:r>
      <w:r w:rsidRPr="00A97577">
        <w:rPr>
          <w:color w:val="000000" w:themeColor="text1"/>
          <w:highlight w:val="white"/>
        </w:rPr>
        <w:t xml:space="preserve"> and personal </w:t>
      </w:r>
      <w:r w:rsidRPr="00483937">
        <w:rPr>
          <w:highlight w:val="white"/>
        </w:rPr>
        <w:t>interests.</w:t>
      </w:r>
    </w:p>
    <w:p w14:paraId="209686BD" w14:textId="77777777" w:rsidR="00A5189D" w:rsidRPr="00483937" w:rsidRDefault="00A5189D" w:rsidP="00A97577">
      <w:pPr>
        <w:pStyle w:val="ExhibitText"/>
        <w:rPr>
          <w:highlight w:val="white"/>
        </w:rPr>
      </w:pPr>
    </w:p>
    <w:p w14:paraId="3A606F31" w14:textId="35C72075" w:rsidR="00A5189D" w:rsidRPr="000B691A" w:rsidRDefault="00A5189D" w:rsidP="00A97577">
      <w:pPr>
        <w:pStyle w:val="ExhibitText"/>
        <w:numPr>
          <w:ilvl w:val="0"/>
          <w:numId w:val="34"/>
        </w:numPr>
        <w:rPr>
          <w:highlight w:val="white"/>
        </w:rPr>
      </w:pPr>
      <w:r w:rsidRPr="00FD25C8">
        <w:rPr>
          <w:i/>
          <w:highlight w:val="white"/>
        </w:rPr>
        <w:t>Commit to Delivery Excellence</w:t>
      </w:r>
      <w:r w:rsidRPr="00483937">
        <w:rPr>
          <w:highlight w:val="white"/>
        </w:rPr>
        <w:t>: We have a passion for consulting excellence! In all of our dealings</w:t>
      </w:r>
      <w:r>
        <w:rPr>
          <w:highlight w:val="white"/>
        </w:rPr>
        <w:t>,</w:t>
      </w:r>
      <w:r w:rsidRPr="00483937">
        <w:rPr>
          <w:highlight w:val="white"/>
        </w:rPr>
        <w:t xml:space="preserve"> we strive to first understand the client’s needs and then deliver on our commitments 100 per</w:t>
      </w:r>
      <w:r>
        <w:rPr>
          <w:highlight w:val="white"/>
        </w:rPr>
        <w:t xml:space="preserve"> </w:t>
      </w:r>
      <w:r w:rsidRPr="00483937">
        <w:rPr>
          <w:highlight w:val="white"/>
        </w:rPr>
        <w:t>cent of the time.</w:t>
      </w:r>
    </w:p>
    <w:p w14:paraId="178A0879" w14:textId="77777777" w:rsidR="004719E8" w:rsidRPr="00483937" w:rsidRDefault="00752D98" w:rsidP="00A97577">
      <w:pPr>
        <w:pStyle w:val="ExhibitText"/>
        <w:tabs>
          <w:tab w:val="left" w:pos="2719"/>
        </w:tabs>
        <w:rPr>
          <w:highlight w:val="white"/>
        </w:rPr>
      </w:pPr>
      <w:r w:rsidRPr="00483937">
        <w:rPr>
          <w:highlight w:val="white"/>
        </w:rPr>
        <w:tab/>
      </w:r>
    </w:p>
    <w:p w14:paraId="2573D08B" w14:textId="33863A31" w:rsidR="00752D98" w:rsidRPr="00483937" w:rsidRDefault="004719E8" w:rsidP="00A97577">
      <w:pPr>
        <w:pStyle w:val="Footnote"/>
      </w:pPr>
      <w:r w:rsidRPr="00483937">
        <w:rPr>
          <w:highlight w:val="white"/>
        </w:rPr>
        <w:t xml:space="preserve">Source: </w:t>
      </w:r>
      <w:bookmarkStart w:id="65" w:name="OLE_LINK20"/>
      <w:bookmarkStart w:id="66" w:name="OLE_LINK21"/>
      <w:r w:rsidR="00905F8C">
        <w:t>“</w:t>
      </w:r>
      <w:proofErr w:type="spellStart"/>
      <w:r w:rsidR="00905F8C">
        <w:t>Centric’s</w:t>
      </w:r>
      <w:proofErr w:type="spellEnd"/>
      <w:r w:rsidR="00905F8C">
        <w:t xml:space="preserve"> Core Values,” Centric Consulting, </w:t>
      </w:r>
      <w:bookmarkEnd w:id="65"/>
      <w:bookmarkEnd w:id="66"/>
      <w:r w:rsidR="00752D98" w:rsidRPr="00483937">
        <w:t>accessed September 28, 2015</w:t>
      </w:r>
      <w:r w:rsidR="00905F8C">
        <w:t xml:space="preserve">, </w:t>
      </w:r>
      <w:r w:rsidR="00905F8C" w:rsidRPr="00E54228">
        <w:t>http://centriccons</w:t>
      </w:r>
      <w:r w:rsidR="00905F8C">
        <w:t>ulting.com/about-us/core-values</w:t>
      </w:r>
      <w:r w:rsidR="00752D98" w:rsidRPr="00483937">
        <w:t xml:space="preserve">. </w:t>
      </w:r>
    </w:p>
    <w:p w14:paraId="67141C04" w14:textId="77777777" w:rsidR="00752D98" w:rsidRPr="00483937" w:rsidRDefault="00752D98" w:rsidP="00752D98">
      <w:pPr>
        <w:pStyle w:val="Footnote"/>
      </w:pPr>
      <w:r w:rsidRPr="00483937">
        <w:br w:type="page"/>
      </w:r>
    </w:p>
    <w:p w14:paraId="0983B626" w14:textId="49358AF3" w:rsidR="00FD1E2A" w:rsidRDefault="00FD1E2A" w:rsidP="00F524F1">
      <w:pPr>
        <w:pStyle w:val="ExhibitHeading"/>
        <w:outlineLvl w:val="0"/>
      </w:pPr>
      <w:r w:rsidRPr="00483937">
        <w:lastRenderedPageBreak/>
        <w:t>Exhibit 4</w:t>
      </w:r>
      <w:r w:rsidR="00DB58F5">
        <w:t>: INTERVIEW DIFFICULTIES</w:t>
      </w:r>
    </w:p>
    <w:p w14:paraId="12258046" w14:textId="77777777" w:rsidR="0074036E" w:rsidRPr="0074036E" w:rsidRDefault="0074036E" w:rsidP="00F524F1">
      <w:pPr>
        <w:pStyle w:val="ExhibitHeading"/>
        <w:outlineLvl w:val="0"/>
        <w:rPr>
          <w:rFonts w:ascii="Times New Roman" w:hAnsi="Times New Roman" w:cs="Times New Roman"/>
          <w:b w:val="0"/>
        </w:rPr>
      </w:pPr>
    </w:p>
    <w:p w14:paraId="1CEF8A7A" w14:textId="17F2DA6F" w:rsidR="00641EDF" w:rsidRPr="0074036E" w:rsidRDefault="0074036E" w:rsidP="0074036E">
      <w:pPr>
        <w:pStyle w:val="ExhibitText"/>
      </w:pPr>
      <w:r w:rsidRPr="00483937">
        <w:t>Glassdoor’s third annual report of the</w:t>
      </w:r>
      <w:r>
        <w:rPr>
          <w:rStyle w:val="apple-converted-space"/>
        </w:rPr>
        <w:t xml:space="preserve"> “</w:t>
      </w:r>
      <w:r w:rsidRPr="00483937">
        <w:t>Top 25 Most Difficult Companies to Interview (2013)</w:t>
      </w:r>
      <w:r>
        <w:t xml:space="preserve">” </w:t>
      </w:r>
      <w:r w:rsidRPr="00483937">
        <w:t>uncover</w:t>
      </w:r>
      <w:r>
        <w:t>ed</w:t>
      </w:r>
      <w:r w:rsidRPr="00483937">
        <w:t xml:space="preserve"> which companies </w:t>
      </w:r>
      <w:r>
        <w:t>had</w:t>
      </w:r>
      <w:r w:rsidRPr="00483937">
        <w:t xml:space="preserve"> the toughest interview process.</w:t>
      </w:r>
      <w:r>
        <w:t xml:space="preserve"> That</w:t>
      </w:r>
      <w:r w:rsidRPr="00483937">
        <w:t xml:space="preserve"> year, consulting firm</w:t>
      </w:r>
      <w:r>
        <w:rPr>
          <w:rStyle w:val="apple-converted-space"/>
        </w:rPr>
        <w:t xml:space="preserve"> </w:t>
      </w:r>
      <w:r w:rsidRPr="00483937">
        <w:t>McKinsey &amp; Company</w:t>
      </w:r>
      <w:r>
        <w:rPr>
          <w:rStyle w:val="apple-converted-space"/>
        </w:rPr>
        <w:t xml:space="preserve"> </w:t>
      </w:r>
      <w:r>
        <w:t>took</w:t>
      </w:r>
      <w:r w:rsidRPr="00483937">
        <w:t xml:space="preserve"> the top spot for the third year in a row with its 3.9 interview difficulty rating. (Interview difficulty ratings </w:t>
      </w:r>
      <w:r w:rsidR="0001492C">
        <w:t xml:space="preserve">were </w:t>
      </w:r>
      <w:r w:rsidRPr="00483937">
        <w:t>based on a 5-point scale: 1.0</w:t>
      </w:r>
      <w:r>
        <w:t> </w:t>
      </w:r>
      <w:r w:rsidRPr="00483937">
        <w:t>=</w:t>
      </w:r>
      <w:r>
        <w:t> </w:t>
      </w:r>
      <w:r w:rsidRPr="00483937">
        <w:t>very easy, 3.0</w:t>
      </w:r>
      <w:r>
        <w:t> </w:t>
      </w:r>
      <w:r w:rsidRPr="00483937">
        <w:t>=</w:t>
      </w:r>
      <w:r>
        <w:t> </w:t>
      </w:r>
      <w:r w:rsidRPr="00483937">
        <w:t>average, 5.0</w:t>
      </w:r>
      <w:r>
        <w:t> </w:t>
      </w:r>
      <w:r w:rsidRPr="00483937">
        <w:t>=</w:t>
      </w:r>
      <w:r>
        <w:t> </w:t>
      </w:r>
      <w:r w:rsidRPr="00483937">
        <w:t xml:space="preserve">very difficult.) For perspective, the average interview difficulty rating on Glassdoor </w:t>
      </w:r>
      <w:r>
        <w:t>was</w:t>
      </w:r>
      <w:r w:rsidRPr="00483937">
        <w:t xml:space="preserve"> 2.8.</w:t>
      </w:r>
    </w:p>
    <w:p w14:paraId="364F414C" w14:textId="77777777" w:rsidR="00C358EA" w:rsidRPr="00483937" w:rsidRDefault="00C358EA" w:rsidP="00A55E37">
      <w:pPr>
        <w:pStyle w:val="Footnote"/>
        <w:rPr>
          <w:highlight w:val="white"/>
        </w:rPr>
      </w:pPr>
    </w:p>
    <w:tbl>
      <w:tblPr>
        <w:tblpPr w:leftFromText="180" w:rightFromText="180" w:vertAnchor="text" w:horzAnchor="margin" w:tblpXSpec="center" w:tblpY="2"/>
        <w:tblW w:w="9191" w:type="dxa"/>
        <w:tblLook w:val="04A0" w:firstRow="1" w:lastRow="0" w:firstColumn="1" w:lastColumn="0" w:noHBand="0" w:noVBand="1"/>
      </w:tblPr>
      <w:tblGrid>
        <w:gridCol w:w="736"/>
        <w:gridCol w:w="1419"/>
        <w:gridCol w:w="1440"/>
        <w:gridCol w:w="1440"/>
        <w:gridCol w:w="1377"/>
        <w:gridCol w:w="1233"/>
        <w:gridCol w:w="1546"/>
      </w:tblGrid>
      <w:tr w:rsidR="009A6788" w:rsidRPr="0074036E" w14:paraId="5FB0CF38" w14:textId="77777777" w:rsidTr="009A6788">
        <w:trPr>
          <w:trHeight w:val="645"/>
        </w:trPr>
        <w:tc>
          <w:tcPr>
            <w:tcW w:w="736" w:type="dxa"/>
            <w:vMerge w:val="restart"/>
            <w:tcBorders>
              <w:top w:val="single" w:sz="4" w:space="0" w:color="A5A5A5"/>
              <w:left w:val="single" w:sz="4" w:space="0" w:color="A5A5A5"/>
              <w:bottom w:val="single" w:sz="4" w:space="0" w:color="3F3F3F"/>
              <w:right w:val="single" w:sz="4" w:space="0" w:color="A5A5A5"/>
            </w:tcBorders>
            <w:shd w:val="clear" w:color="auto" w:fill="auto"/>
            <w:vAlign w:val="center"/>
            <w:hideMark/>
          </w:tcPr>
          <w:p w14:paraId="28ECF356" w14:textId="77777777" w:rsidR="009A6788" w:rsidRPr="0074036E" w:rsidRDefault="009A6788" w:rsidP="009A6788">
            <w:pPr>
              <w:rPr>
                <w:rFonts w:ascii="Helvetica" w:eastAsia="Times New Roman" w:hAnsi="Helvetica"/>
                <w:b/>
                <w:bCs/>
                <w:color w:val="000000"/>
                <w:sz w:val="18"/>
                <w:szCs w:val="18"/>
              </w:rPr>
            </w:pPr>
            <w:r w:rsidRPr="0074036E">
              <w:rPr>
                <w:rFonts w:ascii="Helvetica" w:eastAsia="Times New Roman" w:hAnsi="Helvetica"/>
                <w:b/>
                <w:bCs/>
                <w:color w:val="000000"/>
                <w:sz w:val="18"/>
                <w:szCs w:val="18"/>
              </w:rPr>
              <w:t>RANK</w:t>
            </w:r>
          </w:p>
        </w:tc>
        <w:tc>
          <w:tcPr>
            <w:tcW w:w="1419" w:type="dxa"/>
            <w:vMerge w:val="restart"/>
            <w:tcBorders>
              <w:top w:val="single" w:sz="4" w:space="0" w:color="A5A5A5"/>
              <w:left w:val="single" w:sz="4" w:space="0" w:color="A5A5A5"/>
              <w:bottom w:val="single" w:sz="4" w:space="0" w:color="3F3F3F"/>
              <w:right w:val="single" w:sz="4" w:space="0" w:color="A5A5A5"/>
            </w:tcBorders>
            <w:shd w:val="clear" w:color="auto" w:fill="auto"/>
            <w:vAlign w:val="center"/>
            <w:hideMark/>
          </w:tcPr>
          <w:p w14:paraId="253FE909" w14:textId="77777777" w:rsidR="009A6788" w:rsidRPr="0074036E" w:rsidRDefault="009A6788" w:rsidP="009A6788">
            <w:pPr>
              <w:jc w:val="center"/>
              <w:rPr>
                <w:rFonts w:ascii="Helvetica" w:eastAsia="Times New Roman" w:hAnsi="Helvetica"/>
                <w:b/>
                <w:bCs/>
                <w:color w:val="000000"/>
                <w:sz w:val="18"/>
                <w:szCs w:val="18"/>
              </w:rPr>
            </w:pPr>
            <w:r w:rsidRPr="0074036E">
              <w:rPr>
                <w:rFonts w:ascii="Helvetica" w:eastAsia="Times New Roman" w:hAnsi="Helvetica"/>
                <w:b/>
                <w:bCs/>
                <w:color w:val="000000"/>
                <w:sz w:val="18"/>
                <w:szCs w:val="18"/>
              </w:rPr>
              <w:t>COMPANY</w:t>
            </w:r>
          </w:p>
        </w:tc>
        <w:tc>
          <w:tcPr>
            <w:tcW w:w="1440" w:type="dxa"/>
            <w:tcBorders>
              <w:top w:val="single" w:sz="4" w:space="0" w:color="A5A5A5"/>
              <w:left w:val="nil"/>
              <w:bottom w:val="single" w:sz="4" w:space="0" w:color="A5A5A5"/>
              <w:right w:val="single" w:sz="4" w:space="0" w:color="A5A5A5"/>
            </w:tcBorders>
            <w:shd w:val="clear" w:color="auto" w:fill="auto"/>
            <w:vAlign w:val="center"/>
            <w:hideMark/>
          </w:tcPr>
          <w:p w14:paraId="1FDBB9FD" w14:textId="77777777" w:rsidR="009A6788" w:rsidRPr="0074036E" w:rsidRDefault="009A6788" w:rsidP="009A6788">
            <w:pPr>
              <w:jc w:val="center"/>
              <w:rPr>
                <w:rFonts w:ascii="Helvetica" w:eastAsia="Times New Roman" w:hAnsi="Helvetica"/>
                <w:b/>
                <w:bCs/>
                <w:color w:val="000000"/>
                <w:sz w:val="18"/>
                <w:szCs w:val="18"/>
              </w:rPr>
            </w:pPr>
            <w:r w:rsidRPr="0074036E">
              <w:rPr>
                <w:rFonts w:ascii="Helvetica" w:eastAsia="Times New Roman" w:hAnsi="Helvetica"/>
                <w:b/>
                <w:bCs/>
                <w:color w:val="000000"/>
                <w:sz w:val="18"/>
                <w:szCs w:val="18"/>
              </w:rPr>
              <w:t>INTERVIEW DIFFICULTY RATING</w:t>
            </w:r>
          </w:p>
        </w:tc>
        <w:tc>
          <w:tcPr>
            <w:tcW w:w="2817" w:type="dxa"/>
            <w:gridSpan w:val="2"/>
            <w:tcBorders>
              <w:top w:val="single" w:sz="4" w:space="0" w:color="A5A5A5"/>
              <w:left w:val="nil"/>
              <w:bottom w:val="single" w:sz="4" w:space="0" w:color="A5A5A5"/>
              <w:right w:val="single" w:sz="4" w:space="0" w:color="A5A5A5"/>
            </w:tcBorders>
            <w:shd w:val="clear" w:color="auto" w:fill="auto"/>
            <w:vAlign w:val="center"/>
            <w:hideMark/>
          </w:tcPr>
          <w:p w14:paraId="4B7AEFD5" w14:textId="77777777" w:rsidR="009A6788" w:rsidRPr="0074036E" w:rsidRDefault="009A6788" w:rsidP="009A6788">
            <w:pPr>
              <w:jc w:val="center"/>
              <w:rPr>
                <w:rFonts w:ascii="Helvetica" w:eastAsia="Times New Roman" w:hAnsi="Helvetica"/>
                <w:b/>
                <w:bCs/>
                <w:color w:val="000000"/>
                <w:sz w:val="18"/>
                <w:szCs w:val="18"/>
              </w:rPr>
            </w:pPr>
            <w:r w:rsidRPr="0074036E">
              <w:rPr>
                <w:rFonts w:ascii="Helvetica" w:eastAsia="Times New Roman" w:hAnsi="Helvetica"/>
                <w:b/>
                <w:bCs/>
                <w:color w:val="000000"/>
                <w:sz w:val="18"/>
                <w:szCs w:val="18"/>
              </w:rPr>
              <w:t>INTERVIEW EXPERIENCE RATING</w:t>
            </w:r>
          </w:p>
        </w:tc>
        <w:tc>
          <w:tcPr>
            <w:tcW w:w="1233" w:type="dxa"/>
            <w:tcBorders>
              <w:top w:val="single" w:sz="4" w:space="0" w:color="A5A5A5"/>
              <w:left w:val="nil"/>
              <w:bottom w:val="single" w:sz="4" w:space="0" w:color="A5A5A5"/>
              <w:right w:val="single" w:sz="4" w:space="0" w:color="A5A5A5"/>
            </w:tcBorders>
            <w:shd w:val="clear" w:color="auto" w:fill="auto"/>
            <w:vAlign w:val="center"/>
            <w:hideMark/>
          </w:tcPr>
          <w:p w14:paraId="464F9ED0" w14:textId="77777777" w:rsidR="009A6788" w:rsidRPr="0074036E" w:rsidRDefault="009A6788" w:rsidP="009A6788">
            <w:pPr>
              <w:jc w:val="center"/>
              <w:rPr>
                <w:rFonts w:ascii="Helvetica" w:eastAsia="Times New Roman" w:hAnsi="Helvetica"/>
                <w:b/>
                <w:bCs/>
                <w:color w:val="000000"/>
                <w:sz w:val="18"/>
                <w:szCs w:val="18"/>
              </w:rPr>
            </w:pPr>
            <w:r w:rsidRPr="0074036E">
              <w:rPr>
                <w:rFonts w:ascii="Helvetica" w:eastAsia="Times New Roman" w:hAnsi="Helvetica"/>
                <w:b/>
                <w:bCs/>
                <w:color w:val="000000"/>
                <w:sz w:val="18"/>
                <w:szCs w:val="18"/>
              </w:rPr>
              <w:t>LENGTH OF ENTIRE INTERVIEW PROCESS</w:t>
            </w:r>
          </w:p>
        </w:tc>
        <w:tc>
          <w:tcPr>
            <w:tcW w:w="1546" w:type="dxa"/>
            <w:tcBorders>
              <w:top w:val="single" w:sz="4" w:space="0" w:color="A5A5A5"/>
              <w:left w:val="nil"/>
              <w:bottom w:val="single" w:sz="4" w:space="0" w:color="A5A5A5"/>
              <w:right w:val="single" w:sz="4" w:space="0" w:color="A5A5A5"/>
            </w:tcBorders>
            <w:shd w:val="clear" w:color="auto" w:fill="auto"/>
            <w:vAlign w:val="center"/>
            <w:hideMark/>
          </w:tcPr>
          <w:p w14:paraId="778C62A2" w14:textId="77777777" w:rsidR="009A6788" w:rsidRPr="0074036E" w:rsidRDefault="009A6788" w:rsidP="009A6788">
            <w:pPr>
              <w:jc w:val="center"/>
              <w:rPr>
                <w:rFonts w:ascii="Helvetica" w:eastAsia="Times New Roman" w:hAnsi="Helvetica"/>
                <w:b/>
                <w:bCs/>
                <w:color w:val="000000"/>
                <w:sz w:val="18"/>
                <w:szCs w:val="18"/>
              </w:rPr>
            </w:pPr>
            <w:r w:rsidRPr="0074036E">
              <w:rPr>
                <w:rFonts w:ascii="Helvetica" w:eastAsia="Times New Roman" w:hAnsi="Helvetica"/>
                <w:b/>
                <w:bCs/>
                <w:color w:val="000000"/>
                <w:sz w:val="18"/>
                <w:szCs w:val="18"/>
              </w:rPr>
              <w:t>COMPANY RATING</w:t>
            </w:r>
          </w:p>
        </w:tc>
      </w:tr>
      <w:tr w:rsidR="009A6788" w:rsidRPr="0074036E" w14:paraId="6EBC2744" w14:textId="77777777" w:rsidTr="009A6788">
        <w:trPr>
          <w:trHeight w:val="615"/>
        </w:trPr>
        <w:tc>
          <w:tcPr>
            <w:tcW w:w="736" w:type="dxa"/>
            <w:vMerge/>
            <w:tcBorders>
              <w:top w:val="single" w:sz="4" w:space="0" w:color="A5A5A5"/>
              <w:left w:val="single" w:sz="4" w:space="0" w:color="A5A5A5"/>
              <w:bottom w:val="single" w:sz="4" w:space="0" w:color="3F3F3F"/>
              <w:right w:val="single" w:sz="4" w:space="0" w:color="A5A5A5"/>
            </w:tcBorders>
            <w:shd w:val="clear" w:color="auto" w:fill="auto"/>
            <w:vAlign w:val="center"/>
            <w:hideMark/>
          </w:tcPr>
          <w:p w14:paraId="1D0A869D" w14:textId="77777777" w:rsidR="009A6788" w:rsidRPr="0074036E" w:rsidRDefault="009A6788" w:rsidP="009A6788">
            <w:pPr>
              <w:rPr>
                <w:rFonts w:ascii="Helvetica" w:eastAsia="Times New Roman" w:hAnsi="Helvetica"/>
                <w:b/>
                <w:bCs/>
                <w:color w:val="000000"/>
                <w:sz w:val="18"/>
                <w:szCs w:val="18"/>
              </w:rPr>
            </w:pPr>
          </w:p>
        </w:tc>
        <w:tc>
          <w:tcPr>
            <w:tcW w:w="1419" w:type="dxa"/>
            <w:vMerge/>
            <w:tcBorders>
              <w:top w:val="single" w:sz="4" w:space="0" w:color="A5A5A5"/>
              <w:left w:val="single" w:sz="4" w:space="0" w:color="A5A5A5"/>
              <w:bottom w:val="single" w:sz="4" w:space="0" w:color="3F3F3F"/>
              <w:right w:val="single" w:sz="4" w:space="0" w:color="A5A5A5"/>
            </w:tcBorders>
            <w:shd w:val="clear" w:color="auto" w:fill="auto"/>
            <w:vAlign w:val="center"/>
            <w:hideMark/>
          </w:tcPr>
          <w:p w14:paraId="37DB04C2" w14:textId="77777777" w:rsidR="009A6788" w:rsidRPr="0074036E" w:rsidRDefault="009A6788" w:rsidP="009A6788">
            <w:pPr>
              <w:rPr>
                <w:rFonts w:ascii="Helvetica" w:eastAsia="Times New Roman" w:hAnsi="Helvetica"/>
                <w:b/>
                <w:bCs/>
                <w:color w:val="000000"/>
                <w:sz w:val="18"/>
                <w:szCs w:val="18"/>
              </w:rPr>
            </w:pPr>
          </w:p>
        </w:tc>
        <w:tc>
          <w:tcPr>
            <w:tcW w:w="1440" w:type="dxa"/>
            <w:tcBorders>
              <w:top w:val="nil"/>
              <w:left w:val="nil"/>
              <w:bottom w:val="single" w:sz="4" w:space="0" w:color="3F3F3F"/>
              <w:right w:val="single" w:sz="4" w:space="0" w:color="A5A5A5"/>
            </w:tcBorders>
            <w:shd w:val="clear" w:color="auto" w:fill="auto"/>
            <w:vAlign w:val="center"/>
            <w:hideMark/>
          </w:tcPr>
          <w:p w14:paraId="68526A81" w14:textId="77777777" w:rsidR="009A6788" w:rsidRPr="0074036E" w:rsidRDefault="009A6788" w:rsidP="009A6788">
            <w:pPr>
              <w:jc w:val="center"/>
              <w:rPr>
                <w:rFonts w:ascii="Helvetica" w:eastAsia="Times New Roman" w:hAnsi="Helvetica"/>
                <w:b/>
                <w:bCs/>
                <w:color w:val="000000"/>
                <w:sz w:val="18"/>
                <w:szCs w:val="18"/>
              </w:rPr>
            </w:pPr>
            <w:r w:rsidRPr="0074036E">
              <w:rPr>
                <w:rFonts w:ascii="Helvetica" w:eastAsia="Times New Roman" w:hAnsi="Helvetica"/>
                <w:b/>
                <w:bCs/>
                <w:color w:val="000000"/>
                <w:sz w:val="18"/>
                <w:szCs w:val="18"/>
              </w:rPr>
              <w:t>AVERAGE DIFFICULTY</w:t>
            </w:r>
          </w:p>
        </w:tc>
        <w:tc>
          <w:tcPr>
            <w:tcW w:w="1440" w:type="dxa"/>
            <w:tcBorders>
              <w:top w:val="nil"/>
              <w:left w:val="nil"/>
              <w:bottom w:val="single" w:sz="4" w:space="0" w:color="3F3F3F"/>
              <w:right w:val="single" w:sz="4" w:space="0" w:color="A5A5A5"/>
            </w:tcBorders>
            <w:shd w:val="clear" w:color="auto" w:fill="auto"/>
            <w:vAlign w:val="center"/>
            <w:hideMark/>
          </w:tcPr>
          <w:p w14:paraId="3CCCC383" w14:textId="77777777" w:rsidR="009A6788" w:rsidRPr="0074036E" w:rsidRDefault="009A6788" w:rsidP="009A6788">
            <w:pPr>
              <w:jc w:val="center"/>
              <w:rPr>
                <w:rFonts w:ascii="Helvetica" w:eastAsia="Times New Roman" w:hAnsi="Helvetica"/>
                <w:b/>
                <w:bCs/>
                <w:color w:val="000000"/>
                <w:sz w:val="18"/>
                <w:szCs w:val="18"/>
              </w:rPr>
            </w:pPr>
            <w:r w:rsidRPr="0074036E">
              <w:rPr>
                <w:rFonts w:ascii="Helvetica" w:eastAsia="Times New Roman" w:hAnsi="Helvetica"/>
                <w:b/>
                <w:bCs/>
                <w:color w:val="000000"/>
                <w:sz w:val="18"/>
                <w:szCs w:val="18"/>
              </w:rPr>
              <w:t>POSITIVE EXPERIENCE</w:t>
            </w:r>
          </w:p>
        </w:tc>
        <w:tc>
          <w:tcPr>
            <w:tcW w:w="1377" w:type="dxa"/>
            <w:tcBorders>
              <w:top w:val="nil"/>
              <w:left w:val="nil"/>
              <w:bottom w:val="single" w:sz="4" w:space="0" w:color="3F3F3F"/>
              <w:right w:val="single" w:sz="4" w:space="0" w:color="A5A5A5"/>
            </w:tcBorders>
            <w:shd w:val="clear" w:color="auto" w:fill="auto"/>
            <w:vAlign w:val="center"/>
            <w:hideMark/>
          </w:tcPr>
          <w:p w14:paraId="16753A9B" w14:textId="77777777" w:rsidR="009A6788" w:rsidRPr="0074036E" w:rsidRDefault="009A6788" w:rsidP="009A6788">
            <w:pPr>
              <w:jc w:val="center"/>
              <w:rPr>
                <w:rFonts w:ascii="Helvetica" w:eastAsia="Times New Roman" w:hAnsi="Helvetica"/>
                <w:b/>
                <w:bCs/>
                <w:color w:val="000000"/>
                <w:sz w:val="18"/>
                <w:szCs w:val="18"/>
              </w:rPr>
            </w:pPr>
            <w:r w:rsidRPr="0074036E">
              <w:rPr>
                <w:rFonts w:ascii="Helvetica" w:eastAsia="Times New Roman" w:hAnsi="Helvetica"/>
                <w:b/>
                <w:bCs/>
                <w:color w:val="000000"/>
                <w:sz w:val="18"/>
                <w:szCs w:val="18"/>
              </w:rPr>
              <w:t>NEGATIVE EXPERIENCE</w:t>
            </w:r>
          </w:p>
        </w:tc>
        <w:tc>
          <w:tcPr>
            <w:tcW w:w="1233" w:type="dxa"/>
            <w:tcBorders>
              <w:top w:val="nil"/>
              <w:left w:val="nil"/>
              <w:bottom w:val="single" w:sz="4" w:space="0" w:color="3F3F3F"/>
              <w:right w:val="single" w:sz="4" w:space="0" w:color="A5A5A5"/>
            </w:tcBorders>
            <w:shd w:val="clear" w:color="auto" w:fill="auto"/>
            <w:vAlign w:val="center"/>
            <w:hideMark/>
          </w:tcPr>
          <w:p w14:paraId="2A5600C3" w14:textId="77777777" w:rsidR="009A6788" w:rsidRPr="0074036E" w:rsidRDefault="009A6788" w:rsidP="009A6788">
            <w:pPr>
              <w:jc w:val="center"/>
              <w:rPr>
                <w:rFonts w:ascii="Helvetica" w:eastAsia="Times New Roman" w:hAnsi="Helvetica"/>
                <w:b/>
                <w:bCs/>
                <w:color w:val="000000"/>
                <w:sz w:val="18"/>
                <w:szCs w:val="18"/>
              </w:rPr>
            </w:pPr>
            <w:r w:rsidRPr="0074036E">
              <w:rPr>
                <w:rFonts w:ascii="Helvetica" w:eastAsia="Times New Roman" w:hAnsi="Helvetica"/>
                <w:b/>
                <w:bCs/>
                <w:color w:val="000000"/>
                <w:sz w:val="18"/>
                <w:szCs w:val="18"/>
              </w:rPr>
              <w:t>NUMBER OF DAYS</w:t>
            </w:r>
          </w:p>
        </w:tc>
        <w:tc>
          <w:tcPr>
            <w:tcW w:w="1546" w:type="dxa"/>
            <w:tcBorders>
              <w:top w:val="nil"/>
              <w:left w:val="nil"/>
              <w:bottom w:val="single" w:sz="4" w:space="0" w:color="3F3F3F"/>
              <w:right w:val="single" w:sz="4" w:space="0" w:color="A5A5A5"/>
            </w:tcBorders>
            <w:shd w:val="clear" w:color="auto" w:fill="auto"/>
            <w:vAlign w:val="center"/>
            <w:hideMark/>
          </w:tcPr>
          <w:p w14:paraId="4067F203" w14:textId="77777777" w:rsidR="009A6788" w:rsidRPr="0074036E" w:rsidRDefault="009A6788" w:rsidP="009A6788">
            <w:pPr>
              <w:jc w:val="center"/>
              <w:rPr>
                <w:rFonts w:ascii="Helvetica" w:eastAsia="Times New Roman" w:hAnsi="Helvetica"/>
                <w:b/>
                <w:bCs/>
                <w:color w:val="000000"/>
                <w:sz w:val="18"/>
                <w:szCs w:val="18"/>
              </w:rPr>
            </w:pPr>
            <w:r w:rsidRPr="0074036E">
              <w:rPr>
                <w:rFonts w:ascii="Helvetica" w:eastAsia="Times New Roman" w:hAnsi="Helvetica"/>
                <w:b/>
                <w:bCs/>
                <w:color w:val="000000"/>
                <w:sz w:val="18"/>
                <w:szCs w:val="18"/>
              </w:rPr>
              <w:t>EMPLOYEE SATISFACTION</w:t>
            </w:r>
          </w:p>
        </w:tc>
      </w:tr>
      <w:tr w:rsidR="009A6788" w:rsidRPr="0074036E" w14:paraId="3F4A184B" w14:textId="77777777" w:rsidTr="009A6788">
        <w:trPr>
          <w:trHeight w:val="409"/>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433B5529"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1</w:t>
            </w:r>
          </w:p>
        </w:tc>
        <w:tc>
          <w:tcPr>
            <w:tcW w:w="1419" w:type="dxa"/>
            <w:tcBorders>
              <w:top w:val="nil"/>
              <w:left w:val="nil"/>
              <w:bottom w:val="single" w:sz="4" w:space="0" w:color="A5A5A5"/>
              <w:right w:val="single" w:sz="4" w:space="0" w:color="A5A5A5"/>
            </w:tcBorders>
            <w:shd w:val="clear" w:color="auto" w:fill="auto"/>
            <w:vAlign w:val="center"/>
            <w:hideMark/>
          </w:tcPr>
          <w:p w14:paraId="563EF0AB"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McKinsey &amp; Company</w:t>
            </w:r>
          </w:p>
        </w:tc>
        <w:tc>
          <w:tcPr>
            <w:tcW w:w="1440" w:type="dxa"/>
            <w:tcBorders>
              <w:top w:val="nil"/>
              <w:left w:val="nil"/>
              <w:bottom w:val="single" w:sz="4" w:space="0" w:color="A5A5A5"/>
              <w:right w:val="single" w:sz="4" w:space="0" w:color="A5A5A5"/>
            </w:tcBorders>
            <w:shd w:val="clear" w:color="auto" w:fill="auto"/>
            <w:vAlign w:val="center"/>
            <w:hideMark/>
          </w:tcPr>
          <w:p w14:paraId="47A3A3BE"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3.9</w:t>
            </w:r>
          </w:p>
        </w:tc>
        <w:tc>
          <w:tcPr>
            <w:tcW w:w="1440" w:type="dxa"/>
            <w:tcBorders>
              <w:top w:val="nil"/>
              <w:left w:val="nil"/>
              <w:bottom w:val="single" w:sz="4" w:space="0" w:color="A5A5A5"/>
              <w:right w:val="single" w:sz="4" w:space="0" w:color="A5A5A5"/>
            </w:tcBorders>
            <w:shd w:val="clear" w:color="auto" w:fill="auto"/>
            <w:vAlign w:val="center"/>
            <w:hideMark/>
          </w:tcPr>
          <w:p w14:paraId="6BCD7EC5"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77%</w:t>
            </w:r>
          </w:p>
        </w:tc>
        <w:tc>
          <w:tcPr>
            <w:tcW w:w="1377" w:type="dxa"/>
            <w:tcBorders>
              <w:top w:val="nil"/>
              <w:left w:val="nil"/>
              <w:bottom w:val="single" w:sz="4" w:space="0" w:color="A5A5A5"/>
              <w:right w:val="single" w:sz="4" w:space="0" w:color="A5A5A5"/>
            </w:tcBorders>
            <w:shd w:val="clear" w:color="auto" w:fill="auto"/>
            <w:vAlign w:val="center"/>
            <w:hideMark/>
          </w:tcPr>
          <w:p w14:paraId="45854819"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12%</w:t>
            </w:r>
          </w:p>
        </w:tc>
        <w:tc>
          <w:tcPr>
            <w:tcW w:w="1233" w:type="dxa"/>
            <w:tcBorders>
              <w:top w:val="nil"/>
              <w:left w:val="nil"/>
              <w:bottom w:val="single" w:sz="4" w:space="0" w:color="A5A5A5"/>
              <w:right w:val="single" w:sz="4" w:space="0" w:color="A5A5A5"/>
            </w:tcBorders>
            <w:shd w:val="clear" w:color="auto" w:fill="auto"/>
            <w:vAlign w:val="center"/>
            <w:hideMark/>
          </w:tcPr>
          <w:p w14:paraId="252BBCBA"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39</w:t>
            </w:r>
          </w:p>
        </w:tc>
        <w:tc>
          <w:tcPr>
            <w:tcW w:w="1546" w:type="dxa"/>
            <w:tcBorders>
              <w:top w:val="nil"/>
              <w:left w:val="nil"/>
              <w:bottom w:val="single" w:sz="4" w:space="0" w:color="A5A5A5"/>
              <w:right w:val="single" w:sz="4" w:space="0" w:color="A5A5A5"/>
            </w:tcBorders>
            <w:shd w:val="clear" w:color="auto" w:fill="auto"/>
            <w:vAlign w:val="center"/>
            <w:hideMark/>
          </w:tcPr>
          <w:p w14:paraId="19F3F6A7"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4.3</w:t>
            </w:r>
          </w:p>
        </w:tc>
      </w:tr>
      <w:tr w:rsidR="009A6788" w:rsidRPr="0074036E" w14:paraId="5099F74A" w14:textId="77777777" w:rsidTr="009A6788">
        <w:trPr>
          <w:trHeight w:val="349"/>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1892D4DB"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2</w:t>
            </w:r>
          </w:p>
        </w:tc>
        <w:tc>
          <w:tcPr>
            <w:tcW w:w="1419" w:type="dxa"/>
            <w:tcBorders>
              <w:top w:val="nil"/>
              <w:left w:val="nil"/>
              <w:bottom w:val="single" w:sz="4" w:space="0" w:color="A5A5A5"/>
              <w:right w:val="single" w:sz="4" w:space="0" w:color="A5A5A5"/>
            </w:tcBorders>
            <w:shd w:val="clear" w:color="auto" w:fill="auto"/>
            <w:vAlign w:val="center"/>
            <w:hideMark/>
          </w:tcPr>
          <w:p w14:paraId="53FCA6B4" w14:textId="77777777" w:rsidR="009A6788" w:rsidRPr="0074036E" w:rsidRDefault="009A6788" w:rsidP="009A6788">
            <w:pPr>
              <w:jc w:val="center"/>
              <w:rPr>
                <w:rFonts w:ascii="Helvetica" w:eastAsia="Times New Roman" w:hAnsi="Helvetica"/>
                <w:color w:val="000000"/>
                <w:sz w:val="18"/>
                <w:szCs w:val="18"/>
              </w:rPr>
            </w:pPr>
            <w:proofErr w:type="spellStart"/>
            <w:r w:rsidRPr="0074036E">
              <w:rPr>
                <w:rFonts w:ascii="Helvetica" w:eastAsia="Times New Roman" w:hAnsi="Helvetica"/>
                <w:color w:val="000000"/>
                <w:sz w:val="18"/>
                <w:szCs w:val="18"/>
              </w:rPr>
              <w:t>ThoughtWorks</w:t>
            </w:r>
            <w:proofErr w:type="spellEnd"/>
          </w:p>
        </w:tc>
        <w:tc>
          <w:tcPr>
            <w:tcW w:w="1440" w:type="dxa"/>
            <w:tcBorders>
              <w:top w:val="nil"/>
              <w:left w:val="nil"/>
              <w:bottom w:val="single" w:sz="4" w:space="0" w:color="A5A5A5"/>
              <w:right w:val="single" w:sz="4" w:space="0" w:color="A5A5A5"/>
            </w:tcBorders>
            <w:shd w:val="clear" w:color="auto" w:fill="auto"/>
            <w:vAlign w:val="center"/>
            <w:hideMark/>
          </w:tcPr>
          <w:p w14:paraId="1E943CBB"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3.9</w:t>
            </w:r>
          </w:p>
        </w:tc>
        <w:tc>
          <w:tcPr>
            <w:tcW w:w="1440" w:type="dxa"/>
            <w:tcBorders>
              <w:top w:val="nil"/>
              <w:left w:val="nil"/>
              <w:bottom w:val="single" w:sz="4" w:space="0" w:color="A5A5A5"/>
              <w:right w:val="single" w:sz="4" w:space="0" w:color="A5A5A5"/>
            </w:tcBorders>
            <w:shd w:val="clear" w:color="auto" w:fill="auto"/>
            <w:vAlign w:val="center"/>
            <w:hideMark/>
          </w:tcPr>
          <w:p w14:paraId="37EA96A5"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73%</w:t>
            </w:r>
          </w:p>
        </w:tc>
        <w:tc>
          <w:tcPr>
            <w:tcW w:w="1377" w:type="dxa"/>
            <w:tcBorders>
              <w:top w:val="nil"/>
              <w:left w:val="nil"/>
              <w:bottom w:val="single" w:sz="4" w:space="0" w:color="A5A5A5"/>
              <w:right w:val="single" w:sz="4" w:space="0" w:color="A5A5A5"/>
            </w:tcBorders>
            <w:shd w:val="clear" w:color="auto" w:fill="auto"/>
            <w:vAlign w:val="center"/>
            <w:hideMark/>
          </w:tcPr>
          <w:p w14:paraId="3DA20112"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14%</w:t>
            </w:r>
          </w:p>
        </w:tc>
        <w:tc>
          <w:tcPr>
            <w:tcW w:w="1233" w:type="dxa"/>
            <w:tcBorders>
              <w:top w:val="nil"/>
              <w:left w:val="nil"/>
              <w:bottom w:val="single" w:sz="4" w:space="0" w:color="A5A5A5"/>
              <w:right w:val="single" w:sz="4" w:space="0" w:color="A5A5A5"/>
            </w:tcBorders>
            <w:shd w:val="clear" w:color="auto" w:fill="auto"/>
            <w:vAlign w:val="center"/>
            <w:hideMark/>
          </w:tcPr>
          <w:p w14:paraId="0B0FF42C"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43</w:t>
            </w:r>
          </w:p>
        </w:tc>
        <w:tc>
          <w:tcPr>
            <w:tcW w:w="1546" w:type="dxa"/>
            <w:tcBorders>
              <w:top w:val="nil"/>
              <w:left w:val="nil"/>
              <w:bottom w:val="single" w:sz="4" w:space="0" w:color="A5A5A5"/>
              <w:right w:val="single" w:sz="4" w:space="0" w:color="A5A5A5"/>
            </w:tcBorders>
            <w:shd w:val="clear" w:color="auto" w:fill="auto"/>
            <w:vAlign w:val="center"/>
            <w:hideMark/>
          </w:tcPr>
          <w:p w14:paraId="7E16ED49"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4.1</w:t>
            </w:r>
          </w:p>
        </w:tc>
      </w:tr>
      <w:tr w:rsidR="009A6788" w:rsidRPr="0074036E" w14:paraId="2F813E52" w14:textId="77777777" w:rsidTr="009A6788">
        <w:trPr>
          <w:trHeight w:val="510"/>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3DB0AFC5"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3</w:t>
            </w:r>
          </w:p>
        </w:tc>
        <w:tc>
          <w:tcPr>
            <w:tcW w:w="1419" w:type="dxa"/>
            <w:tcBorders>
              <w:top w:val="nil"/>
              <w:left w:val="nil"/>
              <w:bottom w:val="single" w:sz="4" w:space="0" w:color="A5A5A5"/>
              <w:right w:val="single" w:sz="4" w:space="0" w:color="A5A5A5"/>
            </w:tcBorders>
            <w:shd w:val="clear" w:color="auto" w:fill="auto"/>
            <w:vAlign w:val="center"/>
            <w:hideMark/>
          </w:tcPr>
          <w:p w14:paraId="3E53E2E5"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Boston Consulting Group</w:t>
            </w:r>
          </w:p>
        </w:tc>
        <w:tc>
          <w:tcPr>
            <w:tcW w:w="1440" w:type="dxa"/>
            <w:tcBorders>
              <w:top w:val="nil"/>
              <w:left w:val="nil"/>
              <w:bottom w:val="single" w:sz="4" w:space="0" w:color="A5A5A5"/>
              <w:right w:val="single" w:sz="4" w:space="0" w:color="A5A5A5"/>
            </w:tcBorders>
            <w:shd w:val="clear" w:color="auto" w:fill="auto"/>
            <w:vAlign w:val="center"/>
            <w:hideMark/>
          </w:tcPr>
          <w:p w14:paraId="33344C3A"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3.8</w:t>
            </w:r>
          </w:p>
        </w:tc>
        <w:tc>
          <w:tcPr>
            <w:tcW w:w="1440" w:type="dxa"/>
            <w:tcBorders>
              <w:top w:val="nil"/>
              <w:left w:val="nil"/>
              <w:bottom w:val="single" w:sz="4" w:space="0" w:color="A5A5A5"/>
              <w:right w:val="single" w:sz="4" w:space="0" w:color="A5A5A5"/>
            </w:tcBorders>
            <w:shd w:val="clear" w:color="auto" w:fill="auto"/>
            <w:vAlign w:val="center"/>
            <w:hideMark/>
          </w:tcPr>
          <w:p w14:paraId="785D0929"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74%</w:t>
            </w:r>
          </w:p>
        </w:tc>
        <w:tc>
          <w:tcPr>
            <w:tcW w:w="1377" w:type="dxa"/>
            <w:tcBorders>
              <w:top w:val="nil"/>
              <w:left w:val="nil"/>
              <w:bottom w:val="single" w:sz="4" w:space="0" w:color="A5A5A5"/>
              <w:right w:val="single" w:sz="4" w:space="0" w:color="A5A5A5"/>
            </w:tcBorders>
            <w:shd w:val="clear" w:color="auto" w:fill="auto"/>
            <w:vAlign w:val="center"/>
            <w:hideMark/>
          </w:tcPr>
          <w:p w14:paraId="24355DA9"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12%</w:t>
            </w:r>
          </w:p>
        </w:tc>
        <w:tc>
          <w:tcPr>
            <w:tcW w:w="1233" w:type="dxa"/>
            <w:tcBorders>
              <w:top w:val="nil"/>
              <w:left w:val="nil"/>
              <w:bottom w:val="single" w:sz="4" w:space="0" w:color="A5A5A5"/>
              <w:right w:val="single" w:sz="4" w:space="0" w:color="A5A5A5"/>
            </w:tcBorders>
            <w:shd w:val="clear" w:color="auto" w:fill="auto"/>
            <w:vAlign w:val="center"/>
            <w:hideMark/>
          </w:tcPr>
          <w:p w14:paraId="2E56E84C"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32</w:t>
            </w:r>
          </w:p>
        </w:tc>
        <w:tc>
          <w:tcPr>
            <w:tcW w:w="1546" w:type="dxa"/>
            <w:tcBorders>
              <w:top w:val="nil"/>
              <w:left w:val="nil"/>
              <w:bottom w:val="single" w:sz="4" w:space="0" w:color="A5A5A5"/>
              <w:right w:val="single" w:sz="4" w:space="0" w:color="A5A5A5"/>
            </w:tcBorders>
            <w:shd w:val="clear" w:color="auto" w:fill="auto"/>
            <w:vAlign w:val="center"/>
            <w:hideMark/>
          </w:tcPr>
          <w:p w14:paraId="571A8586"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4.3</w:t>
            </w:r>
          </w:p>
        </w:tc>
      </w:tr>
      <w:tr w:rsidR="009A6788" w:rsidRPr="0074036E" w14:paraId="065A924F" w14:textId="77777777" w:rsidTr="009A6788">
        <w:trPr>
          <w:trHeight w:val="295"/>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0C40A510"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4</w:t>
            </w:r>
          </w:p>
        </w:tc>
        <w:tc>
          <w:tcPr>
            <w:tcW w:w="1419" w:type="dxa"/>
            <w:tcBorders>
              <w:top w:val="nil"/>
              <w:left w:val="nil"/>
              <w:bottom w:val="single" w:sz="4" w:space="0" w:color="A5A5A5"/>
              <w:right w:val="single" w:sz="4" w:space="0" w:color="A5A5A5"/>
            </w:tcBorders>
            <w:shd w:val="clear" w:color="auto" w:fill="auto"/>
            <w:vAlign w:val="center"/>
            <w:hideMark/>
          </w:tcPr>
          <w:p w14:paraId="2708FF0D"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Gartner</w:t>
            </w:r>
          </w:p>
        </w:tc>
        <w:tc>
          <w:tcPr>
            <w:tcW w:w="1440" w:type="dxa"/>
            <w:tcBorders>
              <w:top w:val="nil"/>
              <w:left w:val="nil"/>
              <w:bottom w:val="single" w:sz="4" w:space="0" w:color="A5A5A5"/>
              <w:right w:val="single" w:sz="4" w:space="0" w:color="A5A5A5"/>
            </w:tcBorders>
            <w:shd w:val="clear" w:color="auto" w:fill="auto"/>
            <w:vAlign w:val="center"/>
            <w:hideMark/>
          </w:tcPr>
          <w:p w14:paraId="1F2D5DF5"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3.7</w:t>
            </w:r>
          </w:p>
        </w:tc>
        <w:tc>
          <w:tcPr>
            <w:tcW w:w="1440" w:type="dxa"/>
            <w:tcBorders>
              <w:top w:val="nil"/>
              <w:left w:val="nil"/>
              <w:bottom w:val="single" w:sz="4" w:space="0" w:color="A5A5A5"/>
              <w:right w:val="single" w:sz="4" w:space="0" w:color="A5A5A5"/>
            </w:tcBorders>
            <w:shd w:val="clear" w:color="auto" w:fill="auto"/>
            <w:vAlign w:val="center"/>
            <w:hideMark/>
          </w:tcPr>
          <w:p w14:paraId="2A7A3761"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62%</w:t>
            </w:r>
          </w:p>
        </w:tc>
        <w:tc>
          <w:tcPr>
            <w:tcW w:w="1377" w:type="dxa"/>
            <w:tcBorders>
              <w:top w:val="nil"/>
              <w:left w:val="nil"/>
              <w:bottom w:val="single" w:sz="4" w:space="0" w:color="A5A5A5"/>
              <w:right w:val="single" w:sz="4" w:space="0" w:color="A5A5A5"/>
            </w:tcBorders>
            <w:shd w:val="clear" w:color="auto" w:fill="auto"/>
            <w:vAlign w:val="center"/>
            <w:hideMark/>
          </w:tcPr>
          <w:p w14:paraId="2DAB40A2"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19%</w:t>
            </w:r>
          </w:p>
        </w:tc>
        <w:tc>
          <w:tcPr>
            <w:tcW w:w="1233" w:type="dxa"/>
            <w:tcBorders>
              <w:top w:val="nil"/>
              <w:left w:val="nil"/>
              <w:bottom w:val="single" w:sz="4" w:space="0" w:color="A5A5A5"/>
              <w:right w:val="single" w:sz="4" w:space="0" w:color="A5A5A5"/>
            </w:tcBorders>
            <w:shd w:val="clear" w:color="auto" w:fill="auto"/>
            <w:vAlign w:val="center"/>
            <w:hideMark/>
          </w:tcPr>
          <w:p w14:paraId="1DDB49C4"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35</w:t>
            </w:r>
          </w:p>
        </w:tc>
        <w:tc>
          <w:tcPr>
            <w:tcW w:w="1546" w:type="dxa"/>
            <w:tcBorders>
              <w:top w:val="nil"/>
              <w:left w:val="nil"/>
              <w:bottom w:val="single" w:sz="4" w:space="0" w:color="A5A5A5"/>
              <w:right w:val="single" w:sz="4" w:space="0" w:color="A5A5A5"/>
            </w:tcBorders>
            <w:shd w:val="clear" w:color="auto" w:fill="auto"/>
            <w:vAlign w:val="center"/>
            <w:hideMark/>
          </w:tcPr>
          <w:p w14:paraId="00A99F8D"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4</w:t>
            </w:r>
            <w:r>
              <w:rPr>
                <w:rFonts w:ascii="Helvetica" w:eastAsia="Times New Roman" w:hAnsi="Helvetica"/>
                <w:color w:val="000000"/>
                <w:sz w:val="18"/>
                <w:szCs w:val="18"/>
              </w:rPr>
              <w:t>.0</w:t>
            </w:r>
          </w:p>
        </w:tc>
      </w:tr>
      <w:tr w:rsidR="009A6788" w:rsidRPr="0074036E" w14:paraId="39005309" w14:textId="77777777" w:rsidTr="009A6788">
        <w:trPr>
          <w:trHeight w:val="405"/>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5BAB8903"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5</w:t>
            </w:r>
          </w:p>
        </w:tc>
        <w:tc>
          <w:tcPr>
            <w:tcW w:w="1419" w:type="dxa"/>
            <w:tcBorders>
              <w:top w:val="nil"/>
              <w:left w:val="nil"/>
              <w:bottom w:val="single" w:sz="4" w:space="0" w:color="A5A5A5"/>
              <w:right w:val="single" w:sz="4" w:space="0" w:color="A5A5A5"/>
            </w:tcBorders>
            <w:shd w:val="clear" w:color="auto" w:fill="auto"/>
            <w:vAlign w:val="center"/>
            <w:hideMark/>
          </w:tcPr>
          <w:p w14:paraId="5EB412C9"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Bain &amp; Company</w:t>
            </w:r>
          </w:p>
        </w:tc>
        <w:tc>
          <w:tcPr>
            <w:tcW w:w="1440" w:type="dxa"/>
            <w:tcBorders>
              <w:top w:val="nil"/>
              <w:left w:val="nil"/>
              <w:bottom w:val="single" w:sz="4" w:space="0" w:color="A5A5A5"/>
              <w:right w:val="single" w:sz="4" w:space="0" w:color="A5A5A5"/>
            </w:tcBorders>
            <w:shd w:val="clear" w:color="auto" w:fill="auto"/>
            <w:vAlign w:val="center"/>
            <w:hideMark/>
          </w:tcPr>
          <w:p w14:paraId="3D4189AD"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3.7</w:t>
            </w:r>
          </w:p>
        </w:tc>
        <w:tc>
          <w:tcPr>
            <w:tcW w:w="1440" w:type="dxa"/>
            <w:tcBorders>
              <w:top w:val="nil"/>
              <w:left w:val="nil"/>
              <w:bottom w:val="single" w:sz="4" w:space="0" w:color="A5A5A5"/>
              <w:right w:val="single" w:sz="4" w:space="0" w:color="A5A5A5"/>
            </w:tcBorders>
            <w:shd w:val="clear" w:color="auto" w:fill="auto"/>
            <w:vAlign w:val="center"/>
            <w:hideMark/>
          </w:tcPr>
          <w:p w14:paraId="164B97D4"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84%</w:t>
            </w:r>
          </w:p>
        </w:tc>
        <w:tc>
          <w:tcPr>
            <w:tcW w:w="1377" w:type="dxa"/>
            <w:tcBorders>
              <w:top w:val="nil"/>
              <w:left w:val="nil"/>
              <w:bottom w:val="single" w:sz="4" w:space="0" w:color="A5A5A5"/>
              <w:right w:val="single" w:sz="4" w:space="0" w:color="A5A5A5"/>
            </w:tcBorders>
            <w:shd w:val="clear" w:color="auto" w:fill="auto"/>
            <w:vAlign w:val="center"/>
            <w:hideMark/>
          </w:tcPr>
          <w:p w14:paraId="6D0C5BA8"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0%</w:t>
            </w:r>
          </w:p>
        </w:tc>
        <w:tc>
          <w:tcPr>
            <w:tcW w:w="1233" w:type="dxa"/>
            <w:tcBorders>
              <w:top w:val="nil"/>
              <w:left w:val="nil"/>
              <w:bottom w:val="single" w:sz="4" w:space="0" w:color="A5A5A5"/>
              <w:right w:val="single" w:sz="4" w:space="0" w:color="A5A5A5"/>
            </w:tcBorders>
            <w:shd w:val="clear" w:color="auto" w:fill="auto"/>
            <w:vAlign w:val="center"/>
            <w:hideMark/>
          </w:tcPr>
          <w:p w14:paraId="0E252C5A"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28</w:t>
            </w:r>
          </w:p>
        </w:tc>
        <w:tc>
          <w:tcPr>
            <w:tcW w:w="1546" w:type="dxa"/>
            <w:tcBorders>
              <w:top w:val="nil"/>
              <w:left w:val="nil"/>
              <w:bottom w:val="single" w:sz="4" w:space="0" w:color="A5A5A5"/>
              <w:right w:val="single" w:sz="4" w:space="0" w:color="A5A5A5"/>
            </w:tcBorders>
            <w:shd w:val="clear" w:color="auto" w:fill="auto"/>
            <w:vAlign w:val="center"/>
            <w:hideMark/>
          </w:tcPr>
          <w:p w14:paraId="432336F6"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4.5</w:t>
            </w:r>
          </w:p>
        </w:tc>
      </w:tr>
      <w:tr w:rsidR="009A6788" w:rsidRPr="0074036E" w14:paraId="5DACE1FD" w14:textId="77777777" w:rsidTr="009A6788">
        <w:trPr>
          <w:trHeight w:val="286"/>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5C7E47AD"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6</w:t>
            </w:r>
          </w:p>
        </w:tc>
        <w:tc>
          <w:tcPr>
            <w:tcW w:w="1419" w:type="dxa"/>
            <w:tcBorders>
              <w:top w:val="nil"/>
              <w:left w:val="nil"/>
              <w:bottom w:val="single" w:sz="4" w:space="0" w:color="A5A5A5"/>
              <w:right w:val="single" w:sz="4" w:space="0" w:color="A5A5A5"/>
            </w:tcBorders>
            <w:shd w:val="clear" w:color="auto" w:fill="auto"/>
            <w:vAlign w:val="center"/>
            <w:hideMark/>
          </w:tcPr>
          <w:p w14:paraId="739095A8"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Rolls-Royce</w:t>
            </w:r>
          </w:p>
        </w:tc>
        <w:tc>
          <w:tcPr>
            <w:tcW w:w="1440" w:type="dxa"/>
            <w:tcBorders>
              <w:top w:val="nil"/>
              <w:left w:val="nil"/>
              <w:bottom w:val="single" w:sz="4" w:space="0" w:color="A5A5A5"/>
              <w:right w:val="single" w:sz="4" w:space="0" w:color="A5A5A5"/>
            </w:tcBorders>
            <w:shd w:val="clear" w:color="auto" w:fill="auto"/>
            <w:vAlign w:val="center"/>
            <w:hideMark/>
          </w:tcPr>
          <w:p w14:paraId="0CCA37C2"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3.6</w:t>
            </w:r>
          </w:p>
        </w:tc>
        <w:tc>
          <w:tcPr>
            <w:tcW w:w="1440" w:type="dxa"/>
            <w:tcBorders>
              <w:top w:val="nil"/>
              <w:left w:val="nil"/>
              <w:bottom w:val="single" w:sz="4" w:space="0" w:color="A5A5A5"/>
              <w:right w:val="single" w:sz="4" w:space="0" w:color="A5A5A5"/>
            </w:tcBorders>
            <w:shd w:val="clear" w:color="auto" w:fill="auto"/>
            <w:vAlign w:val="center"/>
            <w:hideMark/>
          </w:tcPr>
          <w:p w14:paraId="44C9CC57"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86%</w:t>
            </w:r>
          </w:p>
        </w:tc>
        <w:tc>
          <w:tcPr>
            <w:tcW w:w="1377" w:type="dxa"/>
            <w:tcBorders>
              <w:top w:val="nil"/>
              <w:left w:val="nil"/>
              <w:bottom w:val="single" w:sz="4" w:space="0" w:color="A5A5A5"/>
              <w:right w:val="single" w:sz="4" w:space="0" w:color="A5A5A5"/>
            </w:tcBorders>
            <w:shd w:val="clear" w:color="auto" w:fill="auto"/>
            <w:vAlign w:val="center"/>
            <w:hideMark/>
          </w:tcPr>
          <w:p w14:paraId="0CB10EA9"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10%</w:t>
            </w:r>
          </w:p>
        </w:tc>
        <w:tc>
          <w:tcPr>
            <w:tcW w:w="1233" w:type="dxa"/>
            <w:tcBorders>
              <w:top w:val="nil"/>
              <w:left w:val="nil"/>
              <w:bottom w:val="single" w:sz="4" w:space="0" w:color="A5A5A5"/>
              <w:right w:val="single" w:sz="4" w:space="0" w:color="A5A5A5"/>
            </w:tcBorders>
            <w:shd w:val="clear" w:color="auto" w:fill="auto"/>
            <w:vAlign w:val="center"/>
            <w:hideMark/>
          </w:tcPr>
          <w:p w14:paraId="7F8C0FD4"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46</w:t>
            </w:r>
          </w:p>
        </w:tc>
        <w:tc>
          <w:tcPr>
            <w:tcW w:w="1546" w:type="dxa"/>
            <w:tcBorders>
              <w:top w:val="nil"/>
              <w:left w:val="nil"/>
              <w:bottom w:val="single" w:sz="4" w:space="0" w:color="A5A5A5"/>
              <w:right w:val="single" w:sz="4" w:space="0" w:color="A5A5A5"/>
            </w:tcBorders>
            <w:shd w:val="clear" w:color="auto" w:fill="auto"/>
            <w:vAlign w:val="center"/>
            <w:hideMark/>
          </w:tcPr>
          <w:p w14:paraId="3B483F30"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3.5</w:t>
            </w:r>
          </w:p>
        </w:tc>
      </w:tr>
      <w:tr w:rsidR="009A6788" w:rsidRPr="0074036E" w14:paraId="1504503C" w14:textId="77777777" w:rsidTr="009A6788">
        <w:trPr>
          <w:trHeight w:val="223"/>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4C6680AC"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7</w:t>
            </w:r>
          </w:p>
        </w:tc>
        <w:tc>
          <w:tcPr>
            <w:tcW w:w="1419" w:type="dxa"/>
            <w:tcBorders>
              <w:top w:val="nil"/>
              <w:left w:val="nil"/>
              <w:bottom w:val="single" w:sz="4" w:space="0" w:color="A5A5A5"/>
              <w:right w:val="single" w:sz="4" w:space="0" w:color="A5A5A5"/>
            </w:tcBorders>
            <w:shd w:val="clear" w:color="auto" w:fill="auto"/>
            <w:vAlign w:val="center"/>
            <w:hideMark/>
          </w:tcPr>
          <w:p w14:paraId="1363378E"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ZS Associates</w:t>
            </w:r>
          </w:p>
        </w:tc>
        <w:tc>
          <w:tcPr>
            <w:tcW w:w="1440" w:type="dxa"/>
            <w:tcBorders>
              <w:top w:val="nil"/>
              <w:left w:val="nil"/>
              <w:bottom w:val="single" w:sz="4" w:space="0" w:color="A5A5A5"/>
              <w:right w:val="single" w:sz="4" w:space="0" w:color="A5A5A5"/>
            </w:tcBorders>
            <w:shd w:val="clear" w:color="auto" w:fill="auto"/>
            <w:vAlign w:val="center"/>
            <w:hideMark/>
          </w:tcPr>
          <w:p w14:paraId="6056F9BB"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3.6</w:t>
            </w:r>
          </w:p>
        </w:tc>
        <w:tc>
          <w:tcPr>
            <w:tcW w:w="1440" w:type="dxa"/>
            <w:tcBorders>
              <w:top w:val="nil"/>
              <w:left w:val="nil"/>
              <w:bottom w:val="single" w:sz="4" w:space="0" w:color="A5A5A5"/>
              <w:right w:val="single" w:sz="4" w:space="0" w:color="A5A5A5"/>
            </w:tcBorders>
            <w:shd w:val="clear" w:color="auto" w:fill="auto"/>
            <w:vAlign w:val="center"/>
            <w:hideMark/>
          </w:tcPr>
          <w:p w14:paraId="03B76F27"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72%</w:t>
            </w:r>
          </w:p>
        </w:tc>
        <w:tc>
          <w:tcPr>
            <w:tcW w:w="1377" w:type="dxa"/>
            <w:tcBorders>
              <w:top w:val="nil"/>
              <w:left w:val="nil"/>
              <w:bottom w:val="single" w:sz="4" w:space="0" w:color="A5A5A5"/>
              <w:right w:val="single" w:sz="4" w:space="0" w:color="A5A5A5"/>
            </w:tcBorders>
            <w:shd w:val="clear" w:color="auto" w:fill="auto"/>
            <w:vAlign w:val="center"/>
            <w:hideMark/>
          </w:tcPr>
          <w:p w14:paraId="2F2FD415"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17%</w:t>
            </w:r>
          </w:p>
        </w:tc>
        <w:tc>
          <w:tcPr>
            <w:tcW w:w="1233" w:type="dxa"/>
            <w:tcBorders>
              <w:top w:val="nil"/>
              <w:left w:val="nil"/>
              <w:bottom w:val="single" w:sz="4" w:space="0" w:color="A5A5A5"/>
              <w:right w:val="single" w:sz="4" w:space="0" w:color="A5A5A5"/>
            </w:tcBorders>
            <w:shd w:val="clear" w:color="auto" w:fill="auto"/>
            <w:vAlign w:val="center"/>
            <w:hideMark/>
          </w:tcPr>
          <w:p w14:paraId="58E7E3D9"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29</w:t>
            </w:r>
          </w:p>
        </w:tc>
        <w:tc>
          <w:tcPr>
            <w:tcW w:w="1546" w:type="dxa"/>
            <w:tcBorders>
              <w:top w:val="nil"/>
              <w:left w:val="nil"/>
              <w:bottom w:val="single" w:sz="4" w:space="0" w:color="A5A5A5"/>
              <w:right w:val="single" w:sz="4" w:space="0" w:color="A5A5A5"/>
            </w:tcBorders>
            <w:shd w:val="clear" w:color="auto" w:fill="auto"/>
            <w:vAlign w:val="center"/>
            <w:hideMark/>
          </w:tcPr>
          <w:p w14:paraId="531CDAD7"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3.5</w:t>
            </w:r>
          </w:p>
        </w:tc>
      </w:tr>
      <w:tr w:rsidR="009A6788" w:rsidRPr="0074036E" w14:paraId="47B5C656" w14:textId="77777777" w:rsidTr="009A6788">
        <w:trPr>
          <w:trHeight w:val="178"/>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6186D760"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8</w:t>
            </w:r>
          </w:p>
        </w:tc>
        <w:tc>
          <w:tcPr>
            <w:tcW w:w="1419" w:type="dxa"/>
            <w:tcBorders>
              <w:top w:val="nil"/>
              <w:left w:val="nil"/>
              <w:bottom w:val="single" w:sz="4" w:space="0" w:color="A5A5A5"/>
              <w:right w:val="single" w:sz="4" w:space="0" w:color="A5A5A5"/>
            </w:tcBorders>
            <w:shd w:val="clear" w:color="auto" w:fill="auto"/>
            <w:vAlign w:val="center"/>
            <w:hideMark/>
          </w:tcPr>
          <w:p w14:paraId="0D0165F4"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Google</w:t>
            </w:r>
          </w:p>
        </w:tc>
        <w:tc>
          <w:tcPr>
            <w:tcW w:w="1440" w:type="dxa"/>
            <w:tcBorders>
              <w:top w:val="nil"/>
              <w:left w:val="nil"/>
              <w:bottom w:val="single" w:sz="4" w:space="0" w:color="A5A5A5"/>
              <w:right w:val="single" w:sz="4" w:space="0" w:color="A5A5A5"/>
            </w:tcBorders>
            <w:shd w:val="clear" w:color="auto" w:fill="auto"/>
            <w:vAlign w:val="center"/>
            <w:hideMark/>
          </w:tcPr>
          <w:p w14:paraId="09B10096"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3.6</w:t>
            </w:r>
          </w:p>
        </w:tc>
        <w:tc>
          <w:tcPr>
            <w:tcW w:w="1440" w:type="dxa"/>
            <w:tcBorders>
              <w:top w:val="nil"/>
              <w:left w:val="nil"/>
              <w:bottom w:val="single" w:sz="4" w:space="0" w:color="A5A5A5"/>
              <w:right w:val="single" w:sz="4" w:space="0" w:color="A5A5A5"/>
            </w:tcBorders>
            <w:shd w:val="clear" w:color="auto" w:fill="auto"/>
            <w:vAlign w:val="center"/>
            <w:hideMark/>
          </w:tcPr>
          <w:p w14:paraId="66701DC8"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62%</w:t>
            </w:r>
          </w:p>
        </w:tc>
        <w:tc>
          <w:tcPr>
            <w:tcW w:w="1377" w:type="dxa"/>
            <w:tcBorders>
              <w:top w:val="nil"/>
              <w:left w:val="nil"/>
              <w:bottom w:val="single" w:sz="4" w:space="0" w:color="A5A5A5"/>
              <w:right w:val="single" w:sz="4" w:space="0" w:color="A5A5A5"/>
            </w:tcBorders>
            <w:shd w:val="clear" w:color="auto" w:fill="auto"/>
            <w:vAlign w:val="center"/>
            <w:hideMark/>
          </w:tcPr>
          <w:p w14:paraId="763370B2"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21%</w:t>
            </w:r>
          </w:p>
        </w:tc>
        <w:tc>
          <w:tcPr>
            <w:tcW w:w="1233" w:type="dxa"/>
            <w:tcBorders>
              <w:top w:val="nil"/>
              <w:left w:val="nil"/>
              <w:bottom w:val="single" w:sz="4" w:space="0" w:color="A5A5A5"/>
              <w:right w:val="single" w:sz="4" w:space="0" w:color="A5A5A5"/>
            </w:tcBorders>
            <w:shd w:val="clear" w:color="auto" w:fill="auto"/>
            <w:vAlign w:val="center"/>
            <w:hideMark/>
          </w:tcPr>
          <w:p w14:paraId="2E776436"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37</w:t>
            </w:r>
          </w:p>
        </w:tc>
        <w:tc>
          <w:tcPr>
            <w:tcW w:w="1546" w:type="dxa"/>
            <w:tcBorders>
              <w:top w:val="nil"/>
              <w:left w:val="nil"/>
              <w:bottom w:val="single" w:sz="4" w:space="0" w:color="A5A5A5"/>
              <w:right w:val="single" w:sz="4" w:space="0" w:color="A5A5A5"/>
            </w:tcBorders>
            <w:shd w:val="clear" w:color="auto" w:fill="auto"/>
            <w:vAlign w:val="center"/>
            <w:hideMark/>
          </w:tcPr>
          <w:p w14:paraId="354C35B9"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4.3</w:t>
            </w:r>
          </w:p>
        </w:tc>
      </w:tr>
      <w:tr w:rsidR="009A6788" w:rsidRPr="0074036E" w14:paraId="3AB3D257" w14:textId="77777777" w:rsidTr="009A6788">
        <w:trPr>
          <w:trHeight w:val="259"/>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238699B3"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9</w:t>
            </w:r>
          </w:p>
        </w:tc>
        <w:tc>
          <w:tcPr>
            <w:tcW w:w="1419" w:type="dxa"/>
            <w:tcBorders>
              <w:top w:val="nil"/>
              <w:left w:val="nil"/>
              <w:bottom w:val="single" w:sz="4" w:space="0" w:color="A5A5A5"/>
              <w:right w:val="single" w:sz="4" w:space="0" w:color="A5A5A5"/>
            </w:tcBorders>
            <w:shd w:val="clear" w:color="auto" w:fill="auto"/>
            <w:vAlign w:val="center"/>
            <w:hideMark/>
          </w:tcPr>
          <w:p w14:paraId="7DC3344D"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Stryker</w:t>
            </w:r>
          </w:p>
        </w:tc>
        <w:tc>
          <w:tcPr>
            <w:tcW w:w="1440" w:type="dxa"/>
            <w:tcBorders>
              <w:top w:val="nil"/>
              <w:left w:val="nil"/>
              <w:bottom w:val="single" w:sz="4" w:space="0" w:color="A5A5A5"/>
              <w:right w:val="single" w:sz="4" w:space="0" w:color="A5A5A5"/>
            </w:tcBorders>
            <w:shd w:val="clear" w:color="auto" w:fill="auto"/>
            <w:vAlign w:val="center"/>
            <w:hideMark/>
          </w:tcPr>
          <w:p w14:paraId="44BA6ABA"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3.6</w:t>
            </w:r>
          </w:p>
        </w:tc>
        <w:tc>
          <w:tcPr>
            <w:tcW w:w="1440" w:type="dxa"/>
            <w:tcBorders>
              <w:top w:val="nil"/>
              <w:left w:val="nil"/>
              <w:bottom w:val="single" w:sz="4" w:space="0" w:color="A5A5A5"/>
              <w:right w:val="single" w:sz="4" w:space="0" w:color="A5A5A5"/>
            </w:tcBorders>
            <w:shd w:val="clear" w:color="auto" w:fill="auto"/>
            <w:vAlign w:val="center"/>
            <w:hideMark/>
          </w:tcPr>
          <w:p w14:paraId="3E9D4C0B"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64%</w:t>
            </w:r>
          </w:p>
        </w:tc>
        <w:tc>
          <w:tcPr>
            <w:tcW w:w="1377" w:type="dxa"/>
            <w:tcBorders>
              <w:top w:val="nil"/>
              <w:left w:val="nil"/>
              <w:bottom w:val="single" w:sz="4" w:space="0" w:color="A5A5A5"/>
              <w:right w:val="single" w:sz="4" w:space="0" w:color="A5A5A5"/>
            </w:tcBorders>
            <w:shd w:val="clear" w:color="auto" w:fill="auto"/>
            <w:vAlign w:val="center"/>
            <w:hideMark/>
          </w:tcPr>
          <w:p w14:paraId="337B201B"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23%</w:t>
            </w:r>
          </w:p>
        </w:tc>
        <w:tc>
          <w:tcPr>
            <w:tcW w:w="1233" w:type="dxa"/>
            <w:tcBorders>
              <w:top w:val="nil"/>
              <w:left w:val="nil"/>
              <w:bottom w:val="single" w:sz="4" w:space="0" w:color="A5A5A5"/>
              <w:right w:val="single" w:sz="4" w:space="0" w:color="A5A5A5"/>
            </w:tcBorders>
            <w:shd w:val="clear" w:color="auto" w:fill="auto"/>
            <w:vAlign w:val="center"/>
            <w:hideMark/>
          </w:tcPr>
          <w:p w14:paraId="158B8B0C"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35</w:t>
            </w:r>
          </w:p>
        </w:tc>
        <w:tc>
          <w:tcPr>
            <w:tcW w:w="1546" w:type="dxa"/>
            <w:tcBorders>
              <w:top w:val="nil"/>
              <w:left w:val="nil"/>
              <w:bottom w:val="single" w:sz="4" w:space="0" w:color="A5A5A5"/>
              <w:right w:val="single" w:sz="4" w:space="0" w:color="A5A5A5"/>
            </w:tcBorders>
            <w:shd w:val="clear" w:color="auto" w:fill="auto"/>
            <w:vAlign w:val="center"/>
            <w:hideMark/>
          </w:tcPr>
          <w:p w14:paraId="2561F9AB"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3.3</w:t>
            </w:r>
          </w:p>
        </w:tc>
      </w:tr>
      <w:tr w:rsidR="009A6788" w:rsidRPr="0074036E" w14:paraId="2DBAB65E" w14:textId="77777777" w:rsidTr="009A6788">
        <w:trPr>
          <w:trHeight w:val="259"/>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1F991672"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10</w:t>
            </w:r>
          </w:p>
        </w:tc>
        <w:tc>
          <w:tcPr>
            <w:tcW w:w="1419" w:type="dxa"/>
            <w:tcBorders>
              <w:top w:val="nil"/>
              <w:left w:val="nil"/>
              <w:bottom w:val="single" w:sz="4" w:space="0" w:color="A5A5A5"/>
              <w:right w:val="single" w:sz="4" w:space="0" w:color="A5A5A5"/>
            </w:tcBorders>
            <w:shd w:val="clear" w:color="auto" w:fill="auto"/>
            <w:vAlign w:val="center"/>
            <w:hideMark/>
          </w:tcPr>
          <w:p w14:paraId="4EFEC7CA" w14:textId="77777777" w:rsidR="009A6788" w:rsidRPr="0074036E" w:rsidRDefault="009A6788" w:rsidP="009A6788">
            <w:pPr>
              <w:jc w:val="center"/>
              <w:rPr>
                <w:rFonts w:ascii="Helvetica" w:eastAsia="Times New Roman" w:hAnsi="Helvetica"/>
                <w:color w:val="000000"/>
                <w:sz w:val="18"/>
                <w:szCs w:val="18"/>
              </w:rPr>
            </w:pPr>
            <w:proofErr w:type="spellStart"/>
            <w:r w:rsidRPr="0074036E">
              <w:rPr>
                <w:rFonts w:ascii="Helvetica" w:eastAsia="Times New Roman" w:hAnsi="Helvetica"/>
                <w:color w:val="000000"/>
                <w:sz w:val="18"/>
                <w:szCs w:val="18"/>
              </w:rPr>
              <w:t>Hubspot</w:t>
            </w:r>
            <w:proofErr w:type="spellEnd"/>
          </w:p>
        </w:tc>
        <w:tc>
          <w:tcPr>
            <w:tcW w:w="1440" w:type="dxa"/>
            <w:tcBorders>
              <w:top w:val="nil"/>
              <w:left w:val="nil"/>
              <w:bottom w:val="single" w:sz="4" w:space="0" w:color="A5A5A5"/>
              <w:right w:val="single" w:sz="4" w:space="0" w:color="A5A5A5"/>
            </w:tcBorders>
            <w:shd w:val="clear" w:color="auto" w:fill="auto"/>
            <w:vAlign w:val="center"/>
            <w:hideMark/>
          </w:tcPr>
          <w:p w14:paraId="1F4368F3"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3.5</w:t>
            </w:r>
          </w:p>
        </w:tc>
        <w:tc>
          <w:tcPr>
            <w:tcW w:w="1440" w:type="dxa"/>
            <w:tcBorders>
              <w:top w:val="nil"/>
              <w:left w:val="nil"/>
              <w:bottom w:val="single" w:sz="4" w:space="0" w:color="A5A5A5"/>
              <w:right w:val="single" w:sz="4" w:space="0" w:color="A5A5A5"/>
            </w:tcBorders>
            <w:shd w:val="clear" w:color="auto" w:fill="auto"/>
            <w:vAlign w:val="center"/>
            <w:hideMark/>
          </w:tcPr>
          <w:p w14:paraId="781E0093"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62%</w:t>
            </w:r>
          </w:p>
        </w:tc>
        <w:tc>
          <w:tcPr>
            <w:tcW w:w="1377" w:type="dxa"/>
            <w:tcBorders>
              <w:top w:val="nil"/>
              <w:left w:val="nil"/>
              <w:bottom w:val="single" w:sz="4" w:space="0" w:color="A5A5A5"/>
              <w:right w:val="single" w:sz="4" w:space="0" w:color="A5A5A5"/>
            </w:tcBorders>
            <w:shd w:val="clear" w:color="auto" w:fill="auto"/>
            <w:vAlign w:val="center"/>
            <w:hideMark/>
          </w:tcPr>
          <w:p w14:paraId="3209007D"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27%</w:t>
            </w:r>
          </w:p>
        </w:tc>
        <w:tc>
          <w:tcPr>
            <w:tcW w:w="1233" w:type="dxa"/>
            <w:tcBorders>
              <w:top w:val="nil"/>
              <w:left w:val="nil"/>
              <w:bottom w:val="single" w:sz="4" w:space="0" w:color="A5A5A5"/>
              <w:right w:val="single" w:sz="4" w:space="0" w:color="A5A5A5"/>
            </w:tcBorders>
            <w:shd w:val="clear" w:color="auto" w:fill="auto"/>
            <w:vAlign w:val="center"/>
            <w:hideMark/>
          </w:tcPr>
          <w:p w14:paraId="1E648345"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20</w:t>
            </w:r>
          </w:p>
        </w:tc>
        <w:tc>
          <w:tcPr>
            <w:tcW w:w="1546" w:type="dxa"/>
            <w:tcBorders>
              <w:top w:val="nil"/>
              <w:left w:val="nil"/>
              <w:bottom w:val="single" w:sz="4" w:space="0" w:color="A5A5A5"/>
              <w:right w:val="single" w:sz="4" w:space="0" w:color="A5A5A5"/>
            </w:tcBorders>
            <w:shd w:val="clear" w:color="auto" w:fill="auto"/>
            <w:vAlign w:val="center"/>
            <w:hideMark/>
          </w:tcPr>
          <w:p w14:paraId="110CA8F7"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4.1</w:t>
            </w:r>
          </w:p>
        </w:tc>
      </w:tr>
      <w:tr w:rsidR="009A6788" w:rsidRPr="0074036E" w14:paraId="3A73EAE3" w14:textId="77777777" w:rsidTr="009A6788">
        <w:trPr>
          <w:trHeight w:val="268"/>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6EF2F52F"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11</w:t>
            </w:r>
          </w:p>
        </w:tc>
        <w:tc>
          <w:tcPr>
            <w:tcW w:w="1419" w:type="dxa"/>
            <w:tcBorders>
              <w:top w:val="nil"/>
              <w:left w:val="nil"/>
              <w:bottom w:val="single" w:sz="4" w:space="0" w:color="A5A5A5"/>
              <w:right w:val="single" w:sz="4" w:space="0" w:color="A5A5A5"/>
            </w:tcBorders>
            <w:shd w:val="clear" w:color="auto" w:fill="auto"/>
            <w:vAlign w:val="center"/>
            <w:hideMark/>
          </w:tcPr>
          <w:p w14:paraId="79B4FF63" w14:textId="77777777" w:rsidR="009A6788" w:rsidRPr="0074036E" w:rsidRDefault="009A6788" w:rsidP="009A6788">
            <w:pPr>
              <w:jc w:val="center"/>
              <w:rPr>
                <w:rFonts w:ascii="Helvetica" w:eastAsia="Times New Roman" w:hAnsi="Helvetica"/>
                <w:color w:val="000000"/>
                <w:sz w:val="18"/>
                <w:szCs w:val="18"/>
              </w:rPr>
            </w:pPr>
            <w:proofErr w:type="spellStart"/>
            <w:r w:rsidRPr="0074036E">
              <w:rPr>
                <w:rFonts w:ascii="Helvetica" w:eastAsia="Times New Roman" w:hAnsi="Helvetica"/>
                <w:color w:val="000000"/>
                <w:sz w:val="18"/>
                <w:szCs w:val="18"/>
              </w:rPr>
              <w:t>Paycom</w:t>
            </w:r>
            <w:proofErr w:type="spellEnd"/>
          </w:p>
        </w:tc>
        <w:tc>
          <w:tcPr>
            <w:tcW w:w="1440" w:type="dxa"/>
            <w:tcBorders>
              <w:top w:val="nil"/>
              <w:left w:val="nil"/>
              <w:bottom w:val="single" w:sz="4" w:space="0" w:color="A5A5A5"/>
              <w:right w:val="single" w:sz="4" w:space="0" w:color="A5A5A5"/>
            </w:tcBorders>
            <w:shd w:val="clear" w:color="auto" w:fill="auto"/>
            <w:vAlign w:val="center"/>
            <w:hideMark/>
          </w:tcPr>
          <w:p w14:paraId="2FB667C9"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3.5</w:t>
            </w:r>
          </w:p>
        </w:tc>
        <w:tc>
          <w:tcPr>
            <w:tcW w:w="1440" w:type="dxa"/>
            <w:tcBorders>
              <w:top w:val="nil"/>
              <w:left w:val="nil"/>
              <w:bottom w:val="single" w:sz="4" w:space="0" w:color="A5A5A5"/>
              <w:right w:val="single" w:sz="4" w:space="0" w:color="A5A5A5"/>
            </w:tcBorders>
            <w:shd w:val="clear" w:color="auto" w:fill="auto"/>
            <w:vAlign w:val="center"/>
            <w:hideMark/>
          </w:tcPr>
          <w:p w14:paraId="03B85660"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35%</w:t>
            </w:r>
          </w:p>
        </w:tc>
        <w:tc>
          <w:tcPr>
            <w:tcW w:w="1377" w:type="dxa"/>
            <w:tcBorders>
              <w:top w:val="nil"/>
              <w:left w:val="nil"/>
              <w:bottom w:val="single" w:sz="4" w:space="0" w:color="A5A5A5"/>
              <w:right w:val="single" w:sz="4" w:space="0" w:color="A5A5A5"/>
            </w:tcBorders>
            <w:shd w:val="clear" w:color="auto" w:fill="auto"/>
            <w:vAlign w:val="center"/>
            <w:hideMark/>
          </w:tcPr>
          <w:p w14:paraId="51D657DF"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52%</w:t>
            </w:r>
          </w:p>
        </w:tc>
        <w:tc>
          <w:tcPr>
            <w:tcW w:w="1233" w:type="dxa"/>
            <w:tcBorders>
              <w:top w:val="nil"/>
              <w:left w:val="nil"/>
              <w:bottom w:val="single" w:sz="4" w:space="0" w:color="A5A5A5"/>
              <w:right w:val="single" w:sz="4" w:space="0" w:color="A5A5A5"/>
            </w:tcBorders>
            <w:shd w:val="clear" w:color="auto" w:fill="auto"/>
            <w:vAlign w:val="center"/>
            <w:hideMark/>
          </w:tcPr>
          <w:p w14:paraId="26F5EC4A"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12</w:t>
            </w:r>
          </w:p>
        </w:tc>
        <w:tc>
          <w:tcPr>
            <w:tcW w:w="1546" w:type="dxa"/>
            <w:tcBorders>
              <w:top w:val="nil"/>
              <w:left w:val="nil"/>
              <w:bottom w:val="single" w:sz="4" w:space="0" w:color="A5A5A5"/>
              <w:right w:val="single" w:sz="4" w:space="0" w:color="A5A5A5"/>
            </w:tcBorders>
            <w:shd w:val="clear" w:color="auto" w:fill="auto"/>
            <w:vAlign w:val="center"/>
            <w:hideMark/>
          </w:tcPr>
          <w:p w14:paraId="4376AA66"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3.9</w:t>
            </w:r>
          </w:p>
        </w:tc>
      </w:tr>
      <w:tr w:rsidR="009A6788" w:rsidRPr="0074036E" w14:paraId="64E84FB2" w14:textId="77777777" w:rsidTr="009A6788">
        <w:trPr>
          <w:trHeight w:val="259"/>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0C06EC85"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12</w:t>
            </w:r>
          </w:p>
        </w:tc>
        <w:tc>
          <w:tcPr>
            <w:tcW w:w="1419" w:type="dxa"/>
            <w:tcBorders>
              <w:top w:val="nil"/>
              <w:left w:val="nil"/>
              <w:bottom w:val="single" w:sz="4" w:space="0" w:color="A5A5A5"/>
              <w:right w:val="single" w:sz="4" w:space="0" w:color="A5A5A5"/>
            </w:tcBorders>
            <w:shd w:val="clear" w:color="auto" w:fill="auto"/>
            <w:vAlign w:val="center"/>
            <w:hideMark/>
          </w:tcPr>
          <w:p w14:paraId="00AC6CEF" w14:textId="77777777" w:rsidR="009A6788" w:rsidRPr="0074036E" w:rsidRDefault="009A6788" w:rsidP="009A6788">
            <w:pPr>
              <w:jc w:val="center"/>
              <w:rPr>
                <w:rFonts w:ascii="Helvetica" w:eastAsia="Times New Roman" w:hAnsi="Helvetica"/>
                <w:color w:val="000000"/>
                <w:sz w:val="18"/>
                <w:szCs w:val="18"/>
              </w:rPr>
            </w:pPr>
            <w:proofErr w:type="spellStart"/>
            <w:r w:rsidRPr="0074036E">
              <w:rPr>
                <w:rFonts w:ascii="Helvetica" w:eastAsia="Times New Roman" w:hAnsi="Helvetica"/>
                <w:color w:val="000000"/>
                <w:sz w:val="18"/>
                <w:szCs w:val="18"/>
              </w:rPr>
              <w:t>Vistaprint</w:t>
            </w:r>
            <w:proofErr w:type="spellEnd"/>
          </w:p>
        </w:tc>
        <w:tc>
          <w:tcPr>
            <w:tcW w:w="1440" w:type="dxa"/>
            <w:tcBorders>
              <w:top w:val="nil"/>
              <w:left w:val="nil"/>
              <w:bottom w:val="single" w:sz="4" w:space="0" w:color="A5A5A5"/>
              <w:right w:val="single" w:sz="4" w:space="0" w:color="A5A5A5"/>
            </w:tcBorders>
            <w:shd w:val="clear" w:color="auto" w:fill="auto"/>
            <w:vAlign w:val="center"/>
            <w:hideMark/>
          </w:tcPr>
          <w:p w14:paraId="71DBAC4B"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3.5</w:t>
            </w:r>
          </w:p>
        </w:tc>
        <w:tc>
          <w:tcPr>
            <w:tcW w:w="1440" w:type="dxa"/>
            <w:tcBorders>
              <w:top w:val="nil"/>
              <w:left w:val="nil"/>
              <w:bottom w:val="single" w:sz="4" w:space="0" w:color="A5A5A5"/>
              <w:right w:val="single" w:sz="4" w:space="0" w:color="A5A5A5"/>
            </w:tcBorders>
            <w:shd w:val="clear" w:color="auto" w:fill="auto"/>
            <w:vAlign w:val="center"/>
            <w:hideMark/>
          </w:tcPr>
          <w:p w14:paraId="136D9E2E"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43%</w:t>
            </w:r>
          </w:p>
        </w:tc>
        <w:tc>
          <w:tcPr>
            <w:tcW w:w="1377" w:type="dxa"/>
            <w:tcBorders>
              <w:top w:val="nil"/>
              <w:left w:val="nil"/>
              <w:bottom w:val="single" w:sz="4" w:space="0" w:color="A5A5A5"/>
              <w:right w:val="single" w:sz="4" w:space="0" w:color="A5A5A5"/>
            </w:tcBorders>
            <w:shd w:val="clear" w:color="auto" w:fill="auto"/>
            <w:vAlign w:val="center"/>
            <w:hideMark/>
          </w:tcPr>
          <w:p w14:paraId="6F59FD23"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38%</w:t>
            </w:r>
          </w:p>
        </w:tc>
        <w:tc>
          <w:tcPr>
            <w:tcW w:w="1233" w:type="dxa"/>
            <w:tcBorders>
              <w:top w:val="nil"/>
              <w:left w:val="nil"/>
              <w:bottom w:val="single" w:sz="4" w:space="0" w:color="A5A5A5"/>
              <w:right w:val="single" w:sz="4" w:space="0" w:color="A5A5A5"/>
            </w:tcBorders>
            <w:shd w:val="clear" w:color="auto" w:fill="auto"/>
            <w:vAlign w:val="center"/>
            <w:hideMark/>
          </w:tcPr>
          <w:p w14:paraId="6A510AEB"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29</w:t>
            </w:r>
          </w:p>
        </w:tc>
        <w:tc>
          <w:tcPr>
            <w:tcW w:w="1546" w:type="dxa"/>
            <w:tcBorders>
              <w:top w:val="nil"/>
              <w:left w:val="nil"/>
              <w:bottom w:val="single" w:sz="4" w:space="0" w:color="A5A5A5"/>
              <w:right w:val="single" w:sz="4" w:space="0" w:color="A5A5A5"/>
            </w:tcBorders>
            <w:shd w:val="clear" w:color="auto" w:fill="auto"/>
            <w:vAlign w:val="center"/>
            <w:hideMark/>
          </w:tcPr>
          <w:p w14:paraId="421CC618"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3.2</w:t>
            </w:r>
          </w:p>
        </w:tc>
      </w:tr>
      <w:tr w:rsidR="009A6788" w:rsidRPr="0074036E" w14:paraId="5CFF97BC" w14:textId="77777777" w:rsidTr="009A6788">
        <w:trPr>
          <w:trHeight w:val="405"/>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3F465CB8"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13</w:t>
            </w:r>
          </w:p>
        </w:tc>
        <w:tc>
          <w:tcPr>
            <w:tcW w:w="1419" w:type="dxa"/>
            <w:tcBorders>
              <w:top w:val="nil"/>
              <w:left w:val="nil"/>
              <w:bottom w:val="single" w:sz="4" w:space="0" w:color="A5A5A5"/>
              <w:right w:val="single" w:sz="4" w:space="0" w:color="A5A5A5"/>
            </w:tcBorders>
            <w:shd w:val="clear" w:color="auto" w:fill="auto"/>
            <w:vAlign w:val="center"/>
            <w:hideMark/>
          </w:tcPr>
          <w:p w14:paraId="095FDEC1"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Teach for America</w:t>
            </w:r>
          </w:p>
        </w:tc>
        <w:tc>
          <w:tcPr>
            <w:tcW w:w="1440" w:type="dxa"/>
            <w:tcBorders>
              <w:top w:val="nil"/>
              <w:left w:val="nil"/>
              <w:bottom w:val="single" w:sz="4" w:space="0" w:color="A5A5A5"/>
              <w:right w:val="single" w:sz="4" w:space="0" w:color="A5A5A5"/>
            </w:tcBorders>
            <w:shd w:val="clear" w:color="auto" w:fill="auto"/>
            <w:vAlign w:val="center"/>
            <w:hideMark/>
          </w:tcPr>
          <w:p w14:paraId="3DF158C5"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3.4</w:t>
            </w:r>
          </w:p>
        </w:tc>
        <w:tc>
          <w:tcPr>
            <w:tcW w:w="1440" w:type="dxa"/>
            <w:tcBorders>
              <w:top w:val="nil"/>
              <w:left w:val="nil"/>
              <w:bottom w:val="single" w:sz="4" w:space="0" w:color="A5A5A5"/>
              <w:right w:val="single" w:sz="4" w:space="0" w:color="A5A5A5"/>
            </w:tcBorders>
            <w:shd w:val="clear" w:color="auto" w:fill="auto"/>
            <w:vAlign w:val="center"/>
            <w:hideMark/>
          </w:tcPr>
          <w:p w14:paraId="6EE7626B"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73%</w:t>
            </w:r>
          </w:p>
        </w:tc>
        <w:tc>
          <w:tcPr>
            <w:tcW w:w="1377" w:type="dxa"/>
            <w:tcBorders>
              <w:top w:val="nil"/>
              <w:left w:val="nil"/>
              <w:bottom w:val="single" w:sz="4" w:space="0" w:color="A5A5A5"/>
              <w:right w:val="single" w:sz="4" w:space="0" w:color="A5A5A5"/>
            </w:tcBorders>
            <w:shd w:val="clear" w:color="auto" w:fill="auto"/>
            <w:vAlign w:val="center"/>
            <w:hideMark/>
          </w:tcPr>
          <w:p w14:paraId="3DB78F71"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10%</w:t>
            </w:r>
          </w:p>
        </w:tc>
        <w:tc>
          <w:tcPr>
            <w:tcW w:w="1233" w:type="dxa"/>
            <w:tcBorders>
              <w:top w:val="nil"/>
              <w:left w:val="nil"/>
              <w:bottom w:val="single" w:sz="4" w:space="0" w:color="A5A5A5"/>
              <w:right w:val="single" w:sz="4" w:space="0" w:color="A5A5A5"/>
            </w:tcBorders>
            <w:shd w:val="clear" w:color="auto" w:fill="auto"/>
            <w:vAlign w:val="center"/>
            <w:hideMark/>
          </w:tcPr>
          <w:p w14:paraId="4606C388"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55</w:t>
            </w:r>
          </w:p>
        </w:tc>
        <w:tc>
          <w:tcPr>
            <w:tcW w:w="1546" w:type="dxa"/>
            <w:tcBorders>
              <w:top w:val="nil"/>
              <w:left w:val="nil"/>
              <w:bottom w:val="single" w:sz="4" w:space="0" w:color="A5A5A5"/>
              <w:right w:val="single" w:sz="4" w:space="0" w:color="A5A5A5"/>
            </w:tcBorders>
            <w:shd w:val="clear" w:color="auto" w:fill="auto"/>
            <w:vAlign w:val="center"/>
            <w:hideMark/>
          </w:tcPr>
          <w:p w14:paraId="0C881E50"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4</w:t>
            </w:r>
            <w:r>
              <w:rPr>
                <w:rFonts w:ascii="Helvetica" w:eastAsia="Times New Roman" w:hAnsi="Helvetica"/>
                <w:color w:val="000000"/>
                <w:sz w:val="18"/>
                <w:szCs w:val="18"/>
              </w:rPr>
              <w:t>.0</w:t>
            </w:r>
          </w:p>
        </w:tc>
      </w:tr>
      <w:tr w:rsidR="009A6788" w:rsidRPr="0074036E" w14:paraId="23953DFB" w14:textId="77777777" w:rsidTr="009A6788">
        <w:trPr>
          <w:trHeight w:val="405"/>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546CFBBC"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14</w:t>
            </w:r>
          </w:p>
        </w:tc>
        <w:tc>
          <w:tcPr>
            <w:tcW w:w="1419" w:type="dxa"/>
            <w:tcBorders>
              <w:top w:val="nil"/>
              <w:left w:val="nil"/>
              <w:bottom w:val="single" w:sz="4" w:space="0" w:color="A5A5A5"/>
              <w:right w:val="single" w:sz="4" w:space="0" w:color="A5A5A5"/>
            </w:tcBorders>
            <w:shd w:val="clear" w:color="auto" w:fill="auto"/>
            <w:vAlign w:val="center"/>
            <w:hideMark/>
          </w:tcPr>
          <w:p w14:paraId="74023F79"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Proctor &amp; Gamble</w:t>
            </w:r>
          </w:p>
        </w:tc>
        <w:tc>
          <w:tcPr>
            <w:tcW w:w="1440" w:type="dxa"/>
            <w:tcBorders>
              <w:top w:val="nil"/>
              <w:left w:val="nil"/>
              <w:bottom w:val="single" w:sz="4" w:space="0" w:color="A5A5A5"/>
              <w:right w:val="single" w:sz="4" w:space="0" w:color="A5A5A5"/>
            </w:tcBorders>
            <w:shd w:val="clear" w:color="auto" w:fill="auto"/>
            <w:vAlign w:val="center"/>
            <w:hideMark/>
          </w:tcPr>
          <w:p w14:paraId="1549FF8B"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3.4</w:t>
            </w:r>
          </w:p>
        </w:tc>
        <w:tc>
          <w:tcPr>
            <w:tcW w:w="1440" w:type="dxa"/>
            <w:tcBorders>
              <w:top w:val="nil"/>
              <w:left w:val="nil"/>
              <w:bottom w:val="single" w:sz="4" w:space="0" w:color="A5A5A5"/>
              <w:right w:val="single" w:sz="4" w:space="0" w:color="A5A5A5"/>
            </w:tcBorders>
            <w:shd w:val="clear" w:color="auto" w:fill="auto"/>
            <w:vAlign w:val="center"/>
            <w:hideMark/>
          </w:tcPr>
          <w:p w14:paraId="52DD3144"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77%</w:t>
            </w:r>
          </w:p>
        </w:tc>
        <w:tc>
          <w:tcPr>
            <w:tcW w:w="1377" w:type="dxa"/>
            <w:tcBorders>
              <w:top w:val="nil"/>
              <w:left w:val="nil"/>
              <w:bottom w:val="single" w:sz="4" w:space="0" w:color="A5A5A5"/>
              <w:right w:val="single" w:sz="4" w:space="0" w:color="A5A5A5"/>
            </w:tcBorders>
            <w:shd w:val="clear" w:color="auto" w:fill="auto"/>
            <w:vAlign w:val="center"/>
            <w:hideMark/>
          </w:tcPr>
          <w:p w14:paraId="0AB7D945"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8%</w:t>
            </w:r>
          </w:p>
        </w:tc>
        <w:tc>
          <w:tcPr>
            <w:tcW w:w="1233" w:type="dxa"/>
            <w:tcBorders>
              <w:top w:val="nil"/>
              <w:left w:val="nil"/>
              <w:bottom w:val="single" w:sz="4" w:space="0" w:color="A5A5A5"/>
              <w:right w:val="single" w:sz="4" w:space="0" w:color="A5A5A5"/>
            </w:tcBorders>
            <w:shd w:val="clear" w:color="auto" w:fill="auto"/>
            <w:vAlign w:val="center"/>
            <w:hideMark/>
          </w:tcPr>
          <w:p w14:paraId="4A16DE31"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50</w:t>
            </w:r>
          </w:p>
        </w:tc>
        <w:tc>
          <w:tcPr>
            <w:tcW w:w="1546" w:type="dxa"/>
            <w:tcBorders>
              <w:top w:val="nil"/>
              <w:left w:val="nil"/>
              <w:bottom w:val="single" w:sz="4" w:space="0" w:color="A5A5A5"/>
              <w:right w:val="single" w:sz="4" w:space="0" w:color="A5A5A5"/>
            </w:tcBorders>
            <w:shd w:val="clear" w:color="auto" w:fill="auto"/>
            <w:vAlign w:val="center"/>
            <w:hideMark/>
          </w:tcPr>
          <w:p w14:paraId="6A56EB7E"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4</w:t>
            </w:r>
            <w:r>
              <w:rPr>
                <w:rFonts w:ascii="Helvetica" w:eastAsia="Times New Roman" w:hAnsi="Helvetica"/>
                <w:color w:val="000000"/>
                <w:sz w:val="18"/>
                <w:szCs w:val="18"/>
              </w:rPr>
              <w:t>.0</w:t>
            </w:r>
          </w:p>
        </w:tc>
      </w:tr>
      <w:tr w:rsidR="009A6788" w:rsidRPr="0074036E" w14:paraId="4C21A9BD" w14:textId="77777777" w:rsidTr="009A6788">
        <w:trPr>
          <w:trHeight w:val="277"/>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2F778DAB"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15</w:t>
            </w:r>
          </w:p>
        </w:tc>
        <w:tc>
          <w:tcPr>
            <w:tcW w:w="1419" w:type="dxa"/>
            <w:tcBorders>
              <w:top w:val="nil"/>
              <w:left w:val="nil"/>
              <w:bottom w:val="single" w:sz="4" w:space="0" w:color="A5A5A5"/>
              <w:right w:val="single" w:sz="4" w:space="0" w:color="A5A5A5"/>
            </w:tcBorders>
            <w:shd w:val="clear" w:color="auto" w:fill="auto"/>
            <w:vAlign w:val="center"/>
            <w:hideMark/>
          </w:tcPr>
          <w:p w14:paraId="1882978A"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Avaya</w:t>
            </w:r>
          </w:p>
        </w:tc>
        <w:tc>
          <w:tcPr>
            <w:tcW w:w="1440" w:type="dxa"/>
            <w:tcBorders>
              <w:top w:val="nil"/>
              <w:left w:val="nil"/>
              <w:bottom w:val="single" w:sz="4" w:space="0" w:color="A5A5A5"/>
              <w:right w:val="single" w:sz="4" w:space="0" w:color="A5A5A5"/>
            </w:tcBorders>
            <w:shd w:val="clear" w:color="auto" w:fill="auto"/>
            <w:vAlign w:val="center"/>
            <w:hideMark/>
          </w:tcPr>
          <w:p w14:paraId="64FC485F"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3.4</w:t>
            </w:r>
          </w:p>
        </w:tc>
        <w:tc>
          <w:tcPr>
            <w:tcW w:w="1440" w:type="dxa"/>
            <w:tcBorders>
              <w:top w:val="nil"/>
              <w:left w:val="nil"/>
              <w:bottom w:val="single" w:sz="4" w:space="0" w:color="A5A5A5"/>
              <w:right w:val="single" w:sz="4" w:space="0" w:color="A5A5A5"/>
            </w:tcBorders>
            <w:shd w:val="clear" w:color="auto" w:fill="auto"/>
            <w:vAlign w:val="center"/>
            <w:hideMark/>
          </w:tcPr>
          <w:p w14:paraId="3D714A0A"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86%</w:t>
            </w:r>
          </w:p>
        </w:tc>
        <w:tc>
          <w:tcPr>
            <w:tcW w:w="1377" w:type="dxa"/>
            <w:tcBorders>
              <w:top w:val="nil"/>
              <w:left w:val="nil"/>
              <w:bottom w:val="single" w:sz="4" w:space="0" w:color="A5A5A5"/>
              <w:right w:val="single" w:sz="4" w:space="0" w:color="A5A5A5"/>
            </w:tcBorders>
            <w:shd w:val="clear" w:color="auto" w:fill="auto"/>
            <w:vAlign w:val="center"/>
            <w:hideMark/>
          </w:tcPr>
          <w:p w14:paraId="3E324031"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10%</w:t>
            </w:r>
          </w:p>
        </w:tc>
        <w:tc>
          <w:tcPr>
            <w:tcW w:w="1233" w:type="dxa"/>
            <w:tcBorders>
              <w:top w:val="nil"/>
              <w:left w:val="nil"/>
              <w:bottom w:val="single" w:sz="4" w:space="0" w:color="A5A5A5"/>
              <w:right w:val="single" w:sz="4" w:space="0" w:color="A5A5A5"/>
            </w:tcBorders>
            <w:shd w:val="clear" w:color="auto" w:fill="auto"/>
            <w:vAlign w:val="center"/>
            <w:hideMark/>
          </w:tcPr>
          <w:p w14:paraId="28D57A7C"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30</w:t>
            </w:r>
          </w:p>
        </w:tc>
        <w:tc>
          <w:tcPr>
            <w:tcW w:w="1546" w:type="dxa"/>
            <w:tcBorders>
              <w:top w:val="nil"/>
              <w:left w:val="nil"/>
              <w:bottom w:val="single" w:sz="4" w:space="0" w:color="A5A5A5"/>
              <w:right w:val="single" w:sz="4" w:space="0" w:color="A5A5A5"/>
            </w:tcBorders>
            <w:shd w:val="clear" w:color="auto" w:fill="auto"/>
            <w:vAlign w:val="center"/>
            <w:hideMark/>
          </w:tcPr>
          <w:p w14:paraId="20C8A2FE"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2.9</w:t>
            </w:r>
          </w:p>
        </w:tc>
      </w:tr>
      <w:tr w:rsidR="009A6788" w:rsidRPr="0074036E" w14:paraId="7E1899D3" w14:textId="77777777" w:rsidTr="009A6788">
        <w:trPr>
          <w:trHeight w:val="259"/>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42798BBB"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16</w:t>
            </w:r>
          </w:p>
        </w:tc>
        <w:tc>
          <w:tcPr>
            <w:tcW w:w="1419" w:type="dxa"/>
            <w:tcBorders>
              <w:top w:val="nil"/>
              <w:left w:val="nil"/>
              <w:bottom w:val="single" w:sz="4" w:space="0" w:color="A5A5A5"/>
              <w:right w:val="single" w:sz="4" w:space="0" w:color="A5A5A5"/>
            </w:tcBorders>
            <w:shd w:val="clear" w:color="auto" w:fill="auto"/>
            <w:vAlign w:val="center"/>
            <w:hideMark/>
          </w:tcPr>
          <w:p w14:paraId="4BF25721"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Microsoft</w:t>
            </w:r>
          </w:p>
        </w:tc>
        <w:tc>
          <w:tcPr>
            <w:tcW w:w="1440" w:type="dxa"/>
            <w:tcBorders>
              <w:top w:val="nil"/>
              <w:left w:val="nil"/>
              <w:bottom w:val="single" w:sz="4" w:space="0" w:color="A5A5A5"/>
              <w:right w:val="single" w:sz="4" w:space="0" w:color="A5A5A5"/>
            </w:tcBorders>
            <w:shd w:val="clear" w:color="auto" w:fill="auto"/>
            <w:vAlign w:val="center"/>
            <w:hideMark/>
          </w:tcPr>
          <w:p w14:paraId="2B0570CB"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3.4</w:t>
            </w:r>
          </w:p>
        </w:tc>
        <w:tc>
          <w:tcPr>
            <w:tcW w:w="1440" w:type="dxa"/>
            <w:tcBorders>
              <w:top w:val="nil"/>
              <w:left w:val="nil"/>
              <w:bottom w:val="single" w:sz="4" w:space="0" w:color="A5A5A5"/>
              <w:right w:val="single" w:sz="4" w:space="0" w:color="A5A5A5"/>
            </w:tcBorders>
            <w:shd w:val="clear" w:color="auto" w:fill="auto"/>
            <w:vAlign w:val="center"/>
            <w:hideMark/>
          </w:tcPr>
          <w:p w14:paraId="0AC4F37E"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70%</w:t>
            </w:r>
          </w:p>
        </w:tc>
        <w:tc>
          <w:tcPr>
            <w:tcW w:w="1377" w:type="dxa"/>
            <w:tcBorders>
              <w:top w:val="nil"/>
              <w:left w:val="nil"/>
              <w:bottom w:val="single" w:sz="4" w:space="0" w:color="A5A5A5"/>
              <w:right w:val="single" w:sz="4" w:space="0" w:color="A5A5A5"/>
            </w:tcBorders>
            <w:shd w:val="clear" w:color="auto" w:fill="auto"/>
            <w:vAlign w:val="center"/>
            <w:hideMark/>
          </w:tcPr>
          <w:p w14:paraId="40BDD0C9"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14%</w:t>
            </w:r>
          </w:p>
        </w:tc>
        <w:tc>
          <w:tcPr>
            <w:tcW w:w="1233" w:type="dxa"/>
            <w:tcBorders>
              <w:top w:val="nil"/>
              <w:left w:val="nil"/>
              <w:bottom w:val="single" w:sz="4" w:space="0" w:color="A5A5A5"/>
              <w:right w:val="single" w:sz="4" w:space="0" w:color="A5A5A5"/>
            </w:tcBorders>
            <w:shd w:val="clear" w:color="auto" w:fill="auto"/>
            <w:vAlign w:val="center"/>
            <w:hideMark/>
          </w:tcPr>
          <w:p w14:paraId="4CFF88B5"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29</w:t>
            </w:r>
          </w:p>
        </w:tc>
        <w:tc>
          <w:tcPr>
            <w:tcW w:w="1546" w:type="dxa"/>
            <w:tcBorders>
              <w:top w:val="nil"/>
              <w:left w:val="nil"/>
              <w:bottom w:val="single" w:sz="4" w:space="0" w:color="A5A5A5"/>
              <w:right w:val="single" w:sz="4" w:space="0" w:color="A5A5A5"/>
            </w:tcBorders>
            <w:shd w:val="clear" w:color="auto" w:fill="auto"/>
            <w:vAlign w:val="center"/>
            <w:hideMark/>
          </w:tcPr>
          <w:p w14:paraId="022C71DB"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3.7</w:t>
            </w:r>
          </w:p>
        </w:tc>
      </w:tr>
      <w:tr w:rsidR="009A6788" w:rsidRPr="0074036E" w14:paraId="2A189290" w14:textId="77777777" w:rsidTr="009A6788">
        <w:trPr>
          <w:trHeight w:val="259"/>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10D2277F"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17</w:t>
            </w:r>
          </w:p>
        </w:tc>
        <w:tc>
          <w:tcPr>
            <w:tcW w:w="1419" w:type="dxa"/>
            <w:tcBorders>
              <w:top w:val="nil"/>
              <w:left w:val="nil"/>
              <w:bottom w:val="single" w:sz="4" w:space="0" w:color="A5A5A5"/>
              <w:right w:val="single" w:sz="4" w:space="0" w:color="A5A5A5"/>
            </w:tcBorders>
            <w:shd w:val="clear" w:color="auto" w:fill="auto"/>
            <w:vAlign w:val="center"/>
            <w:hideMark/>
          </w:tcPr>
          <w:p w14:paraId="6941F6A5"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BlackRock</w:t>
            </w:r>
          </w:p>
        </w:tc>
        <w:tc>
          <w:tcPr>
            <w:tcW w:w="1440" w:type="dxa"/>
            <w:tcBorders>
              <w:top w:val="nil"/>
              <w:left w:val="nil"/>
              <w:bottom w:val="single" w:sz="4" w:space="0" w:color="A5A5A5"/>
              <w:right w:val="single" w:sz="4" w:space="0" w:color="A5A5A5"/>
            </w:tcBorders>
            <w:shd w:val="clear" w:color="auto" w:fill="auto"/>
            <w:vAlign w:val="center"/>
            <w:hideMark/>
          </w:tcPr>
          <w:p w14:paraId="22A00B09"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3.4</w:t>
            </w:r>
          </w:p>
        </w:tc>
        <w:tc>
          <w:tcPr>
            <w:tcW w:w="1440" w:type="dxa"/>
            <w:tcBorders>
              <w:top w:val="nil"/>
              <w:left w:val="nil"/>
              <w:bottom w:val="single" w:sz="4" w:space="0" w:color="A5A5A5"/>
              <w:right w:val="single" w:sz="4" w:space="0" w:color="A5A5A5"/>
            </w:tcBorders>
            <w:shd w:val="clear" w:color="auto" w:fill="auto"/>
            <w:vAlign w:val="center"/>
            <w:hideMark/>
          </w:tcPr>
          <w:p w14:paraId="70D40BBE"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61%</w:t>
            </w:r>
          </w:p>
        </w:tc>
        <w:tc>
          <w:tcPr>
            <w:tcW w:w="1377" w:type="dxa"/>
            <w:tcBorders>
              <w:top w:val="nil"/>
              <w:left w:val="nil"/>
              <w:bottom w:val="single" w:sz="4" w:space="0" w:color="A5A5A5"/>
              <w:right w:val="single" w:sz="4" w:space="0" w:color="A5A5A5"/>
            </w:tcBorders>
            <w:shd w:val="clear" w:color="auto" w:fill="auto"/>
            <w:vAlign w:val="center"/>
            <w:hideMark/>
          </w:tcPr>
          <w:p w14:paraId="11D37010"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21%</w:t>
            </w:r>
          </w:p>
        </w:tc>
        <w:tc>
          <w:tcPr>
            <w:tcW w:w="1233" w:type="dxa"/>
            <w:tcBorders>
              <w:top w:val="nil"/>
              <w:left w:val="nil"/>
              <w:bottom w:val="single" w:sz="4" w:space="0" w:color="A5A5A5"/>
              <w:right w:val="single" w:sz="4" w:space="0" w:color="A5A5A5"/>
            </w:tcBorders>
            <w:shd w:val="clear" w:color="auto" w:fill="auto"/>
            <w:vAlign w:val="center"/>
            <w:hideMark/>
          </w:tcPr>
          <w:p w14:paraId="777EC8FC"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24</w:t>
            </w:r>
          </w:p>
        </w:tc>
        <w:tc>
          <w:tcPr>
            <w:tcW w:w="1546" w:type="dxa"/>
            <w:tcBorders>
              <w:top w:val="nil"/>
              <w:left w:val="nil"/>
              <w:bottom w:val="single" w:sz="4" w:space="0" w:color="A5A5A5"/>
              <w:right w:val="single" w:sz="4" w:space="0" w:color="A5A5A5"/>
            </w:tcBorders>
            <w:shd w:val="clear" w:color="auto" w:fill="auto"/>
            <w:vAlign w:val="center"/>
            <w:hideMark/>
          </w:tcPr>
          <w:p w14:paraId="55F16E12"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w:t>
            </w:r>
            <w:r>
              <w:rPr>
                <w:rFonts w:ascii="Helvetica" w:eastAsia="Times New Roman" w:hAnsi="Helvetica"/>
                <w:color w:val="000000"/>
                <w:sz w:val="18"/>
                <w:szCs w:val="18"/>
              </w:rPr>
              <w:t>.0</w:t>
            </w:r>
          </w:p>
        </w:tc>
      </w:tr>
      <w:tr w:rsidR="009A6788" w:rsidRPr="0074036E" w14:paraId="36917FC3" w14:textId="77777777" w:rsidTr="009A6788">
        <w:trPr>
          <w:trHeight w:val="259"/>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0BBB78FB"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18</w:t>
            </w:r>
          </w:p>
        </w:tc>
        <w:tc>
          <w:tcPr>
            <w:tcW w:w="1419" w:type="dxa"/>
            <w:tcBorders>
              <w:top w:val="nil"/>
              <w:left w:val="nil"/>
              <w:bottom w:val="single" w:sz="4" w:space="0" w:color="A5A5A5"/>
              <w:right w:val="single" w:sz="4" w:space="0" w:color="A5A5A5"/>
            </w:tcBorders>
            <w:shd w:val="clear" w:color="auto" w:fill="auto"/>
            <w:vAlign w:val="center"/>
            <w:hideMark/>
          </w:tcPr>
          <w:p w14:paraId="321CE06B"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Sapient</w:t>
            </w:r>
          </w:p>
        </w:tc>
        <w:tc>
          <w:tcPr>
            <w:tcW w:w="1440" w:type="dxa"/>
            <w:tcBorders>
              <w:top w:val="nil"/>
              <w:left w:val="nil"/>
              <w:bottom w:val="single" w:sz="4" w:space="0" w:color="A5A5A5"/>
              <w:right w:val="single" w:sz="4" w:space="0" w:color="A5A5A5"/>
            </w:tcBorders>
            <w:shd w:val="clear" w:color="auto" w:fill="auto"/>
            <w:vAlign w:val="center"/>
            <w:hideMark/>
          </w:tcPr>
          <w:p w14:paraId="18DA3B4C"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3.4</w:t>
            </w:r>
          </w:p>
        </w:tc>
        <w:tc>
          <w:tcPr>
            <w:tcW w:w="1440" w:type="dxa"/>
            <w:tcBorders>
              <w:top w:val="nil"/>
              <w:left w:val="nil"/>
              <w:bottom w:val="single" w:sz="4" w:space="0" w:color="A5A5A5"/>
              <w:right w:val="single" w:sz="4" w:space="0" w:color="A5A5A5"/>
            </w:tcBorders>
            <w:shd w:val="clear" w:color="auto" w:fill="auto"/>
            <w:vAlign w:val="center"/>
            <w:hideMark/>
          </w:tcPr>
          <w:p w14:paraId="07217E99"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76%</w:t>
            </w:r>
          </w:p>
        </w:tc>
        <w:tc>
          <w:tcPr>
            <w:tcW w:w="1377" w:type="dxa"/>
            <w:tcBorders>
              <w:top w:val="nil"/>
              <w:left w:val="nil"/>
              <w:bottom w:val="single" w:sz="4" w:space="0" w:color="A5A5A5"/>
              <w:right w:val="single" w:sz="4" w:space="0" w:color="A5A5A5"/>
            </w:tcBorders>
            <w:shd w:val="clear" w:color="auto" w:fill="auto"/>
            <w:vAlign w:val="center"/>
            <w:hideMark/>
          </w:tcPr>
          <w:p w14:paraId="2B025899"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13%</w:t>
            </w:r>
          </w:p>
        </w:tc>
        <w:tc>
          <w:tcPr>
            <w:tcW w:w="1233" w:type="dxa"/>
            <w:tcBorders>
              <w:top w:val="nil"/>
              <w:left w:val="nil"/>
              <w:bottom w:val="single" w:sz="4" w:space="0" w:color="A5A5A5"/>
              <w:right w:val="single" w:sz="4" w:space="0" w:color="A5A5A5"/>
            </w:tcBorders>
            <w:shd w:val="clear" w:color="auto" w:fill="auto"/>
            <w:vAlign w:val="center"/>
            <w:hideMark/>
          </w:tcPr>
          <w:p w14:paraId="140DB515"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12</w:t>
            </w:r>
          </w:p>
        </w:tc>
        <w:tc>
          <w:tcPr>
            <w:tcW w:w="1546" w:type="dxa"/>
            <w:tcBorders>
              <w:top w:val="nil"/>
              <w:left w:val="nil"/>
              <w:bottom w:val="single" w:sz="4" w:space="0" w:color="A5A5A5"/>
              <w:right w:val="single" w:sz="4" w:space="0" w:color="A5A5A5"/>
            </w:tcBorders>
            <w:shd w:val="clear" w:color="auto" w:fill="auto"/>
            <w:vAlign w:val="center"/>
            <w:hideMark/>
          </w:tcPr>
          <w:p w14:paraId="6CE8B5C0"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3.4</w:t>
            </w:r>
          </w:p>
        </w:tc>
      </w:tr>
      <w:tr w:rsidR="009A6788" w:rsidRPr="0074036E" w14:paraId="16C26E41" w14:textId="77777777" w:rsidTr="009A6788">
        <w:trPr>
          <w:trHeight w:val="259"/>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06DF1CCE"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19</w:t>
            </w:r>
          </w:p>
        </w:tc>
        <w:tc>
          <w:tcPr>
            <w:tcW w:w="1419" w:type="dxa"/>
            <w:tcBorders>
              <w:top w:val="nil"/>
              <w:left w:val="nil"/>
              <w:bottom w:val="single" w:sz="4" w:space="0" w:color="A5A5A5"/>
              <w:right w:val="single" w:sz="4" w:space="0" w:color="A5A5A5"/>
            </w:tcBorders>
            <w:shd w:val="clear" w:color="auto" w:fill="auto"/>
            <w:vAlign w:val="center"/>
            <w:hideMark/>
          </w:tcPr>
          <w:p w14:paraId="3860D0D2"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Citrix Systems</w:t>
            </w:r>
          </w:p>
        </w:tc>
        <w:tc>
          <w:tcPr>
            <w:tcW w:w="1440" w:type="dxa"/>
            <w:tcBorders>
              <w:top w:val="nil"/>
              <w:left w:val="nil"/>
              <w:bottom w:val="single" w:sz="4" w:space="0" w:color="A5A5A5"/>
              <w:right w:val="single" w:sz="4" w:space="0" w:color="A5A5A5"/>
            </w:tcBorders>
            <w:shd w:val="clear" w:color="auto" w:fill="auto"/>
            <w:vAlign w:val="center"/>
            <w:hideMark/>
          </w:tcPr>
          <w:p w14:paraId="7537D4CA"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3.4</w:t>
            </w:r>
          </w:p>
        </w:tc>
        <w:tc>
          <w:tcPr>
            <w:tcW w:w="1440" w:type="dxa"/>
            <w:tcBorders>
              <w:top w:val="nil"/>
              <w:left w:val="nil"/>
              <w:bottom w:val="single" w:sz="4" w:space="0" w:color="A5A5A5"/>
              <w:right w:val="single" w:sz="4" w:space="0" w:color="A5A5A5"/>
            </w:tcBorders>
            <w:shd w:val="clear" w:color="auto" w:fill="auto"/>
            <w:vAlign w:val="center"/>
            <w:hideMark/>
          </w:tcPr>
          <w:p w14:paraId="79EB34AD"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56%</w:t>
            </w:r>
          </w:p>
        </w:tc>
        <w:tc>
          <w:tcPr>
            <w:tcW w:w="1377" w:type="dxa"/>
            <w:tcBorders>
              <w:top w:val="nil"/>
              <w:left w:val="nil"/>
              <w:bottom w:val="single" w:sz="4" w:space="0" w:color="A5A5A5"/>
              <w:right w:val="single" w:sz="4" w:space="0" w:color="A5A5A5"/>
            </w:tcBorders>
            <w:shd w:val="clear" w:color="auto" w:fill="auto"/>
            <w:vAlign w:val="center"/>
            <w:hideMark/>
          </w:tcPr>
          <w:p w14:paraId="4F50D53F"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26%</w:t>
            </w:r>
          </w:p>
        </w:tc>
        <w:tc>
          <w:tcPr>
            <w:tcW w:w="1233" w:type="dxa"/>
            <w:tcBorders>
              <w:top w:val="nil"/>
              <w:left w:val="nil"/>
              <w:bottom w:val="single" w:sz="4" w:space="0" w:color="A5A5A5"/>
              <w:right w:val="single" w:sz="4" w:space="0" w:color="A5A5A5"/>
            </w:tcBorders>
            <w:shd w:val="clear" w:color="auto" w:fill="auto"/>
            <w:vAlign w:val="center"/>
            <w:hideMark/>
          </w:tcPr>
          <w:p w14:paraId="6B11AA3A"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29</w:t>
            </w:r>
          </w:p>
        </w:tc>
        <w:tc>
          <w:tcPr>
            <w:tcW w:w="1546" w:type="dxa"/>
            <w:tcBorders>
              <w:top w:val="nil"/>
              <w:left w:val="nil"/>
              <w:bottom w:val="single" w:sz="4" w:space="0" w:color="A5A5A5"/>
              <w:right w:val="single" w:sz="4" w:space="0" w:color="A5A5A5"/>
            </w:tcBorders>
            <w:shd w:val="clear" w:color="auto" w:fill="auto"/>
            <w:vAlign w:val="center"/>
            <w:hideMark/>
          </w:tcPr>
          <w:p w14:paraId="1FBC52D5"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3.8</w:t>
            </w:r>
          </w:p>
        </w:tc>
      </w:tr>
      <w:tr w:rsidR="009A6788" w:rsidRPr="0074036E" w14:paraId="1A0DFF8C" w14:textId="77777777" w:rsidTr="009A6788">
        <w:trPr>
          <w:trHeight w:val="268"/>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3C0C61EB"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20</w:t>
            </w:r>
          </w:p>
        </w:tc>
        <w:tc>
          <w:tcPr>
            <w:tcW w:w="1419" w:type="dxa"/>
            <w:tcBorders>
              <w:top w:val="nil"/>
              <w:left w:val="nil"/>
              <w:bottom w:val="single" w:sz="4" w:space="0" w:color="A5A5A5"/>
              <w:right w:val="single" w:sz="4" w:space="0" w:color="A5A5A5"/>
            </w:tcBorders>
            <w:shd w:val="clear" w:color="auto" w:fill="auto"/>
            <w:vAlign w:val="center"/>
            <w:hideMark/>
          </w:tcPr>
          <w:p w14:paraId="421557F3"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NVIDIA</w:t>
            </w:r>
          </w:p>
        </w:tc>
        <w:tc>
          <w:tcPr>
            <w:tcW w:w="1440" w:type="dxa"/>
            <w:tcBorders>
              <w:top w:val="nil"/>
              <w:left w:val="nil"/>
              <w:bottom w:val="single" w:sz="4" w:space="0" w:color="A5A5A5"/>
              <w:right w:val="single" w:sz="4" w:space="0" w:color="A5A5A5"/>
            </w:tcBorders>
            <w:shd w:val="clear" w:color="auto" w:fill="auto"/>
            <w:vAlign w:val="center"/>
            <w:hideMark/>
          </w:tcPr>
          <w:p w14:paraId="47DBEE7A"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3.4</w:t>
            </w:r>
          </w:p>
        </w:tc>
        <w:tc>
          <w:tcPr>
            <w:tcW w:w="1440" w:type="dxa"/>
            <w:tcBorders>
              <w:top w:val="nil"/>
              <w:left w:val="nil"/>
              <w:bottom w:val="single" w:sz="4" w:space="0" w:color="A5A5A5"/>
              <w:right w:val="single" w:sz="4" w:space="0" w:color="A5A5A5"/>
            </w:tcBorders>
            <w:shd w:val="clear" w:color="auto" w:fill="auto"/>
            <w:vAlign w:val="center"/>
            <w:hideMark/>
          </w:tcPr>
          <w:p w14:paraId="5B58990F"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81%</w:t>
            </w:r>
          </w:p>
        </w:tc>
        <w:tc>
          <w:tcPr>
            <w:tcW w:w="1377" w:type="dxa"/>
            <w:tcBorders>
              <w:top w:val="nil"/>
              <w:left w:val="nil"/>
              <w:bottom w:val="single" w:sz="4" w:space="0" w:color="A5A5A5"/>
              <w:right w:val="single" w:sz="4" w:space="0" w:color="A5A5A5"/>
            </w:tcBorders>
            <w:shd w:val="clear" w:color="auto" w:fill="auto"/>
            <w:vAlign w:val="center"/>
            <w:hideMark/>
          </w:tcPr>
          <w:p w14:paraId="70F4AD03"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7%</w:t>
            </w:r>
          </w:p>
        </w:tc>
        <w:tc>
          <w:tcPr>
            <w:tcW w:w="1233" w:type="dxa"/>
            <w:tcBorders>
              <w:top w:val="nil"/>
              <w:left w:val="nil"/>
              <w:bottom w:val="single" w:sz="4" w:space="0" w:color="A5A5A5"/>
              <w:right w:val="single" w:sz="4" w:space="0" w:color="A5A5A5"/>
            </w:tcBorders>
            <w:shd w:val="clear" w:color="auto" w:fill="auto"/>
            <w:vAlign w:val="center"/>
            <w:hideMark/>
          </w:tcPr>
          <w:p w14:paraId="759E40C0"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22</w:t>
            </w:r>
          </w:p>
        </w:tc>
        <w:tc>
          <w:tcPr>
            <w:tcW w:w="1546" w:type="dxa"/>
            <w:tcBorders>
              <w:top w:val="nil"/>
              <w:left w:val="nil"/>
              <w:bottom w:val="single" w:sz="4" w:space="0" w:color="A5A5A5"/>
              <w:right w:val="single" w:sz="4" w:space="0" w:color="A5A5A5"/>
            </w:tcBorders>
            <w:shd w:val="clear" w:color="auto" w:fill="auto"/>
            <w:vAlign w:val="center"/>
            <w:hideMark/>
          </w:tcPr>
          <w:p w14:paraId="5326FEE9"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3.8</w:t>
            </w:r>
          </w:p>
        </w:tc>
      </w:tr>
      <w:tr w:rsidR="009A6788" w:rsidRPr="0074036E" w14:paraId="50A38611" w14:textId="77777777" w:rsidTr="009A6788">
        <w:trPr>
          <w:trHeight w:val="259"/>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26115B9A"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21</w:t>
            </w:r>
          </w:p>
        </w:tc>
        <w:tc>
          <w:tcPr>
            <w:tcW w:w="1419" w:type="dxa"/>
            <w:tcBorders>
              <w:top w:val="nil"/>
              <w:left w:val="nil"/>
              <w:bottom w:val="single" w:sz="4" w:space="0" w:color="A5A5A5"/>
              <w:right w:val="single" w:sz="4" w:space="0" w:color="A5A5A5"/>
            </w:tcBorders>
            <w:shd w:val="clear" w:color="auto" w:fill="auto"/>
            <w:vAlign w:val="center"/>
            <w:hideMark/>
          </w:tcPr>
          <w:p w14:paraId="02F3F033" w14:textId="77777777" w:rsidR="009A6788" w:rsidRPr="0074036E" w:rsidRDefault="009A6788" w:rsidP="009A6788">
            <w:pPr>
              <w:jc w:val="center"/>
              <w:rPr>
                <w:rFonts w:ascii="Helvetica" w:eastAsia="Times New Roman" w:hAnsi="Helvetica"/>
                <w:color w:val="000000"/>
                <w:sz w:val="18"/>
                <w:szCs w:val="18"/>
              </w:rPr>
            </w:pPr>
            <w:proofErr w:type="spellStart"/>
            <w:r w:rsidRPr="0074036E">
              <w:rPr>
                <w:rFonts w:ascii="Helvetica" w:eastAsia="Times New Roman" w:hAnsi="Helvetica"/>
                <w:color w:val="000000"/>
                <w:sz w:val="18"/>
                <w:szCs w:val="18"/>
              </w:rPr>
              <w:t>Informatica</w:t>
            </w:r>
            <w:proofErr w:type="spellEnd"/>
          </w:p>
        </w:tc>
        <w:tc>
          <w:tcPr>
            <w:tcW w:w="1440" w:type="dxa"/>
            <w:tcBorders>
              <w:top w:val="nil"/>
              <w:left w:val="nil"/>
              <w:bottom w:val="single" w:sz="4" w:space="0" w:color="A5A5A5"/>
              <w:right w:val="single" w:sz="4" w:space="0" w:color="A5A5A5"/>
            </w:tcBorders>
            <w:shd w:val="clear" w:color="auto" w:fill="auto"/>
            <w:vAlign w:val="center"/>
            <w:hideMark/>
          </w:tcPr>
          <w:p w14:paraId="6352926B"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3.4</w:t>
            </w:r>
          </w:p>
        </w:tc>
        <w:tc>
          <w:tcPr>
            <w:tcW w:w="1440" w:type="dxa"/>
            <w:tcBorders>
              <w:top w:val="nil"/>
              <w:left w:val="nil"/>
              <w:bottom w:val="single" w:sz="4" w:space="0" w:color="A5A5A5"/>
              <w:right w:val="single" w:sz="4" w:space="0" w:color="A5A5A5"/>
            </w:tcBorders>
            <w:shd w:val="clear" w:color="auto" w:fill="auto"/>
            <w:vAlign w:val="center"/>
            <w:hideMark/>
          </w:tcPr>
          <w:p w14:paraId="71C7EE0F"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83%</w:t>
            </w:r>
          </w:p>
        </w:tc>
        <w:tc>
          <w:tcPr>
            <w:tcW w:w="1377" w:type="dxa"/>
            <w:tcBorders>
              <w:top w:val="nil"/>
              <w:left w:val="nil"/>
              <w:bottom w:val="single" w:sz="4" w:space="0" w:color="A5A5A5"/>
              <w:right w:val="single" w:sz="4" w:space="0" w:color="A5A5A5"/>
            </w:tcBorders>
            <w:shd w:val="clear" w:color="auto" w:fill="auto"/>
            <w:vAlign w:val="center"/>
            <w:hideMark/>
          </w:tcPr>
          <w:p w14:paraId="1E04A877"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11%</w:t>
            </w:r>
          </w:p>
        </w:tc>
        <w:tc>
          <w:tcPr>
            <w:tcW w:w="1233" w:type="dxa"/>
            <w:tcBorders>
              <w:top w:val="nil"/>
              <w:left w:val="nil"/>
              <w:bottom w:val="single" w:sz="4" w:space="0" w:color="A5A5A5"/>
              <w:right w:val="single" w:sz="4" w:space="0" w:color="A5A5A5"/>
            </w:tcBorders>
            <w:shd w:val="clear" w:color="auto" w:fill="auto"/>
            <w:vAlign w:val="center"/>
            <w:hideMark/>
          </w:tcPr>
          <w:p w14:paraId="33BFB02D"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19</w:t>
            </w:r>
          </w:p>
        </w:tc>
        <w:tc>
          <w:tcPr>
            <w:tcW w:w="1546" w:type="dxa"/>
            <w:tcBorders>
              <w:top w:val="nil"/>
              <w:left w:val="nil"/>
              <w:bottom w:val="single" w:sz="4" w:space="0" w:color="A5A5A5"/>
              <w:right w:val="single" w:sz="4" w:space="0" w:color="A5A5A5"/>
            </w:tcBorders>
            <w:shd w:val="clear" w:color="auto" w:fill="auto"/>
            <w:vAlign w:val="center"/>
            <w:hideMark/>
          </w:tcPr>
          <w:p w14:paraId="5BD68B1C"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3.9</w:t>
            </w:r>
          </w:p>
        </w:tc>
      </w:tr>
      <w:tr w:rsidR="009A6788" w:rsidRPr="0074036E" w14:paraId="0B477AA8" w14:textId="77777777" w:rsidTr="009A6788">
        <w:trPr>
          <w:trHeight w:val="259"/>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2C5B0C4C"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22</w:t>
            </w:r>
          </w:p>
        </w:tc>
        <w:tc>
          <w:tcPr>
            <w:tcW w:w="1419" w:type="dxa"/>
            <w:tcBorders>
              <w:top w:val="nil"/>
              <w:left w:val="nil"/>
              <w:bottom w:val="single" w:sz="4" w:space="0" w:color="A5A5A5"/>
              <w:right w:val="single" w:sz="4" w:space="0" w:color="A5A5A5"/>
            </w:tcBorders>
            <w:shd w:val="clear" w:color="auto" w:fill="auto"/>
            <w:vAlign w:val="center"/>
            <w:hideMark/>
          </w:tcPr>
          <w:p w14:paraId="3BF39C72"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Facebook</w:t>
            </w:r>
          </w:p>
        </w:tc>
        <w:tc>
          <w:tcPr>
            <w:tcW w:w="1440" w:type="dxa"/>
            <w:tcBorders>
              <w:top w:val="nil"/>
              <w:left w:val="nil"/>
              <w:bottom w:val="single" w:sz="4" w:space="0" w:color="A5A5A5"/>
              <w:right w:val="single" w:sz="4" w:space="0" w:color="A5A5A5"/>
            </w:tcBorders>
            <w:shd w:val="clear" w:color="auto" w:fill="auto"/>
            <w:vAlign w:val="center"/>
            <w:hideMark/>
          </w:tcPr>
          <w:p w14:paraId="0BC59D48"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3.3</w:t>
            </w:r>
          </w:p>
        </w:tc>
        <w:tc>
          <w:tcPr>
            <w:tcW w:w="1440" w:type="dxa"/>
            <w:tcBorders>
              <w:top w:val="nil"/>
              <w:left w:val="nil"/>
              <w:bottom w:val="single" w:sz="4" w:space="0" w:color="A5A5A5"/>
              <w:right w:val="single" w:sz="4" w:space="0" w:color="A5A5A5"/>
            </w:tcBorders>
            <w:shd w:val="clear" w:color="auto" w:fill="auto"/>
            <w:vAlign w:val="center"/>
            <w:hideMark/>
          </w:tcPr>
          <w:p w14:paraId="372F7ACB"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72%</w:t>
            </w:r>
          </w:p>
        </w:tc>
        <w:tc>
          <w:tcPr>
            <w:tcW w:w="1377" w:type="dxa"/>
            <w:tcBorders>
              <w:top w:val="nil"/>
              <w:left w:val="nil"/>
              <w:bottom w:val="single" w:sz="4" w:space="0" w:color="A5A5A5"/>
              <w:right w:val="single" w:sz="4" w:space="0" w:color="A5A5A5"/>
            </w:tcBorders>
            <w:shd w:val="clear" w:color="auto" w:fill="auto"/>
            <w:vAlign w:val="center"/>
            <w:hideMark/>
          </w:tcPr>
          <w:p w14:paraId="33869AF5"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14%</w:t>
            </w:r>
          </w:p>
        </w:tc>
        <w:tc>
          <w:tcPr>
            <w:tcW w:w="1233" w:type="dxa"/>
            <w:tcBorders>
              <w:top w:val="nil"/>
              <w:left w:val="nil"/>
              <w:bottom w:val="single" w:sz="4" w:space="0" w:color="A5A5A5"/>
              <w:right w:val="single" w:sz="4" w:space="0" w:color="A5A5A5"/>
            </w:tcBorders>
            <w:shd w:val="clear" w:color="auto" w:fill="auto"/>
            <w:vAlign w:val="center"/>
            <w:hideMark/>
          </w:tcPr>
          <w:p w14:paraId="4DF38158"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30</w:t>
            </w:r>
          </w:p>
        </w:tc>
        <w:tc>
          <w:tcPr>
            <w:tcW w:w="1546" w:type="dxa"/>
            <w:tcBorders>
              <w:top w:val="nil"/>
              <w:left w:val="nil"/>
              <w:bottom w:val="single" w:sz="4" w:space="0" w:color="A5A5A5"/>
              <w:right w:val="single" w:sz="4" w:space="0" w:color="A5A5A5"/>
            </w:tcBorders>
            <w:shd w:val="clear" w:color="auto" w:fill="auto"/>
            <w:vAlign w:val="center"/>
            <w:hideMark/>
          </w:tcPr>
          <w:p w14:paraId="11B5ECBB"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4.8</w:t>
            </w:r>
          </w:p>
        </w:tc>
      </w:tr>
      <w:tr w:rsidR="009A6788" w:rsidRPr="0074036E" w14:paraId="06405984" w14:textId="77777777" w:rsidTr="009A6788">
        <w:trPr>
          <w:trHeight w:val="259"/>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503945C3"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23</w:t>
            </w:r>
          </w:p>
        </w:tc>
        <w:tc>
          <w:tcPr>
            <w:tcW w:w="1419" w:type="dxa"/>
            <w:tcBorders>
              <w:top w:val="nil"/>
              <w:left w:val="nil"/>
              <w:bottom w:val="single" w:sz="4" w:space="0" w:color="A5A5A5"/>
              <w:right w:val="single" w:sz="4" w:space="0" w:color="A5A5A5"/>
            </w:tcBorders>
            <w:shd w:val="clear" w:color="auto" w:fill="auto"/>
            <w:vAlign w:val="center"/>
            <w:hideMark/>
          </w:tcPr>
          <w:p w14:paraId="403635A9"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Guidewire</w:t>
            </w:r>
          </w:p>
        </w:tc>
        <w:tc>
          <w:tcPr>
            <w:tcW w:w="1440" w:type="dxa"/>
            <w:tcBorders>
              <w:top w:val="nil"/>
              <w:left w:val="nil"/>
              <w:bottom w:val="single" w:sz="4" w:space="0" w:color="A5A5A5"/>
              <w:right w:val="single" w:sz="4" w:space="0" w:color="A5A5A5"/>
            </w:tcBorders>
            <w:shd w:val="clear" w:color="auto" w:fill="auto"/>
            <w:vAlign w:val="center"/>
            <w:hideMark/>
          </w:tcPr>
          <w:p w14:paraId="7AB57CD7"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3.3</w:t>
            </w:r>
          </w:p>
        </w:tc>
        <w:tc>
          <w:tcPr>
            <w:tcW w:w="1440" w:type="dxa"/>
            <w:tcBorders>
              <w:top w:val="nil"/>
              <w:left w:val="nil"/>
              <w:bottom w:val="single" w:sz="4" w:space="0" w:color="A5A5A5"/>
              <w:right w:val="single" w:sz="4" w:space="0" w:color="A5A5A5"/>
            </w:tcBorders>
            <w:shd w:val="clear" w:color="auto" w:fill="auto"/>
            <w:vAlign w:val="center"/>
            <w:hideMark/>
          </w:tcPr>
          <w:p w14:paraId="1F834C41"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62%</w:t>
            </w:r>
          </w:p>
        </w:tc>
        <w:tc>
          <w:tcPr>
            <w:tcW w:w="1377" w:type="dxa"/>
            <w:tcBorders>
              <w:top w:val="nil"/>
              <w:left w:val="nil"/>
              <w:bottom w:val="single" w:sz="4" w:space="0" w:color="A5A5A5"/>
              <w:right w:val="single" w:sz="4" w:space="0" w:color="A5A5A5"/>
            </w:tcBorders>
            <w:shd w:val="clear" w:color="auto" w:fill="auto"/>
            <w:vAlign w:val="center"/>
            <w:hideMark/>
          </w:tcPr>
          <w:p w14:paraId="0B110EBE"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21%</w:t>
            </w:r>
          </w:p>
        </w:tc>
        <w:tc>
          <w:tcPr>
            <w:tcW w:w="1233" w:type="dxa"/>
            <w:tcBorders>
              <w:top w:val="nil"/>
              <w:left w:val="nil"/>
              <w:bottom w:val="single" w:sz="4" w:space="0" w:color="A5A5A5"/>
              <w:right w:val="single" w:sz="4" w:space="0" w:color="A5A5A5"/>
            </w:tcBorders>
            <w:shd w:val="clear" w:color="auto" w:fill="auto"/>
            <w:vAlign w:val="center"/>
            <w:hideMark/>
          </w:tcPr>
          <w:p w14:paraId="286F3A2F"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30</w:t>
            </w:r>
          </w:p>
        </w:tc>
        <w:tc>
          <w:tcPr>
            <w:tcW w:w="1546" w:type="dxa"/>
            <w:tcBorders>
              <w:top w:val="nil"/>
              <w:left w:val="nil"/>
              <w:bottom w:val="single" w:sz="4" w:space="0" w:color="A5A5A5"/>
              <w:right w:val="single" w:sz="4" w:space="0" w:color="A5A5A5"/>
            </w:tcBorders>
            <w:shd w:val="clear" w:color="auto" w:fill="auto"/>
            <w:vAlign w:val="center"/>
            <w:hideMark/>
          </w:tcPr>
          <w:p w14:paraId="4E17E887"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4.6</w:t>
            </w:r>
          </w:p>
        </w:tc>
      </w:tr>
      <w:tr w:rsidR="009A6788" w:rsidRPr="0074036E" w14:paraId="0B2179A9" w14:textId="77777777" w:rsidTr="009A6788">
        <w:trPr>
          <w:trHeight w:val="169"/>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6DB6C197"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24</w:t>
            </w:r>
          </w:p>
        </w:tc>
        <w:tc>
          <w:tcPr>
            <w:tcW w:w="1419" w:type="dxa"/>
            <w:tcBorders>
              <w:top w:val="nil"/>
              <w:left w:val="nil"/>
              <w:bottom w:val="single" w:sz="4" w:space="0" w:color="A5A5A5"/>
              <w:right w:val="single" w:sz="4" w:space="0" w:color="A5A5A5"/>
            </w:tcBorders>
            <w:shd w:val="clear" w:color="auto" w:fill="auto"/>
            <w:vAlign w:val="center"/>
            <w:hideMark/>
          </w:tcPr>
          <w:p w14:paraId="172DB73E"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Caterpillar</w:t>
            </w:r>
          </w:p>
        </w:tc>
        <w:tc>
          <w:tcPr>
            <w:tcW w:w="1440" w:type="dxa"/>
            <w:tcBorders>
              <w:top w:val="nil"/>
              <w:left w:val="nil"/>
              <w:bottom w:val="single" w:sz="4" w:space="0" w:color="A5A5A5"/>
              <w:right w:val="single" w:sz="4" w:space="0" w:color="A5A5A5"/>
            </w:tcBorders>
            <w:shd w:val="clear" w:color="auto" w:fill="auto"/>
            <w:vAlign w:val="center"/>
            <w:hideMark/>
          </w:tcPr>
          <w:p w14:paraId="4FDB82E4"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3.3</w:t>
            </w:r>
          </w:p>
        </w:tc>
        <w:tc>
          <w:tcPr>
            <w:tcW w:w="1440" w:type="dxa"/>
            <w:tcBorders>
              <w:top w:val="nil"/>
              <w:left w:val="nil"/>
              <w:bottom w:val="single" w:sz="4" w:space="0" w:color="A5A5A5"/>
              <w:right w:val="single" w:sz="4" w:space="0" w:color="A5A5A5"/>
            </w:tcBorders>
            <w:shd w:val="clear" w:color="auto" w:fill="auto"/>
            <w:vAlign w:val="center"/>
            <w:hideMark/>
          </w:tcPr>
          <w:p w14:paraId="3339359A"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76%</w:t>
            </w:r>
          </w:p>
        </w:tc>
        <w:tc>
          <w:tcPr>
            <w:tcW w:w="1377" w:type="dxa"/>
            <w:tcBorders>
              <w:top w:val="nil"/>
              <w:left w:val="nil"/>
              <w:bottom w:val="single" w:sz="4" w:space="0" w:color="A5A5A5"/>
              <w:right w:val="single" w:sz="4" w:space="0" w:color="A5A5A5"/>
            </w:tcBorders>
            <w:shd w:val="clear" w:color="auto" w:fill="auto"/>
            <w:vAlign w:val="center"/>
            <w:hideMark/>
          </w:tcPr>
          <w:p w14:paraId="34CA2771"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10%</w:t>
            </w:r>
          </w:p>
        </w:tc>
        <w:tc>
          <w:tcPr>
            <w:tcW w:w="1233" w:type="dxa"/>
            <w:tcBorders>
              <w:top w:val="nil"/>
              <w:left w:val="nil"/>
              <w:bottom w:val="single" w:sz="4" w:space="0" w:color="A5A5A5"/>
              <w:right w:val="single" w:sz="4" w:space="0" w:color="A5A5A5"/>
            </w:tcBorders>
            <w:shd w:val="clear" w:color="auto" w:fill="auto"/>
            <w:vAlign w:val="center"/>
            <w:hideMark/>
          </w:tcPr>
          <w:p w14:paraId="4A57F35D"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43</w:t>
            </w:r>
          </w:p>
        </w:tc>
        <w:tc>
          <w:tcPr>
            <w:tcW w:w="1546" w:type="dxa"/>
            <w:tcBorders>
              <w:top w:val="nil"/>
              <w:left w:val="nil"/>
              <w:bottom w:val="single" w:sz="4" w:space="0" w:color="A5A5A5"/>
              <w:right w:val="single" w:sz="4" w:space="0" w:color="A5A5A5"/>
            </w:tcBorders>
            <w:shd w:val="clear" w:color="auto" w:fill="auto"/>
            <w:vAlign w:val="center"/>
            <w:hideMark/>
          </w:tcPr>
          <w:p w14:paraId="2B202468"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3.7</w:t>
            </w:r>
          </w:p>
        </w:tc>
      </w:tr>
      <w:tr w:rsidR="009A6788" w:rsidRPr="0074036E" w14:paraId="05123A7B" w14:textId="77777777" w:rsidTr="009A6788">
        <w:trPr>
          <w:trHeight w:val="214"/>
        </w:trPr>
        <w:tc>
          <w:tcPr>
            <w:tcW w:w="736" w:type="dxa"/>
            <w:tcBorders>
              <w:top w:val="nil"/>
              <w:left w:val="single" w:sz="4" w:space="0" w:color="A5A5A5"/>
              <w:bottom w:val="single" w:sz="4" w:space="0" w:color="A5A5A5"/>
              <w:right w:val="single" w:sz="4" w:space="0" w:color="A5A5A5"/>
            </w:tcBorders>
            <w:shd w:val="clear" w:color="auto" w:fill="auto"/>
            <w:vAlign w:val="center"/>
            <w:hideMark/>
          </w:tcPr>
          <w:p w14:paraId="1E44EDA3"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25</w:t>
            </w:r>
          </w:p>
        </w:tc>
        <w:tc>
          <w:tcPr>
            <w:tcW w:w="1419" w:type="dxa"/>
            <w:tcBorders>
              <w:top w:val="nil"/>
              <w:left w:val="nil"/>
              <w:bottom w:val="single" w:sz="4" w:space="0" w:color="A5A5A5"/>
              <w:right w:val="single" w:sz="4" w:space="0" w:color="A5A5A5"/>
            </w:tcBorders>
            <w:shd w:val="clear" w:color="auto" w:fill="auto"/>
            <w:vAlign w:val="center"/>
            <w:hideMark/>
          </w:tcPr>
          <w:p w14:paraId="555D4441" w14:textId="77777777" w:rsidR="009A6788" w:rsidRPr="0074036E" w:rsidRDefault="009A6788" w:rsidP="009A6788">
            <w:pPr>
              <w:jc w:val="center"/>
              <w:rPr>
                <w:rFonts w:ascii="Helvetica" w:eastAsia="Times New Roman" w:hAnsi="Helvetica"/>
                <w:color w:val="000000"/>
                <w:sz w:val="18"/>
                <w:szCs w:val="18"/>
              </w:rPr>
            </w:pPr>
            <w:r w:rsidRPr="0074036E">
              <w:rPr>
                <w:rFonts w:ascii="Helvetica" w:eastAsia="Times New Roman" w:hAnsi="Helvetica"/>
                <w:color w:val="000000"/>
                <w:sz w:val="18"/>
                <w:szCs w:val="18"/>
              </w:rPr>
              <w:t>Backspace</w:t>
            </w:r>
          </w:p>
        </w:tc>
        <w:tc>
          <w:tcPr>
            <w:tcW w:w="1440" w:type="dxa"/>
            <w:tcBorders>
              <w:top w:val="nil"/>
              <w:left w:val="nil"/>
              <w:bottom w:val="single" w:sz="4" w:space="0" w:color="A5A5A5"/>
              <w:right w:val="single" w:sz="4" w:space="0" w:color="A5A5A5"/>
            </w:tcBorders>
            <w:shd w:val="clear" w:color="auto" w:fill="auto"/>
            <w:vAlign w:val="center"/>
            <w:hideMark/>
          </w:tcPr>
          <w:p w14:paraId="76105ABC"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3.3</w:t>
            </w:r>
          </w:p>
        </w:tc>
        <w:tc>
          <w:tcPr>
            <w:tcW w:w="1440" w:type="dxa"/>
            <w:tcBorders>
              <w:top w:val="nil"/>
              <w:left w:val="nil"/>
              <w:bottom w:val="single" w:sz="4" w:space="0" w:color="A5A5A5"/>
              <w:right w:val="single" w:sz="4" w:space="0" w:color="A5A5A5"/>
            </w:tcBorders>
            <w:shd w:val="clear" w:color="auto" w:fill="auto"/>
            <w:vAlign w:val="center"/>
            <w:hideMark/>
          </w:tcPr>
          <w:p w14:paraId="6C75D86D"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72%</w:t>
            </w:r>
          </w:p>
        </w:tc>
        <w:tc>
          <w:tcPr>
            <w:tcW w:w="1377" w:type="dxa"/>
            <w:tcBorders>
              <w:top w:val="nil"/>
              <w:left w:val="nil"/>
              <w:bottom w:val="single" w:sz="4" w:space="0" w:color="A5A5A5"/>
              <w:right w:val="single" w:sz="4" w:space="0" w:color="A5A5A5"/>
            </w:tcBorders>
            <w:shd w:val="clear" w:color="auto" w:fill="auto"/>
            <w:vAlign w:val="center"/>
            <w:hideMark/>
          </w:tcPr>
          <w:p w14:paraId="7FFCD0CB"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20%</w:t>
            </w:r>
          </w:p>
        </w:tc>
        <w:tc>
          <w:tcPr>
            <w:tcW w:w="1233" w:type="dxa"/>
            <w:tcBorders>
              <w:top w:val="nil"/>
              <w:left w:val="nil"/>
              <w:bottom w:val="single" w:sz="4" w:space="0" w:color="A5A5A5"/>
              <w:right w:val="single" w:sz="4" w:space="0" w:color="A5A5A5"/>
            </w:tcBorders>
            <w:shd w:val="clear" w:color="auto" w:fill="auto"/>
            <w:vAlign w:val="center"/>
            <w:hideMark/>
          </w:tcPr>
          <w:p w14:paraId="20E2FE0C"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23</w:t>
            </w:r>
          </w:p>
        </w:tc>
        <w:tc>
          <w:tcPr>
            <w:tcW w:w="1546" w:type="dxa"/>
            <w:tcBorders>
              <w:top w:val="nil"/>
              <w:left w:val="nil"/>
              <w:bottom w:val="single" w:sz="4" w:space="0" w:color="A5A5A5"/>
              <w:right w:val="single" w:sz="4" w:space="0" w:color="A5A5A5"/>
            </w:tcBorders>
            <w:shd w:val="clear" w:color="auto" w:fill="auto"/>
            <w:vAlign w:val="center"/>
            <w:hideMark/>
          </w:tcPr>
          <w:p w14:paraId="3F38E767" w14:textId="77777777" w:rsidR="009A6788" w:rsidRPr="0074036E" w:rsidRDefault="009A6788" w:rsidP="009A6788">
            <w:pPr>
              <w:jc w:val="right"/>
              <w:rPr>
                <w:rFonts w:ascii="Helvetica" w:eastAsia="Times New Roman" w:hAnsi="Helvetica"/>
                <w:color w:val="000000"/>
                <w:sz w:val="18"/>
                <w:szCs w:val="18"/>
              </w:rPr>
            </w:pPr>
            <w:r w:rsidRPr="0074036E">
              <w:rPr>
                <w:rFonts w:ascii="Helvetica" w:eastAsia="Times New Roman" w:hAnsi="Helvetica"/>
                <w:color w:val="000000"/>
                <w:sz w:val="18"/>
                <w:szCs w:val="18"/>
              </w:rPr>
              <w:t>4.1</w:t>
            </w:r>
          </w:p>
        </w:tc>
      </w:tr>
      <w:tr w:rsidR="009A6788" w:rsidRPr="0074036E" w14:paraId="09A5D328" w14:textId="77777777" w:rsidTr="009A6788">
        <w:trPr>
          <w:trHeight w:val="360"/>
        </w:trPr>
        <w:tc>
          <w:tcPr>
            <w:tcW w:w="736" w:type="dxa"/>
            <w:tcBorders>
              <w:top w:val="nil"/>
              <w:left w:val="nil"/>
              <w:bottom w:val="nil"/>
              <w:right w:val="nil"/>
            </w:tcBorders>
            <w:shd w:val="clear" w:color="auto" w:fill="auto"/>
            <w:hideMark/>
          </w:tcPr>
          <w:p w14:paraId="275A2EEB" w14:textId="77777777" w:rsidR="009A6788" w:rsidRPr="0074036E" w:rsidRDefault="009A6788" w:rsidP="009A6788">
            <w:pPr>
              <w:jc w:val="center"/>
              <w:rPr>
                <w:rFonts w:ascii="Helvetica" w:eastAsia="Times New Roman" w:hAnsi="Helvetica"/>
                <w:color w:val="000000"/>
                <w:sz w:val="18"/>
                <w:szCs w:val="18"/>
              </w:rPr>
            </w:pPr>
          </w:p>
        </w:tc>
        <w:tc>
          <w:tcPr>
            <w:tcW w:w="1419" w:type="dxa"/>
            <w:tcBorders>
              <w:top w:val="nil"/>
              <w:left w:val="nil"/>
              <w:bottom w:val="nil"/>
              <w:right w:val="nil"/>
            </w:tcBorders>
            <w:shd w:val="clear" w:color="auto" w:fill="auto"/>
            <w:hideMark/>
          </w:tcPr>
          <w:p w14:paraId="49C6A39E" w14:textId="77777777" w:rsidR="009A6788" w:rsidRPr="0074036E" w:rsidRDefault="009A6788" w:rsidP="009A6788">
            <w:pPr>
              <w:rPr>
                <w:rFonts w:eastAsia="Times New Roman"/>
                <w:sz w:val="18"/>
                <w:szCs w:val="18"/>
              </w:rPr>
            </w:pPr>
          </w:p>
        </w:tc>
        <w:tc>
          <w:tcPr>
            <w:tcW w:w="1440" w:type="dxa"/>
            <w:tcBorders>
              <w:top w:val="nil"/>
              <w:left w:val="nil"/>
              <w:bottom w:val="nil"/>
              <w:right w:val="nil"/>
            </w:tcBorders>
            <w:shd w:val="clear" w:color="auto" w:fill="auto"/>
            <w:hideMark/>
          </w:tcPr>
          <w:p w14:paraId="647FD1B8" w14:textId="77777777" w:rsidR="009A6788" w:rsidRPr="0074036E" w:rsidRDefault="009A6788" w:rsidP="009A6788">
            <w:pPr>
              <w:rPr>
                <w:rFonts w:eastAsia="Times New Roman"/>
                <w:sz w:val="18"/>
                <w:szCs w:val="18"/>
              </w:rPr>
            </w:pPr>
          </w:p>
        </w:tc>
        <w:tc>
          <w:tcPr>
            <w:tcW w:w="1440" w:type="dxa"/>
            <w:tcBorders>
              <w:top w:val="nil"/>
              <w:left w:val="nil"/>
              <w:bottom w:val="nil"/>
              <w:right w:val="nil"/>
            </w:tcBorders>
            <w:shd w:val="clear" w:color="auto" w:fill="auto"/>
            <w:hideMark/>
          </w:tcPr>
          <w:p w14:paraId="169D5A36" w14:textId="77777777" w:rsidR="009A6788" w:rsidRPr="0074036E" w:rsidRDefault="009A6788" w:rsidP="009A6788">
            <w:pPr>
              <w:rPr>
                <w:rFonts w:eastAsia="Times New Roman"/>
                <w:sz w:val="18"/>
                <w:szCs w:val="18"/>
              </w:rPr>
            </w:pPr>
          </w:p>
        </w:tc>
        <w:tc>
          <w:tcPr>
            <w:tcW w:w="1377" w:type="dxa"/>
            <w:tcBorders>
              <w:top w:val="nil"/>
              <w:left w:val="nil"/>
              <w:bottom w:val="nil"/>
              <w:right w:val="nil"/>
            </w:tcBorders>
            <w:shd w:val="clear" w:color="auto" w:fill="auto"/>
            <w:hideMark/>
          </w:tcPr>
          <w:p w14:paraId="2D9A7F58" w14:textId="77777777" w:rsidR="009A6788" w:rsidRPr="0074036E" w:rsidRDefault="009A6788" w:rsidP="009A6788">
            <w:pPr>
              <w:rPr>
                <w:rFonts w:eastAsia="Times New Roman"/>
                <w:sz w:val="18"/>
                <w:szCs w:val="18"/>
              </w:rPr>
            </w:pPr>
          </w:p>
        </w:tc>
        <w:tc>
          <w:tcPr>
            <w:tcW w:w="1233" w:type="dxa"/>
            <w:tcBorders>
              <w:top w:val="nil"/>
              <w:left w:val="nil"/>
              <w:bottom w:val="nil"/>
              <w:right w:val="nil"/>
            </w:tcBorders>
            <w:shd w:val="clear" w:color="auto" w:fill="auto"/>
            <w:hideMark/>
          </w:tcPr>
          <w:p w14:paraId="1B140F83" w14:textId="77777777" w:rsidR="009A6788" w:rsidRPr="0074036E" w:rsidRDefault="009A6788" w:rsidP="009A6788">
            <w:pPr>
              <w:rPr>
                <w:rFonts w:eastAsia="Times New Roman"/>
                <w:sz w:val="18"/>
                <w:szCs w:val="18"/>
              </w:rPr>
            </w:pPr>
          </w:p>
        </w:tc>
        <w:tc>
          <w:tcPr>
            <w:tcW w:w="1546" w:type="dxa"/>
            <w:tcBorders>
              <w:top w:val="nil"/>
              <w:left w:val="nil"/>
              <w:bottom w:val="nil"/>
              <w:right w:val="nil"/>
            </w:tcBorders>
            <w:shd w:val="clear" w:color="auto" w:fill="auto"/>
            <w:hideMark/>
          </w:tcPr>
          <w:p w14:paraId="6BA3E56F" w14:textId="77777777" w:rsidR="009A6788" w:rsidRPr="0074036E" w:rsidRDefault="009A6788" w:rsidP="009A6788">
            <w:pPr>
              <w:rPr>
                <w:rFonts w:eastAsia="Times New Roman"/>
                <w:sz w:val="18"/>
                <w:szCs w:val="18"/>
              </w:rPr>
            </w:pPr>
          </w:p>
        </w:tc>
      </w:tr>
    </w:tbl>
    <w:p w14:paraId="4BD7E220" w14:textId="77777777" w:rsidR="0074036E" w:rsidRDefault="0074036E" w:rsidP="0074036E">
      <w:pPr>
        <w:pStyle w:val="Footnote"/>
      </w:pPr>
      <w:r w:rsidRPr="00483937">
        <w:t xml:space="preserve">Source: </w:t>
      </w:r>
      <w:bookmarkStart w:id="67" w:name="OLE_LINK22"/>
      <w:bookmarkStart w:id="68" w:name="OLE_LINK23"/>
      <w:r>
        <w:t>“</w:t>
      </w:r>
      <w:r w:rsidRPr="00905F8C">
        <w:rPr>
          <w:lang w:val="en-US"/>
        </w:rPr>
        <w:t>Glassdoor's T</w:t>
      </w:r>
      <w:r>
        <w:rPr>
          <w:lang w:val="en-US"/>
        </w:rPr>
        <w:t>op 25 Most Difficult Companies t</w:t>
      </w:r>
      <w:r w:rsidRPr="00905F8C">
        <w:rPr>
          <w:lang w:val="en-US"/>
        </w:rPr>
        <w:t>o Interview (2013)</w:t>
      </w:r>
      <w:r>
        <w:rPr>
          <w:lang w:val="en-US"/>
        </w:rPr>
        <w:t xml:space="preserve">,” Glassdoor, August 9, 2013, </w:t>
      </w:r>
      <w:bookmarkEnd w:id="67"/>
      <w:bookmarkEnd w:id="68"/>
      <w:r w:rsidRPr="00483937">
        <w:t>accessed September 28, 2015</w:t>
      </w:r>
      <w:r>
        <w:t xml:space="preserve">, </w:t>
      </w:r>
      <w:r w:rsidRPr="004A145B">
        <w:t>www.glassdoor.com/blog/glassdoors-top-25-dif</w:t>
      </w:r>
      <w:r>
        <w:t>ficult-companies-interview-2013</w:t>
      </w:r>
      <w:r w:rsidRPr="00483937">
        <w:t xml:space="preserve">. </w:t>
      </w:r>
    </w:p>
    <w:p w14:paraId="39A25483" w14:textId="77777777" w:rsidR="009A6788" w:rsidRDefault="009A6788" w:rsidP="0074036E">
      <w:pPr>
        <w:pStyle w:val="Footnote"/>
      </w:pPr>
    </w:p>
    <w:p w14:paraId="2390FB29" w14:textId="77777777" w:rsidR="009A6788" w:rsidRDefault="009A6788" w:rsidP="0074036E">
      <w:pPr>
        <w:pStyle w:val="Footnote"/>
      </w:pPr>
    </w:p>
    <w:p w14:paraId="132D5157" w14:textId="77777777" w:rsidR="00E40A1B" w:rsidRDefault="00E40A1B" w:rsidP="0074036E">
      <w:pPr>
        <w:pStyle w:val="Footnote"/>
      </w:pPr>
    </w:p>
    <w:p w14:paraId="0DA51D87" w14:textId="77777777" w:rsidR="00FD1E2A" w:rsidRPr="00483937" w:rsidRDefault="00FD1E2A" w:rsidP="0095562A">
      <w:pPr>
        <w:pStyle w:val="ExhibitHeading"/>
      </w:pPr>
      <w:r w:rsidRPr="00483937">
        <w:lastRenderedPageBreak/>
        <w:t>Exhibit 5</w:t>
      </w:r>
      <w:r w:rsidR="0095562A" w:rsidRPr="00483937">
        <w:t xml:space="preserve">: </w:t>
      </w:r>
      <w:r w:rsidRPr="00483937">
        <w:t>Purpose strongly linked to business performance and employees’ satisfaction</w:t>
      </w:r>
    </w:p>
    <w:p w14:paraId="126A79EB" w14:textId="77777777" w:rsidR="00FD1E2A" w:rsidRPr="000202AF" w:rsidRDefault="00FD1E2A" w:rsidP="00FD1E2A">
      <w:pPr>
        <w:spacing w:line="276" w:lineRule="auto"/>
        <w:contextualSpacing/>
        <w:rPr>
          <w:rFonts w:ascii="Arial" w:hAnsi="Arial" w:cs="Arial"/>
          <w:sz w:val="20"/>
          <w:szCs w:val="20"/>
        </w:rPr>
      </w:pPr>
    </w:p>
    <w:tbl>
      <w:tblPr>
        <w:tblW w:w="8100" w:type="dxa"/>
        <w:jc w:val="center"/>
        <w:tblLook w:val="04A0" w:firstRow="1" w:lastRow="0" w:firstColumn="1" w:lastColumn="0" w:noHBand="0" w:noVBand="1"/>
      </w:tblPr>
      <w:tblGrid>
        <w:gridCol w:w="3940"/>
        <w:gridCol w:w="1780"/>
        <w:gridCol w:w="2380"/>
      </w:tblGrid>
      <w:tr w:rsidR="000202AF" w:rsidRPr="000202AF" w14:paraId="3C420C1B" w14:textId="77777777" w:rsidTr="007701B4">
        <w:trPr>
          <w:trHeight w:val="510"/>
          <w:jc w:val="center"/>
        </w:trPr>
        <w:tc>
          <w:tcPr>
            <w:tcW w:w="3940" w:type="dxa"/>
            <w:tcBorders>
              <w:top w:val="single" w:sz="4" w:space="0" w:color="A5A5A5"/>
              <w:left w:val="single" w:sz="4" w:space="0" w:color="A5A5A5"/>
              <w:bottom w:val="single" w:sz="4" w:space="0" w:color="3F3F3F"/>
              <w:right w:val="single" w:sz="4" w:space="0" w:color="A5A5A5"/>
            </w:tcBorders>
            <w:shd w:val="clear" w:color="auto" w:fill="auto"/>
            <w:vAlign w:val="center"/>
            <w:hideMark/>
          </w:tcPr>
          <w:p w14:paraId="69D7B009" w14:textId="77777777" w:rsidR="000202AF" w:rsidRPr="000202AF" w:rsidRDefault="000202AF" w:rsidP="000202AF">
            <w:pPr>
              <w:jc w:val="center"/>
              <w:rPr>
                <w:rFonts w:ascii="Helvetica" w:eastAsia="Times New Roman" w:hAnsi="Helvetica"/>
                <w:b/>
                <w:bCs/>
                <w:color w:val="000000"/>
                <w:sz w:val="20"/>
                <w:szCs w:val="20"/>
              </w:rPr>
            </w:pPr>
            <w:r w:rsidRPr="000202AF">
              <w:rPr>
                <w:rFonts w:ascii="Helvetica" w:eastAsia="Times New Roman" w:hAnsi="Helvetica"/>
                <w:b/>
                <w:bCs/>
                <w:color w:val="000000"/>
                <w:sz w:val="20"/>
                <w:szCs w:val="20"/>
              </w:rPr>
              <w:t> </w:t>
            </w:r>
          </w:p>
        </w:tc>
        <w:tc>
          <w:tcPr>
            <w:tcW w:w="1780" w:type="dxa"/>
            <w:tcBorders>
              <w:top w:val="single" w:sz="4" w:space="0" w:color="A5A5A5"/>
              <w:left w:val="nil"/>
              <w:bottom w:val="single" w:sz="4" w:space="0" w:color="3F3F3F"/>
              <w:right w:val="single" w:sz="4" w:space="0" w:color="A5A5A5"/>
            </w:tcBorders>
            <w:shd w:val="clear" w:color="auto" w:fill="auto"/>
            <w:vAlign w:val="center"/>
            <w:hideMark/>
          </w:tcPr>
          <w:p w14:paraId="12893B9D" w14:textId="2F4585C6" w:rsidR="000202AF" w:rsidRPr="000202AF" w:rsidRDefault="000202AF" w:rsidP="004135C1">
            <w:pPr>
              <w:jc w:val="center"/>
              <w:rPr>
                <w:rFonts w:ascii="Helvetica" w:eastAsia="Times New Roman" w:hAnsi="Helvetica"/>
                <w:b/>
                <w:bCs/>
                <w:color w:val="000000"/>
                <w:sz w:val="20"/>
                <w:szCs w:val="20"/>
              </w:rPr>
            </w:pPr>
            <w:r w:rsidRPr="000202AF">
              <w:rPr>
                <w:rFonts w:ascii="Helvetica" w:eastAsia="Times New Roman" w:hAnsi="Helvetica"/>
                <w:b/>
                <w:bCs/>
                <w:color w:val="000000"/>
                <w:sz w:val="20"/>
                <w:szCs w:val="20"/>
              </w:rPr>
              <w:t xml:space="preserve">Strong </w:t>
            </w:r>
            <w:r w:rsidR="0001492C">
              <w:rPr>
                <w:rFonts w:ascii="Helvetica" w:eastAsia="Times New Roman" w:hAnsi="Helvetica"/>
                <w:b/>
                <w:bCs/>
                <w:color w:val="000000"/>
                <w:sz w:val="20"/>
                <w:szCs w:val="20"/>
              </w:rPr>
              <w:t>S</w:t>
            </w:r>
            <w:r w:rsidR="0001492C" w:rsidRPr="000202AF">
              <w:rPr>
                <w:rFonts w:ascii="Helvetica" w:eastAsia="Times New Roman" w:hAnsi="Helvetica"/>
                <w:b/>
                <w:bCs/>
                <w:color w:val="000000"/>
                <w:sz w:val="20"/>
                <w:szCs w:val="20"/>
              </w:rPr>
              <w:t xml:space="preserve">ense </w:t>
            </w:r>
            <w:r w:rsidRPr="000202AF">
              <w:rPr>
                <w:rFonts w:ascii="Helvetica" w:eastAsia="Times New Roman" w:hAnsi="Helvetica"/>
                <w:b/>
                <w:bCs/>
                <w:color w:val="000000"/>
                <w:sz w:val="20"/>
                <w:szCs w:val="20"/>
              </w:rPr>
              <w:t>of Purpose</w:t>
            </w:r>
          </w:p>
        </w:tc>
        <w:tc>
          <w:tcPr>
            <w:tcW w:w="2380" w:type="dxa"/>
            <w:tcBorders>
              <w:top w:val="single" w:sz="4" w:space="0" w:color="A5A5A5"/>
              <w:left w:val="nil"/>
              <w:bottom w:val="single" w:sz="4" w:space="0" w:color="3F3F3F"/>
              <w:right w:val="single" w:sz="4" w:space="0" w:color="A5A5A5"/>
            </w:tcBorders>
            <w:shd w:val="clear" w:color="auto" w:fill="auto"/>
            <w:vAlign w:val="center"/>
            <w:hideMark/>
          </w:tcPr>
          <w:p w14:paraId="35C0B08E" w14:textId="70C007AC" w:rsidR="000202AF" w:rsidRPr="000202AF" w:rsidRDefault="000202AF" w:rsidP="001E0430">
            <w:pPr>
              <w:jc w:val="center"/>
              <w:rPr>
                <w:rFonts w:ascii="Helvetica" w:eastAsia="Times New Roman" w:hAnsi="Helvetica"/>
                <w:b/>
                <w:bCs/>
                <w:color w:val="000000"/>
                <w:sz w:val="20"/>
                <w:szCs w:val="20"/>
              </w:rPr>
            </w:pPr>
            <w:r w:rsidRPr="000202AF">
              <w:rPr>
                <w:rFonts w:ascii="Helvetica" w:eastAsia="Times New Roman" w:hAnsi="Helvetica"/>
                <w:b/>
                <w:bCs/>
                <w:color w:val="000000"/>
                <w:sz w:val="20"/>
                <w:szCs w:val="20"/>
              </w:rPr>
              <w:t xml:space="preserve">Lacking </w:t>
            </w:r>
            <w:r w:rsidR="0001492C">
              <w:rPr>
                <w:rFonts w:ascii="Helvetica" w:eastAsia="Times New Roman" w:hAnsi="Helvetica"/>
                <w:b/>
                <w:bCs/>
                <w:color w:val="000000"/>
                <w:sz w:val="20"/>
                <w:szCs w:val="20"/>
              </w:rPr>
              <w:t>S</w:t>
            </w:r>
            <w:r w:rsidR="0001492C" w:rsidRPr="000202AF">
              <w:rPr>
                <w:rFonts w:ascii="Helvetica" w:eastAsia="Times New Roman" w:hAnsi="Helvetica"/>
                <w:b/>
                <w:bCs/>
                <w:color w:val="000000"/>
                <w:sz w:val="20"/>
                <w:szCs w:val="20"/>
              </w:rPr>
              <w:t xml:space="preserve">trong </w:t>
            </w:r>
            <w:r w:rsidR="0001492C">
              <w:rPr>
                <w:rFonts w:ascii="Helvetica" w:eastAsia="Times New Roman" w:hAnsi="Helvetica"/>
                <w:b/>
                <w:bCs/>
                <w:color w:val="000000"/>
                <w:sz w:val="20"/>
                <w:szCs w:val="20"/>
              </w:rPr>
              <w:t>S</w:t>
            </w:r>
            <w:r w:rsidRPr="000202AF">
              <w:rPr>
                <w:rFonts w:ascii="Helvetica" w:eastAsia="Times New Roman" w:hAnsi="Helvetica"/>
                <w:b/>
                <w:bCs/>
                <w:color w:val="000000"/>
                <w:sz w:val="20"/>
                <w:szCs w:val="20"/>
              </w:rPr>
              <w:t>ense of Purpose</w:t>
            </w:r>
          </w:p>
        </w:tc>
      </w:tr>
      <w:tr w:rsidR="000202AF" w:rsidRPr="000202AF" w14:paraId="2CCBA890" w14:textId="77777777" w:rsidTr="000202AF">
        <w:trPr>
          <w:trHeight w:val="255"/>
          <w:jc w:val="center"/>
        </w:trPr>
        <w:tc>
          <w:tcPr>
            <w:tcW w:w="3940" w:type="dxa"/>
            <w:tcBorders>
              <w:top w:val="nil"/>
              <w:left w:val="single" w:sz="4" w:space="0" w:color="A5A5A5"/>
              <w:bottom w:val="single" w:sz="4" w:space="0" w:color="A5A5A5"/>
              <w:right w:val="single" w:sz="4" w:space="0" w:color="A5A5A5"/>
            </w:tcBorders>
            <w:shd w:val="clear" w:color="auto" w:fill="auto"/>
            <w:hideMark/>
          </w:tcPr>
          <w:p w14:paraId="4CD73D74" w14:textId="77777777" w:rsidR="000202AF" w:rsidRPr="000202AF" w:rsidRDefault="000202AF" w:rsidP="000202AF">
            <w:pPr>
              <w:rPr>
                <w:rFonts w:ascii="Helvetica" w:eastAsia="Times New Roman" w:hAnsi="Helvetica"/>
                <w:color w:val="000000"/>
                <w:sz w:val="20"/>
                <w:szCs w:val="20"/>
              </w:rPr>
            </w:pPr>
            <w:r w:rsidRPr="000202AF">
              <w:rPr>
                <w:rFonts w:ascii="Helvetica" w:eastAsia="Times New Roman" w:hAnsi="Helvetica"/>
                <w:color w:val="000000"/>
                <w:sz w:val="20"/>
                <w:szCs w:val="20"/>
              </w:rPr>
              <w:t>Has performed well financially (past year)</w:t>
            </w:r>
          </w:p>
        </w:tc>
        <w:tc>
          <w:tcPr>
            <w:tcW w:w="1780" w:type="dxa"/>
            <w:tcBorders>
              <w:top w:val="nil"/>
              <w:left w:val="nil"/>
              <w:bottom w:val="single" w:sz="4" w:space="0" w:color="A5A5A5"/>
              <w:right w:val="single" w:sz="4" w:space="0" w:color="A5A5A5"/>
            </w:tcBorders>
            <w:shd w:val="clear" w:color="auto" w:fill="auto"/>
            <w:vAlign w:val="center"/>
            <w:hideMark/>
          </w:tcPr>
          <w:p w14:paraId="785D5637" w14:textId="77777777" w:rsidR="000202AF" w:rsidRPr="000202AF" w:rsidRDefault="000202AF" w:rsidP="000202AF">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69%</w:t>
            </w:r>
          </w:p>
        </w:tc>
        <w:tc>
          <w:tcPr>
            <w:tcW w:w="2380" w:type="dxa"/>
            <w:tcBorders>
              <w:top w:val="nil"/>
              <w:left w:val="nil"/>
              <w:bottom w:val="single" w:sz="4" w:space="0" w:color="A5A5A5"/>
              <w:right w:val="single" w:sz="4" w:space="0" w:color="A5A5A5"/>
            </w:tcBorders>
            <w:shd w:val="clear" w:color="auto" w:fill="auto"/>
            <w:vAlign w:val="center"/>
            <w:hideMark/>
          </w:tcPr>
          <w:p w14:paraId="2FC17C55" w14:textId="77777777" w:rsidR="000202AF" w:rsidRPr="000202AF" w:rsidRDefault="000202AF" w:rsidP="000202AF">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41%</w:t>
            </w:r>
          </w:p>
        </w:tc>
      </w:tr>
      <w:tr w:rsidR="000202AF" w:rsidRPr="000202AF" w14:paraId="190DCDDA" w14:textId="77777777" w:rsidTr="000202AF">
        <w:trPr>
          <w:trHeight w:val="255"/>
          <w:jc w:val="center"/>
        </w:trPr>
        <w:tc>
          <w:tcPr>
            <w:tcW w:w="3940" w:type="dxa"/>
            <w:tcBorders>
              <w:top w:val="nil"/>
              <w:left w:val="single" w:sz="4" w:space="0" w:color="A5A5A5"/>
              <w:bottom w:val="single" w:sz="4" w:space="0" w:color="A5A5A5"/>
              <w:right w:val="single" w:sz="4" w:space="0" w:color="A5A5A5"/>
            </w:tcBorders>
            <w:shd w:val="clear" w:color="auto" w:fill="auto"/>
            <w:hideMark/>
          </w:tcPr>
          <w:p w14:paraId="1C0E746E" w14:textId="77777777" w:rsidR="000202AF" w:rsidRPr="000202AF" w:rsidRDefault="000202AF" w:rsidP="000202AF">
            <w:pPr>
              <w:rPr>
                <w:rFonts w:ascii="Helvetica" w:eastAsia="Times New Roman" w:hAnsi="Helvetica"/>
                <w:color w:val="000000"/>
                <w:sz w:val="20"/>
                <w:szCs w:val="20"/>
              </w:rPr>
            </w:pPr>
            <w:r w:rsidRPr="000202AF">
              <w:rPr>
                <w:rFonts w:ascii="Helvetica" w:eastAsia="Times New Roman" w:hAnsi="Helvetica"/>
                <w:color w:val="000000"/>
                <w:sz w:val="20"/>
                <w:szCs w:val="20"/>
              </w:rPr>
              <w:t>High level of employee satisfaction</w:t>
            </w:r>
          </w:p>
        </w:tc>
        <w:tc>
          <w:tcPr>
            <w:tcW w:w="1780" w:type="dxa"/>
            <w:tcBorders>
              <w:top w:val="nil"/>
              <w:left w:val="nil"/>
              <w:bottom w:val="single" w:sz="4" w:space="0" w:color="A5A5A5"/>
              <w:right w:val="single" w:sz="4" w:space="0" w:color="A5A5A5"/>
            </w:tcBorders>
            <w:shd w:val="clear" w:color="auto" w:fill="auto"/>
            <w:vAlign w:val="center"/>
            <w:hideMark/>
          </w:tcPr>
          <w:p w14:paraId="71956AD0" w14:textId="77777777" w:rsidR="000202AF" w:rsidRPr="000202AF" w:rsidRDefault="000202AF" w:rsidP="000202AF">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57%</w:t>
            </w:r>
          </w:p>
        </w:tc>
        <w:tc>
          <w:tcPr>
            <w:tcW w:w="2380" w:type="dxa"/>
            <w:tcBorders>
              <w:top w:val="nil"/>
              <w:left w:val="nil"/>
              <w:bottom w:val="single" w:sz="4" w:space="0" w:color="A5A5A5"/>
              <w:right w:val="single" w:sz="4" w:space="0" w:color="A5A5A5"/>
            </w:tcBorders>
            <w:shd w:val="clear" w:color="auto" w:fill="auto"/>
            <w:vAlign w:val="center"/>
            <w:hideMark/>
          </w:tcPr>
          <w:p w14:paraId="0C2F9903" w14:textId="77777777" w:rsidR="000202AF" w:rsidRPr="000202AF" w:rsidRDefault="000202AF" w:rsidP="000202AF">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23%</w:t>
            </w:r>
          </w:p>
        </w:tc>
      </w:tr>
      <w:tr w:rsidR="000202AF" w:rsidRPr="000202AF" w14:paraId="3EEF0D1D" w14:textId="77777777" w:rsidTr="000202AF">
        <w:trPr>
          <w:trHeight w:val="255"/>
          <w:jc w:val="center"/>
        </w:trPr>
        <w:tc>
          <w:tcPr>
            <w:tcW w:w="3940" w:type="dxa"/>
            <w:tcBorders>
              <w:top w:val="nil"/>
              <w:left w:val="single" w:sz="4" w:space="0" w:color="A5A5A5"/>
              <w:bottom w:val="single" w:sz="4" w:space="0" w:color="A5A5A5"/>
              <w:right w:val="single" w:sz="4" w:space="0" w:color="A5A5A5"/>
            </w:tcBorders>
            <w:shd w:val="clear" w:color="auto" w:fill="auto"/>
            <w:hideMark/>
          </w:tcPr>
          <w:p w14:paraId="419EDBCB" w14:textId="77777777" w:rsidR="000202AF" w:rsidRPr="000202AF" w:rsidRDefault="000202AF" w:rsidP="000202AF">
            <w:pPr>
              <w:rPr>
                <w:rFonts w:ascii="Helvetica" w:eastAsia="Times New Roman" w:hAnsi="Helvetica"/>
                <w:color w:val="000000"/>
                <w:sz w:val="20"/>
                <w:szCs w:val="20"/>
              </w:rPr>
            </w:pPr>
            <w:r w:rsidRPr="000202AF">
              <w:rPr>
                <w:rFonts w:ascii="Helvetica" w:eastAsia="Times New Roman" w:hAnsi="Helvetica"/>
                <w:color w:val="000000"/>
                <w:sz w:val="20"/>
                <w:szCs w:val="20"/>
              </w:rPr>
              <w:t>A lot of people have joined (past year)</w:t>
            </w:r>
          </w:p>
        </w:tc>
        <w:tc>
          <w:tcPr>
            <w:tcW w:w="1780" w:type="dxa"/>
            <w:tcBorders>
              <w:top w:val="nil"/>
              <w:left w:val="nil"/>
              <w:bottom w:val="single" w:sz="4" w:space="0" w:color="A5A5A5"/>
              <w:right w:val="single" w:sz="4" w:space="0" w:color="A5A5A5"/>
            </w:tcBorders>
            <w:shd w:val="clear" w:color="auto" w:fill="auto"/>
            <w:vAlign w:val="center"/>
            <w:hideMark/>
          </w:tcPr>
          <w:p w14:paraId="0662CC0C" w14:textId="77777777" w:rsidR="000202AF" w:rsidRPr="000202AF" w:rsidRDefault="000202AF" w:rsidP="000202AF">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63%</w:t>
            </w:r>
          </w:p>
        </w:tc>
        <w:tc>
          <w:tcPr>
            <w:tcW w:w="2380" w:type="dxa"/>
            <w:tcBorders>
              <w:top w:val="nil"/>
              <w:left w:val="nil"/>
              <w:bottom w:val="single" w:sz="4" w:space="0" w:color="A5A5A5"/>
              <w:right w:val="single" w:sz="4" w:space="0" w:color="A5A5A5"/>
            </w:tcBorders>
            <w:shd w:val="clear" w:color="auto" w:fill="auto"/>
            <w:vAlign w:val="center"/>
            <w:hideMark/>
          </w:tcPr>
          <w:p w14:paraId="173A9EE9" w14:textId="77777777" w:rsidR="000202AF" w:rsidRPr="000202AF" w:rsidRDefault="000202AF" w:rsidP="000202AF">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48%</w:t>
            </w:r>
          </w:p>
        </w:tc>
      </w:tr>
    </w:tbl>
    <w:p w14:paraId="73B1D1CC" w14:textId="77777777" w:rsidR="0095562A" w:rsidRPr="000202AF" w:rsidRDefault="0095562A" w:rsidP="00026768">
      <w:pPr>
        <w:pStyle w:val="Footnote"/>
      </w:pPr>
    </w:p>
    <w:p w14:paraId="68EA93F5" w14:textId="11F34D32" w:rsidR="00A5189D" w:rsidRDefault="0095562A" w:rsidP="0095562A">
      <w:pPr>
        <w:pStyle w:val="Footnote"/>
      </w:pPr>
      <w:r w:rsidRPr="00483937">
        <w:t xml:space="preserve">Source: </w:t>
      </w:r>
      <w:bookmarkStart w:id="69" w:name="OLE_LINK25"/>
      <w:bookmarkStart w:id="70" w:name="OLE_LINK26"/>
      <w:bookmarkStart w:id="71" w:name="OLE_LINK65"/>
      <w:bookmarkStart w:id="72" w:name="OLE_LINK97"/>
      <w:bookmarkStart w:id="73" w:name="OLE_LINK24"/>
      <w:r w:rsidR="0001492C">
        <w:t xml:space="preserve">Deloitte, </w:t>
      </w:r>
      <w:r w:rsidR="00905F8C">
        <w:t xml:space="preserve">“Executive Summary” in </w:t>
      </w:r>
      <w:r w:rsidRPr="00345FB4">
        <w:rPr>
          <w:i/>
          <w:highlight w:val="white"/>
        </w:rPr>
        <w:t xml:space="preserve">Mind the </w:t>
      </w:r>
      <w:r w:rsidR="00905F8C" w:rsidRPr="00345FB4">
        <w:rPr>
          <w:i/>
          <w:highlight w:val="white"/>
        </w:rPr>
        <w:t>G</w:t>
      </w:r>
      <w:r w:rsidRPr="00345FB4">
        <w:rPr>
          <w:i/>
          <w:highlight w:val="white"/>
        </w:rPr>
        <w:t>aps: The 2015 Deloitte Millennial Survey</w:t>
      </w:r>
      <w:r w:rsidR="006C62E8">
        <w:rPr>
          <w:highlight w:val="white"/>
        </w:rPr>
        <w:t xml:space="preserve">, 12, </w:t>
      </w:r>
      <w:r w:rsidR="0001492C">
        <w:rPr>
          <w:highlight w:val="white"/>
        </w:rPr>
        <w:t xml:space="preserve">2015, </w:t>
      </w:r>
      <w:r w:rsidR="006C62E8">
        <w:rPr>
          <w:highlight w:val="white"/>
        </w:rPr>
        <w:t xml:space="preserve">accessed September 5, 2016, </w:t>
      </w:r>
      <w:r w:rsidR="006C62E8" w:rsidRPr="006C62E8">
        <w:t>www2.deloitte.com/content/dam/Deloitte/global/Documents/About-Deloitte/gx-wef-2015-millennial-survey-executivesummary.pdf</w:t>
      </w:r>
      <w:bookmarkEnd w:id="69"/>
      <w:bookmarkEnd w:id="70"/>
      <w:bookmarkEnd w:id="71"/>
      <w:bookmarkEnd w:id="72"/>
      <w:bookmarkEnd w:id="73"/>
      <w:r w:rsidR="00F15784" w:rsidRPr="00483937">
        <w:t xml:space="preserve">. </w:t>
      </w:r>
    </w:p>
    <w:p w14:paraId="7005C953" w14:textId="77777777" w:rsidR="00FD1E2A" w:rsidRPr="00483937" w:rsidRDefault="00FD1E2A" w:rsidP="000202AF">
      <w:pPr>
        <w:pStyle w:val="ExhibitHeading"/>
        <w:jc w:val="left"/>
      </w:pPr>
    </w:p>
    <w:tbl>
      <w:tblPr>
        <w:tblW w:w="9270" w:type="dxa"/>
        <w:jc w:val="center"/>
        <w:tblLook w:val="04A0" w:firstRow="1" w:lastRow="0" w:firstColumn="1" w:lastColumn="0" w:noHBand="0" w:noVBand="1"/>
      </w:tblPr>
      <w:tblGrid>
        <w:gridCol w:w="3325"/>
        <w:gridCol w:w="1440"/>
        <w:gridCol w:w="1260"/>
        <w:gridCol w:w="1530"/>
        <w:gridCol w:w="1715"/>
      </w:tblGrid>
      <w:tr w:rsidR="000202AF" w:rsidRPr="000202AF" w14:paraId="64C72C8A" w14:textId="77777777" w:rsidTr="007701B4">
        <w:trPr>
          <w:trHeight w:val="510"/>
          <w:jc w:val="center"/>
        </w:trPr>
        <w:tc>
          <w:tcPr>
            <w:tcW w:w="3325" w:type="dxa"/>
            <w:tcBorders>
              <w:top w:val="single" w:sz="4" w:space="0" w:color="A5A5A5"/>
              <w:left w:val="single" w:sz="4" w:space="0" w:color="A5A5A5"/>
              <w:bottom w:val="single" w:sz="4" w:space="0" w:color="3F3F3F"/>
              <w:right w:val="single" w:sz="4" w:space="0" w:color="A5A5A5"/>
            </w:tcBorders>
            <w:shd w:val="clear" w:color="auto" w:fill="auto"/>
            <w:vAlign w:val="center"/>
            <w:hideMark/>
          </w:tcPr>
          <w:p w14:paraId="5D88528F" w14:textId="77777777" w:rsidR="000202AF" w:rsidRPr="000202AF" w:rsidRDefault="000202AF" w:rsidP="000202AF">
            <w:pPr>
              <w:jc w:val="center"/>
              <w:rPr>
                <w:rFonts w:ascii="Helvetica" w:eastAsia="Times New Roman" w:hAnsi="Helvetica"/>
                <w:b/>
                <w:bCs/>
                <w:color w:val="000000"/>
                <w:sz w:val="20"/>
                <w:szCs w:val="20"/>
              </w:rPr>
            </w:pPr>
            <w:r w:rsidRPr="000202AF">
              <w:rPr>
                <w:rFonts w:ascii="Helvetica" w:eastAsia="Times New Roman" w:hAnsi="Helvetica"/>
                <w:b/>
                <w:bCs/>
                <w:color w:val="000000"/>
                <w:sz w:val="20"/>
                <w:szCs w:val="20"/>
              </w:rPr>
              <w:t> </w:t>
            </w:r>
          </w:p>
        </w:tc>
        <w:tc>
          <w:tcPr>
            <w:tcW w:w="1440" w:type="dxa"/>
            <w:tcBorders>
              <w:top w:val="single" w:sz="4" w:space="0" w:color="A5A5A5"/>
              <w:left w:val="nil"/>
              <w:bottom w:val="single" w:sz="4" w:space="0" w:color="3F3F3F"/>
              <w:right w:val="single" w:sz="4" w:space="0" w:color="A5A5A5"/>
            </w:tcBorders>
            <w:shd w:val="clear" w:color="auto" w:fill="auto"/>
            <w:vAlign w:val="center"/>
            <w:hideMark/>
          </w:tcPr>
          <w:p w14:paraId="51D431DB" w14:textId="77777777" w:rsidR="000202AF" w:rsidRPr="000202AF" w:rsidRDefault="000202AF" w:rsidP="000202AF">
            <w:pPr>
              <w:jc w:val="center"/>
              <w:rPr>
                <w:rFonts w:ascii="Helvetica" w:eastAsia="Times New Roman" w:hAnsi="Helvetica"/>
                <w:b/>
                <w:bCs/>
                <w:color w:val="000000"/>
                <w:sz w:val="20"/>
                <w:szCs w:val="20"/>
              </w:rPr>
            </w:pPr>
            <w:r w:rsidRPr="000202AF">
              <w:rPr>
                <w:rFonts w:ascii="Helvetica" w:eastAsia="Times New Roman" w:hAnsi="Helvetica"/>
                <w:b/>
                <w:bCs/>
                <w:color w:val="000000"/>
                <w:sz w:val="20"/>
                <w:szCs w:val="20"/>
              </w:rPr>
              <w:t>Leadership Team</w:t>
            </w:r>
          </w:p>
        </w:tc>
        <w:tc>
          <w:tcPr>
            <w:tcW w:w="1260" w:type="dxa"/>
            <w:tcBorders>
              <w:top w:val="single" w:sz="4" w:space="0" w:color="A5A5A5"/>
              <w:left w:val="nil"/>
              <w:bottom w:val="single" w:sz="4" w:space="0" w:color="3F3F3F"/>
              <w:right w:val="single" w:sz="4" w:space="0" w:color="A5A5A5"/>
            </w:tcBorders>
            <w:shd w:val="clear" w:color="auto" w:fill="auto"/>
            <w:vAlign w:val="center"/>
            <w:hideMark/>
          </w:tcPr>
          <w:p w14:paraId="54898CB4" w14:textId="77777777" w:rsidR="000202AF" w:rsidRPr="000202AF" w:rsidRDefault="000202AF" w:rsidP="000202AF">
            <w:pPr>
              <w:jc w:val="center"/>
              <w:rPr>
                <w:rFonts w:ascii="Helvetica" w:eastAsia="Times New Roman" w:hAnsi="Helvetica"/>
                <w:b/>
                <w:bCs/>
                <w:color w:val="000000"/>
                <w:sz w:val="20"/>
                <w:szCs w:val="20"/>
              </w:rPr>
            </w:pPr>
            <w:r w:rsidRPr="000202AF">
              <w:rPr>
                <w:rFonts w:ascii="Helvetica" w:eastAsia="Times New Roman" w:hAnsi="Helvetica"/>
                <w:b/>
                <w:bCs/>
                <w:color w:val="000000"/>
                <w:sz w:val="20"/>
                <w:szCs w:val="20"/>
              </w:rPr>
              <w:t>Millennials</w:t>
            </w:r>
          </w:p>
        </w:tc>
        <w:tc>
          <w:tcPr>
            <w:tcW w:w="1530" w:type="dxa"/>
            <w:tcBorders>
              <w:top w:val="single" w:sz="4" w:space="0" w:color="A5A5A5"/>
              <w:left w:val="nil"/>
              <w:bottom w:val="single" w:sz="4" w:space="0" w:color="3F3F3F"/>
              <w:right w:val="single" w:sz="4" w:space="0" w:color="A5A5A5"/>
            </w:tcBorders>
            <w:shd w:val="clear" w:color="auto" w:fill="auto"/>
            <w:vAlign w:val="center"/>
            <w:hideMark/>
          </w:tcPr>
          <w:p w14:paraId="3BE7AFAE" w14:textId="77777777" w:rsidR="000202AF" w:rsidRPr="000202AF" w:rsidRDefault="000202AF" w:rsidP="000202AF">
            <w:pPr>
              <w:jc w:val="center"/>
              <w:rPr>
                <w:rFonts w:ascii="Helvetica" w:eastAsia="Times New Roman" w:hAnsi="Helvetica"/>
                <w:b/>
                <w:bCs/>
                <w:color w:val="000000"/>
                <w:sz w:val="20"/>
                <w:szCs w:val="20"/>
              </w:rPr>
            </w:pPr>
            <w:r w:rsidRPr="000202AF">
              <w:rPr>
                <w:rFonts w:ascii="Helvetica" w:eastAsia="Times New Roman" w:hAnsi="Helvetica"/>
                <w:b/>
                <w:bCs/>
                <w:color w:val="000000"/>
                <w:sz w:val="20"/>
                <w:szCs w:val="20"/>
              </w:rPr>
              <w:t>Gap (Millennials’ Priority)</w:t>
            </w:r>
          </w:p>
        </w:tc>
        <w:tc>
          <w:tcPr>
            <w:tcW w:w="1715" w:type="dxa"/>
            <w:tcBorders>
              <w:top w:val="single" w:sz="4" w:space="0" w:color="A5A5A5"/>
              <w:left w:val="nil"/>
              <w:bottom w:val="single" w:sz="4" w:space="0" w:color="3F3F3F"/>
              <w:right w:val="single" w:sz="4" w:space="0" w:color="A5A5A5"/>
            </w:tcBorders>
            <w:shd w:val="clear" w:color="auto" w:fill="auto"/>
            <w:vAlign w:val="center"/>
            <w:hideMark/>
          </w:tcPr>
          <w:p w14:paraId="424B7B54" w14:textId="77777777" w:rsidR="000202AF" w:rsidRPr="000202AF" w:rsidRDefault="000202AF" w:rsidP="000202AF">
            <w:pPr>
              <w:jc w:val="center"/>
              <w:rPr>
                <w:rFonts w:ascii="Helvetica" w:eastAsia="Times New Roman" w:hAnsi="Helvetica"/>
                <w:b/>
                <w:bCs/>
                <w:color w:val="000000"/>
                <w:sz w:val="20"/>
                <w:szCs w:val="20"/>
              </w:rPr>
            </w:pPr>
            <w:r w:rsidRPr="000202AF">
              <w:rPr>
                <w:rFonts w:ascii="Helvetica" w:eastAsia="Times New Roman" w:hAnsi="Helvetica"/>
                <w:b/>
                <w:bCs/>
                <w:color w:val="000000"/>
                <w:sz w:val="20"/>
                <w:szCs w:val="20"/>
              </w:rPr>
              <w:t> </w:t>
            </w:r>
          </w:p>
        </w:tc>
      </w:tr>
      <w:tr w:rsidR="000202AF" w:rsidRPr="000202AF" w14:paraId="394A2351" w14:textId="77777777" w:rsidTr="00026768">
        <w:trPr>
          <w:trHeight w:val="281"/>
          <w:jc w:val="center"/>
        </w:trPr>
        <w:tc>
          <w:tcPr>
            <w:tcW w:w="3325" w:type="dxa"/>
            <w:tcBorders>
              <w:top w:val="nil"/>
              <w:left w:val="single" w:sz="4" w:space="0" w:color="A5A5A5"/>
              <w:bottom w:val="single" w:sz="4" w:space="0" w:color="A5A5A5"/>
              <w:right w:val="single" w:sz="4" w:space="0" w:color="A5A5A5"/>
            </w:tcBorders>
            <w:shd w:val="clear" w:color="auto" w:fill="auto"/>
            <w:vAlign w:val="center"/>
            <w:hideMark/>
          </w:tcPr>
          <w:p w14:paraId="4804A0F8" w14:textId="3DE52672" w:rsidR="000202AF" w:rsidRPr="000202AF" w:rsidRDefault="0001492C" w:rsidP="004135C1">
            <w:pPr>
              <w:rPr>
                <w:rFonts w:ascii="Helvetica" w:eastAsia="Times New Roman" w:hAnsi="Helvetica"/>
                <w:color w:val="000000"/>
                <w:sz w:val="20"/>
                <w:szCs w:val="20"/>
              </w:rPr>
            </w:pPr>
            <w:r w:rsidRPr="000202AF">
              <w:rPr>
                <w:rFonts w:ascii="Helvetica" w:eastAsia="Times New Roman" w:hAnsi="Helvetica"/>
                <w:color w:val="000000"/>
                <w:sz w:val="20"/>
                <w:szCs w:val="20"/>
              </w:rPr>
              <w:t>Employee</w:t>
            </w:r>
            <w:r>
              <w:rPr>
                <w:rFonts w:ascii="Helvetica" w:eastAsia="Times New Roman" w:hAnsi="Helvetica"/>
                <w:color w:val="000000"/>
                <w:sz w:val="20"/>
                <w:szCs w:val="20"/>
              </w:rPr>
              <w:t>’</w:t>
            </w:r>
            <w:r w:rsidRPr="000202AF">
              <w:rPr>
                <w:rFonts w:ascii="Helvetica" w:eastAsia="Times New Roman" w:hAnsi="Helvetica"/>
                <w:color w:val="000000"/>
                <w:sz w:val="20"/>
                <w:szCs w:val="20"/>
              </w:rPr>
              <w:t xml:space="preserve">s </w:t>
            </w:r>
            <w:r w:rsidR="000202AF" w:rsidRPr="000202AF">
              <w:rPr>
                <w:rFonts w:ascii="Helvetica" w:eastAsia="Times New Roman" w:hAnsi="Helvetica"/>
                <w:color w:val="000000"/>
                <w:sz w:val="20"/>
                <w:szCs w:val="20"/>
              </w:rPr>
              <w:t>well-being</w:t>
            </w:r>
          </w:p>
        </w:tc>
        <w:tc>
          <w:tcPr>
            <w:tcW w:w="1440" w:type="dxa"/>
            <w:tcBorders>
              <w:top w:val="nil"/>
              <w:left w:val="nil"/>
              <w:bottom w:val="single" w:sz="4" w:space="0" w:color="A5A5A5"/>
              <w:right w:val="single" w:sz="4" w:space="0" w:color="A5A5A5"/>
            </w:tcBorders>
            <w:shd w:val="clear" w:color="auto" w:fill="auto"/>
            <w:vAlign w:val="center"/>
            <w:hideMark/>
          </w:tcPr>
          <w:p w14:paraId="74A02714" w14:textId="77777777" w:rsidR="000202AF" w:rsidRPr="000202AF" w:rsidRDefault="000202AF" w:rsidP="002F1C42">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17%</w:t>
            </w:r>
          </w:p>
        </w:tc>
        <w:tc>
          <w:tcPr>
            <w:tcW w:w="1260" w:type="dxa"/>
            <w:tcBorders>
              <w:top w:val="nil"/>
              <w:left w:val="nil"/>
              <w:bottom w:val="single" w:sz="4" w:space="0" w:color="A5A5A5"/>
              <w:right w:val="single" w:sz="4" w:space="0" w:color="A5A5A5"/>
            </w:tcBorders>
            <w:shd w:val="clear" w:color="auto" w:fill="auto"/>
            <w:vAlign w:val="center"/>
            <w:hideMark/>
          </w:tcPr>
          <w:p w14:paraId="3F081411" w14:textId="77777777" w:rsidR="000202AF" w:rsidRPr="000202AF" w:rsidRDefault="000202AF" w:rsidP="002F1C42">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37%</w:t>
            </w:r>
          </w:p>
        </w:tc>
        <w:tc>
          <w:tcPr>
            <w:tcW w:w="1530" w:type="dxa"/>
            <w:tcBorders>
              <w:top w:val="nil"/>
              <w:left w:val="nil"/>
              <w:bottom w:val="single" w:sz="4" w:space="0" w:color="A5A5A5"/>
              <w:right w:val="single" w:sz="4" w:space="0" w:color="A5A5A5"/>
            </w:tcBorders>
            <w:shd w:val="clear" w:color="auto" w:fill="auto"/>
            <w:vAlign w:val="center"/>
            <w:hideMark/>
          </w:tcPr>
          <w:p w14:paraId="33F695EF" w14:textId="77777777" w:rsidR="000202AF" w:rsidRPr="000202AF" w:rsidRDefault="000202AF" w:rsidP="002F1C42">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20%</w:t>
            </w:r>
          </w:p>
        </w:tc>
        <w:tc>
          <w:tcPr>
            <w:tcW w:w="1715" w:type="dxa"/>
            <w:vMerge w:val="restart"/>
            <w:tcBorders>
              <w:top w:val="nil"/>
              <w:left w:val="single" w:sz="4" w:space="0" w:color="A5A5A5"/>
              <w:bottom w:val="single" w:sz="4" w:space="0" w:color="A5A5A5"/>
              <w:right w:val="single" w:sz="4" w:space="0" w:color="A5A5A5"/>
            </w:tcBorders>
            <w:shd w:val="clear" w:color="auto" w:fill="auto"/>
            <w:vAlign w:val="center"/>
            <w:hideMark/>
          </w:tcPr>
          <w:p w14:paraId="15E2CFCA" w14:textId="77777777" w:rsidR="000202AF" w:rsidRPr="000202AF" w:rsidRDefault="000202AF" w:rsidP="000202AF">
            <w:pPr>
              <w:jc w:val="center"/>
              <w:rPr>
                <w:rFonts w:ascii="Helvetica" w:eastAsia="Times New Roman" w:hAnsi="Helvetica"/>
                <w:color w:val="000000"/>
                <w:sz w:val="20"/>
                <w:szCs w:val="20"/>
              </w:rPr>
            </w:pPr>
            <w:r w:rsidRPr="000202AF">
              <w:rPr>
                <w:rFonts w:ascii="Helvetica" w:eastAsia="Times New Roman" w:hAnsi="Helvetica"/>
                <w:color w:val="000000"/>
                <w:sz w:val="20"/>
                <w:szCs w:val="20"/>
              </w:rPr>
              <w:t>Millennials’ priorities</w:t>
            </w:r>
          </w:p>
        </w:tc>
      </w:tr>
      <w:tr w:rsidR="000202AF" w:rsidRPr="000202AF" w14:paraId="43553937" w14:textId="77777777" w:rsidTr="00CE3833">
        <w:trPr>
          <w:trHeight w:val="255"/>
          <w:jc w:val="center"/>
        </w:trPr>
        <w:tc>
          <w:tcPr>
            <w:tcW w:w="3325" w:type="dxa"/>
            <w:tcBorders>
              <w:top w:val="nil"/>
              <w:left w:val="single" w:sz="4" w:space="0" w:color="A5A5A5"/>
              <w:bottom w:val="single" w:sz="4" w:space="0" w:color="A5A5A5"/>
              <w:right w:val="single" w:sz="4" w:space="0" w:color="A5A5A5"/>
            </w:tcBorders>
            <w:shd w:val="clear" w:color="auto" w:fill="auto"/>
            <w:vAlign w:val="center"/>
            <w:hideMark/>
          </w:tcPr>
          <w:p w14:paraId="6C39B756" w14:textId="00B848AB" w:rsidR="000202AF" w:rsidRPr="000202AF" w:rsidRDefault="0001492C" w:rsidP="004135C1">
            <w:pPr>
              <w:rPr>
                <w:rFonts w:ascii="Helvetica" w:eastAsia="Times New Roman" w:hAnsi="Helvetica"/>
                <w:color w:val="000000"/>
                <w:sz w:val="20"/>
                <w:szCs w:val="20"/>
              </w:rPr>
            </w:pPr>
            <w:r w:rsidRPr="000202AF">
              <w:rPr>
                <w:rFonts w:ascii="Helvetica" w:eastAsia="Times New Roman" w:hAnsi="Helvetica"/>
                <w:color w:val="000000"/>
                <w:sz w:val="20"/>
                <w:szCs w:val="20"/>
              </w:rPr>
              <w:t>Employee</w:t>
            </w:r>
            <w:r>
              <w:rPr>
                <w:rFonts w:ascii="Helvetica" w:eastAsia="Times New Roman" w:hAnsi="Helvetica"/>
                <w:color w:val="000000"/>
                <w:sz w:val="20"/>
                <w:szCs w:val="20"/>
              </w:rPr>
              <w:t>’</w:t>
            </w:r>
            <w:r w:rsidRPr="000202AF">
              <w:rPr>
                <w:rFonts w:ascii="Helvetica" w:eastAsia="Times New Roman" w:hAnsi="Helvetica"/>
                <w:color w:val="000000"/>
                <w:sz w:val="20"/>
                <w:szCs w:val="20"/>
              </w:rPr>
              <w:t xml:space="preserve">s </w:t>
            </w:r>
            <w:r w:rsidR="00E40A1B">
              <w:rPr>
                <w:rFonts w:ascii="Helvetica" w:eastAsia="Times New Roman" w:hAnsi="Helvetica"/>
                <w:color w:val="000000"/>
                <w:sz w:val="20"/>
                <w:szCs w:val="20"/>
              </w:rPr>
              <w:t>growth and</w:t>
            </w:r>
            <w:r w:rsidR="000202AF" w:rsidRPr="000202AF">
              <w:rPr>
                <w:rFonts w:ascii="Helvetica" w:eastAsia="Times New Roman" w:hAnsi="Helvetica"/>
                <w:color w:val="000000"/>
                <w:sz w:val="20"/>
                <w:szCs w:val="20"/>
              </w:rPr>
              <w:t xml:space="preserve"> development</w:t>
            </w:r>
          </w:p>
        </w:tc>
        <w:tc>
          <w:tcPr>
            <w:tcW w:w="1440" w:type="dxa"/>
            <w:tcBorders>
              <w:top w:val="nil"/>
              <w:left w:val="nil"/>
              <w:bottom w:val="single" w:sz="4" w:space="0" w:color="A5A5A5"/>
              <w:right w:val="single" w:sz="4" w:space="0" w:color="A5A5A5"/>
            </w:tcBorders>
            <w:shd w:val="clear" w:color="auto" w:fill="auto"/>
            <w:vAlign w:val="center"/>
            <w:hideMark/>
          </w:tcPr>
          <w:p w14:paraId="7D3B4112" w14:textId="77777777" w:rsidR="000202AF" w:rsidRPr="000202AF" w:rsidRDefault="000202AF" w:rsidP="002F1C42">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18%</w:t>
            </w:r>
          </w:p>
        </w:tc>
        <w:tc>
          <w:tcPr>
            <w:tcW w:w="1260" w:type="dxa"/>
            <w:tcBorders>
              <w:top w:val="nil"/>
              <w:left w:val="nil"/>
              <w:bottom w:val="single" w:sz="4" w:space="0" w:color="A5A5A5"/>
              <w:right w:val="single" w:sz="4" w:space="0" w:color="A5A5A5"/>
            </w:tcBorders>
            <w:shd w:val="clear" w:color="auto" w:fill="auto"/>
            <w:vAlign w:val="center"/>
            <w:hideMark/>
          </w:tcPr>
          <w:p w14:paraId="653C3FDB" w14:textId="77777777" w:rsidR="000202AF" w:rsidRPr="000202AF" w:rsidRDefault="000202AF" w:rsidP="002F1C42">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32%</w:t>
            </w:r>
          </w:p>
        </w:tc>
        <w:tc>
          <w:tcPr>
            <w:tcW w:w="1530" w:type="dxa"/>
            <w:tcBorders>
              <w:top w:val="nil"/>
              <w:left w:val="nil"/>
              <w:bottom w:val="single" w:sz="4" w:space="0" w:color="A5A5A5"/>
              <w:right w:val="single" w:sz="4" w:space="0" w:color="A5A5A5"/>
            </w:tcBorders>
            <w:shd w:val="clear" w:color="auto" w:fill="auto"/>
            <w:vAlign w:val="center"/>
            <w:hideMark/>
          </w:tcPr>
          <w:p w14:paraId="536A9930" w14:textId="77777777" w:rsidR="000202AF" w:rsidRPr="000202AF" w:rsidRDefault="000202AF" w:rsidP="002F1C42">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14%</w:t>
            </w:r>
          </w:p>
        </w:tc>
        <w:tc>
          <w:tcPr>
            <w:tcW w:w="1715" w:type="dxa"/>
            <w:vMerge/>
            <w:tcBorders>
              <w:top w:val="nil"/>
              <w:left w:val="single" w:sz="4" w:space="0" w:color="A5A5A5"/>
              <w:bottom w:val="single" w:sz="4" w:space="0" w:color="A5A5A5"/>
              <w:right w:val="single" w:sz="4" w:space="0" w:color="A5A5A5"/>
            </w:tcBorders>
            <w:vAlign w:val="center"/>
            <w:hideMark/>
          </w:tcPr>
          <w:p w14:paraId="3B839E1B" w14:textId="77777777" w:rsidR="000202AF" w:rsidRPr="000202AF" w:rsidRDefault="000202AF" w:rsidP="000202AF">
            <w:pPr>
              <w:rPr>
                <w:rFonts w:ascii="Helvetica" w:eastAsia="Times New Roman" w:hAnsi="Helvetica"/>
                <w:color w:val="000000"/>
                <w:sz w:val="20"/>
                <w:szCs w:val="20"/>
              </w:rPr>
            </w:pPr>
          </w:p>
        </w:tc>
      </w:tr>
      <w:tr w:rsidR="000202AF" w:rsidRPr="000202AF" w14:paraId="5BEBA575" w14:textId="77777777" w:rsidTr="00CE3833">
        <w:trPr>
          <w:trHeight w:val="510"/>
          <w:jc w:val="center"/>
        </w:trPr>
        <w:tc>
          <w:tcPr>
            <w:tcW w:w="3325" w:type="dxa"/>
            <w:tcBorders>
              <w:top w:val="nil"/>
              <w:left w:val="single" w:sz="4" w:space="0" w:color="A5A5A5"/>
              <w:bottom w:val="single" w:sz="4" w:space="0" w:color="A5A5A5"/>
              <w:right w:val="single" w:sz="4" w:space="0" w:color="A5A5A5"/>
            </w:tcBorders>
            <w:shd w:val="clear" w:color="auto" w:fill="auto"/>
            <w:vAlign w:val="center"/>
            <w:hideMark/>
          </w:tcPr>
          <w:p w14:paraId="3780D0CB" w14:textId="77777777" w:rsidR="000202AF" w:rsidRPr="000202AF" w:rsidRDefault="000202AF" w:rsidP="000202AF">
            <w:pPr>
              <w:rPr>
                <w:rFonts w:ascii="Helvetica" w:eastAsia="Times New Roman" w:hAnsi="Helvetica"/>
                <w:color w:val="000000"/>
                <w:sz w:val="20"/>
                <w:szCs w:val="20"/>
              </w:rPr>
            </w:pPr>
            <w:r w:rsidRPr="000202AF">
              <w:rPr>
                <w:rFonts w:ascii="Helvetica" w:eastAsia="Times New Roman" w:hAnsi="Helvetica"/>
                <w:color w:val="000000"/>
                <w:sz w:val="20"/>
                <w:szCs w:val="20"/>
              </w:rPr>
              <w:t>Making positive contribution to local communities/society</w:t>
            </w:r>
          </w:p>
        </w:tc>
        <w:tc>
          <w:tcPr>
            <w:tcW w:w="1440" w:type="dxa"/>
            <w:tcBorders>
              <w:top w:val="nil"/>
              <w:left w:val="nil"/>
              <w:bottom w:val="single" w:sz="4" w:space="0" w:color="A5A5A5"/>
              <w:right w:val="single" w:sz="4" w:space="0" w:color="A5A5A5"/>
            </w:tcBorders>
            <w:shd w:val="clear" w:color="auto" w:fill="auto"/>
            <w:vAlign w:val="center"/>
            <w:hideMark/>
          </w:tcPr>
          <w:p w14:paraId="63D6BF1B" w14:textId="77777777" w:rsidR="000202AF" w:rsidRPr="000202AF" w:rsidRDefault="000202AF" w:rsidP="002F1C42">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18%</w:t>
            </w:r>
          </w:p>
        </w:tc>
        <w:tc>
          <w:tcPr>
            <w:tcW w:w="1260" w:type="dxa"/>
            <w:tcBorders>
              <w:top w:val="nil"/>
              <w:left w:val="nil"/>
              <w:bottom w:val="single" w:sz="4" w:space="0" w:color="A5A5A5"/>
              <w:right w:val="single" w:sz="4" w:space="0" w:color="A5A5A5"/>
            </w:tcBorders>
            <w:shd w:val="clear" w:color="auto" w:fill="auto"/>
            <w:vAlign w:val="center"/>
            <w:hideMark/>
          </w:tcPr>
          <w:p w14:paraId="406E53F6" w14:textId="77777777" w:rsidR="000202AF" w:rsidRPr="000202AF" w:rsidRDefault="000202AF" w:rsidP="002F1C42">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27%</w:t>
            </w:r>
          </w:p>
        </w:tc>
        <w:tc>
          <w:tcPr>
            <w:tcW w:w="1530" w:type="dxa"/>
            <w:tcBorders>
              <w:top w:val="nil"/>
              <w:left w:val="nil"/>
              <w:bottom w:val="single" w:sz="4" w:space="0" w:color="A5A5A5"/>
              <w:right w:val="single" w:sz="4" w:space="0" w:color="A5A5A5"/>
            </w:tcBorders>
            <w:shd w:val="clear" w:color="auto" w:fill="auto"/>
            <w:vAlign w:val="center"/>
            <w:hideMark/>
          </w:tcPr>
          <w:p w14:paraId="6397E672" w14:textId="77777777" w:rsidR="000202AF" w:rsidRPr="000202AF" w:rsidRDefault="000202AF" w:rsidP="002F1C42">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9%</w:t>
            </w:r>
          </w:p>
        </w:tc>
        <w:tc>
          <w:tcPr>
            <w:tcW w:w="1715" w:type="dxa"/>
            <w:vMerge/>
            <w:tcBorders>
              <w:top w:val="nil"/>
              <w:left w:val="single" w:sz="4" w:space="0" w:color="A5A5A5"/>
              <w:bottom w:val="single" w:sz="4" w:space="0" w:color="A5A5A5"/>
              <w:right w:val="single" w:sz="4" w:space="0" w:color="A5A5A5"/>
            </w:tcBorders>
            <w:vAlign w:val="center"/>
            <w:hideMark/>
          </w:tcPr>
          <w:p w14:paraId="55709AB3" w14:textId="77777777" w:rsidR="000202AF" w:rsidRPr="000202AF" w:rsidRDefault="000202AF" w:rsidP="000202AF">
            <w:pPr>
              <w:rPr>
                <w:rFonts w:ascii="Helvetica" w:eastAsia="Times New Roman" w:hAnsi="Helvetica"/>
                <w:color w:val="000000"/>
                <w:sz w:val="20"/>
                <w:szCs w:val="20"/>
              </w:rPr>
            </w:pPr>
          </w:p>
        </w:tc>
      </w:tr>
      <w:tr w:rsidR="000202AF" w:rsidRPr="000202AF" w14:paraId="5AAE49B8" w14:textId="77777777" w:rsidTr="00CE3833">
        <w:trPr>
          <w:trHeight w:val="255"/>
          <w:jc w:val="center"/>
        </w:trPr>
        <w:tc>
          <w:tcPr>
            <w:tcW w:w="3325" w:type="dxa"/>
            <w:tcBorders>
              <w:top w:val="nil"/>
              <w:left w:val="single" w:sz="4" w:space="0" w:color="A5A5A5"/>
              <w:bottom w:val="single" w:sz="4" w:space="0" w:color="A5A5A5"/>
              <w:right w:val="single" w:sz="4" w:space="0" w:color="A5A5A5"/>
            </w:tcBorders>
            <w:shd w:val="clear" w:color="auto" w:fill="auto"/>
            <w:vAlign w:val="center"/>
            <w:hideMark/>
          </w:tcPr>
          <w:p w14:paraId="7A3770F0" w14:textId="77777777" w:rsidR="000202AF" w:rsidRPr="000202AF" w:rsidRDefault="000202AF" w:rsidP="000202AF">
            <w:pPr>
              <w:rPr>
                <w:rFonts w:ascii="Helvetica" w:eastAsia="Times New Roman" w:hAnsi="Helvetica"/>
                <w:color w:val="000000"/>
                <w:sz w:val="20"/>
                <w:szCs w:val="20"/>
              </w:rPr>
            </w:pPr>
            <w:r w:rsidRPr="000202AF">
              <w:rPr>
                <w:rFonts w:ascii="Helvetica" w:eastAsia="Times New Roman" w:hAnsi="Helvetica"/>
                <w:color w:val="000000"/>
                <w:sz w:val="20"/>
                <w:szCs w:val="20"/>
              </w:rPr>
              <w:t>Ensuring long-term future of organization</w:t>
            </w:r>
          </w:p>
        </w:tc>
        <w:tc>
          <w:tcPr>
            <w:tcW w:w="1440" w:type="dxa"/>
            <w:tcBorders>
              <w:top w:val="nil"/>
              <w:left w:val="nil"/>
              <w:bottom w:val="single" w:sz="4" w:space="0" w:color="A5A5A5"/>
              <w:right w:val="single" w:sz="4" w:space="0" w:color="A5A5A5"/>
            </w:tcBorders>
            <w:shd w:val="clear" w:color="auto" w:fill="auto"/>
            <w:vAlign w:val="center"/>
            <w:hideMark/>
          </w:tcPr>
          <w:p w14:paraId="3BF4958F" w14:textId="77777777" w:rsidR="000202AF" w:rsidRPr="000202AF" w:rsidRDefault="000202AF" w:rsidP="002F1C42">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39%</w:t>
            </w:r>
          </w:p>
        </w:tc>
        <w:tc>
          <w:tcPr>
            <w:tcW w:w="1260" w:type="dxa"/>
            <w:tcBorders>
              <w:top w:val="nil"/>
              <w:left w:val="nil"/>
              <w:bottom w:val="single" w:sz="4" w:space="0" w:color="A5A5A5"/>
              <w:right w:val="single" w:sz="4" w:space="0" w:color="A5A5A5"/>
            </w:tcBorders>
            <w:shd w:val="clear" w:color="auto" w:fill="auto"/>
            <w:vAlign w:val="center"/>
            <w:hideMark/>
          </w:tcPr>
          <w:p w14:paraId="311A57DB" w14:textId="77777777" w:rsidR="000202AF" w:rsidRPr="000202AF" w:rsidRDefault="000202AF" w:rsidP="002F1C42">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43%</w:t>
            </w:r>
          </w:p>
        </w:tc>
        <w:tc>
          <w:tcPr>
            <w:tcW w:w="1530" w:type="dxa"/>
            <w:tcBorders>
              <w:top w:val="nil"/>
              <w:left w:val="nil"/>
              <w:bottom w:val="single" w:sz="4" w:space="0" w:color="A5A5A5"/>
              <w:right w:val="single" w:sz="4" w:space="0" w:color="A5A5A5"/>
            </w:tcBorders>
            <w:shd w:val="clear" w:color="auto" w:fill="auto"/>
            <w:vAlign w:val="center"/>
            <w:hideMark/>
          </w:tcPr>
          <w:p w14:paraId="5AA93C48" w14:textId="77777777" w:rsidR="000202AF" w:rsidRPr="000202AF" w:rsidRDefault="000202AF" w:rsidP="002F1C42">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4%</w:t>
            </w:r>
          </w:p>
        </w:tc>
        <w:tc>
          <w:tcPr>
            <w:tcW w:w="1715" w:type="dxa"/>
            <w:vMerge/>
            <w:tcBorders>
              <w:top w:val="nil"/>
              <w:left w:val="single" w:sz="4" w:space="0" w:color="A5A5A5"/>
              <w:bottom w:val="single" w:sz="4" w:space="0" w:color="A5A5A5"/>
              <w:right w:val="single" w:sz="4" w:space="0" w:color="A5A5A5"/>
            </w:tcBorders>
            <w:vAlign w:val="center"/>
            <w:hideMark/>
          </w:tcPr>
          <w:p w14:paraId="297A7A30" w14:textId="77777777" w:rsidR="000202AF" w:rsidRPr="000202AF" w:rsidRDefault="000202AF" w:rsidP="000202AF">
            <w:pPr>
              <w:rPr>
                <w:rFonts w:ascii="Helvetica" w:eastAsia="Times New Roman" w:hAnsi="Helvetica"/>
                <w:color w:val="000000"/>
                <w:sz w:val="20"/>
                <w:szCs w:val="20"/>
              </w:rPr>
            </w:pPr>
          </w:p>
        </w:tc>
      </w:tr>
      <w:tr w:rsidR="000202AF" w:rsidRPr="000202AF" w14:paraId="405EEBDE" w14:textId="77777777" w:rsidTr="00CE3833">
        <w:trPr>
          <w:trHeight w:val="255"/>
          <w:jc w:val="center"/>
        </w:trPr>
        <w:tc>
          <w:tcPr>
            <w:tcW w:w="3325" w:type="dxa"/>
            <w:tcBorders>
              <w:top w:val="nil"/>
              <w:left w:val="single" w:sz="4" w:space="0" w:color="A5A5A5"/>
              <w:bottom w:val="single" w:sz="4" w:space="0" w:color="A5A5A5"/>
              <w:right w:val="single" w:sz="4" w:space="0" w:color="A5A5A5"/>
            </w:tcBorders>
            <w:shd w:val="clear" w:color="auto" w:fill="auto"/>
            <w:vAlign w:val="center"/>
            <w:hideMark/>
          </w:tcPr>
          <w:p w14:paraId="6B4F0037" w14:textId="77777777" w:rsidR="000202AF" w:rsidRPr="000202AF" w:rsidRDefault="000202AF" w:rsidP="000202AF">
            <w:pPr>
              <w:rPr>
                <w:rFonts w:ascii="Helvetica" w:eastAsia="Times New Roman" w:hAnsi="Helvetica"/>
                <w:color w:val="000000"/>
                <w:sz w:val="20"/>
                <w:szCs w:val="20"/>
              </w:rPr>
            </w:pPr>
            <w:r w:rsidRPr="000202AF">
              <w:rPr>
                <w:rFonts w:ascii="Helvetica" w:eastAsia="Times New Roman" w:hAnsi="Helvetica"/>
                <w:color w:val="000000"/>
                <w:sz w:val="20"/>
                <w:szCs w:val="20"/>
              </w:rPr>
              <w:t>Meeting short-term financial goals</w:t>
            </w:r>
          </w:p>
        </w:tc>
        <w:tc>
          <w:tcPr>
            <w:tcW w:w="1440" w:type="dxa"/>
            <w:tcBorders>
              <w:top w:val="nil"/>
              <w:left w:val="nil"/>
              <w:bottom w:val="single" w:sz="4" w:space="0" w:color="A5A5A5"/>
              <w:right w:val="single" w:sz="4" w:space="0" w:color="A5A5A5"/>
            </w:tcBorders>
            <w:shd w:val="clear" w:color="auto" w:fill="auto"/>
            <w:vAlign w:val="center"/>
            <w:hideMark/>
          </w:tcPr>
          <w:p w14:paraId="50C83F28" w14:textId="77777777" w:rsidR="000202AF" w:rsidRPr="000202AF" w:rsidRDefault="000202AF" w:rsidP="002F1C42">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27%</w:t>
            </w:r>
          </w:p>
        </w:tc>
        <w:tc>
          <w:tcPr>
            <w:tcW w:w="1260" w:type="dxa"/>
            <w:tcBorders>
              <w:top w:val="nil"/>
              <w:left w:val="nil"/>
              <w:bottom w:val="single" w:sz="4" w:space="0" w:color="A5A5A5"/>
              <w:right w:val="single" w:sz="4" w:space="0" w:color="A5A5A5"/>
            </w:tcBorders>
            <w:shd w:val="clear" w:color="auto" w:fill="auto"/>
            <w:vAlign w:val="center"/>
            <w:hideMark/>
          </w:tcPr>
          <w:p w14:paraId="2D2BC111" w14:textId="77777777" w:rsidR="000202AF" w:rsidRPr="000202AF" w:rsidRDefault="000202AF" w:rsidP="002F1C42">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10%</w:t>
            </w:r>
          </w:p>
        </w:tc>
        <w:tc>
          <w:tcPr>
            <w:tcW w:w="1530" w:type="dxa"/>
            <w:tcBorders>
              <w:top w:val="nil"/>
              <w:left w:val="nil"/>
              <w:bottom w:val="single" w:sz="4" w:space="0" w:color="A5A5A5"/>
              <w:right w:val="single" w:sz="4" w:space="0" w:color="A5A5A5"/>
            </w:tcBorders>
            <w:shd w:val="clear" w:color="auto" w:fill="auto"/>
            <w:vAlign w:val="center"/>
            <w:hideMark/>
          </w:tcPr>
          <w:p w14:paraId="029A735C" w14:textId="0432F1C4" w:rsidR="000202AF" w:rsidRPr="000202AF" w:rsidRDefault="0001492C" w:rsidP="002F1C42">
            <w:pPr>
              <w:jc w:val="right"/>
              <w:rPr>
                <w:rFonts w:ascii="Helvetica" w:eastAsia="Times New Roman" w:hAnsi="Helvetica"/>
                <w:color w:val="000000"/>
                <w:sz w:val="20"/>
                <w:szCs w:val="20"/>
              </w:rPr>
            </w:pPr>
            <w:r>
              <w:rPr>
                <w:rFonts w:ascii="Helvetica" w:eastAsia="Times New Roman" w:hAnsi="Helvetica" w:cs="Helvetica"/>
                <w:color w:val="000000"/>
                <w:sz w:val="20"/>
                <w:szCs w:val="20"/>
              </w:rPr>
              <w:t>−</w:t>
            </w:r>
            <w:r w:rsidR="000202AF" w:rsidRPr="000202AF">
              <w:rPr>
                <w:rFonts w:ascii="Helvetica" w:eastAsia="Times New Roman" w:hAnsi="Helvetica"/>
                <w:color w:val="000000"/>
                <w:sz w:val="20"/>
                <w:szCs w:val="20"/>
              </w:rPr>
              <w:t>17%</w:t>
            </w:r>
          </w:p>
        </w:tc>
        <w:tc>
          <w:tcPr>
            <w:tcW w:w="1715" w:type="dxa"/>
            <w:vMerge w:val="restart"/>
            <w:tcBorders>
              <w:top w:val="nil"/>
              <w:left w:val="single" w:sz="4" w:space="0" w:color="A5A5A5"/>
              <w:bottom w:val="single" w:sz="4" w:space="0" w:color="A5A5A5"/>
              <w:right w:val="single" w:sz="4" w:space="0" w:color="A5A5A5"/>
            </w:tcBorders>
            <w:shd w:val="clear" w:color="auto" w:fill="auto"/>
            <w:vAlign w:val="center"/>
            <w:hideMark/>
          </w:tcPr>
          <w:p w14:paraId="7A483D27" w14:textId="77777777" w:rsidR="000202AF" w:rsidRPr="000202AF" w:rsidRDefault="000202AF" w:rsidP="000202AF">
            <w:pPr>
              <w:jc w:val="center"/>
              <w:rPr>
                <w:rFonts w:ascii="Helvetica" w:eastAsia="Times New Roman" w:hAnsi="Helvetica"/>
                <w:color w:val="000000"/>
                <w:sz w:val="20"/>
                <w:szCs w:val="20"/>
              </w:rPr>
            </w:pPr>
            <w:r w:rsidRPr="000202AF">
              <w:rPr>
                <w:rFonts w:ascii="Helvetica" w:eastAsia="Times New Roman" w:hAnsi="Helvetica"/>
                <w:color w:val="000000"/>
                <w:sz w:val="20"/>
                <w:szCs w:val="20"/>
              </w:rPr>
              <w:t>Leadership team’s priorities (perceived)</w:t>
            </w:r>
          </w:p>
        </w:tc>
      </w:tr>
      <w:tr w:rsidR="000202AF" w:rsidRPr="000202AF" w14:paraId="2F576D61" w14:textId="77777777" w:rsidTr="00CE3833">
        <w:trPr>
          <w:trHeight w:val="255"/>
          <w:jc w:val="center"/>
        </w:trPr>
        <w:tc>
          <w:tcPr>
            <w:tcW w:w="3325" w:type="dxa"/>
            <w:tcBorders>
              <w:top w:val="nil"/>
              <w:left w:val="single" w:sz="4" w:space="0" w:color="A5A5A5"/>
              <w:bottom w:val="single" w:sz="4" w:space="0" w:color="A5A5A5"/>
              <w:right w:val="single" w:sz="4" w:space="0" w:color="A5A5A5"/>
            </w:tcBorders>
            <w:shd w:val="clear" w:color="auto" w:fill="auto"/>
            <w:vAlign w:val="center"/>
            <w:hideMark/>
          </w:tcPr>
          <w:p w14:paraId="148B8762" w14:textId="77777777" w:rsidR="000202AF" w:rsidRPr="000202AF" w:rsidRDefault="000202AF" w:rsidP="000202AF">
            <w:pPr>
              <w:rPr>
                <w:rFonts w:ascii="Helvetica" w:eastAsia="Times New Roman" w:hAnsi="Helvetica"/>
                <w:color w:val="000000"/>
                <w:sz w:val="20"/>
                <w:szCs w:val="20"/>
              </w:rPr>
            </w:pPr>
            <w:r w:rsidRPr="000202AF">
              <w:rPr>
                <w:rFonts w:ascii="Helvetica" w:eastAsia="Times New Roman" w:hAnsi="Helvetica"/>
                <w:color w:val="000000"/>
                <w:sz w:val="20"/>
                <w:szCs w:val="20"/>
              </w:rPr>
              <w:t>Own personal income/rewards</w:t>
            </w:r>
          </w:p>
        </w:tc>
        <w:tc>
          <w:tcPr>
            <w:tcW w:w="1440" w:type="dxa"/>
            <w:tcBorders>
              <w:top w:val="nil"/>
              <w:left w:val="nil"/>
              <w:bottom w:val="single" w:sz="4" w:space="0" w:color="A5A5A5"/>
              <w:right w:val="single" w:sz="4" w:space="0" w:color="A5A5A5"/>
            </w:tcBorders>
            <w:shd w:val="clear" w:color="auto" w:fill="auto"/>
            <w:vAlign w:val="center"/>
            <w:hideMark/>
          </w:tcPr>
          <w:p w14:paraId="47D56503" w14:textId="77777777" w:rsidR="000202AF" w:rsidRPr="000202AF" w:rsidRDefault="000202AF" w:rsidP="002F1C42">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30%</w:t>
            </w:r>
          </w:p>
        </w:tc>
        <w:tc>
          <w:tcPr>
            <w:tcW w:w="1260" w:type="dxa"/>
            <w:tcBorders>
              <w:top w:val="nil"/>
              <w:left w:val="nil"/>
              <w:bottom w:val="single" w:sz="4" w:space="0" w:color="A5A5A5"/>
              <w:right w:val="single" w:sz="4" w:space="0" w:color="A5A5A5"/>
            </w:tcBorders>
            <w:shd w:val="clear" w:color="auto" w:fill="auto"/>
            <w:vAlign w:val="center"/>
            <w:hideMark/>
          </w:tcPr>
          <w:p w14:paraId="6090F696" w14:textId="77777777" w:rsidR="000202AF" w:rsidRPr="000202AF" w:rsidRDefault="000202AF" w:rsidP="002F1C42">
            <w:pPr>
              <w:jc w:val="right"/>
              <w:rPr>
                <w:rFonts w:ascii="Helvetica" w:eastAsia="Times New Roman" w:hAnsi="Helvetica"/>
                <w:color w:val="000000"/>
                <w:sz w:val="20"/>
                <w:szCs w:val="20"/>
              </w:rPr>
            </w:pPr>
            <w:r w:rsidRPr="000202AF">
              <w:rPr>
                <w:rFonts w:ascii="Helvetica" w:eastAsia="Times New Roman" w:hAnsi="Helvetica"/>
                <w:color w:val="000000"/>
                <w:sz w:val="20"/>
                <w:szCs w:val="20"/>
              </w:rPr>
              <w:t>12%</w:t>
            </w:r>
          </w:p>
        </w:tc>
        <w:tc>
          <w:tcPr>
            <w:tcW w:w="1530" w:type="dxa"/>
            <w:tcBorders>
              <w:top w:val="nil"/>
              <w:left w:val="nil"/>
              <w:bottom w:val="single" w:sz="4" w:space="0" w:color="A5A5A5"/>
              <w:right w:val="single" w:sz="4" w:space="0" w:color="A5A5A5"/>
            </w:tcBorders>
            <w:shd w:val="clear" w:color="auto" w:fill="auto"/>
            <w:vAlign w:val="center"/>
            <w:hideMark/>
          </w:tcPr>
          <w:p w14:paraId="3450B1CF" w14:textId="3171A573" w:rsidR="000202AF" w:rsidRPr="000202AF" w:rsidRDefault="0001492C" w:rsidP="002F1C42">
            <w:pPr>
              <w:jc w:val="right"/>
              <w:rPr>
                <w:rFonts w:ascii="Helvetica" w:eastAsia="Times New Roman" w:hAnsi="Helvetica"/>
                <w:color w:val="000000"/>
                <w:sz w:val="20"/>
                <w:szCs w:val="20"/>
              </w:rPr>
            </w:pPr>
            <w:r>
              <w:rPr>
                <w:rFonts w:ascii="Helvetica" w:eastAsia="Times New Roman" w:hAnsi="Helvetica" w:cs="Helvetica"/>
                <w:color w:val="000000"/>
                <w:sz w:val="20"/>
                <w:szCs w:val="20"/>
              </w:rPr>
              <w:t>−</w:t>
            </w:r>
            <w:r w:rsidR="000202AF" w:rsidRPr="000202AF">
              <w:rPr>
                <w:rFonts w:ascii="Helvetica" w:eastAsia="Times New Roman" w:hAnsi="Helvetica"/>
                <w:color w:val="000000"/>
                <w:sz w:val="20"/>
                <w:szCs w:val="20"/>
              </w:rPr>
              <w:t>18%</w:t>
            </w:r>
          </w:p>
        </w:tc>
        <w:tc>
          <w:tcPr>
            <w:tcW w:w="1715" w:type="dxa"/>
            <w:vMerge/>
            <w:tcBorders>
              <w:top w:val="nil"/>
              <w:left w:val="single" w:sz="4" w:space="0" w:color="A5A5A5"/>
              <w:bottom w:val="single" w:sz="4" w:space="0" w:color="A5A5A5"/>
              <w:right w:val="single" w:sz="4" w:space="0" w:color="A5A5A5"/>
            </w:tcBorders>
            <w:vAlign w:val="center"/>
            <w:hideMark/>
          </w:tcPr>
          <w:p w14:paraId="16C21975" w14:textId="77777777" w:rsidR="000202AF" w:rsidRPr="000202AF" w:rsidRDefault="000202AF" w:rsidP="000202AF">
            <w:pPr>
              <w:rPr>
                <w:rFonts w:ascii="Helvetica" w:eastAsia="Times New Roman" w:hAnsi="Helvetica"/>
                <w:color w:val="000000"/>
                <w:sz w:val="20"/>
                <w:szCs w:val="20"/>
              </w:rPr>
            </w:pPr>
          </w:p>
        </w:tc>
      </w:tr>
    </w:tbl>
    <w:p w14:paraId="683EB487" w14:textId="77777777" w:rsidR="00D41853" w:rsidRPr="00A97577" w:rsidRDefault="00D41853" w:rsidP="00A97577">
      <w:pPr>
        <w:pStyle w:val="Footnote"/>
        <w:rPr>
          <w:color w:val="000000" w:themeColor="text1"/>
          <w:highlight w:val="white"/>
        </w:rPr>
      </w:pPr>
    </w:p>
    <w:p w14:paraId="6017E11D" w14:textId="6156C951" w:rsidR="007C23ED" w:rsidRPr="00A97577" w:rsidRDefault="00D41853" w:rsidP="00A97577">
      <w:pPr>
        <w:pStyle w:val="Footnote"/>
        <w:outlineLvl w:val="0"/>
        <w:rPr>
          <w:color w:val="000000" w:themeColor="text1"/>
        </w:rPr>
      </w:pPr>
      <w:r w:rsidRPr="00A97577">
        <w:rPr>
          <w:color w:val="000000" w:themeColor="text1"/>
          <w:highlight w:val="white"/>
        </w:rPr>
        <w:t xml:space="preserve">Source: </w:t>
      </w:r>
      <w:r w:rsidR="006C62E8" w:rsidRPr="00A97577">
        <w:rPr>
          <w:color w:val="000000" w:themeColor="text1"/>
        </w:rPr>
        <w:t xml:space="preserve">“Executive Summary” in </w:t>
      </w:r>
      <w:r w:rsidR="006C62E8" w:rsidRPr="00A97577">
        <w:rPr>
          <w:i/>
          <w:color w:val="000000" w:themeColor="text1"/>
          <w:highlight w:val="white"/>
        </w:rPr>
        <w:t>Mind</w:t>
      </w:r>
      <w:r w:rsidR="006C62E8" w:rsidRPr="00A97577">
        <w:rPr>
          <w:i/>
          <w:color w:val="000000" w:themeColor="text1"/>
          <w:highlight w:val="white"/>
          <w:shd w:val="clear" w:color="auto" w:fill="000000" w:themeFill="text1"/>
        </w:rPr>
        <w:t xml:space="preserve"> the Gaps: The 2015 Deloitte Millennial Survey</w:t>
      </w:r>
      <w:r w:rsidR="006C62E8" w:rsidRPr="00A97577">
        <w:rPr>
          <w:color w:val="000000" w:themeColor="text1"/>
          <w:highlight w:val="white"/>
          <w:shd w:val="clear" w:color="auto" w:fill="000000" w:themeFill="text1"/>
        </w:rPr>
        <w:t xml:space="preserve"> (Deloitte </w:t>
      </w:r>
      <w:proofErr w:type="spellStart"/>
      <w:r w:rsidR="006C62E8" w:rsidRPr="00A97577">
        <w:rPr>
          <w:color w:val="000000" w:themeColor="text1"/>
          <w:highlight w:val="white"/>
          <w:shd w:val="clear" w:color="auto" w:fill="000000" w:themeFill="text1"/>
        </w:rPr>
        <w:t>Touche</w:t>
      </w:r>
      <w:proofErr w:type="spellEnd"/>
      <w:r w:rsidR="006C62E8" w:rsidRPr="00A97577">
        <w:rPr>
          <w:color w:val="000000" w:themeColor="text1"/>
          <w:highlight w:val="white"/>
          <w:shd w:val="clear" w:color="auto" w:fill="000000" w:themeFill="text1"/>
        </w:rPr>
        <w:t xml:space="preserve"> Tohmatsu Limited, 2015), 13, accessed September 5, 2016, </w:t>
      </w:r>
      <w:r w:rsidR="006C62E8" w:rsidRPr="00A97577">
        <w:rPr>
          <w:color w:val="000000" w:themeColor="text1"/>
        </w:rPr>
        <w:t>www2.deloitte.com/content/dam/Deloitte/global/Documents/About-Deloitte/gx-wef-2015-millennial-survey-executivesummary.pdf</w:t>
      </w:r>
      <w:r w:rsidRPr="00A97577">
        <w:rPr>
          <w:color w:val="000000" w:themeColor="text1"/>
        </w:rPr>
        <w:t xml:space="preserve">. </w:t>
      </w:r>
    </w:p>
    <w:p w14:paraId="0F2407F4" w14:textId="77777777" w:rsidR="007C23ED" w:rsidRPr="00A97577" w:rsidRDefault="007C23ED" w:rsidP="00A97577">
      <w:pPr>
        <w:pStyle w:val="Footnote"/>
        <w:outlineLvl w:val="0"/>
        <w:rPr>
          <w:color w:val="000000" w:themeColor="text1"/>
        </w:rPr>
      </w:pPr>
    </w:p>
    <w:p w14:paraId="7451DD20" w14:textId="4DF3E8AE" w:rsidR="007C23ED" w:rsidRPr="00483937" w:rsidRDefault="007C23ED" w:rsidP="00026768">
      <w:pPr>
        <w:pStyle w:val="BodyTextMain"/>
      </w:pPr>
    </w:p>
    <w:p w14:paraId="60418673" w14:textId="2A8D291B" w:rsidR="00FD1E2A" w:rsidRPr="00483937" w:rsidRDefault="00FD1E2A" w:rsidP="00F524F1">
      <w:pPr>
        <w:pStyle w:val="ExhibitHeading"/>
        <w:outlineLvl w:val="0"/>
      </w:pPr>
      <w:r w:rsidRPr="00483937">
        <w:t xml:space="preserve">Exhibit </w:t>
      </w:r>
      <w:r w:rsidR="00A6578B">
        <w:t>6</w:t>
      </w:r>
      <w:r w:rsidR="004C0EBD" w:rsidRPr="00483937">
        <w:t xml:space="preserve">: </w:t>
      </w:r>
      <w:r w:rsidRPr="00483937">
        <w:t>Barrett</w:t>
      </w:r>
      <w:r w:rsidR="00927A31">
        <w:t xml:space="preserve">’s </w:t>
      </w:r>
      <w:r w:rsidR="007B1016">
        <w:t>Cultural values assessment</w:t>
      </w:r>
    </w:p>
    <w:p w14:paraId="4CCFC796" w14:textId="77777777" w:rsidR="00C81BA9" w:rsidRPr="00483937" w:rsidRDefault="00C81BA9" w:rsidP="004C0EBD">
      <w:pPr>
        <w:pStyle w:val="ExhibitHeading"/>
        <w:rPr>
          <w:noProof/>
        </w:rPr>
      </w:pPr>
    </w:p>
    <w:tbl>
      <w:tblPr>
        <w:tblW w:w="4855" w:type="dxa"/>
        <w:jc w:val="center"/>
        <w:tblLook w:val="04A0" w:firstRow="1" w:lastRow="0" w:firstColumn="1" w:lastColumn="0" w:noHBand="0" w:noVBand="1"/>
      </w:tblPr>
      <w:tblGrid>
        <w:gridCol w:w="1615"/>
        <w:gridCol w:w="2520"/>
        <w:gridCol w:w="720"/>
      </w:tblGrid>
      <w:tr w:rsidR="005072A4" w:rsidRPr="005072A4" w14:paraId="0AC80848" w14:textId="77777777" w:rsidTr="005072A4">
        <w:trPr>
          <w:trHeight w:val="409"/>
          <w:jc w:val="center"/>
        </w:trPr>
        <w:tc>
          <w:tcPr>
            <w:tcW w:w="1615" w:type="dxa"/>
            <w:tcBorders>
              <w:top w:val="single" w:sz="4" w:space="0" w:color="A5A5A5"/>
              <w:left w:val="single" w:sz="4" w:space="0" w:color="A5A5A5"/>
              <w:bottom w:val="single" w:sz="4" w:space="0" w:color="3F3F3F"/>
              <w:right w:val="single" w:sz="4" w:space="0" w:color="A5A5A5"/>
            </w:tcBorders>
            <w:shd w:val="clear" w:color="auto" w:fill="auto"/>
            <w:vAlign w:val="center"/>
            <w:hideMark/>
          </w:tcPr>
          <w:p w14:paraId="4B6AF417" w14:textId="77777777" w:rsidR="005072A4" w:rsidRPr="005072A4" w:rsidRDefault="005072A4" w:rsidP="005072A4">
            <w:pPr>
              <w:pStyle w:val="ExhibitText"/>
              <w:rPr>
                <w:b/>
              </w:rPr>
            </w:pPr>
            <w:r w:rsidRPr="005072A4">
              <w:rPr>
                <w:b/>
              </w:rPr>
              <w:t>Human Needs</w:t>
            </w:r>
          </w:p>
        </w:tc>
        <w:tc>
          <w:tcPr>
            <w:tcW w:w="2520" w:type="dxa"/>
            <w:tcBorders>
              <w:top w:val="single" w:sz="4" w:space="0" w:color="A5A5A5"/>
              <w:left w:val="nil"/>
              <w:bottom w:val="single" w:sz="4" w:space="0" w:color="3F3F3F"/>
              <w:right w:val="single" w:sz="4" w:space="0" w:color="A5A5A5"/>
            </w:tcBorders>
            <w:shd w:val="clear" w:color="auto" w:fill="auto"/>
            <w:vAlign w:val="center"/>
            <w:hideMark/>
          </w:tcPr>
          <w:p w14:paraId="6122FB0F" w14:textId="77777777" w:rsidR="005072A4" w:rsidRPr="005072A4" w:rsidRDefault="005072A4" w:rsidP="005072A4">
            <w:pPr>
              <w:pStyle w:val="ExhibitText"/>
              <w:jc w:val="center"/>
              <w:rPr>
                <w:b/>
              </w:rPr>
            </w:pPr>
            <w:r w:rsidRPr="005072A4">
              <w:rPr>
                <w:b/>
              </w:rPr>
              <w:t>Human Motivations</w:t>
            </w:r>
          </w:p>
        </w:tc>
        <w:tc>
          <w:tcPr>
            <w:tcW w:w="720" w:type="dxa"/>
            <w:tcBorders>
              <w:top w:val="single" w:sz="4" w:space="0" w:color="A5A5A5"/>
              <w:left w:val="nil"/>
              <w:bottom w:val="single" w:sz="4" w:space="0" w:color="3F3F3F"/>
              <w:right w:val="single" w:sz="4" w:space="0" w:color="A5A5A5"/>
            </w:tcBorders>
            <w:shd w:val="clear" w:color="auto" w:fill="auto"/>
            <w:vAlign w:val="center"/>
            <w:hideMark/>
          </w:tcPr>
          <w:p w14:paraId="16064D16" w14:textId="77777777" w:rsidR="005072A4" w:rsidRPr="005072A4" w:rsidRDefault="005072A4" w:rsidP="005072A4">
            <w:pPr>
              <w:pStyle w:val="ExhibitText"/>
            </w:pPr>
            <w:r w:rsidRPr="005072A4">
              <w:t> </w:t>
            </w:r>
          </w:p>
        </w:tc>
      </w:tr>
      <w:tr w:rsidR="005072A4" w:rsidRPr="005072A4" w14:paraId="641FF386" w14:textId="77777777" w:rsidTr="005072A4">
        <w:trPr>
          <w:trHeight w:val="409"/>
          <w:jc w:val="center"/>
        </w:trPr>
        <w:tc>
          <w:tcPr>
            <w:tcW w:w="1615" w:type="dxa"/>
            <w:vMerge w:val="restart"/>
            <w:tcBorders>
              <w:top w:val="nil"/>
              <w:left w:val="single" w:sz="4" w:space="0" w:color="A5A5A5"/>
              <w:bottom w:val="single" w:sz="4" w:space="0" w:color="A5A5A5"/>
              <w:right w:val="single" w:sz="4" w:space="0" w:color="3F3F3F"/>
            </w:tcBorders>
            <w:shd w:val="clear" w:color="auto" w:fill="auto"/>
            <w:vAlign w:val="center"/>
            <w:hideMark/>
          </w:tcPr>
          <w:p w14:paraId="36F269FB" w14:textId="77777777" w:rsidR="005072A4" w:rsidRPr="005072A4" w:rsidRDefault="005072A4" w:rsidP="005072A4">
            <w:pPr>
              <w:pStyle w:val="ExhibitText"/>
              <w:rPr>
                <w:b/>
              </w:rPr>
            </w:pPr>
            <w:r w:rsidRPr="005072A4">
              <w:rPr>
                <w:b/>
              </w:rPr>
              <w:t>Spiritual</w:t>
            </w:r>
          </w:p>
        </w:tc>
        <w:tc>
          <w:tcPr>
            <w:tcW w:w="2520" w:type="dxa"/>
            <w:tcBorders>
              <w:top w:val="nil"/>
              <w:left w:val="nil"/>
              <w:bottom w:val="single" w:sz="4" w:space="0" w:color="A5A5A5"/>
              <w:right w:val="single" w:sz="4" w:space="0" w:color="A5A5A5"/>
            </w:tcBorders>
            <w:shd w:val="clear" w:color="auto" w:fill="auto"/>
            <w:vAlign w:val="center"/>
            <w:hideMark/>
          </w:tcPr>
          <w:p w14:paraId="0CD88207" w14:textId="77777777" w:rsidR="005072A4" w:rsidRPr="005072A4" w:rsidRDefault="005072A4" w:rsidP="005072A4">
            <w:pPr>
              <w:pStyle w:val="ExhibitText"/>
              <w:jc w:val="center"/>
            </w:pPr>
            <w:r w:rsidRPr="005072A4">
              <w:t>Service</w:t>
            </w:r>
          </w:p>
        </w:tc>
        <w:tc>
          <w:tcPr>
            <w:tcW w:w="720" w:type="dxa"/>
            <w:tcBorders>
              <w:top w:val="nil"/>
              <w:left w:val="nil"/>
              <w:bottom w:val="single" w:sz="4" w:space="0" w:color="A5A5A5"/>
              <w:right w:val="single" w:sz="4" w:space="0" w:color="A5A5A5"/>
            </w:tcBorders>
            <w:shd w:val="clear" w:color="auto" w:fill="auto"/>
            <w:vAlign w:val="center"/>
            <w:hideMark/>
          </w:tcPr>
          <w:p w14:paraId="6900F0BA" w14:textId="77777777" w:rsidR="005072A4" w:rsidRPr="005072A4" w:rsidRDefault="005072A4" w:rsidP="005072A4">
            <w:pPr>
              <w:pStyle w:val="ExhibitText"/>
              <w:jc w:val="center"/>
            </w:pPr>
            <w:r w:rsidRPr="005072A4">
              <w:t>7</w:t>
            </w:r>
          </w:p>
        </w:tc>
      </w:tr>
      <w:tr w:rsidR="005072A4" w:rsidRPr="005072A4" w14:paraId="6DBCAF3C" w14:textId="77777777" w:rsidTr="005072A4">
        <w:trPr>
          <w:trHeight w:val="405"/>
          <w:jc w:val="center"/>
        </w:trPr>
        <w:tc>
          <w:tcPr>
            <w:tcW w:w="1615" w:type="dxa"/>
            <w:vMerge/>
            <w:tcBorders>
              <w:top w:val="nil"/>
              <w:left w:val="single" w:sz="4" w:space="0" w:color="A5A5A5"/>
              <w:bottom w:val="single" w:sz="4" w:space="0" w:color="A5A5A5"/>
              <w:right w:val="single" w:sz="4" w:space="0" w:color="3F3F3F"/>
            </w:tcBorders>
            <w:shd w:val="clear" w:color="auto" w:fill="auto"/>
            <w:vAlign w:val="center"/>
            <w:hideMark/>
          </w:tcPr>
          <w:p w14:paraId="38CE415C" w14:textId="77777777" w:rsidR="005072A4" w:rsidRPr="005072A4" w:rsidRDefault="005072A4" w:rsidP="005072A4">
            <w:pPr>
              <w:pStyle w:val="ExhibitText"/>
              <w:rPr>
                <w:b/>
              </w:rPr>
            </w:pPr>
          </w:p>
        </w:tc>
        <w:tc>
          <w:tcPr>
            <w:tcW w:w="2520" w:type="dxa"/>
            <w:tcBorders>
              <w:top w:val="nil"/>
              <w:left w:val="nil"/>
              <w:bottom w:val="single" w:sz="4" w:space="0" w:color="A5A5A5"/>
              <w:right w:val="single" w:sz="4" w:space="0" w:color="A5A5A5"/>
            </w:tcBorders>
            <w:shd w:val="clear" w:color="auto" w:fill="auto"/>
            <w:vAlign w:val="center"/>
            <w:hideMark/>
          </w:tcPr>
          <w:p w14:paraId="5BAE2C8E" w14:textId="77777777" w:rsidR="005072A4" w:rsidRPr="005072A4" w:rsidRDefault="005072A4" w:rsidP="005072A4">
            <w:pPr>
              <w:pStyle w:val="ExhibitText"/>
              <w:jc w:val="center"/>
            </w:pPr>
            <w:r w:rsidRPr="005072A4">
              <w:t>Making a Difference</w:t>
            </w:r>
          </w:p>
        </w:tc>
        <w:tc>
          <w:tcPr>
            <w:tcW w:w="720" w:type="dxa"/>
            <w:tcBorders>
              <w:top w:val="nil"/>
              <w:left w:val="nil"/>
              <w:bottom w:val="single" w:sz="4" w:space="0" w:color="A5A5A5"/>
              <w:right w:val="single" w:sz="4" w:space="0" w:color="A5A5A5"/>
            </w:tcBorders>
            <w:shd w:val="clear" w:color="auto" w:fill="auto"/>
            <w:vAlign w:val="center"/>
            <w:hideMark/>
          </w:tcPr>
          <w:p w14:paraId="43F01E06" w14:textId="77777777" w:rsidR="005072A4" w:rsidRPr="005072A4" w:rsidRDefault="005072A4" w:rsidP="005072A4">
            <w:pPr>
              <w:pStyle w:val="ExhibitText"/>
              <w:jc w:val="center"/>
            </w:pPr>
            <w:r w:rsidRPr="005072A4">
              <w:t>6</w:t>
            </w:r>
          </w:p>
        </w:tc>
      </w:tr>
      <w:tr w:rsidR="005072A4" w:rsidRPr="005072A4" w14:paraId="76D49FED" w14:textId="77777777" w:rsidTr="005072A4">
        <w:trPr>
          <w:trHeight w:val="405"/>
          <w:jc w:val="center"/>
        </w:trPr>
        <w:tc>
          <w:tcPr>
            <w:tcW w:w="1615" w:type="dxa"/>
            <w:vMerge/>
            <w:tcBorders>
              <w:top w:val="nil"/>
              <w:left w:val="single" w:sz="4" w:space="0" w:color="A5A5A5"/>
              <w:bottom w:val="single" w:sz="4" w:space="0" w:color="A5A5A5"/>
              <w:right w:val="single" w:sz="4" w:space="0" w:color="3F3F3F"/>
            </w:tcBorders>
            <w:shd w:val="clear" w:color="auto" w:fill="auto"/>
            <w:vAlign w:val="center"/>
            <w:hideMark/>
          </w:tcPr>
          <w:p w14:paraId="7A9B6F94" w14:textId="77777777" w:rsidR="005072A4" w:rsidRPr="005072A4" w:rsidRDefault="005072A4" w:rsidP="005072A4">
            <w:pPr>
              <w:pStyle w:val="ExhibitText"/>
              <w:rPr>
                <w:b/>
              </w:rPr>
            </w:pPr>
          </w:p>
        </w:tc>
        <w:tc>
          <w:tcPr>
            <w:tcW w:w="2520" w:type="dxa"/>
            <w:tcBorders>
              <w:top w:val="nil"/>
              <w:left w:val="nil"/>
              <w:bottom w:val="single" w:sz="4" w:space="0" w:color="A5A5A5"/>
              <w:right w:val="single" w:sz="4" w:space="0" w:color="A5A5A5"/>
            </w:tcBorders>
            <w:shd w:val="clear" w:color="auto" w:fill="auto"/>
            <w:vAlign w:val="center"/>
            <w:hideMark/>
          </w:tcPr>
          <w:p w14:paraId="3814786D" w14:textId="77777777" w:rsidR="005072A4" w:rsidRPr="005072A4" w:rsidRDefault="005072A4" w:rsidP="005072A4">
            <w:pPr>
              <w:pStyle w:val="ExhibitText"/>
              <w:jc w:val="center"/>
            </w:pPr>
            <w:r w:rsidRPr="005072A4">
              <w:t>Internal Cohesion</w:t>
            </w:r>
          </w:p>
        </w:tc>
        <w:tc>
          <w:tcPr>
            <w:tcW w:w="720" w:type="dxa"/>
            <w:tcBorders>
              <w:top w:val="nil"/>
              <w:left w:val="nil"/>
              <w:bottom w:val="single" w:sz="4" w:space="0" w:color="A5A5A5"/>
              <w:right w:val="single" w:sz="4" w:space="0" w:color="A5A5A5"/>
            </w:tcBorders>
            <w:shd w:val="clear" w:color="auto" w:fill="auto"/>
            <w:vAlign w:val="center"/>
            <w:hideMark/>
          </w:tcPr>
          <w:p w14:paraId="045CCA96" w14:textId="77777777" w:rsidR="005072A4" w:rsidRPr="005072A4" w:rsidRDefault="005072A4" w:rsidP="005072A4">
            <w:pPr>
              <w:pStyle w:val="ExhibitText"/>
              <w:jc w:val="center"/>
            </w:pPr>
            <w:r w:rsidRPr="005072A4">
              <w:t>5</w:t>
            </w:r>
          </w:p>
        </w:tc>
      </w:tr>
      <w:tr w:rsidR="005072A4" w:rsidRPr="005072A4" w14:paraId="56E43BA7" w14:textId="77777777" w:rsidTr="005072A4">
        <w:trPr>
          <w:trHeight w:val="405"/>
          <w:jc w:val="center"/>
        </w:trPr>
        <w:tc>
          <w:tcPr>
            <w:tcW w:w="1615" w:type="dxa"/>
            <w:tcBorders>
              <w:top w:val="nil"/>
              <w:left w:val="single" w:sz="4" w:space="0" w:color="A5A5A5"/>
              <w:bottom w:val="single" w:sz="4" w:space="0" w:color="A5A5A5"/>
              <w:right w:val="single" w:sz="4" w:space="0" w:color="3F3F3F"/>
            </w:tcBorders>
            <w:shd w:val="clear" w:color="auto" w:fill="auto"/>
            <w:vAlign w:val="center"/>
            <w:hideMark/>
          </w:tcPr>
          <w:p w14:paraId="56083338" w14:textId="77777777" w:rsidR="005072A4" w:rsidRPr="005072A4" w:rsidRDefault="005072A4" w:rsidP="005072A4">
            <w:pPr>
              <w:pStyle w:val="ExhibitText"/>
              <w:rPr>
                <w:b/>
              </w:rPr>
            </w:pPr>
            <w:r w:rsidRPr="005072A4">
              <w:rPr>
                <w:b/>
              </w:rPr>
              <w:t>Mental</w:t>
            </w:r>
          </w:p>
        </w:tc>
        <w:tc>
          <w:tcPr>
            <w:tcW w:w="2520" w:type="dxa"/>
            <w:tcBorders>
              <w:top w:val="nil"/>
              <w:left w:val="nil"/>
              <w:bottom w:val="single" w:sz="4" w:space="0" w:color="A5A5A5"/>
              <w:right w:val="single" w:sz="4" w:space="0" w:color="A5A5A5"/>
            </w:tcBorders>
            <w:shd w:val="clear" w:color="auto" w:fill="auto"/>
            <w:vAlign w:val="center"/>
            <w:hideMark/>
          </w:tcPr>
          <w:p w14:paraId="13A1C962" w14:textId="77777777" w:rsidR="005072A4" w:rsidRPr="005072A4" w:rsidRDefault="005072A4" w:rsidP="005072A4">
            <w:pPr>
              <w:pStyle w:val="ExhibitText"/>
              <w:jc w:val="center"/>
            </w:pPr>
            <w:r w:rsidRPr="005072A4">
              <w:t>Transformation</w:t>
            </w:r>
          </w:p>
        </w:tc>
        <w:tc>
          <w:tcPr>
            <w:tcW w:w="720" w:type="dxa"/>
            <w:tcBorders>
              <w:top w:val="nil"/>
              <w:left w:val="nil"/>
              <w:bottom w:val="single" w:sz="4" w:space="0" w:color="A5A5A5"/>
              <w:right w:val="single" w:sz="4" w:space="0" w:color="A5A5A5"/>
            </w:tcBorders>
            <w:shd w:val="clear" w:color="auto" w:fill="auto"/>
            <w:vAlign w:val="center"/>
            <w:hideMark/>
          </w:tcPr>
          <w:p w14:paraId="40B76681" w14:textId="77777777" w:rsidR="005072A4" w:rsidRPr="005072A4" w:rsidRDefault="005072A4" w:rsidP="005072A4">
            <w:pPr>
              <w:pStyle w:val="ExhibitText"/>
              <w:jc w:val="center"/>
            </w:pPr>
            <w:r w:rsidRPr="005072A4">
              <w:t>4</w:t>
            </w:r>
          </w:p>
        </w:tc>
      </w:tr>
      <w:tr w:rsidR="005072A4" w:rsidRPr="005072A4" w14:paraId="58CA827C" w14:textId="77777777" w:rsidTr="005072A4">
        <w:trPr>
          <w:trHeight w:val="405"/>
          <w:jc w:val="center"/>
        </w:trPr>
        <w:tc>
          <w:tcPr>
            <w:tcW w:w="1615" w:type="dxa"/>
            <w:vMerge w:val="restart"/>
            <w:tcBorders>
              <w:top w:val="nil"/>
              <w:left w:val="single" w:sz="4" w:space="0" w:color="A5A5A5"/>
              <w:bottom w:val="single" w:sz="4" w:space="0" w:color="A5A5A5"/>
              <w:right w:val="single" w:sz="4" w:space="0" w:color="3F3F3F"/>
            </w:tcBorders>
            <w:shd w:val="clear" w:color="auto" w:fill="auto"/>
            <w:vAlign w:val="center"/>
            <w:hideMark/>
          </w:tcPr>
          <w:p w14:paraId="0CD158E0" w14:textId="77777777" w:rsidR="005072A4" w:rsidRPr="005072A4" w:rsidRDefault="005072A4" w:rsidP="005072A4">
            <w:pPr>
              <w:pStyle w:val="ExhibitText"/>
              <w:rPr>
                <w:b/>
              </w:rPr>
            </w:pPr>
            <w:r w:rsidRPr="005072A4">
              <w:rPr>
                <w:b/>
              </w:rPr>
              <w:t>Emotional</w:t>
            </w:r>
          </w:p>
        </w:tc>
        <w:tc>
          <w:tcPr>
            <w:tcW w:w="2520" w:type="dxa"/>
            <w:tcBorders>
              <w:top w:val="nil"/>
              <w:left w:val="nil"/>
              <w:bottom w:val="single" w:sz="4" w:space="0" w:color="A5A5A5"/>
              <w:right w:val="single" w:sz="4" w:space="0" w:color="A5A5A5"/>
            </w:tcBorders>
            <w:shd w:val="clear" w:color="auto" w:fill="auto"/>
            <w:vAlign w:val="center"/>
            <w:hideMark/>
          </w:tcPr>
          <w:p w14:paraId="564B4FBB" w14:textId="77777777" w:rsidR="005072A4" w:rsidRPr="005072A4" w:rsidRDefault="005072A4" w:rsidP="005072A4">
            <w:pPr>
              <w:pStyle w:val="ExhibitText"/>
              <w:jc w:val="center"/>
            </w:pPr>
            <w:r w:rsidRPr="005072A4">
              <w:t>Self-Esteem</w:t>
            </w:r>
          </w:p>
        </w:tc>
        <w:tc>
          <w:tcPr>
            <w:tcW w:w="720" w:type="dxa"/>
            <w:tcBorders>
              <w:top w:val="nil"/>
              <w:left w:val="nil"/>
              <w:bottom w:val="single" w:sz="4" w:space="0" w:color="A5A5A5"/>
              <w:right w:val="single" w:sz="4" w:space="0" w:color="A5A5A5"/>
            </w:tcBorders>
            <w:shd w:val="clear" w:color="auto" w:fill="auto"/>
            <w:vAlign w:val="center"/>
            <w:hideMark/>
          </w:tcPr>
          <w:p w14:paraId="223EA847" w14:textId="77777777" w:rsidR="005072A4" w:rsidRPr="005072A4" w:rsidRDefault="005072A4" w:rsidP="005072A4">
            <w:pPr>
              <w:pStyle w:val="ExhibitText"/>
              <w:jc w:val="center"/>
            </w:pPr>
            <w:r w:rsidRPr="005072A4">
              <w:t>3</w:t>
            </w:r>
          </w:p>
        </w:tc>
      </w:tr>
      <w:tr w:rsidR="005072A4" w:rsidRPr="005072A4" w14:paraId="384F2054" w14:textId="77777777" w:rsidTr="005072A4">
        <w:trPr>
          <w:trHeight w:val="405"/>
          <w:jc w:val="center"/>
        </w:trPr>
        <w:tc>
          <w:tcPr>
            <w:tcW w:w="1615" w:type="dxa"/>
            <w:vMerge/>
            <w:tcBorders>
              <w:top w:val="nil"/>
              <w:left w:val="single" w:sz="4" w:space="0" w:color="A5A5A5"/>
              <w:bottom w:val="single" w:sz="4" w:space="0" w:color="A5A5A5"/>
              <w:right w:val="single" w:sz="4" w:space="0" w:color="3F3F3F"/>
            </w:tcBorders>
            <w:shd w:val="clear" w:color="auto" w:fill="auto"/>
            <w:vAlign w:val="center"/>
            <w:hideMark/>
          </w:tcPr>
          <w:p w14:paraId="6BFCAEF4" w14:textId="77777777" w:rsidR="005072A4" w:rsidRPr="005072A4" w:rsidRDefault="005072A4" w:rsidP="005072A4">
            <w:pPr>
              <w:pStyle w:val="ExhibitText"/>
              <w:rPr>
                <w:b/>
              </w:rPr>
            </w:pPr>
          </w:p>
        </w:tc>
        <w:tc>
          <w:tcPr>
            <w:tcW w:w="2520" w:type="dxa"/>
            <w:tcBorders>
              <w:top w:val="nil"/>
              <w:left w:val="nil"/>
              <w:bottom w:val="single" w:sz="4" w:space="0" w:color="A5A5A5"/>
              <w:right w:val="single" w:sz="4" w:space="0" w:color="A5A5A5"/>
            </w:tcBorders>
            <w:shd w:val="clear" w:color="auto" w:fill="auto"/>
            <w:vAlign w:val="center"/>
            <w:hideMark/>
          </w:tcPr>
          <w:p w14:paraId="57D0B3A9" w14:textId="77777777" w:rsidR="005072A4" w:rsidRPr="005072A4" w:rsidRDefault="005072A4" w:rsidP="005072A4">
            <w:pPr>
              <w:pStyle w:val="ExhibitText"/>
              <w:jc w:val="center"/>
            </w:pPr>
            <w:r w:rsidRPr="005072A4">
              <w:t>Relationship</w:t>
            </w:r>
          </w:p>
        </w:tc>
        <w:tc>
          <w:tcPr>
            <w:tcW w:w="720" w:type="dxa"/>
            <w:tcBorders>
              <w:top w:val="nil"/>
              <w:left w:val="nil"/>
              <w:bottom w:val="single" w:sz="4" w:space="0" w:color="A5A5A5"/>
              <w:right w:val="single" w:sz="4" w:space="0" w:color="A5A5A5"/>
            </w:tcBorders>
            <w:shd w:val="clear" w:color="auto" w:fill="auto"/>
            <w:vAlign w:val="center"/>
            <w:hideMark/>
          </w:tcPr>
          <w:p w14:paraId="7C893F52" w14:textId="77777777" w:rsidR="005072A4" w:rsidRPr="005072A4" w:rsidRDefault="005072A4" w:rsidP="005072A4">
            <w:pPr>
              <w:pStyle w:val="ExhibitText"/>
              <w:jc w:val="center"/>
            </w:pPr>
            <w:r w:rsidRPr="005072A4">
              <w:t>2</w:t>
            </w:r>
          </w:p>
        </w:tc>
      </w:tr>
      <w:tr w:rsidR="005072A4" w:rsidRPr="005072A4" w14:paraId="093CAF1D" w14:textId="77777777" w:rsidTr="005072A4">
        <w:trPr>
          <w:trHeight w:val="405"/>
          <w:jc w:val="center"/>
        </w:trPr>
        <w:tc>
          <w:tcPr>
            <w:tcW w:w="1615" w:type="dxa"/>
            <w:tcBorders>
              <w:top w:val="nil"/>
              <w:left w:val="single" w:sz="4" w:space="0" w:color="A5A5A5"/>
              <w:bottom w:val="single" w:sz="4" w:space="0" w:color="A5A5A5"/>
              <w:right w:val="single" w:sz="4" w:space="0" w:color="3F3F3F"/>
            </w:tcBorders>
            <w:shd w:val="clear" w:color="auto" w:fill="auto"/>
            <w:vAlign w:val="center"/>
            <w:hideMark/>
          </w:tcPr>
          <w:p w14:paraId="4E9813F3" w14:textId="77777777" w:rsidR="005072A4" w:rsidRPr="005072A4" w:rsidRDefault="005072A4" w:rsidP="005072A4">
            <w:pPr>
              <w:pStyle w:val="ExhibitText"/>
              <w:rPr>
                <w:b/>
              </w:rPr>
            </w:pPr>
            <w:r w:rsidRPr="005072A4">
              <w:rPr>
                <w:b/>
              </w:rPr>
              <w:t>Physical</w:t>
            </w:r>
          </w:p>
        </w:tc>
        <w:tc>
          <w:tcPr>
            <w:tcW w:w="2520" w:type="dxa"/>
            <w:tcBorders>
              <w:top w:val="nil"/>
              <w:left w:val="nil"/>
              <w:bottom w:val="single" w:sz="4" w:space="0" w:color="A5A5A5"/>
              <w:right w:val="single" w:sz="4" w:space="0" w:color="A5A5A5"/>
            </w:tcBorders>
            <w:shd w:val="clear" w:color="auto" w:fill="auto"/>
            <w:vAlign w:val="center"/>
            <w:hideMark/>
          </w:tcPr>
          <w:p w14:paraId="3B423E86" w14:textId="77777777" w:rsidR="005072A4" w:rsidRPr="005072A4" w:rsidRDefault="005072A4" w:rsidP="005072A4">
            <w:pPr>
              <w:pStyle w:val="ExhibitText"/>
              <w:jc w:val="center"/>
            </w:pPr>
            <w:r w:rsidRPr="005072A4">
              <w:t>Survival</w:t>
            </w:r>
          </w:p>
        </w:tc>
        <w:tc>
          <w:tcPr>
            <w:tcW w:w="720" w:type="dxa"/>
            <w:tcBorders>
              <w:top w:val="nil"/>
              <w:left w:val="nil"/>
              <w:bottom w:val="single" w:sz="4" w:space="0" w:color="A5A5A5"/>
              <w:right w:val="single" w:sz="4" w:space="0" w:color="A5A5A5"/>
            </w:tcBorders>
            <w:shd w:val="clear" w:color="auto" w:fill="auto"/>
            <w:vAlign w:val="center"/>
            <w:hideMark/>
          </w:tcPr>
          <w:p w14:paraId="77656E12" w14:textId="77777777" w:rsidR="005072A4" w:rsidRPr="005072A4" w:rsidRDefault="005072A4" w:rsidP="005072A4">
            <w:pPr>
              <w:pStyle w:val="ExhibitText"/>
              <w:jc w:val="center"/>
            </w:pPr>
            <w:r w:rsidRPr="005072A4">
              <w:t>1</w:t>
            </w:r>
          </w:p>
        </w:tc>
      </w:tr>
    </w:tbl>
    <w:p w14:paraId="65D6B622" w14:textId="77777777" w:rsidR="00637424" w:rsidRPr="005072A4" w:rsidRDefault="00637424" w:rsidP="005072A4">
      <w:pPr>
        <w:rPr>
          <w:sz w:val="20"/>
          <w:szCs w:val="20"/>
          <w:highlight w:val="white"/>
        </w:rPr>
      </w:pPr>
    </w:p>
    <w:p w14:paraId="7916186E" w14:textId="11E524F7" w:rsidR="00C81BA9" w:rsidRPr="00483937" w:rsidRDefault="00C81BA9" w:rsidP="00C81BA9">
      <w:pPr>
        <w:pStyle w:val="Footnote"/>
        <w:rPr>
          <w:highlight w:val="white"/>
        </w:rPr>
      </w:pPr>
      <w:r w:rsidRPr="00483937">
        <w:rPr>
          <w:highlight w:val="white"/>
        </w:rPr>
        <w:t xml:space="preserve">Source: </w:t>
      </w:r>
      <w:bookmarkStart w:id="74" w:name="OLE_LINK78"/>
      <w:bookmarkStart w:id="75" w:name="OLE_LINK79"/>
      <w:r w:rsidR="004558A7">
        <w:t xml:space="preserve">“The Barrett Model,” Barrett Values Centre, accessed September 5, 2016, </w:t>
      </w:r>
      <w:r w:rsidR="004558A7" w:rsidRPr="004558A7">
        <w:t>www.valuescentre.com/mapping-values/barrett-model</w:t>
      </w:r>
      <w:bookmarkEnd w:id="74"/>
      <w:bookmarkEnd w:id="75"/>
      <w:r w:rsidRPr="00483937">
        <w:rPr>
          <w:rStyle w:val="Hyperlink"/>
          <w:color w:val="auto"/>
          <w:u w:val="none"/>
        </w:rPr>
        <w:t xml:space="preserve">. </w:t>
      </w:r>
    </w:p>
    <w:p w14:paraId="1DEBF052" w14:textId="43D3EFC8" w:rsidR="00177CB0" w:rsidRPr="0083757E" w:rsidRDefault="00177CB0" w:rsidP="0083757E">
      <w:pPr>
        <w:spacing w:after="200" w:line="276" w:lineRule="auto"/>
        <w:rPr>
          <w:rFonts w:ascii="Arial" w:hAnsi="Arial" w:cs="Arial"/>
          <w:b/>
          <w:caps/>
        </w:rPr>
      </w:pPr>
    </w:p>
    <w:sectPr w:rsidR="00177CB0" w:rsidRPr="0083757E"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3EB870" w16cid:durableId="1F3D1989"/>
  <w16cid:commentId w16cid:paraId="61B1AFFC" w16cid:durableId="1F3D1AA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78AE6" w14:textId="77777777" w:rsidR="00E40A1B" w:rsidRDefault="00E40A1B" w:rsidP="00D75295">
      <w:r>
        <w:separator/>
      </w:r>
    </w:p>
  </w:endnote>
  <w:endnote w:type="continuationSeparator" w:id="0">
    <w:p w14:paraId="6A253062" w14:textId="77777777" w:rsidR="00E40A1B" w:rsidRDefault="00E40A1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740FC" w14:textId="77777777" w:rsidR="00E40A1B" w:rsidRDefault="00E40A1B" w:rsidP="00D75295">
      <w:r>
        <w:separator/>
      </w:r>
    </w:p>
  </w:footnote>
  <w:footnote w:type="continuationSeparator" w:id="0">
    <w:p w14:paraId="25F6229A" w14:textId="77777777" w:rsidR="00E40A1B" w:rsidRDefault="00E40A1B" w:rsidP="00D75295">
      <w:r>
        <w:continuationSeparator/>
      </w:r>
    </w:p>
  </w:footnote>
  <w:footnote w:id="1">
    <w:p w14:paraId="59B4ADF5" w14:textId="75BF7787" w:rsidR="00E40A1B" w:rsidRDefault="00E40A1B" w:rsidP="00345FB4">
      <w:pPr>
        <w:pStyle w:val="Footnote"/>
      </w:pPr>
      <w:r>
        <w:rPr>
          <w:rStyle w:val="FootnoteReference"/>
        </w:rPr>
        <w:footnoteRef/>
      </w:r>
      <w:r>
        <w:t xml:space="preserve"> </w:t>
      </w:r>
      <w:r w:rsidRPr="00457211">
        <w:t xml:space="preserve">All </w:t>
      </w:r>
      <w:r w:rsidRPr="00457211" w:rsidDel="00933797">
        <w:t>currenc</w:t>
      </w:r>
      <w:r w:rsidDel="00933797">
        <w:t>y amounts</w:t>
      </w:r>
      <w:r w:rsidRPr="00457211" w:rsidDel="00933797">
        <w:t xml:space="preserve"> </w:t>
      </w:r>
      <w:r w:rsidRPr="00457211">
        <w:t>are in US</w:t>
      </w:r>
      <w:r>
        <w:t xml:space="preserve">$ </w:t>
      </w:r>
      <w:r w:rsidRPr="00457211">
        <w:t>unless ot</w:t>
      </w:r>
      <w:r>
        <w:t xml:space="preserve">herwise </w:t>
      </w:r>
      <w:r w:rsidDel="00933797">
        <w:t>specified</w:t>
      </w:r>
      <w:r>
        <w:t>.</w:t>
      </w:r>
    </w:p>
  </w:footnote>
  <w:footnote w:id="2">
    <w:p w14:paraId="737BB559" w14:textId="36A03A17" w:rsidR="00E40A1B" w:rsidRPr="00B10C63" w:rsidRDefault="00E40A1B" w:rsidP="00431F67">
      <w:pPr>
        <w:pStyle w:val="Footnote"/>
      </w:pPr>
      <w:r w:rsidRPr="00B10C63">
        <w:rPr>
          <w:rStyle w:val="FootnoteReference"/>
        </w:rPr>
        <w:footnoteRef/>
      </w:r>
      <w:r w:rsidRPr="00B10C63">
        <w:t xml:space="preserve"> </w:t>
      </w:r>
      <w:r w:rsidRPr="002351B5">
        <w:rPr>
          <w:highlight w:val="white"/>
        </w:rPr>
        <w:t>Gavan</w:t>
      </w:r>
      <w:r>
        <w:rPr>
          <w:highlight w:val="white"/>
        </w:rPr>
        <w:t xml:space="preserve"> </w:t>
      </w:r>
      <w:proofErr w:type="spellStart"/>
      <w:r w:rsidRPr="002351B5">
        <w:rPr>
          <w:highlight w:val="white"/>
        </w:rPr>
        <w:t>Blau</w:t>
      </w:r>
      <w:proofErr w:type="spellEnd"/>
      <w:r w:rsidRPr="002351B5">
        <w:rPr>
          <w:highlight w:val="white"/>
        </w:rPr>
        <w:t xml:space="preserve">, </w:t>
      </w:r>
      <w:r w:rsidRPr="00345FB4">
        <w:rPr>
          <w:i/>
          <w:highlight w:val="white"/>
        </w:rPr>
        <w:t>Management Consulting in the US: Market Research Report, no. 54161</w:t>
      </w:r>
      <w:r w:rsidRPr="002351B5">
        <w:rPr>
          <w:highlight w:val="white"/>
        </w:rPr>
        <w:t xml:space="preserve"> </w:t>
      </w:r>
      <w:r>
        <w:rPr>
          <w:highlight w:val="white"/>
        </w:rPr>
        <w:t>(</w:t>
      </w:r>
      <w:r w:rsidRPr="002351B5">
        <w:rPr>
          <w:highlight w:val="white"/>
        </w:rPr>
        <w:t>IBISWorld</w:t>
      </w:r>
      <w:r>
        <w:rPr>
          <w:highlight w:val="white"/>
        </w:rPr>
        <w:t xml:space="preserve">), accessed </w:t>
      </w:r>
      <w:r w:rsidRPr="00B10C63">
        <w:t xml:space="preserve">September 5, 2016. </w:t>
      </w:r>
    </w:p>
  </w:footnote>
  <w:footnote w:id="3">
    <w:p w14:paraId="6BE903AD" w14:textId="227739B5" w:rsidR="00E40A1B" w:rsidRPr="002351B5" w:rsidRDefault="00E40A1B" w:rsidP="00431F67">
      <w:pPr>
        <w:pStyle w:val="Footnote"/>
      </w:pPr>
      <w:r w:rsidRPr="00B10C63">
        <w:rPr>
          <w:rStyle w:val="FootnoteReference"/>
        </w:rPr>
        <w:footnoteRef/>
      </w:r>
      <w:r w:rsidRPr="00B10C63">
        <w:t xml:space="preserve"> Ibid. </w:t>
      </w:r>
    </w:p>
  </w:footnote>
  <w:footnote w:id="4">
    <w:p w14:paraId="3B914F3B" w14:textId="33A01FEC" w:rsidR="00E40A1B" w:rsidRPr="002351B5" w:rsidRDefault="00E40A1B" w:rsidP="00431F67">
      <w:pPr>
        <w:pStyle w:val="Footnote"/>
      </w:pPr>
      <w:r w:rsidRPr="002351B5">
        <w:rPr>
          <w:rStyle w:val="FootnoteReference"/>
        </w:rPr>
        <w:footnoteRef/>
      </w:r>
      <w:r w:rsidRPr="002351B5">
        <w:t xml:space="preserve"> </w:t>
      </w:r>
      <w:bookmarkStart w:id="10" w:name="OLE_LINK43"/>
      <w:bookmarkStart w:id="11" w:name="OLE_LINK44"/>
      <w:bookmarkStart w:id="12" w:name="OLE_LINK45"/>
      <w:bookmarkStart w:id="13" w:name="OLE_LINK46"/>
      <w:r>
        <w:t xml:space="preserve">“Services,” Slalom, </w:t>
      </w:r>
      <w:bookmarkEnd w:id="10"/>
      <w:bookmarkEnd w:id="11"/>
      <w:r w:rsidRPr="002351B5">
        <w:rPr>
          <w:highlight w:val="white"/>
        </w:rPr>
        <w:t>accessed December 28, 2015</w:t>
      </w:r>
      <w:r>
        <w:t xml:space="preserve">, </w:t>
      </w:r>
      <w:r w:rsidRPr="00C017A9">
        <w:t>www.slalom.com/</w:t>
      </w:r>
      <w:bookmarkEnd w:id="12"/>
      <w:bookmarkEnd w:id="13"/>
      <w:r>
        <w:t>services</w:t>
      </w:r>
      <w:r w:rsidRPr="002351B5">
        <w:rPr>
          <w:highlight w:val="white"/>
        </w:rPr>
        <w:t xml:space="preserve">. </w:t>
      </w:r>
    </w:p>
  </w:footnote>
  <w:footnote w:id="5">
    <w:p w14:paraId="179AE691" w14:textId="4DEA91FF" w:rsidR="00E40A1B" w:rsidRPr="002351B5" w:rsidRDefault="00E40A1B" w:rsidP="00431F67">
      <w:pPr>
        <w:pStyle w:val="Footnote"/>
      </w:pPr>
      <w:r w:rsidRPr="002351B5">
        <w:rPr>
          <w:rStyle w:val="FootnoteReference"/>
        </w:rPr>
        <w:footnoteRef/>
      </w:r>
      <w:r w:rsidRPr="002351B5">
        <w:t xml:space="preserve"> </w:t>
      </w:r>
      <w:bookmarkStart w:id="18" w:name="OLE_LINK56"/>
      <w:bookmarkStart w:id="19" w:name="OLE_LINK57"/>
      <w:r>
        <w:t xml:space="preserve">“Community Citizenship,” Centric Consulting, </w:t>
      </w:r>
      <w:r w:rsidRPr="002351B5">
        <w:t>accessed September 28, 2015</w:t>
      </w:r>
      <w:r>
        <w:t xml:space="preserve">, </w:t>
      </w:r>
      <w:r w:rsidRPr="00345FB4">
        <w:t>http://centricconsulting.com/about-us/community-citizenship</w:t>
      </w:r>
      <w:bookmarkEnd w:id="18"/>
      <w:bookmarkEnd w:id="19"/>
      <w:r w:rsidRPr="002351B5">
        <w:t xml:space="preserve">. </w:t>
      </w:r>
    </w:p>
  </w:footnote>
  <w:footnote w:id="6">
    <w:p w14:paraId="2C8C0166" w14:textId="1C82B19E" w:rsidR="00E40A1B" w:rsidRPr="002351B5" w:rsidRDefault="00E40A1B" w:rsidP="00A97577">
      <w:pPr>
        <w:pStyle w:val="Footnote"/>
      </w:pPr>
      <w:r w:rsidRPr="002351B5">
        <w:rPr>
          <w:rStyle w:val="FootnoteReference"/>
        </w:rPr>
        <w:footnoteRef/>
      </w:r>
      <w:r w:rsidRPr="002351B5">
        <w:t xml:space="preserve"> </w:t>
      </w:r>
      <w:bookmarkStart w:id="20" w:name="OLE_LINK58"/>
      <w:r>
        <w:t xml:space="preserve">“Deloitte University,” Deloitte, </w:t>
      </w:r>
      <w:r w:rsidRPr="002351B5">
        <w:t>accessed September 28, 2015</w:t>
      </w:r>
      <w:r>
        <w:t xml:space="preserve">, </w:t>
      </w:r>
      <w:r w:rsidRPr="00345FB4">
        <w:t>www2.deloitte.com/us/en/pages/about-deloitte/topics/deloitte-university.html</w:t>
      </w:r>
      <w:bookmarkEnd w:id="20"/>
      <w:r w:rsidRPr="002351B5">
        <w:t>.</w:t>
      </w:r>
    </w:p>
  </w:footnote>
  <w:footnote w:id="7">
    <w:p w14:paraId="121E6CCA" w14:textId="09F709BD" w:rsidR="00E40A1B" w:rsidRPr="002351B5" w:rsidRDefault="00E40A1B" w:rsidP="00A97577">
      <w:pPr>
        <w:pStyle w:val="Footnote"/>
      </w:pPr>
      <w:r w:rsidRPr="002351B5">
        <w:rPr>
          <w:rStyle w:val="FootnoteReference"/>
        </w:rPr>
        <w:footnoteRef/>
      </w:r>
      <w:r w:rsidRPr="002351B5">
        <w:t xml:space="preserve"> </w:t>
      </w:r>
      <w:bookmarkStart w:id="21" w:name="OLE_LINK59"/>
      <w:bookmarkStart w:id="22" w:name="OLE_LINK60"/>
      <w:r>
        <w:t xml:space="preserve">“Global Training,” Bain &amp; Company, </w:t>
      </w:r>
      <w:r w:rsidRPr="002351B5">
        <w:t>accessed November 11, 2015</w:t>
      </w:r>
      <w:r>
        <w:t xml:space="preserve">, </w:t>
      </w:r>
      <w:r w:rsidRPr="00345FB4">
        <w:t>www.joinbain.com/your-bain-career/global-training/default.asp</w:t>
      </w:r>
      <w:bookmarkEnd w:id="21"/>
      <w:bookmarkEnd w:id="22"/>
      <w:r w:rsidRPr="002351B5">
        <w:t xml:space="preserve">. </w:t>
      </w:r>
    </w:p>
  </w:footnote>
  <w:footnote w:id="8">
    <w:p w14:paraId="20EA8E8F" w14:textId="0EC6A96F" w:rsidR="00E40A1B" w:rsidRPr="00A97577" w:rsidRDefault="00E40A1B" w:rsidP="00A97577">
      <w:pPr>
        <w:pStyle w:val="Footnote"/>
        <w:rPr>
          <w:rFonts w:eastAsiaTheme="minorEastAsia"/>
          <w:color w:val="000000" w:themeColor="text1"/>
        </w:rPr>
      </w:pPr>
      <w:r w:rsidRPr="002351B5">
        <w:rPr>
          <w:rStyle w:val="FootnoteReference"/>
        </w:rPr>
        <w:footnoteRef/>
      </w:r>
      <w:r w:rsidRPr="002351B5">
        <w:rPr>
          <w:rStyle w:val="Hyperlink"/>
          <w:rFonts w:eastAsiaTheme="minorEastAsia"/>
          <w:color w:val="auto"/>
          <w:u w:val="none"/>
        </w:rPr>
        <w:t xml:space="preserve"> </w:t>
      </w:r>
      <w:bookmarkStart w:id="23" w:name="OLE_LINK63"/>
      <w:bookmarkStart w:id="24" w:name="OLE_LINK64"/>
      <w:r>
        <w:t xml:space="preserve">“Careers: Your Growth at McKinsey,” McKinsey &amp; Company, </w:t>
      </w:r>
      <w:r w:rsidRPr="002351B5">
        <w:t>accessed November 11, 2015</w:t>
      </w:r>
      <w:r>
        <w:t xml:space="preserve">, </w:t>
      </w:r>
      <w:r w:rsidRPr="00121A37">
        <w:t>https://www.mckinsey.com/ph/careers/your-growth-at-mckinsey</w:t>
      </w:r>
      <w:r>
        <w:t xml:space="preserve">; </w:t>
      </w:r>
      <w:r>
        <w:rPr>
          <w:rStyle w:val="Hyperlink"/>
          <w:rFonts w:eastAsiaTheme="minorEastAsia"/>
          <w:color w:val="auto"/>
          <w:u w:val="none"/>
        </w:rPr>
        <w:t>Tony Sheng, “</w:t>
      </w:r>
      <w:r w:rsidRPr="00D71856">
        <w:rPr>
          <w:rStyle w:val="Hyperlink"/>
          <w:rFonts w:eastAsiaTheme="minorEastAsia"/>
          <w:color w:val="auto"/>
          <w:u w:val="none"/>
        </w:rPr>
        <w:t xml:space="preserve">What Is the New Hire Training Process Like at Management </w:t>
      </w:r>
      <w:r w:rsidRPr="00A97577">
        <w:rPr>
          <w:rStyle w:val="Hyperlink"/>
          <w:rFonts w:eastAsiaTheme="minorEastAsia"/>
          <w:color w:val="000000" w:themeColor="text1"/>
          <w:u w:val="none"/>
        </w:rPr>
        <w:t>Consulting Firms</w:t>
      </w:r>
      <w:proofErr w:type="gramStart"/>
      <w:r w:rsidRPr="00A97577">
        <w:rPr>
          <w:rStyle w:val="Hyperlink"/>
          <w:rFonts w:eastAsiaTheme="minorEastAsia"/>
          <w:color w:val="000000" w:themeColor="text1"/>
          <w:u w:val="none"/>
        </w:rPr>
        <w:t>?,</w:t>
      </w:r>
      <w:proofErr w:type="gramEnd"/>
      <w:r w:rsidRPr="00A97577">
        <w:rPr>
          <w:rStyle w:val="Hyperlink"/>
          <w:rFonts w:eastAsiaTheme="minorEastAsia"/>
          <w:color w:val="000000" w:themeColor="text1"/>
          <w:u w:val="none"/>
        </w:rPr>
        <w:t xml:space="preserve">” </w:t>
      </w:r>
      <w:proofErr w:type="spellStart"/>
      <w:r w:rsidRPr="00A97577">
        <w:rPr>
          <w:rStyle w:val="Hyperlink"/>
          <w:rFonts w:eastAsiaTheme="minorEastAsia"/>
          <w:color w:val="000000" w:themeColor="text1"/>
          <w:u w:val="none"/>
        </w:rPr>
        <w:t>Quora</w:t>
      </w:r>
      <w:proofErr w:type="spellEnd"/>
      <w:r w:rsidRPr="00A97577">
        <w:rPr>
          <w:rStyle w:val="Hyperlink"/>
          <w:rFonts w:eastAsiaTheme="minorEastAsia"/>
          <w:color w:val="000000" w:themeColor="text1"/>
          <w:u w:val="none"/>
        </w:rPr>
        <w:t xml:space="preserve"> (social media forum), December 23, 2012, </w:t>
      </w:r>
      <w:r w:rsidRPr="00A97577">
        <w:rPr>
          <w:color w:val="000000" w:themeColor="text1"/>
        </w:rPr>
        <w:t xml:space="preserve">accessed November 11, 2015, </w:t>
      </w:r>
      <w:r w:rsidRPr="00A97577">
        <w:rPr>
          <w:rFonts w:eastAsiaTheme="minorEastAsia"/>
          <w:color w:val="000000" w:themeColor="text1"/>
        </w:rPr>
        <w:t>www.quora.com/What-is-the-new-hire-training-process-like-at-management-consulting-firms</w:t>
      </w:r>
      <w:bookmarkEnd w:id="23"/>
      <w:bookmarkEnd w:id="24"/>
      <w:r w:rsidRPr="00A97577">
        <w:rPr>
          <w:color w:val="000000" w:themeColor="text1"/>
        </w:rPr>
        <w:t>.</w:t>
      </w:r>
    </w:p>
  </w:footnote>
  <w:footnote w:id="9">
    <w:p w14:paraId="138D6B82" w14:textId="77777777" w:rsidR="00E40A1B" w:rsidRPr="00A97577" w:rsidRDefault="00E40A1B" w:rsidP="00A97577">
      <w:pPr>
        <w:pStyle w:val="Footnote"/>
        <w:rPr>
          <w:color w:val="000000" w:themeColor="text1"/>
        </w:rPr>
      </w:pPr>
      <w:r w:rsidRPr="00A97577">
        <w:rPr>
          <w:rStyle w:val="FootnoteReference"/>
          <w:color w:val="000000" w:themeColor="text1"/>
        </w:rPr>
        <w:footnoteRef/>
      </w:r>
      <w:r w:rsidRPr="00A97577">
        <w:rPr>
          <w:color w:val="000000" w:themeColor="text1"/>
        </w:rPr>
        <w:t xml:space="preserve"> “Our Story,” Slalom, </w:t>
      </w:r>
      <w:r w:rsidRPr="00A97577">
        <w:rPr>
          <w:color w:val="000000" w:themeColor="text1"/>
          <w:highlight w:val="white"/>
        </w:rPr>
        <w:t>accessed</w:t>
      </w:r>
      <w:r w:rsidRPr="00A97577">
        <w:rPr>
          <w:color w:val="000000" w:themeColor="text1"/>
          <w:highlight w:val="white"/>
          <w:shd w:val="clear" w:color="auto" w:fill="000000" w:themeFill="text1"/>
        </w:rPr>
        <w:t xml:space="preserve"> December 28, 2015</w:t>
      </w:r>
      <w:r w:rsidRPr="00A97577">
        <w:rPr>
          <w:color w:val="000000" w:themeColor="text1"/>
        </w:rPr>
        <w:t>, www.slalom.com/about/our-story</w:t>
      </w:r>
      <w:r w:rsidRPr="00A97577">
        <w:rPr>
          <w:color w:val="000000" w:themeColor="text1"/>
          <w:highlight w:val="white"/>
        </w:rPr>
        <w:t xml:space="preserve">. </w:t>
      </w:r>
    </w:p>
  </w:footnote>
  <w:footnote w:id="10">
    <w:p w14:paraId="3A1391B0" w14:textId="22B7F2A6" w:rsidR="00E40A1B" w:rsidRPr="00A97577" w:rsidRDefault="00E40A1B" w:rsidP="00A97577">
      <w:pPr>
        <w:pStyle w:val="Footnote"/>
        <w:rPr>
          <w:color w:val="000000" w:themeColor="text1"/>
        </w:rPr>
      </w:pPr>
      <w:r w:rsidRPr="00A97577">
        <w:rPr>
          <w:rStyle w:val="FootnoteReference"/>
          <w:color w:val="000000" w:themeColor="text1"/>
        </w:rPr>
        <w:footnoteRef/>
      </w:r>
      <w:r w:rsidRPr="00A97577">
        <w:rPr>
          <w:color w:val="000000" w:themeColor="text1"/>
        </w:rPr>
        <w:t xml:space="preserve"> “</w:t>
      </w:r>
      <w:r w:rsidRPr="00A97577">
        <w:rPr>
          <w:color w:val="000000" w:themeColor="text1"/>
          <w:lang w:val="en-US"/>
        </w:rPr>
        <w:t xml:space="preserve">Glassdoor's Top 25 Most Difficult Companies to Interview (2013),” Glassdoor, August 9, 2013, </w:t>
      </w:r>
      <w:r w:rsidRPr="00A97577">
        <w:rPr>
          <w:color w:val="000000" w:themeColor="text1"/>
        </w:rPr>
        <w:t xml:space="preserve">accessed September 28, 2015, www.glassdoor.com/blog/glassdoors-top-25-difficult-companies-interview-2013. </w:t>
      </w:r>
    </w:p>
  </w:footnote>
  <w:footnote w:id="11">
    <w:p w14:paraId="668A3F92" w14:textId="7897AC27" w:rsidR="00E40A1B" w:rsidRPr="00A97577" w:rsidRDefault="00E40A1B" w:rsidP="00A97577">
      <w:pPr>
        <w:pStyle w:val="Footnote"/>
        <w:rPr>
          <w:color w:val="000000" w:themeColor="text1"/>
          <w:highlight w:val="white"/>
        </w:rPr>
      </w:pPr>
      <w:r w:rsidRPr="00A97577">
        <w:rPr>
          <w:rStyle w:val="FootnoteReference"/>
          <w:color w:val="000000" w:themeColor="text1"/>
        </w:rPr>
        <w:footnoteRef/>
      </w:r>
      <w:r w:rsidRPr="00A97577">
        <w:rPr>
          <w:color w:val="000000" w:themeColor="text1"/>
        </w:rPr>
        <w:t xml:space="preserve"> Deloitte, “Executive Summary” in </w:t>
      </w:r>
      <w:r w:rsidRPr="00A97577">
        <w:rPr>
          <w:i/>
          <w:color w:val="000000" w:themeColor="text1"/>
          <w:highlight w:val="white"/>
          <w:shd w:val="clear" w:color="auto" w:fill="000000" w:themeFill="text1"/>
        </w:rPr>
        <w:t>Mind the Gaps: The 2015 Deloitte Millennial Survey</w:t>
      </w:r>
      <w:r w:rsidRPr="00A97577">
        <w:rPr>
          <w:color w:val="000000" w:themeColor="text1"/>
          <w:highlight w:val="white"/>
          <w:shd w:val="clear" w:color="auto" w:fill="000000" w:themeFill="text1"/>
        </w:rPr>
        <w:t>, 2015, accessed September 5, 2016</w:t>
      </w:r>
      <w:r w:rsidRPr="00A97577">
        <w:rPr>
          <w:color w:val="000000" w:themeColor="text1"/>
          <w:highlight w:val="white"/>
        </w:rPr>
        <w:t xml:space="preserve">, </w:t>
      </w:r>
      <w:r w:rsidRPr="00A97577">
        <w:rPr>
          <w:color w:val="000000" w:themeColor="text1"/>
        </w:rPr>
        <w:t>www2.deloitte.com/content/dam/Deloitte/global/Documents/About-Deloitt</w:t>
      </w:r>
      <w:r>
        <w:rPr>
          <w:color w:val="000000" w:themeColor="text1"/>
        </w:rPr>
        <w:t xml:space="preserve">e/gx-wef-2015-millennial-survey </w:t>
      </w:r>
      <w:r w:rsidRPr="00A97577">
        <w:rPr>
          <w:color w:val="000000" w:themeColor="text1"/>
        </w:rPr>
        <w:t>executivesummary.pdf.</w:t>
      </w:r>
    </w:p>
  </w:footnote>
  <w:footnote w:id="12">
    <w:p w14:paraId="7D99548F" w14:textId="185BECFA" w:rsidR="00E40A1B" w:rsidRPr="00A97577" w:rsidRDefault="00E40A1B" w:rsidP="00A97577">
      <w:pPr>
        <w:pStyle w:val="Footnote"/>
        <w:rPr>
          <w:color w:val="000000" w:themeColor="text1"/>
        </w:rPr>
      </w:pPr>
      <w:r w:rsidRPr="00A97577">
        <w:rPr>
          <w:rStyle w:val="FootnoteReference"/>
          <w:color w:val="000000" w:themeColor="text1"/>
        </w:rPr>
        <w:footnoteRef/>
      </w:r>
      <w:r w:rsidRPr="00A97577">
        <w:rPr>
          <w:color w:val="000000" w:themeColor="text1"/>
        </w:rPr>
        <w:t xml:space="preserve"> Deloitte, op. cit., 13. </w:t>
      </w:r>
    </w:p>
  </w:footnote>
  <w:footnote w:id="13">
    <w:p w14:paraId="7E4DE2DD" w14:textId="17A0674B" w:rsidR="00E40A1B" w:rsidRPr="00345FB4" w:rsidRDefault="00E40A1B" w:rsidP="00A97577">
      <w:pPr>
        <w:pStyle w:val="Footnote"/>
        <w:rPr>
          <w:lang w:val="en-US"/>
        </w:rPr>
      </w:pPr>
      <w:r w:rsidRPr="00A97577">
        <w:rPr>
          <w:rStyle w:val="FootnoteReference"/>
          <w:color w:val="000000" w:themeColor="text1"/>
        </w:rPr>
        <w:footnoteRef/>
      </w:r>
      <w:r w:rsidRPr="00A97577">
        <w:rPr>
          <w:color w:val="000000" w:themeColor="text1"/>
        </w:rPr>
        <w:t xml:space="preserve"> </w:t>
      </w:r>
      <w:bookmarkStart w:id="31" w:name="OLE_LINK12"/>
      <w:bookmarkStart w:id="32" w:name="OLE_LINK13"/>
      <w:bookmarkStart w:id="33" w:name="OLE_LINK87"/>
      <w:r w:rsidRPr="00A97577">
        <w:rPr>
          <w:color w:val="000000" w:themeColor="text1"/>
        </w:rPr>
        <w:t xml:space="preserve">J. David Creswell, Laura E. </w:t>
      </w:r>
      <w:proofErr w:type="spellStart"/>
      <w:r w:rsidRPr="00A97577">
        <w:rPr>
          <w:color w:val="000000" w:themeColor="text1"/>
        </w:rPr>
        <w:t>Pacilio</w:t>
      </w:r>
      <w:proofErr w:type="spellEnd"/>
      <w:r w:rsidRPr="00A97577">
        <w:rPr>
          <w:color w:val="000000" w:themeColor="text1"/>
        </w:rPr>
        <w:t xml:space="preserve">, Emily K. Lindsay, and Kirk Warren Brown, “Brief Mindfulness Meditation Training Alters Psychological and Neuroendocrine Responses to Social Evaluative Stress,” </w:t>
      </w:r>
      <w:proofErr w:type="spellStart"/>
      <w:r w:rsidRPr="00A97577">
        <w:rPr>
          <w:i/>
          <w:color w:val="000000" w:themeColor="text1"/>
        </w:rPr>
        <w:t>Psychoneuroendocrinology</w:t>
      </w:r>
      <w:proofErr w:type="spellEnd"/>
      <w:r w:rsidRPr="00A97577">
        <w:rPr>
          <w:color w:val="000000" w:themeColor="text1"/>
        </w:rPr>
        <w:t xml:space="preserve"> 44 (2014): 1–12, as reported in Alice G. Walton, “</w:t>
      </w:r>
      <w:r w:rsidRPr="00A97577">
        <w:rPr>
          <w:color w:val="000000" w:themeColor="text1"/>
          <w:lang w:val="en-US"/>
        </w:rPr>
        <w:t xml:space="preserve">Just A Few </w:t>
      </w:r>
      <w:r w:rsidRPr="00D71856">
        <w:rPr>
          <w:lang w:val="en-US"/>
        </w:rPr>
        <w:t>Minutes Of Meditation May Reduce Stress, Study Finds</w:t>
      </w:r>
      <w:r>
        <w:rPr>
          <w:lang w:val="en-US"/>
        </w:rPr>
        <w:t xml:space="preserve">,” </w:t>
      </w:r>
      <w:r w:rsidRPr="00345FB4">
        <w:rPr>
          <w:i/>
          <w:lang w:val="en-US"/>
        </w:rPr>
        <w:t>Forbes</w:t>
      </w:r>
      <w:r>
        <w:rPr>
          <w:lang w:val="en-US"/>
        </w:rPr>
        <w:t>, July 3, 2014, accessed September 5, 2016,</w:t>
      </w:r>
      <w:bookmarkStart w:id="34" w:name="OLE_LINK66"/>
      <w:bookmarkStart w:id="35" w:name="OLE_LINK67"/>
      <w:r>
        <w:rPr>
          <w:lang w:val="en-US"/>
        </w:rPr>
        <w:t xml:space="preserve"> </w:t>
      </w:r>
      <w:r w:rsidRPr="00345FB4">
        <w:t>www.forbes.com/sites/alicegwalton/2014/07/03/just-a-few-minutes-of-mindfulness-meditation-may-reduce-stress</w:t>
      </w:r>
      <w:bookmarkEnd w:id="31"/>
      <w:bookmarkEnd w:id="32"/>
      <w:bookmarkEnd w:id="33"/>
      <w:bookmarkEnd w:id="34"/>
      <w:bookmarkEnd w:id="35"/>
      <w:r>
        <w:t>.</w:t>
      </w:r>
    </w:p>
  </w:footnote>
  <w:footnote w:id="14">
    <w:p w14:paraId="0D052E4D" w14:textId="69E66BE4" w:rsidR="00E40A1B" w:rsidRPr="002351B5" w:rsidRDefault="00E40A1B" w:rsidP="00431F67">
      <w:pPr>
        <w:pStyle w:val="Footnote"/>
        <w:rPr>
          <w:i/>
        </w:rPr>
      </w:pPr>
      <w:r w:rsidRPr="002351B5">
        <w:rPr>
          <w:rStyle w:val="FootnoteReference"/>
        </w:rPr>
        <w:footnoteRef/>
      </w:r>
      <w:r w:rsidRPr="002351B5">
        <w:t xml:space="preserve"> </w:t>
      </w:r>
      <w:bookmarkStart w:id="38" w:name="OLE_LINK68"/>
      <w:bookmarkStart w:id="39" w:name="OLE_LINK69"/>
      <w:bookmarkStart w:id="40" w:name="OLE_LINK88"/>
      <w:r>
        <w:t>Alice G. Walton, “‘</w:t>
      </w:r>
      <w:r w:rsidRPr="00EE5532">
        <w:t>60 Minutes' Explores the Rise of Mindfulness, from Google to Congress</w:t>
      </w:r>
      <w:r>
        <w:t xml:space="preserve">,” </w:t>
      </w:r>
      <w:r w:rsidRPr="00345FB4">
        <w:rPr>
          <w:i/>
        </w:rPr>
        <w:t>Forbes</w:t>
      </w:r>
      <w:r>
        <w:t xml:space="preserve">, December 14, 2014, accessed September 5, 2016, </w:t>
      </w:r>
      <w:r w:rsidRPr="00345FB4">
        <w:t>www.forbes.com/sites/alicegwalton/2014/12/14/60-minutes-explores-the-rise-of-mindfulness-meditation-and-how-it-can-change-the-brain</w:t>
      </w:r>
      <w:bookmarkEnd w:id="38"/>
      <w:bookmarkEnd w:id="39"/>
      <w:bookmarkEnd w:id="40"/>
      <w:r>
        <w:t>.</w:t>
      </w:r>
    </w:p>
  </w:footnote>
  <w:footnote w:id="15">
    <w:p w14:paraId="1ACDF6BF" w14:textId="26710E49" w:rsidR="00E40A1B" w:rsidRPr="002351B5" w:rsidRDefault="00E40A1B" w:rsidP="00431F67">
      <w:pPr>
        <w:pStyle w:val="Footnote"/>
        <w:rPr>
          <w:i/>
        </w:rPr>
      </w:pPr>
      <w:r w:rsidRPr="002351B5">
        <w:rPr>
          <w:rStyle w:val="FootnoteReference"/>
        </w:rPr>
        <w:footnoteRef/>
      </w:r>
      <w:r w:rsidRPr="002351B5">
        <w:t xml:space="preserve"> </w:t>
      </w:r>
      <w:bookmarkStart w:id="41" w:name="OLE_LINK89"/>
      <w:bookmarkStart w:id="42" w:name="OLE_LINK90"/>
      <w:bookmarkStart w:id="43" w:name="OLE_LINK95"/>
      <w:bookmarkStart w:id="44" w:name="OLE_LINK70"/>
      <w:bookmarkStart w:id="45" w:name="OLE_LINK71"/>
      <w:r>
        <w:t>Aetna, “</w:t>
      </w:r>
      <w:r>
        <w:rPr>
          <w:lang w:val="en-US"/>
        </w:rPr>
        <w:t>Aetna Delivers Evidence-Based Mind–</w:t>
      </w:r>
      <w:r w:rsidRPr="00E32CE9">
        <w:rPr>
          <w:lang w:val="en-US"/>
        </w:rPr>
        <w:t>Body Stress Management Programs</w:t>
      </w:r>
      <w:r>
        <w:rPr>
          <w:lang w:val="en-US"/>
        </w:rPr>
        <w:t xml:space="preserve">,” press release, February 23, 2012, </w:t>
      </w:r>
      <w:r w:rsidRPr="002351B5">
        <w:t>accessed November 11, 2015</w:t>
      </w:r>
      <w:r>
        <w:t xml:space="preserve">, </w:t>
      </w:r>
      <w:r w:rsidRPr="00E32CE9">
        <w:t>https://news.aetna.com/news-releases/aetna-delivers-evidence-based-mind-body-stress-management-programs</w:t>
      </w:r>
      <w:bookmarkEnd w:id="41"/>
      <w:bookmarkEnd w:id="42"/>
      <w:bookmarkEnd w:id="43"/>
      <w:bookmarkEnd w:id="44"/>
      <w:bookmarkEnd w:id="45"/>
      <w:r w:rsidRPr="002351B5">
        <w:t>.</w:t>
      </w:r>
    </w:p>
  </w:footnote>
  <w:footnote w:id="16">
    <w:p w14:paraId="6A7FCEC2" w14:textId="604D2CB9" w:rsidR="00E40A1B" w:rsidRPr="002351B5" w:rsidRDefault="00E40A1B" w:rsidP="00431F67">
      <w:pPr>
        <w:pStyle w:val="Footnote"/>
        <w:rPr>
          <w:i/>
        </w:rPr>
      </w:pPr>
      <w:r w:rsidRPr="002351B5">
        <w:rPr>
          <w:rStyle w:val="FootnoteReference"/>
        </w:rPr>
        <w:footnoteRef/>
      </w:r>
      <w:r w:rsidRPr="002351B5">
        <w:t xml:space="preserve"> </w:t>
      </w:r>
      <w:bookmarkStart w:id="46" w:name="OLE_LINK72"/>
      <w:bookmarkStart w:id="47" w:name="OLE_LINK73"/>
      <w:bookmarkStart w:id="48" w:name="OLE_LINK91"/>
      <w:bookmarkStart w:id="49" w:name="OLE_LINK96"/>
      <w:r>
        <w:t>“</w:t>
      </w:r>
      <w:r w:rsidRPr="00E32CE9">
        <w:t>How Aetna CEO Brings Health and Healing to Workplace</w:t>
      </w:r>
      <w:r>
        <w:t xml:space="preserve">,” CBS This Morning, Mary 26, 2015, </w:t>
      </w:r>
      <w:r w:rsidRPr="002351B5">
        <w:t>accessed November 11, 2015</w:t>
      </w:r>
      <w:r>
        <w:t xml:space="preserve">, </w:t>
      </w:r>
      <w:r w:rsidRPr="00345FB4">
        <w:t>www.cbsnews.com/news/aetna-ceo-mark-bertolini-healthy-workplace-healing-meditation-yoga</w:t>
      </w:r>
      <w:bookmarkEnd w:id="46"/>
      <w:bookmarkEnd w:id="47"/>
      <w:bookmarkEnd w:id="48"/>
      <w:bookmarkEnd w:id="49"/>
      <w:r w:rsidRPr="002351B5">
        <w:t>.</w:t>
      </w:r>
    </w:p>
  </w:footnote>
  <w:footnote w:id="17">
    <w:p w14:paraId="75C22068" w14:textId="1CCC7AE3" w:rsidR="00E40A1B" w:rsidRPr="00B10C63" w:rsidRDefault="00E40A1B" w:rsidP="005A4B33">
      <w:pPr>
        <w:pStyle w:val="Footnote"/>
        <w:rPr>
          <w:i/>
        </w:rPr>
      </w:pPr>
      <w:r w:rsidRPr="002351B5">
        <w:rPr>
          <w:rStyle w:val="FootnoteReference"/>
        </w:rPr>
        <w:footnoteRef/>
      </w:r>
      <w:r w:rsidRPr="002351B5">
        <w:t xml:space="preserve"> Chris Laszlo and </w:t>
      </w:r>
      <w:r>
        <w:t xml:space="preserve">Judy Brown, </w:t>
      </w:r>
      <w:r>
        <w:rPr>
          <w:i/>
        </w:rPr>
        <w:t xml:space="preserve">Flourishing Enterprise: The New Spirit of Business </w:t>
      </w:r>
      <w:r w:rsidRPr="00FA1174">
        <w:t>(Stanford, CA:</w:t>
      </w:r>
      <w:r>
        <w:rPr>
          <w:i/>
        </w:rPr>
        <w:t xml:space="preserve"> </w:t>
      </w:r>
      <w:r>
        <w:t xml:space="preserve">Stanford University Press, 2014), 117–120; “The Barrett Model,” Barrett Values Centre, accessed September 5, 2016, </w:t>
      </w:r>
      <w:r w:rsidRPr="004558A7">
        <w:t>www.valuescentre.com/mapping-values/barrett-</w:t>
      </w:r>
      <w:r w:rsidRPr="00B10C63">
        <w:t>model.</w:t>
      </w:r>
      <w:r w:rsidRPr="00B10C63">
        <w:rPr>
          <w:rStyle w:val="Hyperlink"/>
          <w:color w:val="auto"/>
          <w:u w:val="none"/>
        </w:rPr>
        <w:t xml:space="preserve"> </w:t>
      </w:r>
    </w:p>
  </w:footnote>
  <w:footnote w:id="18">
    <w:p w14:paraId="5F4B9DC4" w14:textId="02C628D2" w:rsidR="00E40A1B" w:rsidRPr="00B10C63" w:rsidRDefault="00E40A1B" w:rsidP="00431F67">
      <w:pPr>
        <w:pStyle w:val="Footnote"/>
        <w:rPr>
          <w:i/>
        </w:rPr>
      </w:pPr>
      <w:r w:rsidRPr="00B10C63">
        <w:rPr>
          <w:rStyle w:val="FootnoteReference"/>
        </w:rPr>
        <w:footnoteRef/>
      </w:r>
      <w:r w:rsidRPr="00B10C63">
        <w:t xml:space="preserve"> </w:t>
      </w:r>
      <w:bookmarkStart w:id="54" w:name="OLE_LINK112"/>
      <w:bookmarkStart w:id="55" w:name="OLE_LINK113"/>
      <w:bookmarkStart w:id="56" w:name="OLE_LINK92"/>
      <w:r w:rsidRPr="00B10C63">
        <w:t xml:space="preserve">Ibid. </w:t>
      </w:r>
      <w:bookmarkEnd w:id="54"/>
      <w:bookmarkEnd w:id="55"/>
      <w:bookmarkEnd w:id="56"/>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12C1F" w14:textId="738459AC" w:rsidR="00E40A1B" w:rsidRPr="00042F9D" w:rsidRDefault="00E40A1B" w:rsidP="006A58A9">
    <w:pPr>
      <w:pBdr>
        <w:bottom w:val="single" w:sz="18" w:space="1" w:color="auto"/>
      </w:pBdr>
      <w:tabs>
        <w:tab w:val="left" w:pos="-1440"/>
        <w:tab w:val="left" w:pos="-720"/>
        <w:tab w:val="right" w:pos="9360"/>
        <w:tab w:val="right" w:pos="10800"/>
      </w:tabs>
      <w:rPr>
        <w:rFonts w:ascii="Arial" w:hAnsi="Arial"/>
        <w:sz w:val="20"/>
      </w:rPr>
    </w:pPr>
    <w:r w:rsidRPr="00042F9D">
      <w:rPr>
        <w:rFonts w:ascii="Arial" w:hAnsi="Arial"/>
        <w:b/>
        <w:sz w:val="20"/>
      </w:rPr>
      <w:t xml:space="preserve">Page </w:t>
    </w:r>
    <w:r w:rsidRPr="00042F9D">
      <w:rPr>
        <w:rFonts w:ascii="Arial" w:hAnsi="Arial"/>
        <w:b/>
        <w:sz w:val="20"/>
      </w:rPr>
      <w:fldChar w:fldCharType="begin"/>
    </w:r>
    <w:r w:rsidRPr="00042F9D">
      <w:rPr>
        <w:rFonts w:ascii="Arial" w:hAnsi="Arial"/>
        <w:b/>
        <w:sz w:val="20"/>
      </w:rPr>
      <w:instrText>PAGE</w:instrText>
    </w:r>
    <w:r w:rsidRPr="00042F9D">
      <w:rPr>
        <w:rFonts w:ascii="Arial" w:hAnsi="Arial"/>
        <w:b/>
        <w:sz w:val="20"/>
      </w:rPr>
      <w:fldChar w:fldCharType="separate"/>
    </w:r>
    <w:r w:rsidR="00C66696">
      <w:rPr>
        <w:rFonts w:ascii="Arial" w:hAnsi="Arial"/>
        <w:b/>
        <w:noProof/>
        <w:sz w:val="20"/>
      </w:rPr>
      <w:t>13</w:t>
    </w:r>
    <w:r w:rsidRPr="00042F9D">
      <w:rPr>
        <w:rFonts w:ascii="Arial" w:hAnsi="Arial"/>
        <w:b/>
        <w:sz w:val="20"/>
      </w:rPr>
      <w:fldChar w:fldCharType="end"/>
    </w:r>
    <w:r w:rsidRPr="00042F9D">
      <w:rPr>
        <w:rFonts w:ascii="Arial" w:hAnsi="Arial"/>
        <w:b/>
        <w:sz w:val="20"/>
      </w:rPr>
      <w:tab/>
      <w:t>9B18C033</w:t>
    </w:r>
  </w:p>
  <w:p w14:paraId="0D765C7F" w14:textId="77777777" w:rsidR="00E40A1B" w:rsidRPr="00C92CC4" w:rsidRDefault="00E40A1B">
    <w:pPr>
      <w:pStyle w:val="Header"/>
      <w:rPr>
        <w:sz w:val="18"/>
        <w:szCs w:val="18"/>
      </w:rPr>
    </w:pPr>
  </w:p>
  <w:p w14:paraId="10C72AF3" w14:textId="77777777" w:rsidR="00E40A1B" w:rsidRPr="00C92CC4" w:rsidRDefault="00E40A1B">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A6E62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57AEBD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D9874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EF8DCC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0EC476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A343D8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5F0FA6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95209B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200B65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C68DD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6EC20B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C150FD"/>
    <w:multiLevelType w:val="multilevel"/>
    <w:tmpl w:val="817AA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D537A9"/>
    <w:multiLevelType w:val="hybridMultilevel"/>
    <w:tmpl w:val="FC3C4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C76516"/>
    <w:multiLevelType w:val="hybridMultilevel"/>
    <w:tmpl w:val="A40255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5A8620B"/>
    <w:multiLevelType w:val="hybridMultilevel"/>
    <w:tmpl w:val="1248D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5BFD466C"/>
    <w:multiLevelType w:val="hybridMultilevel"/>
    <w:tmpl w:val="6BCCE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650E28BA"/>
    <w:multiLevelType w:val="hybridMultilevel"/>
    <w:tmpl w:val="681C7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15:restartNumberingAfterBreak="0">
    <w:nsid w:val="6E3A7307"/>
    <w:multiLevelType w:val="hybridMultilevel"/>
    <w:tmpl w:val="507C0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22"/>
  </w:num>
  <w:num w:numId="13">
    <w:abstractNumId w:val="15"/>
  </w:num>
  <w:num w:numId="14">
    <w:abstractNumId w:val="23"/>
  </w:num>
  <w:num w:numId="15">
    <w:abstractNumId w:val="25"/>
  </w:num>
  <w:num w:numId="16">
    <w:abstractNumId w:val="27"/>
  </w:num>
  <w:num w:numId="17">
    <w:abstractNumId w:val="18"/>
  </w:num>
  <w:num w:numId="18">
    <w:abstractNumId w:val="29"/>
  </w:num>
  <w:num w:numId="19">
    <w:abstractNumId w:val="14"/>
  </w:num>
  <w:num w:numId="20">
    <w:abstractNumId w:val="12"/>
  </w:num>
  <w:num w:numId="21">
    <w:abstractNumId w:val="31"/>
  </w:num>
  <w:num w:numId="22">
    <w:abstractNumId w:val="21"/>
  </w:num>
  <w:num w:numId="23">
    <w:abstractNumId w:val="3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20"/>
  </w:num>
  <w:num w:numId="28">
    <w:abstractNumId w:val="26"/>
  </w:num>
  <w:num w:numId="29">
    <w:abstractNumId w:val="28"/>
  </w:num>
  <w:num w:numId="30">
    <w:abstractNumId w:val="13"/>
  </w:num>
  <w:num w:numId="31">
    <w:abstractNumId w:val="11"/>
  </w:num>
  <w:num w:numId="32">
    <w:abstractNumId w:val="19"/>
  </w:num>
  <w:num w:numId="33">
    <w:abstractNumId w:val="30"/>
  </w:num>
  <w:num w:numId="34">
    <w:abstractNumId w:val="2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A04"/>
    <w:rsid w:val="00006AA4"/>
    <w:rsid w:val="00007AA4"/>
    <w:rsid w:val="00012A9F"/>
    <w:rsid w:val="00013360"/>
    <w:rsid w:val="0001492C"/>
    <w:rsid w:val="000174F0"/>
    <w:rsid w:val="000202AF"/>
    <w:rsid w:val="00020F84"/>
    <w:rsid w:val="000216CE"/>
    <w:rsid w:val="000241EF"/>
    <w:rsid w:val="00024A23"/>
    <w:rsid w:val="00025DC7"/>
    <w:rsid w:val="00026486"/>
    <w:rsid w:val="00026768"/>
    <w:rsid w:val="00042F9D"/>
    <w:rsid w:val="00044ECC"/>
    <w:rsid w:val="00045FAF"/>
    <w:rsid w:val="00051B0F"/>
    <w:rsid w:val="000531D3"/>
    <w:rsid w:val="0005646B"/>
    <w:rsid w:val="000568C8"/>
    <w:rsid w:val="00060CA2"/>
    <w:rsid w:val="00072152"/>
    <w:rsid w:val="0008102D"/>
    <w:rsid w:val="00084F78"/>
    <w:rsid w:val="0008712C"/>
    <w:rsid w:val="00087178"/>
    <w:rsid w:val="00094C0E"/>
    <w:rsid w:val="000A068E"/>
    <w:rsid w:val="000A7708"/>
    <w:rsid w:val="000B691A"/>
    <w:rsid w:val="000C35C3"/>
    <w:rsid w:val="000C4593"/>
    <w:rsid w:val="000D189B"/>
    <w:rsid w:val="000D7C64"/>
    <w:rsid w:val="000F0C22"/>
    <w:rsid w:val="000F3CB7"/>
    <w:rsid w:val="000F6B09"/>
    <w:rsid w:val="000F6FDC"/>
    <w:rsid w:val="0010146E"/>
    <w:rsid w:val="00104567"/>
    <w:rsid w:val="001130AE"/>
    <w:rsid w:val="0011384B"/>
    <w:rsid w:val="00114B91"/>
    <w:rsid w:val="00117827"/>
    <w:rsid w:val="00121A37"/>
    <w:rsid w:val="0012732D"/>
    <w:rsid w:val="00135C60"/>
    <w:rsid w:val="00147AA3"/>
    <w:rsid w:val="0015476B"/>
    <w:rsid w:val="00154FC9"/>
    <w:rsid w:val="00162614"/>
    <w:rsid w:val="00164CB8"/>
    <w:rsid w:val="00177CB0"/>
    <w:rsid w:val="0019241A"/>
    <w:rsid w:val="001A5335"/>
    <w:rsid w:val="001A752D"/>
    <w:rsid w:val="001B5E05"/>
    <w:rsid w:val="001E0430"/>
    <w:rsid w:val="001E0827"/>
    <w:rsid w:val="001E2DFA"/>
    <w:rsid w:val="001E481B"/>
    <w:rsid w:val="00203AA1"/>
    <w:rsid w:val="00212469"/>
    <w:rsid w:val="00213E98"/>
    <w:rsid w:val="00221C61"/>
    <w:rsid w:val="002252B8"/>
    <w:rsid w:val="002324DE"/>
    <w:rsid w:val="00234870"/>
    <w:rsid w:val="002351B5"/>
    <w:rsid w:val="00240354"/>
    <w:rsid w:val="00251676"/>
    <w:rsid w:val="002562AC"/>
    <w:rsid w:val="00271102"/>
    <w:rsid w:val="0027126F"/>
    <w:rsid w:val="002724D8"/>
    <w:rsid w:val="002733E9"/>
    <w:rsid w:val="00277FD5"/>
    <w:rsid w:val="0028309B"/>
    <w:rsid w:val="00283905"/>
    <w:rsid w:val="00286F72"/>
    <w:rsid w:val="002A41EB"/>
    <w:rsid w:val="002A76C1"/>
    <w:rsid w:val="002A7754"/>
    <w:rsid w:val="002E32F0"/>
    <w:rsid w:val="002E5752"/>
    <w:rsid w:val="002F1C42"/>
    <w:rsid w:val="002F460C"/>
    <w:rsid w:val="002F48D6"/>
    <w:rsid w:val="002F5003"/>
    <w:rsid w:val="002F75E0"/>
    <w:rsid w:val="00301167"/>
    <w:rsid w:val="003059FB"/>
    <w:rsid w:val="0031214C"/>
    <w:rsid w:val="00324E84"/>
    <w:rsid w:val="003259CE"/>
    <w:rsid w:val="00325DD7"/>
    <w:rsid w:val="00326C0C"/>
    <w:rsid w:val="00334F79"/>
    <w:rsid w:val="00343565"/>
    <w:rsid w:val="003456B9"/>
    <w:rsid w:val="00345FB4"/>
    <w:rsid w:val="00346523"/>
    <w:rsid w:val="00354899"/>
    <w:rsid w:val="00355FD6"/>
    <w:rsid w:val="003577F9"/>
    <w:rsid w:val="00357920"/>
    <w:rsid w:val="00360E5E"/>
    <w:rsid w:val="00361C8E"/>
    <w:rsid w:val="00363479"/>
    <w:rsid w:val="00364A5C"/>
    <w:rsid w:val="00365A1D"/>
    <w:rsid w:val="00373FB1"/>
    <w:rsid w:val="0037564F"/>
    <w:rsid w:val="00377B15"/>
    <w:rsid w:val="00381D76"/>
    <w:rsid w:val="003866EB"/>
    <w:rsid w:val="00390F5E"/>
    <w:rsid w:val="003A1E92"/>
    <w:rsid w:val="003A4BE1"/>
    <w:rsid w:val="003B30D8"/>
    <w:rsid w:val="003B7EF2"/>
    <w:rsid w:val="003C35BB"/>
    <w:rsid w:val="003C3FA4"/>
    <w:rsid w:val="003C4CA5"/>
    <w:rsid w:val="003E7FFB"/>
    <w:rsid w:val="003F2B0C"/>
    <w:rsid w:val="004065C6"/>
    <w:rsid w:val="00411777"/>
    <w:rsid w:val="004118B8"/>
    <w:rsid w:val="004135C1"/>
    <w:rsid w:val="004149C2"/>
    <w:rsid w:val="00414D80"/>
    <w:rsid w:val="004221E4"/>
    <w:rsid w:val="0042301D"/>
    <w:rsid w:val="00425F6E"/>
    <w:rsid w:val="004306CD"/>
    <w:rsid w:val="00431F67"/>
    <w:rsid w:val="00433A0B"/>
    <w:rsid w:val="00437228"/>
    <w:rsid w:val="00440750"/>
    <w:rsid w:val="004428FC"/>
    <w:rsid w:val="004558A7"/>
    <w:rsid w:val="004564D2"/>
    <w:rsid w:val="004646B9"/>
    <w:rsid w:val="00471088"/>
    <w:rsid w:val="004719E8"/>
    <w:rsid w:val="0047628F"/>
    <w:rsid w:val="00480D18"/>
    <w:rsid w:val="00482FD4"/>
    <w:rsid w:val="00483937"/>
    <w:rsid w:val="00483AF9"/>
    <w:rsid w:val="004846D4"/>
    <w:rsid w:val="00485E27"/>
    <w:rsid w:val="00487E6F"/>
    <w:rsid w:val="00493EAE"/>
    <w:rsid w:val="00494F88"/>
    <w:rsid w:val="004979D4"/>
    <w:rsid w:val="004B1CCB"/>
    <w:rsid w:val="004B6622"/>
    <w:rsid w:val="004C0EBD"/>
    <w:rsid w:val="004D49FA"/>
    <w:rsid w:val="004D6180"/>
    <w:rsid w:val="004D73A5"/>
    <w:rsid w:val="004E0305"/>
    <w:rsid w:val="004E33F7"/>
    <w:rsid w:val="004F524A"/>
    <w:rsid w:val="005033DD"/>
    <w:rsid w:val="0050544B"/>
    <w:rsid w:val="005072A4"/>
    <w:rsid w:val="00525EF7"/>
    <w:rsid w:val="00532CF5"/>
    <w:rsid w:val="005405F8"/>
    <w:rsid w:val="00545022"/>
    <w:rsid w:val="005528CB"/>
    <w:rsid w:val="005602FF"/>
    <w:rsid w:val="00564979"/>
    <w:rsid w:val="00566771"/>
    <w:rsid w:val="00580C49"/>
    <w:rsid w:val="00581E2E"/>
    <w:rsid w:val="00584F15"/>
    <w:rsid w:val="00585AAC"/>
    <w:rsid w:val="00594CA9"/>
    <w:rsid w:val="005967CE"/>
    <w:rsid w:val="005A4B33"/>
    <w:rsid w:val="005C00B4"/>
    <w:rsid w:val="005C4C90"/>
    <w:rsid w:val="005E5009"/>
    <w:rsid w:val="005F32E3"/>
    <w:rsid w:val="00605424"/>
    <w:rsid w:val="00611795"/>
    <w:rsid w:val="00611E9E"/>
    <w:rsid w:val="00614052"/>
    <w:rsid w:val="006163F7"/>
    <w:rsid w:val="00620FB8"/>
    <w:rsid w:val="00637424"/>
    <w:rsid w:val="00641EDF"/>
    <w:rsid w:val="006447C3"/>
    <w:rsid w:val="00645851"/>
    <w:rsid w:val="006508E0"/>
    <w:rsid w:val="006509D6"/>
    <w:rsid w:val="00652606"/>
    <w:rsid w:val="00656ED2"/>
    <w:rsid w:val="006671D5"/>
    <w:rsid w:val="00673ADD"/>
    <w:rsid w:val="00681CD3"/>
    <w:rsid w:val="00682754"/>
    <w:rsid w:val="00683671"/>
    <w:rsid w:val="00684327"/>
    <w:rsid w:val="00692365"/>
    <w:rsid w:val="006A58A9"/>
    <w:rsid w:val="006A606D"/>
    <w:rsid w:val="006B7F7A"/>
    <w:rsid w:val="006C0371"/>
    <w:rsid w:val="006C067A"/>
    <w:rsid w:val="006C08B4"/>
    <w:rsid w:val="006C08B6"/>
    <w:rsid w:val="006C0B1A"/>
    <w:rsid w:val="006C4384"/>
    <w:rsid w:val="006C6065"/>
    <w:rsid w:val="006C62E8"/>
    <w:rsid w:val="006C7DD1"/>
    <w:rsid w:val="006C7F9F"/>
    <w:rsid w:val="006D724C"/>
    <w:rsid w:val="006D7EAC"/>
    <w:rsid w:val="006E2B80"/>
    <w:rsid w:val="006E2F6D"/>
    <w:rsid w:val="006E58F6"/>
    <w:rsid w:val="006E77E1"/>
    <w:rsid w:val="006F131D"/>
    <w:rsid w:val="006F3D07"/>
    <w:rsid w:val="007031B4"/>
    <w:rsid w:val="007320B2"/>
    <w:rsid w:val="0074036E"/>
    <w:rsid w:val="00740ADB"/>
    <w:rsid w:val="00741386"/>
    <w:rsid w:val="00752BCD"/>
    <w:rsid w:val="00752D98"/>
    <w:rsid w:val="0075742B"/>
    <w:rsid w:val="00760AE1"/>
    <w:rsid w:val="007619A6"/>
    <w:rsid w:val="00766B2B"/>
    <w:rsid w:val="00766DA1"/>
    <w:rsid w:val="007701B4"/>
    <w:rsid w:val="00776882"/>
    <w:rsid w:val="00777089"/>
    <w:rsid w:val="00780117"/>
    <w:rsid w:val="007803CF"/>
    <w:rsid w:val="00783FA4"/>
    <w:rsid w:val="007866A6"/>
    <w:rsid w:val="00787C03"/>
    <w:rsid w:val="0079731E"/>
    <w:rsid w:val="007A130D"/>
    <w:rsid w:val="007B1016"/>
    <w:rsid w:val="007B178E"/>
    <w:rsid w:val="007B2F08"/>
    <w:rsid w:val="007C23ED"/>
    <w:rsid w:val="007C397C"/>
    <w:rsid w:val="007D12F3"/>
    <w:rsid w:val="007D4102"/>
    <w:rsid w:val="007D78D2"/>
    <w:rsid w:val="007E24F2"/>
    <w:rsid w:val="007E3351"/>
    <w:rsid w:val="007E5595"/>
    <w:rsid w:val="007E5921"/>
    <w:rsid w:val="008071D9"/>
    <w:rsid w:val="00820B6E"/>
    <w:rsid w:val="00821FFC"/>
    <w:rsid w:val="00823C3C"/>
    <w:rsid w:val="00826284"/>
    <w:rsid w:val="008271CA"/>
    <w:rsid w:val="0083757E"/>
    <w:rsid w:val="00840BDE"/>
    <w:rsid w:val="008467D5"/>
    <w:rsid w:val="00850DE8"/>
    <w:rsid w:val="00851722"/>
    <w:rsid w:val="00853519"/>
    <w:rsid w:val="00856D9F"/>
    <w:rsid w:val="008575B3"/>
    <w:rsid w:val="00861920"/>
    <w:rsid w:val="008644A5"/>
    <w:rsid w:val="00866F6D"/>
    <w:rsid w:val="00873FA4"/>
    <w:rsid w:val="00885211"/>
    <w:rsid w:val="00885216"/>
    <w:rsid w:val="00893C10"/>
    <w:rsid w:val="00896C28"/>
    <w:rsid w:val="008A3E26"/>
    <w:rsid w:val="008A4DC4"/>
    <w:rsid w:val="008B6D19"/>
    <w:rsid w:val="008B6ECD"/>
    <w:rsid w:val="008C7AC6"/>
    <w:rsid w:val="008D6E53"/>
    <w:rsid w:val="008E01CC"/>
    <w:rsid w:val="008F4B60"/>
    <w:rsid w:val="00905F8C"/>
    <w:rsid w:val="009064CF"/>
    <w:rsid w:val="009067A4"/>
    <w:rsid w:val="0090722E"/>
    <w:rsid w:val="00924A6F"/>
    <w:rsid w:val="00925077"/>
    <w:rsid w:val="00927A31"/>
    <w:rsid w:val="009340DB"/>
    <w:rsid w:val="0093722F"/>
    <w:rsid w:val="00937919"/>
    <w:rsid w:val="00940D07"/>
    <w:rsid w:val="009433B6"/>
    <w:rsid w:val="0095562A"/>
    <w:rsid w:val="00966E84"/>
    <w:rsid w:val="00967B69"/>
    <w:rsid w:val="00971D3D"/>
    <w:rsid w:val="00972498"/>
    <w:rsid w:val="00974CC6"/>
    <w:rsid w:val="00976AD4"/>
    <w:rsid w:val="00977DDD"/>
    <w:rsid w:val="0098020B"/>
    <w:rsid w:val="00990E9D"/>
    <w:rsid w:val="00991DE4"/>
    <w:rsid w:val="009A312F"/>
    <w:rsid w:val="009A4205"/>
    <w:rsid w:val="009A5348"/>
    <w:rsid w:val="009A6788"/>
    <w:rsid w:val="009A67BB"/>
    <w:rsid w:val="009A7714"/>
    <w:rsid w:val="009A7CB6"/>
    <w:rsid w:val="009B2C83"/>
    <w:rsid w:val="009C76D5"/>
    <w:rsid w:val="009D1419"/>
    <w:rsid w:val="009D4782"/>
    <w:rsid w:val="009D4ED3"/>
    <w:rsid w:val="009E3939"/>
    <w:rsid w:val="009E3EED"/>
    <w:rsid w:val="009F7AA4"/>
    <w:rsid w:val="00A00C6B"/>
    <w:rsid w:val="00A0251C"/>
    <w:rsid w:val="00A05334"/>
    <w:rsid w:val="00A05439"/>
    <w:rsid w:val="00A05F03"/>
    <w:rsid w:val="00A102F1"/>
    <w:rsid w:val="00A14009"/>
    <w:rsid w:val="00A2365F"/>
    <w:rsid w:val="00A25859"/>
    <w:rsid w:val="00A303EA"/>
    <w:rsid w:val="00A5189D"/>
    <w:rsid w:val="00A51D0D"/>
    <w:rsid w:val="00A559DB"/>
    <w:rsid w:val="00A55E37"/>
    <w:rsid w:val="00A619AB"/>
    <w:rsid w:val="00A6578B"/>
    <w:rsid w:val="00A716C0"/>
    <w:rsid w:val="00A866C2"/>
    <w:rsid w:val="00A9653E"/>
    <w:rsid w:val="00A97577"/>
    <w:rsid w:val="00AA5FD1"/>
    <w:rsid w:val="00AC047A"/>
    <w:rsid w:val="00AC5620"/>
    <w:rsid w:val="00AD27F9"/>
    <w:rsid w:val="00AD77B6"/>
    <w:rsid w:val="00AD7BCA"/>
    <w:rsid w:val="00AE59BC"/>
    <w:rsid w:val="00AE633B"/>
    <w:rsid w:val="00AF35FC"/>
    <w:rsid w:val="00AF6765"/>
    <w:rsid w:val="00B025CE"/>
    <w:rsid w:val="00B03639"/>
    <w:rsid w:val="00B0652A"/>
    <w:rsid w:val="00B10C63"/>
    <w:rsid w:val="00B11353"/>
    <w:rsid w:val="00B16C8D"/>
    <w:rsid w:val="00B21398"/>
    <w:rsid w:val="00B21429"/>
    <w:rsid w:val="00B22BB4"/>
    <w:rsid w:val="00B3757D"/>
    <w:rsid w:val="00B40937"/>
    <w:rsid w:val="00B423EF"/>
    <w:rsid w:val="00B453DE"/>
    <w:rsid w:val="00B4742F"/>
    <w:rsid w:val="00B52761"/>
    <w:rsid w:val="00B901F9"/>
    <w:rsid w:val="00BA02E4"/>
    <w:rsid w:val="00BA2889"/>
    <w:rsid w:val="00BA5A9C"/>
    <w:rsid w:val="00BA661D"/>
    <w:rsid w:val="00BB59BF"/>
    <w:rsid w:val="00BD5A1F"/>
    <w:rsid w:val="00BD6BBB"/>
    <w:rsid w:val="00BD6EFB"/>
    <w:rsid w:val="00BE4CB8"/>
    <w:rsid w:val="00BF101F"/>
    <w:rsid w:val="00C15BE2"/>
    <w:rsid w:val="00C22219"/>
    <w:rsid w:val="00C22A4C"/>
    <w:rsid w:val="00C265B5"/>
    <w:rsid w:val="00C3447F"/>
    <w:rsid w:val="00C358EA"/>
    <w:rsid w:val="00C35D77"/>
    <w:rsid w:val="00C63C93"/>
    <w:rsid w:val="00C66696"/>
    <w:rsid w:val="00C71463"/>
    <w:rsid w:val="00C81491"/>
    <w:rsid w:val="00C81676"/>
    <w:rsid w:val="00C81BA9"/>
    <w:rsid w:val="00C83DE5"/>
    <w:rsid w:val="00C928D8"/>
    <w:rsid w:val="00C92CC4"/>
    <w:rsid w:val="00CA0AFB"/>
    <w:rsid w:val="00CA2CE1"/>
    <w:rsid w:val="00CA3976"/>
    <w:rsid w:val="00CA757B"/>
    <w:rsid w:val="00CB0ADE"/>
    <w:rsid w:val="00CC1787"/>
    <w:rsid w:val="00CC182C"/>
    <w:rsid w:val="00CC5059"/>
    <w:rsid w:val="00CD0824"/>
    <w:rsid w:val="00CD2908"/>
    <w:rsid w:val="00CE3833"/>
    <w:rsid w:val="00CE7405"/>
    <w:rsid w:val="00CF2142"/>
    <w:rsid w:val="00CF73EA"/>
    <w:rsid w:val="00D03A82"/>
    <w:rsid w:val="00D047EF"/>
    <w:rsid w:val="00D1414A"/>
    <w:rsid w:val="00D15344"/>
    <w:rsid w:val="00D15D9F"/>
    <w:rsid w:val="00D306C0"/>
    <w:rsid w:val="00D31BEC"/>
    <w:rsid w:val="00D33842"/>
    <w:rsid w:val="00D35715"/>
    <w:rsid w:val="00D359E1"/>
    <w:rsid w:val="00D410AE"/>
    <w:rsid w:val="00D41853"/>
    <w:rsid w:val="00D60E1A"/>
    <w:rsid w:val="00D6107F"/>
    <w:rsid w:val="00D63150"/>
    <w:rsid w:val="00D64A32"/>
    <w:rsid w:val="00D64EFC"/>
    <w:rsid w:val="00D71856"/>
    <w:rsid w:val="00D74695"/>
    <w:rsid w:val="00D75295"/>
    <w:rsid w:val="00D76CE9"/>
    <w:rsid w:val="00D81573"/>
    <w:rsid w:val="00D918E0"/>
    <w:rsid w:val="00D92408"/>
    <w:rsid w:val="00D94892"/>
    <w:rsid w:val="00D97F12"/>
    <w:rsid w:val="00DA0856"/>
    <w:rsid w:val="00DA3814"/>
    <w:rsid w:val="00DA6ABA"/>
    <w:rsid w:val="00DA742A"/>
    <w:rsid w:val="00DB0474"/>
    <w:rsid w:val="00DB42E7"/>
    <w:rsid w:val="00DB58F5"/>
    <w:rsid w:val="00DC0515"/>
    <w:rsid w:val="00DC08A5"/>
    <w:rsid w:val="00DD0FAB"/>
    <w:rsid w:val="00DD1046"/>
    <w:rsid w:val="00DD2BB6"/>
    <w:rsid w:val="00DD3589"/>
    <w:rsid w:val="00DD57ED"/>
    <w:rsid w:val="00DE1F2C"/>
    <w:rsid w:val="00DE5BF8"/>
    <w:rsid w:val="00DF1BE5"/>
    <w:rsid w:val="00DF32C2"/>
    <w:rsid w:val="00DF4672"/>
    <w:rsid w:val="00E00329"/>
    <w:rsid w:val="00E02DA0"/>
    <w:rsid w:val="00E04139"/>
    <w:rsid w:val="00E06542"/>
    <w:rsid w:val="00E10AD4"/>
    <w:rsid w:val="00E1178A"/>
    <w:rsid w:val="00E16BB9"/>
    <w:rsid w:val="00E21561"/>
    <w:rsid w:val="00E32CE9"/>
    <w:rsid w:val="00E332FA"/>
    <w:rsid w:val="00E3573A"/>
    <w:rsid w:val="00E40A1B"/>
    <w:rsid w:val="00E42384"/>
    <w:rsid w:val="00E46890"/>
    <w:rsid w:val="00E471A7"/>
    <w:rsid w:val="00E5513C"/>
    <w:rsid w:val="00E61439"/>
    <w:rsid w:val="00E635CF"/>
    <w:rsid w:val="00E6454E"/>
    <w:rsid w:val="00E7401E"/>
    <w:rsid w:val="00E8210A"/>
    <w:rsid w:val="00EB5410"/>
    <w:rsid w:val="00EB714F"/>
    <w:rsid w:val="00EB77E1"/>
    <w:rsid w:val="00EC6E0A"/>
    <w:rsid w:val="00ED1DD4"/>
    <w:rsid w:val="00ED4E18"/>
    <w:rsid w:val="00EE1F37"/>
    <w:rsid w:val="00EE5532"/>
    <w:rsid w:val="00EE66DA"/>
    <w:rsid w:val="00EF3556"/>
    <w:rsid w:val="00F0159C"/>
    <w:rsid w:val="00F05EFC"/>
    <w:rsid w:val="00F105B7"/>
    <w:rsid w:val="00F11FA7"/>
    <w:rsid w:val="00F12E43"/>
    <w:rsid w:val="00F15784"/>
    <w:rsid w:val="00F17A21"/>
    <w:rsid w:val="00F20827"/>
    <w:rsid w:val="00F22DFB"/>
    <w:rsid w:val="00F2652E"/>
    <w:rsid w:val="00F36C32"/>
    <w:rsid w:val="00F3723C"/>
    <w:rsid w:val="00F4192A"/>
    <w:rsid w:val="00F42B6C"/>
    <w:rsid w:val="00F50E91"/>
    <w:rsid w:val="00F52042"/>
    <w:rsid w:val="00F524F1"/>
    <w:rsid w:val="00F52E91"/>
    <w:rsid w:val="00F53002"/>
    <w:rsid w:val="00F567A4"/>
    <w:rsid w:val="00F57D29"/>
    <w:rsid w:val="00F6799A"/>
    <w:rsid w:val="00F9005D"/>
    <w:rsid w:val="00F92A99"/>
    <w:rsid w:val="00F93EA2"/>
    <w:rsid w:val="00F96201"/>
    <w:rsid w:val="00F97C16"/>
    <w:rsid w:val="00FA01E6"/>
    <w:rsid w:val="00FA2A7F"/>
    <w:rsid w:val="00FA60F3"/>
    <w:rsid w:val="00FB7CAB"/>
    <w:rsid w:val="00FC1830"/>
    <w:rsid w:val="00FC30E9"/>
    <w:rsid w:val="00FD0558"/>
    <w:rsid w:val="00FD0B18"/>
    <w:rsid w:val="00FD0F82"/>
    <w:rsid w:val="00FD1E2A"/>
    <w:rsid w:val="00FD5441"/>
    <w:rsid w:val="00FD6714"/>
    <w:rsid w:val="00FE44C5"/>
    <w:rsid w:val="00FE714F"/>
    <w:rsid w:val="00FF4B9A"/>
    <w:rsid w:val="00FF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62D1B33"/>
  <w15:docId w15:val="{BA4AA1C9-E638-4E33-AB0B-0A82BD41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17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05F8C"/>
    <w:pPr>
      <w:keepNext/>
      <w:keepLines/>
      <w:spacing w:before="240"/>
      <w:outlineLvl w:val="0"/>
    </w:pPr>
    <w:rPr>
      <w:rFonts w:asciiTheme="majorHAnsi" w:eastAsiaTheme="majorEastAsia" w:hAnsiTheme="majorHAnsi" w:cstheme="majorBidi"/>
      <w:color w:val="365F91" w:themeColor="accent1" w:themeShade="BF"/>
      <w:sz w:val="32"/>
      <w:szCs w:val="32"/>
      <w:lang w:val="en-GB"/>
    </w:rPr>
  </w:style>
  <w:style w:type="paragraph" w:styleId="Heading3">
    <w:name w:val="heading 3"/>
    <w:basedOn w:val="Normal"/>
    <w:next w:val="Normal"/>
    <w:link w:val="Heading3Char"/>
    <w:rsid w:val="00924A6F"/>
    <w:pPr>
      <w:keepNext/>
      <w:keepLines/>
      <w:spacing w:before="160" w:line="276" w:lineRule="auto"/>
      <w:contextualSpacing/>
      <w:outlineLvl w:val="2"/>
    </w:pPr>
    <w:rPr>
      <w:rFonts w:ascii="Trebuchet MS" w:eastAsia="Trebuchet MS" w:hAnsi="Trebuchet MS" w:cs="Trebuchet MS"/>
      <w:b/>
      <w:color w:val="666666"/>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hAnsi="Arial" w:cs="Arial"/>
      <w:b/>
      <w:bCs/>
      <w:caps/>
      <w:color w:val="000000"/>
      <w:sz w:val="28"/>
      <w:szCs w:val="28"/>
      <w:lang w:val="en-GB"/>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hAnsi="Arial" w:cs="Arial"/>
      <w:i/>
      <w:iCs/>
      <w:color w:val="000000"/>
      <w:sz w:val="16"/>
      <w:szCs w:val="16"/>
      <w:lang w:val="en-GB"/>
    </w:rPr>
  </w:style>
  <w:style w:type="paragraph" w:customStyle="1" w:styleId="BodyTextMain">
    <w:name w:val="Body Text Main"/>
    <w:basedOn w:val="Normal"/>
    <w:link w:val="BodyTextMainChar"/>
    <w:qFormat/>
    <w:rsid w:val="000F0C22"/>
    <w:pPr>
      <w:jc w:val="both"/>
    </w:pPr>
    <w:rPr>
      <w:rFonts w:eastAsia="Times New Roman"/>
      <w:sz w:val="22"/>
      <w:szCs w:val="22"/>
      <w:lang w:val="en-GB"/>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rFonts w:eastAsia="Times New Roman"/>
      <w:sz w:val="20"/>
      <w:szCs w:val="20"/>
      <w:lang w:val="en-GB"/>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F524F1"/>
    <w:rPr>
      <w:vertAlign w:val="superscript"/>
    </w:rPr>
  </w:style>
  <w:style w:type="paragraph" w:customStyle="1" w:styleId="Footnote">
    <w:name w:val="Footnote"/>
    <w:basedOn w:val="FootnoteText"/>
    <w:link w:val="FootnoteChar"/>
    <w:qFormat/>
    <w:rsid w:val="00F524F1"/>
    <w:pPr>
      <w:jc w:val="both"/>
    </w:pPr>
    <w:rPr>
      <w:rFonts w:ascii="Arial" w:hAnsi="Arial" w:cs="Arial"/>
      <w:sz w:val="17"/>
      <w:szCs w:val="17"/>
    </w:rPr>
  </w:style>
  <w:style w:type="character" w:customStyle="1" w:styleId="FootnoteChar">
    <w:name w:val="Footnote Char"/>
    <w:basedOn w:val="FootnoteTextChar"/>
    <w:link w:val="Footnote"/>
    <w:rsid w:val="00F524F1"/>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eastAsia="Times New Roman" w:hAnsi="Arial"/>
      <w:b/>
      <w:caps/>
      <w:szCs w:val="20"/>
      <w:lang w:val="en-GB"/>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rFonts w:eastAsia="Times New Roman"/>
      <w:sz w:val="20"/>
      <w:szCs w:val="20"/>
      <w:lang w:val="en-GB"/>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rFonts w:eastAsia="Times New Roman"/>
      <w:sz w:val="20"/>
      <w:szCs w:val="20"/>
      <w:lang w:val="en-GB"/>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rFonts w:eastAsia="Times New Roman"/>
      <w:sz w:val="20"/>
      <w:szCs w:val="20"/>
      <w:lang w:val="en-GB"/>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lang w:val="en-GB"/>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rPr>
      <w:rFonts w:eastAsia="Times New Roman"/>
      <w:sz w:val="20"/>
      <w:szCs w:val="20"/>
      <w:lang w:val="en-GB"/>
    </w:rPr>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eastAsia="Times New Roman" w:hAnsi="Arial" w:cs="Arial"/>
      <w:i/>
      <w:iCs/>
      <w:sz w:val="17"/>
      <w:szCs w:val="17"/>
      <w:lang w:val="en-GB"/>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lang w:val="en-GB"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val="en-GB"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rPr>
      <w:rFonts w:eastAsia="Times New Roman"/>
      <w:sz w:val="20"/>
      <w:szCs w:val="20"/>
      <w:lang w:val="en-GB"/>
    </w:rPr>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Heading3Char">
    <w:name w:val="Heading 3 Char"/>
    <w:basedOn w:val="DefaultParagraphFont"/>
    <w:link w:val="Heading3"/>
    <w:rsid w:val="00924A6F"/>
    <w:rPr>
      <w:rFonts w:ascii="Trebuchet MS" w:eastAsia="Trebuchet MS" w:hAnsi="Trebuchet MS" w:cs="Trebuchet MS"/>
      <w:b/>
      <w:color w:val="666666"/>
      <w:sz w:val="24"/>
      <w:szCs w:val="20"/>
      <w:lang w:eastAsia="zh-CN"/>
    </w:rPr>
  </w:style>
  <w:style w:type="paragraph" w:styleId="NoSpacing">
    <w:name w:val="No Spacing"/>
    <w:uiPriority w:val="1"/>
    <w:rsid w:val="00483937"/>
    <w:pPr>
      <w:spacing w:after="0" w:line="240" w:lineRule="auto"/>
    </w:pPr>
  </w:style>
  <w:style w:type="character" w:styleId="FollowedHyperlink">
    <w:name w:val="FollowedHyperlink"/>
    <w:basedOn w:val="DefaultParagraphFont"/>
    <w:uiPriority w:val="99"/>
    <w:semiHidden/>
    <w:unhideWhenUsed/>
    <w:rsid w:val="00324E84"/>
    <w:rPr>
      <w:color w:val="800080" w:themeColor="followedHyperlink"/>
      <w:u w:val="single"/>
    </w:rPr>
  </w:style>
  <w:style w:type="table" w:customStyle="1" w:styleId="IveyTable">
    <w:name w:val="Ivey Table"/>
    <w:basedOn w:val="TableNormal"/>
    <w:uiPriority w:val="99"/>
    <w:rsid w:val="00F524F1"/>
    <w:pPr>
      <w:spacing w:after="0" w:line="240" w:lineRule="auto"/>
    </w:pPr>
    <w:rPr>
      <w:rFonts w:ascii="Arial" w:eastAsia="Calibri" w:hAnsi="Arial" w:cs="Times New Roman"/>
      <w:sz w:val="18"/>
    </w:rPr>
    <w:tblPr>
      <w:jc w:val="center"/>
      <w:tblBorders>
        <w:top w:val="single" w:sz="4" w:space="0" w:color="auto"/>
        <w:bottom w:val="single" w:sz="4" w:space="0" w:color="auto"/>
      </w:tblBorders>
      <w:tblCellMar>
        <w:top w:w="14" w:type="dxa"/>
        <w:left w:w="115" w:type="dxa"/>
        <w:bottom w:w="14" w:type="dxa"/>
        <w:right w:w="115" w:type="dxa"/>
      </w:tblCellMar>
    </w:tblPr>
    <w:trPr>
      <w:jc w:val="center"/>
    </w:trPr>
    <w:tcPr>
      <w:shd w:val="clear" w:color="auto" w:fill="auto"/>
      <w:vAlign w:val="center"/>
    </w:tcPr>
    <w:tblStylePr w:type="firstRow">
      <w:rPr>
        <w:b/>
      </w:rPr>
      <w:tblPr/>
      <w:tcPr>
        <w:tcBorders>
          <w:bottom w:val="single" w:sz="8" w:space="0" w:color="auto"/>
        </w:tcBorders>
        <w:shd w:val="clear" w:color="auto" w:fill="auto"/>
      </w:tcPr>
    </w:tblStylePr>
  </w:style>
  <w:style w:type="paragraph" w:styleId="DocumentMap">
    <w:name w:val="Document Map"/>
    <w:basedOn w:val="Normal"/>
    <w:link w:val="DocumentMapChar"/>
    <w:uiPriority w:val="99"/>
    <w:semiHidden/>
    <w:unhideWhenUsed/>
    <w:rsid w:val="00F524F1"/>
    <w:rPr>
      <w:rFonts w:eastAsia="Times New Roman"/>
      <w:lang w:val="en-GB"/>
    </w:rPr>
  </w:style>
  <w:style w:type="character" w:customStyle="1" w:styleId="DocumentMapChar">
    <w:name w:val="Document Map Char"/>
    <w:basedOn w:val="DefaultParagraphFont"/>
    <w:link w:val="DocumentMap"/>
    <w:uiPriority w:val="99"/>
    <w:semiHidden/>
    <w:rsid w:val="00F524F1"/>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uiPriority w:val="9"/>
    <w:rsid w:val="00905F8C"/>
    <w:rPr>
      <w:rFonts w:asciiTheme="majorHAnsi" w:eastAsiaTheme="majorEastAsia" w:hAnsiTheme="majorHAnsi" w:cstheme="majorBidi"/>
      <w:color w:val="365F91"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6776">
      <w:bodyDiv w:val="1"/>
      <w:marLeft w:val="0"/>
      <w:marRight w:val="0"/>
      <w:marTop w:val="0"/>
      <w:marBottom w:val="0"/>
      <w:divBdr>
        <w:top w:val="none" w:sz="0" w:space="0" w:color="auto"/>
        <w:left w:val="none" w:sz="0" w:space="0" w:color="auto"/>
        <w:bottom w:val="none" w:sz="0" w:space="0" w:color="auto"/>
        <w:right w:val="none" w:sz="0" w:space="0" w:color="auto"/>
      </w:divBdr>
    </w:div>
    <w:div w:id="193346603">
      <w:bodyDiv w:val="1"/>
      <w:marLeft w:val="0"/>
      <w:marRight w:val="0"/>
      <w:marTop w:val="0"/>
      <w:marBottom w:val="0"/>
      <w:divBdr>
        <w:top w:val="none" w:sz="0" w:space="0" w:color="auto"/>
        <w:left w:val="none" w:sz="0" w:space="0" w:color="auto"/>
        <w:bottom w:val="none" w:sz="0" w:space="0" w:color="auto"/>
        <w:right w:val="none" w:sz="0" w:space="0" w:color="auto"/>
      </w:divBdr>
    </w:div>
    <w:div w:id="260336530">
      <w:bodyDiv w:val="1"/>
      <w:marLeft w:val="0"/>
      <w:marRight w:val="0"/>
      <w:marTop w:val="0"/>
      <w:marBottom w:val="0"/>
      <w:divBdr>
        <w:top w:val="none" w:sz="0" w:space="0" w:color="auto"/>
        <w:left w:val="none" w:sz="0" w:space="0" w:color="auto"/>
        <w:bottom w:val="none" w:sz="0" w:space="0" w:color="auto"/>
        <w:right w:val="none" w:sz="0" w:space="0" w:color="auto"/>
      </w:divBdr>
    </w:div>
    <w:div w:id="436409652">
      <w:bodyDiv w:val="1"/>
      <w:marLeft w:val="0"/>
      <w:marRight w:val="0"/>
      <w:marTop w:val="0"/>
      <w:marBottom w:val="0"/>
      <w:divBdr>
        <w:top w:val="none" w:sz="0" w:space="0" w:color="auto"/>
        <w:left w:val="none" w:sz="0" w:space="0" w:color="auto"/>
        <w:bottom w:val="none" w:sz="0" w:space="0" w:color="auto"/>
        <w:right w:val="none" w:sz="0" w:space="0" w:color="auto"/>
      </w:divBdr>
    </w:div>
    <w:div w:id="469784869">
      <w:bodyDiv w:val="1"/>
      <w:marLeft w:val="0"/>
      <w:marRight w:val="0"/>
      <w:marTop w:val="0"/>
      <w:marBottom w:val="0"/>
      <w:divBdr>
        <w:top w:val="none" w:sz="0" w:space="0" w:color="auto"/>
        <w:left w:val="none" w:sz="0" w:space="0" w:color="auto"/>
        <w:bottom w:val="none" w:sz="0" w:space="0" w:color="auto"/>
        <w:right w:val="none" w:sz="0" w:space="0" w:color="auto"/>
      </w:divBdr>
    </w:div>
    <w:div w:id="645354492">
      <w:bodyDiv w:val="1"/>
      <w:marLeft w:val="0"/>
      <w:marRight w:val="0"/>
      <w:marTop w:val="0"/>
      <w:marBottom w:val="0"/>
      <w:divBdr>
        <w:top w:val="none" w:sz="0" w:space="0" w:color="auto"/>
        <w:left w:val="none" w:sz="0" w:space="0" w:color="auto"/>
        <w:bottom w:val="none" w:sz="0" w:space="0" w:color="auto"/>
        <w:right w:val="none" w:sz="0" w:space="0" w:color="auto"/>
      </w:divBdr>
    </w:div>
    <w:div w:id="748621777">
      <w:bodyDiv w:val="1"/>
      <w:marLeft w:val="0"/>
      <w:marRight w:val="0"/>
      <w:marTop w:val="0"/>
      <w:marBottom w:val="0"/>
      <w:divBdr>
        <w:top w:val="none" w:sz="0" w:space="0" w:color="auto"/>
        <w:left w:val="none" w:sz="0" w:space="0" w:color="auto"/>
        <w:bottom w:val="none" w:sz="0" w:space="0" w:color="auto"/>
        <w:right w:val="none" w:sz="0" w:space="0" w:color="auto"/>
      </w:divBdr>
    </w:div>
    <w:div w:id="802888906">
      <w:bodyDiv w:val="1"/>
      <w:marLeft w:val="0"/>
      <w:marRight w:val="0"/>
      <w:marTop w:val="0"/>
      <w:marBottom w:val="0"/>
      <w:divBdr>
        <w:top w:val="none" w:sz="0" w:space="0" w:color="auto"/>
        <w:left w:val="none" w:sz="0" w:space="0" w:color="auto"/>
        <w:bottom w:val="none" w:sz="0" w:space="0" w:color="auto"/>
        <w:right w:val="none" w:sz="0" w:space="0" w:color="auto"/>
      </w:divBdr>
    </w:div>
    <w:div w:id="824247623">
      <w:bodyDiv w:val="1"/>
      <w:marLeft w:val="0"/>
      <w:marRight w:val="0"/>
      <w:marTop w:val="0"/>
      <w:marBottom w:val="0"/>
      <w:divBdr>
        <w:top w:val="none" w:sz="0" w:space="0" w:color="auto"/>
        <w:left w:val="none" w:sz="0" w:space="0" w:color="auto"/>
        <w:bottom w:val="none" w:sz="0" w:space="0" w:color="auto"/>
        <w:right w:val="none" w:sz="0" w:space="0" w:color="auto"/>
      </w:divBdr>
    </w:div>
    <w:div w:id="842086611">
      <w:bodyDiv w:val="1"/>
      <w:marLeft w:val="0"/>
      <w:marRight w:val="0"/>
      <w:marTop w:val="0"/>
      <w:marBottom w:val="0"/>
      <w:divBdr>
        <w:top w:val="none" w:sz="0" w:space="0" w:color="auto"/>
        <w:left w:val="none" w:sz="0" w:space="0" w:color="auto"/>
        <w:bottom w:val="none" w:sz="0" w:space="0" w:color="auto"/>
        <w:right w:val="none" w:sz="0" w:space="0" w:color="auto"/>
      </w:divBdr>
    </w:div>
    <w:div w:id="978727042">
      <w:bodyDiv w:val="1"/>
      <w:marLeft w:val="0"/>
      <w:marRight w:val="0"/>
      <w:marTop w:val="0"/>
      <w:marBottom w:val="0"/>
      <w:divBdr>
        <w:top w:val="none" w:sz="0" w:space="0" w:color="auto"/>
        <w:left w:val="none" w:sz="0" w:space="0" w:color="auto"/>
        <w:bottom w:val="none" w:sz="0" w:space="0" w:color="auto"/>
        <w:right w:val="none" w:sz="0" w:space="0" w:color="auto"/>
      </w:divBdr>
    </w:div>
    <w:div w:id="1170219417">
      <w:bodyDiv w:val="1"/>
      <w:marLeft w:val="0"/>
      <w:marRight w:val="0"/>
      <w:marTop w:val="0"/>
      <w:marBottom w:val="0"/>
      <w:divBdr>
        <w:top w:val="none" w:sz="0" w:space="0" w:color="auto"/>
        <w:left w:val="none" w:sz="0" w:space="0" w:color="auto"/>
        <w:bottom w:val="none" w:sz="0" w:space="0" w:color="auto"/>
        <w:right w:val="none" w:sz="0" w:space="0" w:color="auto"/>
      </w:divBdr>
    </w:div>
    <w:div w:id="1243952640">
      <w:bodyDiv w:val="1"/>
      <w:marLeft w:val="0"/>
      <w:marRight w:val="0"/>
      <w:marTop w:val="0"/>
      <w:marBottom w:val="0"/>
      <w:divBdr>
        <w:top w:val="none" w:sz="0" w:space="0" w:color="auto"/>
        <w:left w:val="none" w:sz="0" w:space="0" w:color="auto"/>
        <w:bottom w:val="none" w:sz="0" w:space="0" w:color="auto"/>
        <w:right w:val="none" w:sz="0" w:space="0" w:color="auto"/>
      </w:divBdr>
    </w:div>
    <w:div w:id="145432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82A0995-ABD7-442B-80D9-1EC820BD823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688BCDD-2450-4E55-A155-BA16C7BC938E}">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95202-873E-4C26-805B-167F0C825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5207</Words>
  <Characters>29686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Gow, Jasmin</cp:lastModifiedBy>
  <cp:revision>13</cp:revision>
  <cp:lastPrinted>2016-07-21T12:33:00Z</cp:lastPrinted>
  <dcterms:created xsi:type="dcterms:W3CDTF">2018-09-11T16:49:00Z</dcterms:created>
  <dcterms:modified xsi:type="dcterms:W3CDTF">2018-09-17T12:51:00Z</dcterms:modified>
</cp:coreProperties>
</file>