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FFB69BA" w:rsidR="00C02410" w:rsidRDefault="003F6293" w:rsidP="00C02410">
      <w:pPr>
        <w:pStyle w:val="ProductNumber"/>
      </w:pPr>
      <w:r>
        <w:t>9B18C041</w:t>
      </w:r>
    </w:p>
    <w:p w14:paraId="4E057522" w14:textId="77777777" w:rsidR="00D75295" w:rsidRPr="003D0BA1" w:rsidRDefault="00D75295" w:rsidP="00D75295">
      <w:pPr>
        <w:jc w:val="right"/>
        <w:rPr>
          <w:rFonts w:ascii="Arial" w:hAnsi="Arial"/>
          <w:b/>
          <w:sz w:val="28"/>
          <w:szCs w:val="28"/>
        </w:rPr>
      </w:pPr>
    </w:p>
    <w:p w14:paraId="426B7211" w14:textId="77777777" w:rsidR="00013360" w:rsidRPr="003D0BA1" w:rsidRDefault="00013360" w:rsidP="00D75295">
      <w:pPr>
        <w:jc w:val="right"/>
        <w:rPr>
          <w:rFonts w:ascii="Arial" w:hAnsi="Arial"/>
          <w:b/>
          <w:sz w:val="28"/>
          <w:szCs w:val="28"/>
        </w:rPr>
      </w:pPr>
    </w:p>
    <w:p w14:paraId="2F03D26A" w14:textId="0DF14935" w:rsidR="00013360" w:rsidRDefault="003F6293" w:rsidP="00013360">
      <w:pPr>
        <w:pStyle w:val="CaseTitle"/>
        <w:spacing w:after="0" w:line="240" w:lineRule="auto"/>
        <w:rPr>
          <w:sz w:val="20"/>
          <w:szCs w:val="20"/>
        </w:rPr>
      </w:pPr>
      <w:r w:rsidRPr="00702082">
        <w:rPr>
          <w:rFonts w:eastAsia="Times New Roman"/>
          <w:lang w:val="en-GB"/>
        </w:rPr>
        <w:t>red hat canada: bridging THE gender ga</w:t>
      </w:r>
      <w:r>
        <w:rPr>
          <w:rFonts w:eastAsia="Times New Roman"/>
          <w:lang w:val="en-GB"/>
        </w:rPr>
        <w:t>p</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7BFDB06E" w:rsidR="00086B26" w:rsidRPr="00287D6F" w:rsidRDefault="003F6293" w:rsidP="00086B26">
      <w:pPr>
        <w:pStyle w:val="StyleCopyrightStatementAfter0ptBottomSinglesolidline1"/>
        <w:rPr>
          <w:lang w:val="en-GB"/>
        </w:rPr>
      </w:pPr>
      <w:r w:rsidRPr="00702082">
        <w:rPr>
          <w:lang w:val="en-GB"/>
        </w:rPr>
        <w:t>R. Chandrasekhar</w:t>
      </w:r>
      <w:r w:rsidR="00ED7922" w:rsidRPr="00FD7E52">
        <w:rPr>
          <w:rFonts w:cs="Arial"/>
          <w:szCs w:val="16"/>
          <w:lang w:val="en-CA"/>
        </w:rPr>
        <w:t xml:space="preserve"> </w:t>
      </w:r>
      <w:r w:rsidR="00086B26" w:rsidRPr="00287D6F">
        <w:rPr>
          <w:lang w:val="en-GB"/>
        </w:rPr>
        <w:t xml:space="preserve">wrote this case </w:t>
      </w:r>
      <w:r>
        <w:rPr>
          <w:lang w:val="en-GB"/>
        </w:rPr>
        <w:t xml:space="preserve">under the supervision of Professor Alison Konrad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681F5353" w14:textId="77777777" w:rsidR="00C02410" w:rsidRPr="00C02410" w:rsidRDefault="00C02410" w:rsidP="00C02410">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0" w:history="1">
        <w:r w:rsidRPr="00C02410">
          <w:rPr>
            <w:rFonts w:ascii="Arial" w:hAnsi="Arial"/>
            <w:i/>
            <w:iCs/>
            <w:color w:val="000000"/>
            <w:sz w:val="16"/>
          </w:rPr>
          <w:t>www.iveycases.com</w:t>
        </w:r>
      </w:hyperlink>
      <w:r w:rsidRPr="00C02410">
        <w:rPr>
          <w:rFonts w:ascii="Arial" w:hAnsi="Arial"/>
          <w:i/>
          <w:iCs/>
          <w:color w:val="000000"/>
          <w:sz w:val="16"/>
        </w:rPr>
        <w:t>.</w:t>
      </w:r>
    </w:p>
    <w:p w14:paraId="14CC7B2F" w14:textId="77777777" w:rsidR="00C02410" w:rsidRPr="00C02410" w:rsidRDefault="00C02410" w:rsidP="00C02410">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390923E0" w:rsidR="00751E0B" w:rsidRPr="00C02410" w:rsidRDefault="00C02410" w:rsidP="00C02410">
      <w:pPr>
        <w:pStyle w:val="StyleStyleCopyrightStatementAfter0ptBottomSinglesolid"/>
        <w:rPr>
          <w:rFonts w:cs="Arial"/>
          <w:szCs w:val="16"/>
        </w:rPr>
      </w:pPr>
      <w:r w:rsidRPr="00C02410">
        <w:rPr>
          <w:rFonts w:cs="Arial"/>
          <w:iCs w:val="0"/>
          <w:color w:val="auto"/>
          <w:szCs w:val="16"/>
        </w:rPr>
        <w:t>Copyright © 20</w:t>
      </w:r>
      <w:r w:rsidR="003F6293">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Version: 20</w:t>
      </w:r>
      <w:r w:rsidR="003F6293">
        <w:rPr>
          <w:rFonts w:cs="Arial"/>
          <w:iCs w:val="0"/>
          <w:color w:val="auto"/>
          <w:szCs w:val="16"/>
        </w:rPr>
        <w:t>18</w:t>
      </w:r>
      <w:r w:rsidRPr="00C02410">
        <w:rPr>
          <w:rFonts w:cs="Arial"/>
          <w:iCs w:val="0"/>
          <w:color w:val="auto"/>
          <w:szCs w:val="16"/>
        </w:rPr>
        <w:t>-</w:t>
      </w:r>
      <w:r w:rsidR="003F6293">
        <w:rPr>
          <w:rFonts w:cs="Arial"/>
          <w:iCs w:val="0"/>
          <w:color w:val="auto"/>
          <w:szCs w:val="16"/>
        </w:rPr>
        <w:t>10</w:t>
      </w:r>
      <w:r w:rsidRPr="00C02410">
        <w:rPr>
          <w:rFonts w:cs="Arial"/>
          <w:iCs w:val="0"/>
          <w:color w:val="auto"/>
          <w:szCs w:val="16"/>
        </w:rPr>
        <w:t>-</w:t>
      </w:r>
      <w:r w:rsidR="00A57AB2">
        <w:rPr>
          <w:rFonts w:cs="Arial"/>
          <w:iCs w:val="0"/>
          <w:color w:val="auto"/>
          <w:szCs w:val="16"/>
        </w:rPr>
        <w:t>15</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4B632F">
      <w:pPr>
        <w:pStyle w:val="StyleCopyrightStatementAfter0ptBottomSinglesolidline1"/>
        <w:rPr>
          <w:rFonts w:ascii="Times New Roman" w:hAnsi="Times New Roman"/>
          <w:sz w:val="20"/>
        </w:rPr>
      </w:pPr>
    </w:p>
    <w:p w14:paraId="4496C34F" w14:textId="7714D73F" w:rsidR="003F6293" w:rsidRPr="00702082" w:rsidRDefault="003F6293" w:rsidP="003F6293">
      <w:pPr>
        <w:pStyle w:val="BodyTextMain"/>
        <w:rPr>
          <w:lang w:val="en-GB"/>
        </w:rPr>
      </w:pPr>
      <w:bookmarkStart w:id="0" w:name="_Hlk498608761"/>
      <w:r w:rsidRPr="00702082">
        <w:rPr>
          <w:lang w:val="en-GB"/>
        </w:rPr>
        <w:t>It was August 2017. Luc Villeneuve</w:t>
      </w:r>
      <w:bookmarkEnd w:id="0"/>
      <w:r w:rsidRPr="00702082">
        <w:rPr>
          <w:lang w:val="en-GB"/>
        </w:rPr>
        <w:t>,</w:t>
      </w:r>
      <w:r w:rsidRPr="00C9482C">
        <w:rPr>
          <w:lang w:val="en-GB"/>
        </w:rPr>
        <w:t xml:space="preserve"> the</w:t>
      </w:r>
      <w:r w:rsidRPr="00702082">
        <w:rPr>
          <w:b/>
          <w:lang w:val="en-GB"/>
        </w:rPr>
        <w:t xml:space="preserve"> </w:t>
      </w:r>
      <w:r w:rsidRPr="00702082">
        <w:rPr>
          <w:lang w:val="en-GB"/>
        </w:rPr>
        <w:t>Canadian</w:t>
      </w:r>
      <w:r w:rsidRPr="00702082" w:rsidDel="00280535">
        <w:rPr>
          <w:lang w:val="en-GB"/>
        </w:rPr>
        <w:t xml:space="preserve"> </w:t>
      </w:r>
      <w:r w:rsidRPr="00702082">
        <w:rPr>
          <w:lang w:val="en-GB"/>
        </w:rPr>
        <w:t xml:space="preserve">country leader for Red Hat Inc. (Red Hat), an open source </w:t>
      </w:r>
      <w:r w:rsidR="00A57AB2">
        <w:rPr>
          <w:lang w:val="en-GB"/>
        </w:rPr>
        <w:t xml:space="preserve">software </w:t>
      </w:r>
      <w:r w:rsidRPr="00702082">
        <w:rPr>
          <w:lang w:val="en-GB"/>
        </w:rPr>
        <w:t xml:space="preserve">company headquartered in the United States, was reviewing the progress made by the </w:t>
      </w:r>
      <w:r>
        <w:rPr>
          <w:lang w:val="en-GB"/>
        </w:rPr>
        <w:t xml:space="preserve">Montreal-based </w:t>
      </w:r>
      <w:r w:rsidRPr="00702082">
        <w:rPr>
          <w:lang w:val="en-GB"/>
        </w:rPr>
        <w:t xml:space="preserve">Canadian subsidiary in bridging the gender gap among its employees. Red Hat Canada’s female salespeople made up 5 per cent of the customer-facing sales team when he took over as country leader in December 2013. In mid-2014, Villeneuve </w:t>
      </w:r>
      <w:r>
        <w:rPr>
          <w:lang w:val="en-GB"/>
        </w:rPr>
        <w:t xml:space="preserve">had </w:t>
      </w:r>
      <w:r w:rsidRPr="00702082">
        <w:rPr>
          <w:lang w:val="en-GB"/>
        </w:rPr>
        <w:t xml:space="preserve">set a target of increasing this </w:t>
      </w:r>
      <w:r>
        <w:rPr>
          <w:lang w:val="en-GB"/>
        </w:rPr>
        <w:t xml:space="preserve">percentage </w:t>
      </w:r>
      <w:r w:rsidRPr="00702082">
        <w:rPr>
          <w:lang w:val="en-GB"/>
        </w:rPr>
        <w:t xml:space="preserve">to </w:t>
      </w:r>
      <w:r>
        <w:rPr>
          <w:lang w:val="en-GB"/>
        </w:rPr>
        <w:t>40</w:t>
      </w:r>
      <w:r w:rsidRPr="00702082">
        <w:rPr>
          <w:lang w:val="en-GB"/>
        </w:rPr>
        <w:t xml:space="preserve"> per cent in three years. The target had just been achieved. </w:t>
      </w:r>
    </w:p>
    <w:p w14:paraId="66CF7B2C" w14:textId="77777777" w:rsidR="003F6293" w:rsidRPr="00702082" w:rsidRDefault="003F6293" w:rsidP="003F6293">
      <w:pPr>
        <w:pStyle w:val="BodyTextMain"/>
        <w:rPr>
          <w:lang w:val="en-GB"/>
        </w:rPr>
      </w:pPr>
    </w:p>
    <w:p w14:paraId="40B54025" w14:textId="481AB245" w:rsidR="003F6293" w:rsidRDefault="003F6293" w:rsidP="003F6293">
      <w:pPr>
        <w:pStyle w:val="BodyTextMain"/>
        <w:rPr>
          <w:lang w:val="en-GB"/>
        </w:rPr>
      </w:pPr>
      <w:r w:rsidRPr="00702082">
        <w:rPr>
          <w:lang w:val="en-GB"/>
        </w:rPr>
        <w:t xml:space="preserve">In a market that was becoming competitive, Red Hat had set a corporate goal of doubling its company-wide revenue from </w:t>
      </w:r>
      <w:r w:rsidR="004B3AC4">
        <w:rPr>
          <w:lang w:val="en-GB"/>
        </w:rPr>
        <w:t>US</w:t>
      </w:r>
      <w:r w:rsidRPr="00702082">
        <w:rPr>
          <w:lang w:val="en-GB"/>
        </w:rPr>
        <w:t>$2.4 billion</w:t>
      </w:r>
      <w:r>
        <w:rPr>
          <w:rStyle w:val="FootnoteReference"/>
          <w:color w:val="000000"/>
          <w:lang w:val="en-GB"/>
        </w:rPr>
        <w:footnoteReference w:id="1"/>
      </w:r>
      <w:r w:rsidRPr="00702082">
        <w:rPr>
          <w:lang w:val="en-GB"/>
        </w:rPr>
        <w:t xml:space="preserve"> for the year ending February 2017 to $5 billion for the financial year 2021–22. Red Hat was already the first among its open source peers to have reached </w:t>
      </w:r>
      <w:proofErr w:type="gramStart"/>
      <w:r w:rsidRPr="00702082">
        <w:rPr>
          <w:lang w:val="en-GB"/>
        </w:rPr>
        <w:t>a revenue</w:t>
      </w:r>
      <w:proofErr w:type="gramEnd"/>
      <w:r w:rsidRPr="00702082">
        <w:rPr>
          <w:lang w:val="en-GB"/>
        </w:rPr>
        <w:t xml:space="preserve"> of $2 billion in 2016. The renewed five-year revenue goal had energized the global company. </w:t>
      </w:r>
    </w:p>
    <w:p w14:paraId="046A9A45" w14:textId="77777777" w:rsidR="003F6293" w:rsidRDefault="003F6293" w:rsidP="003F6293">
      <w:pPr>
        <w:pStyle w:val="BodyTextMain"/>
        <w:rPr>
          <w:lang w:val="en-GB"/>
        </w:rPr>
      </w:pPr>
    </w:p>
    <w:p w14:paraId="08ACFFD8" w14:textId="6D086A41" w:rsidR="003F6293" w:rsidRPr="00702082" w:rsidRDefault="003F6293" w:rsidP="003F6293">
      <w:pPr>
        <w:pStyle w:val="BodyTextMain"/>
        <w:rPr>
          <w:lang w:val="en-GB"/>
        </w:rPr>
      </w:pPr>
      <w:r w:rsidRPr="00702082">
        <w:rPr>
          <w:lang w:val="en-GB"/>
        </w:rPr>
        <w:t>Villeneuve</w:t>
      </w:r>
      <w:r w:rsidR="00A57AB2">
        <w:rPr>
          <w:lang w:val="en-GB"/>
        </w:rPr>
        <w:t xml:space="preserve"> said</w:t>
      </w:r>
      <w:r>
        <w:rPr>
          <w:lang w:val="en-GB"/>
        </w:rPr>
        <w:t>:</w:t>
      </w:r>
    </w:p>
    <w:p w14:paraId="6FDFAC7A" w14:textId="77777777" w:rsidR="003F6293" w:rsidRPr="00702082" w:rsidRDefault="003F6293" w:rsidP="003F6293">
      <w:pPr>
        <w:pStyle w:val="BodyTextMain"/>
        <w:rPr>
          <w:lang w:val="en-GB"/>
        </w:rPr>
      </w:pPr>
    </w:p>
    <w:p w14:paraId="72E8A832" w14:textId="77777777" w:rsidR="003F6293" w:rsidRPr="00702082" w:rsidRDefault="003F6293" w:rsidP="003F6293">
      <w:pPr>
        <w:pStyle w:val="BodyTextMain"/>
        <w:ind w:left="720"/>
        <w:rPr>
          <w:lang w:val="en-GB"/>
        </w:rPr>
      </w:pPr>
      <w:r w:rsidRPr="00702082">
        <w:rPr>
          <w:lang w:val="en-GB"/>
        </w:rPr>
        <w:t>In tune with the growth target, we will begin to scale up in Canada on many fronts: new technologies, new services, new partnerships, new customers, and new employees. I am wondering</w:t>
      </w:r>
      <w:r>
        <w:rPr>
          <w:lang w:val="en-GB"/>
        </w:rPr>
        <w:t xml:space="preserve">: </w:t>
      </w:r>
      <w:r w:rsidRPr="00702082">
        <w:rPr>
          <w:lang w:val="en-GB"/>
        </w:rPr>
        <w:t xml:space="preserve">How do we scale up gender diversity in Red Hat Canada even as we start bringing in new people? How do we sustain the momentum we have built in the last three years in bridging the gender gap and take it to the next level? How do we leverage our takeaways so far, in managing diversity as a business issue, to go beyond gender parity? </w:t>
      </w:r>
    </w:p>
    <w:p w14:paraId="62898B4F" w14:textId="77777777" w:rsidR="003F6293" w:rsidRPr="00702082" w:rsidRDefault="003F6293" w:rsidP="003F6293">
      <w:pPr>
        <w:pStyle w:val="BodyTextMain"/>
        <w:rPr>
          <w:lang w:val="en-GB"/>
        </w:rPr>
      </w:pPr>
    </w:p>
    <w:p w14:paraId="51B24D5C" w14:textId="77777777" w:rsidR="003F6293" w:rsidRPr="00702082" w:rsidRDefault="003F6293" w:rsidP="003F6293">
      <w:pPr>
        <w:pStyle w:val="BodyTextMain"/>
        <w:rPr>
          <w:lang w:val="en-GB"/>
        </w:rPr>
      </w:pPr>
    </w:p>
    <w:p w14:paraId="404E9F55" w14:textId="77777777" w:rsidR="003F6293" w:rsidRPr="004E766C" w:rsidRDefault="003F6293" w:rsidP="003F6293">
      <w:pPr>
        <w:pStyle w:val="Casehead1"/>
        <w:rPr>
          <w:lang w:val="en-GB"/>
        </w:rPr>
      </w:pPr>
      <w:r w:rsidRPr="004E766C">
        <w:rPr>
          <w:lang w:val="en-GB"/>
        </w:rPr>
        <w:t xml:space="preserve">GENDER ISSUES IN THE information and communications technology INDUSTRY </w:t>
      </w:r>
    </w:p>
    <w:p w14:paraId="234362B6" w14:textId="77777777" w:rsidR="003F6293" w:rsidRPr="00702082" w:rsidRDefault="003F6293" w:rsidP="003F6293">
      <w:pPr>
        <w:pStyle w:val="BodyTextMain"/>
        <w:rPr>
          <w:lang w:val="en-GB"/>
        </w:rPr>
      </w:pPr>
    </w:p>
    <w:p w14:paraId="6B2EA9FF" w14:textId="77777777" w:rsidR="003F6293" w:rsidRPr="00702082" w:rsidRDefault="003F6293" w:rsidP="003F6293">
      <w:pPr>
        <w:pStyle w:val="BodyTextMain"/>
        <w:rPr>
          <w:lang w:val="en-GB"/>
        </w:rPr>
      </w:pPr>
      <w:r w:rsidRPr="00702082">
        <w:rPr>
          <w:lang w:val="en-GB"/>
        </w:rPr>
        <w:t>The information and communications technology (ICT) industry consisted of mega enterprises, small scale firms, and start-ups. The enterprise software market, of which Red Hat was part, was a major segment of the ICT industry. With revenues of $321 billion in 2016, the segment was growing at 6 per cent per annum.</w:t>
      </w:r>
    </w:p>
    <w:p w14:paraId="783C7938" w14:textId="77777777" w:rsidR="003F6293" w:rsidRPr="00702082" w:rsidRDefault="003F6293" w:rsidP="003F6293">
      <w:pPr>
        <w:pStyle w:val="BodyTextMain"/>
        <w:rPr>
          <w:lang w:val="en-GB"/>
        </w:rPr>
      </w:pPr>
    </w:p>
    <w:p w14:paraId="4303549A" w14:textId="76E129A2" w:rsidR="003F6293" w:rsidRPr="00702082" w:rsidRDefault="003F6293" w:rsidP="003F6293">
      <w:pPr>
        <w:pStyle w:val="BodyTextMain"/>
        <w:rPr>
          <w:lang w:val="en-GB"/>
        </w:rPr>
      </w:pPr>
      <w:r w:rsidRPr="00702082">
        <w:rPr>
          <w:color w:val="000000"/>
          <w:lang w:val="en-GB"/>
        </w:rPr>
        <w:lastRenderedPageBreak/>
        <w:t xml:space="preserve">A gender gap prevailed in each ICT category. </w:t>
      </w:r>
      <w:r w:rsidRPr="00702082">
        <w:rPr>
          <w:lang w:val="en-GB"/>
        </w:rPr>
        <w:t>The industry had been unwelcoming to women for a long time. In 2015, according to the World Economic Forum, the share of women in the ICT industry worldwide was 21 per cent</w:t>
      </w:r>
      <w:r w:rsidRPr="00702082">
        <w:rPr>
          <w:rStyle w:val="FootnoteReference"/>
          <w:lang w:val="en-GB"/>
        </w:rPr>
        <w:footnoteReference w:id="2"/>
      </w:r>
      <w:r w:rsidRPr="00702082">
        <w:rPr>
          <w:lang w:val="en-GB"/>
        </w:rPr>
        <w:t xml:space="preserve"> (see Exhibit 1). In Canada, several studies had highlighted the prevalence of a gender gap in </w:t>
      </w:r>
      <w:r>
        <w:rPr>
          <w:lang w:val="en-GB"/>
        </w:rPr>
        <w:t xml:space="preserve">the </w:t>
      </w:r>
      <w:r w:rsidRPr="00702082">
        <w:rPr>
          <w:lang w:val="en-GB"/>
        </w:rPr>
        <w:t>ICT</w:t>
      </w:r>
      <w:r>
        <w:rPr>
          <w:lang w:val="en-GB"/>
        </w:rPr>
        <w:t xml:space="preserve"> industry</w:t>
      </w:r>
      <w:r w:rsidRPr="00702082">
        <w:rPr>
          <w:lang w:val="en-GB"/>
        </w:rPr>
        <w:t>. One of the earliest was done in 2006 by the Information and Communications Technology Council, a non-profit organization based in Ottawa</w:t>
      </w:r>
      <w:r w:rsidR="00A57AB2">
        <w:rPr>
          <w:lang w:val="en-GB"/>
        </w:rPr>
        <w:t>, Ontario</w:t>
      </w:r>
      <w:r w:rsidRPr="00702082">
        <w:rPr>
          <w:lang w:val="en-GB"/>
        </w:rPr>
        <w:t>. It pointed out that 23.4 per cent of workers in ICT occupations in Canada were female.</w:t>
      </w:r>
      <w:r w:rsidRPr="00702082">
        <w:rPr>
          <w:rStyle w:val="FootnoteReference"/>
          <w:lang w:val="en-GB"/>
        </w:rPr>
        <w:footnoteReference w:id="3"/>
      </w:r>
      <w:r w:rsidRPr="00702082">
        <w:rPr>
          <w:lang w:val="en-GB"/>
        </w:rPr>
        <w:t xml:space="preserve"> This figure had changed very slowly in the ensuing decade. A 2016 study by the Information Technology Association of Canada, a business body, said that women represented 25 per cent of the workforce in the Canadian tech sector.</w:t>
      </w:r>
      <w:r w:rsidRPr="00702082">
        <w:rPr>
          <w:rStyle w:val="FootnoteReference"/>
          <w:lang w:val="en-GB"/>
        </w:rPr>
        <w:footnoteReference w:id="4"/>
      </w:r>
    </w:p>
    <w:p w14:paraId="71D16A24" w14:textId="77777777" w:rsidR="003F6293" w:rsidRPr="00702082" w:rsidRDefault="003F6293" w:rsidP="003F6293">
      <w:pPr>
        <w:pStyle w:val="BodyTextMain"/>
        <w:rPr>
          <w:lang w:val="en-GB"/>
        </w:rPr>
      </w:pPr>
    </w:p>
    <w:p w14:paraId="09E1CAE3" w14:textId="77777777" w:rsidR="003F6293" w:rsidRPr="00702082" w:rsidRDefault="003F6293" w:rsidP="003F6293">
      <w:pPr>
        <w:pStyle w:val="BodyTextMain"/>
        <w:rPr>
          <w:lang w:val="en-GB"/>
        </w:rPr>
      </w:pPr>
      <w:r w:rsidRPr="00702082">
        <w:rPr>
          <w:lang w:val="en-GB"/>
        </w:rPr>
        <w:t>One of the high-profile activities in the ICT industry was venture capital funding, which was characterized by a gender gap in its own right. In 2005, for example, only 7 per cent of founders listed on Bloomberg were women. Companies founded by women also secured less funding, averaging $77 million compared with $100 million for start-ups led by men. The shortfall paralleled the overall pay gap in the United States, where women were paid an average of 79 cents for every salary dollar earned by men.</w:t>
      </w:r>
      <w:r w:rsidRPr="00702082">
        <w:rPr>
          <w:rStyle w:val="FootnoteReference"/>
          <w:lang w:val="en-GB"/>
        </w:rPr>
        <w:footnoteReference w:id="5"/>
      </w:r>
    </w:p>
    <w:p w14:paraId="363117D8" w14:textId="77777777" w:rsidR="003F6293" w:rsidRPr="00702082" w:rsidRDefault="003F6293" w:rsidP="003F6293">
      <w:pPr>
        <w:pStyle w:val="BodyTextMain"/>
        <w:rPr>
          <w:lang w:val="en-GB"/>
        </w:rPr>
      </w:pPr>
    </w:p>
    <w:p w14:paraId="146C87D9" w14:textId="0B34717F" w:rsidR="003F6293" w:rsidRPr="00702082" w:rsidRDefault="003F6293" w:rsidP="003F6293">
      <w:pPr>
        <w:pStyle w:val="BodyTextMain"/>
        <w:rPr>
          <w:lang w:val="en-GB"/>
        </w:rPr>
      </w:pPr>
      <w:r w:rsidRPr="00702082">
        <w:rPr>
          <w:lang w:val="en-GB"/>
        </w:rPr>
        <w:t>The open source development community, in particular, was identified as “startlingly white and male—even by the tech industry’s standards,” according to a survey conducted by GitHub</w:t>
      </w:r>
      <w:r w:rsidR="00A57AB2">
        <w:rPr>
          <w:lang w:val="en-GB"/>
        </w:rPr>
        <w:t xml:space="preserve"> Inc.</w:t>
      </w:r>
      <w:r w:rsidRPr="00702082">
        <w:rPr>
          <w:lang w:val="en-GB"/>
        </w:rPr>
        <w:t>, the leading repository of open</w:t>
      </w:r>
      <w:r>
        <w:rPr>
          <w:lang w:val="en-GB"/>
        </w:rPr>
        <w:t xml:space="preserve"> </w:t>
      </w:r>
      <w:r w:rsidRPr="00702082">
        <w:rPr>
          <w:lang w:val="en-GB"/>
        </w:rPr>
        <w:t>source code.</w:t>
      </w:r>
      <w:r w:rsidRPr="00702082">
        <w:rPr>
          <w:rStyle w:val="FootnoteReference"/>
          <w:lang w:val="en-GB"/>
        </w:rPr>
        <w:footnoteReference w:id="6"/>
      </w:r>
      <w:r w:rsidRPr="00702082">
        <w:rPr>
          <w:lang w:val="en-GB"/>
        </w:rPr>
        <w:t xml:space="preserve"> In a June 2017 survey of 5,500 open</w:t>
      </w:r>
      <w:r>
        <w:rPr>
          <w:lang w:val="en-GB"/>
        </w:rPr>
        <w:t xml:space="preserve"> </w:t>
      </w:r>
      <w:r w:rsidRPr="00702082">
        <w:rPr>
          <w:lang w:val="en-GB"/>
        </w:rPr>
        <w:t>source users and developers from around the world on a range of issues, GitHub</w:t>
      </w:r>
      <w:r w:rsidR="00A57AB2">
        <w:rPr>
          <w:lang w:val="en-GB"/>
        </w:rPr>
        <w:t xml:space="preserve"> Inc.</w:t>
      </w:r>
      <w:r w:rsidRPr="00702082">
        <w:rPr>
          <w:lang w:val="en-GB"/>
        </w:rPr>
        <w:t xml:space="preserve"> found that 95 per cent of respondents of the randomly selected cohort were male.</w:t>
      </w:r>
      <w:r>
        <w:rPr>
          <w:lang w:val="en-GB"/>
        </w:rPr>
        <w:t xml:space="preserve"> </w:t>
      </w:r>
      <w:r w:rsidRPr="00702082">
        <w:rPr>
          <w:lang w:val="en-GB"/>
        </w:rPr>
        <w:t>Villeneuve</w:t>
      </w:r>
      <w:r w:rsidR="00A57AB2">
        <w:rPr>
          <w:lang w:val="en-GB"/>
        </w:rPr>
        <w:t xml:space="preserve"> said</w:t>
      </w:r>
      <w:r>
        <w:rPr>
          <w:lang w:val="en-GB"/>
        </w:rPr>
        <w:t>:</w:t>
      </w:r>
    </w:p>
    <w:p w14:paraId="22A44329" w14:textId="77777777" w:rsidR="003F6293" w:rsidRPr="00702082" w:rsidRDefault="003F6293" w:rsidP="003F6293">
      <w:pPr>
        <w:pStyle w:val="BodyTextMain"/>
        <w:rPr>
          <w:lang w:val="en-GB"/>
        </w:rPr>
      </w:pPr>
    </w:p>
    <w:p w14:paraId="12B13FA2" w14:textId="77777777" w:rsidR="003F6293" w:rsidRPr="00702082" w:rsidRDefault="003F6293" w:rsidP="003F6293">
      <w:pPr>
        <w:pStyle w:val="BodyTextMain"/>
        <w:ind w:left="432"/>
        <w:rPr>
          <w:lang w:val="en-GB"/>
        </w:rPr>
      </w:pPr>
      <w:r w:rsidRPr="00702082">
        <w:rPr>
          <w:lang w:val="en-GB"/>
        </w:rPr>
        <w:t xml:space="preserve">The gender gap in ICT is a paradox to me. Consider the key success factors for an entrepreneur or a career professional in ICT—an ability to trust one’s intuitive feelings, a willingness to receive new ideas, a readiness to accept feedback, an unrelenting focus on continuous improvement, and a </w:t>
      </w:r>
      <w:proofErr w:type="spellStart"/>
      <w:r w:rsidRPr="00702082">
        <w:rPr>
          <w:lang w:val="en-GB"/>
        </w:rPr>
        <w:t>mindset</w:t>
      </w:r>
      <w:proofErr w:type="spellEnd"/>
      <w:r w:rsidRPr="00702082">
        <w:rPr>
          <w:lang w:val="en-GB"/>
        </w:rPr>
        <w:t xml:space="preserve"> that does not accept the status quo. Women possess all of these attributes. In addition, the tech industry is based on relationships, particularly on the sales side. Soft skills override qualifications. Women are better than men in that area too. There is also enough evidence to show that gender parity is good for business.</w:t>
      </w:r>
    </w:p>
    <w:p w14:paraId="34E2E51F" w14:textId="77777777" w:rsidR="003F6293" w:rsidRPr="00702082" w:rsidRDefault="003F6293" w:rsidP="003F6293">
      <w:pPr>
        <w:pStyle w:val="BodyTextMain"/>
        <w:rPr>
          <w:lang w:val="en-GB"/>
        </w:rPr>
      </w:pPr>
    </w:p>
    <w:p w14:paraId="7F7CA3BC" w14:textId="77777777" w:rsidR="003F6293" w:rsidRPr="00702082" w:rsidRDefault="003F6293" w:rsidP="003F6293">
      <w:pPr>
        <w:pStyle w:val="BodyTextMain"/>
        <w:rPr>
          <w:lang w:val="en-GB"/>
        </w:rPr>
      </w:pPr>
      <w:r w:rsidRPr="00702082">
        <w:rPr>
          <w:lang w:val="en-GB"/>
        </w:rPr>
        <w:t>For example, a study by the Waterloo-based Centre for International Governance Innovation showed that diversity was good for business. It looked at what it called ethno-cultural diversity, which included gender diversity. The study revealed that a 1.0 per cent increase in ethno-cultural diversity could deliver a 2.4 per cent increase in revenue and a 0.5 per cent increase in workplace productivity.</w:t>
      </w:r>
      <w:r w:rsidRPr="00702082">
        <w:rPr>
          <w:rStyle w:val="FootnoteReference"/>
          <w:lang w:val="en-GB"/>
        </w:rPr>
        <w:footnoteReference w:id="7"/>
      </w:r>
      <w:r>
        <w:rPr>
          <w:lang w:val="en-GB"/>
        </w:rPr>
        <w:t xml:space="preserve"> </w:t>
      </w:r>
    </w:p>
    <w:p w14:paraId="6BA25C74" w14:textId="77777777" w:rsidR="003F6293" w:rsidRPr="00702082" w:rsidRDefault="003F6293" w:rsidP="003F6293">
      <w:pPr>
        <w:pStyle w:val="BodyTextMain"/>
        <w:rPr>
          <w:lang w:val="en-GB"/>
        </w:rPr>
      </w:pPr>
    </w:p>
    <w:p w14:paraId="4EC1C367" w14:textId="77777777" w:rsidR="003F6293" w:rsidRDefault="003F6293" w:rsidP="003F6293">
      <w:pPr>
        <w:pStyle w:val="BodyTextMain"/>
        <w:rPr>
          <w:lang w:val="en-GB"/>
        </w:rPr>
      </w:pPr>
      <w:r w:rsidRPr="00702082">
        <w:rPr>
          <w:bCs/>
          <w:lang w:val="en-GB"/>
        </w:rPr>
        <w:t xml:space="preserve">The reasons given for women’s low rate of participation in the ICT industry were consistent in several studies. They included girls opting less for science and mathematics, which were the building blocks for a </w:t>
      </w:r>
      <w:r w:rsidRPr="00702082">
        <w:rPr>
          <w:bCs/>
          <w:lang w:val="en-GB"/>
        </w:rPr>
        <w:lastRenderedPageBreak/>
        <w:t xml:space="preserve">career in technology; fewer networking opportunities for professional women; and women </w:t>
      </w:r>
      <w:r w:rsidRPr="00702082">
        <w:rPr>
          <w:lang w:val="en-GB"/>
        </w:rPr>
        <w:t>not being heard the same way as men in group sessions.</w:t>
      </w:r>
    </w:p>
    <w:p w14:paraId="7A722A98" w14:textId="77777777" w:rsidR="003F6293" w:rsidRDefault="003F6293" w:rsidP="003F6293">
      <w:pPr>
        <w:pStyle w:val="BodyTextMain"/>
        <w:rPr>
          <w:lang w:val="en-GB"/>
        </w:rPr>
      </w:pPr>
    </w:p>
    <w:p w14:paraId="08D903CE" w14:textId="544A5ADB" w:rsidR="003F6293" w:rsidRDefault="003F6293" w:rsidP="003F6293">
      <w:pPr>
        <w:pStyle w:val="BodyTextMain"/>
        <w:rPr>
          <w:lang w:val="en-GB"/>
        </w:rPr>
      </w:pPr>
      <w:r w:rsidRPr="00695617">
        <w:rPr>
          <w:lang w:val="en-GB"/>
        </w:rPr>
        <w:t xml:space="preserve">Alicia Close, </w:t>
      </w:r>
      <w:r>
        <w:rPr>
          <w:lang w:val="en-GB"/>
        </w:rPr>
        <w:t>f</w:t>
      </w:r>
      <w:r w:rsidRPr="00695617">
        <w:rPr>
          <w:lang w:val="en-GB"/>
        </w:rPr>
        <w:t xml:space="preserve">ounder </w:t>
      </w:r>
      <w:r>
        <w:rPr>
          <w:lang w:val="en-GB"/>
        </w:rPr>
        <w:t>and chief executive officer</w:t>
      </w:r>
      <w:r w:rsidRPr="00695617">
        <w:rPr>
          <w:lang w:val="en-GB"/>
        </w:rPr>
        <w:t xml:space="preserve"> </w:t>
      </w:r>
      <w:r>
        <w:rPr>
          <w:lang w:val="en-GB"/>
        </w:rPr>
        <w:t>(</w:t>
      </w:r>
      <w:r w:rsidRPr="00695617">
        <w:rPr>
          <w:lang w:val="en-GB"/>
        </w:rPr>
        <w:t>CEO</w:t>
      </w:r>
      <w:r>
        <w:rPr>
          <w:lang w:val="en-GB"/>
        </w:rPr>
        <w:t>)</w:t>
      </w:r>
      <w:r w:rsidRPr="00695617">
        <w:rPr>
          <w:lang w:val="en-GB"/>
        </w:rPr>
        <w:t xml:space="preserve"> </w:t>
      </w:r>
      <w:r>
        <w:rPr>
          <w:lang w:val="en-GB"/>
        </w:rPr>
        <w:t xml:space="preserve">of </w:t>
      </w:r>
      <w:r w:rsidRPr="00695617">
        <w:rPr>
          <w:lang w:val="en-GB"/>
        </w:rPr>
        <w:t>Women in Tech World,</w:t>
      </w:r>
      <w:r w:rsidR="00A57AB2">
        <w:rPr>
          <w:rStyle w:val="FootnoteReference"/>
          <w:lang w:val="en-GB"/>
        </w:rPr>
        <w:footnoteReference w:id="8"/>
      </w:r>
      <w:r w:rsidRPr="00695617">
        <w:rPr>
          <w:lang w:val="en-GB"/>
        </w:rPr>
        <w:t xml:space="preserve"> </w:t>
      </w:r>
      <w:r w:rsidR="00A57AB2">
        <w:rPr>
          <w:lang w:val="en-GB"/>
        </w:rPr>
        <w:t>said</w:t>
      </w:r>
      <w:r>
        <w:rPr>
          <w:lang w:val="en-GB"/>
        </w:rPr>
        <w:t>:</w:t>
      </w:r>
    </w:p>
    <w:p w14:paraId="0873AF9C" w14:textId="77777777" w:rsidR="003F6293" w:rsidRDefault="003F6293" w:rsidP="003F6293">
      <w:pPr>
        <w:pStyle w:val="BodyTextMain"/>
        <w:rPr>
          <w:lang w:val="en-GB"/>
        </w:rPr>
      </w:pPr>
    </w:p>
    <w:p w14:paraId="5924A8DF" w14:textId="77777777" w:rsidR="003F6293" w:rsidRPr="00771D6C" w:rsidRDefault="003F6293" w:rsidP="003F6293">
      <w:pPr>
        <w:pStyle w:val="BodyTextMain"/>
        <w:ind w:left="720"/>
        <w:rPr>
          <w:lang w:val="en-GB"/>
        </w:rPr>
      </w:pPr>
      <w:r w:rsidRPr="00771D6C">
        <w:rPr>
          <w:lang w:val="en-GB"/>
        </w:rPr>
        <w:t>It is also important for women to advocate for themselves. Self-advocating creates opportunities and initiates difficult conversations to be had: whether it is asking for a promotion, being heard or taking risks. There are structural and cultural shifts required to create more diverse and inclusive tech communities, including changes to hiring practices and processes to mitigate biases. For example, research shows listeners tend to have a bias against women voices, even when they're saying the same thing as a man.</w:t>
      </w:r>
      <w:r>
        <w:rPr>
          <w:rStyle w:val="FootnoteReference"/>
          <w:lang w:val="en-GB"/>
        </w:rPr>
        <w:footnoteReference w:id="9"/>
      </w:r>
      <w:r w:rsidRPr="00771D6C">
        <w:rPr>
          <w:lang w:val="en-GB"/>
        </w:rPr>
        <w:t xml:space="preserve"> Therefore, in the current system, it is important to advocate for women and amplify their voice by giving credit where credit is due.</w:t>
      </w:r>
    </w:p>
    <w:p w14:paraId="6E6F4B80" w14:textId="332C324E" w:rsidR="003F6293" w:rsidRPr="00702082" w:rsidRDefault="003F6293" w:rsidP="003F6293">
      <w:pPr>
        <w:pStyle w:val="BodyTextMain"/>
        <w:rPr>
          <w:lang w:val="en-GB"/>
        </w:rPr>
      </w:pPr>
    </w:p>
    <w:p w14:paraId="3EB05B32" w14:textId="438C542E" w:rsidR="003F6293" w:rsidRPr="00702082" w:rsidRDefault="003F6293" w:rsidP="003F6293">
      <w:pPr>
        <w:pStyle w:val="BodyTextMain"/>
        <w:rPr>
          <w:lang w:val="en-GB"/>
        </w:rPr>
      </w:pPr>
      <w:r w:rsidRPr="00702082">
        <w:rPr>
          <w:color w:val="000000"/>
          <w:lang w:val="en-GB"/>
        </w:rPr>
        <w:t xml:space="preserve">A long-standing factor contributing to the gender gap was gender bias, which was brought home by a </w:t>
      </w:r>
      <w:r w:rsidRPr="00702082">
        <w:rPr>
          <w:lang w:val="en-GB"/>
        </w:rPr>
        <w:t>social experiment conducted by the British Broadcasting Corporation</w:t>
      </w:r>
      <w:r w:rsidR="00A57AB2">
        <w:rPr>
          <w:lang w:val="en-GB"/>
        </w:rPr>
        <w:t xml:space="preserve"> (BBC)</w:t>
      </w:r>
      <w:r w:rsidRPr="00702082">
        <w:rPr>
          <w:lang w:val="en-GB"/>
        </w:rPr>
        <w:t xml:space="preserve"> in mid-2017 as part of a documentary. When boys wore girls’ clothes, unknowing adults gave them dolls to play with; and when girls wore boys’ clothes, they were encouraged to ride bikes. The bias was evident.</w:t>
      </w:r>
      <w:r w:rsidRPr="00702082">
        <w:rPr>
          <w:rStyle w:val="FootnoteReference"/>
          <w:lang w:val="en-GB"/>
        </w:rPr>
        <w:footnoteReference w:id="10"/>
      </w:r>
      <w:r w:rsidRPr="00702082">
        <w:rPr>
          <w:lang w:val="en-GB"/>
        </w:rPr>
        <w:t xml:space="preserve"> “It is evident even among well-meaning men in the ICT industry,” sa</w:t>
      </w:r>
      <w:r>
        <w:rPr>
          <w:lang w:val="en-GB"/>
        </w:rPr>
        <w:t>id</w:t>
      </w:r>
      <w:r w:rsidRPr="00702082">
        <w:rPr>
          <w:lang w:val="en-GB"/>
        </w:rPr>
        <w:t xml:space="preserve"> Richard Seguin, director of public sector sales at Red Hat Canada</w:t>
      </w:r>
      <w:r>
        <w:rPr>
          <w:lang w:val="en-GB"/>
        </w:rPr>
        <w:t>.</w:t>
      </w:r>
      <w:r w:rsidRPr="00702082">
        <w:rPr>
          <w:lang w:val="en-GB"/>
        </w:rPr>
        <w:t xml:space="preserve"> “I remember a speaker at a trade convention saying, with a straight face, ‘I like to hire women as graphic designers and user interface people. I think women lean to pretty things like graphics because they are more flowery. Men are okay for hard-core stuff like coding and data analytics.’”</w:t>
      </w:r>
    </w:p>
    <w:p w14:paraId="0EA76402" w14:textId="77777777" w:rsidR="003F6293" w:rsidRPr="00702082" w:rsidRDefault="003F6293" w:rsidP="003F6293">
      <w:pPr>
        <w:pStyle w:val="BodyTextMain"/>
        <w:rPr>
          <w:lang w:val="en-GB"/>
        </w:rPr>
      </w:pPr>
    </w:p>
    <w:p w14:paraId="46B46835" w14:textId="77777777" w:rsidR="003F6293" w:rsidRPr="00702082" w:rsidRDefault="003F6293" w:rsidP="003F6293">
      <w:pPr>
        <w:pStyle w:val="BodyTextMain"/>
        <w:rPr>
          <w:lang w:val="en-GB"/>
        </w:rPr>
      </w:pPr>
    </w:p>
    <w:p w14:paraId="120E9E09" w14:textId="77777777" w:rsidR="003F6293" w:rsidRPr="00702082" w:rsidRDefault="003F6293" w:rsidP="003F6293">
      <w:pPr>
        <w:pStyle w:val="Casehead1"/>
      </w:pPr>
      <w:r w:rsidRPr="00702082">
        <w:t xml:space="preserve">RED HAT COMPANY BACKGROUND </w:t>
      </w:r>
    </w:p>
    <w:p w14:paraId="55D17E82" w14:textId="77777777" w:rsidR="003F6293" w:rsidRPr="00702082" w:rsidRDefault="003F6293" w:rsidP="003F6293">
      <w:pPr>
        <w:pStyle w:val="BodyTextMain"/>
        <w:rPr>
          <w:lang w:val="en-GB"/>
        </w:rPr>
      </w:pPr>
    </w:p>
    <w:p w14:paraId="60EF26C1" w14:textId="77777777" w:rsidR="003F6293" w:rsidRPr="00702082" w:rsidRDefault="003F6293" w:rsidP="003F6293">
      <w:pPr>
        <w:pStyle w:val="BodyTextMain"/>
        <w:rPr>
          <w:lang w:val="en-GB"/>
        </w:rPr>
      </w:pPr>
      <w:r w:rsidRPr="00702082">
        <w:rPr>
          <w:lang w:val="en-GB"/>
        </w:rPr>
        <w:t xml:space="preserve">Red Hat was an American software company headquartered in Raleigh, North Carolina. It was founded in 1993 by Bob Young, a Canadian </w:t>
      </w:r>
      <w:r>
        <w:rPr>
          <w:lang w:val="en-GB"/>
        </w:rPr>
        <w:t>who sold</w:t>
      </w:r>
      <w:r w:rsidRPr="00702082">
        <w:rPr>
          <w:lang w:val="en-GB"/>
        </w:rPr>
        <w:t xml:space="preserve"> software accessories, and Marc Ewing, an American </w:t>
      </w:r>
      <w:r>
        <w:rPr>
          <w:lang w:val="en-GB"/>
        </w:rPr>
        <w:t xml:space="preserve">who </w:t>
      </w:r>
      <w:r w:rsidRPr="00702082">
        <w:rPr>
          <w:lang w:val="en-GB"/>
        </w:rPr>
        <w:t>distribut</w:t>
      </w:r>
      <w:r>
        <w:rPr>
          <w:lang w:val="en-GB"/>
        </w:rPr>
        <w:t>ed</w:t>
      </w:r>
      <w:r w:rsidRPr="00702082">
        <w:rPr>
          <w:lang w:val="en-GB"/>
        </w:rPr>
        <w:t xml:space="preserve"> software. The name for the company, which they started by merging their businesses, came from a red lacrosse hat that Ewing had worn while attending Carnegie Mellon University. The company grew through acquisitions over the next two decades. Red Hat had revenues of $2.4 billion and net income of $254 million for the year ending February 2017 (see Exhibit 2). It had 10,500 employees in more than 90 locations around the world.</w:t>
      </w:r>
    </w:p>
    <w:p w14:paraId="51AE98AC" w14:textId="77777777" w:rsidR="003F6293" w:rsidRPr="00702082" w:rsidRDefault="003F6293" w:rsidP="003F6293">
      <w:pPr>
        <w:pStyle w:val="BodyTextMain"/>
        <w:rPr>
          <w:lang w:val="en-GB"/>
        </w:rPr>
      </w:pPr>
    </w:p>
    <w:p w14:paraId="3223E12B" w14:textId="77777777" w:rsidR="003F6293" w:rsidRPr="00702082" w:rsidRDefault="003F6293" w:rsidP="003F6293">
      <w:pPr>
        <w:pStyle w:val="BodyTextMain"/>
        <w:rPr>
          <w:lang w:val="en-GB"/>
        </w:rPr>
      </w:pPr>
    </w:p>
    <w:p w14:paraId="2581EA91" w14:textId="77777777" w:rsidR="003F6293" w:rsidRPr="00702082" w:rsidRDefault="003F6293" w:rsidP="003F6293">
      <w:pPr>
        <w:pStyle w:val="Casehead2"/>
        <w:rPr>
          <w:lang w:val="en-GB"/>
        </w:rPr>
      </w:pPr>
      <w:r w:rsidRPr="00702082">
        <w:rPr>
          <w:lang w:val="en-GB"/>
        </w:rPr>
        <w:t>Business Model</w:t>
      </w:r>
    </w:p>
    <w:p w14:paraId="04107C25" w14:textId="77777777" w:rsidR="003F6293" w:rsidRPr="00702082" w:rsidRDefault="003F6293" w:rsidP="003F6293">
      <w:pPr>
        <w:pStyle w:val="BodyTextMain"/>
        <w:rPr>
          <w:lang w:val="en-GB"/>
        </w:rPr>
      </w:pPr>
    </w:p>
    <w:p w14:paraId="07774527" w14:textId="77777777" w:rsidR="003F6293" w:rsidRPr="00702082" w:rsidRDefault="003F6293" w:rsidP="003F6293">
      <w:pPr>
        <w:pStyle w:val="BodyTextMain"/>
        <w:rPr>
          <w:lang w:val="en-GB"/>
        </w:rPr>
      </w:pPr>
      <w:r w:rsidRPr="00702082">
        <w:rPr>
          <w:lang w:val="en-GB"/>
        </w:rPr>
        <w:t>Red Hat followed the open-source software model by tapping into the collective knowledge of a global community of independent software contributors</w:t>
      </w:r>
      <w:r>
        <w:rPr>
          <w:lang w:val="en-GB"/>
        </w:rPr>
        <w:t>,</w:t>
      </w:r>
      <w:r w:rsidRPr="00702082">
        <w:rPr>
          <w:lang w:val="en-GB"/>
        </w:rPr>
        <w:t xml:space="preserve"> and </w:t>
      </w:r>
      <w:r>
        <w:rPr>
          <w:lang w:val="en-GB"/>
        </w:rPr>
        <w:t xml:space="preserve">then </w:t>
      </w:r>
      <w:r w:rsidRPr="00702082">
        <w:rPr>
          <w:lang w:val="en-GB"/>
        </w:rPr>
        <w:t>integrat</w:t>
      </w:r>
      <w:r>
        <w:rPr>
          <w:lang w:val="en-GB"/>
        </w:rPr>
        <w:t>ing</w:t>
      </w:r>
      <w:r w:rsidRPr="00702082">
        <w:rPr>
          <w:lang w:val="en-GB"/>
        </w:rPr>
        <w:t xml:space="preserve"> the input into its software products and services. It offered recipients of the software the rights to use, copy, modify, and redistribute it. The rights provided latitude to inspect, customize, or enhance the software. The model was transparent and enlarged customer choice. </w:t>
      </w:r>
    </w:p>
    <w:p w14:paraId="05A49501" w14:textId="77777777" w:rsidR="003F6293" w:rsidRPr="00702082" w:rsidRDefault="003F6293" w:rsidP="003F6293">
      <w:pPr>
        <w:pStyle w:val="BodyTextMain"/>
        <w:rPr>
          <w:lang w:val="en-GB"/>
        </w:rPr>
      </w:pPr>
    </w:p>
    <w:p w14:paraId="15F504CF" w14:textId="77777777" w:rsidR="003F6293" w:rsidRPr="00702082" w:rsidRDefault="003F6293" w:rsidP="003F6293">
      <w:pPr>
        <w:pStyle w:val="BodyTextMain"/>
        <w:rPr>
          <w:lang w:val="en-GB"/>
        </w:rPr>
      </w:pPr>
      <w:r w:rsidRPr="00702082">
        <w:rPr>
          <w:lang w:val="en-GB"/>
        </w:rPr>
        <w:t xml:space="preserve">The open-source software model was in contrast to the traditional proprietary software model, wherein a vendor developed the software on its own and licensed only the machine-readable binary (or object) code </w:t>
      </w:r>
      <w:r w:rsidRPr="00702082">
        <w:rPr>
          <w:lang w:val="en-GB"/>
        </w:rPr>
        <w:lastRenderedPageBreak/>
        <w:t>version of the software to users. This model offered no access to the underlying source code. The user had no rights to copy, modify, or redistribute the software.</w:t>
      </w:r>
    </w:p>
    <w:p w14:paraId="73C62A93" w14:textId="77777777" w:rsidR="003F6293" w:rsidRPr="00A65BD1" w:rsidRDefault="003F6293" w:rsidP="003F6293">
      <w:pPr>
        <w:pStyle w:val="BodyTextMain"/>
      </w:pPr>
    </w:p>
    <w:p w14:paraId="145C3E25" w14:textId="77777777" w:rsidR="003F6293" w:rsidRPr="00A65BD1" w:rsidRDefault="003F6293" w:rsidP="003F6293">
      <w:pPr>
        <w:pStyle w:val="BodyTextMain"/>
      </w:pPr>
      <w:r w:rsidRPr="00A65BD1">
        <w:t>A unique feature of Red Hat’s business model was that the company was offering services rather than products, and the services were being delivered in partnership with the company’s competitors. Co</w:t>
      </w:r>
      <w:r w:rsidRPr="00A65BD1">
        <w:noBreakHyphen/>
        <w:t>opetition, as such partnerships were known, reinforced the company’s open source model.</w:t>
      </w:r>
    </w:p>
    <w:p w14:paraId="31C8C4C5" w14:textId="77777777" w:rsidR="003F6293" w:rsidRPr="00A65BD1" w:rsidRDefault="003F6293" w:rsidP="003F6293">
      <w:pPr>
        <w:pStyle w:val="BodyTextMain"/>
      </w:pPr>
    </w:p>
    <w:p w14:paraId="7E317D4C" w14:textId="77777777" w:rsidR="003F6293" w:rsidRDefault="003F6293" w:rsidP="003F6293">
      <w:pPr>
        <w:pStyle w:val="BodyTextMain"/>
      </w:pPr>
      <w:r w:rsidRPr="00A65BD1">
        <w:t>Red Hat was selling its software offerings under annual or multi-year subscriptions. The offerings were made available to customers directly through its own sales force and indirectly through various distribution channels. In addition, original equipment manufacturers (OEMs) of hardware preloaded Red Hat offerings onto their own products and sold them as part of preconfigured solutions.</w:t>
      </w:r>
    </w:p>
    <w:p w14:paraId="4192AEC8" w14:textId="77777777" w:rsidR="003F6293" w:rsidRDefault="003F6293" w:rsidP="003F6293">
      <w:pPr>
        <w:pStyle w:val="BodyTextMain"/>
      </w:pPr>
    </w:p>
    <w:p w14:paraId="3347FD55" w14:textId="77777777" w:rsidR="003F6293" w:rsidRPr="00A65BD1" w:rsidRDefault="003F6293" w:rsidP="003F6293">
      <w:pPr>
        <w:pStyle w:val="BodyTextMain"/>
      </w:pPr>
    </w:p>
    <w:p w14:paraId="1A18D0B0" w14:textId="77777777" w:rsidR="003F6293" w:rsidRPr="003F6293" w:rsidRDefault="003F6293" w:rsidP="003F6293">
      <w:pPr>
        <w:pStyle w:val="Casehead2"/>
      </w:pPr>
      <w:r w:rsidRPr="003F6293">
        <w:t>Culture</w:t>
      </w:r>
    </w:p>
    <w:p w14:paraId="6BCE7513" w14:textId="77777777" w:rsidR="003F6293" w:rsidRDefault="003F6293" w:rsidP="003F6293">
      <w:pPr>
        <w:pStyle w:val="BodyTextMain"/>
        <w:rPr>
          <w:lang w:val="en-GB"/>
        </w:rPr>
      </w:pPr>
    </w:p>
    <w:p w14:paraId="47A70317" w14:textId="77777777" w:rsidR="003F6293" w:rsidRPr="00702082" w:rsidRDefault="003F6293" w:rsidP="003F6293">
      <w:pPr>
        <w:pStyle w:val="BodyTextMain"/>
        <w:rPr>
          <w:lang w:val="en-GB"/>
        </w:rPr>
      </w:pPr>
      <w:r w:rsidRPr="00702082">
        <w:rPr>
          <w:lang w:val="en-GB"/>
        </w:rPr>
        <w:t>Red Hat’s mission was “to be the catalyst in communities of customers, contributors and partners creating better technology the open source way</w:t>
      </w:r>
      <w:r>
        <w:rPr>
          <w:lang w:val="en-GB"/>
        </w:rPr>
        <w:t>.</w:t>
      </w:r>
      <w:r w:rsidRPr="00702082">
        <w:rPr>
          <w:lang w:val="en-GB"/>
        </w:rPr>
        <w:t xml:space="preserve">” Its corporate culture had evolved around </w:t>
      </w:r>
      <w:r>
        <w:rPr>
          <w:lang w:val="en-GB"/>
        </w:rPr>
        <w:t>that mission</w:t>
      </w:r>
      <w:r w:rsidRPr="00702082">
        <w:rPr>
          <w:lang w:val="en-GB"/>
        </w:rPr>
        <w:t>. Externally, the company did not present the “win</w:t>
      </w:r>
      <w:r>
        <w:rPr>
          <w:lang w:val="en-GB"/>
        </w:rPr>
        <w:t>-</w:t>
      </w:r>
      <w:r w:rsidRPr="00702082">
        <w:rPr>
          <w:lang w:val="en-GB"/>
        </w:rPr>
        <w:t>at</w:t>
      </w:r>
      <w:r>
        <w:rPr>
          <w:lang w:val="en-GB"/>
        </w:rPr>
        <w:t>-</w:t>
      </w:r>
      <w:r w:rsidRPr="00702082">
        <w:rPr>
          <w:lang w:val="en-GB"/>
        </w:rPr>
        <w:t>all</w:t>
      </w:r>
      <w:r>
        <w:rPr>
          <w:lang w:val="en-GB"/>
        </w:rPr>
        <w:t>-</w:t>
      </w:r>
      <w:r w:rsidRPr="00702082">
        <w:rPr>
          <w:lang w:val="en-GB"/>
        </w:rPr>
        <w:t>costs” competitive stance that was typical of the proprietary model. “Everything we build, we give away for free,” sa</w:t>
      </w:r>
      <w:r>
        <w:rPr>
          <w:lang w:val="en-GB"/>
        </w:rPr>
        <w:t>id</w:t>
      </w:r>
      <w:r w:rsidRPr="00702082">
        <w:rPr>
          <w:lang w:val="en-GB"/>
        </w:rPr>
        <w:t xml:space="preserve"> Seguin. “To use an oil and gas analogy, you pull oil out of the ground upstream and pump the gas in the car downstream. Similarly, whatever we build downstream goes back into the upstream to become a continuous loop.” Internally, the culture was characterized by a combination of openness and meritocracy: debate was encouraged; ideas and opinions were heard, if not always acted upon; and performance alone dictated how far one could go. </w:t>
      </w:r>
    </w:p>
    <w:p w14:paraId="6D2E5734" w14:textId="77777777" w:rsidR="003F6293" w:rsidRPr="00702082" w:rsidRDefault="003F6293" w:rsidP="003F6293">
      <w:pPr>
        <w:pStyle w:val="BodyTextMain"/>
        <w:rPr>
          <w:lang w:val="en-GB"/>
        </w:rPr>
      </w:pPr>
    </w:p>
    <w:p w14:paraId="25D45B88" w14:textId="77777777" w:rsidR="003F6293" w:rsidRPr="00C9482C" w:rsidRDefault="003F6293" w:rsidP="003F6293">
      <w:pPr>
        <w:pStyle w:val="BodyTextMain"/>
        <w:rPr>
          <w:lang w:val="en-GB"/>
        </w:rPr>
      </w:pPr>
      <w:r w:rsidRPr="00702082">
        <w:rPr>
          <w:lang w:val="en-GB"/>
        </w:rPr>
        <w:t xml:space="preserve">Red Hat’s corporate culture showed its alignment with its business model in three ways. </w:t>
      </w:r>
      <w:r w:rsidRPr="00C9482C">
        <w:rPr>
          <w:lang w:val="en-GB"/>
        </w:rPr>
        <w:t>First, R</w:t>
      </w:r>
      <w:r w:rsidRPr="00702082">
        <w:rPr>
          <w:lang w:val="en-GB"/>
        </w:rPr>
        <w:t xml:space="preserve">ed Hat </w:t>
      </w:r>
      <w:r>
        <w:rPr>
          <w:lang w:val="en-GB"/>
        </w:rPr>
        <w:t>relied</w:t>
      </w:r>
      <w:r w:rsidRPr="00702082">
        <w:rPr>
          <w:lang w:val="en-GB"/>
        </w:rPr>
        <w:t xml:space="preserve"> on Red Hatters themselves </w:t>
      </w:r>
      <w:r w:rsidRPr="00C9482C">
        <w:rPr>
          <w:lang w:val="en-GB"/>
        </w:rPr>
        <w:t xml:space="preserve">to </w:t>
      </w:r>
      <w:r w:rsidRPr="00702082">
        <w:rPr>
          <w:lang w:val="en-GB"/>
        </w:rPr>
        <w:t xml:space="preserve">find </w:t>
      </w:r>
      <w:r w:rsidRPr="00C9482C">
        <w:rPr>
          <w:lang w:val="en-GB"/>
        </w:rPr>
        <w:t>potential employees</w:t>
      </w:r>
      <w:r w:rsidRPr="00702082">
        <w:rPr>
          <w:lang w:val="en-GB"/>
        </w:rPr>
        <w:t>,</w:t>
      </w:r>
      <w:r w:rsidRPr="00C9482C">
        <w:rPr>
          <w:lang w:val="en-GB"/>
        </w:rPr>
        <w:t xml:space="preserve"> based on the premise that good people </w:t>
      </w:r>
      <w:r w:rsidRPr="00702082">
        <w:rPr>
          <w:lang w:val="en-GB"/>
        </w:rPr>
        <w:t xml:space="preserve">would </w:t>
      </w:r>
      <w:r w:rsidRPr="00C9482C">
        <w:rPr>
          <w:lang w:val="en-GB"/>
        </w:rPr>
        <w:t>know other good people in terms of both their skills and their fit with Red Hat’s culture. Employee referrals had been in place almost since inception</w:t>
      </w:r>
      <w:r w:rsidRPr="00702082">
        <w:rPr>
          <w:lang w:val="en-GB"/>
        </w:rPr>
        <w:t>,</w:t>
      </w:r>
      <w:r w:rsidRPr="00C9482C">
        <w:rPr>
          <w:lang w:val="en-GB"/>
        </w:rPr>
        <w:t xml:space="preserve"> but in 2015</w:t>
      </w:r>
      <w:r w:rsidRPr="00702082">
        <w:rPr>
          <w:lang w:val="en-GB"/>
        </w:rPr>
        <w:t>,</w:t>
      </w:r>
      <w:r w:rsidRPr="00C9482C">
        <w:rPr>
          <w:lang w:val="en-GB"/>
        </w:rPr>
        <w:t xml:space="preserve"> the company formalized </w:t>
      </w:r>
      <w:r w:rsidRPr="00702082">
        <w:rPr>
          <w:lang w:val="en-GB"/>
        </w:rPr>
        <w:t xml:space="preserve">this practice as </w:t>
      </w:r>
      <w:r w:rsidRPr="00C9482C">
        <w:rPr>
          <w:lang w:val="en-GB"/>
        </w:rPr>
        <w:t>t</w:t>
      </w:r>
      <w:r w:rsidRPr="00702082">
        <w:rPr>
          <w:lang w:val="en-GB"/>
        </w:rPr>
        <w:t>he Red Hat Ambassador program,</w:t>
      </w:r>
      <w:r w:rsidRPr="00C9482C">
        <w:rPr>
          <w:lang w:val="en-GB"/>
        </w:rPr>
        <w:t xml:space="preserve"> w</w:t>
      </w:r>
      <w:r w:rsidRPr="00702082">
        <w:rPr>
          <w:lang w:val="en-GB"/>
        </w:rPr>
        <w:t>ith the</w:t>
      </w:r>
      <w:r w:rsidRPr="00C9482C">
        <w:rPr>
          <w:lang w:val="en-GB"/>
        </w:rPr>
        <w:t xml:space="preserve"> tagline</w:t>
      </w:r>
      <w:r w:rsidRPr="00702082">
        <w:rPr>
          <w:lang w:val="en-GB"/>
        </w:rPr>
        <w:t>,</w:t>
      </w:r>
      <w:r w:rsidRPr="00C9482C">
        <w:rPr>
          <w:lang w:val="en-GB"/>
        </w:rPr>
        <w:t xml:space="preserve"> </w:t>
      </w:r>
      <w:r w:rsidRPr="00702082">
        <w:rPr>
          <w:lang w:val="en-GB"/>
        </w:rPr>
        <w:t xml:space="preserve">“No one can spot a potential Red Hatter better than a current Red Hatter.” </w:t>
      </w:r>
      <w:r w:rsidRPr="00C9482C">
        <w:rPr>
          <w:lang w:val="en-GB"/>
        </w:rPr>
        <w:t>The program provided incentives for each referral. It had increased intakes through referrals from 29 per cent to 50 per cent within two years.</w:t>
      </w:r>
    </w:p>
    <w:p w14:paraId="5EC82AA0" w14:textId="77777777" w:rsidR="003F6293" w:rsidRPr="00A65BD1" w:rsidRDefault="003F6293" w:rsidP="003F6293">
      <w:pPr>
        <w:pStyle w:val="BodyTextMain"/>
      </w:pPr>
    </w:p>
    <w:p w14:paraId="40181B22" w14:textId="77777777" w:rsidR="003F6293" w:rsidRPr="00A65BD1" w:rsidRDefault="003F6293" w:rsidP="003F6293">
      <w:pPr>
        <w:pStyle w:val="BodyTextMain"/>
      </w:pPr>
      <w:r w:rsidRPr="00A65BD1">
        <w:t xml:space="preserve">Second, Red Hat had in place what it called a memo-list—an email tool that served as an organizational forum, with which anyone could trigger company-wide discussion on any business issue affecting the company. It offered, as an insider put it, “the gift of feedback” for the company’s top brass on employee perceptions. When a new chief executive officer took over Red Hat in 2008, he had used the memo-list to create a new vision and mission. All employees contributed to it and therefore owned it. The memo-list gave all employees an equal opportunity and equal voice to express their thoughts, ideas, and opinions. Subscription to the memo-list was mandatory for </w:t>
      </w:r>
      <w:r>
        <w:t>all employees</w:t>
      </w:r>
      <w:r w:rsidRPr="00A65BD1">
        <w:t>.</w:t>
      </w:r>
      <w:r>
        <w:t xml:space="preserve"> </w:t>
      </w:r>
    </w:p>
    <w:p w14:paraId="77D5CD7A" w14:textId="77777777" w:rsidR="003F6293" w:rsidRPr="00A65BD1" w:rsidRDefault="003F6293" w:rsidP="003F6293">
      <w:pPr>
        <w:pStyle w:val="BodyTextMain"/>
      </w:pPr>
    </w:p>
    <w:p w14:paraId="6038B143" w14:textId="77777777" w:rsidR="003F6293" w:rsidRPr="00A65BD1" w:rsidRDefault="003F6293" w:rsidP="003F6293">
      <w:pPr>
        <w:pStyle w:val="BodyTextMain"/>
      </w:pPr>
      <w:r w:rsidRPr="00A65BD1">
        <w:t xml:space="preserve">Third, Red Hat had reconfigured its approach to customer service. Typically, callers with complex problems had to go through two layers of support before they could finally talk to someone with the in-depth knowledge needed to answer their questions. At Red Hat, customer support was provided through what were known as swarms of staff organized around topics. Each swarm included individuals with different levels of knowledge. Swarming had doubled the percentage of customers who engaged with Red Hat and reduced the cost of support as a percentage of Red Hat’s revenue. It had connected product developers to vast amounts of real-world customer feedback. It had also brought engineering and support people closer, tearing down the walls between them. </w:t>
      </w:r>
    </w:p>
    <w:p w14:paraId="6A6E59E1" w14:textId="77777777" w:rsidR="003F6293" w:rsidRDefault="003F6293" w:rsidP="003F6293">
      <w:pPr>
        <w:pStyle w:val="BodyTextMain"/>
        <w:rPr>
          <w:lang w:val="en-GB"/>
        </w:rPr>
      </w:pPr>
    </w:p>
    <w:p w14:paraId="2B8972DD" w14:textId="77777777" w:rsidR="003F6293" w:rsidRDefault="003F6293" w:rsidP="003F6293">
      <w:pPr>
        <w:pStyle w:val="Casehead2"/>
        <w:rPr>
          <w:lang w:val="en-GB"/>
        </w:rPr>
      </w:pPr>
    </w:p>
    <w:p w14:paraId="0C3BB738" w14:textId="77777777" w:rsidR="003F6293" w:rsidRPr="00702082" w:rsidRDefault="003F6293" w:rsidP="003F6293">
      <w:pPr>
        <w:pStyle w:val="Casehead2"/>
        <w:rPr>
          <w:lang w:val="en-GB"/>
        </w:rPr>
      </w:pPr>
      <w:r w:rsidRPr="00702082">
        <w:rPr>
          <w:lang w:val="en-GB"/>
        </w:rPr>
        <w:lastRenderedPageBreak/>
        <w:t>Diversity Initiatives</w:t>
      </w:r>
    </w:p>
    <w:p w14:paraId="69F0A806" w14:textId="77777777" w:rsidR="003F6293" w:rsidRPr="00702082" w:rsidRDefault="003F6293" w:rsidP="003F6293">
      <w:pPr>
        <w:pStyle w:val="BodyTextMain"/>
        <w:rPr>
          <w:lang w:val="en-GB"/>
        </w:rPr>
      </w:pPr>
    </w:p>
    <w:p w14:paraId="506ACF5C" w14:textId="798653A1" w:rsidR="003F6293" w:rsidRPr="00702082" w:rsidRDefault="003F6293" w:rsidP="003F6293">
      <w:pPr>
        <w:pStyle w:val="BodyTextMain"/>
        <w:rPr>
          <w:lang w:val="en-GB"/>
        </w:rPr>
      </w:pPr>
      <w:r w:rsidRPr="00702082">
        <w:rPr>
          <w:lang w:val="en-GB"/>
        </w:rPr>
        <w:t xml:space="preserve">Red Hat’s diversity and inclusion strategy grew from a single moment in 2014, when a Red Hatter </w:t>
      </w:r>
      <w:r w:rsidR="00A57AB2">
        <w:rPr>
          <w:lang w:val="en-GB"/>
        </w:rPr>
        <w:t xml:space="preserve">employee </w:t>
      </w:r>
      <w:r w:rsidRPr="00702082">
        <w:rPr>
          <w:lang w:val="en-GB"/>
        </w:rPr>
        <w:t>raised a hand during a quarterly company meeting and asked, “When will you publish our diversity statistics?” The release of data for the year (see Exhibits 3 and 4) marked the beginning of a formal company-wide approach to securing gender parity. The company had taken four specific steps in this regard. It had created the Women in Open Source Award to recognize women’s contributions to open source from across the industry. It had sponsored the Grace Hopper Celebration of Women in Computing Conference, the largest annual gathering of women technologists. It had expanded the Women’s Leadership Community, an in</w:t>
      </w:r>
      <w:r>
        <w:rPr>
          <w:lang w:val="en-GB"/>
        </w:rPr>
        <w:noBreakHyphen/>
      </w:r>
      <w:r w:rsidRPr="00702082">
        <w:rPr>
          <w:lang w:val="en-GB"/>
        </w:rPr>
        <w:t xml:space="preserve">house forum where women at Red Hat exchanged ideas and experiences, networked, and grew as leaders and decision makers in open source. It </w:t>
      </w:r>
      <w:r>
        <w:rPr>
          <w:lang w:val="en-GB"/>
        </w:rPr>
        <w:t xml:space="preserve">had </w:t>
      </w:r>
      <w:r w:rsidRPr="00702082">
        <w:rPr>
          <w:lang w:val="en-GB"/>
        </w:rPr>
        <w:t>also host</w:t>
      </w:r>
      <w:r>
        <w:rPr>
          <w:lang w:val="en-GB"/>
        </w:rPr>
        <w:t xml:space="preserve">ed </w:t>
      </w:r>
      <w:r w:rsidRPr="00702082">
        <w:rPr>
          <w:lang w:val="en-GB"/>
        </w:rPr>
        <w:t>a women’s luncheon at the Red Hat Summit, an annual two-day industry event focused on open</w:t>
      </w:r>
      <w:r>
        <w:rPr>
          <w:lang w:val="en-GB"/>
        </w:rPr>
        <w:t xml:space="preserve"> </w:t>
      </w:r>
      <w:r w:rsidRPr="00702082">
        <w:rPr>
          <w:lang w:val="en-GB"/>
        </w:rPr>
        <w:t>source technologies that the company had organized in a U.S. location every year since 2013.</w:t>
      </w:r>
    </w:p>
    <w:p w14:paraId="2CA1ECD1" w14:textId="77777777" w:rsidR="003F6293" w:rsidRPr="00702082" w:rsidRDefault="003F6293" w:rsidP="003F6293">
      <w:pPr>
        <w:pStyle w:val="BodyTextMain"/>
        <w:rPr>
          <w:lang w:val="en-GB"/>
        </w:rPr>
      </w:pPr>
    </w:p>
    <w:p w14:paraId="5B06D315" w14:textId="77777777" w:rsidR="003F6293" w:rsidRDefault="003F6293" w:rsidP="003F6293">
      <w:pPr>
        <w:pStyle w:val="BodyTextMain"/>
        <w:rPr>
          <w:rFonts w:cs="Arial"/>
          <w:lang w:val="en-GB"/>
        </w:rPr>
      </w:pPr>
    </w:p>
    <w:p w14:paraId="2FDCBF92" w14:textId="77777777" w:rsidR="003F6293" w:rsidRPr="00702082" w:rsidRDefault="003F6293" w:rsidP="003F6293">
      <w:pPr>
        <w:pStyle w:val="Casehead1"/>
        <w:rPr>
          <w:lang w:val="en-GB"/>
        </w:rPr>
      </w:pPr>
      <w:r w:rsidRPr="00702082">
        <w:rPr>
          <w:lang w:val="en-GB"/>
        </w:rPr>
        <w:t xml:space="preserve">RED HAT CANADA </w:t>
      </w:r>
    </w:p>
    <w:p w14:paraId="42AE0FF1" w14:textId="77777777" w:rsidR="003F6293" w:rsidRPr="00702082" w:rsidRDefault="003F6293" w:rsidP="003F6293">
      <w:pPr>
        <w:pStyle w:val="BodyTextMain"/>
        <w:rPr>
          <w:lang w:val="en-GB"/>
        </w:rPr>
      </w:pPr>
    </w:p>
    <w:p w14:paraId="2AA66A77" w14:textId="7E4A35A6" w:rsidR="003F6293" w:rsidRPr="00702082" w:rsidRDefault="003F6293" w:rsidP="003F6293">
      <w:pPr>
        <w:pStyle w:val="BodyTextMain"/>
        <w:rPr>
          <w:iCs/>
          <w:lang w:val="en-GB"/>
        </w:rPr>
      </w:pPr>
      <w:bookmarkStart w:id="1" w:name="_Hlk504295708"/>
      <w:r w:rsidRPr="00702082">
        <w:rPr>
          <w:lang w:val="en-GB"/>
        </w:rPr>
        <w:t xml:space="preserve">Villeneuve </w:t>
      </w:r>
      <w:bookmarkEnd w:id="1"/>
      <w:r w:rsidRPr="00702082">
        <w:rPr>
          <w:lang w:val="en-GB"/>
        </w:rPr>
        <w:t xml:space="preserve">joined Red Hat Canada in December 2013, four years after the subsidiary was set up. He came with a track record, having replaced himself with women in the </w:t>
      </w:r>
      <w:r>
        <w:rPr>
          <w:lang w:val="en-GB"/>
        </w:rPr>
        <w:t>p</w:t>
      </w:r>
      <w:r w:rsidRPr="00702082">
        <w:rPr>
          <w:lang w:val="en-GB"/>
        </w:rPr>
        <w:t xml:space="preserve">ast three leadership roles he had held in the corporate sector. Women were a major part of his growing years; having lost his father early on, he had been </w:t>
      </w:r>
      <w:r>
        <w:rPr>
          <w:lang w:val="en-GB"/>
        </w:rPr>
        <w:t>raised</w:t>
      </w:r>
      <w:r w:rsidRPr="00702082">
        <w:rPr>
          <w:lang w:val="en-GB"/>
        </w:rPr>
        <w:t xml:space="preserve"> by his mother, grandmother, and two sisters. </w:t>
      </w:r>
      <w:r w:rsidRPr="00702082">
        <w:rPr>
          <w:lang w:val="en-GB" w:eastAsia="x-none"/>
        </w:rPr>
        <w:t>Villeneuve found two things striking at Red Hat Canada: the company had</w:t>
      </w:r>
      <w:r>
        <w:rPr>
          <w:lang w:val="en-GB" w:eastAsia="x-none"/>
        </w:rPr>
        <w:t>, as he put it,</w:t>
      </w:r>
      <w:r w:rsidRPr="00702082">
        <w:rPr>
          <w:lang w:val="en-GB" w:eastAsia="x-none"/>
        </w:rPr>
        <w:t xml:space="preserve"> a “wall</w:t>
      </w:r>
      <w:r>
        <w:rPr>
          <w:lang w:val="en-GB" w:eastAsia="x-none"/>
        </w:rPr>
        <w:t>-</w:t>
      </w:r>
      <w:r w:rsidRPr="00702082">
        <w:rPr>
          <w:lang w:val="en-GB" w:eastAsia="x-none"/>
        </w:rPr>
        <w:t>to</w:t>
      </w:r>
      <w:r>
        <w:rPr>
          <w:lang w:val="en-GB" w:eastAsia="x-none"/>
        </w:rPr>
        <w:t>-</w:t>
      </w:r>
      <w:r w:rsidRPr="00702082">
        <w:rPr>
          <w:lang w:val="en-GB" w:eastAsia="x-none"/>
        </w:rPr>
        <w:t>wall” representation of white males, with only two women in a staff of 80; and the company’s corporate customers had many women in decision</w:t>
      </w:r>
      <w:r>
        <w:rPr>
          <w:lang w:val="en-GB" w:eastAsia="x-none"/>
        </w:rPr>
        <w:t>-</w:t>
      </w:r>
      <w:r w:rsidRPr="00702082">
        <w:rPr>
          <w:lang w:val="en-GB" w:eastAsia="x-none"/>
        </w:rPr>
        <w:t xml:space="preserve">making roles. The contrast was glaring. </w:t>
      </w:r>
      <w:r>
        <w:rPr>
          <w:lang w:val="en-GB" w:eastAsia="x-none"/>
        </w:rPr>
        <w:t xml:space="preserve">It </w:t>
      </w:r>
      <w:r w:rsidRPr="00702082">
        <w:rPr>
          <w:lang w:val="en-GB" w:eastAsia="x-none"/>
        </w:rPr>
        <w:t xml:space="preserve">was also a time when the U.S. headquarters was initiating moves toward bridging the gender gap company-wide. Villeneuve </w:t>
      </w:r>
      <w:r>
        <w:rPr>
          <w:lang w:val="en-GB" w:eastAsia="x-none"/>
        </w:rPr>
        <w:t>began working toward</w:t>
      </w:r>
      <w:r w:rsidRPr="00702082">
        <w:rPr>
          <w:lang w:val="en-GB" w:eastAsia="x-none"/>
        </w:rPr>
        <w:t xml:space="preserve"> </w:t>
      </w:r>
      <w:r w:rsidRPr="00702082">
        <w:rPr>
          <w:iCs/>
          <w:lang w:val="en-GB"/>
        </w:rPr>
        <w:t>a target of</w:t>
      </w:r>
      <w:r w:rsidRPr="00C9482C">
        <w:rPr>
          <w:iCs/>
          <w:lang w:val="en-GB"/>
        </w:rPr>
        <w:t xml:space="preserve"> </w:t>
      </w:r>
      <w:r w:rsidRPr="00702082">
        <w:rPr>
          <w:iCs/>
          <w:lang w:val="en-GB"/>
        </w:rPr>
        <w:t xml:space="preserve">increasing the share of women in the Canadian sales force from 5 per cent in mid-2014 to 40 per cent by mid-2017. </w:t>
      </w:r>
      <w:r>
        <w:rPr>
          <w:iCs/>
          <w:lang w:val="en-GB"/>
        </w:rPr>
        <w:t>Villeneuve</w:t>
      </w:r>
      <w:r w:rsidR="00A57AB2">
        <w:rPr>
          <w:iCs/>
          <w:lang w:val="en-GB"/>
        </w:rPr>
        <w:t xml:space="preserve"> said</w:t>
      </w:r>
      <w:r>
        <w:rPr>
          <w:iCs/>
          <w:lang w:val="en-GB"/>
        </w:rPr>
        <w:t xml:space="preserve">: </w:t>
      </w:r>
    </w:p>
    <w:p w14:paraId="4D4F2FDF" w14:textId="77777777" w:rsidR="003F6293" w:rsidRPr="00702082" w:rsidRDefault="003F6293" w:rsidP="003F6293">
      <w:pPr>
        <w:pStyle w:val="BodyTextMain"/>
        <w:rPr>
          <w:b/>
          <w:iCs/>
          <w:lang w:val="en-GB"/>
        </w:rPr>
      </w:pPr>
    </w:p>
    <w:p w14:paraId="71EC5347" w14:textId="77777777" w:rsidR="003F6293" w:rsidRPr="00BD79E1" w:rsidRDefault="003F6293" w:rsidP="003F6293">
      <w:pPr>
        <w:pStyle w:val="BodyTextMain"/>
        <w:ind w:left="720"/>
        <w:rPr>
          <w:b/>
          <w:lang w:val="en-GB"/>
        </w:rPr>
      </w:pPr>
      <w:r w:rsidRPr="00BD79E1">
        <w:rPr>
          <w:lang w:val="en-GB"/>
        </w:rPr>
        <w:t>It was a transformative agenda, as I saw it, requiring a fully committed leader who would model the behaviour towards securing desired outcomes. You can’t delegate gender diversity to HR</w:t>
      </w:r>
      <w:r>
        <w:rPr>
          <w:lang w:val="en-GB"/>
        </w:rPr>
        <w:t xml:space="preserve"> </w:t>
      </w:r>
      <w:r w:rsidRPr="00BD79E1">
        <w:rPr>
          <w:lang w:val="en-GB"/>
        </w:rPr>
        <w:t xml:space="preserve">[human resources]. As a leader, you need to be the champion and rally your team around actions and results. You need to embed gender diversity in your business goals, support employees in driving change, establish a process to share great ideas, and celebrate stories of success with your team. At a personal level, I have had a knack of choosing people well, putting the right guy and the right woman in the right job and retaining them long term. It was rare that people left under my watch. I had to leverage that trait in my role at Red Hat Canada. </w:t>
      </w:r>
    </w:p>
    <w:p w14:paraId="1243BFC2" w14:textId="77777777" w:rsidR="003F6293" w:rsidRPr="00BD79E1" w:rsidRDefault="003F6293" w:rsidP="003F6293">
      <w:pPr>
        <w:pStyle w:val="BodyTextMain"/>
        <w:rPr>
          <w:lang w:val="en-GB"/>
        </w:rPr>
      </w:pPr>
    </w:p>
    <w:p w14:paraId="4C203DC8" w14:textId="77777777" w:rsidR="003F6293" w:rsidRPr="00BD79E1" w:rsidRDefault="003F6293" w:rsidP="003F6293">
      <w:pPr>
        <w:pStyle w:val="BodyTextMain"/>
        <w:rPr>
          <w:lang w:val="en-GB"/>
        </w:rPr>
      </w:pPr>
      <w:r w:rsidRPr="00BD79E1">
        <w:rPr>
          <w:iCs/>
          <w:lang w:val="en-GB"/>
        </w:rPr>
        <w:t xml:space="preserve">The Canadian subsidiary did not have a person handling local </w:t>
      </w:r>
      <w:r>
        <w:rPr>
          <w:iCs/>
          <w:lang w:val="en-GB"/>
        </w:rPr>
        <w:t>human resources (</w:t>
      </w:r>
      <w:r w:rsidRPr="00BD79E1">
        <w:rPr>
          <w:iCs/>
          <w:lang w:val="en-GB"/>
        </w:rPr>
        <w:t>HR</w:t>
      </w:r>
      <w:r>
        <w:rPr>
          <w:iCs/>
          <w:lang w:val="en-GB"/>
        </w:rPr>
        <w:t>)</w:t>
      </w:r>
      <w:r w:rsidRPr="00BD79E1">
        <w:rPr>
          <w:iCs/>
          <w:lang w:val="en-GB"/>
        </w:rPr>
        <w:t xml:space="preserve">, which was being provided at the headquarters as a support function. In a bid to identify potential female employees, Villeneuve started to network and connect with different groups and attend industry events. Each time he met someone, officially or casually, he would ask himself, “Can this person be eventually part of my team?” He was “out and about half the day,” as he put it, having breakfast with one and lunch with another. </w:t>
      </w:r>
      <w:r w:rsidRPr="00BD79E1">
        <w:rPr>
          <w:lang w:val="en-GB"/>
        </w:rPr>
        <w:t>Within months, he was spending 40 per cent of his time every day meeting potential female candidates and interviewing them.</w:t>
      </w:r>
    </w:p>
    <w:p w14:paraId="0BEF065D" w14:textId="77777777" w:rsidR="003F6293" w:rsidRPr="00BD79E1" w:rsidRDefault="003F6293" w:rsidP="003F6293">
      <w:pPr>
        <w:pStyle w:val="BodyTextMain"/>
        <w:rPr>
          <w:lang w:val="en-GB"/>
        </w:rPr>
      </w:pPr>
    </w:p>
    <w:p w14:paraId="6BD3D60E" w14:textId="77777777" w:rsidR="003F6293" w:rsidRPr="00BD79E1" w:rsidRDefault="003F6293" w:rsidP="003F6293">
      <w:pPr>
        <w:pStyle w:val="BodyTextMain"/>
        <w:rPr>
          <w:lang w:val="en-GB"/>
        </w:rPr>
      </w:pPr>
      <w:r w:rsidRPr="00771D6C">
        <w:t xml:space="preserve">He soon discovered that, unlike male candidates who would be on board within a 45–60 day cycle, the time frame for female candidates—from being courted for a job at Red Hat Canada to being enlisted on the company’s payroll—was longer. Eight to 10 months was the normal time frame for women assessing the risks and rewards of a job </w:t>
      </w:r>
      <w:proofErr w:type="gramStart"/>
      <w:r w:rsidRPr="00771D6C">
        <w:t>change.</w:t>
      </w:r>
      <w:proofErr w:type="gramEnd"/>
      <w:r w:rsidRPr="00771D6C">
        <w:t xml:space="preserve"> Villeneuve had similar experiences with female colleagues he had worked with earlier in different companies and was now trying to recruit for Red Hat Canada. They had </w:t>
      </w:r>
      <w:r w:rsidRPr="00771D6C">
        <w:lastRenderedPageBreak/>
        <w:t xml:space="preserve">family commitments, and they also took their commitments to </w:t>
      </w:r>
      <w:r>
        <w:t xml:space="preserve">their </w:t>
      </w:r>
      <w:r w:rsidRPr="00771D6C">
        <w:t xml:space="preserve">current employers more </w:t>
      </w:r>
      <w:proofErr w:type="spellStart"/>
      <w:r w:rsidRPr="00771D6C">
        <w:t>serio</w:t>
      </w:r>
      <w:r w:rsidRPr="00BD79E1">
        <w:rPr>
          <w:lang w:val="en-GB"/>
        </w:rPr>
        <w:t>usly</w:t>
      </w:r>
      <w:proofErr w:type="spellEnd"/>
      <w:r w:rsidRPr="00BD79E1">
        <w:rPr>
          <w:lang w:val="en-GB"/>
        </w:rPr>
        <w:t xml:space="preserve"> than males.</w:t>
      </w:r>
      <w:r>
        <w:rPr>
          <w:lang w:val="en-GB"/>
        </w:rPr>
        <w:t xml:space="preserve"> S</w:t>
      </w:r>
      <w:r w:rsidRPr="00BD79E1">
        <w:rPr>
          <w:lang w:val="en-GB"/>
        </w:rPr>
        <w:t>aid Katie Howard, an inside account manager at Red Hat Canada:</w:t>
      </w:r>
    </w:p>
    <w:p w14:paraId="38C7C0BC" w14:textId="77777777" w:rsidR="003F6293" w:rsidRPr="00BD79E1" w:rsidRDefault="003F6293" w:rsidP="003F6293">
      <w:pPr>
        <w:pStyle w:val="BodyTextMain"/>
        <w:rPr>
          <w:lang w:val="en-GB"/>
        </w:rPr>
      </w:pPr>
    </w:p>
    <w:p w14:paraId="6239CA7B" w14:textId="77777777" w:rsidR="003F6293" w:rsidRPr="00702082" w:rsidRDefault="003F6293" w:rsidP="003F6293">
      <w:pPr>
        <w:pStyle w:val="BodyTextMain"/>
        <w:ind w:left="720"/>
        <w:rPr>
          <w:lang w:val="en-GB"/>
        </w:rPr>
      </w:pPr>
      <w:r w:rsidRPr="000357ED">
        <w:rPr>
          <w:lang w:val="en-GB"/>
        </w:rPr>
        <w:t>A guy is more straightforward</w:t>
      </w:r>
      <w:r>
        <w:rPr>
          <w:lang w:val="en-GB"/>
        </w:rPr>
        <w:t xml:space="preserve">. </w:t>
      </w:r>
      <w:r w:rsidRPr="00702082">
        <w:rPr>
          <w:lang w:val="en-GB"/>
        </w:rPr>
        <w:t>It is enough for him to know that Red Hat is an open source company, has a good portfolio of accounts, and offers a good salary. It does not take long to decide either way because he looks at things as either black or white. A woman sees gr</w:t>
      </w:r>
      <w:r>
        <w:rPr>
          <w:lang w:val="en-GB"/>
        </w:rPr>
        <w:t>e</w:t>
      </w:r>
      <w:r w:rsidRPr="00702082">
        <w:rPr>
          <w:lang w:val="en-GB"/>
        </w:rPr>
        <w:t>y. She wants to know what she is getting into. She wants to understand, for example, details of Red Hat’s go-to-market strategy and the people she would be working with.</w:t>
      </w:r>
    </w:p>
    <w:p w14:paraId="5E19B6E2" w14:textId="77777777" w:rsidR="003F6293" w:rsidRPr="00702082" w:rsidRDefault="003F6293" w:rsidP="003F6293">
      <w:pPr>
        <w:pStyle w:val="BodyTextMain"/>
        <w:rPr>
          <w:lang w:val="en-GB"/>
        </w:rPr>
      </w:pPr>
    </w:p>
    <w:p w14:paraId="1B89F304" w14:textId="77777777" w:rsidR="003F6293" w:rsidRPr="00702082" w:rsidRDefault="003F6293" w:rsidP="003F6293">
      <w:pPr>
        <w:pStyle w:val="BodyTextMain"/>
        <w:rPr>
          <w:lang w:val="en-GB"/>
        </w:rPr>
      </w:pPr>
      <w:r w:rsidRPr="00702082">
        <w:rPr>
          <w:lang w:val="en-GB"/>
        </w:rPr>
        <w:t>Villeneuve began to send quarterly results to candidates in his pool to update them on the company’s progress in a bid to attract them for the long haul.</w:t>
      </w:r>
    </w:p>
    <w:p w14:paraId="163C9E0C" w14:textId="77777777" w:rsidR="003F6293" w:rsidRPr="00702082" w:rsidRDefault="003F6293" w:rsidP="003F6293">
      <w:pPr>
        <w:pStyle w:val="BodyTextMain"/>
        <w:rPr>
          <w:lang w:val="en-GB"/>
        </w:rPr>
      </w:pPr>
    </w:p>
    <w:p w14:paraId="2E87F1AD" w14:textId="77777777" w:rsidR="003F6293" w:rsidRPr="00D41D4C" w:rsidRDefault="003F6293" w:rsidP="003F6293">
      <w:pPr>
        <w:pStyle w:val="BodyTextMain"/>
        <w:rPr>
          <w:lang w:val="en-GB"/>
        </w:rPr>
      </w:pPr>
      <w:r w:rsidRPr="00D41D4C">
        <w:rPr>
          <w:lang w:val="en-GB"/>
        </w:rPr>
        <w:t>In implementing his plans for gender parity, however, Villeneuve ensured that he would not compromise on merit. For example, Red Hat Canada had three account managers in its Montreal office, and when an opening for a fourth surfaced, Villeneuve was keen to recruit a female candidate. He interviewed many women, but when he could not find anyone who matched the job’s requirements, he finally hired a man.</w:t>
      </w:r>
    </w:p>
    <w:p w14:paraId="304F3FFB" w14:textId="77777777" w:rsidR="003F6293" w:rsidRDefault="003F6293" w:rsidP="003F6293">
      <w:pPr>
        <w:pStyle w:val="BodyTextMain"/>
        <w:rPr>
          <w:b/>
          <w:bCs/>
          <w:lang w:val="en-GB"/>
        </w:rPr>
      </w:pPr>
    </w:p>
    <w:p w14:paraId="6B565A9F" w14:textId="26B9F5FA" w:rsidR="003F6293" w:rsidRPr="00D41D4C" w:rsidRDefault="003F6293" w:rsidP="003F6293">
      <w:pPr>
        <w:pStyle w:val="BodyTextMain"/>
        <w:rPr>
          <w:b/>
          <w:lang w:val="en-GB"/>
        </w:rPr>
      </w:pPr>
      <w:r w:rsidRPr="00D41D4C">
        <w:rPr>
          <w:bCs/>
          <w:lang w:val="en-GB"/>
        </w:rPr>
        <w:t>E</w:t>
      </w:r>
      <w:r w:rsidRPr="00D41D4C">
        <w:rPr>
          <w:lang w:val="en-GB"/>
        </w:rPr>
        <w:t xml:space="preserve">very new hire at Red Hat Canada would be sent to headquarters for a week as part of a familiarity program. A month later, they would go back to </w:t>
      </w:r>
      <w:r w:rsidR="00A57AB2">
        <w:rPr>
          <w:lang w:val="en-GB"/>
        </w:rPr>
        <w:t>headquarters</w:t>
      </w:r>
      <w:r w:rsidRPr="00D41D4C">
        <w:rPr>
          <w:lang w:val="en-GB"/>
        </w:rPr>
        <w:t xml:space="preserve"> for another week’s training with systems and processes, as part of an induction program. Everyone at Red Hat Canada generally worked from home, except for 10–15 people who handled support functions from the office.</w:t>
      </w:r>
    </w:p>
    <w:p w14:paraId="6ADF68D1" w14:textId="77777777" w:rsidR="003F6293" w:rsidRPr="00D41D4C" w:rsidRDefault="003F6293" w:rsidP="003F6293">
      <w:pPr>
        <w:pStyle w:val="BodyTextMain"/>
        <w:rPr>
          <w:lang w:val="en-GB"/>
        </w:rPr>
      </w:pPr>
    </w:p>
    <w:p w14:paraId="17C4F8B6" w14:textId="77777777" w:rsidR="003F6293" w:rsidRDefault="003F6293" w:rsidP="003F6293">
      <w:pPr>
        <w:pStyle w:val="BodyTextMain"/>
        <w:rPr>
          <w:lang w:val="en-GB"/>
        </w:rPr>
      </w:pPr>
      <w:r w:rsidRPr="00D41D4C">
        <w:rPr>
          <w:lang w:val="en-GB"/>
        </w:rPr>
        <w:t>Red Hat placed particular emphasis on emplo</w:t>
      </w:r>
      <w:r w:rsidRPr="00702082">
        <w:rPr>
          <w:lang w:val="en-GB"/>
        </w:rPr>
        <w:t>yee retention. The learning curve in the sales function lasted for about 12 months</w:t>
      </w:r>
      <w:r>
        <w:rPr>
          <w:lang w:val="en-GB"/>
        </w:rPr>
        <w:t>,</w:t>
      </w:r>
      <w:r w:rsidRPr="00702082">
        <w:rPr>
          <w:lang w:val="en-GB"/>
        </w:rPr>
        <w:t xml:space="preserve"> and it could be up to two years until a new hire hit the </w:t>
      </w:r>
      <w:r>
        <w:rPr>
          <w:lang w:val="en-GB"/>
        </w:rPr>
        <w:t xml:space="preserve">expected </w:t>
      </w:r>
      <w:r w:rsidRPr="00702082">
        <w:rPr>
          <w:lang w:val="en-GB"/>
        </w:rPr>
        <w:t xml:space="preserve">success rate. </w:t>
      </w:r>
    </w:p>
    <w:p w14:paraId="7A862F69" w14:textId="77777777" w:rsidR="003F6293" w:rsidRPr="003F6293" w:rsidRDefault="003F6293" w:rsidP="003F6293">
      <w:pPr>
        <w:pStyle w:val="BodyTextMain"/>
        <w:rPr>
          <w:lang w:val="en-GB"/>
        </w:rPr>
      </w:pPr>
    </w:p>
    <w:p w14:paraId="08D5D26C" w14:textId="77777777" w:rsidR="003F6293" w:rsidRPr="003F6293" w:rsidRDefault="003F6293" w:rsidP="003F6293">
      <w:pPr>
        <w:pStyle w:val="BodyTextMain"/>
        <w:rPr>
          <w:lang w:val="en-GB"/>
        </w:rPr>
      </w:pPr>
    </w:p>
    <w:p w14:paraId="0DF635B4" w14:textId="77777777" w:rsidR="003F6293" w:rsidRDefault="003F6293" w:rsidP="003F6293">
      <w:pPr>
        <w:pStyle w:val="Casehead2"/>
      </w:pPr>
      <w:r w:rsidRPr="00702082">
        <w:t>Diversity Initiatives</w:t>
      </w:r>
    </w:p>
    <w:p w14:paraId="39770445" w14:textId="77777777" w:rsidR="003F6293" w:rsidRPr="003F6293" w:rsidRDefault="003F6293" w:rsidP="003F6293">
      <w:pPr>
        <w:pStyle w:val="BodyTextMain"/>
      </w:pPr>
    </w:p>
    <w:p w14:paraId="25EBA8A7" w14:textId="060ECF6B" w:rsidR="003F6293" w:rsidRPr="003F6293" w:rsidRDefault="003F6293" w:rsidP="003F6293">
      <w:pPr>
        <w:pStyle w:val="BodyTextMain"/>
      </w:pPr>
      <w:r w:rsidRPr="003F6293">
        <w:t xml:space="preserve">“We regularly ask ourselves three questions,” said Seguin. “First, why aren’t there more women in leadership roles in ICT? </w:t>
      </w:r>
      <w:proofErr w:type="gramStart"/>
      <w:r w:rsidRPr="003F6293">
        <w:t>second</w:t>
      </w:r>
      <w:proofErr w:type="gramEnd"/>
      <w:r w:rsidRPr="003F6293">
        <w:t xml:space="preserve">, why aren’t there more women in IT or Engineering? </w:t>
      </w:r>
      <w:r w:rsidR="005F42E2">
        <w:t>A</w:t>
      </w:r>
      <w:r w:rsidRPr="003F6293">
        <w:t xml:space="preserve">nd third, </w:t>
      </w:r>
      <w:bookmarkStart w:id="2" w:name="_Hlk504205902"/>
      <w:r w:rsidRPr="003F6293">
        <w:t xml:space="preserve">how do we get them into an engineering program? </w:t>
      </w:r>
      <w:bookmarkEnd w:id="2"/>
      <w:r w:rsidRPr="003F6293">
        <w:t>The gender initiatives that we launched in Canada were meant to address each of them.”</w:t>
      </w:r>
    </w:p>
    <w:p w14:paraId="5CB1E37C" w14:textId="77777777" w:rsidR="003F6293" w:rsidRPr="003F6293" w:rsidRDefault="003F6293" w:rsidP="003F6293">
      <w:pPr>
        <w:pStyle w:val="BodyTextMain"/>
      </w:pPr>
    </w:p>
    <w:p w14:paraId="2F70FD91" w14:textId="77777777" w:rsidR="003F6293" w:rsidRPr="003F6293" w:rsidRDefault="003F6293" w:rsidP="003F6293">
      <w:pPr>
        <w:pStyle w:val="BodyTextMain"/>
      </w:pPr>
      <w:r w:rsidRPr="003F6293">
        <w:t xml:space="preserve">For example, </w:t>
      </w:r>
      <w:bookmarkStart w:id="3" w:name="_Hlk508181856"/>
      <w:r w:rsidRPr="003F6293">
        <w:t>Villeneuve</w:t>
      </w:r>
      <w:bookmarkEnd w:id="3"/>
      <w:r w:rsidRPr="003F6293">
        <w:t xml:space="preserve"> was hosting an annual program focused on ICT at a popular women-only club in downtown Toronto called Verity. This inclusiveness program was also being promoted through social media. Women employees of Red Hat Canada were using the premises of Verity for networking and for business meetings, which provided an opportunity “to promote ourselves better, network better, support each other better,” as a regular put it, “in moving into leadership positions in the industry.”</w:t>
      </w:r>
    </w:p>
    <w:p w14:paraId="1CBC5E46" w14:textId="77777777" w:rsidR="003F6293" w:rsidRPr="003F6293" w:rsidRDefault="003F6293" w:rsidP="003F6293">
      <w:pPr>
        <w:pStyle w:val="BodyTextMain"/>
      </w:pPr>
      <w:r w:rsidRPr="003F6293">
        <w:t xml:space="preserve"> </w:t>
      </w:r>
    </w:p>
    <w:p w14:paraId="0179588F" w14:textId="77777777" w:rsidR="003F6293" w:rsidRPr="003F6293" w:rsidRDefault="003F6293" w:rsidP="003F6293">
      <w:pPr>
        <w:pStyle w:val="BodyTextMain"/>
      </w:pPr>
      <w:r w:rsidRPr="003F6293">
        <w:t>Red Hat Canada also had an initiative called Co. Lab, which was aimed at reinforcing a message to young girls in middle schools that “tech does not have to be scary and it is not something just for guys.”</w:t>
      </w:r>
      <w:r w:rsidRPr="003F6293">
        <w:rPr>
          <w:rStyle w:val="FootnoteReference"/>
        </w:rPr>
        <w:footnoteReference w:id="11"/>
      </w:r>
      <w:r w:rsidRPr="003F6293">
        <w:t xml:space="preserve"> For many girls, the initiative served as a launching pad for their professional careers in ICT. In addition, the subsidiary had launched an in-house program called Caring Dads, which was led personally by Villeneuve, who had steered his own daughter toward a career in ICT by facilitating the necessary education and career counselling. The company had since seen a spike in the number of Red Hat fathers guiding their daughters and recommending them for technical jobs. </w:t>
      </w:r>
    </w:p>
    <w:p w14:paraId="73381E17" w14:textId="77777777" w:rsidR="003F6293" w:rsidRPr="00702082" w:rsidRDefault="003F6293" w:rsidP="003F6293">
      <w:pPr>
        <w:pStyle w:val="Casehead2"/>
        <w:rPr>
          <w:lang w:val="en-GB"/>
        </w:rPr>
      </w:pPr>
      <w:r w:rsidRPr="00702082">
        <w:rPr>
          <w:lang w:val="en-GB"/>
        </w:rPr>
        <w:lastRenderedPageBreak/>
        <w:t>Impact</w:t>
      </w:r>
    </w:p>
    <w:p w14:paraId="4AE75868" w14:textId="77777777" w:rsidR="003F6293" w:rsidRPr="00702082" w:rsidRDefault="003F6293" w:rsidP="003F6293">
      <w:pPr>
        <w:pStyle w:val="BodyTextMain"/>
        <w:rPr>
          <w:lang w:val="en-GB"/>
        </w:rPr>
      </w:pPr>
    </w:p>
    <w:p w14:paraId="283777F5" w14:textId="77777777" w:rsidR="003F6293" w:rsidRPr="00702082" w:rsidRDefault="003F6293" w:rsidP="003F6293">
      <w:pPr>
        <w:pStyle w:val="BodyTextMain"/>
        <w:rPr>
          <w:lang w:val="en-GB"/>
        </w:rPr>
      </w:pPr>
      <w:r w:rsidRPr="00702082">
        <w:rPr>
          <w:lang w:val="en-GB"/>
        </w:rPr>
        <w:t>One of the changes brought about by these initiatives was that, instead of opening team conversations by saying, “Hey guys,” or “Hey guys and ladies,” which had made some women on the teams uncomfortable in the past, managers were coached by the company to say, “Hey team.” It was a simple and inclusive greeting that welcomed participants without calling attention to their gender.</w:t>
      </w:r>
    </w:p>
    <w:p w14:paraId="7301B43D" w14:textId="77777777" w:rsidR="003F6293" w:rsidRPr="00702082" w:rsidRDefault="003F6293" w:rsidP="003F6293">
      <w:pPr>
        <w:pStyle w:val="BodyTextMain"/>
        <w:rPr>
          <w:lang w:val="en-GB"/>
        </w:rPr>
      </w:pPr>
    </w:p>
    <w:p w14:paraId="236C77E1" w14:textId="77777777" w:rsidR="003F6293" w:rsidRPr="00702082" w:rsidRDefault="003F6293" w:rsidP="003F6293">
      <w:pPr>
        <w:pStyle w:val="BodyTextMain"/>
        <w:rPr>
          <w:lang w:val="en-GB"/>
        </w:rPr>
      </w:pPr>
      <w:r w:rsidRPr="00702082">
        <w:rPr>
          <w:lang w:val="en-GB"/>
        </w:rPr>
        <w:t xml:space="preserve">There were several instances of women who had been recruited as part of gender initiatives and were doing exceptionally well at Red Hat Canada. </w:t>
      </w:r>
      <w:proofErr w:type="spellStart"/>
      <w:r w:rsidRPr="00702082">
        <w:rPr>
          <w:lang w:val="en-GB"/>
        </w:rPr>
        <w:t>Josee</w:t>
      </w:r>
      <w:proofErr w:type="spellEnd"/>
      <w:r w:rsidRPr="00702082">
        <w:rPr>
          <w:lang w:val="en-GB"/>
        </w:rPr>
        <w:t xml:space="preserve"> </w:t>
      </w:r>
      <w:proofErr w:type="spellStart"/>
      <w:r w:rsidRPr="00702082">
        <w:rPr>
          <w:lang w:val="en-GB"/>
        </w:rPr>
        <w:t>Rivard</w:t>
      </w:r>
      <w:proofErr w:type="spellEnd"/>
      <w:r w:rsidRPr="00702082">
        <w:rPr>
          <w:lang w:val="en-GB"/>
        </w:rPr>
        <w:t xml:space="preserve">, for example, was an inside sales representative who had quickly moved into a sales manager’s position where, in addition to becoming the top salesperson for the year, she had coached and trained her subordinates into a well-knit team. After Villeneuve </w:t>
      </w:r>
      <w:r>
        <w:rPr>
          <w:lang w:val="en-GB"/>
        </w:rPr>
        <w:t xml:space="preserve">had </w:t>
      </w:r>
      <w:r w:rsidRPr="00702082">
        <w:rPr>
          <w:lang w:val="en-GB"/>
        </w:rPr>
        <w:t xml:space="preserve">recruited Andree McDonald from a telecom company for the healthcare division Red Hat Canada launched in 2015, </w:t>
      </w:r>
      <w:r>
        <w:rPr>
          <w:lang w:val="en-GB"/>
        </w:rPr>
        <w:t xml:space="preserve">he </w:t>
      </w:r>
      <w:r w:rsidRPr="00702082">
        <w:rPr>
          <w:lang w:val="en-GB"/>
        </w:rPr>
        <w:t xml:space="preserve">was impressed by how dramatically the division’s performance improved. </w:t>
      </w:r>
    </w:p>
    <w:p w14:paraId="133FC5FD" w14:textId="77777777" w:rsidR="003F6293" w:rsidRPr="00702082" w:rsidRDefault="003F6293" w:rsidP="003F6293">
      <w:pPr>
        <w:pStyle w:val="BodyTextMain"/>
        <w:rPr>
          <w:lang w:val="en-GB"/>
        </w:rPr>
      </w:pPr>
    </w:p>
    <w:p w14:paraId="109B26D2" w14:textId="77777777" w:rsidR="003F6293" w:rsidRPr="00702082" w:rsidRDefault="003F6293" w:rsidP="003F6293">
      <w:pPr>
        <w:pStyle w:val="BodyTextMain"/>
        <w:rPr>
          <w:lang w:val="en-GB"/>
        </w:rPr>
      </w:pPr>
      <w:r w:rsidRPr="00702082">
        <w:rPr>
          <w:lang w:val="en-GB"/>
        </w:rPr>
        <w:t xml:space="preserve">Red Hat Canada was designated </w:t>
      </w:r>
      <w:r>
        <w:rPr>
          <w:lang w:val="en-GB"/>
        </w:rPr>
        <w:t>R</w:t>
      </w:r>
      <w:r w:rsidRPr="00702082">
        <w:rPr>
          <w:lang w:val="en-GB"/>
        </w:rPr>
        <w:t xml:space="preserve">egion of the </w:t>
      </w:r>
      <w:r>
        <w:rPr>
          <w:lang w:val="en-GB"/>
        </w:rPr>
        <w:t>Y</w:t>
      </w:r>
      <w:r w:rsidRPr="00702082">
        <w:rPr>
          <w:lang w:val="en-GB"/>
        </w:rPr>
        <w:t>ear for North America in the Red Hat universe. The subsidiary had not only hit its targets on each of a dozen metrics—for example, in sales, growth, and profitability—but was also the best on many of them</w:t>
      </w:r>
      <w:r>
        <w:rPr>
          <w:lang w:val="en-GB"/>
        </w:rPr>
        <w:t xml:space="preserve"> (see Exhibit 5)</w:t>
      </w:r>
      <w:r w:rsidRPr="00702082">
        <w:rPr>
          <w:lang w:val="en-GB"/>
        </w:rPr>
        <w:t>. “It has to do,” sa</w:t>
      </w:r>
      <w:r>
        <w:rPr>
          <w:lang w:val="en-GB"/>
        </w:rPr>
        <w:t>id</w:t>
      </w:r>
      <w:r w:rsidRPr="00702082">
        <w:rPr>
          <w:lang w:val="en-GB"/>
        </w:rPr>
        <w:t xml:space="preserve"> Seguin, “with the diversity program we put together.”</w:t>
      </w:r>
    </w:p>
    <w:p w14:paraId="2B2D0AB3" w14:textId="77777777" w:rsidR="003F6293" w:rsidRPr="00702082" w:rsidRDefault="003F6293" w:rsidP="003F6293">
      <w:pPr>
        <w:pStyle w:val="BodyTextMain"/>
        <w:rPr>
          <w:lang w:val="en-GB"/>
        </w:rPr>
      </w:pPr>
    </w:p>
    <w:p w14:paraId="7A0048A5" w14:textId="77777777" w:rsidR="003F6293" w:rsidRPr="00702082" w:rsidRDefault="003F6293" w:rsidP="003F6293">
      <w:pPr>
        <w:pStyle w:val="BodyTextMain"/>
        <w:rPr>
          <w:lang w:val="en-GB"/>
        </w:rPr>
      </w:pPr>
    </w:p>
    <w:p w14:paraId="77EFD70D" w14:textId="77777777" w:rsidR="003F6293" w:rsidRPr="00702082" w:rsidRDefault="003F6293" w:rsidP="003F6293">
      <w:pPr>
        <w:pStyle w:val="Casehead1"/>
      </w:pPr>
      <w:bookmarkStart w:id="4" w:name="_Hlk508108144"/>
      <w:r w:rsidRPr="00702082">
        <w:t xml:space="preserve">ROADMAP FOR VILLENEUVE </w:t>
      </w:r>
    </w:p>
    <w:p w14:paraId="471A0A54" w14:textId="77777777" w:rsidR="003F6293" w:rsidRPr="00702082" w:rsidRDefault="003F6293" w:rsidP="003F6293">
      <w:pPr>
        <w:pStyle w:val="BodyTextMain"/>
        <w:rPr>
          <w:lang w:val="en-GB"/>
        </w:rPr>
      </w:pPr>
    </w:p>
    <w:p w14:paraId="4D0B150D" w14:textId="77777777" w:rsidR="003F6293" w:rsidRPr="00702082" w:rsidRDefault="003F6293" w:rsidP="003F6293">
      <w:pPr>
        <w:pStyle w:val="BodyTextMain"/>
        <w:rPr>
          <w:lang w:val="en-GB"/>
        </w:rPr>
      </w:pPr>
      <w:bookmarkStart w:id="5" w:name="_Hlk504311368"/>
      <w:r w:rsidRPr="00702082">
        <w:rPr>
          <w:lang w:val="en-GB"/>
        </w:rPr>
        <w:t>Canada was the smallest region in Red Hat North America. However, it was the one making not only the most noise about diversity but also the most progress. Villeneuve was facing dilemmas with regard to four different action priorities.</w:t>
      </w:r>
    </w:p>
    <w:p w14:paraId="3D337A13" w14:textId="77777777" w:rsidR="003F6293" w:rsidRPr="00702082" w:rsidRDefault="003F6293" w:rsidP="003F6293">
      <w:pPr>
        <w:pStyle w:val="BodyTextMain"/>
        <w:rPr>
          <w:lang w:val="en-GB"/>
        </w:rPr>
      </w:pPr>
    </w:p>
    <w:p w14:paraId="7ADF0962" w14:textId="77777777" w:rsidR="003F6293" w:rsidRPr="00702082" w:rsidRDefault="003F6293" w:rsidP="003F6293">
      <w:pPr>
        <w:pStyle w:val="BodyTextMain"/>
        <w:rPr>
          <w:lang w:val="en-GB"/>
        </w:rPr>
      </w:pPr>
    </w:p>
    <w:p w14:paraId="5977F6AD" w14:textId="77777777" w:rsidR="003F6293" w:rsidRPr="00702082" w:rsidRDefault="003F6293" w:rsidP="003F6293">
      <w:pPr>
        <w:pStyle w:val="Casehead2"/>
        <w:rPr>
          <w:lang w:val="en-GB"/>
        </w:rPr>
      </w:pPr>
      <w:r w:rsidRPr="00702082">
        <w:rPr>
          <w:lang w:val="en-GB"/>
        </w:rPr>
        <w:t>Curating Social Networks</w:t>
      </w:r>
    </w:p>
    <w:p w14:paraId="6A3F3146" w14:textId="77777777" w:rsidR="003F6293" w:rsidRPr="00702082" w:rsidRDefault="003F6293" w:rsidP="003F6293">
      <w:pPr>
        <w:pStyle w:val="BodyTextMain"/>
        <w:rPr>
          <w:lang w:val="en-GB"/>
        </w:rPr>
      </w:pPr>
    </w:p>
    <w:p w14:paraId="15522FE3" w14:textId="77777777" w:rsidR="003F6293" w:rsidRPr="00702082" w:rsidRDefault="003F6293" w:rsidP="003F6293">
      <w:pPr>
        <w:pStyle w:val="BodyTextMain"/>
        <w:rPr>
          <w:lang w:val="en-GB"/>
        </w:rPr>
      </w:pPr>
      <w:r w:rsidRPr="00702082">
        <w:rPr>
          <w:lang w:val="en-GB"/>
        </w:rPr>
        <w:t xml:space="preserve">Social media had allowed companies to cast their nets wider when scanning and targeting potential candidates for hiring. LinkedIn, in addition to serving as a networking tool, was a particularly useful recruitment tool. Curating his LinkedIn account was an issue that had occupied a large part of </w:t>
      </w:r>
      <w:bookmarkStart w:id="6" w:name="_Hlk508126117"/>
      <w:r w:rsidRPr="00702082">
        <w:rPr>
          <w:lang w:val="en-GB"/>
        </w:rPr>
        <w:t>Villeneuve</w:t>
      </w:r>
      <w:bookmarkEnd w:id="6"/>
      <w:r w:rsidRPr="00702082">
        <w:rPr>
          <w:lang w:val="en-GB"/>
        </w:rPr>
        <w:t xml:space="preserve">’s time and continued to do so. He had about 4,000 LinkedIn connections in 2014, and for him, </w:t>
      </w:r>
      <w:r>
        <w:rPr>
          <w:lang w:val="en-GB"/>
        </w:rPr>
        <w:t>these connections</w:t>
      </w:r>
      <w:r w:rsidRPr="00702082">
        <w:rPr>
          <w:lang w:val="en-GB"/>
        </w:rPr>
        <w:t xml:space="preserve"> represented a candidate pool. He noticed at the time that only about 150 of these connections were female—less than </w:t>
      </w:r>
      <w:r>
        <w:rPr>
          <w:lang w:val="en-GB"/>
        </w:rPr>
        <w:t>4 </w:t>
      </w:r>
      <w:r w:rsidRPr="00702082">
        <w:rPr>
          <w:lang w:val="en-GB"/>
        </w:rPr>
        <w:t xml:space="preserve">per cent. He set a target of reaching 20 per cent by 2017, in tune with his overall target of bridging the gender gap at Red Hat Canada by </w:t>
      </w:r>
      <w:r>
        <w:rPr>
          <w:lang w:val="en-GB"/>
        </w:rPr>
        <w:t>4</w:t>
      </w:r>
      <w:r w:rsidRPr="00702082">
        <w:rPr>
          <w:lang w:val="en-GB"/>
        </w:rPr>
        <w:t xml:space="preserve">0 per cent. He also noticed that he could not directly contact the women he was targeting for employment because they were in his secondary connections. He had made the mistake of passively building his networking, letting people reach him instead of reaching out to them on his own and taking advantage of the benefits of LinkedIn. Monitoring the account was not enough. He </w:t>
      </w:r>
      <w:r>
        <w:rPr>
          <w:lang w:val="en-GB"/>
        </w:rPr>
        <w:t>needed</w:t>
      </w:r>
      <w:r w:rsidRPr="00702082">
        <w:rPr>
          <w:lang w:val="en-GB"/>
        </w:rPr>
        <w:t xml:space="preserve"> to review his connections regularly. </w:t>
      </w:r>
    </w:p>
    <w:p w14:paraId="0D03C8B2" w14:textId="77777777" w:rsidR="003F6293" w:rsidRPr="00702082" w:rsidRDefault="003F6293" w:rsidP="003F6293">
      <w:pPr>
        <w:pStyle w:val="BodyTextMain"/>
        <w:rPr>
          <w:lang w:val="en-GB"/>
        </w:rPr>
      </w:pPr>
    </w:p>
    <w:p w14:paraId="6537151A" w14:textId="5C9ABBD6" w:rsidR="003F6293" w:rsidRPr="00702082" w:rsidRDefault="003F6293" w:rsidP="003F6293">
      <w:pPr>
        <w:pStyle w:val="BodyTextMain"/>
        <w:rPr>
          <w:lang w:val="en-GB"/>
        </w:rPr>
      </w:pPr>
      <w:r w:rsidRPr="00702082">
        <w:rPr>
          <w:lang w:val="en-GB"/>
        </w:rPr>
        <w:t xml:space="preserve">As part of curating his LinkedIn network, Villeneuve started posting content. It seemed to be a quick way of connecting with people. An article he wrote for </w:t>
      </w:r>
      <w:r w:rsidR="005F42E2">
        <w:rPr>
          <w:i/>
          <w:lang w:val="en-GB"/>
        </w:rPr>
        <w:t>T</w:t>
      </w:r>
      <w:r w:rsidRPr="005F42E2">
        <w:rPr>
          <w:i/>
          <w:lang w:val="en-GB"/>
        </w:rPr>
        <w:t>he</w:t>
      </w:r>
      <w:r w:rsidRPr="00702082">
        <w:rPr>
          <w:lang w:val="en-GB"/>
        </w:rPr>
        <w:t xml:space="preserve"> </w:t>
      </w:r>
      <w:r w:rsidRPr="00C9482C">
        <w:rPr>
          <w:i/>
          <w:lang w:val="en-GB"/>
        </w:rPr>
        <w:t>Globe and Mail</w:t>
      </w:r>
      <w:r w:rsidRPr="00702082">
        <w:rPr>
          <w:lang w:val="en-GB"/>
        </w:rPr>
        <w:t xml:space="preserve"> and posted on LinkedIn, for example, </w:t>
      </w:r>
      <w:proofErr w:type="gramStart"/>
      <w:r w:rsidRPr="00702082">
        <w:rPr>
          <w:lang w:val="en-GB"/>
        </w:rPr>
        <w:t>garnered,</w:t>
      </w:r>
      <w:proofErr w:type="gramEnd"/>
      <w:r w:rsidRPr="00702082">
        <w:rPr>
          <w:lang w:val="en-GB"/>
        </w:rPr>
        <w:t xml:space="preserve"> 5,000 hits. He started posting pictures of his core team and giving updates </w:t>
      </w:r>
      <w:r>
        <w:rPr>
          <w:lang w:val="en-GB"/>
        </w:rPr>
        <w:t xml:space="preserve">such as </w:t>
      </w:r>
      <w:r w:rsidRPr="00702082">
        <w:rPr>
          <w:lang w:val="en-GB"/>
        </w:rPr>
        <w:t xml:space="preserve">“Merry Christmas, everybody! We just finished a good quarter.” It secured positive responses. </w:t>
      </w:r>
    </w:p>
    <w:p w14:paraId="0D316861" w14:textId="77777777" w:rsidR="003F6293" w:rsidRPr="00702082" w:rsidRDefault="003F6293" w:rsidP="003F6293">
      <w:pPr>
        <w:pStyle w:val="BodyTextMain"/>
        <w:rPr>
          <w:lang w:val="en-GB"/>
        </w:rPr>
      </w:pPr>
    </w:p>
    <w:p w14:paraId="3B7E143A" w14:textId="77777777" w:rsidR="003F6293" w:rsidRPr="00702082" w:rsidRDefault="003F6293" w:rsidP="003F6293">
      <w:pPr>
        <w:pStyle w:val="BodyTextMain"/>
        <w:rPr>
          <w:lang w:val="en-GB"/>
        </w:rPr>
      </w:pPr>
      <w:r w:rsidRPr="00702082">
        <w:rPr>
          <w:lang w:val="en-GB"/>
        </w:rPr>
        <w:t xml:space="preserve">Over time, Villeneuve noticed that he was spending several hours every week trying to connect with female IT leaders and requesting introductions to their networks. He was pursuing the larger goal of finding good job candidates for the future. But he also wondered whether it was a productive use of his time. Was it a wild goose chase? Was he stretching himself thin? He was not sure. </w:t>
      </w:r>
    </w:p>
    <w:p w14:paraId="14DC2526" w14:textId="77777777" w:rsidR="003F6293" w:rsidRPr="00702082" w:rsidRDefault="003F6293" w:rsidP="003F6293">
      <w:pPr>
        <w:pStyle w:val="Casehead2"/>
        <w:rPr>
          <w:i/>
          <w:lang w:val="en-GB"/>
        </w:rPr>
      </w:pPr>
      <w:r w:rsidRPr="00702082">
        <w:rPr>
          <w:lang w:val="en-GB"/>
        </w:rPr>
        <w:lastRenderedPageBreak/>
        <w:t>Matching Customer Profiles</w:t>
      </w:r>
    </w:p>
    <w:p w14:paraId="5C89EE7B" w14:textId="77777777" w:rsidR="003F6293" w:rsidRPr="00702082" w:rsidRDefault="003F6293" w:rsidP="003F6293">
      <w:pPr>
        <w:pStyle w:val="BodyTextMain"/>
        <w:rPr>
          <w:lang w:val="en-GB"/>
        </w:rPr>
      </w:pPr>
    </w:p>
    <w:p w14:paraId="328ED00F" w14:textId="77777777" w:rsidR="003F6293" w:rsidRPr="00702082" w:rsidRDefault="003F6293" w:rsidP="003F6293">
      <w:pPr>
        <w:pStyle w:val="BodyTextMain"/>
        <w:rPr>
          <w:lang w:val="en-GB"/>
        </w:rPr>
      </w:pPr>
      <w:r w:rsidRPr="00702082">
        <w:rPr>
          <w:lang w:val="en-GB"/>
        </w:rPr>
        <w:t xml:space="preserve">An important part of Villeneuve’s strategy in all the jobs he had held so far was what he called “mimicking customers.” He had found that, when customers and vendors shared common self-reference criteria, they got along better than when they shared none. Gender parity was one of the many criteria Villeneuve was pursuing in </w:t>
      </w:r>
      <w:r>
        <w:rPr>
          <w:lang w:val="en-GB"/>
        </w:rPr>
        <w:t>acquir</w:t>
      </w:r>
      <w:r w:rsidRPr="00702082">
        <w:rPr>
          <w:lang w:val="en-GB"/>
        </w:rPr>
        <w:t xml:space="preserve">ing new customers, holding on to existing customers, and enhancing customers’ lifetime value to the company. This strategy, which was personal rather than a strategy of the companies he worked for, became more relevant when Villeneuve joined Red Hat Canada because Red Hat Canada had blue-chip customers in sectors that were actively pursuing gender parity goals. Companies in the Canadian banking, healthcare, and government sectors, for example, were known for their diversity and inclusion policies, and they found it easier to do business with vendors who also had similar policies. </w:t>
      </w:r>
    </w:p>
    <w:p w14:paraId="2BD08E17" w14:textId="77777777" w:rsidR="003F6293" w:rsidRPr="00702082" w:rsidRDefault="003F6293" w:rsidP="003F6293">
      <w:pPr>
        <w:pStyle w:val="BodyTextMain"/>
        <w:rPr>
          <w:lang w:val="en-GB"/>
        </w:rPr>
      </w:pPr>
    </w:p>
    <w:p w14:paraId="7AE7DC7F" w14:textId="77777777" w:rsidR="003F6293" w:rsidRPr="00702082" w:rsidRDefault="003F6293" w:rsidP="003F6293">
      <w:pPr>
        <w:pStyle w:val="BodyTextMain"/>
        <w:rPr>
          <w:lang w:val="en-GB"/>
        </w:rPr>
      </w:pPr>
      <w:r w:rsidRPr="00702082">
        <w:rPr>
          <w:lang w:val="en-GB"/>
        </w:rPr>
        <w:t xml:space="preserve">Villeneuve’s belief, developed over years of experience, was that women were more patient with customers and more intuitive about relating to them. They were also likely to go beyond business to talk to customers about what mattered to them—their kids and their families—and they could do so quickly and naturally, particularly when the person across the table was also a woman. </w:t>
      </w:r>
    </w:p>
    <w:p w14:paraId="2C02F3AB" w14:textId="77777777" w:rsidR="003F6293" w:rsidRPr="00702082" w:rsidRDefault="003F6293" w:rsidP="003F6293">
      <w:pPr>
        <w:pStyle w:val="BodyTextMain"/>
        <w:rPr>
          <w:lang w:val="en-GB"/>
        </w:rPr>
      </w:pPr>
    </w:p>
    <w:p w14:paraId="084AA072" w14:textId="77777777" w:rsidR="003F6293" w:rsidRPr="00702082" w:rsidRDefault="003F6293" w:rsidP="003F6293">
      <w:pPr>
        <w:pStyle w:val="BodyTextMain"/>
        <w:rPr>
          <w:lang w:val="en-GB"/>
        </w:rPr>
      </w:pPr>
      <w:r w:rsidRPr="00702082">
        <w:rPr>
          <w:lang w:val="en-GB"/>
        </w:rPr>
        <w:t xml:space="preserve">Matching the profiles of individual customers in each of three customer categories—mid-market, enterprise, and strategic—with that of an account manager at Red Hat Canada was an area where Villeneuve was spending a lot of his time. It was an ongoing task. </w:t>
      </w:r>
    </w:p>
    <w:p w14:paraId="31F9E72B" w14:textId="77777777" w:rsidR="003F6293" w:rsidRPr="00702082" w:rsidRDefault="003F6293" w:rsidP="003F6293">
      <w:pPr>
        <w:pStyle w:val="BodyTextMain"/>
        <w:rPr>
          <w:lang w:val="en-GB"/>
        </w:rPr>
      </w:pPr>
    </w:p>
    <w:p w14:paraId="5B262779" w14:textId="77777777" w:rsidR="003F6293" w:rsidRPr="00702082" w:rsidRDefault="003F6293" w:rsidP="003F6293">
      <w:pPr>
        <w:pStyle w:val="BodyTextMain"/>
        <w:rPr>
          <w:lang w:val="en-GB"/>
        </w:rPr>
      </w:pPr>
    </w:p>
    <w:p w14:paraId="61C53867" w14:textId="77777777" w:rsidR="003F6293" w:rsidRPr="00702082" w:rsidRDefault="003F6293" w:rsidP="003F6293">
      <w:pPr>
        <w:pStyle w:val="Casehead2"/>
        <w:rPr>
          <w:i/>
          <w:lang w:val="en-GB"/>
        </w:rPr>
      </w:pPr>
      <w:r w:rsidRPr="00702082">
        <w:rPr>
          <w:lang w:val="en-GB"/>
        </w:rPr>
        <w:t>Managing Team Dynamics</w:t>
      </w:r>
    </w:p>
    <w:p w14:paraId="6611B363" w14:textId="77777777" w:rsidR="003F6293" w:rsidRPr="00702082" w:rsidRDefault="003F6293" w:rsidP="003F6293">
      <w:pPr>
        <w:pStyle w:val="BodyTextMain"/>
        <w:rPr>
          <w:lang w:val="en-GB"/>
        </w:rPr>
      </w:pPr>
    </w:p>
    <w:p w14:paraId="501BD35A" w14:textId="77777777" w:rsidR="003F6293" w:rsidRPr="00702082" w:rsidRDefault="003F6293" w:rsidP="003F6293">
      <w:pPr>
        <w:pStyle w:val="BodyTextMain"/>
        <w:rPr>
          <w:lang w:val="en-GB"/>
        </w:rPr>
      </w:pPr>
      <w:r w:rsidRPr="00702082">
        <w:rPr>
          <w:lang w:val="en-GB"/>
        </w:rPr>
        <w:t xml:space="preserve">The composition and team dynamics of sales teams in Red Hat Canada were also important to Villeneuve in bridging the gender gap. The importance of this issue was illustrated when a female member of the government sales team was chosen the top representative of the team. Having won the coveted performance-linked spot, she was soon ribbing her peers: “Hey folks, I am the big one here now. You better listen to me and see what I do. Learn from it.” The other team members were equally sportive: “Watch it,” they would say. “I am going to replace you this year.” This chemistry </w:t>
      </w:r>
      <w:r>
        <w:rPr>
          <w:lang w:val="en-GB"/>
        </w:rPr>
        <w:t>might</w:t>
      </w:r>
      <w:r w:rsidRPr="00702082">
        <w:rPr>
          <w:lang w:val="en-GB"/>
        </w:rPr>
        <w:t xml:space="preserve"> not have been possible if it had been an all-m</w:t>
      </w:r>
      <w:r>
        <w:rPr>
          <w:lang w:val="en-GB"/>
        </w:rPr>
        <w:t>ale</w:t>
      </w:r>
      <w:r w:rsidRPr="00702082">
        <w:rPr>
          <w:lang w:val="en-GB"/>
        </w:rPr>
        <w:t xml:space="preserve"> or all-</w:t>
      </w:r>
      <w:r>
        <w:rPr>
          <w:lang w:val="en-GB"/>
        </w:rPr>
        <w:t>female</w:t>
      </w:r>
      <w:r w:rsidRPr="00702082">
        <w:rPr>
          <w:lang w:val="en-GB"/>
        </w:rPr>
        <w:t xml:space="preserve"> team. Instead of enjoying the fun of being “one up,” these teams </w:t>
      </w:r>
      <w:r>
        <w:rPr>
          <w:lang w:val="en-GB"/>
        </w:rPr>
        <w:t>might</w:t>
      </w:r>
      <w:r w:rsidRPr="00702082">
        <w:rPr>
          <w:lang w:val="en-GB"/>
        </w:rPr>
        <w:t xml:space="preserve"> have been competing hard and fast.</w:t>
      </w:r>
    </w:p>
    <w:p w14:paraId="5687FD3C" w14:textId="77777777" w:rsidR="003F6293" w:rsidRPr="00702082" w:rsidRDefault="003F6293" w:rsidP="003F6293">
      <w:pPr>
        <w:pStyle w:val="BodyTextMain"/>
        <w:rPr>
          <w:lang w:val="en-GB"/>
        </w:rPr>
      </w:pPr>
    </w:p>
    <w:p w14:paraId="3A0AC2F6" w14:textId="77777777" w:rsidR="003F6293" w:rsidRPr="00702082" w:rsidRDefault="003F6293" w:rsidP="003F6293">
      <w:pPr>
        <w:pStyle w:val="BodyTextMain"/>
        <w:rPr>
          <w:lang w:val="en-GB"/>
        </w:rPr>
      </w:pPr>
    </w:p>
    <w:p w14:paraId="49E61AE1" w14:textId="77777777" w:rsidR="003F6293" w:rsidRPr="00702082" w:rsidRDefault="003F6293" w:rsidP="003F6293">
      <w:pPr>
        <w:pStyle w:val="Casehead2"/>
        <w:rPr>
          <w:lang w:val="en-GB"/>
        </w:rPr>
      </w:pPr>
      <w:r w:rsidRPr="00702082">
        <w:rPr>
          <w:lang w:val="en-GB"/>
        </w:rPr>
        <w:t xml:space="preserve">Ensuring Male Buy-In </w:t>
      </w:r>
    </w:p>
    <w:p w14:paraId="1BA1F678" w14:textId="77777777" w:rsidR="003F6293" w:rsidRPr="00702082" w:rsidRDefault="003F6293" w:rsidP="003F6293">
      <w:pPr>
        <w:pStyle w:val="BodyTextMain"/>
        <w:rPr>
          <w:lang w:val="en-GB"/>
        </w:rPr>
      </w:pPr>
    </w:p>
    <w:p w14:paraId="2F790D12" w14:textId="43C5C8A2" w:rsidR="003F6293" w:rsidRPr="00702082" w:rsidRDefault="003F6293" w:rsidP="003F6293">
      <w:pPr>
        <w:pStyle w:val="BodyTextMain"/>
        <w:rPr>
          <w:lang w:val="en-GB"/>
        </w:rPr>
      </w:pPr>
      <w:r w:rsidRPr="00702082">
        <w:rPr>
          <w:lang w:val="en-GB"/>
        </w:rPr>
        <w:t xml:space="preserve">Ensuring that men in Red Hat Canada took some initiative to promote gender parity was a big issue for Villeneuve. Men in the company understood the importance of gender equality, but Villeneuve saw two concerns: (1) they did not know what to do about it, and (2) they carried biases they had grown up with. The former could be dealt with through Villeneuve’s personal example as the CEO and through evidence of women who had succeeded in their designated roles at Red Hat Canada. Demonstrative results were tilting male employees toward gender parity. However, it was in dealing with unconscious biases that </w:t>
      </w:r>
      <w:bookmarkStart w:id="7" w:name="_Hlk521962735"/>
      <w:r w:rsidRPr="00702082">
        <w:rPr>
          <w:lang w:val="en-GB"/>
        </w:rPr>
        <w:t>Villeneuve</w:t>
      </w:r>
      <w:bookmarkEnd w:id="7"/>
      <w:r w:rsidRPr="00702082">
        <w:rPr>
          <w:lang w:val="en-GB"/>
        </w:rPr>
        <w:t xml:space="preserve"> thought he was on </w:t>
      </w:r>
      <w:proofErr w:type="spellStart"/>
      <w:r w:rsidRPr="00702082">
        <w:rPr>
          <w:lang w:val="en-GB"/>
        </w:rPr>
        <w:t>loose</w:t>
      </w:r>
      <w:proofErr w:type="spellEnd"/>
      <w:r w:rsidRPr="00702082">
        <w:rPr>
          <w:lang w:val="en-GB"/>
        </w:rPr>
        <w:t xml:space="preserve"> ground. </w:t>
      </w:r>
      <w:r w:rsidRPr="000357ED">
        <w:rPr>
          <w:lang w:val="en-GB"/>
        </w:rPr>
        <w:t>Villeneuve</w:t>
      </w:r>
      <w:r w:rsidR="005F42E2">
        <w:rPr>
          <w:lang w:val="en-GB"/>
        </w:rPr>
        <w:t xml:space="preserve"> said</w:t>
      </w:r>
      <w:r>
        <w:rPr>
          <w:lang w:val="en-GB"/>
        </w:rPr>
        <w:t>:</w:t>
      </w:r>
    </w:p>
    <w:p w14:paraId="51F73D36" w14:textId="77777777" w:rsidR="003F6293" w:rsidRPr="00702082" w:rsidRDefault="003F6293" w:rsidP="003F6293">
      <w:pPr>
        <w:pStyle w:val="BodyTextMain"/>
        <w:rPr>
          <w:lang w:val="en-GB"/>
        </w:rPr>
      </w:pPr>
    </w:p>
    <w:p w14:paraId="73968CF3" w14:textId="71E075FC" w:rsidR="003F6293" w:rsidRPr="00702082" w:rsidRDefault="003F6293" w:rsidP="003F6293">
      <w:pPr>
        <w:pStyle w:val="BodyTextMain"/>
        <w:ind w:left="720"/>
        <w:rPr>
          <w:lang w:val="en-GB"/>
        </w:rPr>
      </w:pPr>
      <w:r w:rsidRPr="00702082">
        <w:rPr>
          <w:lang w:val="en-GB"/>
        </w:rPr>
        <w:t>Visibility is the price that I pay for pursuing gender equality as a broader goal in workplaces. I get drawn into conversations on incorporating some of our best practices. I am myself looking for best practices that we could incorporate at Red Hat Canada. At one level, there is too much to do in bringing about gender parity. At another, there is too little that I can do on my own. How do I prioritize? How do I pick my battles? That is my dilemma.</w:t>
      </w:r>
    </w:p>
    <w:bookmarkEnd w:id="4"/>
    <w:bookmarkEnd w:id="5"/>
    <w:p w14:paraId="71AA3864" w14:textId="77777777" w:rsidR="003F6293" w:rsidRPr="00702082" w:rsidRDefault="003F6293" w:rsidP="003F6293">
      <w:pPr>
        <w:pStyle w:val="Casehead1"/>
        <w:jc w:val="center"/>
      </w:pPr>
      <w:r w:rsidRPr="00702082">
        <w:br w:type="page"/>
      </w:r>
      <w:r w:rsidRPr="00702082">
        <w:lastRenderedPageBreak/>
        <w:t xml:space="preserve">Exhibit 1: </w:t>
      </w:r>
      <w:r>
        <w:t xml:space="preserve">gender gaps in the </w:t>
      </w:r>
      <w:r w:rsidRPr="00702082">
        <w:t>GLOBAL I</w:t>
      </w:r>
      <w:r>
        <w:t xml:space="preserve">nformation and </w:t>
      </w:r>
      <w:r w:rsidRPr="00702082">
        <w:t>C</w:t>
      </w:r>
      <w:r>
        <w:t xml:space="preserve">ommunications </w:t>
      </w:r>
      <w:r w:rsidRPr="00702082">
        <w:t>T</w:t>
      </w:r>
      <w:r>
        <w:t>echnology</w:t>
      </w:r>
      <w:r w:rsidRPr="00702082">
        <w:t xml:space="preserve"> iNDUSTRY</w:t>
      </w:r>
    </w:p>
    <w:p w14:paraId="2A4246BF" w14:textId="77777777" w:rsidR="003F6293" w:rsidRPr="00702082" w:rsidRDefault="003F6293" w:rsidP="003F6293">
      <w:pPr>
        <w:pStyle w:val="BodyTextMain"/>
        <w:rPr>
          <w:lang w:val="en-GB"/>
        </w:rPr>
      </w:pPr>
    </w:p>
    <w:tbl>
      <w:tblPr>
        <w:tblW w:w="9377" w:type="dxa"/>
        <w:jc w:val="center"/>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3705"/>
        <w:gridCol w:w="1688"/>
        <w:gridCol w:w="1005"/>
      </w:tblGrid>
      <w:tr w:rsidR="003F6293" w:rsidRPr="00702082" w14:paraId="2C6BB75E" w14:textId="77777777" w:rsidTr="005F42E2">
        <w:trPr>
          <w:jc w:val="center"/>
        </w:trPr>
        <w:tc>
          <w:tcPr>
            <w:tcW w:w="2979" w:type="dxa"/>
            <w:shd w:val="clear" w:color="auto" w:fill="auto"/>
          </w:tcPr>
          <w:p w14:paraId="6B78AE06" w14:textId="77777777" w:rsidR="005F42E2" w:rsidRDefault="005F42E2" w:rsidP="005F42E2">
            <w:pPr>
              <w:jc w:val="center"/>
              <w:rPr>
                <w:rFonts w:ascii="Arial" w:hAnsi="Arial" w:cs="Arial"/>
                <w:b/>
                <w:lang w:val="en-GB"/>
              </w:rPr>
            </w:pPr>
          </w:p>
          <w:p w14:paraId="4BA0CEF3" w14:textId="0FB91066" w:rsidR="003F6293" w:rsidRPr="00C9482C" w:rsidRDefault="003F6293" w:rsidP="005F42E2">
            <w:pPr>
              <w:jc w:val="center"/>
              <w:rPr>
                <w:rFonts w:ascii="Arial" w:hAnsi="Arial" w:cs="Arial"/>
                <w:b/>
                <w:lang w:val="en-GB"/>
              </w:rPr>
            </w:pPr>
            <w:r w:rsidRPr="00C9482C">
              <w:rPr>
                <w:rFonts w:ascii="Arial" w:hAnsi="Arial" w:cs="Arial"/>
                <w:b/>
                <w:lang w:val="en-GB"/>
              </w:rPr>
              <w:t>Job Family</w:t>
            </w:r>
          </w:p>
        </w:tc>
        <w:tc>
          <w:tcPr>
            <w:tcW w:w="3705" w:type="dxa"/>
            <w:shd w:val="clear" w:color="auto" w:fill="auto"/>
          </w:tcPr>
          <w:p w14:paraId="770A9164" w14:textId="77777777" w:rsidR="005F42E2" w:rsidRDefault="005F42E2" w:rsidP="003F6293">
            <w:pPr>
              <w:jc w:val="center"/>
              <w:rPr>
                <w:rFonts w:ascii="Arial" w:hAnsi="Arial" w:cs="Arial"/>
                <w:b/>
                <w:lang w:val="en-GB"/>
              </w:rPr>
            </w:pPr>
          </w:p>
          <w:p w14:paraId="733017A4" w14:textId="77777777" w:rsidR="003F6293" w:rsidRPr="00C9482C" w:rsidRDefault="003F6293" w:rsidP="003F6293">
            <w:pPr>
              <w:jc w:val="center"/>
              <w:rPr>
                <w:rFonts w:ascii="Arial" w:hAnsi="Arial" w:cs="Arial"/>
                <w:b/>
                <w:lang w:val="en-GB"/>
              </w:rPr>
            </w:pPr>
            <w:r w:rsidRPr="00C9482C">
              <w:rPr>
                <w:rFonts w:ascii="Arial" w:hAnsi="Arial" w:cs="Arial"/>
                <w:b/>
                <w:lang w:val="en-GB"/>
              </w:rPr>
              <w:t>Job Category</w:t>
            </w:r>
          </w:p>
        </w:tc>
        <w:tc>
          <w:tcPr>
            <w:tcW w:w="1688" w:type="dxa"/>
            <w:shd w:val="clear" w:color="auto" w:fill="auto"/>
          </w:tcPr>
          <w:p w14:paraId="1707E6D7" w14:textId="77777777" w:rsidR="003F6293" w:rsidRPr="00C9482C" w:rsidRDefault="003F6293" w:rsidP="005F42E2">
            <w:pPr>
              <w:jc w:val="center"/>
              <w:rPr>
                <w:rFonts w:ascii="Arial" w:hAnsi="Arial" w:cs="Arial"/>
                <w:b/>
                <w:lang w:val="en-GB"/>
              </w:rPr>
            </w:pPr>
            <w:r w:rsidRPr="00C9482C">
              <w:rPr>
                <w:rFonts w:ascii="Arial" w:hAnsi="Arial" w:cs="Arial"/>
                <w:b/>
                <w:lang w:val="en-GB"/>
              </w:rPr>
              <w:t>Share Of Women</w:t>
            </w:r>
            <w:r>
              <w:rPr>
                <w:rFonts w:ascii="Arial" w:hAnsi="Arial" w:cs="Arial"/>
                <w:b/>
                <w:lang w:val="en-GB"/>
              </w:rPr>
              <w:t xml:space="preserve"> </w:t>
            </w:r>
            <w:r w:rsidRPr="00C9482C">
              <w:rPr>
                <w:rFonts w:ascii="Arial" w:hAnsi="Arial" w:cs="Arial"/>
                <w:b/>
                <w:lang w:val="en-GB"/>
              </w:rPr>
              <w:t>(%)</w:t>
            </w:r>
          </w:p>
        </w:tc>
        <w:tc>
          <w:tcPr>
            <w:tcW w:w="1005" w:type="dxa"/>
            <w:shd w:val="clear" w:color="auto" w:fill="auto"/>
          </w:tcPr>
          <w:p w14:paraId="252F8E1D" w14:textId="77777777" w:rsidR="003F6293" w:rsidRPr="00C9482C" w:rsidRDefault="003F6293" w:rsidP="005F42E2">
            <w:pPr>
              <w:jc w:val="center"/>
              <w:rPr>
                <w:rFonts w:ascii="Arial" w:hAnsi="Arial" w:cs="Arial"/>
                <w:b/>
                <w:lang w:val="en-GB"/>
              </w:rPr>
            </w:pPr>
            <w:r w:rsidRPr="00C9482C">
              <w:rPr>
                <w:rFonts w:ascii="Arial" w:hAnsi="Arial" w:cs="Arial"/>
                <w:b/>
                <w:lang w:val="en-GB"/>
              </w:rPr>
              <w:t>Wage Gap</w:t>
            </w:r>
            <w:r>
              <w:rPr>
                <w:rFonts w:ascii="Arial" w:hAnsi="Arial" w:cs="Arial"/>
                <w:b/>
                <w:lang w:val="en-GB"/>
              </w:rPr>
              <w:t xml:space="preserve"> </w:t>
            </w:r>
            <w:r w:rsidRPr="00C9482C">
              <w:rPr>
                <w:rFonts w:ascii="Arial" w:hAnsi="Arial" w:cs="Arial"/>
                <w:b/>
                <w:lang w:val="en-GB"/>
              </w:rPr>
              <w:t>(%)</w:t>
            </w:r>
          </w:p>
        </w:tc>
      </w:tr>
      <w:tr w:rsidR="003F6293" w:rsidRPr="00702082" w14:paraId="7DE51BAF" w14:textId="77777777" w:rsidTr="005F42E2">
        <w:trPr>
          <w:jc w:val="center"/>
        </w:trPr>
        <w:tc>
          <w:tcPr>
            <w:tcW w:w="2979" w:type="dxa"/>
            <w:shd w:val="clear" w:color="auto" w:fill="auto"/>
            <w:vAlign w:val="center"/>
          </w:tcPr>
          <w:p w14:paraId="3B6659E8" w14:textId="77777777" w:rsidR="003F6293" w:rsidRPr="00702082" w:rsidRDefault="003F6293" w:rsidP="003F6293">
            <w:pPr>
              <w:rPr>
                <w:rFonts w:ascii="Arial" w:hAnsi="Arial" w:cs="Arial"/>
                <w:lang w:val="en-GB"/>
              </w:rPr>
            </w:pPr>
            <w:r w:rsidRPr="00702082">
              <w:rPr>
                <w:rFonts w:ascii="Arial" w:hAnsi="Arial" w:cs="Arial"/>
                <w:lang w:val="en-GB"/>
              </w:rPr>
              <w:t>Computer and Mathematical</w:t>
            </w:r>
          </w:p>
        </w:tc>
        <w:tc>
          <w:tcPr>
            <w:tcW w:w="3705" w:type="dxa"/>
            <w:shd w:val="clear" w:color="auto" w:fill="auto"/>
          </w:tcPr>
          <w:p w14:paraId="6093DB11" w14:textId="77777777" w:rsidR="003F6293" w:rsidRPr="002E2462" w:rsidRDefault="003F6293" w:rsidP="005F42E2">
            <w:pPr>
              <w:pStyle w:val="BodyTextMain"/>
              <w:jc w:val="left"/>
              <w:rPr>
                <w:rFonts w:ascii="Arial" w:hAnsi="Arial" w:cs="Arial"/>
                <w:sz w:val="20"/>
              </w:rPr>
            </w:pPr>
            <w:r w:rsidRPr="002E2462">
              <w:rPr>
                <w:rFonts w:ascii="Arial" w:hAnsi="Arial" w:cs="Arial"/>
                <w:sz w:val="20"/>
              </w:rPr>
              <w:t>• Database and Network Professionals</w:t>
            </w:r>
          </w:p>
          <w:p w14:paraId="23480773" w14:textId="77777777" w:rsidR="003F6293" w:rsidRPr="00702082" w:rsidRDefault="003F6293" w:rsidP="005F42E2">
            <w:pPr>
              <w:pStyle w:val="BodyTextMain"/>
              <w:jc w:val="left"/>
            </w:pPr>
            <w:r w:rsidRPr="002E2462">
              <w:rPr>
                <w:rFonts w:ascii="Arial" w:hAnsi="Arial" w:cs="Arial"/>
                <w:sz w:val="20"/>
              </w:rPr>
              <w:t>• Software Developers and Analysts</w:t>
            </w:r>
          </w:p>
        </w:tc>
        <w:tc>
          <w:tcPr>
            <w:tcW w:w="1688" w:type="dxa"/>
            <w:shd w:val="clear" w:color="auto" w:fill="auto"/>
          </w:tcPr>
          <w:p w14:paraId="1D528C50" w14:textId="77777777" w:rsidR="003F6293" w:rsidRPr="00702082" w:rsidRDefault="003F6293" w:rsidP="005F42E2">
            <w:pPr>
              <w:tabs>
                <w:tab w:val="decimal" w:pos="751"/>
              </w:tabs>
              <w:ind w:right="720"/>
              <w:jc w:val="right"/>
              <w:rPr>
                <w:rFonts w:ascii="Arial" w:hAnsi="Arial" w:cs="Arial"/>
                <w:lang w:val="en-GB"/>
              </w:rPr>
            </w:pPr>
          </w:p>
          <w:p w14:paraId="02DDA21F" w14:textId="77777777" w:rsidR="003F6293" w:rsidRPr="00702082" w:rsidRDefault="003F6293" w:rsidP="005F42E2">
            <w:pPr>
              <w:tabs>
                <w:tab w:val="decimal" w:pos="751"/>
              </w:tabs>
              <w:ind w:right="720"/>
              <w:jc w:val="right"/>
              <w:rPr>
                <w:rFonts w:ascii="Arial" w:hAnsi="Arial" w:cs="Arial"/>
                <w:lang w:val="en-GB"/>
              </w:rPr>
            </w:pPr>
            <w:r w:rsidRPr="00702082">
              <w:rPr>
                <w:rFonts w:ascii="Arial" w:hAnsi="Arial" w:cs="Arial"/>
                <w:lang w:val="en-GB"/>
              </w:rPr>
              <w:t>20</w:t>
            </w:r>
          </w:p>
        </w:tc>
        <w:tc>
          <w:tcPr>
            <w:tcW w:w="1005" w:type="dxa"/>
            <w:shd w:val="clear" w:color="auto" w:fill="auto"/>
          </w:tcPr>
          <w:p w14:paraId="0BA13690" w14:textId="77777777" w:rsidR="003F6293" w:rsidRPr="00702082" w:rsidRDefault="003F6293" w:rsidP="005F42E2">
            <w:pPr>
              <w:jc w:val="center"/>
              <w:rPr>
                <w:rFonts w:ascii="Arial" w:hAnsi="Arial" w:cs="Arial"/>
                <w:lang w:val="en-GB"/>
              </w:rPr>
            </w:pPr>
          </w:p>
          <w:p w14:paraId="42B6E7BD" w14:textId="77777777" w:rsidR="003F6293" w:rsidRPr="00702082" w:rsidRDefault="003F6293" w:rsidP="005F42E2">
            <w:pPr>
              <w:jc w:val="center"/>
              <w:rPr>
                <w:rFonts w:ascii="Arial" w:hAnsi="Arial" w:cs="Arial"/>
                <w:lang w:val="en-GB"/>
              </w:rPr>
            </w:pPr>
            <w:r w:rsidRPr="00702082">
              <w:rPr>
                <w:rFonts w:ascii="Arial" w:hAnsi="Arial" w:cs="Arial"/>
                <w:lang w:val="en-GB"/>
              </w:rPr>
              <w:t>33</w:t>
            </w:r>
          </w:p>
        </w:tc>
      </w:tr>
      <w:tr w:rsidR="003F6293" w:rsidRPr="00702082" w14:paraId="57935308" w14:textId="77777777" w:rsidTr="005F42E2">
        <w:trPr>
          <w:jc w:val="center"/>
        </w:trPr>
        <w:tc>
          <w:tcPr>
            <w:tcW w:w="2979" w:type="dxa"/>
            <w:shd w:val="clear" w:color="auto" w:fill="auto"/>
            <w:vAlign w:val="center"/>
          </w:tcPr>
          <w:p w14:paraId="5963F7EB" w14:textId="77777777" w:rsidR="003F6293" w:rsidRPr="00702082" w:rsidRDefault="003F6293" w:rsidP="003F6293">
            <w:pPr>
              <w:rPr>
                <w:rFonts w:ascii="Arial" w:hAnsi="Arial" w:cs="Arial"/>
                <w:lang w:val="en-GB"/>
              </w:rPr>
            </w:pPr>
            <w:r w:rsidRPr="00702082">
              <w:rPr>
                <w:rFonts w:ascii="Arial" w:hAnsi="Arial" w:cs="Arial"/>
                <w:lang w:val="en-GB"/>
              </w:rPr>
              <w:t>Sales and Related</w:t>
            </w:r>
          </w:p>
        </w:tc>
        <w:tc>
          <w:tcPr>
            <w:tcW w:w="3705" w:type="dxa"/>
            <w:shd w:val="clear" w:color="auto" w:fill="auto"/>
          </w:tcPr>
          <w:p w14:paraId="6B2AC910" w14:textId="77777777" w:rsidR="003F6293" w:rsidRPr="00702082" w:rsidRDefault="003F6293" w:rsidP="005F42E2">
            <w:pPr>
              <w:rPr>
                <w:rFonts w:ascii="Arial" w:hAnsi="Arial" w:cs="Arial"/>
                <w:lang w:val="en-GB"/>
              </w:rPr>
            </w:pPr>
            <w:r w:rsidRPr="00702082">
              <w:rPr>
                <w:rFonts w:ascii="Arial" w:hAnsi="Arial" w:cs="Arial"/>
                <w:lang w:val="en-GB"/>
              </w:rPr>
              <w:t>• Telemarketers</w:t>
            </w:r>
          </w:p>
          <w:p w14:paraId="63704AB8" w14:textId="77777777" w:rsidR="003F6293" w:rsidRPr="00702082" w:rsidRDefault="003F6293" w:rsidP="005F42E2">
            <w:pPr>
              <w:rPr>
                <w:rFonts w:ascii="Arial" w:hAnsi="Arial" w:cs="Arial"/>
                <w:lang w:val="en-GB"/>
              </w:rPr>
            </w:pPr>
            <w:r w:rsidRPr="00702082">
              <w:rPr>
                <w:rFonts w:ascii="Arial" w:hAnsi="Arial" w:cs="Arial"/>
                <w:lang w:val="en-GB"/>
              </w:rPr>
              <w:t>• Sales Representatives</w:t>
            </w:r>
          </w:p>
        </w:tc>
        <w:tc>
          <w:tcPr>
            <w:tcW w:w="1688" w:type="dxa"/>
            <w:shd w:val="clear" w:color="auto" w:fill="auto"/>
          </w:tcPr>
          <w:p w14:paraId="65EF61DD" w14:textId="77777777" w:rsidR="003F6293" w:rsidRPr="00702082" w:rsidRDefault="003F6293" w:rsidP="005F42E2">
            <w:pPr>
              <w:tabs>
                <w:tab w:val="decimal" w:pos="751"/>
              </w:tabs>
              <w:ind w:right="720"/>
              <w:jc w:val="right"/>
              <w:rPr>
                <w:rFonts w:ascii="Arial" w:hAnsi="Arial" w:cs="Arial"/>
                <w:lang w:val="en-GB"/>
              </w:rPr>
            </w:pPr>
          </w:p>
          <w:p w14:paraId="2B8A4024" w14:textId="77777777" w:rsidR="003F6293" w:rsidRPr="00702082" w:rsidRDefault="003F6293" w:rsidP="005F42E2">
            <w:pPr>
              <w:tabs>
                <w:tab w:val="decimal" w:pos="751"/>
              </w:tabs>
              <w:ind w:right="720"/>
              <w:jc w:val="right"/>
              <w:rPr>
                <w:rFonts w:ascii="Arial" w:hAnsi="Arial" w:cs="Arial"/>
                <w:lang w:val="en-GB"/>
              </w:rPr>
            </w:pPr>
            <w:r w:rsidRPr="00702082">
              <w:rPr>
                <w:rFonts w:ascii="Arial" w:hAnsi="Arial" w:cs="Arial"/>
                <w:lang w:val="en-GB"/>
              </w:rPr>
              <w:t>44</w:t>
            </w:r>
          </w:p>
        </w:tc>
        <w:tc>
          <w:tcPr>
            <w:tcW w:w="1005" w:type="dxa"/>
            <w:shd w:val="clear" w:color="auto" w:fill="auto"/>
          </w:tcPr>
          <w:p w14:paraId="71CB6B49" w14:textId="77777777" w:rsidR="003F6293" w:rsidRPr="00702082" w:rsidRDefault="003F6293" w:rsidP="005F42E2">
            <w:pPr>
              <w:jc w:val="center"/>
              <w:rPr>
                <w:rFonts w:ascii="Arial" w:hAnsi="Arial" w:cs="Arial"/>
                <w:lang w:val="en-GB"/>
              </w:rPr>
            </w:pPr>
          </w:p>
          <w:p w14:paraId="23DFB0EE" w14:textId="77777777" w:rsidR="003F6293" w:rsidRPr="00702082" w:rsidRDefault="003F6293" w:rsidP="005F42E2">
            <w:pPr>
              <w:jc w:val="center"/>
              <w:rPr>
                <w:rFonts w:ascii="Arial" w:hAnsi="Arial" w:cs="Arial"/>
                <w:lang w:val="en-GB"/>
              </w:rPr>
            </w:pPr>
            <w:r w:rsidRPr="00702082">
              <w:rPr>
                <w:rFonts w:ascii="Arial" w:hAnsi="Arial" w:cs="Arial"/>
                <w:lang w:val="en-GB"/>
              </w:rPr>
              <w:t>25</w:t>
            </w:r>
          </w:p>
        </w:tc>
      </w:tr>
      <w:tr w:rsidR="003F6293" w:rsidRPr="00702082" w14:paraId="6FDAA2D0" w14:textId="77777777" w:rsidTr="005F42E2">
        <w:trPr>
          <w:jc w:val="center"/>
        </w:trPr>
        <w:tc>
          <w:tcPr>
            <w:tcW w:w="2979" w:type="dxa"/>
            <w:shd w:val="clear" w:color="auto" w:fill="auto"/>
            <w:vAlign w:val="center"/>
          </w:tcPr>
          <w:p w14:paraId="49E53911" w14:textId="77777777" w:rsidR="003F6293" w:rsidRPr="00702082" w:rsidRDefault="003F6293" w:rsidP="003F6293">
            <w:pPr>
              <w:rPr>
                <w:rFonts w:ascii="Arial" w:hAnsi="Arial" w:cs="Arial"/>
                <w:lang w:val="en-GB"/>
              </w:rPr>
            </w:pPr>
            <w:r w:rsidRPr="00702082">
              <w:rPr>
                <w:rFonts w:ascii="Arial" w:hAnsi="Arial" w:cs="Arial"/>
                <w:lang w:val="en-GB"/>
              </w:rPr>
              <w:t>Installation and Maintenance</w:t>
            </w:r>
          </w:p>
        </w:tc>
        <w:tc>
          <w:tcPr>
            <w:tcW w:w="3705" w:type="dxa"/>
            <w:shd w:val="clear" w:color="auto" w:fill="auto"/>
          </w:tcPr>
          <w:p w14:paraId="79CB0EE0" w14:textId="77777777" w:rsidR="003F6293" w:rsidRPr="00702082" w:rsidRDefault="003F6293" w:rsidP="005F42E2">
            <w:pPr>
              <w:rPr>
                <w:rFonts w:ascii="Arial" w:hAnsi="Arial" w:cs="Arial"/>
                <w:lang w:val="en-GB"/>
              </w:rPr>
            </w:pPr>
            <w:r w:rsidRPr="00702082">
              <w:rPr>
                <w:rFonts w:ascii="Arial" w:hAnsi="Arial" w:cs="Arial"/>
                <w:lang w:val="en-GB"/>
              </w:rPr>
              <w:t>• Mechanics and Machinery Repairers</w:t>
            </w:r>
          </w:p>
          <w:p w14:paraId="7E068F13" w14:textId="77777777" w:rsidR="003F6293" w:rsidRPr="00702082" w:rsidRDefault="003F6293" w:rsidP="005F42E2">
            <w:pPr>
              <w:rPr>
                <w:rFonts w:ascii="Arial" w:hAnsi="Arial" w:cs="Arial"/>
                <w:lang w:val="en-GB"/>
              </w:rPr>
            </w:pPr>
            <w:r w:rsidRPr="00702082">
              <w:rPr>
                <w:rFonts w:ascii="Arial" w:hAnsi="Arial" w:cs="Arial"/>
                <w:lang w:val="en-GB"/>
              </w:rPr>
              <w:t>• Electronic/Telecom Installers &amp; Repairers</w:t>
            </w:r>
          </w:p>
        </w:tc>
        <w:tc>
          <w:tcPr>
            <w:tcW w:w="1688" w:type="dxa"/>
            <w:shd w:val="clear" w:color="auto" w:fill="auto"/>
          </w:tcPr>
          <w:p w14:paraId="5CABB4BA" w14:textId="77777777" w:rsidR="003F6293" w:rsidRPr="00702082" w:rsidRDefault="003F6293" w:rsidP="005F42E2">
            <w:pPr>
              <w:tabs>
                <w:tab w:val="decimal" w:pos="751"/>
              </w:tabs>
              <w:ind w:right="720"/>
              <w:jc w:val="right"/>
              <w:rPr>
                <w:rFonts w:ascii="Arial" w:hAnsi="Arial" w:cs="Arial"/>
                <w:lang w:val="en-GB"/>
              </w:rPr>
            </w:pPr>
          </w:p>
          <w:p w14:paraId="424121E8" w14:textId="77777777" w:rsidR="003F6293" w:rsidRPr="00702082" w:rsidRDefault="003F6293" w:rsidP="005F42E2">
            <w:pPr>
              <w:tabs>
                <w:tab w:val="decimal" w:pos="751"/>
              </w:tabs>
              <w:ind w:right="720"/>
              <w:jc w:val="right"/>
              <w:rPr>
                <w:rFonts w:ascii="Arial" w:hAnsi="Arial" w:cs="Arial"/>
                <w:lang w:val="en-GB"/>
              </w:rPr>
            </w:pPr>
            <w:r w:rsidRPr="00702082">
              <w:rPr>
                <w:rFonts w:ascii="Arial" w:hAnsi="Arial" w:cs="Arial"/>
                <w:lang w:val="en-GB"/>
              </w:rPr>
              <w:t>9</w:t>
            </w:r>
          </w:p>
        </w:tc>
        <w:tc>
          <w:tcPr>
            <w:tcW w:w="1005" w:type="dxa"/>
            <w:shd w:val="clear" w:color="auto" w:fill="auto"/>
          </w:tcPr>
          <w:p w14:paraId="57BE8F0E" w14:textId="77777777" w:rsidR="003F6293" w:rsidRPr="00702082" w:rsidRDefault="003F6293" w:rsidP="005F42E2">
            <w:pPr>
              <w:jc w:val="center"/>
              <w:rPr>
                <w:rFonts w:ascii="Arial" w:hAnsi="Arial" w:cs="Arial"/>
                <w:lang w:val="en-GB"/>
              </w:rPr>
            </w:pPr>
          </w:p>
          <w:p w14:paraId="4482FAC1" w14:textId="77777777" w:rsidR="003F6293" w:rsidRPr="00702082" w:rsidRDefault="003F6293" w:rsidP="005F42E2">
            <w:pPr>
              <w:jc w:val="center"/>
              <w:rPr>
                <w:rFonts w:ascii="Arial" w:hAnsi="Arial" w:cs="Arial"/>
                <w:lang w:val="en-GB"/>
              </w:rPr>
            </w:pPr>
            <w:r w:rsidRPr="00702082">
              <w:rPr>
                <w:rFonts w:ascii="Arial" w:hAnsi="Arial" w:cs="Arial"/>
                <w:lang w:val="en-GB"/>
              </w:rPr>
              <w:t>30</w:t>
            </w:r>
          </w:p>
        </w:tc>
      </w:tr>
      <w:tr w:rsidR="003F6293" w:rsidRPr="00702082" w14:paraId="5E411DB7" w14:textId="77777777" w:rsidTr="005F42E2">
        <w:trPr>
          <w:jc w:val="center"/>
        </w:trPr>
        <w:tc>
          <w:tcPr>
            <w:tcW w:w="2979" w:type="dxa"/>
            <w:shd w:val="clear" w:color="auto" w:fill="auto"/>
            <w:vAlign w:val="center"/>
          </w:tcPr>
          <w:p w14:paraId="31A50A90" w14:textId="77777777" w:rsidR="003F6293" w:rsidRPr="00702082" w:rsidRDefault="003F6293" w:rsidP="003F6293">
            <w:pPr>
              <w:rPr>
                <w:rFonts w:ascii="Arial" w:hAnsi="Arial" w:cs="Arial"/>
                <w:lang w:val="en-GB"/>
              </w:rPr>
            </w:pPr>
            <w:r w:rsidRPr="00702082">
              <w:rPr>
                <w:rFonts w:ascii="Arial" w:hAnsi="Arial" w:cs="Arial"/>
                <w:lang w:val="en-GB"/>
              </w:rPr>
              <w:t>Architecture and Engineering</w:t>
            </w:r>
          </w:p>
        </w:tc>
        <w:tc>
          <w:tcPr>
            <w:tcW w:w="3705" w:type="dxa"/>
            <w:shd w:val="clear" w:color="auto" w:fill="auto"/>
          </w:tcPr>
          <w:p w14:paraId="2392F9AD" w14:textId="77777777" w:rsidR="003F6293" w:rsidRPr="00702082" w:rsidRDefault="003F6293" w:rsidP="005F42E2">
            <w:pPr>
              <w:rPr>
                <w:rFonts w:ascii="Arial" w:hAnsi="Arial" w:cs="Arial"/>
                <w:lang w:val="en-GB"/>
              </w:rPr>
            </w:pPr>
            <w:r w:rsidRPr="00702082">
              <w:rPr>
                <w:rFonts w:ascii="Arial" w:hAnsi="Arial" w:cs="Arial"/>
                <w:lang w:val="en-GB"/>
              </w:rPr>
              <w:t xml:space="preserve">• </w:t>
            </w:r>
            <w:proofErr w:type="spellStart"/>
            <w:r w:rsidRPr="00702082">
              <w:rPr>
                <w:rFonts w:ascii="Arial" w:hAnsi="Arial" w:cs="Arial"/>
                <w:lang w:val="en-GB"/>
              </w:rPr>
              <w:t>Electrotechnology</w:t>
            </w:r>
            <w:proofErr w:type="spellEnd"/>
            <w:r w:rsidRPr="00702082">
              <w:rPr>
                <w:rFonts w:ascii="Arial" w:hAnsi="Arial" w:cs="Arial"/>
                <w:lang w:val="en-GB"/>
              </w:rPr>
              <w:t xml:space="preserve"> Engineers</w:t>
            </w:r>
          </w:p>
          <w:p w14:paraId="588120A3" w14:textId="77777777" w:rsidR="003F6293" w:rsidRPr="00702082" w:rsidRDefault="003F6293" w:rsidP="005F42E2">
            <w:pPr>
              <w:rPr>
                <w:rFonts w:ascii="Arial" w:hAnsi="Arial" w:cs="Arial"/>
                <w:lang w:val="en-GB"/>
              </w:rPr>
            </w:pPr>
            <w:r w:rsidRPr="00702082">
              <w:rPr>
                <w:rFonts w:ascii="Arial" w:hAnsi="Arial" w:cs="Arial"/>
                <w:lang w:val="en-GB"/>
              </w:rPr>
              <w:t>• Architects and Surveyors</w:t>
            </w:r>
          </w:p>
        </w:tc>
        <w:tc>
          <w:tcPr>
            <w:tcW w:w="1688" w:type="dxa"/>
            <w:shd w:val="clear" w:color="auto" w:fill="auto"/>
          </w:tcPr>
          <w:p w14:paraId="6CCDEF4B" w14:textId="77777777" w:rsidR="003F6293" w:rsidRPr="00702082" w:rsidRDefault="003F6293" w:rsidP="005F42E2">
            <w:pPr>
              <w:tabs>
                <w:tab w:val="decimal" w:pos="751"/>
              </w:tabs>
              <w:ind w:right="720"/>
              <w:jc w:val="right"/>
              <w:rPr>
                <w:rFonts w:ascii="Arial" w:hAnsi="Arial" w:cs="Arial"/>
                <w:lang w:val="en-GB"/>
              </w:rPr>
            </w:pPr>
          </w:p>
          <w:p w14:paraId="33620788" w14:textId="77777777" w:rsidR="003F6293" w:rsidRPr="00702082" w:rsidRDefault="003F6293" w:rsidP="005F42E2">
            <w:pPr>
              <w:tabs>
                <w:tab w:val="decimal" w:pos="751"/>
              </w:tabs>
              <w:ind w:right="720"/>
              <w:jc w:val="right"/>
              <w:rPr>
                <w:rFonts w:ascii="Arial" w:hAnsi="Arial" w:cs="Arial"/>
                <w:lang w:val="en-GB"/>
              </w:rPr>
            </w:pPr>
            <w:r w:rsidRPr="00702082">
              <w:rPr>
                <w:rFonts w:ascii="Arial" w:hAnsi="Arial" w:cs="Arial"/>
                <w:lang w:val="en-GB"/>
              </w:rPr>
              <w:t>7</w:t>
            </w:r>
          </w:p>
        </w:tc>
        <w:tc>
          <w:tcPr>
            <w:tcW w:w="1005" w:type="dxa"/>
            <w:shd w:val="clear" w:color="auto" w:fill="auto"/>
          </w:tcPr>
          <w:p w14:paraId="52C7CCD7" w14:textId="77777777" w:rsidR="003F6293" w:rsidRPr="00702082" w:rsidRDefault="003F6293" w:rsidP="005F42E2">
            <w:pPr>
              <w:jc w:val="center"/>
              <w:rPr>
                <w:rFonts w:ascii="Arial" w:hAnsi="Arial" w:cs="Arial"/>
                <w:lang w:val="en-GB"/>
              </w:rPr>
            </w:pPr>
          </w:p>
          <w:p w14:paraId="560A252D" w14:textId="77777777" w:rsidR="003F6293" w:rsidRPr="00702082" w:rsidRDefault="003F6293" w:rsidP="005F42E2">
            <w:pPr>
              <w:jc w:val="center"/>
              <w:rPr>
                <w:rFonts w:ascii="Arial" w:hAnsi="Arial" w:cs="Arial"/>
                <w:lang w:val="en-GB"/>
              </w:rPr>
            </w:pPr>
            <w:r w:rsidRPr="00702082">
              <w:rPr>
                <w:rFonts w:ascii="Arial" w:hAnsi="Arial" w:cs="Arial"/>
                <w:lang w:val="en-GB"/>
              </w:rPr>
              <w:t>8</w:t>
            </w:r>
          </w:p>
        </w:tc>
      </w:tr>
      <w:tr w:rsidR="003F6293" w:rsidRPr="00702082" w14:paraId="1445B8FF" w14:textId="77777777" w:rsidTr="005F42E2">
        <w:trPr>
          <w:jc w:val="center"/>
        </w:trPr>
        <w:tc>
          <w:tcPr>
            <w:tcW w:w="6684" w:type="dxa"/>
            <w:gridSpan w:val="2"/>
            <w:shd w:val="clear" w:color="auto" w:fill="auto"/>
          </w:tcPr>
          <w:p w14:paraId="031DE4AE" w14:textId="77777777" w:rsidR="003F6293" w:rsidRPr="00702082" w:rsidRDefault="003F6293" w:rsidP="003F6293">
            <w:pPr>
              <w:jc w:val="both"/>
              <w:rPr>
                <w:rFonts w:ascii="Arial" w:hAnsi="Arial" w:cs="Arial"/>
                <w:lang w:val="en-GB"/>
              </w:rPr>
            </w:pPr>
            <w:r w:rsidRPr="00702082">
              <w:rPr>
                <w:rFonts w:ascii="Arial" w:hAnsi="Arial" w:cs="Arial"/>
                <w:lang w:val="en-GB"/>
              </w:rPr>
              <w:t>Industry Average</w:t>
            </w:r>
          </w:p>
        </w:tc>
        <w:tc>
          <w:tcPr>
            <w:tcW w:w="1688" w:type="dxa"/>
            <w:shd w:val="clear" w:color="auto" w:fill="auto"/>
          </w:tcPr>
          <w:p w14:paraId="2CDA899B" w14:textId="77777777" w:rsidR="003F6293" w:rsidRPr="00C9482C" w:rsidRDefault="003F6293" w:rsidP="005F42E2">
            <w:pPr>
              <w:tabs>
                <w:tab w:val="decimal" w:pos="751"/>
              </w:tabs>
              <w:ind w:right="720"/>
              <w:jc w:val="right"/>
              <w:rPr>
                <w:rFonts w:ascii="Arial" w:hAnsi="Arial" w:cs="Arial"/>
                <w:lang w:val="en-GB"/>
              </w:rPr>
            </w:pPr>
            <w:r w:rsidRPr="00C9482C">
              <w:rPr>
                <w:rFonts w:ascii="Arial" w:hAnsi="Arial" w:cs="Arial"/>
                <w:lang w:val="en-GB"/>
              </w:rPr>
              <w:t>21</w:t>
            </w:r>
          </w:p>
        </w:tc>
        <w:tc>
          <w:tcPr>
            <w:tcW w:w="1005" w:type="dxa"/>
            <w:shd w:val="clear" w:color="auto" w:fill="auto"/>
          </w:tcPr>
          <w:p w14:paraId="56DDC119" w14:textId="77777777" w:rsidR="003F6293" w:rsidRPr="00702082" w:rsidRDefault="003F6293" w:rsidP="005F42E2">
            <w:pPr>
              <w:jc w:val="center"/>
              <w:rPr>
                <w:rFonts w:ascii="Arial" w:hAnsi="Arial" w:cs="Arial"/>
                <w:lang w:val="en-GB"/>
              </w:rPr>
            </w:pPr>
            <w:r w:rsidRPr="00702082">
              <w:rPr>
                <w:rFonts w:ascii="Arial" w:hAnsi="Arial" w:cs="Arial"/>
                <w:lang w:val="en-GB"/>
              </w:rPr>
              <w:t>25</w:t>
            </w:r>
          </w:p>
        </w:tc>
      </w:tr>
    </w:tbl>
    <w:p w14:paraId="51D6CB1A" w14:textId="77777777" w:rsidR="003F6293" w:rsidRPr="00702082" w:rsidRDefault="003F6293" w:rsidP="003F6293">
      <w:pPr>
        <w:pStyle w:val="FootnoteText1"/>
        <w:rPr>
          <w:lang w:val="en-GB"/>
        </w:rPr>
      </w:pPr>
    </w:p>
    <w:p w14:paraId="383A94B0" w14:textId="77777777" w:rsidR="003F6293" w:rsidRPr="00702082" w:rsidRDefault="003F6293" w:rsidP="003F6293">
      <w:pPr>
        <w:pStyle w:val="FootnoteText1"/>
        <w:rPr>
          <w:lang w:val="en-GB"/>
        </w:rPr>
      </w:pPr>
      <w:r w:rsidRPr="00702082">
        <w:rPr>
          <w:lang w:val="en-GB"/>
        </w:rPr>
        <w:t>Source: Adapted from World Economic Forum, “Industry Gender Gap Profile: Information and Communication Technology,” accessed January 17, 2018, http://reports.weforum.org/future-of-jobs-2016/information-communication-technology/.</w:t>
      </w:r>
    </w:p>
    <w:p w14:paraId="3A670186" w14:textId="77777777" w:rsidR="003F6293" w:rsidRPr="003F6293" w:rsidRDefault="003F6293" w:rsidP="003F6293">
      <w:pPr>
        <w:pStyle w:val="BodyTextMain"/>
      </w:pPr>
    </w:p>
    <w:p w14:paraId="1CB24680" w14:textId="77777777" w:rsidR="003F6293" w:rsidRPr="003F6293" w:rsidRDefault="003F6293" w:rsidP="003F6293">
      <w:pPr>
        <w:pStyle w:val="BodyTextMain"/>
      </w:pPr>
    </w:p>
    <w:p w14:paraId="7E4767A6" w14:textId="77777777" w:rsidR="003F6293" w:rsidRPr="00702082" w:rsidRDefault="003F6293" w:rsidP="003F6293">
      <w:pPr>
        <w:pStyle w:val="Casehead1"/>
        <w:jc w:val="center"/>
      </w:pPr>
      <w:r w:rsidRPr="00702082">
        <w:t>Exhibit 2: RED HAT INC. INCOME STATEMENT</w:t>
      </w:r>
      <w:r>
        <w:t xml:space="preserve">s, 2014–2017 </w:t>
      </w:r>
      <w:r w:rsidRPr="00702082">
        <w:t xml:space="preserve">(in </w:t>
      </w:r>
      <w:r>
        <w:t>US</w:t>
      </w:r>
      <w:r w:rsidRPr="00702082">
        <w:t>$ millions)</w:t>
      </w:r>
    </w:p>
    <w:p w14:paraId="146052A1" w14:textId="77777777" w:rsidR="003F6293" w:rsidRPr="003F6293" w:rsidRDefault="003F6293" w:rsidP="003F6293">
      <w:pPr>
        <w:pStyle w:val="BodyTextMain"/>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1169"/>
        <w:gridCol w:w="1169"/>
        <w:gridCol w:w="1217"/>
        <w:gridCol w:w="1217"/>
      </w:tblGrid>
      <w:tr w:rsidR="003F6293" w:rsidRPr="00702082" w14:paraId="65D1569D" w14:textId="77777777" w:rsidTr="003F6293">
        <w:trPr>
          <w:jc w:val="center"/>
        </w:trPr>
        <w:tc>
          <w:tcPr>
            <w:tcW w:w="4674" w:type="dxa"/>
            <w:shd w:val="clear" w:color="auto" w:fill="auto"/>
          </w:tcPr>
          <w:p w14:paraId="4E4E9F9D" w14:textId="77777777" w:rsidR="003F6293" w:rsidRPr="00C9482C" w:rsidRDefault="003F6293" w:rsidP="003F6293">
            <w:pPr>
              <w:jc w:val="center"/>
              <w:rPr>
                <w:rFonts w:ascii="Arial" w:hAnsi="Arial" w:cs="Arial"/>
                <w:b/>
                <w:lang w:val="en-GB"/>
              </w:rPr>
            </w:pPr>
            <w:r w:rsidRPr="00C9482C">
              <w:rPr>
                <w:rFonts w:ascii="Arial" w:hAnsi="Arial" w:cs="Arial"/>
                <w:b/>
                <w:lang w:val="en-GB"/>
              </w:rPr>
              <w:t xml:space="preserve">Year Ending February </w:t>
            </w:r>
          </w:p>
        </w:tc>
        <w:tc>
          <w:tcPr>
            <w:tcW w:w="1169" w:type="dxa"/>
            <w:shd w:val="clear" w:color="auto" w:fill="auto"/>
          </w:tcPr>
          <w:p w14:paraId="394E1B8F" w14:textId="77777777" w:rsidR="003F6293" w:rsidRPr="00C9482C" w:rsidRDefault="003F6293" w:rsidP="003F6293">
            <w:pPr>
              <w:jc w:val="center"/>
              <w:rPr>
                <w:rFonts w:ascii="Arial" w:hAnsi="Arial" w:cs="Arial"/>
                <w:b/>
                <w:lang w:val="en-GB"/>
              </w:rPr>
            </w:pPr>
            <w:r w:rsidRPr="00C9482C">
              <w:rPr>
                <w:rFonts w:ascii="Arial" w:hAnsi="Arial" w:cs="Arial"/>
                <w:b/>
                <w:lang w:val="en-GB"/>
              </w:rPr>
              <w:t>2017</w:t>
            </w:r>
          </w:p>
        </w:tc>
        <w:tc>
          <w:tcPr>
            <w:tcW w:w="1169" w:type="dxa"/>
            <w:shd w:val="clear" w:color="auto" w:fill="auto"/>
          </w:tcPr>
          <w:p w14:paraId="04840868" w14:textId="77777777" w:rsidR="003F6293" w:rsidRPr="00C9482C" w:rsidRDefault="003F6293" w:rsidP="003F6293">
            <w:pPr>
              <w:jc w:val="center"/>
              <w:rPr>
                <w:rFonts w:ascii="Arial" w:hAnsi="Arial" w:cs="Arial"/>
                <w:b/>
                <w:lang w:val="en-GB"/>
              </w:rPr>
            </w:pPr>
            <w:r w:rsidRPr="00C9482C">
              <w:rPr>
                <w:rFonts w:ascii="Arial" w:hAnsi="Arial" w:cs="Arial"/>
                <w:b/>
                <w:lang w:val="en-GB"/>
              </w:rPr>
              <w:t>2016</w:t>
            </w:r>
          </w:p>
        </w:tc>
        <w:tc>
          <w:tcPr>
            <w:tcW w:w="1217" w:type="dxa"/>
            <w:shd w:val="clear" w:color="auto" w:fill="auto"/>
          </w:tcPr>
          <w:p w14:paraId="58432DE2" w14:textId="77777777" w:rsidR="003F6293" w:rsidRPr="00C9482C" w:rsidRDefault="003F6293" w:rsidP="003F6293">
            <w:pPr>
              <w:jc w:val="center"/>
              <w:rPr>
                <w:rFonts w:ascii="Arial" w:hAnsi="Arial" w:cs="Arial"/>
                <w:b/>
                <w:lang w:val="en-GB"/>
              </w:rPr>
            </w:pPr>
            <w:r w:rsidRPr="00C9482C">
              <w:rPr>
                <w:rFonts w:ascii="Arial" w:hAnsi="Arial" w:cs="Arial"/>
                <w:b/>
                <w:lang w:val="en-GB"/>
              </w:rPr>
              <w:t>2015</w:t>
            </w:r>
          </w:p>
        </w:tc>
        <w:tc>
          <w:tcPr>
            <w:tcW w:w="1217" w:type="dxa"/>
            <w:shd w:val="clear" w:color="auto" w:fill="auto"/>
          </w:tcPr>
          <w:p w14:paraId="24442878" w14:textId="77777777" w:rsidR="003F6293" w:rsidRPr="00C9482C" w:rsidRDefault="003F6293" w:rsidP="003F6293">
            <w:pPr>
              <w:jc w:val="center"/>
              <w:rPr>
                <w:rFonts w:ascii="Arial" w:hAnsi="Arial" w:cs="Arial"/>
                <w:b/>
                <w:lang w:val="en-GB"/>
              </w:rPr>
            </w:pPr>
            <w:r w:rsidRPr="00C9482C">
              <w:rPr>
                <w:rFonts w:ascii="Arial" w:hAnsi="Arial" w:cs="Arial"/>
                <w:b/>
                <w:lang w:val="en-GB"/>
              </w:rPr>
              <w:t>2014</w:t>
            </w:r>
          </w:p>
        </w:tc>
      </w:tr>
      <w:tr w:rsidR="003F6293" w:rsidRPr="00702082" w14:paraId="07454A2D" w14:textId="77777777" w:rsidTr="003F6293">
        <w:trPr>
          <w:jc w:val="center"/>
        </w:trPr>
        <w:tc>
          <w:tcPr>
            <w:tcW w:w="4674" w:type="dxa"/>
            <w:shd w:val="clear" w:color="auto" w:fill="auto"/>
          </w:tcPr>
          <w:p w14:paraId="2AF4A8C4" w14:textId="77777777" w:rsidR="003F6293" w:rsidRPr="00702082" w:rsidRDefault="003F6293" w:rsidP="003F6293">
            <w:pPr>
              <w:jc w:val="both"/>
              <w:rPr>
                <w:rFonts w:ascii="Arial" w:hAnsi="Arial" w:cs="Arial"/>
                <w:lang w:val="en-GB"/>
              </w:rPr>
            </w:pPr>
            <w:r w:rsidRPr="00702082">
              <w:rPr>
                <w:rFonts w:ascii="Arial" w:hAnsi="Arial" w:cs="Arial"/>
                <w:lang w:val="en-GB"/>
              </w:rPr>
              <w:t>Revenue</w:t>
            </w:r>
          </w:p>
          <w:p w14:paraId="06FB37FB" w14:textId="77777777" w:rsidR="003F6293" w:rsidRPr="00702082" w:rsidRDefault="003F6293" w:rsidP="003F6293">
            <w:pPr>
              <w:jc w:val="both"/>
              <w:rPr>
                <w:rFonts w:ascii="Arial" w:hAnsi="Arial" w:cs="Arial"/>
                <w:lang w:val="en-GB"/>
              </w:rPr>
            </w:pPr>
            <w:r w:rsidRPr="00702082">
              <w:rPr>
                <w:rFonts w:ascii="Arial" w:hAnsi="Arial" w:cs="Arial"/>
                <w:lang w:val="en-GB"/>
              </w:rPr>
              <w:t>a) Infrastructure-Related Products and Services</w:t>
            </w:r>
          </w:p>
          <w:p w14:paraId="6E9F4450" w14:textId="77777777" w:rsidR="003F6293" w:rsidRPr="00702082" w:rsidRDefault="003F6293" w:rsidP="003F6293">
            <w:pPr>
              <w:jc w:val="both"/>
              <w:rPr>
                <w:rFonts w:ascii="Arial" w:hAnsi="Arial" w:cs="Arial"/>
                <w:lang w:val="en-GB"/>
              </w:rPr>
            </w:pPr>
            <w:r w:rsidRPr="00702082">
              <w:rPr>
                <w:rFonts w:ascii="Arial" w:hAnsi="Arial" w:cs="Arial"/>
                <w:lang w:val="en-GB"/>
              </w:rPr>
              <w:t>b) Application Development–Related Offerings</w:t>
            </w:r>
          </w:p>
          <w:p w14:paraId="6F0CB0BD" w14:textId="77777777" w:rsidR="003F6293" w:rsidRPr="00702082" w:rsidRDefault="003F6293" w:rsidP="003F6293">
            <w:pPr>
              <w:jc w:val="both"/>
              <w:rPr>
                <w:rFonts w:ascii="Arial" w:hAnsi="Arial" w:cs="Arial"/>
                <w:lang w:val="en-GB"/>
              </w:rPr>
            </w:pPr>
            <w:r w:rsidRPr="00702082">
              <w:rPr>
                <w:rFonts w:ascii="Arial" w:hAnsi="Arial" w:cs="Arial"/>
                <w:lang w:val="en-GB"/>
              </w:rPr>
              <w:t>c) Consultancy Services</w:t>
            </w:r>
          </w:p>
          <w:p w14:paraId="54E53048" w14:textId="77777777" w:rsidR="003F6293" w:rsidRPr="00702082" w:rsidRDefault="003F6293" w:rsidP="003F6293">
            <w:pPr>
              <w:jc w:val="both"/>
              <w:rPr>
                <w:rFonts w:ascii="Arial" w:hAnsi="Arial" w:cs="Arial"/>
                <w:lang w:val="en-GB"/>
              </w:rPr>
            </w:pPr>
            <w:r w:rsidRPr="00702082">
              <w:rPr>
                <w:rFonts w:ascii="Arial" w:hAnsi="Arial" w:cs="Arial"/>
                <w:lang w:val="en-GB"/>
              </w:rPr>
              <w:t>d) Training Services</w:t>
            </w:r>
          </w:p>
        </w:tc>
        <w:tc>
          <w:tcPr>
            <w:tcW w:w="1169" w:type="dxa"/>
            <w:shd w:val="clear" w:color="auto" w:fill="auto"/>
          </w:tcPr>
          <w:p w14:paraId="777A0A1A" w14:textId="77777777" w:rsidR="003F6293" w:rsidRPr="00702082" w:rsidRDefault="003F6293" w:rsidP="003F6293">
            <w:pPr>
              <w:jc w:val="right"/>
              <w:rPr>
                <w:rFonts w:ascii="Arial" w:hAnsi="Arial" w:cs="Arial"/>
                <w:lang w:val="en-GB"/>
              </w:rPr>
            </w:pPr>
          </w:p>
          <w:p w14:paraId="1FE28062" w14:textId="77777777" w:rsidR="003F6293" w:rsidRPr="00702082" w:rsidRDefault="003F6293" w:rsidP="003F6293">
            <w:pPr>
              <w:jc w:val="right"/>
              <w:rPr>
                <w:rFonts w:ascii="Arial" w:hAnsi="Arial" w:cs="Arial"/>
                <w:lang w:val="en-GB"/>
              </w:rPr>
            </w:pPr>
            <w:r w:rsidRPr="00702082">
              <w:rPr>
                <w:rFonts w:ascii="Arial" w:hAnsi="Arial" w:cs="Arial"/>
                <w:lang w:val="en-GB"/>
              </w:rPr>
              <w:t>1,696</w:t>
            </w:r>
          </w:p>
          <w:p w14:paraId="4F63E985" w14:textId="77777777" w:rsidR="003F6293" w:rsidRPr="00702082" w:rsidRDefault="003F6293" w:rsidP="003F6293">
            <w:pPr>
              <w:jc w:val="right"/>
              <w:rPr>
                <w:rFonts w:ascii="Arial" w:hAnsi="Arial" w:cs="Arial"/>
                <w:lang w:val="en-GB"/>
              </w:rPr>
            </w:pPr>
            <w:r w:rsidRPr="00702082">
              <w:rPr>
                <w:rFonts w:ascii="Arial" w:hAnsi="Arial" w:cs="Arial"/>
                <w:lang w:val="en-GB"/>
              </w:rPr>
              <w:t>439</w:t>
            </w:r>
          </w:p>
          <w:p w14:paraId="47027CD1" w14:textId="77777777" w:rsidR="003F6293" w:rsidRPr="00702082" w:rsidRDefault="003F6293" w:rsidP="003F6293">
            <w:pPr>
              <w:jc w:val="right"/>
              <w:rPr>
                <w:rFonts w:ascii="Arial" w:hAnsi="Arial" w:cs="Arial"/>
                <w:lang w:val="en-GB"/>
              </w:rPr>
            </w:pPr>
            <w:r w:rsidRPr="00702082">
              <w:rPr>
                <w:rFonts w:ascii="Arial" w:hAnsi="Arial" w:cs="Arial"/>
                <w:lang w:val="en-GB"/>
              </w:rPr>
              <w:t>208</w:t>
            </w:r>
          </w:p>
          <w:p w14:paraId="457B2E2D" w14:textId="77777777" w:rsidR="003F6293" w:rsidRPr="00702082" w:rsidRDefault="003F6293" w:rsidP="003F6293">
            <w:pPr>
              <w:jc w:val="right"/>
              <w:rPr>
                <w:rFonts w:ascii="Arial" w:hAnsi="Arial" w:cs="Arial"/>
                <w:lang w:val="en-GB"/>
              </w:rPr>
            </w:pPr>
            <w:r w:rsidRPr="00702082">
              <w:rPr>
                <w:rFonts w:ascii="Arial" w:hAnsi="Arial" w:cs="Arial"/>
                <w:lang w:val="en-GB"/>
              </w:rPr>
              <w:t>68</w:t>
            </w:r>
          </w:p>
        </w:tc>
        <w:tc>
          <w:tcPr>
            <w:tcW w:w="1169" w:type="dxa"/>
            <w:shd w:val="clear" w:color="auto" w:fill="auto"/>
          </w:tcPr>
          <w:p w14:paraId="21A73C6E" w14:textId="77777777" w:rsidR="003F6293" w:rsidRPr="00702082" w:rsidRDefault="003F6293" w:rsidP="003F6293">
            <w:pPr>
              <w:jc w:val="right"/>
              <w:rPr>
                <w:rFonts w:ascii="Arial" w:hAnsi="Arial" w:cs="Arial"/>
                <w:lang w:val="en-GB"/>
              </w:rPr>
            </w:pPr>
          </w:p>
          <w:p w14:paraId="27C617C3" w14:textId="77777777" w:rsidR="003F6293" w:rsidRPr="00702082" w:rsidRDefault="003F6293" w:rsidP="003F6293">
            <w:pPr>
              <w:jc w:val="right"/>
              <w:rPr>
                <w:rFonts w:ascii="Arial" w:hAnsi="Arial" w:cs="Arial"/>
                <w:lang w:val="en-GB"/>
              </w:rPr>
            </w:pPr>
            <w:r w:rsidRPr="00702082">
              <w:rPr>
                <w:rFonts w:ascii="Arial" w:hAnsi="Arial" w:cs="Arial"/>
                <w:lang w:val="en-GB"/>
              </w:rPr>
              <w:t>1,480</w:t>
            </w:r>
          </w:p>
          <w:p w14:paraId="758A5879" w14:textId="77777777" w:rsidR="003F6293" w:rsidRPr="00702082" w:rsidRDefault="003F6293" w:rsidP="003F6293">
            <w:pPr>
              <w:jc w:val="right"/>
              <w:rPr>
                <w:rFonts w:ascii="Arial" w:hAnsi="Arial" w:cs="Arial"/>
                <w:lang w:val="en-GB"/>
              </w:rPr>
            </w:pPr>
            <w:r w:rsidRPr="00702082">
              <w:rPr>
                <w:rFonts w:ascii="Arial" w:hAnsi="Arial" w:cs="Arial"/>
                <w:lang w:val="en-GB"/>
              </w:rPr>
              <w:t>323</w:t>
            </w:r>
          </w:p>
          <w:p w14:paraId="5771027B" w14:textId="77777777" w:rsidR="003F6293" w:rsidRPr="00702082" w:rsidRDefault="003F6293" w:rsidP="003F6293">
            <w:pPr>
              <w:jc w:val="right"/>
              <w:rPr>
                <w:rFonts w:ascii="Arial" w:hAnsi="Arial" w:cs="Arial"/>
                <w:lang w:val="en-GB"/>
              </w:rPr>
            </w:pPr>
            <w:r w:rsidRPr="00702082">
              <w:rPr>
                <w:rFonts w:ascii="Arial" w:hAnsi="Arial" w:cs="Arial"/>
                <w:lang w:val="en-GB"/>
              </w:rPr>
              <w:t>191</w:t>
            </w:r>
          </w:p>
          <w:p w14:paraId="25791183" w14:textId="77777777" w:rsidR="003F6293" w:rsidRPr="00702082" w:rsidRDefault="003F6293" w:rsidP="003F6293">
            <w:pPr>
              <w:jc w:val="right"/>
              <w:rPr>
                <w:rFonts w:ascii="Arial" w:hAnsi="Arial" w:cs="Arial"/>
                <w:lang w:val="en-GB"/>
              </w:rPr>
            </w:pPr>
            <w:r w:rsidRPr="00702082">
              <w:rPr>
                <w:rFonts w:ascii="Arial" w:hAnsi="Arial" w:cs="Arial"/>
                <w:lang w:val="en-GB"/>
              </w:rPr>
              <w:t>58</w:t>
            </w:r>
          </w:p>
        </w:tc>
        <w:tc>
          <w:tcPr>
            <w:tcW w:w="1217" w:type="dxa"/>
            <w:shd w:val="clear" w:color="auto" w:fill="auto"/>
          </w:tcPr>
          <w:p w14:paraId="30A1867D" w14:textId="77777777" w:rsidR="003F6293" w:rsidRPr="00702082" w:rsidRDefault="003F6293" w:rsidP="003F6293">
            <w:pPr>
              <w:jc w:val="right"/>
              <w:rPr>
                <w:rFonts w:ascii="Arial" w:hAnsi="Arial" w:cs="Arial"/>
                <w:lang w:val="en-GB"/>
              </w:rPr>
            </w:pPr>
          </w:p>
          <w:p w14:paraId="3FB13038" w14:textId="77777777" w:rsidR="003F6293" w:rsidRPr="00702082" w:rsidRDefault="003F6293" w:rsidP="003F6293">
            <w:pPr>
              <w:jc w:val="right"/>
              <w:rPr>
                <w:rFonts w:ascii="Arial" w:hAnsi="Arial" w:cs="Arial"/>
                <w:lang w:val="en-GB"/>
              </w:rPr>
            </w:pPr>
            <w:r w:rsidRPr="00702082">
              <w:rPr>
                <w:rFonts w:ascii="Arial" w:hAnsi="Arial" w:cs="Arial"/>
                <w:lang w:val="en-GB"/>
              </w:rPr>
              <w:t>1,325</w:t>
            </w:r>
          </w:p>
          <w:p w14:paraId="0B93A0C6" w14:textId="77777777" w:rsidR="003F6293" w:rsidRPr="00702082" w:rsidRDefault="003F6293" w:rsidP="003F6293">
            <w:pPr>
              <w:jc w:val="right"/>
              <w:rPr>
                <w:rFonts w:ascii="Arial" w:hAnsi="Arial" w:cs="Arial"/>
                <w:lang w:val="en-GB"/>
              </w:rPr>
            </w:pPr>
            <w:r w:rsidRPr="00702082">
              <w:rPr>
                <w:rFonts w:ascii="Arial" w:hAnsi="Arial" w:cs="Arial"/>
                <w:lang w:val="en-GB"/>
              </w:rPr>
              <w:t>236</w:t>
            </w:r>
          </w:p>
          <w:p w14:paraId="398B89E5" w14:textId="77777777" w:rsidR="003F6293" w:rsidRPr="00702082" w:rsidRDefault="003F6293" w:rsidP="003F6293">
            <w:pPr>
              <w:jc w:val="right"/>
              <w:rPr>
                <w:rFonts w:ascii="Arial" w:hAnsi="Arial" w:cs="Arial"/>
                <w:lang w:val="en-GB"/>
              </w:rPr>
            </w:pPr>
            <w:r w:rsidRPr="00702082">
              <w:rPr>
                <w:rFonts w:ascii="Arial" w:hAnsi="Arial" w:cs="Arial"/>
                <w:lang w:val="en-GB"/>
              </w:rPr>
              <w:t>171</w:t>
            </w:r>
          </w:p>
          <w:p w14:paraId="3935F859" w14:textId="77777777" w:rsidR="003F6293" w:rsidRPr="00702082" w:rsidRDefault="003F6293" w:rsidP="003F6293">
            <w:pPr>
              <w:jc w:val="right"/>
              <w:rPr>
                <w:rFonts w:ascii="Arial" w:hAnsi="Arial" w:cs="Arial"/>
                <w:lang w:val="en-GB"/>
              </w:rPr>
            </w:pPr>
            <w:r w:rsidRPr="00702082">
              <w:rPr>
                <w:rFonts w:ascii="Arial" w:hAnsi="Arial" w:cs="Arial"/>
                <w:lang w:val="en-GB"/>
              </w:rPr>
              <w:t>57</w:t>
            </w:r>
          </w:p>
        </w:tc>
        <w:tc>
          <w:tcPr>
            <w:tcW w:w="1217" w:type="dxa"/>
            <w:shd w:val="clear" w:color="auto" w:fill="auto"/>
          </w:tcPr>
          <w:p w14:paraId="66854639" w14:textId="77777777" w:rsidR="003F6293" w:rsidRPr="00702082" w:rsidRDefault="003F6293" w:rsidP="003F6293">
            <w:pPr>
              <w:jc w:val="right"/>
              <w:rPr>
                <w:rFonts w:ascii="Arial" w:hAnsi="Arial" w:cs="Arial"/>
                <w:lang w:val="en-GB"/>
              </w:rPr>
            </w:pPr>
          </w:p>
          <w:p w14:paraId="21E3D505" w14:textId="77777777" w:rsidR="003F6293" w:rsidRPr="00702082" w:rsidRDefault="003F6293" w:rsidP="003F6293">
            <w:pPr>
              <w:jc w:val="right"/>
              <w:rPr>
                <w:rFonts w:ascii="Arial" w:hAnsi="Arial" w:cs="Arial"/>
                <w:lang w:val="en-GB"/>
              </w:rPr>
            </w:pPr>
            <w:r w:rsidRPr="00702082">
              <w:rPr>
                <w:rFonts w:ascii="Arial" w:hAnsi="Arial" w:cs="Arial"/>
                <w:lang w:val="en-GB"/>
              </w:rPr>
              <w:t>1,171</w:t>
            </w:r>
          </w:p>
          <w:p w14:paraId="3C6FF244" w14:textId="77777777" w:rsidR="003F6293" w:rsidRPr="00702082" w:rsidRDefault="003F6293" w:rsidP="003F6293">
            <w:pPr>
              <w:jc w:val="right"/>
              <w:rPr>
                <w:rFonts w:ascii="Arial" w:hAnsi="Arial" w:cs="Arial"/>
                <w:lang w:val="en-GB"/>
              </w:rPr>
            </w:pPr>
            <w:r w:rsidRPr="00702082">
              <w:rPr>
                <w:rFonts w:ascii="Arial" w:hAnsi="Arial" w:cs="Arial"/>
                <w:lang w:val="en-GB"/>
              </w:rPr>
              <w:t>166</w:t>
            </w:r>
          </w:p>
          <w:p w14:paraId="2DADDF30" w14:textId="77777777" w:rsidR="003F6293" w:rsidRPr="00702082" w:rsidRDefault="003F6293" w:rsidP="003F6293">
            <w:pPr>
              <w:jc w:val="right"/>
              <w:rPr>
                <w:rFonts w:ascii="Arial" w:hAnsi="Arial" w:cs="Arial"/>
                <w:lang w:val="en-GB"/>
              </w:rPr>
            </w:pPr>
            <w:r w:rsidRPr="00702082">
              <w:rPr>
                <w:rFonts w:ascii="Arial" w:hAnsi="Arial" w:cs="Arial"/>
                <w:lang w:val="en-GB"/>
              </w:rPr>
              <w:t>145</w:t>
            </w:r>
          </w:p>
          <w:p w14:paraId="02580F08" w14:textId="77777777" w:rsidR="003F6293" w:rsidRPr="00702082" w:rsidRDefault="003F6293" w:rsidP="003F6293">
            <w:pPr>
              <w:jc w:val="right"/>
              <w:rPr>
                <w:rFonts w:ascii="Arial" w:hAnsi="Arial" w:cs="Arial"/>
                <w:lang w:val="en-GB"/>
              </w:rPr>
            </w:pPr>
            <w:r w:rsidRPr="00702082">
              <w:rPr>
                <w:rFonts w:ascii="Arial" w:hAnsi="Arial" w:cs="Arial"/>
                <w:lang w:val="en-GB"/>
              </w:rPr>
              <w:t>52</w:t>
            </w:r>
          </w:p>
        </w:tc>
      </w:tr>
      <w:tr w:rsidR="003F6293" w:rsidRPr="00702082" w14:paraId="4884FC22" w14:textId="77777777" w:rsidTr="003F6293">
        <w:trPr>
          <w:jc w:val="center"/>
        </w:trPr>
        <w:tc>
          <w:tcPr>
            <w:tcW w:w="4674" w:type="dxa"/>
            <w:shd w:val="clear" w:color="auto" w:fill="auto"/>
          </w:tcPr>
          <w:p w14:paraId="083B5088" w14:textId="77777777" w:rsidR="003F6293" w:rsidRPr="00702082" w:rsidRDefault="003F6293" w:rsidP="003F6293">
            <w:pPr>
              <w:jc w:val="both"/>
              <w:rPr>
                <w:rFonts w:ascii="Arial" w:hAnsi="Arial" w:cs="Arial"/>
                <w:lang w:val="en-GB"/>
              </w:rPr>
            </w:pPr>
            <w:r w:rsidRPr="00702082">
              <w:rPr>
                <w:rFonts w:ascii="Arial" w:hAnsi="Arial" w:cs="Arial"/>
                <w:lang w:val="en-GB"/>
              </w:rPr>
              <w:t>Total Revenue</w:t>
            </w:r>
          </w:p>
        </w:tc>
        <w:tc>
          <w:tcPr>
            <w:tcW w:w="1169" w:type="dxa"/>
            <w:shd w:val="clear" w:color="auto" w:fill="auto"/>
          </w:tcPr>
          <w:p w14:paraId="668D3402" w14:textId="77777777" w:rsidR="003F6293" w:rsidRPr="00702082" w:rsidRDefault="003F6293" w:rsidP="003F6293">
            <w:pPr>
              <w:jc w:val="right"/>
              <w:rPr>
                <w:rFonts w:ascii="Arial" w:hAnsi="Arial" w:cs="Arial"/>
                <w:lang w:val="en-GB"/>
              </w:rPr>
            </w:pPr>
            <w:r w:rsidRPr="00702082">
              <w:rPr>
                <w:rFonts w:ascii="Arial" w:hAnsi="Arial" w:cs="Arial"/>
                <w:lang w:val="en-GB"/>
              </w:rPr>
              <w:t>2,411</w:t>
            </w:r>
          </w:p>
        </w:tc>
        <w:tc>
          <w:tcPr>
            <w:tcW w:w="1169" w:type="dxa"/>
            <w:shd w:val="clear" w:color="auto" w:fill="auto"/>
          </w:tcPr>
          <w:p w14:paraId="52110DAA" w14:textId="77777777" w:rsidR="003F6293" w:rsidRPr="00702082" w:rsidRDefault="003F6293" w:rsidP="003F6293">
            <w:pPr>
              <w:jc w:val="right"/>
              <w:rPr>
                <w:rFonts w:ascii="Arial" w:hAnsi="Arial" w:cs="Arial"/>
                <w:lang w:val="en-GB"/>
              </w:rPr>
            </w:pPr>
            <w:r w:rsidRPr="00702082">
              <w:rPr>
                <w:rFonts w:ascii="Arial" w:hAnsi="Arial" w:cs="Arial"/>
                <w:lang w:val="en-GB"/>
              </w:rPr>
              <w:t>2,052</w:t>
            </w:r>
          </w:p>
        </w:tc>
        <w:tc>
          <w:tcPr>
            <w:tcW w:w="1217" w:type="dxa"/>
            <w:shd w:val="clear" w:color="auto" w:fill="auto"/>
          </w:tcPr>
          <w:p w14:paraId="73461D01" w14:textId="77777777" w:rsidR="003F6293" w:rsidRPr="00702082" w:rsidRDefault="003F6293" w:rsidP="003F6293">
            <w:pPr>
              <w:jc w:val="right"/>
              <w:rPr>
                <w:rFonts w:ascii="Arial" w:hAnsi="Arial" w:cs="Arial"/>
                <w:lang w:val="en-GB"/>
              </w:rPr>
            </w:pPr>
            <w:r w:rsidRPr="00702082">
              <w:rPr>
                <w:rFonts w:ascii="Arial" w:hAnsi="Arial" w:cs="Arial"/>
                <w:lang w:val="en-GB"/>
              </w:rPr>
              <w:t>1,789</w:t>
            </w:r>
          </w:p>
        </w:tc>
        <w:tc>
          <w:tcPr>
            <w:tcW w:w="1217" w:type="dxa"/>
            <w:shd w:val="clear" w:color="auto" w:fill="auto"/>
          </w:tcPr>
          <w:p w14:paraId="63D39EEE" w14:textId="77777777" w:rsidR="003F6293" w:rsidRPr="00702082" w:rsidRDefault="003F6293" w:rsidP="003F6293">
            <w:pPr>
              <w:jc w:val="right"/>
              <w:rPr>
                <w:rFonts w:ascii="Arial" w:hAnsi="Arial" w:cs="Arial"/>
                <w:lang w:val="en-GB"/>
              </w:rPr>
            </w:pPr>
            <w:r w:rsidRPr="00702082">
              <w:rPr>
                <w:rFonts w:ascii="Arial" w:hAnsi="Arial" w:cs="Arial"/>
                <w:lang w:val="en-GB"/>
              </w:rPr>
              <w:t>1,534</w:t>
            </w:r>
          </w:p>
        </w:tc>
      </w:tr>
      <w:tr w:rsidR="003F6293" w:rsidRPr="00702082" w14:paraId="661A49C8" w14:textId="77777777" w:rsidTr="003F6293">
        <w:trPr>
          <w:jc w:val="center"/>
        </w:trPr>
        <w:tc>
          <w:tcPr>
            <w:tcW w:w="4674" w:type="dxa"/>
            <w:shd w:val="clear" w:color="auto" w:fill="auto"/>
          </w:tcPr>
          <w:p w14:paraId="30C97EDE" w14:textId="77777777" w:rsidR="003F6293" w:rsidRPr="00702082" w:rsidRDefault="003F6293" w:rsidP="003F6293">
            <w:pPr>
              <w:jc w:val="both"/>
              <w:rPr>
                <w:rFonts w:ascii="Arial" w:hAnsi="Arial" w:cs="Arial"/>
                <w:lang w:val="en-GB"/>
              </w:rPr>
            </w:pPr>
            <w:r w:rsidRPr="00702082">
              <w:rPr>
                <w:rFonts w:ascii="Arial" w:hAnsi="Arial" w:cs="Arial"/>
                <w:lang w:val="en-GB"/>
              </w:rPr>
              <w:t>Less: Cost of Goods Sold</w:t>
            </w:r>
          </w:p>
          <w:p w14:paraId="3D14CE4F" w14:textId="77777777" w:rsidR="003F6293" w:rsidRPr="00702082" w:rsidRDefault="003F6293" w:rsidP="003F6293">
            <w:pPr>
              <w:jc w:val="both"/>
              <w:rPr>
                <w:rFonts w:ascii="Arial" w:hAnsi="Arial" w:cs="Arial"/>
                <w:lang w:val="en-GB"/>
              </w:rPr>
            </w:pPr>
            <w:r w:rsidRPr="00702082">
              <w:rPr>
                <w:rFonts w:ascii="Arial" w:hAnsi="Arial" w:cs="Arial"/>
                <w:lang w:val="en-GB"/>
              </w:rPr>
              <w:t>a) Cost of Subscriptions</w:t>
            </w:r>
          </w:p>
          <w:p w14:paraId="623B875C" w14:textId="77777777" w:rsidR="003F6293" w:rsidRPr="00702082" w:rsidRDefault="003F6293" w:rsidP="003F6293">
            <w:pPr>
              <w:jc w:val="both"/>
              <w:rPr>
                <w:rFonts w:ascii="Arial" w:hAnsi="Arial" w:cs="Arial"/>
                <w:lang w:val="en-GB"/>
              </w:rPr>
            </w:pPr>
            <w:r w:rsidRPr="00702082">
              <w:rPr>
                <w:rFonts w:ascii="Arial" w:hAnsi="Arial" w:cs="Arial"/>
                <w:lang w:val="en-GB"/>
              </w:rPr>
              <w:t>b) Cost of Training and Services</w:t>
            </w:r>
          </w:p>
          <w:p w14:paraId="20C4CC62" w14:textId="77777777" w:rsidR="003F6293" w:rsidRPr="00702082" w:rsidRDefault="003F6293" w:rsidP="003F6293">
            <w:pPr>
              <w:jc w:val="both"/>
              <w:rPr>
                <w:rFonts w:ascii="Arial" w:hAnsi="Arial" w:cs="Arial"/>
                <w:lang w:val="en-GB"/>
              </w:rPr>
            </w:pPr>
            <w:r w:rsidRPr="00702082">
              <w:rPr>
                <w:rFonts w:ascii="Arial" w:hAnsi="Arial" w:cs="Arial"/>
                <w:lang w:val="en-GB"/>
              </w:rPr>
              <w:t>Less: Operating Expenses</w:t>
            </w:r>
          </w:p>
          <w:p w14:paraId="38E19E06" w14:textId="77777777" w:rsidR="003F6293" w:rsidRPr="00702082" w:rsidRDefault="003F6293" w:rsidP="003F6293">
            <w:pPr>
              <w:jc w:val="both"/>
              <w:rPr>
                <w:rFonts w:ascii="Arial" w:hAnsi="Arial" w:cs="Arial"/>
                <w:lang w:val="en-GB"/>
              </w:rPr>
            </w:pPr>
            <w:r w:rsidRPr="00702082">
              <w:rPr>
                <w:rFonts w:ascii="Arial" w:hAnsi="Arial" w:cs="Arial"/>
                <w:lang w:val="en-GB"/>
              </w:rPr>
              <w:t>a) Sales and Marketing</w:t>
            </w:r>
          </w:p>
          <w:p w14:paraId="42781E87" w14:textId="77777777" w:rsidR="003F6293" w:rsidRPr="00702082" w:rsidRDefault="003F6293" w:rsidP="003F6293">
            <w:pPr>
              <w:jc w:val="both"/>
              <w:rPr>
                <w:rFonts w:ascii="Arial" w:hAnsi="Arial" w:cs="Arial"/>
                <w:lang w:val="en-GB"/>
              </w:rPr>
            </w:pPr>
            <w:r w:rsidRPr="00702082">
              <w:rPr>
                <w:rFonts w:ascii="Arial" w:hAnsi="Arial" w:cs="Arial"/>
                <w:lang w:val="en-GB"/>
              </w:rPr>
              <w:t>b) Research and Development</w:t>
            </w:r>
          </w:p>
          <w:p w14:paraId="1537EC6C" w14:textId="77777777" w:rsidR="003F6293" w:rsidRPr="00702082" w:rsidRDefault="003F6293" w:rsidP="003F6293">
            <w:pPr>
              <w:jc w:val="both"/>
              <w:rPr>
                <w:rFonts w:ascii="Arial" w:hAnsi="Arial" w:cs="Arial"/>
                <w:lang w:val="en-GB"/>
              </w:rPr>
            </w:pPr>
            <w:r w:rsidRPr="00702082">
              <w:rPr>
                <w:rFonts w:ascii="Arial" w:hAnsi="Arial" w:cs="Arial"/>
                <w:lang w:val="en-GB"/>
              </w:rPr>
              <w:t>c) General and Administration</w:t>
            </w:r>
          </w:p>
        </w:tc>
        <w:tc>
          <w:tcPr>
            <w:tcW w:w="1169" w:type="dxa"/>
            <w:shd w:val="clear" w:color="auto" w:fill="auto"/>
          </w:tcPr>
          <w:p w14:paraId="1D75BABC" w14:textId="77777777" w:rsidR="003F6293" w:rsidRPr="00702082" w:rsidRDefault="003F6293" w:rsidP="003F6293">
            <w:pPr>
              <w:jc w:val="right"/>
              <w:rPr>
                <w:rFonts w:ascii="Arial" w:hAnsi="Arial" w:cs="Arial"/>
                <w:lang w:val="en-GB"/>
              </w:rPr>
            </w:pPr>
          </w:p>
          <w:p w14:paraId="48898D6C" w14:textId="77777777" w:rsidR="003F6293" w:rsidRPr="00702082" w:rsidRDefault="003F6293" w:rsidP="003F6293">
            <w:pPr>
              <w:jc w:val="right"/>
              <w:rPr>
                <w:rFonts w:ascii="Arial" w:hAnsi="Arial" w:cs="Arial"/>
                <w:lang w:val="en-GB"/>
              </w:rPr>
            </w:pPr>
            <w:r w:rsidRPr="00702082">
              <w:rPr>
                <w:rFonts w:ascii="Arial" w:hAnsi="Arial" w:cs="Arial"/>
                <w:lang w:val="en-GB"/>
              </w:rPr>
              <w:t>158</w:t>
            </w:r>
          </w:p>
          <w:p w14:paraId="60033AE1" w14:textId="77777777" w:rsidR="003F6293" w:rsidRPr="00702082" w:rsidRDefault="003F6293" w:rsidP="003F6293">
            <w:pPr>
              <w:jc w:val="right"/>
              <w:rPr>
                <w:rFonts w:ascii="Arial" w:hAnsi="Arial" w:cs="Arial"/>
                <w:lang w:val="en-GB"/>
              </w:rPr>
            </w:pPr>
            <w:r w:rsidRPr="00702082">
              <w:rPr>
                <w:rFonts w:ascii="Arial" w:hAnsi="Arial" w:cs="Arial"/>
                <w:lang w:val="en-GB"/>
              </w:rPr>
              <w:t>195</w:t>
            </w:r>
          </w:p>
          <w:p w14:paraId="76F6B0FD" w14:textId="77777777" w:rsidR="003F6293" w:rsidRPr="00702082" w:rsidRDefault="003F6293" w:rsidP="003F6293">
            <w:pPr>
              <w:jc w:val="right"/>
              <w:rPr>
                <w:rFonts w:ascii="Arial" w:hAnsi="Arial" w:cs="Arial"/>
                <w:lang w:val="en-GB"/>
              </w:rPr>
            </w:pPr>
          </w:p>
          <w:p w14:paraId="70F0BF49" w14:textId="77777777" w:rsidR="003F6293" w:rsidRPr="00702082" w:rsidRDefault="003F6293" w:rsidP="003F6293">
            <w:pPr>
              <w:jc w:val="right"/>
              <w:rPr>
                <w:rFonts w:ascii="Arial" w:hAnsi="Arial" w:cs="Arial"/>
                <w:lang w:val="en-GB"/>
              </w:rPr>
            </w:pPr>
            <w:r w:rsidRPr="00702082">
              <w:rPr>
                <w:rFonts w:ascii="Arial" w:hAnsi="Arial" w:cs="Arial"/>
                <w:lang w:val="en-GB"/>
              </w:rPr>
              <w:t>1,036</w:t>
            </w:r>
          </w:p>
          <w:p w14:paraId="5EE74A94" w14:textId="77777777" w:rsidR="003F6293" w:rsidRPr="00702082" w:rsidRDefault="003F6293" w:rsidP="003F6293">
            <w:pPr>
              <w:jc w:val="right"/>
              <w:rPr>
                <w:rFonts w:ascii="Arial" w:hAnsi="Arial" w:cs="Arial"/>
                <w:lang w:val="en-GB"/>
              </w:rPr>
            </w:pPr>
            <w:r w:rsidRPr="00702082">
              <w:rPr>
                <w:rFonts w:ascii="Arial" w:hAnsi="Arial" w:cs="Arial"/>
                <w:lang w:val="en-GB"/>
              </w:rPr>
              <w:t>480</w:t>
            </w:r>
          </w:p>
          <w:p w14:paraId="6A2501BB" w14:textId="77777777" w:rsidR="003F6293" w:rsidRPr="00702082" w:rsidRDefault="003F6293" w:rsidP="003F6293">
            <w:pPr>
              <w:jc w:val="right"/>
              <w:rPr>
                <w:rFonts w:ascii="Arial" w:hAnsi="Arial" w:cs="Arial"/>
                <w:lang w:val="en-GB"/>
              </w:rPr>
            </w:pPr>
            <w:r w:rsidRPr="00702082">
              <w:rPr>
                <w:rFonts w:ascii="Arial" w:hAnsi="Arial" w:cs="Arial"/>
                <w:lang w:val="en-GB"/>
              </w:rPr>
              <w:t>209</w:t>
            </w:r>
          </w:p>
        </w:tc>
        <w:tc>
          <w:tcPr>
            <w:tcW w:w="1169" w:type="dxa"/>
            <w:shd w:val="clear" w:color="auto" w:fill="auto"/>
          </w:tcPr>
          <w:p w14:paraId="28C04757" w14:textId="77777777" w:rsidR="003F6293" w:rsidRPr="00702082" w:rsidRDefault="003F6293" w:rsidP="003F6293">
            <w:pPr>
              <w:jc w:val="right"/>
              <w:rPr>
                <w:rFonts w:ascii="Arial" w:hAnsi="Arial" w:cs="Arial"/>
                <w:lang w:val="en-GB"/>
              </w:rPr>
            </w:pPr>
          </w:p>
          <w:p w14:paraId="737D975D" w14:textId="77777777" w:rsidR="003F6293" w:rsidRPr="00702082" w:rsidRDefault="003F6293" w:rsidP="003F6293">
            <w:pPr>
              <w:jc w:val="right"/>
              <w:rPr>
                <w:rFonts w:ascii="Arial" w:hAnsi="Arial" w:cs="Arial"/>
                <w:lang w:val="en-GB"/>
              </w:rPr>
            </w:pPr>
            <w:r w:rsidRPr="00702082">
              <w:rPr>
                <w:rFonts w:ascii="Arial" w:hAnsi="Arial" w:cs="Arial"/>
                <w:lang w:val="en-GB"/>
              </w:rPr>
              <w:t>126</w:t>
            </w:r>
          </w:p>
          <w:p w14:paraId="3424C4EB" w14:textId="77777777" w:rsidR="003F6293" w:rsidRPr="00702082" w:rsidRDefault="003F6293" w:rsidP="003F6293">
            <w:pPr>
              <w:jc w:val="right"/>
              <w:rPr>
                <w:rFonts w:ascii="Arial" w:hAnsi="Arial" w:cs="Arial"/>
                <w:lang w:val="en-GB"/>
              </w:rPr>
            </w:pPr>
            <w:r w:rsidRPr="00702082">
              <w:rPr>
                <w:rFonts w:ascii="Arial" w:hAnsi="Arial" w:cs="Arial"/>
                <w:lang w:val="en-GB"/>
              </w:rPr>
              <w:t>183</w:t>
            </w:r>
          </w:p>
          <w:p w14:paraId="01A34810" w14:textId="77777777" w:rsidR="003F6293" w:rsidRPr="00702082" w:rsidRDefault="003F6293" w:rsidP="003F6293">
            <w:pPr>
              <w:jc w:val="right"/>
              <w:rPr>
                <w:rFonts w:ascii="Arial" w:hAnsi="Arial" w:cs="Arial"/>
                <w:lang w:val="en-GB"/>
              </w:rPr>
            </w:pPr>
          </w:p>
          <w:p w14:paraId="7010355F" w14:textId="77777777" w:rsidR="003F6293" w:rsidRPr="00702082" w:rsidRDefault="003F6293" w:rsidP="003F6293">
            <w:pPr>
              <w:jc w:val="right"/>
              <w:rPr>
                <w:rFonts w:ascii="Arial" w:hAnsi="Arial" w:cs="Arial"/>
                <w:lang w:val="en-GB"/>
              </w:rPr>
            </w:pPr>
            <w:r w:rsidRPr="00702082">
              <w:rPr>
                <w:rFonts w:ascii="Arial" w:hAnsi="Arial" w:cs="Arial"/>
                <w:lang w:val="en-GB"/>
              </w:rPr>
              <w:t>848</w:t>
            </w:r>
          </w:p>
          <w:p w14:paraId="38DC7A1F" w14:textId="77777777" w:rsidR="003F6293" w:rsidRPr="00702082" w:rsidRDefault="003F6293" w:rsidP="003F6293">
            <w:pPr>
              <w:jc w:val="right"/>
              <w:rPr>
                <w:rFonts w:ascii="Arial" w:hAnsi="Arial" w:cs="Arial"/>
                <w:lang w:val="en-GB"/>
              </w:rPr>
            </w:pPr>
            <w:r w:rsidRPr="00702082">
              <w:rPr>
                <w:rFonts w:ascii="Arial" w:hAnsi="Arial" w:cs="Arial"/>
                <w:lang w:val="en-GB"/>
              </w:rPr>
              <w:t>413</w:t>
            </w:r>
          </w:p>
          <w:p w14:paraId="7D45B8D2" w14:textId="77777777" w:rsidR="003F6293" w:rsidRPr="00702082" w:rsidRDefault="003F6293" w:rsidP="003F6293">
            <w:pPr>
              <w:jc w:val="right"/>
              <w:rPr>
                <w:rFonts w:ascii="Arial" w:hAnsi="Arial" w:cs="Arial"/>
                <w:lang w:val="en-GB"/>
              </w:rPr>
            </w:pPr>
            <w:r w:rsidRPr="00702082">
              <w:rPr>
                <w:rFonts w:ascii="Arial" w:hAnsi="Arial" w:cs="Arial"/>
                <w:lang w:val="en-GB"/>
              </w:rPr>
              <w:t>192</w:t>
            </w:r>
          </w:p>
        </w:tc>
        <w:tc>
          <w:tcPr>
            <w:tcW w:w="1217" w:type="dxa"/>
            <w:shd w:val="clear" w:color="auto" w:fill="auto"/>
          </w:tcPr>
          <w:p w14:paraId="76D04E04" w14:textId="77777777" w:rsidR="003F6293" w:rsidRPr="00702082" w:rsidRDefault="003F6293" w:rsidP="003F6293">
            <w:pPr>
              <w:jc w:val="right"/>
              <w:rPr>
                <w:rFonts w:ascii="Arial" w:hAnsi="Arial" w:cs="Arial"/>
                <w:lang w:val="en-GB"/>
              </w:rPr>
            </w:pPr>
          </w:p>
          <w:p w14:paraId="304DE7B7" w14:textId="77777777" w:rsidR="003F6293" w:rsidRPr="00702082" w:rsidRDefault="003F6293" w:rsidP="003F6293">
            <w:pPr>
              <w:jc w:val="right"/>
              <w:rPr>
                <w:rFonts w:ascii="Arial" w:hAnsi="Arial" w:cs="Arial"/>
                <w:lang w:val="en-GB"/>
              </w:rPr>
            </w:pPr>
            <w:r w:rsidRPr="00702082">
              <w:rPr>
                <w:rFonts w:ascii="Arial" w:hAnsi="Arial" w:cs="Arial"/>
                <w:lang w:val="en-GB"/>
              </w:rPr>
              <w:t>113</w:t>
            </w:r>
          </w:p>
          <w:p w14:paraId="37BF1F7D" w14:textId="77777777" w:rsidR="003F6293" w:rsidRPr="00702082" w:rsidRDefault="003F6293" w:rsidP="003F6293">
            <w:pPr>
              <w:jc w:val="right"/>
              <w:rPr>
                <w:rFonts w:ascii="Arial" w:hAnsi="Arial" w:cs="Arial"/>
                <w:lang w:val="en-GB"/>
              </w:rPr>
            </w:pPr>
            <w:r w:rsidRPr="00702082">
              <w:rPr>
                <w:rFonts w:ascii="Arial" w:hAnsi="Arial" w:cs="Arial"/>
                <w:lang w:val="en-GB"/>
              </w:rPr>
              <w:t>160</w:t>
            </w:r>
          </w:p>
          <w:p w14:paraId="3A27C73E" w14:textId="77777777" w:rsidR="003F6293" w:rsidRPr="00702082" w:rsidRDefault="003F6293" w:rsidP="003F6293">
            <w:pPr>
              <w:jc w:val="right"/>
              <w:rPr>
                <w:rFonts w:ascii="Arial" w:hAnsi="Arial" w:cs="Arial"/>
                <w:lang w:val="en-GB"/>
              </w:rPr>
            </w:pPr>
          </w:p>
          <w:p w14:paraId="23135E48" w14:textId="77777777" w:rsidR="003F6293" w:rsidRPr="00702082" w:rsidRDefault="003F6293" w:rsidP="003F6293">
            <w:pPr>
              <w:jc w:val="right"/>
              <w:rPr>
                <w:rFonts w:ascii="Arial" w:hAnsi="Arial" w:cs="Arial"/>
                <w:lang w:val="en-GB"/>
              </w:rPr>
            </w:pPr>
            <w:r w:rsidRPr="00702082">
              <w:rPr>
                <w:rFonts w:ascii="Arial" w:hAnsi="Arial" w:cs="Arial"/>
                <w:lang w:val="en-GB"/>
              </w:rPr>
              <w:t>728</w:t>
            </w:r>
          </w:p>
          <w:p w14:paraId="3914B1F2" w14:textId="77777777" w:rsidR="003F6293" w:rsidRPr="00702082" w:rsidRDefault="003F6293" w:rsidP="003F6293">
            <w:pPr>
              <w:jc w:val="right"/>
              <w:rPr>
                <w:rFonts w:ascii="Arial" w:hAnsi="Arial" w:cs="Arial"/>
                <w:lang w:val="en-GB"/>
              </w:rPr>
            </w:pPr>
            <w:r w:rsidRPr="00702082">
              <w:rPr>
                <w:rFonts w:ascii="Arial" w:hAnsi="Arial" w:cs="Arial"/>
                <w:lang w:val="en-GB"/>
              </w:rPr>
              <w:t>368</w:t>
            </w:r>
          </w:p>
          <w:p w14:paraId="69FB56D2" w14:textId="77777777" w:rsidR="003F6293" w:rsidRPr="00702082" w:rsidRDefault="003F6293" w:rsidP="003F6293">
            <w:pPr>
              <w:jc w:val="right"/>
              <w:rPr>
                <w:rFonts w:ascii="Arial" w:hAnsi="Arial" w:cs="Arial"/>
                <w:lang w:val="en-GB"/>
              </w:rPr>
            </w:pPr>
            <w:r w:rsidRPr="00702082">
              <w:rPr>
                <w:rFonts w:ascii="Arial" w:hAnsi="Arial" w:cs="Arial"/>
                <w:lang w:val="en-GB"/>
              </w:rPr>
              <w:t>170</w:t>
            </w:r>
          </w:p>
        </w:tc>
        <w:tc>
          <w:tcPr>
            <w:tcW w:w="1217" w:type="dxa"/>
            <w:shd w:val="clear" w:color="auto" w:fill="auto"/>
          </w:tcPr>
          <w:p w14:paraId="6A3EA22F" w14:textId="77777777" w:rsidR="003F6293" w:rsidRPr="00702082" w:rsidRDefault="003F6293" w:rsidP="003F6293">
            <w:pPr>
              <w:jc w:val="right"/>
              <w:rPr>
                <w:rFonts w:ascii="Arial" w:hAnsi="Arial" w:cs="Arial"/>
                <w:lang w:val="en-GB"/>
              </w:rPr>
            </w:pPr>
          </w:p>
          <w:p w14:paraId="7FE0D47D" w14:textId="77777777" w:rsidR="003F6293" w:rsidRPr="00702082" w:rsidRDefault="003F6293" w:rsidP="003F6293">
            <w:pPr>
              <w:jc w:val="right"/>
              <w:rPr>
                <w:rFonts w:ascii="Arial" w:hAnsi="Arial" w:cs="Arial"/>
                <w:lang w:val="en-GB"/>
              </w:rPr>
            </w:pPr>
            <w:r w:rsidRPr="00702082">
              <w:rPr>
                <w:rFonts w:ascii="Arial" w:hAnsi="Arial" w:cs="Arial"/>
                <w:lang w:val="en-GB"/>
              </w:rPr>
              <w:t>97</w:t>
            </w:r>
          </w:p>
          <w:p w14:paraId="6F44C36E" w14:textId="77777777" w:rsidR="003F6293" w:rsidRPr="00702082" w:rsidRDefault="003F6293" w:rsidP="003F6293">
            <w:pPr>
              <w:jc w:val="right"/>
              <w:rPr>
                <w:rFonts w:ascii="Arial" w:hAnsi="Arial" w:cs="Arial"/>
                <w:lang w:val="en-GB"/>
              </w:rPr>
            </w:pPr>
            <w:r w:rsidRPr="00702082">
              <w:rPr>
                <w:rFonts w:ascii="Arial" w:hAnsi="Arial" w:cs="Arial"/>
                <w:lang w:val="en-GB"/>
              </w:rPr>
              <w:t>135</w:t>
            </w:r>
          </w:p>
          <w:p w14:paraId="3C0A551D" w14:textId="77777777" w:rsidR="003F6293" w:rsidRPr="00702082" w:rsidRDefault="003F6293" w:rsidP="003F6293">
            <w:pPr>
              <w:jc w:val="right"/>
              <w:rPr>
                <w:rFonts w:ascii="Arial" w:hAnsi="Arial" w:cs="Arial"/>
                <w:lang w:val="en-GB"/>
              </w:rPr>
            </w:pPr>
          </w:p>
          <w:p w14:paraId="737000A4" w14:textId="77777777" w:rsidR="003F6293" w:rsidRPr="00702082" w:rsidRDefault="003F6293" w:rsidP="003F6293">
            <w:pPr>
              <w:jc w:val="right"/>
              <w:rPr>
                <w:rFonts w:ascii="Arial" w:hAnsi="Arial" w:cs="Arial"/>
                <w:lang w:val="en-GB"/>
              </w:rPr>
            </w:pPr>
            <w:r w:rsidRPr="00702082">
              <w:rPr>
                <w:rFonts w:ascii="Arial" w:hAnsi="Arial" w:cs="Arial"/>
                <w:lang w:val="en-GB"/>
              </w:rPr>
              <w:t>598</w:t>
            </w:r>
          </w:p>
          <w:p w14:paraId="2AD57BE1" w14:textId="77777777" w:rsidR="003F6293" w:rsidRPr="00702082" w:rsidRDefault="003F6293" w:rsidP="003F6293">
            <w:pPr>
              <w:jc w:val="right"/>
              <w:rPr>
                <w:rFonts w:ascii="Arial" w:hAnsi="Arial" w:cs="Arial"/>
                <w:lang w:val="en-GB"/>
              </w:rPr>
            </w:pPr>
            <w:r w:rsidRPr="00702082">
              <w:rPr>
                <w:rFonts w:ascii="Arial" w:hAnsi="Arial" w:cs="Arial"/>
                <w:lang w:val="en-GB"/>
              </w:rPr>
              <w:t>317</w:t>
            </w:r>
          </w:p>
          <w:p w14:paraId="5AFE3A95" w14:textId="77777777" w:rsidR="003F6293" w:rsidRPr="00702082" w:rsidRDefault="003F6293" w:rsidP="003F6293">
            <w:pPr>
              <w:jc w:val="right"/>
              <w:rPr>
                <w:rFonts w:ascii="Arial" w:hAnsi="Arial" w:cs="Arial"/>
                <w:lang w:val="en-GB"/>
              </w:rPr>
            </w:pPr>
            <w:r w:rsidRPr="00702082">
              <w:rPr>
                <w:rFonts w:ascii="Arial" w:hAnsi="Arial" w:cs="Arial"/>
                <w:lang w:val="en-GB"/>
              </w:rPr>
              <w:t>155</w:t>
            </w:r>
          </w:p>
        </w:tc>
      </w:tr>
      <w:tr w:rsidR="003F6293" w:rsidRPr="00702082" w14:paraId="4FD31BB3" w14:textId="77777777" w:rsidTr="003F6293">
        <w:trPr>
          <w:jc w:val="center"/>
        </w:trPr>
        <w:tc>
          <w:tcPr>
            <w:tcW w:w="4674" w:type="dxa"/>
            <w:shd w:val="clear" w:color="auto" w:fill="auto"/>
          </w:tcPr>
          <w:p w14:paraId="198D6DD4" w14:textId="77777777" w:rsidR="003F6293" w:rsidRPr="00702082" w:rsidRDefault="003F6293" w:rsidP="003F6293">
            <w:pPr>
              <w:jc w:val="both"/>
              <w:rPr>
                <w:rFonts w:ascii="Arial" w:hAnsi="Arial" w:cs="Arial"/>
                <w:lang w:val="en-GB"/>
              </w:rPr>
            </w:pPr>
            <w:r w:rsidRPr="00702082">
              <w:rPr>
                <w:rFonts w:ascii="Arial" w:hAnsi="Arial" w:cs="Arial"/>
                <w:lang w:val="en-GB"/>
              </w:rPr>
              <w:t>Total Costs</w:t>
            </w:r>
          </w:p>
        </w:tc>
        <w:tc>
          <w:tcPr>
            <w:tcW w:w="1169" w:type="dxa"/>
            <w:shd w:val="clear" w:color="auto" w:fill="auto"/>
          </w:tcPr>
          <w:p w14:paraId="61BB0E45" w14:textId="77777777" w:rsidR="003F6293" w:rsidRPr="00702082" w:rsidRDefault="003F6293" w:rsidP="003F6293">
            <w:pPr>
              <w:jc w:val="right"/>
              <w:rPr>
                <w:rFonts w:ascii="Arial" w:hAnsi="Arial" w:cs="Arial"/>
                <w:lang w:val="en-GB"/>
              </w:rPr>
            </w:pPr>
            <w:r w:rsidRPr="00702082">
              <w:rPr>
                <w:rFonts w:ascii="Arial" w:hAnsi="Arial" w:cs="Arial"/>
                <w:lang w:val="en-GB"/>
              </w:rPr>
              <w:t>2,079</w:t>
            </w:r>
          </w:p>
        </w:tc>
        <w:tc>
          <w:tcPr>
            <w:tcW w:w="1169" w:type="dxa"/>
            <w:shd w:val="clear" w:color="auto" w:fill="auto"/>
          </w:tcPr>
          <w:p w14:paraId="601F4601" w14:textId="77777777" w:rsidR="003F6293" w:rsidRPr="00702082" w:rsidRDefault="003F6293" w:rsidP="003F6293">
            <w:pPr>
              <w:jc w:val="right"/>
              <w:rPr>
                <w:rFonts w:ascii="Arial" w:hAnsi="Arial" w:cs="Arial"/>
                <w:lang w:val="en-GB"/>
              </w:rPr>
            </w:pPr>
            <w:r w:rsidRPr="00702082">
              <w:rPr>
                <w:rFonts w:ascii="Arial" w:hAnsi="Arial" w:cs="Arial"/>
                <w:lang w:val="en-GB"/>
              </w:rPr>
              <w:t>1,763</w:t>
            </w:r>
          </w:p>
        </w:tc>
        <w:tc>
          <w:tcPr>
            <w:tcW w:w="1217" w:type="dxa"/>
            <w:shd w:val="clear" w:color="auto" w:fill="auto"/>
          </w:tcPr>
          <w:p w14:paraId="2ACD8582" w14:textId="77777777" w:rsidR="003F6293" w:rsidRPr="00702082" w:rsidRDefault="003F6293" w:rsidP="003F6293">
            <w:pPr>
              <w:jc w:val="right"/>
              <w:rPr>
                <w:rFonts w:ascii="Arial" w:hAnsi="Arial" w:cs="Arial"/>
                <w:lang w:val="en-GB"/>
              </w:rPr>
            </w:pPr>
            <w:r w:rsidRPr="00702082">
              <w:rPr>
                <w:rFonts w:ascii="Arial" w:hAnsi="Arial" w:cs="Arial"/>
                <w:lang w:val="en-GB"/>
              </w:rPr>
              <w:t>1,539</w:t>
            </w:r>
          </w:p>
        </w:tc>
        <w:tc>
          <w:tcPr>
            <w:tcW w:w="1217" w:type="dxa"/>
            <w:shd w:val="clear" w:color="auto" w:fill="auto"/>
          </w:tcPr>
          <w:p w14:paraId="29878A58" w14:textId="77777777" w:rsidR="003F6293" w:rsidRPr="00702082" w:rsidRDefault="003F6293" w:rsidP="003F6293">
            <w:pPr>
              <w:jc w:val="right"/>
              <w:rPr>
                <w:rFonts w:ascii="Arial" w:hAnsi="Arial" w:cs="Arial"/>
                <w:lang w:val="en-GB"/>
              </w:rPr>
            </w:pPr>
            <w:r w:rsidRPr="00702082">
              <w:rPr>
                <w:rFonts w:ascii="Arial" w:hAnsi="Arial" w:cs="Arial"/>
                <w:lang w:val="en-GB"/>
              </w:rPr>
              <w:t>1,302</w:t>
            </w:r>
          </w:p>
        </w:tc>
      </w:tr>
      <w:tr w:rsidR="003F6293" w:rsidRPr="00702082" w14:paraId="63281E53" w14:textId="77777777" w:rsidTr="003F6293">
        <w:trPr>
          <w:jc w:val="center"/>
        </w:trPr>
        <w:tc>
          <w:tcPr>
            <w:tcW w:w="4674" w:type="dxa"/>
            <w:shd w:val="clear" w:color="auto" w:fill="auto"/>
          </w:tcPr>
          <w:p w14:paraId="70DA71AC" w14:textId="77777777" w:rsidR="003F6293" w:rsidRPr="00702082" w:rsidRDefault="003F6293" w:rsidP="003F6293">
            <w:pPr>
              <w:jc w:val="both"/>
              <w:rPr>
                <w:rFonts w:ascii="Arial" w:hAnsi="Arial" w:cs="Arial"/>
                <w:lang w:val="en-GB"/>
              </w:rPr>
            </w:pPr>
            <w:r w:rsidRPr="00702082">
              <w:rPr>
                <w:rFonts w:ascii="Arial" w:hAnsi="Arial" w:cs="Arial"/>
                <w:lang w:val="en-GB"/>
              </w:rPr>
              <w:t>Gross Income</w:t>
            </w:r>
          </w:p>
        </w:tc>
        <w:tc>
          <w:tcPr>
            <w:tcW w:w="1169" w:type="dxa"/>
            <w:shd w:val="clear" w:color="auto" w:fill="auto"/>
          </w:tcPr>
          <w:p w14:paraId="0747D6EA" w14:textId="77777777" w:rsidR="003F6293" w:rsidRPr="00702082" w:rsidRDefault="003F6293" w:rsidP="003F6293">
            <w:pPr>
              <w:jc w:val="right"/>
              <w:rPr>
                <w:rFonts w:ascii="Arial" w:hAnsi="Arial" w:cs="Arial"/>
                <w:lang w:val="en-GB"/>
              </w:rPr>
            </w:pPr>
            <w:r w:rsidRPr="00702082">
              <w:rPr>
                <w:rFonts w:ascii="Arial" w:hAnsi="Arial" w:cs="Arial"/>
                <w:lang w:val="en-GB"/>
              </w:rPr>
              <w:t>332</w:t>
            </w:r>
          </w:p>
        </w:tc>
        <w:tc>
          <w:tcPr>
            <w:tcW w:w="1169" w:type="dxa"/>
            <w:shd w:val="clear" w:color="auto" w:fill="auto"/>
          </w:tcPr>
          <w:p w14:paraId="6A0C730C" w14:textId="77777777" w:rsidR="003F6293" w:rsidRPr="00702082" w:rsidRDefault="003F6293" w:rsidP="003F6293">
            <w:pPr>
              <w:jc w:val="right"/>
              <w:rPr>
                <w:rFonts w:ascii="Arial" w:hAnsi="Arial" w:cs="Arial"/>
                <w:lang w:val="en-GB"/>
              </w:rPr>
            </w:pPr>
            <w:r w:rsidRPr="00702082">
              <w:rPr>
                <w:rFonts w:ascii="Arial" w:hAnsi="Arial" w:cs="Arial"/>
                <w:lang w:val="en-GB"/>
              </w:rPr>
              <w:t>289</w:t>
            </w:r>
          </w:p>
        </w:tc>
        <w:tc>
          <w:tcPr>
            <w:tcW w:w="1217" w:type="dxa"/>
            <w:shd w:val="clear" w:color="auto" w:fill="auto"/>
          </w:tcPr>
          <w:p w14:paraId="7AA67B5B" w14:textId="77777777" w:rsidR="003F6293" w:rsidRPr="00702082" w:rsidRDefault="003F6293" w:rsidP="003F6293">
            <w:pPr>
              <w:jc w:val="right"/>
              <w:rPr>
                <w:rFonts w:ascii="Arial" w:hAnsi="Arial" w:cs="Arial"/>
                <w:lang w:val="en-GB"/>
              </w:rPr>
            </w:pPr>
            <w:r w:rsidRPr="00702082">
              <w:rPr>
                <w:rFonts w:ascii="Arial" w:hAnsi="Arial" w:cs="Arial"/>
                <w:lang w:val="en-GB"/>
              </w:rPr>
              <w:t>250</w:t>
            </w:r>
          </w:p>
        </w:tc>
        <w:tc>
          <w:tcPr>
            <w:tcW w:w="1217" w:type="dxa"/>
            <w:shd w:val="clear" w:color="auto" w:fill="auto"/>
          </w:tcPr>
          <w:p w14:paraId="5FD756C1" w14:textId="77777777" w:rsidR="003F6293" w:rsidRPr="00702082" w:rsidRDefault="003F6293" w:rsidP="003F6293">
            <w:pPr>
              <w:jc w:val="right"/>
              <w:rPr>
                <w:rFonts w:ascii="Arial" w:hAnsi="Arial" w:cs="Arial"/>
                <w:lang w:val="en-GB"/>
              </w:rPr>
            </w:pPr>
            <w:r w:rsidRPr="00702082">
              <w:rPr>
                <w:rFonts w:ascii="Arial" w:hAnsi="Arial" w:cs="Arial"/>
                <w:lang w:val="en-GB"/>
              </w:rPr>
              <w:t>232</w:t>
            </w:r>
          </w:p>
        </w:tc>
      </w:tr>
      <w:tr w:rsidR="003F6293" w:rsidRPr="00702082" w14:paraId="183DE172" w14:textId="77777777" w:rsidTr="003F6293">
        <w:trPr>
          <w:jc w:val="center"/>
        </w:trPr>
        <w:tc>
          <w:tcPr>
            <w:tcW w:w="4674" w:type="dxa"/>
            <w:shd w:val="clear" w:color="auto" w:fill="auto"/>
          </w:tcPr>
          <w:p w14:paraId="15204BCB" w14:textId="77777777" w:rsidR="003F6293" w:rsidRPr="00702082" w:rsidRDefault="003F6293" w:rsidP="003F6293">
            <w:pPr>
              <w:jc w:val="both"/>
              <w:rPr>
                <w:rFonts w:ascii="Arial" w:hAnsi="Arial" w:cs="Arial"/>
                <w:lang w:val="en-GB"/>
              </w:rPr>
            </w:pPr>
            <w:r w:rsidRPr="00702082">
              <w:rPr>
                <w:rFonts w:ascii="Arial" w:hAnsi="Arial" w:cs="Arial"/>
                <w:lang w:val="en-GB"/>
              </w:rPr>
              <w:t>Net Income</w:t>
            </w:r>
          </w:p>
        </w:tc>
        <w:tc>
          <w:tcPr>
            <w:tcW w:w="1169" w:type="dxa"/>
            <w:shd w:val="clear" w:color="auto" w:fill="auto"/>
          </w:tcPr>
          <w:p w14:paraId="130864F8" w14:textId="77777777" w:rsidR="003F6293" w:rsidRPr="00702082" w:rsidRDefault="003F6293" w:rsidP="003F6293">
            <w:pPr>
              <w:jc w:val="right"/>
              <w:rPr>
                <w:rFonts w:ascii="Arial" w:hAnsi="Arial" w:cs="Arial"/>
                <w:lang w:val="en-GB"/>
              </w:rPr>
            </w:pPr>
            <w:r w:rsidRPr="00702082">
              <w:rPr>
                <w:rFonts w:ascii="Arial" w:hAnsi="Arial" w:cs="Arial"/>
                <w:lang w:val="en-GB"/>
              </w:rPr>
              <w:t>254</w:t>
            </w:r>
          </w:p>
        </w:tc>
        <w:tc>
          <w:tcPr>
            <w:tcW w:w="1169" w:type="dxa"/>
            <w:shd w:val="clear" w:color="auto" w:fill="auto"/>
          </w:tcPr>
          <w:p w14:paraId="441636BD" w14:textId="77777777" w:rsidR="003F6293" w:rsidRPr="00702082" w:rsidRDefault="003F6293" w:rsidP="003F6293">
            <w:pPr>
              <w:jc w:val="right"/>
              <w:rPr>
                <w:rFonts w:ascii="Arial" w:hAnsi="Arial" w:cs="Arial"/>
                <w:lang w:val="en-GB"/>
              </w:rPr>
            </w:pPr>
            <w:r w:rsidRPr="00702082">
              <w:rPr>
                <w:rFonts w:ascii="Arial" w:hAnsi="Arial" w:cs="Arial"/>
                <w:lang w:val="en-GB"/>
              </w:rPr>
              <w:t>199</w:t>
            </w:r>
          </w:p>
        </w:tc>
        <w:tc>
          <w:tcPr>
            <w:tcW w:w="1217" w:type="dxa"/>
            <w:shd w:val="clear" w:color="auto" w:fill="auto"/>
          </w:tcPr>
          <w:p w14:paraId="233ED6CA" w14:textId="77777777" w:rsidR="003F6293" w:rsidRPr="00702082" w:rsidRDefault="003F6293" w:rsidP="003F6293">
            <w:pPr>
              <w:jc w:val="right"/>
              <w:rPr>
                <w:rFonts w:ascii="Arial" w:hAnsi="Arial" w:cs="Arial"/>
                <w:lang w:val="en-GB"/>
              </w:rPr>
            </w:pPr>
            <w:r w:rsidRPr="00702082">
              <w:rPr>
                <w:rFonts w:ascii="Arial" w:hAnsi="Arial" w:cs="Arial"/>
                <w:lang w:val="en-GB"/>
              </w:rPr>
              <w:t>180</w:t>
            </w:r>
          </w:p>
        </w:tc>
        <w:tc>
          <w:tcPr>
            <w:tcW w:w="1217" w:type="dxa"/>
            <w:shd w:val="clear" w:color="auto" w:fill="auto"/>
          </w:tcPr>
          <w:p w14:paraId="3CC2CCF7" w14:textId="77777777" w:rsidR="003F6293" w:rsidRPr="00702082" w:rsidRDefault="003F6293" w:rsidP="003F6293">
            <w:pPr>
              <w:jc w:val="right"/>
              <w:rPr>
                <w:rFonts w:ascii="Arial" w:hAnsi="Arial" w:cs="Arial"/>
                <w:lang w:val="en-GB"/>
              </w:rPr>
            </w:pPr>
            <w:r w:rsidRPr="00702082">
              <w:rPr>
                <w:rFonts w:ascii="Arial" w:hAnsi="Arial" w:cs="Arial"/>
                <w:lang w:val="en-GB"/>
              </w:rPr>
              <w:t>178</w:t>
            </w:r>
          </w:p>
        </w:tc>
      </w:tr>
    </w:tbl>
    <w:p w14:paraId="18FE915B" w14:textId="77777777" w:rsidR="003F6293" w:rsidRPr="00702082" w:rsidRDefault="003F6293" w:rsidP="003F6293">
      <w:pPr>
        <w:pStyle w:val="FootnoteText1"/>
        <w:rPr>
          <w:lang w:val="en-GB"/>
        </w:rPr>
      </w:pPr>
    </w:p>
    <w:p w14:paraId="791B19B6" w14:textId="77777777" w:rsidR="003F6293" w:rsidRPr="00702082" w:rsidRDefault="003F6293" w:rsidP="003F6293">
      <w:pPr>
        <w:pStyle w:val="FootnoteText1"/>
        <w:rPr>
          <w:lang w:val="en-GB"/>
        </w:rPr>
      </w:pPr>
      <w:r w:rsidRPr="00702082">
        <w:rPr>
          <w:lang w:val="en-GB"/>
        </w:rPr>
        <w:t>Source: Compiled by case authors based on company annual reports.</w:t>
      </w:r>
    </w:p>
    <w:p w14:paraId="1FB64A2A" w14:textId="77777777" w:rsidR="003F6293" w:rsidRPr="00702082" w:rsidRDefault="003F6293" w:rsidP="003F6293">
      <w:pPr>
        <w:pStyle w:val="BodyTextMain"/>
        <w:rPr>
          <w:lang w:val="en-GB"/>
        </w:rPr>
      </w:pPr>
    </w:p>
    <w:p w14:paraId="2F47E814" w14:textId="77777777" w:rsidR="003F6293" w:rsidRPr="00702082" w:rsidRDefault="003F6293" w:rsidP="00DF5ECB">
      <w:pPr>
        <w:pStyle w:val="Casehead1"/>
        <w:jc w:val="center"/>
      </w:pPr>
      <w:r w:rsidRPr="00702082">
        <w:rPr>
          <w:szCs w:val="22"/>
        </w:rPr>
        <w:br w:type="page"/>
      </w:r>
      <w:r w:rsidRPr="00702082">
        <w:lastRenderedPageBreak/>
        <w:t>Exhibit 3: RED HAT INC. COMPANY-WIDE DIVERSITY DATA, 2014</w:t>
      </w:r>
    </w:p>
    <w:p w14:paraId="749F114B" w14:textId="77777777" w:rsidR="003F6293" w:rsidRPr="00702082" w:rsidRDefault="003F6293" w:rsidP="003F6293">
      <w:pPr>
        <w:pStyle w:val="BodyTextMain"/>
        <w:rPr>
          <w:lang w:val="en-GB"/>
        </w:rPr>
      </w:pPr>
    </w:p>
    <w:p w14:paraId="156755C5" w14:textId="0EAE95C6" w:rsidR="003F6293" w:rsidRPr="00702082" w:rsidRDefault="00AA5A07" w:rsidP="003F6293">
      <w:pPr>
        <w:jc w:val="center"/>
        <w:rPr>
          <w:lang w:val="en-GB"/>
        </w:rPr>
      </w:pPr>
      <w:r w:rsidRPr="00AA5A07">
        <w:rPr>
          <w:noProof/>
          <w:lang w:val="en-GB" w:eastAsia="en-GB"/>
        </w:rPr>
        <mc:AlternateContent>
          <mc:Choice Requires="wps">
            <w:drawing>
              <wp:anchor distT="0" distB="0" distL="114300" distR="114300" simplePos="0" relativeHeight="251659264" behindDoc="0" locked="0" layoutInCell="1" allowOverlap="1" wp14:anchorId="4F4D59E7" wp14:editId="48CAAE7C">
                <wp:simplePos x="0" y="0"/>
                <wp:positionH relativeFrom="column">
                  <wp:posOffset>5045710</wp:posOffset>
                </wp:positionH>
                <wp:positionV relativeFrom="paragraph">
                  <wp:posOffset>1079928</wp:posOffset>
                </wp:positionV>
                <wp:extent cx="616585" cy="10190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019060"/>
                        </a:xfrm>
                        <a:prstGeom prst="rect">
                          <a:avLst/>
                        </a:prstGeom>
                        <a:noFill/>
                        <a:ln w="9525">
                          <a:noFill/>
                          <a:miter lim="800000"/>
                          <a:headEnd/>
                          <a:tailEnd/>
                        </a:ln>
                      </wps:spPr>
                      <wps:txbx>
                        <w:txbxContent>
                          <w:p w14:paraId="4A807A9E" w14:textId="7D9B2CD8" w:rsidR="00AA5A07" w:rsidRDefault="00AA5A07">
                            <w:pPr>
                              <w:rPr>
                                <w:rFonts w:ascii="Arial" w:hAnsi="Arial" w:cs="Arial"/>
                                <w:sz w:val="17"/>
                                <w:szCs w:val="17"/>
                              </w:rPr>
                            </w:pPr>
                            <w:r w:rsidRPr="00AA5A07">
                              <w:rPr>
                                <w:rFonts w:ascii="Arial" w:hAnsi="Arial" w:cs="Arial"/>
                                <w:sz w:val="17"/>
                                <w:szCs w:val="17"/>
                              </w:rPr>
                              <w:t>(1%)</w:t>
                            </w:r>
                          </w:p>
                          <w:p w14:paraId="57D79AF4" w14:textId="77777777" w:rsidR="00AA5A07" w:rsidRPr="00AA5A07" w:rsidRDefault="00AA5A07">
                            <w:pPr>
                              <w:rPr>
                                <w:rFonts w:ascii="Arial" w:hAnsi="Arial" w:cs="Arial"/>
                                <w:sz w:val="4"/>
                                <w:szCs w:val="4"/>
                              </w:rPr>
                            </w:pPr>
                          </w:p>
                          <w:p w14:paraId="6DCA1BD8" w14:textId="145B0B3F" w:rsidR="00AA5A07" w:rsidRDefault="00AA5A07">
                            <w:pPr>
                              <w:rPr>
                                <w:rFonts w:ascii="Arial" w:hAnsi="Arial" w:cs="Arial"/>
                                <w:sz w:val="17"/>
                                <w:szCs w:val="17"/>
                              </w:rPr>
                            </w:pPr>
                            <w:r w:rsidRPr="00AA5A07">
                              <w:rPr>
                                <w:rFonts w:ascii="Arial" w:hAnsi="Arial" w:cs="Arial"/>
                                <w:sz w:val="17"/>
                                <w:szCs w:val="17"/>
                              </w:rPr>
                              <w:t>(1%)</w:t>
                            </w:r>
                          </w:p>
                          <w:p w14:paraId="05607549" w14:textId="77777777" w:rsidR="00AA5A07" w:rsidRPr="00AA5A07" w:rsidRDefault="00AA5A07">
                            <w:pPr>
                              <w:rPr>
                                <w:rFonts w:ascii="Arial" w:hAnsi="Arial" w:cs="Arial"/>
                                <w:sz w:val="4"/>
                                <w:szCs w:val="4"/>
                              </w:rPr>
                            </w:pPr>
                          </w:p>
                          <w:p w14:paraId="03CB3918" w14:textId="6895EE2F" w:rsidR="00AA5A07" w:rsidRDefault="00AA5A07">
                            <w:pPr>
                              <w:rPr>
                                <w:rFonts w:ascii="Arial" w:hAnsi="Arial" w:cs="Arial"/>
                                <w:sz w:val="17"/>
                                <w:szCs w:val="17"/>
                              </w:rPr>
                            </w:pPr>
                            <w:r w:rsidRPr="00AA5A07">
                              <w:rPr>
                                <w:rFonts w:ascii="Arial" w:hAnsi="Arial" w:cs="Arial"/>
                                <w:sz w:val="17"/>
                                <w:szCs w:val="17"/>
                              </w:rPr>
                              <w:t>(3%)</w:t>
                            </w:r>
                          </w:p>
                          <w:p w14:paraId="311B7362" w14:textId="77777777" w:rsidR="00AA5A07" w:rsidRPr="00AA5A07" w:rsidRDefault="00AA5A07">
                            <w:pPr>
                              <w:rPr>
                                <w:rFonts w:ascii="Arial" w:hAnsi="Arial" w:cs="Arial"/>
                                <w:sz w:val="4"/>
                                <w:szCs w:val="4"/>
                              </w:rPr>
                            </w:pPr>
                          </w:p>
                          <w:p w14:paraId="265A12F4" w14:textId="48BA91A2" w:rsidR="00AA5A07" w:rsidRDefault="00AA5A07">
                            <w:pPr>
                              <w:rPr>
                                <w:rFonts w:ascii="Arial" w:hAnsi="Arial" w:cs="Arial"/>
                                <w:sz w:val="17"/>
                                <w:szCs w:val="17"/>
                              </w:rPr>
                            </w:pPr>
                            <w:r w:rsidRPr="00AA5A07">
                              <w:rPr>
                                <w:rFonts w:ascii="Arial" w:hAnsi="Arial" w:cs="Arial"/>
                                <w:sz w:val="17"/>
                                <w:szCs w:val="17"/>
                              </w:rPr>
                              <w:t>(3%)</w:t>
                            </w:r>
                          </w:p>
                          <w:p w14:paraId="05264E0C" w14:textId="77777777" w:rsidR="00AA5A07" w:rsidRPr="00AA5A07" w:rsidRDefault="00AA5A07">
                            <w:pPr>
                              <w:rPr>
                                <w:rFonts w:ascii="Arial" w:hAnsi="Arial" w:cs="Arial"/>
                                <w:sz w:val="4"/>
                                <w:szCs w:val="4"/>
                              </w:rPr>
                            </w:pPr>
                          </w:p>
                          <w:p w14:paraId="5ADF6F38" w14:textId="0037B920" w:rsidR="00AA5A07" w:rsidRDefault="00AA5A07">
                            <w:pPr>
                              <w:rPr>
                                <w:rFonts w:ascii="Arial" w:hAnsi="Arial" w:cs="Arial"/>
                                <w:sz w:val="17"/>
                                <w:szCs w:val="17"/>
                              </w:rPr>
                            </w:pPr>
                            <w:r w:rsidRPr="00AA5A07">
                              <w:rPr>
                                <w:rFonts w:ascii="Arial" w:hAnsi="Arial" w:cs="Arial"/>
                                <w:sz w:val="17"/>
                                <w:szCs w:val="17"/>
                              </w:rPr>
                              <w:t>(10%)</w:t>
                            </w:r>
                          </w:p>
                          <w:p w14:paraId="4209AE57" w14:textId="77777777" w:rsidR="00AA5A07" w:rsidRPr="00AA5A07" w:rsidRDefault="00AA5A07">
                            <w:pPr>
                              <w:rPr>
                                <w:rFonts w:ascii="Arial" w:hAnsi="Arial" w:cs="Arial"/>
                                <w:sz w:val="4"/>
                                <w:szCs w:val="4"/>
                              </w:rPr>
                            </w:pPr>
                          </w:p>
                          <w:p w14:paraId="3871C8F9" w14:textId="74C5AABB" w:rsidR="00AA5A07" w:rsidRPr="00AA5A07" w:rsidRDefault="00AA5A07">
                            <w:pPr>
                              <w:rPr>
                                <w:rFonts w:ascii="Arial" w:hAnsi="Arial" w:cs="Arial"/>
                                <w:sz w:val="17"/>
                                <w:szCs w:val="17"/>
                              </w:rPr>
                            </w:pPr>
                            <w:r w:rsidRPr="00AA5A07">
                              <w:rPr>
                                <w:rFonts w:ascii="Arial" w:hAnsi="Arial" w:cs="Arial"/>
                                <w:sz w:val="17"/>
                                <w:szCs w:val="17"/>
                              </w:rPr>
                              <w:t>(82%)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7.3pt;margin-top:85.05pt;width:48.55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" filled="f" stroked="f">
                <v:textbox>
                  <w:txbxContent>
                    <w:p w14:paraId="4A807A9E" w14:textId="7D9B2CD8" w:rsidR="00AA5A07" w:rsidRDefault="00AA5A07">
                      <w:pPr>
                        <w:rPr>
                          <w:rFonts w:ascii="Arial" w:hAnsi="Arial" w:cs="Arial"/>
                          <w:sz w:val="17"/>
                          <w:szCs w:val="17"/>
                        </w:rPr>
                      </w:pPr>
                      <w:r w:rsidRPr="00AA5A07">
                        <w:rPr>
                          <w:rFonts w:ascii="Arial" w:hAnsi="Arial" w:cs="Arial"/>
                          <w:sz w:val="17"/>
                          <w:szCs w:val="17"/>
                        </w:rPr>
                        <w:t>(1%)</w:t>
                      </w:r>
                    </w:p>
                    <w:p w14:paraId="57D79AF4" w14:textId="77777777" w:rsidR="00AA5A07" w:rsidRPr="00AA5A07" w:rsidRDefault="00AA5A07">
                      <w:pPr>
                        <w:rPr>
                          <w:rFonts w:ascii="Arial" w:hAnsi="Arial" w:cs="Arial"/>
                          <w:sz w:val="4"/>
                          <w:szCs w:val="4"/>
                        </w:rPr>
                      </w:pPr>
                    </w:p>
                    <w:p w14:paraId="6DCA1BD8" w14:textId="145B0B3F" w:rsidR="00AA5A07" w:rsidRDefault="00AA5A07">
                      <w:pPr>
                        <w:rPr>
                          <w:rFonts w:ascii="Arial" w:hAnsi="Arial" w:cs="Arial"/>
                          <w:sz w:val="17"/>
                          <w:szCs w:val="17"/>
                        </w:rPr>
                      </w:pPr>
                      <w:r w:rsidRPr="00AA5A07">
                        <w:rPr>
                          <w:rFonts w:ascii="Arial" w:hAnsi="Arial" w:cs="Arial"/>
                          <w:sz w:val="17"/>
                          <w:szCs w:val="17"/>
                        </w:rPr>
                        <w:t>(1%)</w:t>
                      </w:r>
                    </w:p>
                    <w:p w14:paraId="05607549" w14:textId="77777777" w:rsidR="00AA5A07" w:rsidRPr="00AA5A07" w:rsidRDefault="00AA5A07">
                      <w:pPr>
                        <w:rPr>
                          <w:rFonts w:ascii="Arial" w:hAnsi="Arial" w:cs="Arial"/>
                          <w:sz w:val="4"/>
                          <w:szCs w:val="4"/>
                        </w:rPr>
                      </w:pPr>
                    </w:p>
                    <w:p w14:paraId="03CB3918" w14:textId="6895EE2F" w:rsidR="00AA5A07" w:rsidRDefault="00AA5A07">
                      <w:pPr>
                        <w:rPr>
                          <w:rFonts w:ascii="Arial" w:hAnsi="Arial" w:cs="Arial"/>
                          <w:sz w:val="17"/>
                          <w:szCs w:val="17"/>
                        </w:rPr>
                      </w:pPr>
                      <w:r w:rsidRPr="00AA5A07">
                        <w:rPr>
                          <w:rFonts w:ascii="Arial" w:hAnsi="Arial" w:cs="Arial"/>
                          <w:sz w:val="17"/>
                          <w:szCs w:val="17"/>
                        </w:rPr>
                        <w:t>(3%)</w:t>
                      </w:r>
                    </w:p>
                    <w:p w14:paraId="311B7362" w14:textId="77777777" w:rsidR="00AA5A07" w:rsidRPr="00AA5A07" w:rsidRDefault="00AA5A07">
                      <w:pPr>
                        <w:rPr>
                          <w:rFonts w:ascii="Arial" w:hAnsi="Arial" w:cs="Arial"/>
                          <w:sz w:val="4"/>
                          <w:szCs w:val="4"/>
                        </w:rPr>
                      </w:pPr>
                    </w:p>
                    <w:p w14:paraId="265A12F4" w14:textId="48BA91A2" w:rsidR="00AA5A07" w:rsidRDefault="00AA5A07">
                      <w:pPr>
                        <w:rPr>
                          <w:rFonts w:ascii="Arial" w:hAnsi="Arial" w:cs="Arial"/>
                          <w:sz w:val="17"/>
                          <w:szCs w:val="17"/>
                        </w:rPr>
                      </w:pPr>
                      <w:r w:rsidRPr="00AA5A07">
                        <w:rPr>
                          <w:rFonts w:ascii="Arial" w:hAnsi="Arial" w:cs="Arial"/>
                          <w:sz w:val="17"/>
                          <w:szCs w:val="17"/>
                        </w:rPr>
                        <w:t>(3%)</w:t>
                      </w:r>
                    </w:p>
                    <w:p w14:paraId="05264E0C" w14:textId="77777777" w:rsidR="00AA5A07" w:rsidRPr="00AA5A07" w:rsidRDefault="00AA5A07">
                      <w:pPr>
                        <w:rPr>
                          <w:rFonts w:ascii="Arial" w:hAnsi="Arial" w:cs="Arial"/>
                          <w:sz w:val="4"/>
                          <w:szCs w:val="4"/>
                        </w:rPr>
                      </w:pPr>
                    </w:p>
                    <w:p w14:paraId="5ADF6F38" w14:textId="0037B920" w:rsidR="00AA5A07" w:rsidRDefault="00AA5A07">
                      <w:pPr>
                        <w:rPr>
                          <w:rFonts w:ascii="Arial" w:hAnsi="Arial" w:cs="Arial"/>
                          <w:sz w:val="17"/>
                          <w:szCs w:val="17"/>
                        </w:rPr>
                      </w:pPr>
                      <w:r w:rsidRPr="00AA5A07">
                        <w:rPr>
                          <w:rFonts w:ascii="Arial" w:hAnsi="Arial" w:cs="Arial"/>
                          <w:sz w:val="17"/>
                          <w:szCs w:val="17"/>
                        </w:rPr>
                        <w:t>(10%)</w:t>
                      </w:r>
                    </w:p>
                    <w:p w14:paraId="4209AE57" w14:textId="77777777" w:rsidR="00AA5A07" w:rsidRPr="00AA5A07" w:rsidRDefault="00AA5A07">
                      <w:pPr>
                        <w:rPr>
                          <w:rFonts w:ascii="Arial" w:hAnsi="Arial" w:cs="Arial"/>
                          <w:sz w:val="4"/>
                          <w:szCs w:val="4"/>
                        </w:rPr>
                      </w:pPr>
                    </w:p>
                    <w:p w14:paraId="3871C8F9" w14:textId="74C5AABB" w:rsidR="00AA5A07" w:rsidRPr="00AA5A07" w:rsidRDefault="00AA5A07">
                      <w:pPr>
                        <w:rPr>
                          <w:rFonts w:ascii="Arial" w:hAnsi="Arial" w:cs="Arial"/>
                          <w:sz w:val="17"/>
                          <w:szCs w:val="17"/>
                        </w:rPr>
                      </w:pPr>
                      <w:r w:rsidRPr="00AA5A07">
                        <w:rPr>
                          <w:rFonts w:ascii="Arial" w:hAnsi="Arial" w:cs="Arial"/>
                          <w:sz w:val="17"/>
                          <w:szCs w:val="17"/>
                        </w:rPr>
                        <w:t>(82%)</w:t>
                      </w:r>
                    </w:p>
                  </w:txbxContent>
                </v:textbox>
              </v:shape>
            </w:pict>
          </mc:Fallback>
        </mc:AlternateContent>
      </w:r>
      <w:r w:rsidR="003F6293" w:rsidRPr="00702082">
        <w:rPr>
          <w:noProof/>
          <w:lang w:val="en-GB" w:eastAsia="en-GB"/>
        </w:rPr>
        <w:drawing>
          <wp:inline distT="0" distB="0" distL="0" distR="0" wp14:anchorId="74FE9283" wp14:editId="2E749254">
            <wp:extent cx="4695190" cy="2266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695190" cy="2266315"/>
                    </a:xfrm>
                    <a:prstGeom prst="rect">
                      <a:avLst/>
                    </a:prstGeom>
                    <a:noFill/>
                    <a:ln>
                      <a:noFill/>
                    </a:ln>
                  </pic:spPr>
                </pic:pic>
              </a:graphicData>
            </a:graphic>
          </wp:inline>
        </w:drawing>
      </w:r>
    </w:p>
    <w:p w14:paraId="38523338" w14:textId="4A1FE264" w:rsidR="003F6293" w:rsidRPr="003F6293" w:rsidRDefault="003F6293" w:rsidP="003F6293">
      <w:pPr>
        <w:pStyle w:val="FootnoteText1"/>
      </w:pPr>
      <w:r w:rsidRPr="003F6293">
        <w:t xml:space="preserve">Source: </w:t>
      </w:r>
      <w:proofErr w:type="spellStart"/>
      <w:r w:rsidRPr="003F6293">
        <w:t>DeLisa</w:t>
      </w:r>
      <w:proofErr w:type="spellEnd"/>
      <w:r w:rsidRPr="003F6293">
        <w:t xml:space="preserve"> Alexander, “Diversity and Our Business,” Red Hat Blog, October 15, 2014, accessed August 18, 2017, www.redhat.com/en/blog/diversity-and-our-business.</w:t>
      </w:r>
    </w:p>
    <w:p w14:paraId="4483BE37" w14:textId="0899C887" w:rsidR="003F6293" w:rsidRPr="00702082" w:rsidRDefault="003F6293" w:rsidP="003F6293">
      <w:pPr>
        <w:pStyle w:val="BodyTextMain"/>
        <w:rPr>
          <w:lang w:val="en-GB"/>
        </w:rPr>
      </w:pPr>
    </w:p>
    <w:p w14:paraId="0D2519C7" w14:textId="77777777" w:rsidR="003F6293" w:rsidRPr="00702082" w:rsidRDefault="003F6293" w:rsidP="003F6293">
      <w:pPr>
        <w:pStyle w:val="BodyTextMain"/>
        <w:rPr>
          <w:lang w:val="en-GB"/>
        </w:rPr>
      </w:pPr>
    </w:p>
    <w:p w14:paraId="635A99F1" w14:textId="77777777" w:rsidR="003F6293" w:rsidRPr="003541C5" w:rsidRDefault="003F6293" w:rsidP="00DF5ECB">
      <w:pPr>
        <w:pStyle w:val="Casehead1"/>
        <w:jc w:val="center"/>
      </w:pPr>
      <w:r w:rsidRPr="003541C5">
        <w:t>Exhibit 4: RED HAT INC. LEADERSHIP DIVERSITY DATA, 2014</w:t>
      </w:r>
    </w:p>
    <w:p w14:paraId="25D0AAAA" w14:textId="77777777" w:rsidR="003F6293" w:rsidRPr="00702082" w:rsidRDefault="003F6293" w:rsidP="003F6293">
      <w:pPr>
        <w:pStyle w:val="BodyTextMain"/>
      </w:pPr>
    </w:p>
    <w:p w14:paraId="512FF5C0" w14:textId="77777777" w:rsidR="003F6293" w:rsidRPr="00702082" w:rsidRDefault="003F6293" w:rsidP="003F6293">
      <w:pPr>
        <w:jc w:val="center"/>
        <w:rPr>
          <w:lang w:val="en-GB"/>
        </w:rPr>
      </w:pPr>
      <w:r w:rsidRPr="00702082">
        <w:rPr>
          <w:noProof/>
          <w:lang w:val="en-GB" w:eastAsia="en-GB"/>
        </w:rPr>
        <w:drawing>
          <wp:inline distT="0" distB="0" distL="0" distR="0" wp14:anchorId="068E3F6A" wp14:editId="1A237FA8">
            <wp:extent cx="4846955" cy="2339340"/>
            <wp:effectExtent l="0" t="0" r="0" b="381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846955" cy="2339340"/>
                    </a:xfrm>
                    <a:prstGeom prst="rect">
                      <a:avLst/>
                    </a:prstGeom>
                    <a:noFill/>
                    <a:ln>
                      <a:noFill/>
                    </a:ln>
                  </pic:spPr>
                </pic:pic>
              </a:graphicData>
            </a:graphic>
          </wp:inline>
        </w:drawing>
      </w:r>
      <w:bookmarkStart w:id="8" w:name="_GoBack"/>
      <w:bookmarkEnd w:id="8"/>
    </w:p>
    <w:p w14:paraId="37F3B738" w14:textId="77777777" w:rsidR="003F6293" w:rsidRPr="00702082" w:rsidRDefault="003F6293" w:rsidP="003F6293">
      <w:pPr>
        <w:pStyle w:val="FootnoteText1"/>
        <w:rPr>
          <w:lang w:val="en-GB"/>
        </w:rPr>
      </w:pPr>
    </w:p>
    <w:p w14:paraId="1BC8AB79" w14:textId="72EC0CF4" w:rsidR="003F6293" w:rsidRPr="00702082" w:rsidRDefault="003F6293" w:rsidP="003F6293">
      <w:pPr>
        <w:pStyle w:val="FootnoteText1"/>
        <w:rPr>
          <w:lang w:val="en-GB"/>
        </w:rPr>
      </w:pPr>
      <w:r w:rsidRPr="00702082">
        <w:rPr>
          <w:lang w:val="en-GB"/>
        </w:rPr>
        <w:t xml:space="preserve">Source: </w:t>
      </w:r>
      <w:proofErr w:type="spellStart"/>
      <w:r w:rsidRPr="00702082">
        <w:rPr>
          <w:lang w:val="en-GB"/>
        </w:rPr>
        <w:t>DeLisa</w:t>
      </w:r>
      <w:proofErr w:type="spellEnd"/>
      <w:r w:rsidRPr="00702082">
        <w:rPr>
          <w:lang w:val="en-GB"/>
        </w:rPr>
        <w:t xml:space="preserve"> Alexander, “Diversity and Our Business,” Red Hat Blog, October 15, 2014, accessed August 18, 2017, www.redhat.com/en/blog/diversity-and-our-business.</w:t>
      </w:r>
    </w:p>
    <w:p w14:paraId="7C670969" w14:textId="77777777" w:rsidR="003F6293" w:rsidRPr="00702082" w:rsidRDefault="003F6293" w:rsidP="003F6293">
      <w:pPr>
        <w:pStyle w:val="BodyTextMain"/>
        <w:rPr>
          <w:lang w:val="en-GB"/>
        </w:rPr>
      </w:pPr>
    </w:p>
    <w:p w14:paraId="17E0F3CA" w14:textId="77777777" w:rsidR="003F6293" w:rsidRPr="00702082" w:rsidRDefault="003F6293" w:rsidP="00DF5ECB">
      <w:pPr>
        <w:pStyle w:val="Casehead1"/>
        <w:jc w:val="center"/>
        <w:rPr>
          <w:rFonts w:ascii="Arial Bold" w:hAnsi="Arial Bold"/>
          <w:lang w:val="en-GB"/>
        </w:rPr>
      </w:pPr>
      <w:r w:rsidRPr="00702082">
        <w:rPr>
          <w:i/>
          <w:lang w:val="en-GB"/>
        </w:rPr>
        <w:br w:type="page"/>
      </w:r>
      <w:r w:rsidRPr="003541C5">
        <w:lastRenderedPageBreak/>
        <w:t>Exhibit 5: RED HAT CANADA employee statistics</w:t>
      </w:r>
      <w:r>
        <w:t>, 2014–2017</w:t>
      </w:r>
    </w:p>
    <w:p w14:paraId="2BF53C6A" w14:textId="77777777" w:rsidR="003F6293" w:rsidRPr="00702082" w:rsidRDefault="003F6293" w:rsidP="003F6293">
      <w:pPr>
        <w:pStyle w:val="BodyTextMain"/>
        <w:rPr>
          <w:lang w:val="en-GB"/>
        </w:rPr>
      </w:pPr>
    </w:p>
    <w:tbl>
      <w:tblPr>
        <w:tblW w:w="9265" w:type="dxa"/>
        <w:jc w:val="center"/>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4223"/>
        <w:gridCol w:w="1187"/>
        <w:gridCol w:w="1131"/>
        <w:gridCol w:w="1131"/>
        <w:gridCol w:w="1132"/>
      </w:tblGrid>
      <w:tr w:rsidR="003F6293" w:rsidRPr="00702082" w14:paraId="5793135C" w14:textId="77777777" w:rsidTr="002818C8">
        <w:trPr>
          <w:jc w:val="center"/>
        </w:trPr>
        <w:tc>
          <w:tcPr>
            <w:tcW w:w="450" w:type="dxa"/>
            <w:shd w:val="clear" w:color="auto" w:fill="auto"/>
            <w:tcMar>
              <w:left w:w="108" w:type="dxa"/>
            </w:tcMar>
          </w:tcPr>
          <w:p w14:paraId="7A1B728A" w14:textId="77777777" w:rsidR="003F6293" w:rsidRPr="00C9482C" w:rsidRDefault="003F6293" w:rsidP="003F6293">
            <w:pPr>
              <w:jc w:val="center"/>
              <w:rPr>
                <w:rFonts w:ascii="Arial" w:hAnsi="Arial" w:cs="Arial"/>
                <w:b/>
                <w:lang w:val="en-GB"/>
              </w:rPr>
            </w:pPr>
          </w:p>
        </w:tc>
        <w:tc>
          <w:tcPr>
            <w:tcW w:w="4230" w:type="dxa"/>
            <w:shd w:val="clear" w:color="auto" w:fill="auto"/>
            <w:tcMar>
              <w:left w:w="108" w:type="dxa"/>
            </w:tcMar>
          </w:tcPr>
          <w:p w14:paraId="0A0615A4" w14:textId="77777777" w:rsidR="003F6293" w:rsidRPr="00C9482C" w:rsidRDefault="003F6293" w:rsidP="003F6293">
            <w:pPr>
              <w:jc w:val="center"/>
              <w:rPr>
                <w:rFonts w:ascii="Arial" w:hAnsi="Arial" w:cs="Arial"/>
                <w:b/>
                <w:lang w:val="en-GB"/>
              </w:rPr>
            </w:pPr>
          </w:p>
        </w:tc>
        <w:tc>
          <w:tcPr>
            <w:tcW w:w="1188" w:type="dxa"/>
            <w:shd w:val="clear" w:color="auto" w:fill="auto"/>
            <w:tcMar>
              <w:left w:w="108" w:type="dxa"/>
            </w:tcMar>
          </w:tcPr>
          <w:p w14:paraId="2678F1A6" w14:textId="77777777" w:rsidR="003F6293" w:rsidRPr="00C9482C" w:rsidRDefault="003F6293" w:rsidP="003F6293">
            <w:pPr>
              <w:jc w:val="center"/>
              <w:rPr>
                <w:rFonts w:ascii="Arial" w:hAnsi="Arial" w:cs="Arial"/>
                <w:b/>
                <w:lang w:val="en-GB"/>
              </w:rPr>
            </w:pPr>
            <w:r w:rsidRPr="00C9482C">
              <w:rPr>
                <w:rFonts w:ascii="Arial" w:hAnsi="Arial" w:cs="Arial"/>
                <w:b/>
                <w:lang w:val="en-GB"/>
              </w:rPr>
              <w:t>2017</w:t>
            </w:r>
          </w:p>
        </w:tc>
        <w:tc>
          <w:tcPr>
            <w:tcW w:w="1132" w:type="dxa"/>
            <w:shd w:val="clear" w:color="auto" w:fill="auto"/>
            <w:tcMar>
              <w:left w:w="108" w:type="dxa"/>
            </w:tcMar>
          </w:tcPr>
          <w:p w14:paraId="08DB2235" w14:textId="77777777" w:rsidR="003F6293" w:rsidRPr="00C9482C" w:rsidRDefault="003F6293" w:rsidP="003F6293">
            <w:pPr>
              <w:jc w:val="center"/>
              <w:rPr>
                <w:rFonts w:ascii="Arial" w:hAnsi="Arial" w:cs="Arial"/>
                <w:b/>
                <w:lang w:val="en-GB"/>
              </w:rPr>
            </w:pPr>
            <w:r w:rsidRPr="00C9482C">
              <w:rPr>
                <w:rFonts w:ascii="Arial" w:hAnsi="Arial" w:cs="Arial"/>
                <w:b/>
                <w:lang w:val="en-GB"/>
              </w:rPr>
              <w:t>2016</w:t>
            </w:r>
          </w:p>
        </w:tc>
        <w:tc>
          <w:tcPr>
            <w:tcW w:w="1132" w:type="dxa"/>
            <w:shd w:val="clear" w:color="auto" w:fill="auto"/>
            <w:tcMar>
              <w:left w:w="108" w:type="dxa"/>
            </w:tcMar>
          </w:tcPr>
          <w:p w14:paraId="59BC07DF" w14:textId="77777777" w:rsidR="003F6293" w:rsidRPr="00C9482C" w:rsidRDefault="003F6293" w:rsidP="003F6293">
            <w:pPr>
              <w:jc w:val="center"/>
              <w:rPr>
                <w:rFonts w:ascii="Arial" w:hAnsi="Arial" w:cs="Arial"/>
                <w:b/>
                <w:lang w:val="en-GB"/>
              </w:rPr>
            </w:pPr>
            <w:r w:rsidRPr="00C9482C">
              <w:rPr>
                <w:rFonts w:ascii="Arial" w:hAnsi="Arial" w:cs="Arial"/>
                <w:b/>
                <w:lang w:val="en-GB"/>
              </w:rPr>
              <w:t>2015</w:t>
            </w:r>
          </w:p>
        </w:tc>
        <w:tc>
          <w:tcPr>
            <w:tcW w:w="1133" w:type="dxa"/>
            <w:shd w:val="clear" w:color="auto" w:fill="auto"/>
            <w:tcMar>
              <w:left w:w="108" w:type="dxa"/>
            </w:tcMar>
          </w:tcPr>
          <w:p w14:paraId="1D86CDD5" w14:textId="77777777" w:rsidR="003F6293" w:rsidRPr="00C9482C" w:rsidRDefault="003F6293" w:rsidP="003F6293">
            <w:pPr>
              <w:jc w:val="center"/>
              <w:rPr>
                <w:rFonts w:ascii="Arial" w:hAnsi="Arial" w:cs="Arial"/>
                <w:b/>
                <w:lang w:val="en-GB"/>
              </w:rPr>
            </w:pPr>
            <w:r w:rsidRPr="00C9482C">
              <w:rPr>
                <w:rFonts w:ascii="Arial" w:hAnsi="Arial" w:cs="Arial"/>
                <w:b/>
                <w:lang w:val="en-GB"/>
              </w:rPr>
              <w:t>2014</w:t>
            </w:r>
          </w:p>
        </w:tc>
      </w:tr>
      <w:tr w:rsidR="003F6293" w:rsidRPr="00702082" w14:paraId="56312FFC" w14:textId="77777777" w:rsidTr="002818C8">
        <w:trPr>
          <w:jc w:val="center"/>
        </w:trPr>
        <w:tc>
          <w:tcPr>
            <w:tcW w:w="450" w:type="dxa"/>
            <w:shd w:val="clear" w:color="auto" w:fill="auto"/>
            <w:tcMar>
              <w:left w:w="108" w:type="dxa"/>
            </w:tcMar>
          </w:tcPr>
          <w:p w14:paraId="405A85FE" w14:textId="77777777" w:rsidR="003F6293" w:rsidRPr="00702082" w:rsidRDefault="003F6293" w:rsidP="003F6293">
            <w:pPr>
              <w:jc w:val="both"/>
              <w:rPr>
                <w:rFonts w:ascii="Arial" w:hAnsi="Arial" w:cs="Arial"/>
                <w:lang w:val="en-GB"/>
              </w:rPr>
            </w:pPr>
            <w:r w:rsidRPr="00702082">
              <w:rPr>
                <w:rFonts w:ascii="Arial" w:hAnsi="Arial" w:cs="Arial"/>
                <w:lang w:val="en-GB"/>
              </w:rPr>
              <w:t>1</w:t>
            </w:r>
          </w:p>
        </w:tc>
        <w:tc>
          <w:tcPr>
            <w:tcW w:w="4230" w:type="dxa"/>
            <w:shd w:val="clear" w:color="auto" w:fill="auto"/>
            <w:tcMar>
              <w:left w:w="108" w:type="dxa"/>
            </w:tcMar>
          </w:tcPr>
          <w:p w14:paraId="6BD32562" w14:textId="77777777" w:rsidR="003F6293" w:rsidRPr="00702082" w:rsidRDefault="003F6293" w:rsidP="003F6293">
            <w:pPr>
              <w:jc w:val="both"/>
              <w:rPr>
                <w:rFonts w:ascii="Arial" w:hAnsi="Arial" w:cs="Arial"/>
                <w:lang w:val="en-GB"/>
              </w:rPr>
            </w:pPr>
            <w:r w:rsidRPr="00702082">
              <w:rPr>
                <w:rFonts w:ascii="Arial" w:hAnsi="Arial" w:cs="Arial"/>
                <w:lang w:val="en-GB"/>
              </w:rPr>
              <w:t>Staff on Red Hat Canada Payroll</w:t>
            </w:r>
          </w:p>
        </w:tc>
        <w:tc>
          <w:tcPr>
            <w:tcW w:w="1188" w:type="dxa"/>
            <w:shd w:val="clear" w:color="auto" w:fill="auto"/>
            <w:tcMar>
              <w:left w:w="108" w:type="dxa"/>
            </w:tcMar>
          </w:tcPr>
          <w:p w14:paraId="1E4DFEB7" w14:textId="77777777" w:rsidR="003F6293" w:rsidRPr="00702082" w:rsidRDefault="003F6293" w:rsidP="003F6293">
            <w:pPr>
              <w:jc w:val="right"/>
              <w:rPr>
                <w:rFonts w:ascii="Arial" w:hAnsi="Arial" w:cs="Arial"/>
                <w:lang w:val="en-GB"/>
              </w:rPr>
            </w:pPr>
            <w:r w:rsidRPr="00702082">
              <w:rPr>
                <w:rFonts w:ascii="Arial" w:hAnsi="Arial" w:cs="Arial"/>
                <w:lang w:val="en-GB"/>
              </w:rPr>
              <w:t>287</w:t>
            </w:r>
          </w:p>
        </w:tc>
        <w:tc>
          <w:tcPr>
            <w:tcW w:w="1132" w:type="dxa"/>
            <w:shd w:val="clear" w:color="auto" w:fill="auto"/>
            <w:tcMar>
              <w:left w:w="108" w:type="dxa"/>
            </w:tcMar>
          </w:tcPr>
          <w:p w14:paraId="31316B5A" w14:textId="77777777" w:rsidR="003F6293" w:rsidRPr="00702082" w:rsidRDefault="003F6293" w:rsidP="003F6293">
            <w:pPr>
              <w:jc w:val="right"/>
              <w:rPr>
                <w:rFonts w:ascii="Arial" w:hAnsi="Arial" w:cs="Arial"/>
                <w:lang w:val="en-GB"/>
              </w:rPr>
            </w:pPr>
            <w:r w:rsidRPr="00702082">
              <w:rPr>
                <w:rFonts w:ascii="Arial" w:hAnsi="Arial" w:cs="Arial"/>
                <w:lang w:val="en-GB"/>
              </w:rPr>
              <w:t>250</w:t>
            </w:r>
          </w:p>
        </w:tc>
        <w:tc>
          <w:tcPr>
            <w:tcW w:w="1132" w:type="dxa"/>
            <w:shd w:val="clear" w:color="auto" w:fill="auto"/>
            <w:tcMar>
              <w:left w:w="108" w:type="dxa"/>
            </w:tcMar>
          </w:tcPr>
          <w:p w14:paraId="4FF0305D" w14:textId="77777777" w:rsidR="003F6293" w:rsidRPr="00702082" w:rsidRDefault="003F6293" w:rsidP="003F6293">
            <w:pPr>
              <w:jc w:val="right"/>
              <w:rPr>
                <w:rFonts w:ascii="Arial" w:hAnsi="Arial" w:cs="Arial"/>
                <w:lang w:val="en-GB"/>
              </w:rPr>
            </w:pPr>
            <w:r w:rsidRPr="00702082">
              <w:rPr>
                <w:rFonts w:ascii="Arial" w:hAnsi="Arial" w:cs="Arial"/>
                <w:lang w:val="en-GB"/>
              </w:rPr>
              <w:t>210</w:t>
            </w:r>
          </w:p>
        </w:tc>
        <w:tc>
          <w:tcPr>
            <w:tcW w:w="1133" w:type="dxa"/>
            <w:shd w:val="clear" w:color="auto" w:fill="auto"/>
            <w:tcMar>
              <w:left w:w="108" w:type="dxa"/>
            </w:tcMar>
          </w:tcPr>
          <w:p w14:paraId="4C7C435D" w14:textId="77777777" w:rsidR="003F6293" w:rsidRPr="00702082" w:rsidRDefault="003F6293" w:rsidP="003F6293">
            <w:pPr>
              <w:jc w:val="right"/>
              <w:rPr>
                <w:rFonts w:ascii="Arial" w:hAnsi="Arial" w:cs="Arial"/>
                <w:lang w:val="en-GB"/>
              </w:rPr>
            </w:pPr>
            <w:r w:rsidRPr="00702082">
              <w:rPr>
                <w:rFonts w:ascii="Arial" w:hAnsi="Arial" w:cs="Arial"/>
                <w:lang w:val="en-GB"/>
              </w:rPr>
              <w:t>200</w:t>
            </w:r>
          </w:p>
        </w:tc>
      </w:tr>
      <w:tr w:rsidR="003F6293" w:rsidRPr="00702082" w14:paraId="25650AA0" w14:textId="77777777" w:rsidTr="002818C8">
        <w:trPr>
          <w:jc w:val="center"/>
        </w:trPr>
        <w:tc>
          <w:tcPr>
            <w:tcW w:w="450" w:type="dxa"/>
            <w:shd w:val="clear" w:color="auto" w:fill="auto"/>
            <w:tcMar>
              <w:left w:w="108" w:type="dxa"/>
            </w:tcMar>
          </w:tcPr>
          <w:p w14:paraId="380AB149" w14:textId="77777777" w:rsidR="003F6293" w:rsidRPr="00702082" w:rsidRDefault="003F6293" w:rsidP="003F6293">
            <w:pPr>
              <w:jc w:val="both"/>
              <w:rPr>
                <w:rFonts w:ascii="Arial" w:hAnsi="Arial" w:cs="Arial"/>
                <w:lang w:val="en-GB"/>
              </w:rPr>
            </w:pPr>
          </w:p>
        </w:tc>
        <w:tc>
          <w:tcPr>
            <w:tcW w:w="4230" w:type="dxa"/>
            <w:shd w:val="clear" w:color="auto" w:fill="auto"/>
            <w:tcMar>
              <w:left w:w="108" w:type="dxa"/>
            </w:tcMar>
          </w:tcPr>
          <w:p w14:paraId="0D401617" w14:textId="77777777" w:rsidR="003F6293" w:rsidRPr="00702082" w:rsidRDefault="003F6293" w:rsidP="003F6293">
            <w:pPr>
              <w:jc w:val="both"/>
              <w:rPr>
                <w:rFonts w:ascii="Arial" w:hAnsi="Arial" w:cs="Arial"/>
                <w:lang w:val="en-GB"/>
              </w:rPr>
            </w:pPr>
            <w:r w:rsidRPr="00702082">
              <w:rPr>
                <w:rFonts w:ascii="Arial" w:hAnsi="Arial" w:cs="Arial"/>
                <w:lang w:val="en-GB"/>
              </w:rPr>
              <w:t>R&amp;D: Montreal</w:t>
            </w:r>
          </w:p>
          <w:p w14:paraId="6E9C184A" w14:textId="77777777" w:rsidR="003F6293" w:rsidRPr="00702082" w:rsidRDefault="003F6293" w:rsidP="003F6293">
            <w:pPr>
              <w:jc w:val="both"/>
              <w:rPr>
                <w:rFonts w:ascii="Arial" w:hAnsi="Arial" w:cs="Arial"/>
                <w:lang w:val="en-GB"/>
              </w:rPr>
            </w:pPr>
            <w:r w:rsidRPr="00702082">
              <w:rPr>
                <w:rFonts w:ascii="Arial" w:hAnsi="Arial" w:cs="Arial"/>
                <w:lang w:val="en-GB"/>
              </w:rPr>
              <w:t>R&amp;D: Toronto</w:t>
            </w:r>
          </w:p>
        </w:tc>
        <w:tc>
          <w:tcPr>
            <w:tcW w:w="1188" w:type="dxa"/>
            <w:shd w:val="clear" w:color="auto" w:fill="auto"/>
            <w:tcMar>
              <w:left w:w="108" w:type="dxa"/>
            </w:tcMar>
          </w:tcPr>
          <w:p w14:paraId="755CC7F7" w14:textId="77777777" w:rsidR="003F6293" w:rsidRPr="00702082" w:rsidRDefault="003F6293" w:rsidP="003F6293">
            <w:pPr>
              <w:jc w:val="right"/>
              <w:rPr>
                <w:rFonts w:ascii="Arial" w:hAnsi="Arial" w:cs="Arial"/>
                <w:lang w:val="en-GB"/>
              </w:rPr>
            </w:pPr>
            <w:r w:rsidRPr="00702082">
              <w:rPr>
                <w:rFonts w:ascii="Arial" w:hAnsi="Arial" w:cs="Arial"/>
                <w:lang w:val="en-GB"/>
              </w:rPr>
              <w:t>55</w:t>
            </w:r>
          </w:p>
          <w:p w14:paraId="03703CF4" w14:textId="77777777" w:rsidR="003F6293" w:rsidRPr="00702082" w:rsidRDefault="003F6293" w:rsidP="003F6293">
            <w:pPr>
              <w:jc w:val="right"/>
              <w:rPr>
                <w:rFonts w:ascii="Arial" w:hAnsi="Arial" w:cs="Arial"/>
                <w:lang w:val="en-GB"/>
              </w:rPr>
            </w:pPr>
            <w:r w:rsidRPr="00702082">
              <w:rPr>
                <w:rFonts w:ascii="Arial" w:hAnsi="Arial" w:cs="Arial"/>
                <w:lang w:val="en-GB"/>
              </w:rPr>
              <w:t>60</w:t>
            </w:r>
          </w:p>
        </w:tc>
        <w:tc>
          <w:tcPr>
            <w:tcW w:w="1132" w:type="dxa"/>
            <w:shd w:val="clear" w:color="auto" w:fill="auto"/>
            <w:tcMar>
              <w:left w:w="108" w:type="dxa"/>
            </w:tcMar>
          </w:tcPr>
          <w:p w14:paraId="03DF179D" w14:textId="77777777" w:rsidR="003F6293" w:rsidRPr="00702082" w:rsidRDefault="003F6293" w:rsidP="003F6293">
            <w:pPr>
              <w:jc w:val="right"/>
              <w:rPr>
                <w:rFonts w:ascii="Arial" w:hAnsi="Arial" w:cs="Arial"/>
                <w:lang w:val="en-GB"/>
              </w:rPr>
            </w:pPr>
            <w:r w:rsidRPr="00702082">
              <w:rPr>
                <w:rFonts w:ascii="Arial" w:hAnsi="Arial" w:cs="Arial"/>
                <w:lang w:val="en-GB"/>
              </w:rPr>
              <w:t>55</w:t>
            </w:r>
          </w:p>
          <w:p w14:paraId="209993A4" w14:textId="77777777" w:rsidR="003F6293" w:rsidRPr="00702082" w:rsidRDefault="003F6293" w:rsidP="003F6293">
            <w:pPr>
              <w:jc w:val="right"/>
              <w:rPr>
                <w:rFonts w:ascii="Arial" w:hAnsi="Arial" w:cs="Arial"/>
                <w:lang w:val="en-GB"/>
              </w:rPr>
            </w:pPr>
            <w:r w:rsidRPr="00702082">
              <w:rPr>
                <w:rFonts w:ascii="Arial" w:hAnsi="Arial" w:cs="Arial"/>
                <w:lang w:val="en-GB"/>
              </w:rPr>
              <w:t>55</w:t>
            </w:r>
          </w:p>
        </w:tc>
        <w:tc>
          <w:tcPr>
            <w:tcW w:w="1132" w:type="dxa"/>
            <w:shd w:val="clear" w:color="auto" w:fill="auto"/>
            <w:tcMar>
              <w:left w:w="108" w:type="dxa"/>
            </w:tcMar>
          </w:tcPr>
          <w:p w14:paraId="3EC1B77F" w14:textId="77777777" w:rsidR="003F6293" w:rsidRPr="00702082" w:rsidRDefault="003F6293" w:rsidP="003F6293">
            <w:pPr>
              <w:jc w:val="right"/>
              <w:rPr>
                <w:rFonts w:ascii="Arial" w:hAnsi="Arial" w:cs="Arial"/>
                <w:lang w:val="en-GB"/>
              </w:rPr>
            </w:pPr>
            <w:r w:rsidRPr="00702082">
              <w:rPr>
                <w:rFonts w:ascii="Arial" w:hAnsi="Arial" w:cs="Arial"/>
                <w:lang w:val="en-GB"/>
              </w:rPr>
              <w:t>60</w:t>
            </w:r>
          </w:p>
          <w:p w14:paraId="28A95077" w14:textId="77777777" w:rsidR="003F6293" w:rsidRPr="00702082" w:rsidRDefault="003F6293" w:rsidP="003F6293">
            <w:pPr>
              <w:jc w:val="right"/>
              <w:rPr>
                <w:rFonts w:ascii="Arial" w:hAnsi="Arial" w:cs="Arial"/>
                <w:lang w:val="en-GB"/>
              </w:rPr>
            </w:pPr>
            <w:r w:rsidRPr="00702082">
              <w:rPr>
                <w:rFonts w:ascii="Arial" w:hAnsi="Arial" w:cs="Arial"/>
                <w:lang w:val="en-GB"/>
              </w:rPr>
              <w:t>50</w:t>
            </w:r>
          </w:p>
        </w:tc>
        <w:tc>
          <w:tcPr>
            <w:tcW w:w="1133" w:type="dxa"/>
            <w:shd w:val="clear" w:color="auto" w:fill="auto"/>
            <w:tcMar>
              <w:left w:w="108" w:type="dxa"/>
            </w:tcMar>
          </w:tcPr>
          <w:p w14:paraId="0280AA18" w14:textId="77777777" w:rsidR="003F6293" w:rsidRPr="00702082" w:rsidRDefault="003F6293" w:rsidP="003F6293">
            <w:pPr>
              <w:jc w:val="right"/>
              <w:rPr>
                <w:rFonts w:ascii="Arial" w:hAnsi="Arial" w:cs="Arial"/>
                <w:lang w:val="en-GB"/>
              </w:rPr>
            </w:pPr>
            <w:r w:rsidRPr="00702082">
              <w:rPr>
                <w:rFonts w:ascii="Arial" w:hAnsi="Arial" w:cs="Arial"/>
                <w:lang w:val="en-GB"/>
              </w:rPr>
              <w:t>0</w:t>
            </w:r>
          </w:p>
          <w:p w14:paraId="1D0A0B6D" w14:textId="77777777" w:rsidR="003F6293" w:rsidRPr="00702082" w:rsidRDefault="003F6293" w:rsidP="003F6293">
            <w:pPr>
              <w:jc w:val="right"/>
              <w:rPr>
                <w:rFonts w:ascii="Arial" w:hAnsi="Arial" w:cs="Arial"/>
                <w:lang w:val="en-GB"/>
              </w:rPr>
            </w:pPr>
            <w:r w:rsidRPr="00702082">
              <w:rPr>
                <w:rFonts w:ascii="Arial" w:hAnsi="Arial" w:cs="Arial"/>
                <w:lang w:val="en-GB"/>
              </w:rPr>
              <w:t>50</w:t>
            </w:r>
          </w:p>
        </w:tc>
      </w:tr>
      <w:tr w:rsidR="003F6293" w:rsidRPr="00702082" w14:paraId="3F31FAA4" w14:textId="77777777" w:rsidTr="002818C8">
        <w:trPr>
          <w:jc w:val="center"/>
        </w:trPr>
        <w:tc>
          <w:tcPr>
            <w:tcW w:w="450" w:type="dxa"/>
            <w:shd w:val="clear" w:color="auto" w:fill="auto"/>
            <w:tcMar>
              <w:left w:w="108" w:type="dxa"/>
            </w:tcMar>
          </w:tcPr>
          <w:p w14:paraId="3055652E" w14:textId="77777777" w:rsidR="003F6293" w:rsidRPr="00702082" w:rsidRDefault="003F6293" w:rsidP="003F6293">
            <w:pPr>
              <w:jc w:val="both"/>
              <w:rPr>
                <w:rFonts w:ascii="Arial" w:hAnsi="Arial" w:cs="Arial"/>
                <w:lang w:val="en-GB"/>
              </w:rPr>
            </w:pPr>
            <w:r w:rsidRPr="00702082">
              <w:rPr>
                <w:rFonts w:ascii="Arial" w:hAnsi="Arial" w:cs="Arial"/>
                <w:lang w:val="en-GB"/>
              </w:rPr>
              <w:t>1A</w:t>
            </w:r>
          </w:p>
        </w:tc>
        <w:tc>
          <w:tcPr>
            <w:tcW w:w="4230" w:type="dxa"/>
            <w:shd w:val="clear" w:color="auto" w:fill="auto"/>
            <w:tcMar>
              <w:left w:w="108" w:type="dxa"/>
            </w:tcMar>
          </w:tcPr>
          <w:p w14:paraId="5717735F" w14:textId="77777777" w:rsidR="003F6293" w:rsidRPr="00702082" w:rsidRDefault="003F6293" w:rsidP="003F6293">
            <w:pPr>
              <w:jc w:val="both"/>
              <w:rPr>
                <w:rFonts w:ascii="Arial" w:hAnsi="Arial" w:cs="Arial"/>
                <w:lang w:val="en-GB"/>
              </w:rPr>
            </w:pPr>
            <w:r w:rsidRPr="00702082">
              <w:rPr>
                <w:rFonts w:ascii="Arial" w:hAnsi="Arial" w:cs="Arial"/>
                <w:lang w:val="en-GB"/>
              </w:rPr>
              <w:t>Total R&amp;D</w:t>
            </w:r>
          </w:p>
        </w:tc>
        <w:tc>
          <w:tcPr>
            <w:tcW w:w="1188" w:type="dxa"/>
            <w:shd w:val="clear" w:color="auto" w:fill="auto"/>
            <w:tcMar>
              <w:left w:w="108" w:type="dxa"/>
            </w:tcMar>
          </w:tcPr>
          <w:p w14:paraId="39B1DF4D" w14:textId="77777777" w:rsidR="003F6293" w:rsidRPr="00702082" w:rsidRDefault="003F6293" w:rsidP="003F6293">
            <w:pPr>
              <w:jc w:val="right"/>
              <w:rPr>
                <w:rFonts w:ascii="Arial" w:hAnsi="Arial" w:cs="Arial"/>
                <w:lang w:val="en-GB"/>
              </w:rPr>
            </w:pPr>
            <w:r w:rsidRPr="00702082">
              <w:rPr>
                <w:rFonts w:ascii="Arial" w:hAnsi="Arial" w:cs="Arial"/>
                <w:lang w:val="en-GB"/>
              </w:rPr>
              <w:t>115</w:t>
            </w:r>
          </w:p>
        </w:tc>
        <w:tc>
          <w:tcPr>
            <w:tcW w:w="1132" w:type="dxa"/>
            <w:shd w:val="clear" w:color="auto" w:fill="auto"/>
            <w:tcMar>
              <w:left w:w="108" w:type="dxa"/>
            </w:tcMar>
          </w:tcPr>
          <w:p w14:paraId="77D05400" w14:textId="77777777" w:rsidR="003F6293" w:rsidRPr="00702082" w:rsidRDefault="003F6293" w:rsidP="003F6293">
            <w:pPr>
              <w:jc w:val="right"/>
              <w:rPr>
                <w:rFonts w:ascii="Arial" w:hAnsi="Arial" w:cs="Arial"/>
                <w:lang w:val="en-GB"/>
              </w:rPr>
            </w:pPr>
            <w:r w:rsidRPr="00702082">
              <w:rPr>
                <w:rFonts w:ascii="Arial" w:hAnsi="Arial" w:cs="Arial"/>
                <w:lang w:val="en-GB"/>
              </w:rPr>
              <w:t>110</w:t>
            </w:r>
          </w:p>
        </w:tc>
        <w:tc>
          <w:tcPr>
            <w:tcW w:w="1132" w:type="dxa"/>
            <w:shd w:val="clear" w:color="auto" w:fill="auto"/>
            <w:tcMar>
              <w:left w:w="108" w:type="dxa"/>
            </w:tcMar>
          </w:tcPr>
          <w:p w14:paraId="0E338BB3" w14:textId="77777777" w:rsidR="003F6293" w:rsidRPr="00702082" w:rsidRDefault="003F6293" w:rsidP="003F6293">
            <w:pPr>
              <w:jc w:val="right"/>
              <w:rPr>
                <w:rFonts w:ascii="Arial" w:hAnsi="Arial" w:cs="Arial"/>
                <w:lang w:val="en-GB"/>
              </w:rPr>
            </w:pPr>
            <w:r w:rsidRPr="00702082">
              <w:rPr>
                <w:rFonts w:ascii="Arial" w:hAnsi="Arial" w:cs="Arial"/>
                <w:lang w:val="en-GB"/>
              </w:rPr>
              <w:t>110</w:t>
            </w:r>
          </w:p>
        </w:tc>
        <w:tc>
          <w:tcPr>
            <w:tcW w:w="1133" w:type="dxa"/>
            <w:shd w:val="clear" w:color="auto" w:fill="auto"/>
            <w:tcMar>
              <w:left w:w="108" w:type="dxa"/>
            </w:tcMar>
          </w:tcPr>
          <w:p w14:paraId="6A8303B4" w14:textId="77777777" w:rsidR="003F6293" w:rsidRPr="00702082" w:rsidRDefault="003F6293" w:rsidP="003F6293">
            <w:pPr>
              <w:jc w:val="right"/>
              <w:rPr>
                <w:rFonts w:ascii="Arial" w:hAnsi="Arial" w:cs="Arial"/>
                <w:lang w:val="en-GB"/>
              </w:rPr>
            </w:pPr>
            <w:r w:rsidRPr="00702082">
              <w:rPr>
                <w:rFonts w:ascii="Arial" w:hAnsi="Arial" w:cs="Arial"/>
                <w:lang w:val="en-GB"/>
              </w:rPr>
              <w:t>50</w:t>
            </w:r>
          </w:p>
        </w:tc>
      </w:tr>
      <w:tr w:rsidR="003F6293" w:rsidRPr="00702082" w14:paraId="2A5479FB" w14:textId="77777777" w:rsidTr="002818C8">
        <w:trPr>
          <w:jc w:val="center"/>
        </w:trPr>
        <w:tc>
          <w:tcPr>
            <w:tcW w:w="450" w:type="dxa"/>
            <w:shd w:val="clear" w:color="auto" w:fill="auto"/>
            <w:tcMar>
              <w:left w:w="108" w:type="dxa"/>
            </w:tcMar>
          </w:tcPr>
          <w:p w14:paraId="7B692EC8" w14:textId="77777777" w:rsidR="003F6293" w:rsidRPr="00702082" w:rsidRDefault="003F6293" w:rsidP="003F6293">
            <w:pPr>
              <w:jc w:val="both"/>
              <w:rPr>
                <w:rFonts w:ascii="Arial" w:hAnsi="Arial" w:cs="Arial"/>
                <w:lang w:val="en-GB"/>
              </w:rPr>
            </w:pPr>
          </w:p>
        </w:tc>
        <w:tc>
          <w:tcPr>
            <w:tcW w:w="4230" w:type="dxa"/>
            <w:shd w:val="clear" w:color="auto" w:fill="auto"/>
            <w:tcMar>
              <w:left w:w="108" w:type="dxa"/>
            </w:tcMar>
          </w:tcPr>
          <w:p w14:paraId="0D349A42" w14:textId="77777777" w:rsidR="003F6293" w:rsidRPr="00702082" w:rsidRDefault="003F6293" w:rsidP="003F6293">
            <w:pPr>
              <w:jc w:val="both"/>
              <w:rPr>
                <w:rFonts w:ascii="Arial" w:hAnsi="Arial" w:cs="Arial"/>
                <w:lang w:val="en-GB"/>
              </w:rPr>
            </w:pPr>
            <w:r w:rsidRPr="00702082">
              <w:rPr>
                <w:rFonts w:ascii="Arial" w:hAnsi="Arial" w:cs="Arial"/>
                <w:lang w:val="en-GB"/>
              </w:rPr>
              <w:t>Inside Sales Reps</w:t>
            </w:r>
          </w:p>
          <w:p w14:paraId="360E8329" w14:textId="77777777" w:rsidR="003F6293" w:rsidRPr="00702082" w:rsidRDefault="003F6293" w:rsidP="003F6293">
            <w:pPr>
              <w:jc w:val="both"/>
              <w:rPr>
                <w:rFonts w:ascii="Arial" w:hAnsi="Arial" w:cs="Arial"/>
                <w:lang w:val="en-GB"/>
              </w:rPr>
            </w:pPr>
            <w:r w:rsidRPr="00702082">
              <w:rPr>
                <w:rFonts w:ascii="Arial" w:hAnsi="Arial" w:cs="Arial"/>
                <w:lang w:val="en-GB"/>
              </w:rPr>
              <w:t>Mid-Market Accounts Managers</w:t>
            </w:r>
          </w:p>
          <w:p w14:paraId="65CA83AD" w14:textId="77777777" w:rsidR="003F6293" w:rsidRPr="00702082" w:rsidRDefault="003F6293" w:rsidP="003F6293">
            <w:pPr>
              <w:jc w:val="both"/>
              <w:rPr>
                <w:rFonts w:ascii="Arial" w:hAnsi="Arial" w:cs="Arial"/>
                <w:lang w:val="en-GB"/>
              </w:rPr>
            </w:pPr>
            <w:r w:rsidRPr="00702082">
              <w:rPr>
                <w:rFonts w:ascii="Arial" w:hAnsi="Arial" w:cs="Arial"/>
                <w:lang w:val="en-GB"/>
              </w:rPr>
              <w:t>Mid-Market Renewal Accounts Managers</w:t>
            </w:r>
          </w:p>
          <w:p w14:paraId="252A5E23" w14:textId="77777777" w:rsidR="003F6293" w:rsidRPr="00702082" w:rsidRDefault="003F6293" w:rsidP="003F6293">
            <w:pPr>
              <w:jc w:val="both"/>
              <w:rPr>
                <w:rFonts w:ascii="Arial" w:hAnsi="Arial" w:cs="Arial"/>
                <w:lang w:val="en-GB"/>
              </w:rPr>
            </w:pPr>
            <w:r w:rsidRPr="00702082">
              <w:rPr>
                <w:rFonts w:ascii="Arial" w:hAnsi="Arial" w:cs="Arial"/>
                <w:lang w:val="en-GB"/>
              </w:rPr>
              <w:t>Enterprise Account Managers</w:t>
            </w:r>
          </w:p>
          <w:p w14:paraId="656A39D5" w14:textId="77777777" w:rsidR="003F6293" w:rsidRPr="00702082" w:rsidRDefault="003F6293" w:rsidP="003F6293">
            <w:pPr>
              <w:jc w:val="both"/>
              <w:rPr>
                <w:rFonts w:ascii="Arial" w:hAnsi="Arial" w:cs="Arial"/>
                <w:lang w:val="en-GB"/>
              </w:rPr>
            </w:pPr>
            <w:r w:rsidRPr="00702082">
              <w:rPr>
                <w:rFonts w:ascii="Arial" w:hAnsi="Arial" w:cs="Arial"/>
                <w:lang w:val="en-GB"/>
              </w:rPr>
              <w:t xml:space="preserve">Professional Services </w:t>
            </w:r>
          </w:p>
          <w:p w14:paraId="37398768" w14:textId="77777777" w:rsidR="003F6293" w:rsidRPr="00702082" w:rsidRDefault="003F6293" w:rsidP="003F6293">
            <w:pPr>
              <w:jc w:val="both"/>
              <w:rPr>
                <w:rFonts w:ascii="Arial" w:hAnsi="Arial" w:cs="Arial"/>
                <w:lang w:val="en-GB"/>
              </w:rPr>
            </w:pPr>
            <w:r w:rsidRPr="00702082">
              <w:rPr>
                <w:rFonts w:ascii="Arial" w:hAnsi="Arial" w:cs="Arial"/>
                <w:lang w:val="en-GB"/>
              </w:rPr>
              <w:t>Strategic Account Managers</w:t>
            </w:r>
          </w:p>
          <w:p w14:paraId="350C7141" w14:textId="77777777" w:rsidR="003F6293" w:rsidRPr="00702082" w:rsidRDefault="003F6293" w:rsidP="003F6293">
            <w:pPr>
              <w:jc w:val="both"/>
              <w:rPr>
                <w:rFonts w:ascii="Arial" w:hAnsi="Arial" w:cs="Arial"/>
                <w:lang w:val="en-GB"/>
              </w:rPr>
            </w:pPr>
            <w:r w:rsidRPr="00702082">
              <w:rPr>
                <w:rFonts w:ascii="Arial" w:hAnsi="Arial" w:cs="Arial"/>
                <w:lang w:val="en-GB"/>
              </w:rPr>
              <w:t xml:space="preserve">Marketing Staff </w:t>
            </w:r>
          </w:p>
          <w:p w14:paraId="3961A79A" w14:textId="77777777" w:rsidR="003F6293" w:rsidRPr="00702082" w:rsidRDefault="003F6293" w:rsidP="003F6293">
            <w:pPr>
              <w:jc w:val="both"/>
              <w:rPr>
                <w:rFonts w:ascii="Arial" w:hAnsi="Arial" w:cs="Arial"/>
                <w:lang w:val="en-GB"/>
              </w:rPr>
            </w:pPr>
            <w:r w:rsidRPr="00702082">
              <w:rPr>
                <w:rFonts w:ascii="Arial" w:hAnsi="Arial" w:cs="Arial"/>
                <w:lang w:val="en-GB"/>
              </w:rPr>
              <w:t xml:space="preserve">Channel / Alliance </w:t>
            </w:r>
          </w:p>
          <w:p w14:paraId="72678261" w14:textId="77777777" w:rsidR="003F6293" w:rsidRPr="00702082" w:rsidRDefault="003F6293" w:rsidP="003F6293">
            <w:pPr>
              <w:jc w:val="both"/>
              <w:rPr>
                <w:rFonts w:ascii="Arial" w:hAnsi="Arial" w:cs="Arial"/>
                <w:lang w:val="en-GB"/>
              </w:rPr>
            </w:pPr>
            <w:r w:rsidRPr="00702082">
              <w:rPr>
                <w:rFonts w:ascii="Arial" w:hAnsi="Arial" w:cs="Arial"/>
                <w:lang w:val="en-GB"/>
              </w:rPr>
              <w:t>Management</w:t>
            </w:r>
          </w:p>
        </w:tc>
        <w:tc>
          <w:tcPr>
            <w:tcW w:w="1188" w:type="dxa"/>
            <w:shd w:val="clear" w:color="auto" w:fill="auto"/>
            <w:tcMar>
              <w:left w:w="108" w:type="dxa"/>
            </w:tcMar>
          </w:tcPr>
          <w:p w14:paraId="0801AF5D" w14:textId="77777777" w:rsidR="003F6293" w:rsidRPr="00702082" w:rsidRDefault="003F6293" w:rsidP="003F6293">
            <w:pPr>
              <w:jc w:val="right"/>
              <w:rPr>
                <w:rFonts w:ascii="Arial" w:hAnsi="Arial" w:cs="Arial"/>
                <w:lang w:val="en-GB"/>
              </w:rPr>
            </w:pPr>
            <w:r w:rsidRPr="00702082">
              <w:rPr>
                <w:rFonts w:ascii="Arial" w:hAnsi="Arial" w:cs="Arial"/>
                <w:lang w:val="en-GB"/>
              </w:rPr>
              <w:t>7</w:t>
            </w:r>
          </w:p>
          <w:p w14:paraId="43B13A75" w14:textId="77777777" w:rsidR="003F6293" w:rsidRPr="00702082" w:rsidRDefault="003F6293" w:rsidP="003F6293">
            <w:pPr>
              <w:jc w:val="right"/>
              <w:rPr>
                <w:rFonts w:ascii="Arial" w:hAnsi="Arial" w:cs="Arial"/>
                <w:lang w:val="en-GB"/>
              </w:rPr>
            </w:pPr>
            <w:r w:rsidRPr="00702082">
              <w:rPr>
                <w:rFonts w:ascii="Arial" w:hAnsi="Arial" w:cs="Arial"/>
                <w:lang w:val="en-GB"/>
              </w:rPr>
              <w:t>3</w:t>
            </w:r>
          </w:p>
          <w:p w14:paraId="011C72C6" w14:textId="77777777" w:rsidR="003F6293" w:rsidRPr="00702082" w:rsidRDefault="003F6293" w:rsidP="003F6293">
            <w:pPr>
              <w:jc w:val="right"/>
              <w:rPr>
                <w:rFonts w:ascii="Arial" w:hAnsi="Arial" w:cs="Arial"/>
                <w:lang w:val="en-GB"/>
              </w:rPr>
            </w:pPr>
            <w:r w:rsidRPr="00702082">
              <w:rPr>
                <w:rFonts w:ascii="Arial" w:hAnsi="Arial" w:cs="Arial"/>
                <w:lang w:val="en-GB"/>
              </w:rPr>
              <w:t>1</w:t>
            </w:r>
          </w:p>
          <w:p w14:paraId="3B6BC85B" w14:textId="77777777" w:rsidR="003F6293" w:rsidRPr="00702082" w:rsidRDefault="003F6293" w:rsidP="003F6293">
            <w:pPr>
              <w:jc w:val="right"/>
              <w:rPr>
                <w:rFonts w:ascii="Arial" w:hAnsi="Arial" w:cs="Arial"/>
                <w:lang w:val="en-GB"/>
              </w:rPr>
            </w:pPr>
            <w:r w:rsidRPr="00702082">
              <w:rPr>
                <w:rFonts w:ascii="Arial" w:hAnsi="Arial" w:cs="Arial"/>
                <w:lang w:val="en-GB"/>
              </w:rPr>
              <w:t>23</w:t>
            </w:r>
          </w:p>
          <w:p w14:paraId="30F22E44" w14:textId="77777777" w:rsidR="003F6293" w:rsidRPr="00702082" w:rsidRDefault="003F6293" w:rsidP="003F6293">
            <w:pPr>
              <w:jc w:val="right"/>
              <w:rPr>
                <w:rFonts w:ascii="Arial" w:hAnsi="Arial" w:cs="Arial"/>
                <w:lang w:val="en-GB"/>
              </w:rPr>
            </w:pPr>
            <w:r w:rsidRPr="00702082">
              <w:rPr>
                <w:rFonts w:ascii="Arial" w:hAnsi="Arial" w:cs="Arial"/>
                <w:lang w:val="en-GB"/>
              </w:rPr>
              <w:t>15</w:t>
            </w:r>
          </w:p>
          <w:p w14:paraId="55E5B886" w14:textId="77777777" w:rsidR="003F6293" w:rsidRPr="00702082" w:rsidRDefault="003F6293" w:rsidP="003F6293">
            <w:pPr>
              <w:jc w:val="right"/>
              <w:rPr>
                <w:rFonts w:ascii="Arial" w:hAnsi="Arial" w:cs="Arial"/>
                <w:lang w:val="en-GB"/>
              </w:rPr>
            </w:pPr>
            <w:r w:rsidRPr="00702082">
              <w:rPr>
                <w:rFonts w:ascii="Arial" w:hAnsi="Arial" w:cs="Arial"/>
                <w:lang w:val="en-GB"/>
              </w:rPr>
              <w:t>4</w:t>
            </w:r>
          </w:p>
          <w:p w14:paraId="68E4D401" w14:textId="77777777" w:rsidR="003F6293" w:rsidRPr="00702082" w:rsidRDefault="003F6293" w:rsidP="003F6293">
            <w:pPr>
              <w:jc w:val="right"/>
              <w:rPr>
                <w:rFonts w:ascii="Arial" w:hAnsi="Arial" w:cs="Arial"/>
                <w:lang w:val="en-GB"/>
              </w:rPr>
            </w:pPr>
            <w:r w:rsidRPr="00702082">
              <w:rPr>
                <w:rFonts w:ascii="Arial" w:hAnsi="Arial" w:cs="Arial"/>
                <w:lang w:val="en-GB"/>
              </w:rPr>
              <w:t>3</w:t>
            </w:r>
          </w:p>
          <w:p w14:paraId="2DA616B6" w14:textId="77777777" w:rsidR="003F6293" w:rsidRPr="00702082" w:rsidRDefault="003F6293" w:rsidP="003F6293">
            <w:pPr>
              <w:jc w:val="right"/>
              <w:rPr>
                <w:rFonts w:ascii="Arial" w:hAnsi="Arial" w:cs="Arial"/>
                <w:lang w:val="en-GB"/>
              </w:rPr>
            </w:pPr>
            <w:r w:rsidRPr="00702082">
              <w:rPr>
                <w:rFonts w:ascii="Arial" w:hAnsi="Arial" w:cs="Arial"/>
                <w:lang w:val="en-GB"/>
              </w:rPr>
              <w:t>3</w:t>
            </w:r>
          </w:p>
          <w:p w14:paraId="57C2109E" w14:textId="77777777" w:rsidR="003F6293" w:rsidRPr="00702082" w:rsidRDefault="003F6293" w:rsidP="003F6293">
            <w:pPr>
              <w:jc w:val="right"/>
              <w:rPr>
                <w:rFonts w:ascii="Arial" w:hAnsi="Arial" w:cs="Arial"/>
                <w:lang w:val="en-GB"/>
              </w:rPr>
            </w:pPr>
            <w:r w:rsidRPr="00702082">
              <w:rPr>
                <w:rFonts w:ascii="Arial" w:hAnsi="Arial" w:cs="Arial"/>
                <w:lang w:val="en-GB"/>
              </w:rPr>
              <w:t>9</w:t>
            </w:r>
          </w:p>
        </w:tc>
        <w:tc>
          <w:tcPr>
            <w:tcW w:w="1132" w:type="dxa"/>
            <w:shd w:val="clear" w:color="auto" w:fill="auto"/>
            <w:tcMar>
              <w:left w:w="108" w:type="dxa"/>
            </w:tcMar>
          </w:tcPr>
          <w:p w14:paraId="4B0468B2" w14:textId="77777777" w:rsidR="003F6293" w:rsidRPr="00702082" w:rsidRDefault="003F6293" w:rsidP="003F6293">
            <w:pPr>
              <w:jc w:val="right"/>
              <w:rPr>
                <w:rFonts w:ascii="Arial" w:hAnsi="Arial" w:cs="Arial"/>
                <w:lang w:val="en-GB"/>
              </w:rPr>
            </w:pPr>
            <w:r w:rsidRPr="00702082">
              <w:rPr>
                <w:rFonts w:ascii="Arial" w:hAnsi="Arial" w:cs="Arial"/>
                <w:lang w:val="en-GB"/>
              </w:rPr>
              <w:t>6</w:t>
            </w:r>
          </w:p>
          <w:p w14:paraId="033152B4" w14:textId="77777777" w:rsidR="003F6293" w:rsidRPr="00702082" w:rsidRDefault="003F6293" w:rsidP="003F6293">
            <w:pPr>
              <w:jc w:val="right"/>
              <w:rPr>
                <w:rFonts w:ascii="Arial" w:hAnsi="Arial" w:cs="Arial"/>
                <w:lang w:val="en-GB"/>
              </w:rPr>
            </w:pPr>
            <w:r w:rsidRPr="00702082">
              <w:rPr>
                <w:rFonts w:ascii="Arial" w:hAnsi="Arial" w:cs="Arial"/>
                <w:lang w:val="en-GB"/>
              </w:rPr>
              <w:t>2</w:t>
            </w:r>
          </w:p>
          <w:p w14:paraId="163E754C" w14:textId="77777777" w:rsidR="003F6293" w:rsidRPr="00702082" w:rsidRDefault="003F6293" w:rsidP="003F6293">
            <w:pPr>
              <w:jc w:val="right"/>
              <w:rPr>
                <w:rFonts w:ascii="Arial" w:hAnsi="Arial" w:cs="Arial"/>
                <w:lang w:val="en-GB"/>
              </w:rPr>
            </w:pPr>
            <w:r w:rsidRPr="00702082">
              <w:rPr>
                <w:rFonts w:ascii="Arial" w:hAnsi="Arial" w:cs="Arial"/>
                <w:lang w:val="en-GB"/>
              </w:rPr>
              <w:t>1</w:t>
            </w:r>
          </w:p>
          <w:p w14:paraId="75269709" w14:textId="77777777" w:rsidR="003F6293" w:rsidRPr="00702082" w:rsidRDefault="003F6293" w:rsidP="003F6293">
            <w:pPr>
              <w:jc w:val="right"/>
              <w:rPr>
                <w:rFonts w:ascii="Arial" w:hAnsi="Arial" w:cs="Arial"/>
                <w:lang w:val="en-GB"/>
              </w:rPr>
            </w:pPr>
            <w:r w:rsidRPr="00702082">
              <w:rPr>
                <w:rFonts w:ascii="Arial" w:hAnsi="Arial" w:cs="Arial"/>
                <w:lang w:val="en-GB"/>
              </w:rPr>
              <w:t>19</w:t>
            </w:r>
          </w:p>
          <w:p w14:paraId="647D2E7A" w14:textId="77777777" w:rsidR="003F6293" w:rsidRPr="00702082" w:rsidRDefault="003F6293" w:rsidP="003F6293">
            <w:pPr>
              <w:jc w:val="right"/>
              <w:rPr>
                <w:rFonts w:ascii="Arial" w:hAnsi="Arial" w:cs="Arial"/>
                <w:lang w:val="en-GB"/>
              </w:rPr>
            </w:pPr>
            <w:r w:rsidRPr="00702082">
              <w:rPr>
                <w:rFonts w:ascii="Arial" w:hAnsi="Arial" w:cs="Arial"/>
                <w:lang w:val="en-GB"/>
              </w:rPr>
              <w:t>12</w:t>
            </w:r>
          </w:p>
          <w:p w14:paraId="316CE20D" w14:textId="77777777" w:rsidR="003F6293" w:rsidRPr="00702082" w:rsidRDefault="003F6293" w:rsidP="003F6293">
            <w:pPr>
              <w:jc w:val="right"/>
              <w:rPr>
                <w:rFonts w:ascii="Arial" w:hAnsi="Arial" w:cs="Arial"/>
                <w:lang w:val="en-GB"/>
              </w:rPr>
            </w:pPr>
            <w:r w:rsidRPr="00702082">
              <w:rPr>
                <w:rFonts w:ascii="Arial" w:hAnsi="Arial" w:cs="Arial"/>
                <w:lang w:val="en-GB"/>
              </w:rPr>
              <w:t>3</w:t>
            </w:r>
          </w:p>
          <w:p w14:paraId="3928DD7F" w14:textId="77777777" w:rsidR="003F6293" w:rsidRPr="00702082" w:rsidRDefault="003F6293" w:rsidP="003F6293">
            <w:pPr>
              <w:jc w:val="right"/>
              <w:rPr>
                <w:rFonts w:ascii="Arial" w:hAnsi="Arial" w:cs="Arial"/>
                <w:lang w:val="en-GB"/>
              </w:rPr>
            </w:pPr>
            <w:r w:rsidRPr="00702082">
              <w:rPr>
                <w:rFonts w:ascii="Arial" w:hAnsi="Arial" w:cs="Arial"/>
                <w:lang w:val="en-GB"/>
              </w:rPr>
              <w:t>2</w:t>
            </w:r>
          </w:p>
          <w:p w14:paraId="6FC623A1" w14:textId="77777777" w:rsidR="003F6293" w:rsidRPr="00702082" w:rsidRDefault="003F6293" w:rsidP="003F6293">
            <w:pPr>
              <w:jc w:val="right"/>
              <w:rPr>
                <w:rFonts w:ascii="Arial" w:hAnsi="Arial" w:cs="Arial"/>
                <w:lang w:val="en-GB"/>
              </w:rPr>
            </w:pPr>
            <w:r w:rsidRPr="00702082">
              <w:rPr>
                <w:rFonts w:ascii="Arial" w:hAnsi="Arial" w:cs="Arial"/>
                <w:lang w:val="en-GB"/>
              </w:rPr>
              <w:t>3</w:t>
            </w:r>
          </w:p>
          <w:p w14:paraId="1F51D72B" w14:textId="77777777" w:rsidR="003F6293" w:rsidRPr="00702082" w:rsidRDefault="003F6293" w:rsidP="003F6293">
            <w:pPr>
              <w:jc w:val="right"/>
              <w:rPr>
                <w:rFonts w:ascii="Arial" w:hAnsi="Arial" w:cs="Arial"/>
                <w:lang w:val="en-GB"/>
              </w:rPr>
            </w:pPr>
            <w:r w:rsidRPr="00702082">
              <w:rPr>
                <w:rFonts w:ascii="Arial" w:hAnsi="Arial" w:cs="Arial"/>
                <w:lang w:val="en-GB"/>
              </w:rPr>
              <w:t>6</w:t>
            </w:r>
          </w:p>
        </w:tc>
        <w:tc>
          <w:tcPr>
            <w:tcW w:w="1132" w:type="dxa"/>
            <w:shd w:val="clear" w:color="auto" w:fill="auto"/>
            <w:tcMar>
              <w:left w:w="108" w:type="dxa"/>
            </w:tcMar>
          </w:tcPr>
          <w:p w14:paraId="21B853E1" w14:textId="77777777" w:rsidR="003F6293" w:rsidRPr="00702082" w:rsidRDefault="003F6293" w:rsidP="003F6293">
            <w:pPr>
              <w:jc w:val="right"/>
              <w:rPr>
                <w:rFonts w:ascii="Arial" w:hAnsi="Arial" w:cs="Arial"/>
                <w:lang w:val="en-GB"/>
              </w:rPr>
            </w:pPr>
            <w:r w:rsidRPr="00702082">
              <w:rPr>
                <w:rFonts w:ascii="Arial" w:hAnsi="Arial" w:cs="Arial"/>
                <w:lang w:val="en-GB"/>
              </w:rPr>
              <w:t>5</w:t>
            </w:r>
          </w:p>
          <w:p w14:paraId="3776AE9D" w14:textId="77777777" w:rsidR="003F6293" w:rsidRPr="00702082" w:rsidRDefault="003F6293" w:rsidP="003F6293">
            <w:pPr>
              <w:jc w:val="right"/>
              <w:rPr>
                <w:rFonts w:ascii="Arial" w:hAnsi="Arial" w:cs="Arial"/>
                <w:lang w:val="en-GB"/>
              </w:rPr>
            </w:pPr>
            <w:r w:rsidRPr="00702082">
              <w:rPr>
                <w:rFonts w:ascii="Arial" w:hAnsi="Arial" w:cs="Arial"/>
                <w:lang w:val="en-GB"/>
              </w:rPr>
              <w:t>1</w:t>
            </w:r>
          </w:p>
          <w:p w14:paraId="5F1588A3" w14:textId="77777777" w:rsidR="003F6293" w:rsidRPr="00702082" w:rsidRDefault="003F6293" w:rsidP="003F6293">
            <w:pPr>
              <w:jc w:val="right"/>
              <w:rPr>
                <w:rFonts w:ascii="Arial" w:hAnsi="Arial" w:cs="Arial"/>
                <w:lang w:val="en-GB"/>
              </w:rPr>
            </w:pPr>
            <w:r w:rsidRPr="00702082">
              <w:rPr>
                <w:rFonts w:ascii="Arial" w:hAnsi="Arial" w:cs="Arial"/>
                <w:lang w:val="en-GB"/>
              </w:rPr>
              <w:t>1</w:t>
            </w:r>
          </w:p>
          <w:p w14:paraId="5827B99E" w14:textId="77777777" w:rsidR="003F6293" w:rsidRPr="00702082" w:rsidRDefault="003F6293" w:rsidP="003F6293">
            <w:pPr>
              <w:jc w:val="right"/>
              <w:rPr>
                <w:rFonts w:ascii="Arial" w:hAnsi="Arial" w:cs="Arial"/>
                <w:lang w:val="en-GB"/>
              </w:rPr>
            </w:pPr>
            <w:r w:rsidRPr="00702082">
              <w:rPr>
                <w:rFonts w:ascii="Arial" w:hAnsi="Arial" w:cs="Arial"/>
                <w:lang w:val="en-GB"/>
              </w:rPr>
              <w:t>12</w:t>
            </w:r>
          </w:p>
          <w:p w14:paraId="0708CB87" w14:textId="77777777" w:rsidR="003F6293" w:rsidRPr="00702082" w:rsidRDefault="003F6293" w:rsidP="003F6293">
            <w:pPr>
              <w:jc w:val="right"/>
              <w:rPr>
                <w:rFonts w:ascii="Arial" w:hAnsi="Arial" w:cs="Arial"/>
                <w:lang w:val="en-GB"/>
              </w:rPr>
            </w:pPr>
            <w:r w:rsidRPr="00702082">
              <w:rPr>
                <w:rFonts w:ascii="Arial" w:hAnsi="Arial" w:cs="Arial"/>
                <w:lang w:val="en-GB"/>
              </w:rPr>
              <w:t>3</w:t>
            </w:r>
          </w:p>
          <w:p w14:paraId="7774A772" w14:textId="77777777" w:rsidR="003F6293" w:rsidRPr="00702082" w:rsidRDefault="003F6293" w:rsidP="003F6293">
            <w:pPr>
              <w:jc w:val="right"/>
              <w:rPr>
                <w:rFonts w:ascii="Arial" w:hAnsi="Arial" w:cs="Arial"/>
                <w:lang w:val="en-GB"/>
              </w:rPr>
            </w:pPr>
            <w:r w:rsidRPr="00702082">
              <w:rPr>
                <w:rFonts w:ascii="Arial" w:hAnsi="Arial" w:cs="Arial"/>
                <w:lang w:val="en-GB"/>
              </w:rPr>
              <w:t>2</w:t>
            </w:r>
          </w:p>
          <w:p w14:paraId="5148C377" w14:textId="77777777" w:rsidR="003F6293" w:rsidRPr="00702082" w:rsidRDefault="003F6293" w:rsidP="003F6293">
            <w:pPr>
              <w:jc w:val="right"/>
              <w:rPr>
                <w:rFonts w:ascii="Arial" w:hAnsi="Arial" w:cs="Arial"/>
                <w:lang w:val="en-GB"/>
              </w:rPr>
            </w:pPr>
            <w:r w:rsidRPr="00702082">
              <w:rPr>
                <w:rFonts w:ascii="Arial" w:hAnsi="Arial" w:cs="Arial"/>
                <w:lang w:val="en-GB"/>
              </w:rPr>
              <w:t>1</w:t>
            </w:r>
          </w:p>
          <w:p w14:paraId="6F7F7A3A" w14:textId="77777777" w:rsidR="003F6293" w:rsidRPr="00702082" w:rsidRDefault="003F6293" w:rsidP="003F6293">
            <w:pPr>
              <w:jc w:val="right"/>
              <w:rPr>
                <w:rFonts w:ascii="Arial" w:hAnsi="Arial" w:cs="Arial"/>
                <w:lang w:val="en-GB"/>
              </w:rPr>
            </w:pPr>
            <w:r w:rsidRPr="00702082">
              <w:rPr>
                <w:rFonts w:ascii="Arial" w:hAnsi="Arial" w:cs="Arial"/>
                <w:lang w:val="en-GB"/>
              </w:rPr>
              <w:t>2</w:t>
            </w:r>
          </w:p>
          <w:p w14:paraId="088106A6" w14:textId="77777777" w:rsidR="003F6293" w:rsidRPr="00702082" w:rsidRDefault="003F6293" w:rsidP="003F6293">
            <w:pPr>
              <w:jc w:val="right"/>
              <w:rPr>
                <w:rFonts w:ascii="Arial" w:hAnsi="Arial" w:cs="Arial"/>
                <w:lang w:val="en-GB"/>
              </w:rPr>
            </w:pPr>
            <w:r w:rsidRPr="00702082">
              <w:rPr>
                <w:rFonts w:ascii="Arial" w:hAnsi="Arial" w:cs="Arial"/>
                <w:lang w:val="en-GB"/>
              </w:rPr>
              <w:t>2</w:t>
            </w:r>
          </w:p>
        </w:tc>
        <w:tc>
          <w:tcPr>
            <w:tcW w:w="1133" w:type="dxa"/>
            <w:shd w:val="clear" w:color="auto" w:fill="auto"/>
            <w:tcMar>
              <w:left w:w="108" w:type="dxa"/>
            </w:tcMar>
          </w:tcPr>
          <w:p w14:paraId="58E8C048" w14:textId="77777777" w:rsidR="003F6293" w:rsidRPr="00702082" w:rsidRDefault="003F6293" w:rsidP="003F6293">
            <w:pPr>
              <w:jc w:val="right"/>
              <w:rPr>
                <w:rFonts w:ascii="Arial" w:hAnsi="Arial" w:cs="Arial"/>
                <w:lang w:val="en-GB"/>
              </w:rPr>
            </w:pPr>
            <w:r w:rsidRPr="00702082">
              <w:rPr>
                <w:rFonts w:ascii="Arial" w:hAnsi="Arial" w:cs="Arial"/>
                <w:lang w:val="en-GB"/>
              </w:rPr>
              <w:t>4</w:t>
            </w:r>
          </w:p>
          <w:p w14:paraId="742569E9" w14:textId="77777777" w:rsidR="003F6293" w:rsidRPr="00702082" w:rsidRDefault="003F6293" w:rsidP="003F6293">
            <w:pPr>
              <w:jc w:val="right"/>
              <w:rPr>
                <w:rFonts w:ascii="Arial" w:hAnsi="Arial" w:cs="Arial"/>
                <w:lang w:val="en-GB"/>
              </w:rPr>
            </w:pPr>
            <w:r w:rsidRPr="00702082">
              <w:rPr>
                <w:rFonts w:ascii="Arial" w:hAnsi="Arial" w:cs="Arial"/>
                <w:lang w:val="en-GB"/>
              </w:rPr>
              <w:t>1</w:t>
            </w:r>
          </w:p>
          <w:p w14:paraId="5A5D1517" w14:textId="77777777" w:rsidR="003F6293" w:rsidRPr="00702082" w:rsidRDefault="003F6293" w:rsidP="003F6293">
            <w:pPr>
              <w:jc w:val="right"/>
              <w:rPr>
                <w:rFonts w:ascii="Arial" w:hAnsi="Arial" w:cs="Arial"/>
                <w:lang w:val="en-GB"/>
              </w:rPr>
            </w:pPr>
            <w:r w:rsidRPr="00702082">
              <w:rPr>
                <w:rFonts w:ascii="Arial" w:hAnsi="Arial" w:cs="Arial"/>
                <w:lang w:val="en-GB"/>
              </w:rPr>
              <w:t>1</w:t>
            </w:r>
          </w:p>
          <w:p w14:paraId="3FFF0087" w14:textId="77777777" w:rsidR="003F6293" w:rsidRPr="00702082" w:rsidRDefault="003F6293" w:rsidP="003F6293">
            <w:pPr>
              <w:jc w:val="right"/>
              <w:rPr>
                <w:rFonts w:ascii="Arial" w:hAnsi="Arial" w:cs="Arial"/>
                <w:lang w:val="en-GB"/>
              </w:rPr>
            </w:pPr>
            <w:r w:rsidRPr="00702082">
              <w:rPr>
                <w:rFonts w:ascii="Arial" w:hAnsi="Arial" w:cs="Arial"/>
                <w:lang w:val="en-GB"/>
              </w:rPr>
              <w:t>9</w:t>
            </w:r>
          </w:p>
          <w:p w14:paraId="34C40779" w14:textId="77777777" w:rsidR="003F6293" w:rsidRPr="00702082" w:rsidRDefault="003F6293" w:rsidP="003F6293">
            <w:pPr>
              <w:jc w:val="right"/>
              <w:rPr>
                <w:rFonts w:ascii="Arial" w:hAnsi="Arial" w:cs="Arial"/>
                <w:lang w:val="en-GB"/>
              </w:rPr>
            </w:pPr>
            <w:r w:rsidRPr="00702082">
              <w:rPr>
                <w:rFonts w:ascii="Arial" w:hAnsi="Arial" w:cs="Arial"/>
                <w:lang w:val="en-GB"/>
              </w:rPr>
              <w:t>1</w:t>
            </w:r>
          </w:p>
          <w:p w14:paraId="5F5F6AEC" w14:textId="77777777" w:rsidR="003F6293" w:rsidRPr="00702082" w:rsidRDefault="003F6293" w:rsidP="003F6293">
            <w:pPr>
              <w:jc w:val="right"/>
              <w:rPr>
                <w:rFonts w:ascii="Arial" w:hAnsi="Arial" w:cs="Arial"/>
                <w:lang w:val="en-GB"/>
              </w:rPr>
            </w:pPr>
            <w:r w:rsidRPr="00702082">
              <w:rPr>
                <w:rFonts w:ascii="Arial" w:hAnsi="Arial" w:cs="Arial"/>
                <w:lang w:val="en-GB"/>
              </w:rPr>
              <w:t>1</w:t>
            </w:r>
          </w:p>
          <w:p w14:paraId="6A95C1E3" w14:textId="77777777" w:rsidR="003F6293" w:rsidRPr="00702082" w:rsidRDefault="003F6293" w:rsidP="003F6293">
            <w:pPr>
              <w:jc w:val="right"/>
              <w:rPr>
                <w:rFonts w:ascii="Arial" w:hAnsi="Arial" w:cs="Arial"/>
                <w:lang w:val="en-GB"/>
              </w:rPr>
            </w:pPr>
            <w:r w:rsidRPr="00702082">
              <w:rPr>
                <w:rFonts w:ascii="Arial" w:hAnsi="Arial" w:cs="Arial"/>
                <w:lang w:val="en-GB"/>
              </w:rPr>
              <w:t>0</w:t>
            </w:r>
          </w:p>
          <w:p w14:paraId="0E3C1FB9" w14:textId="77777777" w:rsidR="003F6293" w:rsidRPr="00702082" w:rsidRDefault="003F6293" w:rsidP="003F6293">
            <w:pPr>
              <w:jc w:val="right"/>
              <w:rPr>
                <w:rFonts w:ascii="Arial" w:hAnsi="Arial" w:cs="Arial"/>
                <w:lang w:val="en-GB"/>
              </w:rPr>
            </w:pPr>
            <w:r w:rsidRPr="00702082">
              <w:rPr>
                <w:rFonts w:ascii="Arial" w:hAnsi="Arial" w:cs="Arial"/>
                <w:lang w:val="en-GB"/>
              </w:rPr>
              <w:t>1</w:t>
            </w:r>
          </w:p>
          <w:p w14:paraId="3399B228" w14:textId="77777777" w:rsidR="003F6293" w:rsidRPr="00702082" w:rsidRDefault="003F6293" w:rsidP="003F6293">
            <w:pPr>
              <w:jc w:val="right"/>
              <w:rPr>
                <w:rFonts w:ascii="Arial" w:hAnsi="Arial" w:cs="Arial"/>
                <w:lang w:val="en-GB"/>
              </w:rPr>
            </w:pPr>
            <w:r w:rsidRPr="00702082">
              <w:rPr>
                <w:rFonts w:ascii="Arial" w:hAnsi="Arial" w:cs="Arial"/>
                <w:lang w:val="en-GB"/>
              </w:rPr>
              <w:t>1</w:t>
            </w:r>
          </w:p>
        </w:tc>
      </w:tr>
      <w:tr w:rsidR="003F6293" w:rsidRPr="00702082" w14:paraId="76BE88CF" w14:textId="77777777" w:rsidTr="002818C8">
        <w:trPr>
          <w:jc w:val="center"/>
        </w:trPr>
        <w:tc>
          <w:tcPr>
            <w:tcW w:w="450" w:type="dxa"/>
            <w:shd w:val="clear" w:color="auto" w:fill="auto"/>
            <w:tcMar>
              <w:left w:w="108" w:type="dxa"/>
            </w:tcMar>
          </w:tcPr>
          <w:p w14:paraId="05D856AC" w14:textId="77777777" w:rsidR="003F6293" w:rsidRPr="00702082" w:rsidRDefault="003F6293" w:rsidP="003F6293">
            <w:pPr>
              <w:jc w:val="both"/>
              <w:rPr>
                <w:rFonts w:ascii="Arial" w:hAnsi="Arial" w:cs="Arial"/>
                <w:lang w:val="en-GB"/>
              </w:rPr>
            </w:pPr>
            <w:r w:rsidRPr="00702082">
              <w:rPr>
                <w:rFonts w:ascii="Arial" w:hAnsi="Arial" w:cs="Arial"/>
                <w:lang w:val="en-GB"/>
              </w:rPr>
              <w:t>1B</w:t>
            </w:r>
          </w:p>
        </w:tc>
        <w:tc>
          <w:tcPr>
            <w:tcW w:w="4230" w:type="dxa"/>
            <w:shd w:val="clear" w:color="auto" w:fill="auto"/>
            <w:tcMar>
              <w:left w:w="108" w:type="dxa"/>
            </w:tcMar>
          </w:tcPr>
          <w:p w14:paraId="5781B8B5" w14:textId="77777777" w:rsidR="003F6293" w:rsidRPr="00702082" w:rsidRDefault="003F6293" w:rsidP="003F6293">
            <w:pPr>
              <w:jc w:val="both"/>
              <w:rPr>
                <w:rFonts w:ascii="Arial" w:hAnsi="Arial" w:cs="Arial"/>
                <w:lang w:val="en-GB"/>
              </w:rPr>
            </w:pPr>
            <w:r w:rsidRPr="00702082">
              <w:rPr>
                <w:rFonts w:ascii="Arial" w:hAnsi="Arial" w:cs="Arial"/>
                <w:lang w:val="en-GB"/>
              </w:rPr>
              <w:t>Total Sales &amp; Marketing</w:t>
            </w:r>
          </w:p>
        </w:tc>
        <w:tc>
          <w:tcPr>
            <w:tcW w:w="1188" w:type="dxa"/>
            <w:shd w:val="clear" w:color="auto" w:fill="auto"/>
            <w:tcMar>
              <w:left w:w="108" w:type="dxa"/>
            </w:tcMar>
          </w:tcPr>
          <w:p w14:paraId="2697E8BF" w14:textId="77777777" w:rsidR="003F6293" w:rsidRPr="00702082" w:rsidRDefault="003F6293" w:rsidP="003F6293">
            <w:pPr>
              <w:jc w:val="right"/>
              <w:rPr>
                <w:rFonts w:ascii="Arial" w:hAnsi="Arial" w:cs="Arial"/>
                <w:lang w:val="en-GB"/>
              </w:rPr>
            </w:pPr>
            <w:r w:rsidRPr="00702082">
              <w:rPr>
                <w:rFonts w:ascii="Arial" w:hAnsi="Arial" w:cs="Arial"/>
                <w:lang w:val="en-GB"/>
              </w:rPr>
              <w:t>68</w:t>
            </w:r>
          </w:p>
        </w:tc>
        <w:tc>
          <w:tcPr>
            <w:tcW w:w="1132" w:type="dxa"/>
            <w:shd w:val="clear" w:color="auto" w:fill="auto"/>
            <w:tcMar>
              <w:left w:w="108" w:type="dxa"/>
            </w:tcMar>
          </w:tcPr>
          <w:p w14:paraId="2CC8BDEE" w14:textId="77777777" w:rsidR="003F6293" w:rsidRPr="00702082" w:rsidRDefault="003F6293" w:rsidP="003F6293">
            <w:pPr>
              <w:jc w:val="right"/>
              <w:rPr>
                <w:rFonts w:ascii="Arial" w:hAnsi="Arial" w:cs="Arial"/>
                <w:lang w:val="en-GB"/>
              </w:rPr>
            </w:pPr>
            <w:r w:rsidRPr="00702082">
              <w:rPr>
                <w:rFonts w:ascii="Arial" w:hAnsi="Arial" w:cs="Arial"/>
                <w:lang w:val="en-GB"/>
              </w:rPr>
              <w:t>53</w:t>
            </w:r>
          </w:p>
        </w:tc>
        <w:tc>
          <w:tcPr>
            <w:tcW w:w="1132" w:type="dxa"/>
            <w:shd w:val="clear" w:color="auto" w:fill="auto"/>
            <w:tcMar>
              <w:left w:w="108" w:type="dxa"/>
            </w:tcMar>
          </w:tcPr>
          <w:p w14:paraId="2C2B256F" w14:textId="77777777" w:rsidR="003F6293" w:rsidRPr="00702082" w:rsidRDefault="003F6293" w:rsidP="003F6293">
            <w:pPr>
              <w:jc w:val="right"/>
              <w:rPr>
                <w:rFonts w:ascii="Arial" w:hAnsi="Arial" w:cs="Arial"/>
                <w:lang w:val="en-GB"/>
              </w:rPr>
            </w:pPr>
            <w:r w:rsidRPr="00702082">
              <w:rPr>
                <w:rFonts w:ascii="Arial" w:hAnsi="Arial" w:cs="Arial"/>
                <w:lang w:val="en-GB"/>
              </w:rPr>
              <w:t>29</w:t>
            </w:r>
          </w:p>
        </w:tc>
        <w:tc>
          <w:tcPr>
            <w:tcW w:w="1133" w:type="dxa"/>
            <w:shd w:val="clear" w:color="auto" w:fill="auto"/>
            <w:tcMar>
              <w:left w:w="108" w:type="dxa"/>
            </w:tcMar>
          </w:tcPr>
          <w:p w14:paraId="0E47E23A" w14:textId="77777777" w:rsidR="003F6293" w:rsidRPr="00702082" w:rsidRDefault="003F6293" w:rsidP="003F6293">
            <w:pPr>
              <w:jc w:val="right"/>
              <w:rPr>
                <w:rFonts w:ascii="Arial" w:hAnsi="Arial" w:cs="Arial"/>
                <w:lang w:val="en-GB"/>
              </w:rPr>
            </w:pPr>
            <w:r w:rsidRPr="00702082">
              <w:rPr>
                <w:rFonts w:ascii="Arial" w:hAnsi="Arial" w:cs="Arial"/>
                <w:lang w:val="en-GB"/>
              </w:rPr>
              <w:t>18</w:t>
            </w:r>
          </w:p>
        </w:tc>
      </w:tr>
      <w:tr w:rsidR="003F6293" w:rsidRPr="00702082" w14:paraId="715E1A4C" w14:textId="77777777" w:rsidTr="002818C8">
        <w:trPr>
          <w:jc w:val="center"/>
        </w:trPr>
        <w:tc>
          <w:tcPr>
            <w:tcW w:w="450" w:type="dxa"/>
            <w:shd w:val="clear" w:color="auto" w:fill="auto"/>
            <w:tcMar>
              <w:left w:w="108" w:type="dxa"/>
            </w:tcMar>
          </w:tcPr>
          <w:p w14:paraId="069360D1" w14:textId="77777777" w:rsidR="003F6293" w:rsidRPr="00702082" w:rsidRDefault="003F6293" w:rsidP="003F6293">
            <w:pPr>
              <w:jc w:val="both"/>
              <w:rPr>
                <w:rFonts w:ascii="Arial" w:hAnsi="Arial" w:cs="Arial"/>
                <w:lang w:val="en-GB"/>
              </w:rPr>
            </w:pPr>
            <w:r w:rsidRPr="00702082">
              <w:rPr>
                <w:rFonts w:ascii="Arial" w:hAnsi="Arial" w:cs="Arial"/>
                <w:lang w:val="en-GB"/>
              </w:rPr>
              <w:t>2</w:t>
            </w:r>
          </w:p>
        </w:tc>
        <w:tc>
          <w:tcPr>
            <w:tcW w:w="4230" w:type="dxa"/>
            <w:shd w:val="clear" w:color="auto" w:fill="auto"/>
            <w:tcMar>
              <w:left w:w="108" w:type="dxa"/>
            </w:tcMar>
          </w:tcPr>
          <w:p w14:paraId="5EF5EFE4" w14:textId="77777777" w:rsidR="003F6293" w:rsidRPr="00702082" w:rsidRDefault="003F6293" w:rsidP="003F6293">
            <w:pPr>
              <w:jc w:val="both"/>
              <w:rPr>
                <w:rFonts w:ascii="Arial" w:hAnsi="Arial" w:cs="Arial"/>
                <w:lang w:val="en-GB"/>
              </w:rPr>
            </w:pPr>
            <w:r w:rsidRPr="00702082">
              <w:rPr>
                <w:rFonts w:ascii="Arial" w:hAnsi="Arial" w:cs="Arial"/>
                <w:lang w:val="en-GB"/>
              </w:rPr>
              <w:t>Males in Sales &amp; Marketing</w:t>
            </w:r>
          </w:p>
          <w:p w14:paraId="1C00DFFD" w14:textId="77777777" w:rsidR="003F6293" w:rsidRPr="00702082" w:rsidRDefault="003F6293" w:rsidP="003F6293">
            <w:pPr>
              <w:jc w:val="both"/>
              <w:rPr>
                <w:rFonts w:ascii="Arial" w:hAnsi="Arial" w:cs="Arial"/>
                <w:lang w:val="en-GB"/>
              </w:rPr>
            </w:pPr>
            <w:r w:rsidRPr="00702082">
              <w:rPr>
                <w:rFonts w:ascii="Arial" w:hAnsi="Arial" w:cs="Arial"/>
                <w:lang w:val="en-GB"/>
              </w:rPr>
              <w:t>Females in Sales &amp; Marketing</w:t>
            </w:r>
          </w:p>
        </w:tc>
        <w:tc>
          <w:tcPr>
            <w:tcW w:w="1188" w:type="dxa"/>
            <w:shd w:val="clear" w:color="auto" w:fill="auto"/>
            <w:tcMar>
              <w:left w:w="108" w:type="dxa"/>
            </w:tcMar>
          </w:tcPr>
          <w:p w14:paraId="689D9E70" w14:textId="77777777" w:rsidR="003F6293" w:rsidRPr="00702082" w:rsidRDefault="003F6293" w:rsidP="003F6293">
            <w:pPr>
              <w:jc w:val="right"/>
              <w:rPr>
                <w:rFonts w:ascii="Arial" w:hAnsi="Arial" w:cs="Arial"/>
                <w:lang w:val="en-GB"/>
              </w:rPr>
            </w:pPr>
            <w:r w:rsidRPr="00702082">
              <w:rPr>
                <w:rFonts w:ascii="Arial" w:hAnsi="Arial" w:cs="Arial"/>
                <w:lang w:val="en-GB"/>
              </w:rPr>
              <w:t>41</w:t>
            </w:r>
          </w:p>
          <w:p w14:paraId="01D40B01" w14:textId="77777777" w:rsidR="003F6293" w:rsidRPr="00702082" w:rsidRDefault="003F6293" w:rsidP="003F6293">
            <w:pPr>
              <w:jc w:val="right"/>
              <w:rPr>
                <w:rFonts w:ascii="Arial" w:hAnsi="Arial" w:cs="Arial"/>
                <w:lang w:val="en-GB"/>
              </w:rPr>
            </w:pPr>
            <w:r w:rsidRPr="00702082">
              <w:rPr>
                <w:rFonts w:ascii="Arial" w:hAnsi="Arial" w:cs="Arial"/>
                <w:lang w:val="en-GB"/>
              </w:rPr>
              <w:t>27</w:t>
            </w:r>
          </w:p>
        </w:tc>
        <w:tc>
          <w:tcPr>
            <w:tcW w:w="1132" w:type="dxa"/>
            <w:shd w:val="clear" w:color="auto" w:fill="auto"/>
            <w:tcMar>
              <w:left w:w="108" w:type="dxa"/>
            </w:tcMar>
          </w:tcPr>
          <w:p w14:paraId="3EB6D073" w14:textId="77777777" w:rsidR="003F6293" w:rsidRPr="00702082" w:rsidRDefault="003F6293" w:rsidP="003F6293">
            <w:pPr>
              <w:jc w:val="right"/>
              <w:rPr>
                <w:rFonts w:ascii="Arial" w:hAnsi="Arial" w:cs="Arial"/>
                <w:lang w:val="en-GB"/>
              </w:rPr>
            </w:pPr>
            <w:r w:rsidRPr="00702082">
              <w:rPr>
                <w:rFonts w:ascii="Arial" w:hAnsi="Arial" w:cs="Arial"/>
                <w:lang w:val="en-GB"/>
              </w:rPr>
              <w:t>36</w:t>
            </w:r>
          </w:p>
          <w:p w14:paraId="06679045" w14:textId="77777777" w:rsidR="003F6293" w:rsidRPr="00702082" w:rsidRDefault="003F6293" w:rsidP="003F6293">
            <w:pPr>
              <w:jc w:val="right"/>
              <w:rPr>
                <w:rFonts w:ascii="Arial" w:hAnsi="Arial" w:cs="Arial"/>
                <w:lang w:val="en-GB"/>
              </w:rPr>
            </w:pPr>
            <w:r w:rsidRPr="00702082">
              <w:rPr>
                <w:rFonts w:ascii="Arial" w:hAnsi="Arial" w:cs="Arial"/>
                <w:lang w:val="en-GB"/>
              </w:rPr>
              <w:t>17</w:t>
            </w:r>
          </w:p>
        </w:tc>
        <w:tc>
          <w:tcPr>
            <w:tcW w:w="1132" w:type="dxa"/>
            <w:shd w:val="clear" w:color="auto" w:fill="auto"/>
            <w:tcMar>
              <w:left w:w="108" w:type="dxa"/>
            </w:tcMar>
          </w:tcPr>
          <w:p w14:paraId="4E164BEE" w14:textId="77777777" w:rsidR="003F6293" w:rsidRPr="00702082" w:rsidRDefault="003F6293" w:rsidP="003F6293">
            <w:pPr>
              <w:jc w:val="right"/>
              <w:rPr>
                <w:rFonts w:ascii="Arial" w:hAnsi="Arial" w:cs="Arial"/>
                <w:lang w:val="en-GB"/>
              </w:rPr>
            </w:pPr>
            <w:r w:rsidRPr="00702082">
              <w:rPr>
                <w:rFonts w:ascii="Arial" w:hAnsi="Arial" w:cs="Arial"/>
                <w:lang w:val="en-GB"/>
              </w:rPr>
              <w:t>20</w:t>
            </w:r>
          </w:p>
          <w:p w14:paraId="486BD163" w14:textId="77777777" w:rsidR="003F6293" w:rsidRPr="00702082" w:rsidRDefault="003F6293" w:rsidP="003F6293">
            <w:pPr>
              <w:jc w:val="right"/>
              <w:rPr>
                <w:rFonts w:ascii="Arial" w:hAnsi="Arial" w:cs="Arial"/>
                <w:lang w:val="en-GB"/>
              </w:rPr>
            </w:pPr>
            <w:r w:rsidRPr="00702082">
              <w:rPr>
                <w:rFonts w:ascii="Arial" w:hAnsi="Arial" w:cs="Arial"/>
                <w:lang w:val="en-GB"/>
              </w:rPr>
              <w:t>9</w:t>
            </w:r>
          </w:p>
        </w:tc>
        <w:tc>
          <w:tcPr>
            <w:tcW w:w="1133" w:type="dxa"/>
            <w:shd w:val="clear" w:color="auto" w:fill="auto"/>
            <w:tcMar>
              <w:left w:w="108" w:type="dxa"/>
            </w:tcMar>
          </w:tcPr>
          <w:p w14:paraId="6B4C9A54" w14:textId="77777777" w:rsidR="003F6293" w:rsidRPr="00702082" w:rsidRDefault="003F6293" w:rsidP="003F6293">
            <w:pPr>
              <w:jc w:val="right"/>
              <w:rPr>
                <w:rFonts w:ascii="Arial" w:hAnsi="Arial" w:cs="Arial"/>
                <w:lang w:val="en-GB"/>
              </w:rPr>
            </w:pPr>
            <w:r w:rsidRPr="00702082">
              <w:rPr>
                <w:rFonts w:ascii="Arial" w:hAnsi="Arial" w:cs="Arial"/>
                <w:lang w:val="en-GB"/>
              </w:rPr>
              <w:t>16</w:t>
            </w:r>
          </w:p>
          <w:p w14:paraId="74C980C6" w14:textId="77777777" w:rsidR="003F6293" w:rsidRPr="00702082" w:rsidRDefault="003F6293" w:rsidP="003F6293">
            <w:pPr>
              <w:jc w:val="right"/>
              <w:rPr>
                <w:rFonts w:ascii="Arial" w:hAnsi="Arial" w:cs="Arial"/>
                <w:lang w:val="en-GB"/>
              </w:rPr>
            </w:pPr>
            <w:r w:rsidRPr="00702082">
              <w:rPr>
                <w:rFonts w:ascii="Arial" w:hAnsi="Arial" w:cs="Arial"/>
                <w:lang w:val="en-GB"/>
              </w:rPr>
              <w:t>2</w:t>
            </w:r>
          </w:p>
        </w:tc>
      </w:tr>
      <w:tr w:rsidR="003F6293" w:rsidRPr="00702082" w14:paraId="62702D3A" w14:textId="77777777" w:rsidTr="002818C8">
        <w:trPr>
          <w:jc w:val="center"/>
        </w:trPr>
        <w:tc>
          <w:tcPr>
            <w:tcW w:w="450" w:type="dxa"/>
            <w:shd w:val="clear" w:color="auto" w:fill="auto"/>
            <w:tcMar>
              <w:left w:w="108" w:type="dxa"/>
            </w:tcMar>
          </w:tcPr>
          <w:p w14:paraId="4223C4E1" w14:textId="77777777" w:rsidR="003F6293" w:rsidRPr="00702082" w:rsidRDefault="003F6293" w:rsidP="003F6293">
            <w:pPr>
              <w:jc w:val="both"/>
              <w:rPr>
                <w:rFonts w:ascii="Arial" w:hAnsi="Arial" w:cs="Arial"/>
                <w:lang w:val="en-GB"/>
              </w:rPr>
            </w:pPr>
            <w:r w:rsidRPr="00702082">
              <w:rPr>
                <w:rFonts w:ascii="Arial" w:hAnsi="Arial" w:cs="Arial"/>
                <w:lang w:val="en-GB"/>
              </w:rPr>
              <w:t>3</w:t>
            </w:r>
          </w:p>
        </w:tc>
        <w:tc>
          <w:tcPr>
            <w:tcW w:w="4230" w:type="dxa"/>
            <w:shd w:val="clear" w:color="auto" w:fill="auto"/>
            <w:tcMar>
              <w:left w:w="108" w:type="dxa"/>
            </w:tcMar>
          </w:tcPr>
          <w:p w14:paraId="7144BB89" w14:textId="77777777" w:rsidR="003F6293" w:rsidRPr="00702082" w:rsidRDefault="003F6293" w:rsidP="003F6293">
            <w:pPr>
              <w:jc w:val="both"/>
              <w:rPr>
                <w:rFonts w:ascii="Arial" w:hAnsi="Arial" w:cs="Arial"/>
                <w:lang w:val="en-GB"/>
              </w:rPr>
            </w:pPr>
            <w:r w:rsidRPr="00702082">
              <w:rPr>
                <w:rFonts w:ascii="Arial" w:hAnsi="Arial" w:cs="Arial"/>
                <w:lang w:val="en-GB"/>
              </w:rPr>
              <w:t>Exits in Sales &amp; Marketing</w:t>
            </w:r>
          </w:p>
          <w:p w14:paraId="74DB61C4" w14:textId="77777777" w:rsidR="003F6293" w:rsidRPr="00702082" w:rsidRDefault="003F6293" w:rsidP="003F6293">
            <w:pPr>
              <w:jc w:val="both"/>
              <w:rPr>
                <w:rFonts w:ascii="Arial" w:hAnsi="Arial" w:cs="Arial"/>
                <w:lang w:val="en-GB"/>
              </w:rPr>
            </w:pPr>
            <w:r w:rsidRPr="00702082">
              <w:rPr>
                <w:rFonts w:ascii="Arial" w:hAnsi="Arial" w:cs="Arial"/>
                <w:lang w:val="en-GB"/>
              </w:rPr>
              <w:t>Males</w:t>
            </w:r>
          </w:p>
          <w:p w14:paraId="1F4284BB" w14:textId="77777777" w:rsidR="003F6293" w:rsidRPr="00702082" w:rsidRDefault="003F6293" w:rsidP="003F6293">
            <w:pPr>
              <w:jc w:val="both"/>
              <w:rPr>
                <w:rFonts w:ascii="Arial" w:hAnsi="Arial" w:cs="Arial"/>
                <w:lang w:val="en-GB"/>
              </w:rPr>
            </w:pPr>
            <w:r w:rsidRPr="00702082">
              <w:rPr>
                <w:rFonts w:ascii="Arial" w:hAnsi="Arial" w:cs="Arial"/>
                <w:lang w:val="en-GB"/>
              </w:rPr>
              <w:t>Females</w:t>
            </w:r>
          </w:p>
        </w:tc>
        <w:tc>
          <w:tcPr>
            <w:tcW w:w="1188" w:type="dxa"/>
            <w:shd w:val="clear" w:color="auto" w:fill="auto"/>
            <w:tcMar>
              <w:left w:w="108" w:type="dxa"/>
            </w:tcMar>
          </w:tcPr>
          <w:p w14:paraId="55EABC65" w14:textId="77777777" w:rsidR="003F6293" w:rsidRPr="00702082" w:rsidRDefault="003F6293" w:rsidP="003F6293">
            <w:pPr>
              <w:jc w:val="right"/>
              <w:rPr>
                <w:rFonts w:ascii="Arial" w:hAnsi="Arial" w:cs="Arial"/>
                <w:lang w:val="en-GB"/>
              </w:rPr>
            </w:pPr>
          </w:p>
          <w:p w14:paraId="294A4CF4" w14:textId="77777777" w:rsidR="003F6293" w:rsidRPr="00702082" w:rsidRDefault="003F6293" w:rsidP="003F6293">
            <w:pPr>
              <w:jc w:val="right"/>
              <w:rPr>
                <w:rFonts w:ascii="Arial" w:hAnsi="Arial" w:cs="Arial"/>
                <w:lang w:val="en-GB"/>
              </w:rPr>
            </w:pPr>
            <w:r w:rsidRPr="00702082">
              <w:rPr>
                <w:rFonts w:ascii="Arial" w:hAnsi="Arial" w:cs="Arial"/>
                <w:lang w:val="en-GB"/>
              </w:rPr>
              <w:t>1</w:t>
            </w:r>
          </w:p>
          <w:p w14:paraId="2276F373" w14:textId="77777777" w:rsidR="003F6293" w:rsidRPr="00702082" w:rsidRDefault="003F6293" w:rsidP="003F6293">
            <w:pPr>
              <w:jc w:val="right"/>
              <w:rPr>
                <w:rFonts w:ascii="Arial" w:hAnsi="Arial" w:cs="Arial"/>
                <w:lang w:val="en-GB"/>
              </w:rPr>
            </w:pPr>
            <w:r w:rsidRPr="00702082">
              <w:rPr>
                <w:rFonts w:ascii="Arial" w:hAnsi="Arial" w:cs="Arial"/>
                <w:lang w:val="en-GB"/>
              </w:rPr>
              <w:t>0</w:t>
            </w:r>
          </w:p>
        </w:tc>
        <w:tc>
          <w:tcPr>
            <w:tcW w:w="1132" w:type="dxa"/>
            <w:shd w:val="clear" w:color="auto" w:fill="auto"/>
            <w:tcMar>
              <w:left w:w="108" w:type="dxa"/>
            </w:tcMar>
          </w:tcPr>
          <w:p w14:paraId="48664F34" w14:textId="77777777" w:rsidR="003F6293" w:rsidRPr="00702082" w:rsidRDefault="003F6293" w:rsidP="003F6293">
            <w:pPr>
              <w:jc w:val="right"/>
              <w:rPr>
                <w:rFonts w:ascii="Arial" w:hAnsi="Arial" w:cs="Arial"/>
                <w:lang w:val="en-GB"/>
              </w:rPr>
            </w:pPr>
          </w:p>
          <w:p w14:paraId="17F96239" w14:textId="77777777" w:rsidR="003F6293" w:rsidRPr="00702082" w:rsidRDefault="003F6293" w:rsidP="003F6293">
            <w:pPr>
              <w:jc w:val="right"/>
              <w:rPr>
                <w:rFonts w:ascii="Arial" w:hAnsi="Arial" w:cs="Arial"/>
                <w:lang w:val="en-GB"/>
              </w:rPr>
            </w:pPr>
            <w:r w:rsidRPr="00702082">
              <w:rPr>
                <w:rFonts w:ascii="Arial" w:hAnsi="Arial" w:cs="Arial"/>
                <w:lang w:val="en-GB"/>
              </w:rPr>
              <w:t>0</w:t>
            </w:r>
          </w:p>
          <w:p w14:paraId="5539E080" w14:textId="77777777" w:rsidR="003F6293" w:rsidRPr="00702082" w:rsidRDefault="003F6293" w:rsidP="003F6293">
            <w:pPr>
              <w:jc w:val="right"/>
              <w:rPr>
                <w:rFonts w:ascii="Arial" w:hAnsi="Arial" w:cs="Arial"/>
                <w:lang w:val="en-GB"/>
              </w:rPr>
            </w:pPr>
            <w:r w:rsidRPr="00702082">
              <w:rPr>
                <w:rFonts w:ascii="Arial" w:hAnsi="Arial" w:cs="Arial"/>
                <w:lang w:val="en-GB"/>
              </w:rPr>
              <w:t>1</w:t>
            </w:r>
          </w:p>
        </w:tc>
        <w:tc>
          <w:tcPr>
            <w:tcW w:w="1132" w:type="dxa"/>
            <w:shd w:val="clear" w:color="auto" w:fill="auto"/>
            <w:tcMar>
              <w:left w:w="108" w:type="dxa"/>
            </w:tcMar>
          </w:tcPr>
          <w:p w14:paraId="28666665" w14:textId="77777777" w:rsidR="003F6293" w:rsidRPr="00702082" w:rsidRDefault="003F6293" w:rsidP="003F6293">
            <w:pPr>
              <w:jc w:val="right"/>
              <w:rPr>
                <w:rFonts w:ascii="Arial" w:hAnsi="Arial" w:cs="Arial"/>
                <w:lang w:val="en-GB"/>
              </w:rPr>
            </w:pPr>
          </w:p>
          <w:p w14:paraId="7B72E6A3" w14:textId="77777777" w:rsidR="003F6293" w:rsidRPr="00702082" w:rsidRDefault="003F6293" w:rsidP="003F6293">
            <w:pPr>
              <w:jc w:val="right"/>
              <w:rPr>
                <w:rFonts w:ascii="Arial" w:hAnsi="Arial" w:cs="Arial"/>
                <w:lang w:val="en-GB"/>
              </w:rPr>
            </w:pPr>
          </w:p>
          <w:p w14:paraId="0206F307" w14:textId="77777777" w:rsidR="003F6293" w:rsidRPr="00702082" w:rsidRDefault="003F6293" w:rsidP="003F6293">
            <w:pPr>
              <w:jc w:val="right"/>
              <w:rPr>
                <w:rFonts w:ascii="Arial" w:hAnsi="Arial" w:cs="Arial"/>
                <w:lang w:val="en-GB"/>
              </w:rPr>
            </w:pPr>
            <w:r w:rsidRPr="00702082">
              <w:rPr>
                <w:rFonts w:ascii="Arial" w:hAnsi="Arial" w:cs="Arial"/>
                <w:lang w:val="en-GB"/>
              </w:rPr>
              <w:t>0</w:t>
            </w:r>
          </w:p>
        </w:tc>
        <w:tc>
          <w:tcPr>
            <w:tcW w:w="1133" w:type="dxa"/>
            <w:shd w:val="clear" w:color="auto" w:fill="auto"/>
            <w:tcMar>
              <w:left w:w="108" w:type="dxa"/>
            </w:tcMar>
          </w:tcPr>
          <w:p w14:paraId="5FA6181A" w14:textId="77777777" w:rsidR="003F6293" w:rsidRPr="00702082" w:rsidRDefault="003F6293" w:rsidP="003F6293">
            <w:pPr>
              <w:jc w:val="right"/>
              <w:rPr>
                <w:rFonts w:ascii="Arial" w:hAnsi="Arial" w:cs="Arial"/>
                <w:lang w:val="en-GB"/>
              </w:rPr>
            </w:pPr>
          </w:p>
          <w:p w14:paraId="01F77F02" w14:textId="77777777" w:rsidR="003F6293" w:rsidRPr="00702082" w:rsidRDefault="003F6293" w:rsidP="003F6293">
            <w:pPr>
              <w:jc w:val="right"/>
              <w:rPr>
                <w:rFonts w:ascii="Arial" w:hAnsi="Arial" w:cs="Arial"/>
                <w:lang w:val="en-GB"/>
              </w:rPr>
            </w:pPr>
          </w:p>
          <w:p w14:paraId="0ED026E1" w14:textId="77777777" w:rsidR="003F6293" w:rsidRPr="00702082" w:rsidRDefault="003F6293" w:rsidP="003F6293">
            <w:pPr>
              <w:jc w:val="right"/>
              <w:rPr>
                <w:rFonts w:ascii="Arial" w:hAnsi="Arial" w:cs="Arial"/>
                <w:lang w:val="en-GB"/>
              </w:rPr>
            </w:pPr>
            <w:r w:rsidRPr="00702082">
              <w:rPr>
                <w:rFonts w:ascii="Arial" w:hAnsi="Arial" w:cs="Arial"/>
                <w:lang w:val="en-GB"/>
              </w:rPr>
              <w:t>0</w:t>
            </w:r>
          </w:p>
        </w:tc>
      </w:tr>
      <w:tr w:rsidR="003F6293" w:rsidRPr="00702082" w14:paraId="296333A4" w14:textId="77777777" w:rsidTr="002818C8">
        <w:trPr>
          <w:jc w:val="center"/>
        </w:trPr>
        <w:tc>
          <w:tcPr>
            <w:tcW w:w="450" w:type="dxa"/>
            <w:shd w:val="clear" w:color="auto" w:fill="auto"/>
            <w:tcMar>
              <w:left w:w="108" w:type="dxa"/>
            </w:tcMar>
          </w:tcPr>
          <w:p w14:paraId="0483F05A" w14:textId="77777777" w:rsidR="003F6293" w:rsidRPr="00702082" w:rsidRDefault="003F6293" w:rsidP="003F6293">
            <w:pPr>
              <w:jc w:val="both"/>
              <w:rPr>
                <w:rFonts w:ascii="Arial" w:hAnsi="Arial" w:cs="Arial"/>
                <w:lang w:val="en-GB"/>
              </w:rPr>
            </w:pPr>
            <w:r w:rsidRPr="00702082">
              <w:rPr>
                <w:rFonts w:ascii="Arial" w:hAnsi="Arial" w:cs="Arial"/>
                <w:lang w:val="en-GB"/>
              </w:rPr>
              <w:t>4</w:t>
            </w:r>
          </w:p>
        </w:tc>
        <w:tc>
          <w:tcPr>
            <w:tcW w:w="4230" w:type="dxa"/>
            <w:shd w:val="clear" w:color="auto" w:fill="auto"/>
            <w:tcMar>
              <w:left w:w="108" w:type="dxa"/>
            </w:tcMar>
          </w:tcPr>
          <w:p w14:paraId="54A85DD9" w14:textId="77777777" w:rsidR="003F6293" w:rsidRPr="00702082" w:rsidRDefault="003F6293" w:rsidP="003F6293">
            <w:pPr>
              <w:jc w:val="both"/>
              <w:rPr>
                <w:rFonts w:ascii="Arial" w:hAnsi="Arial" w:cs="Arial"/>
                <w:lang w:val="en-GB"/>
              </w:rPr>
            </w:pPr>
            <w:r w:rsidRPr="00702082">
              <w:rPr>
                <w:rFonts w:ascii="Arial" w:hAnsi="Arial" w:cs="Arial"/>
                <w:lang w:val="en-GB"/>
              </w:rPr>
              <w:t>Red Hat Canada YoY Revenue Growth</w:t>
            </w:r>
            <w:r>
              <w:rPr>
                <w:rFonts w:ascii="Arial" w:hAnsi="Arial" w:cs="Arial"/>
                <w:lang w:val="en-GB"/>
              </w:rPr>
              <w:t xml:space="preserve"> </w:t>
            </w:r>
          </w:p>
        </w:tc>
        <w:tc>
          <w:tcPr>
            <w:tcW w:w="1188" w:type="dxa"/>
            <w:shd w:val="clear" w:color="auto" w:fill="auto"/>
            <w:tcMar>
              <w:left w:w="108" w:type="dxa"/>
            </w:tcMar>
          </w:tcPr>
          <w:p w14:paraId="5A252DAA" w14:textId="77777777" w:rsidR="003F6293" w:rsidRPr="00702082" w:rsidRDefault="003F6293" w:rsidP="003F6293">
            <w:pPr>
              <w:jc w:val="right"/>
              <w:rPr>
                <w:rFonts w:ascii="Arial" w:hAnsi="Arial" w:cs="Arial"/>
                <w:lang w:val="en-GB"/>
              </w:rPr>
            </w:pPr>
            <w:r w:rsidRPr="00702082">
              <w:rPr>
                <w:rFonts w:ascii="Arial" w:hAnsi="Arial" w:cs="Arial"/>
                <w:lang w:val="en-GB"/>
              </w:rPr>
              <w:t xml:space="preserve">39% </w:t>
            </w:r>
          </w:p>
        </w:tc>
        <w:tc>
          <w:tcPr>
            <w:tcW w:w="1132" w:type="dxa"/>
            <w:shd w:val="clear" w:color="auto" w:fill="auto"/>
            <w:tcMar>
              <w:left w:w="108" w:type="dxa"/>
            </w:tcMar>
          </w:tcPr>
          <w:p w14:paraId="5F55B8CF" w14:textId="77777777" w:rsidR="003F6293" w:rsidRPr="00702082" w:rsidRDefault="003F6293" w:rsidP="003F6293">
            <w:pPr>
              <w:jc w:val="right"/>
              <w:rPr>
                <w:rFonts w:ascii="Arial" w:hAnsi="Arial" w:cs="Arial"/>
                <w:lang w:val="en-GB"/>
              </w:rPr>
            </w:pPr>
            <w:r w:rsidRPr="00702082">
              <w:rPr>
                <w:rFonts w:ascii="Arial" w:hAnsi="Arial" w:cs="Arial"/>
                <w:lang w:val="en-GB"/>
              </w:rPr>
              <w:t>26%</w:t>
            </w:r>
            <w:r>
              <w:rPr>
                <w:rFonts w:ascii="Arial" w:hAnsi="Arial" w:cs="Arial"/>
                <w:lang w:val="en-GB"/>
              </w:rPr>
              <w:t xml:space="preserve"> </w:t>
            </w:r>
          </w:p>
        </w:tc>
        <w:tc>
          <w:tcPr>
            <w:tcW w:w="1132" w:type="dxa"/>
            <w:shd w:val="clear" w:color="auto" w:fill="auto"/>
            <w:tcMar>
              <w:left w:w="108" w:type="dxa"/>
            </w:tcMar>
          </w:tcPr>
          <w:p w14:paraId="769FC62C" w14:textId="77777777" w:rsidR="003F6293" w:rsidRPr="00702082" w:rsidRDefault="003F6293" w:rsidP="003F6293">
            <w:pPr>
              <w:jc w:val="right"/>
              <w:rPr>
                <w:rFonts w:ascii="Arial" w:hAnsi="Arial" w:cs="Arial"/>
                <w:lang w:val="en-GB"/>
              </w:rPr>
            </w:pPr>
            <w:r w:rsidRPr="00702082">
              <w:rPr>
                <w:rFonts w:ascii="Arial" w:hAnsi="Arial" w:cs="Arial"/>
                <w:lang w:val="en-GB"/>
              </w:rPr>
              <w:t>17%</w:t>
            </w:r>
            <w:r>
              <w:rPr>
                <w:rFonts w:ascii="Arial" w:hAnsi="Arial" w:cs="Arial"/>
                <w:lang w:val="en-GB"/>
              </w:rPr>
              <w:t xml:space="preserve"> </w:t>
            </w:r>
          </w:p>
        </w:tc>
        <w:tc>
          <w:tcPr>
            <w:tcW w:w="1133" w:type="dxa"/>
            <w:shd w:val="clear" w:color="auto" w:fill="auto"/>
            <w:tcMar>
              <w:left w:w="108" w:type="dxa"/>
            </w:tcMar>
          </w:tcPr>
          <w:p w14:paraId="6A82722E" w14:textId="77777777" w:rsidR="003F6293" w:rsidRPr="00702082" w:rsidRDefault="003F6293" w:rsidP="003F6293">
            <w:pPr>
              <w:jc w:val="right"/>
              <w:rPr>
                <w:rFonts w:ascii="Arial" w:hAnsi="Arial" w:cs="Arial"/>
                <w:lang w:val="en-GB"/>
              </w:rPr>
            </w:pPr>
            <w:r w:rsidRPr="00702082">
              <w:rPr>
                <w:rFonts w:ascii="Arial" w:hAnsi="Arial" w:cs="Arial"/>
                <w:lang w:val="en-GB"/>
              </w:rPr>
              <w:t>15%</w:t>
            </w:r>
            <w:r>
              <w:rPr>
                <w:rFonts w:ascii="Arial" w:hAnsi="Arial" w:cs="Arial"/>
                <w:lang w:val="en-GB"/>
              </w:rPr>
              <w:t xml:space="preserve"> </w:t>
            </w:r>
          </w:p>
        </w:tc>
      </w:tr>
      <w:tr w:rsidR="003F6293" w:rsidRPr="00702082" w14:paraId="68877D8F" w14:textId="77777777" w:rsidTr="002818C8">
        <w:trPr>
          <w:jc w:val="center"/>
        </w:trPr>
        <w:tc>
          <w:tcPr>
            <w:tcW w:w="450" w:type="dxa"/>
            <w:shd w:val="clear" w:color="auto" w:fill="auto"/>
            <w:tcMar>
              <w:left w:w="108" w:type="dxa"/>
            </w:tcMar>
          </w:tcPr>
          <w:p w14:paraId="5DC0E7C1" w14:textId="77777777" w:rsidR="003F6293" w:rsidRPr="00702082" w:rsidRDefault="003F6293" w:rsidP="003F6293">
            <w:pPr>
              <w:jc w:val="both"/>
              <w:rPr>
                <w:rFonts w:ascii="Arial" w:hAnsi="Arial" w:cs="Arial"/>
                <w:lang w:val="en-GB"/>
              </w:rPr>
            </w:pPr>
            <w:r w:rsidRPr="00702082">
              <w:rPr>
                <w:rFonts w:ascii="Arial" w:hAnsi="Arial" w:cs="Arial"/>
                <w:lang w:val="en-GB"/>
              </w:rPr>
              <w:t>5</w:t>
            </w:r>
          </w:p>
        </w:tc>
        <w:tc>
          <w:tcPr>
            <w:tcW w:w="4230" w:type="dxa"/>
            <w:shd w:val="clear" w:color="auto" w:fill="auto"/>
            <w:tcMar>
              <w:left w:w="108" w:type="dxa"/>
            </w:tcMar>
          </w:tcPr>
          <w:p w14:paraId="4C87B466" w14:textId="77777777" w:rsidR="003F6293" w:rsidRPr="00702082" w:rsidRDefault="003F6293" w:rsidP="003F6293">
            <w:pPr>
              <w:jc w:val="both"/>
              <w:rPr>
                <w:rFonts w:ascii="Arial" w:hAnsi="Arial" w:cs="Arial"/>
                <w:lang w:val="en-GB"/>
              </w:rPr>
            </w:pPr>
            <w:r w:rsidRPr="00702082">
              <w:rPr>
                <w:rFonts w:ascii="Arial" w:hAnsi="Arial" w:cs="Arial"/>
                <w:lang w:val="en-GB"/>
              </w:rPr>
              <w:t>Number of Customers</w:t>
            </w:r>
          </w:p>
          <w:p w14:paraId="0D208C5E" w14:textId="77777777" w:rsidR="003F6293" w:rsidRPr="00702082" w:rsidRDefault="003F6293" w:rsidP="003F6293">
            <w:pPr>
              <w:jc w:val="both"/>
              <w:rPr>
                <w:rFonts w:ascii="Arial" w:hAnsi="Arial" w:cs="Arial"/>
                <w:lang w:val="en-GB"/>
              </w:rPr>
            </w:pPr>
            <w:r w:rsidRPr="00702082">
              <w:rPr>
                <w:rFonts w:ascii="Arial" w:hAnsi="Arial" w:cs="Arial"/>
                <w:lang w:val="en-GB"/>
              </w:rPr>
              <w:t>Mid-Market</w:t>
            </w:r>
          </w:p>
          <w:p w14:paraId="34B5A76C" w14:textId="77777777" w:rsidR="003F6293" w:rsidRPr="00702082" w:rsidRDefault="003F6293" w:rsidP="003F6293">
            <w:pPr>
              <w:jc w:val="both"/>
              <w:rPr>
                <w:rFonts w:ascii="Arial" w:hAnsi="Arial" w:cs="Arial"/>
                <w:lang w:val="en-GB"/>
              </w:rPr>
            </w:pPr>
            <w:r w:rsidRPr="00702082">
              <w:rPr>
                <w:rFonts w:ascii="Arial" w:hAnsi="Arial" w:cs="Arial"/>
                <w:lang w:val="en-GB"/>
              </w:rPr>
              <w:t>Enterprise</w:t>
            </w:r>
          </w:p>
          <w:p w14:paraId="37E4B9B2" w14:textId="77777777" w:rsidR="003F6293" w:rsidRPr="00702082" w:rsidRDefault="003F6293" w:rsidP="003F6293">
            <w:pPr>
              <w:jc w:val="both"/>
              <w:rPr>
                <w:rFonts w:ascii="Arial" w:hAnsi="Arial" w:cs="Arial"/>
                <w:lang w:val="en-GB"/>
              </w:rPr>
            </w:pPr>
            <w:r w:rsidRPr="00702082">
              <w:rPr>
                <w:rFonts w:ascii="Arial" w:hAnsi="Arial" w:cs="Arial"/>
                <w:lang w:val="en-GB"/>
              </w:rPr>
              <w:t>Strategic</w:t>
            </w:r>
          </w:p>
        </w:tc>
        <w:tc>
          <w:tcPr>
            <w:tcW w:w="1188" w:type="dxa"/>
            <w:shd w:val="clear" w:color="auto" w:fill="auto"/>
            <w:tcMar>
              <w:left w:w="108" w:type="dxa"/>
            </w:tcMar>
          </w:tcPr>
          <w:p w14:paraId="5CB4A4E0" w14:textId="77777777" w:rsidR="003F6293" w:rsidRPr="00702082" w:rsidRDefault="003F6293" w:rsidP="003F6293">
            <w:pPr>
              <w:jc w:val="right"/>
              <w:rPr>
                <w:rFonts w:ascii="Arial" w:hAnsi="Arial" w:cs="Arial"/>
                <w:lang w:val="en-GB"/>
              </w:rPr>
            </w:pPr>
            <w:r>
              <w:rPr>
                <w:rFonts w:ascii="Arial" w:hAnsi="Arial" w:cs="Arial"/>
                <w:lang w:val="en-GB"/>
              </w:rPr>
              <w:t>–</w:t>
            </w:r>
          </w:p>
          <w:p w14:paraId="1925FC98" w14:textId="77777777" w:rsidR="003F6293" w:rsidRPr="00702082" w:rsidRDefault="003F6293" w:rsidP="003F6293">
            <w:pPr>
              <w:jc w:val="right"/>
              <w:rPr>
                <w:rFonts w:ascii="Arial" w:hAnsi="Arial" w:cs="Arial"/>
                <w:lang w:val="en-GB"/>
              </w:rPr>
            </w:pPr>
            <w:r w:rsidRPr="00702082">
              <w:rPr>
                <w:rFonts w:ascii="Arial" w:hAnsi="Arial" w:cs="Arial"/>
                <w:lang w:val="en-GB"/>
              </w:rPr>
              <w:t>1,700</w:t>
            </w:r>
          </w:p>
          <w:p w14:paraId="6158172D" w14:textId="77777777" w:rsidR="003F6293" w:rsidRPr="00702082" w:rsidRDefault="003F6293" w:rsidP="003F6293">
            <w:pPr>
              <w:jc w:val="right"/>
              <w:rPr>
                <w:rFonts w:ascii="Arial" w:hAnsi="Arial" w:cs="Arial"/>
                <w:lang w:val="en-GB"/>
              </w:rPr>
            </w:pPr>
            <w:r w:rsidRPr="00702082">
              <w:rPr>
                <w:rFonts w:ascii="Arial" w:hAnsi="Arial" w:cs="Arial"/>
                <w:lang w:val="en-GB"/>
              </w:rPr>
              <w:t>280</w:t>
            </w:r>
          </w:p>
          <w:p w14:paraId="0B7E0FE3" w14:textId="77777777" w:rsidR="003F6293" w:rsidRPr="00702082" w:rsidRDefault="003F6293" w:rsidP="003F6293">
            <w:pPr>
              <w:jc w:val="right"/>
              <w:rPr>
                <w:rFonts w:ascii="Arial" w:hAnsi="Arial" w:cs="Arial"/>
                <w:lang w:val="en-GB"/>
              </w:rPr>
            </w:pPr>
            <w:r w:rsidRPr="00702082">
              <w:rPr>
                <w:rFonts w:ascii="Arial" w:hAnsi="Arial" w:cs="Arial"/>
                <w:lang w:val="en-GB"/>
              </w:rPr>
              <w:t>8</w:t>
            </w:r>
          </w:p>
        </w:tc>
        <w:tc>
          <w:tcPr>
            <w:tcW w:w="1132" w:type="dxa"/>
            <w:shd w:val="clear" w:color="auto" w:fill="auto"/>
            <w:tcMar>
              <w:left w:w="108" w:type="dxa"/>
            </w:tcMar>
          </w:tcPr>
          <w:p w14:paraId="7E343893" w14:textId="77777777" w:rsidR="003F6293" w:rsidRPr="00702082" w:rsidRDefault="003F6293" w:rsidP="003F6293">
            <w:pPr>
              <w:jc w:val="right"/>
              <w:rPr>
                <w:rFonts w:ascii="Arial" w:hAnsi="Arial" w:cs="Arial"/>
                <w:lang w:val="en-GB"/>
              </w:rPr>
            </w:pPr>
            <w:r>
              <w:rPr>
                <w:rFonts w:ascii="Arial" w:hAnsi="Arial" w:cs="Arial"/>
                <w:lang w:val="en-GB"/>
              </w:rPr>
              <w:t>–</w:t>
            </w:r>
          </w:p>
          <w:p w14:paraId="346B59B0" w14:textId="77777777" w:rsidR="003F6293" w:rsidRPr="00702082" w:rsidRDefault="003F6293" w:rsidP="003F6293">
            <w:pPr>
              <w:jc w:val="right"/>
              <w:rPr>
                <w:rFonts w:ascii="Arial" w:hAnsi="Arial" w:cs="Arial"/>
                <w:lang w:val="en-GB"/>
              </w:rPr>
            </w:pPr>
            <w:r w:rsidRPr="00702082">
              <w:rPr>
                <w:rFonts w:ascii="Arial" w:hAnsi="Arial" w:cs="Arial"/>
                <w:lang w:val="en-GB"/>
              </w:rPr>
              <w:t>1,700</w:t>
            </w:r>
          </w:p>
          <w:p w14:paraId="155C7933" w14:textId="77777777" w:rsidR="003F6293" w:rsidRPr="00702082" w:rsidRDefault="003F6293" w:rsidP="003F6293">
            <w:pPr>
              <w:jc w:val="right"/>
              <w:rPr>
                <w:rFonts w:ascii="Arial" w:hAnsi="Arial" w:cs="Arial"/>
                <w:lang w:val="en-GB"/>
              </w:rPr>
            </w:pPr>
            <w:r w:rsidRPr="00702082">
              <w:rPr>
                <w:rFonts w:ascii="Arial" w:hAnsi="Arial" w:cs="Arial"/>
                <w:lang w:val="en-GB"/>
              </w:rPr>
              <w:t>300</w:t>
            </w:r>
          </w:p>
          <w:p w14:paraId="17A25F37" w14:textId="77777777" w:rsidR="003F6293" w:rsidRPr="00702082" w:rsidRDefault="003F6293" w:rsidP="003F6293">
            <w:pPr>
              <w:jc w:val="right"/>
              <w:rPr>
                <w:rFonts w:ascii="Arial" w:hAnsi="Arial" w:cs="Arial"/>
                <w:lang w:val="en-GB"/>
              </w:rPr>
            </w:pPr>
            <w:r w:rsidRPr="00702082">
              <w:rPr>
                <w:rFonts w:ascii="Arial" w:hAnsi="Arial" w:cs="Arial"/>
                <w:lang w:val="en-GB"/>
              </w:rPr>
              <w:t>6</w:t>
            </w:r>
          </w:p>
        </w:tc>
        <w:tc>
          <w:tcPr>
            <w:tcW w:w="1132" w:type="dxa"/>
            <w:shd w:val="clear" w:color="auto" w:fill="auto"/>
            <w:tcMar>
              <w:left w:w="108" w:type="dxa"/>
            </w:tcMar>
          </w:tcPr>
          <w:p w14:paraId="4B2B719C" w14:textId="77777777" w:rsidR="003F6293" w:rsidRPr="00702082" w:rsidRDefault="003F6293" w:rsidP="003F6293">
            <w:pPr>
              <w:jc w:val="right"/>
              <w:rPr>
                <w:rFonts w:ascii="Arial" w:hAnsi="Arial" w:cs="Arial"/>
                <w:lang w:val="en-GB"/>
              </w:rPr>
            </w:pPr>
            <w:r>
              <w:rPr>
                <w:rFonts w:ascii="Arial" w:hAnsi="Arial" w:cs="Arial"/>
                <w:lang w:val="en-GB"/>
              </w:rPr>
              <w:t>–</w:t>
            </w:r>
          </w:p>
          <w:p w14:paraId="5CB24317" w14:textId="77777777" w:rsidR="003F6293" w:rsidRPr="00702082" w:rsidRDefault="003F6293" w:rsidP="003F6293">
            <w:pPr>
              <w:jc w:val="right"/>
              <w:rPr>
                <w:rFonts w:ascii="Arial" w:hAnsi="Arial" w:cs="Arial"/>
                <w:lang w:val="en-GB"/>
              </w:rPr>
            </w:pPr>
            <w:r w:rsidRPr="00702082">
              <w:rPr>
                <w:rFonts w:ascii="Arial" w:hAnsi="Arial" w:cs="Arial"/>
                <w:lang w:val="en-GB"/>
              </w:rPr>
              <w:t>1,600</w:t>
            </w:r>
          </w:p>
          <w:p w14:paraId="3DC4A5E4" w14:textId="77777777" w:rsidR="003F6293" w:rsidRPr="00702082" w:rsidRDefault="003F6293" w:rsidP="003F6293">
            <w:pPr>
              <w:jc w:val="right"/>
              <w:rPr>
                <w:rFonts w:ascii="Arial" w:hAnsi="Arial" w:cs="Arial"/>
                <w:lang w:val="en-GB"/>
              </w:rPr>
            </w:pPr>
            <w:r w:rsidRPr="00702082">
              <w:rPr>
                <w:rFonts w:ascii="Arial" w:hAnsi="Arial" w:cs="Arial"/>
                <w:lang w:val="en-GB"/>
              </w:rPr>
              <w:t>320</w:t>
            </w:r>
          </w:p>
          <w:p w14:paraId="3C1D022E" w14:textId="77777777" w:rsidR="003F6293" w:rsidRPr="00702082" w:rsidRDefault="003F6293" w:rsidP="003F6293">
            <w:pPr>
              <w:jc w:val="right"/>
              <w:rPr>
                <w:rFonts w:ascii="Arial" w:hAnsi="Arial" w:cs="Arial"/>
                <w:lang w:val="en-GB"/>
              </w:rPr>
            </w:pPr>
            <w:r w:rsidRPr="00702082">
              <w:rPr>
                <w:rFonts w:ascii="Arial" w:hAnsi="Arial" w:cs="Arial"/>
                <w:lang w:val="en-GB"/>
              </w:rPr>
              <w:t>5</w:t>
            </w:r>
          </w:p>
        </w:tc>
        <w:tc>
          <w:tcPr>
            <w:tcW w:w="1133" w:type="dxa"/>
            <w:shd w:val="clear" w:color="auto" w:fill="auto"/>
            <w:tcMar>
              <w:left w:w="108" w:type="dxa"/>
            </w:tcMar>
          </w:tcPr>
          <w:p w14:paraId="3FE97D32" w14:textId="77777777" w:rsidR="003F6293" w:rsidRPr="00702082" w:rsidRDefault="003F6293" w:rsidP="003F6293">
            <w:pPr>
              <w:jc w:val="right"/>
              <w:rPr>
                <w:rFonts w:ascii="Arial" w:hAnsi="Arial" w:cs="Arial"/>
                <w:lang w:val="en-GB"/>
              </w:rPr>
            </w:pPr>
            <w:r>
              <w:rPr>
                <w:rFonts w:ascii="Arial" w:hAnsi="Arial" w:cs="Arial"/>
                <w:lang w:val="en-GB"/>
              </w:rPr>
              <w:t>–</w:t>
            </w:r>
          </w:p>
          <w:p w14:paraId="7B74C2DF" w14:textId="77777777" w:rsidR="003F6293" w:rsidRPr="00702082" w:rsidRDefault="003F6293" w:rsidP="003F6293">
            <w:pPr>
              <w:jc w:val="right"/>
              <w:rPr>
                <w:rFonts w:ascii="Arial" w:hAnsi="Arial" w:cs="Arial"/>
                <w:lang w:val="en-GB"/>
              </w:rPr>
            </w:pPr>
            <w:r w:rsidRPr="00702082">
              <w:rPr>
                <w:rFonts w:ascii="Arial" w:hAnsi="Arial" w:cs="Arial"/>
                <w:lang w:val="en-GB"/>
              </w:rPr>
              <w:t>1,500</w:t>
            </w:r>
          </w:p>
          <w:p w14:paraId="4964F1CD" w14:textId="77777777" w:rsidR="003F6293" w:rsidRPr="00702082" w:rsidRDefault="003F6293" w:rsidP="003F6293">
            <w:pPr>
              <w:jc w:val="right"/>
              <w:rPr>
                <w:rFonts w:ascii="Arial" w:hAnsi="Arial" w:cs="Arial"/>
                <w:lang w:val="en-GB"/>
              </w:rPr>
            </w:pPr>
            <w:r w:rsidRPr="00702082">
              <w:rPr>
                <w:rFonts w:ascii="Arial" w:hAnsi="Arial" w:cs="Arial"/>
                <w:lang w:val="en-GB"/>
              </w:rPr>
              <w:t>350</w:t>
            </w:r>
          </w:p>
          <w:p w14:paraId="409D2B00" w14:textId="77777777" w:rsidR="003F6293" w:rsidRPr="00702082" w:rsidRDefault="003F6293" w:rsidP="003F6293">
            <w:pPr>
              <w:jc w:val="right"/>
              <w:rPr>
                <w:rFonts w:ascii="Arial" w:hAnsi="Arial" w:cs="Arial"/>
                <w:lang w:val="en-GB"/>
              </w:rPr>
            </w:pPr>
            <w:r w:rsidRPr="00702082">
              <w:rPr>
                <w:rFonts w:ascii="Arial" w:hAnsi="Arial" w:cs="Arial"/>
                <w:lang w:val="en-GB"/>
              </w:rPr>
              <w:t>5</w:t>
            </w:r>
          </w:p>
        </w:tc>
      </w:tr>
      <w:tr w:rsidR="003F6293" w:rsidRPr="00702082" w14:paraId="4881778C" w14:textId="77777777" w:rsidTr="002818C8">
        <w:trPr>
          <w:jc w:val="center"/>
        </w:trPr>
        <w:tc>
          <w:tcPr>
            <w:tcW w:w="450" w:type="dxa"/>
            <w:shd w:val="clear" w:color="auto" w:fill="auto"/>
            <w:tcMar>
              <w:left w:w="108" w:type="dxa"/>
            </w:tcMar>
          </w:tcPr>
          <w:p w14:paraId="30E8B9A2" w14:textId="77777777" w:rsidR="003F6293" w:rsidRPr="00702082" w:rsidRDefault="003F6293" w:rsidP="003F6293">
            <w:pPr>
              <w:jc w:val="both"/>
              <w:rPr>
                <w:rFonts w:ascii="Arial" w:hAnsi="Arial" w:cs="Arial"/>
                <w:lang w:val="en-GB"/>
              </w:rPr>
            </w:pPr>
            <w:r w:rsidRPr="00702082">
              <w:rPr>
                <w:rFonts w:ascii="Arial" w:hAnsi="Arial" w:cs="Arial"/>
                <w:lang w:val="en-GB"/>
              </w:rPr>
              <w:t>6</w:t>
            </w:r>
          </w:p>
        </w:tc>
        <w:tc>
          <w:tcPr>
            <w:tcW w:w="4230" w:type="dxa"/>
            <w:shd w:val="clear" w:color="auto" w:fill="auto"/>
            <w:tcMar>
              <w:left w:w="108" w:type="dxa"/>
            </w:tcMar>
          </w:tcPr>
          <w:p w14:paraId="6B2637CB" w14:textId="77777777" w:rsidR="003F6293" w:rsidRPr="00702082" w:rsidRDefault="003F6293" w:rsidP="003F6293">
            <w:pPr>
              <w:rPr>
                <w:rFonts w:ascii="Arial" w:hAnsi="Arial" w:cs="Arial"/>
                <w:lang w:val="en-GB"/>
              </w:rPr>
            </w:pPr>
            <w:r w:rsidRPr="00702082">
              <w:rPr>
                <w:rFonts w:ascii="Arial" w:hAnsi="Arial" w:cs="Arial"/>
                <w:lang w:val="en-GB"/>
              </w:rPr>
              <w:t>Metrics on which Red Hat Canada was chosen Region of the Year (in 2017)</w:t>
            </w:r>
          </w:p>
        </w:tc>
        <w:tc>
          <w:tcPr>
            <w:tcW w:w="4585" w:type="dxa"/>
            <w:gridSpan w:val="4"/>
            <w:shd w:val="clear" w:color="auto" w:fill="auto"/>
            <w:tcMar>
              <w:left w:w="108" w:type="dxa"/>
            </w:tcMar>
          </w:tcPr>
          <w:p w14:paraId="34374C93" w14:textId="77777777" w:rsidR="003F6293" w:rsidRPr="00702082" w:rsidRDefault="003F6293" w:rsidP="003F6293">
            <w:pPr>
              <w:jc w:val="both"/>
              <w:rPr>
                <w:rFonts w:ascii="Arial" w:hAnsi="Arial" w:cs="Arial"/>
                <w:lang w:val="en-GB"/>
              </w:rPr>
            </w:pPr>
            <w:r w:rsidRPr="00702082">
              <w:rPr>
                <w:rFonts w:ascii="Arial" w:hAnsi="Arial" w:cs="Arial"/>
                <w:lang w:val="en-GB"/>
              </w:rPr>
              <w:t xml:space="preserve">Growth % YOY, Emerging Products Mix, Single Year Booking, Total Booking </w:t>
            </w:r>
          </w:p>
        </w:tc>
      </w:tr>
    </w:tbl>
    <w:p w14:paraId="29D40F07" w14:textId="77777777" w:rsidR="003F6293" w:rsidRPr="00702082" w:rsidRDefault="003F6293" w:rsidP="003F6293">
      <w:pPr>
        <w:pStyle w:val="FootnoteText1"/>
        <w:rPr>
          <w:lang w:val="en-GB"/>
        </w:rPr>
      </w:pPr>
    </w:p>
    <w:p w14:paraId="475138DD" w14:textId="77777777" w:rsidR="003F6293" w:rsidRDefault="003F6293" w:rsidP="003F6293">
      <w:pPr>
        <w:pStyle w:val="FootnoteText1"/>
        <w:rPr>
          <w:lang w:val="en-GB"/>
        </w:rPr>
      </w:pPr>
      <w:r>
        <w:rPr>
          <w:lang w:val="en-GB"/>
        </w:rPr>
        <w:t>Note: R&amp;D = research and development; Reps = representatives; YOY = year-over-year</w:t>
      </w:r>
    </w:p>
    <w:p w14:paraId="11FF4E67" w14:textId="77777777" w:rsidR="003F6293" w:rsidRPr="00702082" w:rsidRDefault="003F6293" w:rsidP="003F6293">
      <w:pPr>
        <w:pStyle w:val="FootnoteText1"/>
        <w:rPr>
          <w:color w:val="000000"/>
          <w:lang w:val="en-GB"/>
        </w:rPr>
      </w:pPr>
      <w:r w:rsidRPr="00702082">
        <w:rPr>
          <w:lang w:val="en-GB"/>
        </w:rPr>
        <w:t xml:space="preserve">Source: </w:t>
      </w:r>
      <w:r w:rsidRPr="00702082">
        <w:rPr>
          <w:color w:val="000000"/>
          <w:lang w:val="en-GB"/>
        </w:rPr>
        <w:t>Company documents</w:t>
      </w:r>
      <w:r>
        <w:rPr>
          <w:color w:val="000000"/>
          <w:lang w:val="en-GB"/>
        </w:rPr>
        <w:t>.</w:t>
      </w:r>
    </w:p>
    <w:p w14:paraId="163C4C96" w14:textId="77777777" w:rsidR="003F6293" w:rsidRDefault="003F6293" w:rsidP="003F6293">
      <w:pPr>
        <w:pStyle w:val="BodyTextMain"/>
      </w:pPr>
    </w:p>
    <w:p w14:paraId="2252E11F" w14:textId="77777777" w:rsidR="003F6293" w:rsidRDefault="003F6293" w:rsidP="003F6293">
      <w:pPr>
        <w:pStyle w:val="BodyTextMain"/>
      </w:pPr>
    </w:p>
    <w:sectPr w:rsidR="003F6293"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3F6293" w:rsidRDefault="003F6293" w:rsidP="00D75295">
      <w:r>
        <w:separator/>
      </w:r>
    </w:p>
  </w:endnote>
  <w:endnote w:type="continuationSeparator" w:id="0">
    <w:p w14:paraId="6B71D05B" w14:textId="77777777" w:rsidR="003F6293" w:rsidRDefault="003F629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Xerox Sans">
    <w:altName w:val="Xerox Sans"/>
    <w:panose1 w:val="00000000000000000000"/>
    <w:charset w:val="00"/>
    <w:family w:val="swiss"/>
    <w:notTrueType/>
    <w:pitch w:val="default"/>
    <w:sig w:usb0="00000003" w:usb1="00000000" w:usb2="00000000" w:usb3="00000000" w:csb0="00000001" w:csb1="00000000"/>
  </w:font>
  <w:font w:name="Minion Pro">
    <w:panose1 w:val="02040503050201020203"/>
    <w:charset w:val="00"/>
    <w:family w:val="roman"/>
    <w:notTrueType/>
    <w:pitch w:val="variable"/>
    <w:sig w:usb0="60000287" w:usb1="00000001"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Bold">
    <w:altName w:val="Arial"/>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3F6293" w:rsidRDefault="003F6293" w:rsidP="00D75295">
      <w:r>
        <w:separator/>
      </w:r>
    </w:p>
  </w:footnote>
  <w:footnote w:type="continuationSeparator" w:id="0">
    <w:p w14:paraId="31BC9002" w14:textId="77777777" w:rsidR="003F6293" w:rsidRDefault="003F6293" w:rsidP="00D75295">
      <w:r>
        <w:continuationSeparator/>
      </w:r>
    </w:p>
  </w:footnote>
  <w:footnote w:id="1">
    <w:p w14:paraId="48625846" w14:textId="77777777" w:rsidR="003F6293" w:rsidRPr="003541C5" w:rsidRDefault="003F6293" w:rsidP="003F6293">
      <w:pPr>
        <w:pStyle w:val="FootnoteText1"/>
        <w:rPr>
          <w:lang w:val="en-GB"/>
        </w:rPr>
      </w:pPr>
      <w:r w:rsidRPr="003F6293">
        <w:rPr>
          <w:vertAlign w:val="superscript"/>
          <w:lang w:val="en-GB"/>
        </w:rPr>
        <w:footnoteRef/>
      </w:r>
      <w:r w:rsidRPr="003F6293">
        <w:rPr>
          <w:vertAlign w:val="superscript"/>
          <w:lang w:val="en-GB"/>
        </w:rPr>
        <w:t xml:space="preserve"> </w:t>
      </w:r>
      <w:r w:rsidRPr="00702082">
        <w:rPr>
          <w:lang w:val="en-GB"/>
        </w:rPr>
        <w:t>All currency amounts are in U.S. dollars unless otherwise stated.</w:t>
      </w:r>
    </w:p>
  </w:footnote>
  <w:footnote w:id="2">
    <w:p w14:paraId="7FE148F9" w14:textId="77777777" w:rsidR="003F6293" w:rsidRPr="00702082" w:rsidRDefault="003F6293" w:rsidP="003F6293">
      <w:pPr>
        <w:pStyle w:val="FootnoteText1"/>
        <w:rPr>
          <w:lang w:val="en-GB"/>
        </w:rPr>
      </w:pPr>
      <w:r w:rsidRPr="00702082">
        <w:rPr>
          <w:rStyle w:val="FootnoteReference"/>
          <w:lang w:val="en-GB"/>
        </w:rPr>
        <w:footnoteRef/>
      </w:r>
      <w:r w:rsidRPr="00702082">
        <w:rPr>
          <w:lang w:val="en-GB"/>
        </w:rPr>
        <w:t xml:space="preserve"> World Economic Forum, “Industry Gender Gap Profile: Information and Communication Technology,” accessed January 17, 2018, </w:t>
      </w:r>
      <w:r w:rsidRPr="003541C5">
        <w:t>http://reports.weforum.org/future-of-jobs-2016/information-communication-technology/</w:t>
      </w:r>
      <w:r w:rsidRPr="00702082">
        <w:rPr>
          <w:rStyle w:val="Hyperlink"/>
          <w:color w:val="auto"/>
          <w:u w:val="none"/>
          <w:lang w:val="en-GB"/>
        </w:rPr>
        <w:t>.</w:t>
      </w:r>
      <w:r w:rsidRPr="00702082">
        <w:rPr>
          <w:lang w:val="en-GB"/>
        </w:rPr>
        <w:t xml:space="preserve"> </w:t>
      </w:r>
    </w:p>
  </w:footnote>
  <w:footnote w:id="3">
    <w:p w14:paraId="00B9669B" w14:textId="749203D8" w:rsidR="003F6293" w:rsidRPr="00702082" w:rsidRDefault="003F6293" w:rsidP="003F6293">
      <w:pPr>
        <w:pStyle w:val="FootnoteText1"/>
        <w:rPr>
          <w:lang w:val="en-GB"/>
        </w:rPr>
      </w:pPr>
      <w:r w:rsidRPr="00702082">
        <w:rPr>
          <w:rStyle w:val="FootnoteReference"/>
          <w:lang w:val="en-GB"/>
        </w:rPr>
        <w:footnoteRef/>
      </w:r>
      <w:r w:rsidRPr="00702082">
        <w:rPr>
          <w:lang w:val="en-GB"/>
        </w:rPr>
        <w:t xml:space="preserve"> Information and Communications Technology Council, </w:t>
      </w:r>
      <w:r w:rsidRPr="00C9482C">
        <w:rPr>
          <w:i/>
          <w:lang w:val="en-GB"/>
        </w:rPr>
        <w:t>Outlook for Human Resources in the Information and Communications Technology Labo</w:t>
      </w:r>
      <w:r>
        <w:rPr>
          <w:i/>
          <w:lang w:val="en-GB"/>
        </w:rPr>
        <w:t>u</w:t>
      </w:r>
      <w:r w:rsidRPr="00C9482C">
        <w:rPr>
          <w:i/>
          <w:lang w:val="en-GB"/>
        </w:rPr>
        <w:t>r Market, 2008 to 2015</w:t>
      </w:r>
      <w:r w:rsidRPr="00702082">
        <w:rPr>
          <w:lang w:val="en-GB"/>
        </w:rPr>
        <w:t>, 15, October 2008, accessed January 17, 2018, www.ictc-ctic.ca/wp-content/uploads/2012/06 /ICTC_Outlook2008_EN_10-08.pdf.</w:t>
      </w:r>
    </w:p>
  </w:footnote>
  <w:footnote w:id="4">
    <w:p w14:paraId="63A1FC3B" w14:textId="77777777" w:rsidR="003F6293" w:rsidRPr="00702082" w:rsidRDefault="003F6293" w:rsidP="003F6293">
      <w:pPr>
        <w:pStyle w:val="FootnoteText1"/>
        <w:rPr>
          <w:lang w:val="en-GB"/>
        </w:rPr>
      </w:pPr>
      <w:r w:rsidRPr="00702082">
        <w:rPr>
          <w:rStyle w:val="FootnoteReference"/>
          <w:lang w:val="en-GB"/>
        </w:rPr>
        <w:footnoteRef/>
      </w:r>
      <w:r w:rsidRPr="00702082">
        <w:rPr>
          <w:lang w:val="en-GB"/>
        </w:rPr>
        <w:t xml:space="preserve"> Information Technology Association of Canada, </w:t>
      </w:r>
      <w:r w:rsidRPr="00C9482C">
        <w:rPr>
          <w:i/>
          <w:lang w:val="en-GB"/>
        </w:rPr>
        <w:t>Innovation Starts Here: ICT Fundamentals for Canada’s Innovation Agenda—ITAC on Talent</w:t>
      </w:r>
      <w:r w:rsidRPr="00702082">
        <w:rPr>
          <w:lang w:val="en-GB"/>
        </w:rPr>
        <w:t>, December 6, 2016, accessed January 17, 2018, http://itac.ca/wp-content/uploads/2016/03/ITAC-on-Talent-November-2016.pdf.</w:t>
      </w:r>
    </w:p>
  </w:footnote>
  <w:footnote w:id="5">
    <w:p w14:paraId="58565EEA" w14:textId="78876060" w:rsidR="003F6293" w:rsidRPr="00702082" w:rsidRDefault="003F6293" w:rsidP="003F6293">
      <w:pPr>
        <w:pStyle w:val="FootnoteText1"/>
        <w:rPr>
          <w:lang w:val="en-GB"/>
        </w:rPr>
      </w:pPr>
      <w:r w:rsidRPr="00702082">
        <w:rPr>
          <w:rStyle w:val="FootnoteReference"/>
          <w:lang w:val="en-GB"/>
        </w:rPr>
        <w:footnoteRef/>
      </w:r>
      <w:r w:rsidRPr="00702082">
        <w:rPr>
          <w:lang w:val="en-GB"/>
        </w:rPr>
        <w:t xml:space="preserve"> Laurie </w:t>
      </w:r>
      <w:proofErr w:type="spellStart"/>
      <w:r w:rsidRPr="00702082">
        <w:rPr>
          <w:lang w:val="en-GB"/>
        </w:rPr>
        <w:t>Meisler</w:t>
      </w:r>
      <w:proofErr w:type="spellEnd"/>
      <w:r w:rsidRPr="00702082">
        <w:rPr>
          <w:lang w:val="en-GB"/>
        </w:rPr>
        <w:t xml:space="preserve">, Mira </w:t>
      </w:r>
      <w:proofErr w:type="spellStart"/>
      <w:r w:rsidRPr="00702082">
        <w:rPr>
          <w:lang w:val="en-GB"/>
        </w:rPr>
        <w:t>Rojanasakul</w:t>
      </w:r>
      <w:proofErr w:type="spellEnd"/>
      <w:r>
        <w:rPr>
          <w:lang w:val="en-GB"/>
        </w:rPr>
        <w:t>,</w:t>
      </w:r>
      <w:r w:rsidRPr="00702082">
        <w:rPr>
          <w:lang w:val="en-GB"/>
        </w:rPr>
        <w:t xml:space="preserve"> and Jeremy Scott Diamond, “Who Gets Venture Capital Funding</w:t>
      </w:r>
      <w:proofErr w:type="gramStart"/>
      <w:r w:rsidRPr="00702082">
        <w:rPr>
          <w:lang w:val="en-GB"/>
        </w:rPr>
        <w:t>?,</w:t>
      </w:r>
      <w:proofErr w:type="gramEnd"/>
      <w:r w:rsidRPr="00702082">
        <w:rPr>
          <w:lang w:val="en-GB"/>
        </w:rPr>
        <w:t>” Bloomberg, May 25, 2016, accessed January 19, 2018, www.bloomberg.com/graphics/2016-who-gets-vc-funding/.</w:t>
      </w:r>
    </w:p>
  </w:footnote>
  <w:footnote w:id="6">
    <w:p w14:paraId="04842981" w14:textId="4A52BE9C" w:rsidR="003F6293" w:rsidRPr="00702082" w:rsidRDefault="003F6293" w:rsidP="003F6293">
      <w:pPr>
        <w:pStyle w:val="FootnoteText1"/>
        <w:rPr>
          <w:lang w:val="en-GB"/>
        </w:rPr>
      </w:pPr>
      <w:r w:rsidRPr="00702082">
        <w:rPr>
          <w:rStyle w:val="FootnoteReference"/>
          <w:lang w:val="en-GB"/>
        </w:rPr>
        <w:footnoteRef/>
      </w:r>
      <w:r w:rsidRPr="00702082">
        <w:rPr>
          <w:lang w:val="en-GB"/>
        </w:rPr>
        <w:t xml:space="preserve"> </w:t>
      </w:r>
      <w:proofErr w:type="spellStart"/>
      <w:r>
        <w:rPr>
          <w:lang w:val="en-GB"/>
        </w:rPr>
        <w:t>Klint</w:t>
      </w:r>
      <w:proofErr w:type="spellEnd"/>
      <w:r>
        <w:rPr>
          <w:lang w:val="en-GB"/>
        </w:rPr>
        <w:t xml:space="preserve"> Finley, “Diversity in Open Source Is Even Worse </w:t>
      </w:r>
      <w:proofErr w:type="gramStart"/>
      <w:r>
        <w:rPr>
          <w:lang w:val="en-GB"/>
        </w:rPr>
        <w:t>Than</w:t>
      </w:r>
      <w:proofErr w:type="gramEnd"/>
      <w:r>
        <w:rPr>
          <w:lang w:val="en-GB"/>
        </w:rPr>
        <w:t xml:space="preserve"> in Tech Overall,” Wired, June 2, 2017, accessed January 17, 2018, </w:t>
      </w:r>
      <w:r w:rsidRPr="00C9482C">
        <w:rPr>
          <w:lang w:val="en-GB"/>
        </w:rPr>
        <w:t>www.wired.com/2017/06/diversity-open-source-even-worse-tech-overall/</w:t>
      </w:r>
      <w:r>
        <w:rPr>
          <w:lang w:val="en-GB"/>
        </w:rPr>
        <w:t>.</w:t>
      </w:r>
    </w:p>
  </w:footnote>
  <w:footnote w:id="7">
    <w:p w14:paraId="23D2FA4D" w14:textId="1289C4E2" w:rsidR="002818C8" w:rsidRDefault="003F6293" w:rsidP="003F6293">
      <w:pPr>
        <w:pStyle w:val="FootnoteText1"/>
      </w:pPr>
      <w:r w:rsidRPr="00702082">
        <w:rPr>
          <w:rStyle w:val="FootnoteReference"/>
          <w:lang w:val="en-GB"/>
        </w:rPr>
        <w:footnoteRef/>
      </w:r>
      <w:r w:rsidRPr="00C9482C">
        <w:rPr>
          <w:lang w:val="en-GB"/>
        </w:rPr>
        <w:t xml:space="preserve"> </w:t>
      </w:r>
      <w:proofErr w:type="spellStart"/>
      <w:r>
        <w:rPr>
          <w:lang w:val="en-GB"/>
        </w:rPr>
        <w:t>Bessma</w:t>
      </w:r>
      <w:proofErr w:type="spellEnd"/>
      <w:r>
        <w:rPr>
          <w:lang w:val="en-GB"/>
        </w:rPr>
        <w:t xml:space="preserve"> Momani and Jillian </w:t>
      </w:r>
      <w:proofErr w:type="spellStart"/>
      <w:r>
        <w:rPr>
          <w:lang w:val="en-GB"/>
        </w:rPr>
        <w:t>Stirk</w:t>
      </w:r>
      <w:proofErr w:type="spellEnd"/>
      <w:r>
        <w:rPr>
          <w:lang w:val="en-GB"/>
        </w:rPr>
        <w:t xml:space="preserve">, “Diversity Dividend: Canada’s Global Advantage,” Centre for International Governance Innovation, 2017, accessed January 17, 2018, </w:t>
      </w:r>
      <w:r w:rsidR="002818C8" w:rsidRPr="002818C8">
        <w:t>www.cigionline.org/sites/default/files/documents/DiversitySpecial%20Report</w:t>
      </w:r>
    </w:p>
    <w:p w14:paraId="695B1247" w14:textId="6FD9318A" w:rsidR="003F6293" w:rsidRPr="00A65BD1" w:rsidRDefault="003F6293" w:rsidP="003F6293">
      <w:pPr>
        <w:pStyle w:val="FootnoteText1"/>
      </w:pPr>
      <w:proofErr w:type="gramStart"/>
      <w:r w:rsidRPr="00A65BD1">
        <w:t>%20WEB_0.pdf.</w:t>
      </w:r>
      <w:proofErr w:type="gramEnd"/>
      <w:r w:rsidRPr="00A65BD1">
        <w:t xml:space="preserve"> </w:t>
      </w:r>
    </w:p>
  </w:footnote>
  <w:footnote w:id="8">
    <w:p w14:paraId="11645F94" w14:textId="36FC1C8C" w:rsidR="00A57AB2" w:rsidRDefault="00A57AB2" w:rsidP="00A57AB2">
      <w:pPr>
        <w:pStyle w:val="FootnoteText1"/>
      </w:pPr>
      <w:r>
        <w:rPr>
          <w:rStyle w:val="FootnoteReference"/>
        </w:rPr>
        <w:footnoteRef/>
      </w:r>
      <w:r>
        <w:t xml:space="preserve"> A</w:t>
      </w:r>
      <w:r w:rsidRPr="00695617">
        <w:rPr>
          <w:lang w:val="en-GB"/>
        </w:rPr>
        <w:t xml:space="preserve"> national non</w:t>
      </w:r>
      <w:r>
        <w:rPr>
          <w:lang w:val="en-GB"/>
        </w:rPr>
        <w:t>-</w:t>
      </w:r>
      <w:r w:rsidRPr="00695617">
        <w:rPr>
          <w:lang w:val="en-GB"/>
        </w:rPr>
        <w:t xml:space="preserve">profit </w:t>
      </w:r>
      <w:r>
        <w:rPr>
          <w:lang w:val="en-GB"/>
        </w:rPr>
        <w:t xml:space="preserve">organization </w:t>
      </w:r>
      <w:r w:rsidRPr="00695617">
        <w:rPr>
          <w:lang w:val="en-GB"/>
        </w:rPr>
        <w:t>dedicated to creating actionable steps to support and advance women in tech</w:t>
      </w:r>
      <w:r>
        <w:rPr>
          <w:lang w:val="en-GB"/>
        </w:rPr>
        <w:t>nology</w:t>
      </w:r>
      <w:r>
        <w:rPr>
          <w:lang w:val="en-GB"/>
        </w:rPr>
        <w:t>.</w:t>
      </w:r>
    </w:p>
  </w:footnote>
  <w:footnote w:id="9">
    <w:p w14:paraId="65D92A8C" w14:textId="77777777" w:rsidR="003F6293" w:rsidRPr="002E2462" w:rsidRDefault="003F6293" w:rsidP="003F6293">
      <w:pPr>
        <w:pStyle w:val="FootnoteText1"/>
      </w:pPr>
      <w:r w:rsidRPr="002E2462">
        <w:rPr>
          <w:rStyle w:val="FootnoteReference"/>
        </w:rPr>
        <w:footnoteRef/>
      </w:r>
      <w:r>
        <w:t xml:space="preserve"> </w:t>
      </w:r>
      <w:r w:rsidRPr="003541C5">
        <w:t xml:space="preserve">Devon Magliozzi, “Making Our Voices Heard,” The </w:t>
      </w:r>
      <w:proofErr w:type="spellStart"/>
      <w:r w:rsidRPr="003541C5">
        <w:t>Clayman</w:t>
      </w:r>
      <w:proofErr w:type="spellEnd"/>
      <w:r w:rsidRPr="003541C5">
        <w:t xml:space="preserve"> Institute for Gender Research, </w:t>
      </w:r>
      <w:r>
        <w:t xml:space="preserve">Stanford University, </w:t>
      </w:r>
      <w:r w:rsidRPr="003541C5">
        <w:t>December 14, 2015, accessed April 9, 2018, https://gender.stanford.edu/news-publications/gender-news/making-our-voices-heard-meghan-sumner-investigates-gender-dynamics.</w:t>
      </w:r>
    </w:p>
  </w:footnote>
  <w:footnote w:id="10">
    <w:p w14:paraId="57422742" w14:textId="77777777" w:rsidR="003F6293" w:rsidRPr="00702082" w:rsidRDefault="003F6293" w:rsidP="003F6293">
      <w:pPr>
        <w:pStyle w:val="FootnoteText1"/>
        <w:rPr>
          <w:lang w:val="en-GB"/>
        </w:rPr>
      </w:pPr>
      <w:r w:rsidRPr="00702082">
        <w:rPr>
          <w:rStyle w:val="FootnoteReference"/>
          <w:lang w:val="en-GB"/>
        </w:rPr>
        <w:footnoteRef/>
      </w:r>
      <w:r w:rsidRPr="00702082">
        <w:rPr>
          <w:lang w:val="en-GB"/>
        </w:rPr>
        <w:t xml:space="preserve"> </w:t>
      </w:r>
      <w:r>
        <w:rPr>
          <w:lang w:val="en-GB"/>
        </w:rPr>
        <w:t>BBC Two, “No More Boys and Girls: Can Our Kids Go Gender Free</w:t>
      </w:r>
      <w:proofErr w:type="gramStart"/>
      <w:r>
        <w:rPr>
          <w:lang w:val="en-GB"/>
        </w:rPr>
        <w:t>?,</w:t>
      </w:r>
      <w:proofErr w:type="gramEnd"/>
      <w:r>
        <w:rPr>
          <w:lang w:val="en-GB"/>
        </w:rPr>
        <w:t xml:space="preserve">” accessed January 18, 2018, </w:t>
      </w:r>
      <w:r w:rsidRPr="00A65BD1">
        <w:rPr>
          <w:lang w:val="en-GB"/>
        </w:rPr>
        <w:t>www.bbc.co.uk/mediacentre/proginfo/2017/33/no-more-boys-and-girls</w:t>
      </w:r>
      <w:r>
        <w:rPr>
          <w:lang w:val="en-GB"/>
        </w:rPr>
        <w:t>.</w:t>
      </w:r>
    </w:p>
  </w:footnote>
  <w:footnote w:id="11">
    <w:p w14:paraId="34F16823" w14:textId="09A0629E" w:rsidR="002818C8" w:rsidRDefault="003F6293" w:rsidP="003F6293">
      <w:pPr>
        <w:pStyle w:val="FootnoteText1"/>
      </w:pPr>
      <w:r w:rsidRPr="00702082">
        <w:rPr>
          <w:rStyle w:val="FootnoteReference"/>
          <w:lang w:val="en-GB"/>
        </w:rPr>
        <w:footnoteRef/>
      </w:r>
      <w:r w:rsidRPr="00702082">
        <w:rPr>
          <w:lang w:val="en-GB"/>
        </w:rPr>
        <w:t xml:space="preserve"> </w:t>
      </w:r>
      <w:proofErr w:type="gramStart"/>
      <w:r w:rsidRPr="00A65BD1">
        <w:t>“</w:t>
      </w:r>
      <w:r>
        <w:t>Circuity.</w:t>
      </w:r>
      <w:proofErr w:type="gramEnd"/>
      <w:r>
        <w:t xml:space="preserve"> </w:t>
      </w:r>
      <w:proofErr w:type="gramStart"/>
      <w:r>
        <w:t>Poetry.</w:t>
      </w:r>
      <w:proofErr w:type="gramEnd"/>
      <w:r>
        <w:t xml:space="preserve"> </w:t>
      </w:r>
      <w:proofErr w:type="gramStart"/>
      <w:r>
        <w:t>Photography.</w:t>
      </w:r>
      <w:proofErr w:type="gramEnd"/>
      <w:r>
        <w:t xml:space="preserve"> | </w:t>
      </w:r>
      <w:r w:rsidRPr="00A65BD1">
        <w:t>Learning to Work Together at Red Hat</w:t>
      </w:r>
      <w:r>
        <w:t xml:space="preserve"> CO.LAB</w:t>
      </w:r>
      <w:r w:rsidRPr="00A65BD1">
        <w:t>,</w:t>
      </w:r>
      <w:r>
        <w:t>”</w:t>
      </w:r>
      <w:r w:rsidRPr="00A65BD1">
        <w:t xml:space="preserve"> YouTube</w:t>
      </w:r>
      <w:r>
        <w:t xml:space="preserve"> video</w:t>
      </w:r>
      <w:r w:rsidRPr="00A65BD1">
        <w:t>,</w:t>
      </w:r>
      <w:r>
        <w:t xml:space="preserve"> 2:27, posted by Red Hat Videos, December 19, 2017,</w:t>
      </w:r>
      <w:r w:rsidRPr="00A65BD1">
        <w:t xml:space="preserve"> accessed January 15, 2018, </w:t>
      </w:r>
      <w:r w:rsidR="002818C8" w:rsidRPr="002818C8">
        <w:t>www.youtube.com/watch?time_continue=65&amp;v=hHc3wzG81</w:t>
      </w:r>
    </w:p>
    <w:p w14:paraId="1FE8E61F" w14:textId="2C34D2EB" w:rsidR="003F6293" w:rsidRPr="00A65BD1" w:rsidRDefault="003F6293" w:rsidP="003F6293">
      <w:pPr>
        <w:pStyle w:val="FootnoteText1"/>
      </w:pPr>
      <w:proofErr w:type="spellStart"/>
      <w:proofErr w:type="gramStart"/>
      <w:r w:rsidRPr="00A65BD1">
        <w:t>yg</w:t>
      </w:r>
      <w:proofErr w:type="spellEnd"/>
      <w:proofErr w:type="gramEnd"/>
      <w:r w:rsidRPr="00A65BD1">
        <w:t xml:space="preserve">, </w:t>
      </w:r>
      <w:r>
        <w:t xml:space="preserve">at </w:t>
      </w:r>
      <w:r w:rsidRPr="00A65BD1">
        <w:t>0:45.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1005376E" w:rsidR="003F6293" w:rsidRPr="00C92CC4" w:rsidRDefault="003F629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A5A07">
      <w:rPr>
        <w:rFonts w:ascii="Arial" w:hAnsi="Arial"/>
        <w:b/>
        <w:noProof/>
      </w:rPr>
      <w:t>10</w:t>
    </w:r>
    <w:r>
      <w:rPr>
        <w:rFonts w:ascii="Arial" w:hAnsi="Arial"/>
        <w:b/>
      </w:rPr>
      <w:fldChar w:fldCharType="end"/>
    </w:r>
    <w:r>
      <w:rPr>
        <w:rFonts w:ascii="Arial" w:hAnsi="Arial"/>
        <w:b/>
      </w:rPr>
      <w:tab/>
      <w:t>9B18C041</w:t>
    </w:r>
  </w:p>
  <w:p w14:paraId="2B53C0A0" w14:textId="77777777" w:rsidR="003F6293" w:rsidRDefault="003F6293" w:rsidP="00D13667">
    <w:pPr>
      <w:pStyle w:val="Header"/>
      <w:tabs>
        <w:tab w:val="clear" w:pos="4680"/>
      </w:tabs>
      <w:rPr>
        <w:sz w:val="18"/>
        <w:szCs w:val="18"/>
      </w:rPr>
    </w:pPr>
  </w:p>
  <w:p w14:paraId="47119730" w14:textId="77777777" w:rsidR="003F6293" w:rsidRPr="00C92CC4" w:rsidRDefault="003F6293"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818C8"/>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C70A7"/>
    <w:rsid w:val="003D0BA1"/>
    <w:rsid w:val="003F2B0C"/>
    <w:rsid w:val="003F6293"/>
    <w:rsid w:val="004105B2"/>
    <w:rsid w:val="0041145A"/>
    <w:rsid w:val="00412900"/>
    <w:rsid w:val="004221E4"/>
    <w:rsid w:val="004273F8"/>
    <w:rsid w:val="004355A3"/>
    <w:rsid w:val="00446546"/>
    <w:rsid w:val="00452769"/>
    <w:rsid w:val="00454FA7"/>
    <w:rsid w:val="00465348"/>
    <w:rsid w:val="004979A5"/>
    <w:rsid w:val="004A25E0"/>
    <w:rsid w:val="004B1CCB"/>
    <w:rsid w:val="004B3AC4"/>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5EFE"/>
    <w:rsid w:val="005F42E2"/>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57AB2"/>
    <w:rsid w:val="00A676A0"/>
    <w:rsid w:val="00AA5A07"/>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DF5ECB"/>
    <w:rsid w:val="00E471A7"/>
    <w:rsid w:val="00E635CF"/>
    <w:rsid w:val="00EB1E3B"/>
    <w:rsid w:val="00EC6E0A"/>
    <w:rsid w:val="00ED4E18"/>
    <w:rsid w:val="00ED7922"/>
    <w:rsid w:val="00EE02C4"/>
    <w:rsid w:val="00EE1F37"/>
    <w:rsid w:val="00F0159C"/>
    <w:rsid w:val="00F105B7"/>
    <w:rsid w:val="00F13220"/>
    <w:rsid w:val="00F17A21"/>
    <w:rsid w:val="00F37B27"/>
    <w:rsid w:val="00F46556"/>
    <w:rsid w:val="00F50E91"/>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ColorfulList-Accent11">
    <w:name w:val="Colorful List - Accent 11"/>
    <w:basedOn w:val="Normal"/>
    <w:uiPriority w:val="34"/>
    <w:qFormat/>
    <w:rsid w:val="003F6293"/>
    <w:pPr>
      <w:ind w:left="720"/>
      <w:contextualSpacing/>
      <w:jc w:val="both"/>
    </w:pPr>
    <w:rPr>
      <w:rFonts w:eastAsia="Calibri"/>
      <w:sz w:val="22"/>
      <w:szCs w:val="22"/>
    </w:rPr>
  </w:style>
  <w:style w:type="character" w:customStyle="1" w:styleId="IntenseReference1">
    <w:name w:val="Intense Reference1"/>
    <w:uiPriority w:val="32"/>
    <w:qFormat/>
    <w:rsid w:val="003F6293"/>
    <w:rPr>
      <w:b/>
      <w:bCs/>
      <w:smallCaps/>
      <w:color w:val="C0504D"/>
      <w:spacing w:val="5"/>
      <w:u w:val="single"/>
    </w:rPr>
  </w:style>
  <w:style w:type="paragraph" w:customStyle="1" w:styleId="MediumGrid21">
    <w:name w:val="Medium Grid 21"/>
    <w:link w:val="MediumGrid2Char"/>
    <w:uiPriority w:val="1"/>
    <w:qFormat/>
    <w:rsid w:val="003F6293"/>
    <w:pPr>
      <w:spacing w:after="0" w:line="240" w:lineRule="auto"/>
    </w:pPr>
    <w:rPr>
      <w:rFonts w:ascii="Calibri" w:eastAsia="Calibri" w:hAnsi="Calibri" w:cs="Times New Roman"/>
      <w:lang w:val="en-IN"/>
    </w:rPr>
  </w:style>
  <w:style w:type="character" w:customStyle="1" w:styleId="MediumGrid2Char">
    <w:name w:val="Medium Grid 2 Char"/>
    <w:link w:val="MediumGrid21"/>
    <w:uiPriority w:val="1"/>
    <w:rsid w:val="003F6293"/>
    <w:rPr>
      <w:rFonts w:ascii="Calibri" w:eastAsia="Calibri" w:hAnsi="Calibri" w:cs="Times New Roman"/>
      <w:lang w:val="en-IN"/>
    </w:rPr>
  </w:style>
  <w:style w:type="character" w:styleId="HTMLCite">
    <w:name w:val="HTML Cite"/>
    <w:uiPriority w:val="99"/>
    <w:semiHidden/>
    <w:unhideWhenUsed/>
    <w:rsid w:val="003F6293"/>
    <w:rPr>
      <w:i/>
      <w:iCs/>
    </w:rPr>
  </w:style>
  <w:style w:type="paragraph" w:customStyle="1" w:styleId="AutoCorrect">
    <w:name w:val="AutoCorrect"/>
    <w:rsid w:val="003F6293"/>
    <w:rPr>
      <w:rFonts w:ascii="Calibri" w:eastAsia="Times New Roman" w:hAnsi="Calibri" w:cs="Times New Roman"/>
    </w:rPr>
  </w:style>
  <w:style w:type="paragraph" w:customStyle="1" w:styleId="ColorfulShading-Accent11">
    <w:name w:val="Colorful Shading - Accent 11"/>
    <w:hidden/>
    <w:uiPriority w:val="99"/>
    <w:semiHidden/>
    <w:rsid w:val="003F6293"/>
    <w:pPr>
      <w:spacing w:after="0" w:line="240" w:lineRule="auto"/>
    </w:pPr>
    <w:rPr>
      <w:rFonts w:ascii="Times New Roman" w:eastAsia="Times New Roman" w:hAnsi="Times New Roman" w:cs="Times New Roman"/>
      <w:sz w:val="20"/>
      <w:szCs w:val="20"/>
    </w:rPr>
  </w:style>
  <w:style w:type="character" w:customStyle="1" w:styleId="A1">
    <w:name w:val="A1"/>
    <w:uiPriority w:val="99"/>
    <w:rsid w:val="003F6293"/>
    <w:rPr>
      <w:rFonts w:cs="Xerox Sans"/>
      <w:color w:val="000000"/>
      <w:sz w:val="20"/>
      <w:szCs w:val="20"/>
    </w:rPr>
  </w:style>
  <w:style w:type="paragraph" w:customStyle="1" w:styleId="ecxmsonormal">
    <w:name w:val="ecxmsonormal"/>
    <w:basedOn w:val="Normal"/>
    <w:rsid w:val="003F6293"/>
    <w:pPr>
      <w:spacing w:before="100" w:beforeAutospacing="1" w:after="100" w:afterAutospacing="1"/>
    </w:pPr>
    <w:rPr>
      <w:sz w:val="24"/>
      <w:szCs w:val="24"/>
    </w:rPr>
  </w:style>
  <w:style w:type="paragraph" w:customStyle="1" w:styleId="Pa7">
    <w:name w:val="Pa7"/>
    <w:basedOn w:val="Default"/>
    <w:next w:val="Default"/>
    <w:uiPriority w:val="99"/>
    <w:rsid w:val="003F6293"/>
    <w:pPr>
      <w:widowControl/>
      <w:adjustRightInd w:val="0"/>
      <w:spacing w:line="196" w:lineRule="atLeast"/>
    </w:pPr>
    <w:rPr>
      <w:rFonts w:ascii="Minion Pro" w:eastAsia="Calibri" w:hAnsi="Minion Pro" w:hint="default"/>
      <w:color w:val="auto"/>
      <w:szCs w:val="24"/>
    </w:rPr>
  </w:style>
  <w:style w:type="character" w:customStyle="1" w:styleId="A15">
    <w:name w:val="A15"/>
    <w:uiPriority w:val="99"/>
    <w:rsid w:val="003F6293"/>
    <w:rPr>
      <w:rFonts w:ascii="Franklin Gothic Book" w:hAnsi="Franklin Gothic Book" w:cs="Franklin Gothic Book" w:hint="default"/>
      <w:color w:val="000000"/>
      <w:sz w:val="18"/>
      <w:szCs w:val="18"/>
    </w:rPr>
  </w:style>
  <w:style w:type="character" w:customStyle="1" w:styleId="Mention1">
    <w:name w:val="Mention1"/>
    <w:uiPriority w:val="99"/>
    <w:semiHidden/>
    <w:unhideWhenUsed/>
    <w:rsid w:val="003F6293"/>
    <w:rPr>
      <w:color w:val="2B579A"/>
      <w:shd w:val="clear" w:color="auto" w:fill="E6E6E6"/>
    </w:rPr>
  </w:style>
  <w:style w:type="character" w:customStyle="1" w:styleId="UnresolvedMention1">
    <w:name w:val="Unresolved Mention1"/>
    <w:uiPriority w:val="99"/>
    <w:semiHidden/>
    <w:unhideWhenUsed/>
    <w:rsid w:val="003F6293"/>
    <w:rPr>
      <w:color w:val="808080"/>
      <w:shd w:val="clear" w:color="auto" w:fill="E6E6E6"/>
    </w:rPr>
  </w:style>
  <w:style w:type="character" w:customStyle="1" w:styleId="UnresolvedMention">
    <w:name w:val="Unresolved Mention"/>
    <w:basedOn w:val="DefaultParagraphFont"/>
    <w:uiPriority w:val="99"/>
    <w:semiHidden/>
    <w:unhideWhenUsed/>
    <w:rsid w:val="003F6293"/>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ColorfulList-Accent11">
    <w:name w:val="Colorful List - Accent 11"/>
    <w:basedOn w:val="Normal"/>
    <w:uiPriority w:val="34"/>
    <w:qFormat/>
    <w:rsid w:val="003F6293"/>
    <w:pPr>
      <w:ind w:left="720"/>
      <w:contextualSpacing/>
      <w:jc w:val="both"/>
    </w:pPr>
    <w:rPr>
      <w:rFonts w:eastAsia="Calibri"/>
      <w:sz w:val="22"/>
      <w:szCs w:val="22"/>
    </w:rPr>
  </w:style>
  <w:style w:type="character" w:customStyle="1" w:styleId="IntenseReference1">
    <w:name w:val="Intense Reference1"/>
    <w:uiPriority w:val="32"/>
    <w:qFormat/>
    <w:rsid w:val="003F6293"/>
    <w:rPr>
      <w:b/>
      <w:bCs/>
      <w:smallCaps/>
      <w:color w:val="C0504D"/>
      <w:spacing w:val="5"/>
      <w:u w:val="single"/>
    </w:rPr>
  </w:style>
  <w:style w:type="paragraph" w:customStyle="1" w:styleId="MediumGrid21">
    <w:name w:val="Medium Grid 21"/>
    <w:link w:val="MediumGrid2Char"/>
    <w:uiPriority w:val="1"/>
    <w:qFormat/>
    <w:rsid w:val="003F6293"/>
    <w:pPr>
      <w:spacing w:after="0" w:line="240" w:lineRule="auto"/>
    </w:pPr>
    <w:rPr>
      <w:rFonts w:ascii="Calibri" w:eastAsia="Calibri" w:hAnsi="Calibri" w:cs="Times New Roman"/>
      <w:lang w:val="en-IN"/>
    </w:rPr>
  </w:style>
  <w:style w:type="character" w:customStyle="1" w:styleId="MediumGrid2Char">
    <w:name w:val="Medium Grid 2 Char"/>
    <w:link w:val="MediumGrid21"/>
    <w:uiPriority w:val="1"/>
    <w:rsid w:val="003F6293"/>
    <w:rPr>
      <w:rFonts w:ascii="Calibri" w:eastAsia="Calibri" w:hAnsi="Calibri" w:cs="Times New Roman"/>
      <w:lang w:val="en-IN"/>
    </w:rPr>
  </w:style>
  <w:style w:type="character" w:styleId="HTMLCite">
    <w:name w:val="HTML Cite"/>
    <w:uiPriority w:val="99"/>
    <w:semiHidden/>
    <w:unhideWhenUsed/>
    <w:rsid w:val="003F6293"/>
    <w:rPr>
      <w:i/>
      <w:iCs/>
    </w:rPr>
  </w:style>
  <w:style w:type="paragraph" w:customStyle="1" w:styleId="AutoCorrect">
    <w:name w:val="AutoCorrect"/>
    <w:rsid w:val="003F6293"/>
    <w:rPr>
      <w:rFonts w:ascii="Calibri" w:eastAsia="Times New Roman" w:hAnsi="Calibri" w:cs="Times New Roman"/>
    </w:rPr>
  </w:style>
  <w:style w:type="paragraph" w:customStyle="1" w:styleId="ColorfulShading-Accent11">
    <w:name w:val="Colorful Shading - Accent 11"/>
    <w:hidden/>
    <w:uiPriority w:val="99"/>
    <w:semiHidden/>
    <w:rsid w:val="003F6293"/>
    <w:pPr>
      <w:spacing w:after="0" w:line="240" w:lineRule="auto"/>
    </w:pPr>
    <w:rPr>
      <w:rFonts w:ascii="Times New Roman" w:eastAsia="Times New Roman" w:hAnsi="Times New Roman" w:cs="Times New Roman"/>
      <w:sz w:val="20"/>
      <w:szCs w:val="20"/>
    </w:rPr>
  </w:style>
  <w:style w:type="character" w:customStyle="1" w:styleId="A1">
    <w:name w:val="A1"/>
    <w:uiPriority w:val="99"/>
    <w:rsid w:val="003F6293"/>
    <w:rPr>
      <w:rFonts w:cs="Xerox Sans"/>
      <w:color w:val="000000"/>
      <w:sz w:val="20"/>
      <w:szCs w:val="20"/>
    </w:rPr>
  </w:style>
  <w:style w:type="paragraph" w:customStyle="1" w:styleId="ecxmsonormal">
    <w:name w:val="ecxmsonormal"/>
    <w:basedOn w:val="Normal"/>
    <w:rsid w:val="003F6293"/>
    <w:pPr>
      <w:spacing w:before="100" w:beforeAutospacing="1" w:after="100" w:afterAutospacing="1"/>
    </w:pPr>
    <w:rPr>
      <w:sz w:val="24"/>
      <w:szCs w:val="24"/>
    </w:rPr>
  </w:style>
  <w:style w:type="paragraph" w:customStyle="1" w:styleId="Pa7">
    <w:name w:val="Pa7"/>
    <w:basedOn w:val="Default"/>
    <w:next w:val="Default"/>
    <w:uiPriority w:val="99"/>
    <w:rsid w:val="003F6293"/>
    <w:pPr>
      <w:widowControl/>
      <w:adjustRightInd w:val="0"/>
      <w:spacing w:line="196" w:lineRule="atLeast"/>
    </w:pPr>
    <w:rPr>
      <w:rFonts w:ascii="Minion Pro" w:eastAsia="Calibri" w:hAnsi="Minion Pro" w:hint="default"/>
      <w:color w:val="auto"/>
      <w:szCs w:val="24"/>
    </w:rPr>
  </w:style>
  <w:style w:type="character" w:customStyle="1" w:styleId="A15">
    <w:name w:val="A15"/>
    <w:uiPriority w:val="99"/>
    <w:rsid w:val="003F6293"/>
    <w:rPr>
      <w:rFonts w:ascii="Franklin Gothic Book" w:hAnsi="Franklin Gothic Book" w:cs="Franklin Gothic Book" w:hint="default"/>
      <w:color w:val="000000"/>
      <w:sz w:val="18"/>
      <w:szCs w:val="18"/>
    </w:rPr>
  </w:style>
  <w:style w:type="character" w:customStyle="1" w:styleId="Mention1">
    <w:name w:val="Mention1"/>
    <w:uiPriority w:val="99"/>
    <w:semiHidden/>
    <w:unhideWhenUsed/>
    <w:rsid w:val="003F6293"/>
    <w:rPr>
      <w:color w:val="2B579A"/>
      <w:shd w:val="clear" w:color="auto" w:fill="E6E6E6"/>
    </w:rPr>
  </w:style>
  <w:style w:type="character" w:customStyle="1" w:styleId="UnresolvedMention1">
    <w:name w:val="Unresolved Mention1"/>
    <w:uiPriority w:val="99"/>
    <w:semiHidden/>
    <w:unhideWhenUsed/>
    <w:rsid w:val="003F6293"/>
    <w:rPr>
      <w:color w:val="808080"/>
      <w:shd w:val="clear" w:color="auto" w:fill="E6E6E6"/>
    </w:rPr>
  </w:style>
  <w:style w:type="character" w:customStyle="1" w:styleId="UnresolvedMention">
    <w:name w:val="Unresolved Mention"/>
    <w:basedOn w:val="DefaultParagraphFont"/>
    <w:uiPriority w:val="99"/>
    <w:semiHidden/>
    <w:unhideWhenUsed/>
    <w:rsid w:val="003F62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A9D34-8A9C-40E0-BD3B-3BC812F80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4504</Words>
  <Characters>25679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7</cp:revision>
  <cp:lastPrinted>2015-03-04T20:34:00Z</cp:lastPrinted>
  <dcterms:created xsi:type="dcterms:W3CDTF">2018-10-09T18:01:00Z</dcterms:created>
  <dcterms:modified xsi:type="dcterms:W3CDTF">2018-10-15T12:54:00Z</dcterms:modified>
</cp:coreProperties>
</file>