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465"/>
        <w:gridCol w:w="4787"/>
      </w:tblGrid>
      <w:tr w:rsidR="0012024D" w14:paraId="6FD0D579" w14:textId="77777777" w:rsidTr="00975B95">
        <w:tc>
          <w:tcPr>
            <w:tcW w:w="4680" w:type="dxa"/>
            <w:shd w:val="clear" w:color="auto" w:fill="auto"/>
          </w:tcPr>
          <w:p w14:paraId="14A5E4D7" w14:textId="77777777" w:rsidR="0012024D" w:rsidRPr="00183661" w:rsidRDefault="0012024D" w:rsidP="00975B95">
            <w:pPr>
              <w:pStyle w:val="Casehead2"/>
            </w:pPr>
            <w:r w:rsidRPr="00A9392E">
              <w:rPr>
                <w:noProof/>
                <w:lang w:val="en-US"/>
              </w:rPr>
              <w:drawing>
                <wp:inline distT="0" distB="0" distL="0" distR="0" wp14:anchorId="775E180C" wp14:editId="6FCD8B27">
                  <wp:extent cx="2616200"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4788" w:type="dxa"/>
            <w:shd w:val="clear" w:color="auto" w:fill="auto"/>
          </w:tcPr>
          <w:p w14:paraId="3B48B83D" w14:textId="77777777" w:rsidR="0012024D" w:rsidRPr="00183661" w:rsidRDefault="0012024D" w:rsidP="00975B95">
            <w:pPr>
              <w:tabs>
                <w:tab w:val="left" w:pos="-1440"/>
                <w:tab w:val="left" w:pos="-720"/>
                <w:tab w:val="left" w:pos="1"/>
              </w:tabs>
              <w:jc w:val="right"/>
              <w:rPr>
                <w:rFonts w:ascii="Arial" w:hAnsi="Arial" w:cs="Calibri"/>
                <w:b/>
                <w:sz w:val="24"/>
              </w:rPr>
            </w:pPr>
            <w:r>
              <w:rPr>
                <w:rFonts w:ascii="Arial" w:hAnsi="Arial" w:cs="Calibri"/>
                <w:b/>
                <w:noProof/>
                <w:sz w:val="24"/>
                <w:lang w:val="en-US"/>
              </w:rPr>
              <w:drawing>
                <wp:inline distT="0" distB="0" distL="0" distR="0" wp14:anchorId="3B604EAE" wp14:editId="78B73842">
                  <wp:extent cx="2901950" cy="548640"/>
                  <wp:effectExtent l="0" t="0" r="0" b="3810"/>
                  <wp:docPr id="1" name="Picture 1" descr="UC-hashayn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ashayne-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1950" cy="548640"/>
                          </a:xfrm>
                          <a:prstGeom prst="rect">
                            <a:avLst/>
                          </a:prstGeom>
                          <a:noFill/>
                          <a:ln>
                            <a:noFill/>
                          </a:ln>
                        </pic:spPr>
                      </pic:pic>
                    </a:graphicData>
                  </a:graphic>
                </wp:inline>
              </w:drawing>
            </w:r>
          </w:p>
        </w:tc>
      </w:tr>
    </w:tbl>
    <w:p w14:paraId="399A7094" w14:textId="77777777" w:rsidR="0012024D" w:rsidRPr="005954B2" w:rsidRDefault="0012024D" w:rsidP="0012024D">
      <w:pPr>
        <w:pBdr>
          <w:bottom w:val="single" w:sz="18" w:space="1" w:color="auto"/>
        </w:pBdr>
        <w:tabs>
          <w:tab w:val="left" w:pos="-1440"/>
          <w:tab w:val="left" w:pos="-720"/>
          <w:tab w:val="left" w:pos="1"/>
        </w:tabs>
        <w:jc w:val="both"/>
        <w:rPr>
          <w:rFonts w:ascii="Arial" w:hAnsi="Arial"/>
          <w:b/>
          <w:sz w:val="2"/>
          <w:szCs w:val="2"/>
        </w:rPr>
      </w:pPr>
    </w:p>
    <w:p w14:paraId="74DDADB6" w14:textId="77777777" w:rsidR="0012024D" w:rsidRPr="00BE5FBB" w:rsidRDefault="0012024D" w:rsidP="0012024D">
      <w:pPr>
        <w:pStyle w:val="ProductNumber"/>
        <w:rPr>
          <w:lang w:val="en-US"/>
        </w:rPr>
      </w:pPr>
      <w:r>
        <w:rPr>
          <w:lang w:val="en-US"/>
        </w:rPr>
        <w:t>9B18C044</w:t>
      </w:r>
    </w:p>
    <w:p w14:paraId="1FB38B65" w14:textId="77777777" w:rsidR="007D1BE4" w:rsidRPr="003D0BA1" w:rsidRDefault="007D1BE4" w:rsidP="007D1BE4">
      <w:pPr>
        <w:jc w:val="right"/>
        <w:rPr>
          <w:rFonts w:ascii="Arial" w:hAnsi="Arial"/>
          <w:b/>
          <w:sz w:val="28"/>
          <w:szCs w:val="28"/>
        </w:rPr>
      </w:pPr>
    </w:p>
    <w:p w14:paraId="45F770AB" w14:textId="77777777" w:rsidR="007D1BE4" w:rsidRPr="003D0BA1" w:rsidRDefault="007D1BE4" w:rsidP="007D1BE4">
      <w:pPr>
        <w:jc w:val="right"/>
        <w:rPr>
          <w:rFonts w:ascii="Arial" w:hAnsi="Arial"/>
          <w:b/>
          <w:sz w:val="28"/>
          <w:szCs w:val="28"/>
        </w:rPr>
      </w:pPr>
    </w:p>
    <w:p w14:paraId="40AA2055" w14:textId="77777777" w:rsidR="007D1BE4" w:rsidRPr="00E662F9" w:rsidRDefault="007D1BE4" w:rsidP="007D1BE4">
      <w:pPr>
        <w:pStyle w:val="CaseTitle"/>
        <w:spacing w:after="0"/>
      </w:pPr>
      <w:r w:rsidRPr="00E662F9">
        <w:t>Hop Compost: Maintaining Environmental Accountability with Growth</w:t>
      </w:r>
    </w:p>
    <w:p w14:paraId="7E9D6601" w14:textId="77777777" w:rsidR="007D1BE4" w:rsidRDefault="007D1BE4" w:rsidP="007D1BE4">
      <w:pPr>
        <w:pStyle w:val="CaseTitle"/>
        <w:spacing w:after="0" w:line="240" w:lineRule="auto"/>
        <w:rPr>
          <w:sz w:val="20"/>
          <w:szCs w:val="20"/>
        </w:rPr>
      </w:pPr>
    </w:p>
    <w:p w14:paraId="775F304B" w14:textId="77777777" w:rsidR="007D1BE4" w:rsidRPr="00013360" w:rsidRDefault="007D1BE4" w:rsidP="007D1BE4">
      <w:pPr>
        <w:pStyle w:val="CaseTitle"/>
        <w:spacing w:after="0" w:line="240" w:lineRule="auto"/>
        <w:rPr>
          <w:sz w:val="20"/>
          <w:szCs w:val="20"/>
        </w:rPr>
      </w:pPr>
    </w:p>
    <w:p w14:paraId="19CC97DF" w14:textId="38C47265" w:rsidR="007D1BE4" w:rsidRPr="00627C63" w:rsidRDefault="00BC5624" w:rsidP="007D1BE4">
      <w:pPr>
        <w:pStyle w:val="StyleCopyrightStatementAfter0ptBottomSinglesolidline1"/>
      </w:pPr>
      <w:r>
        <w:t>Houston Pesc</w:t>
      </w:r>
      <w:r w:rsidR="00335F9E">
        <w:t>h</w:t>
      </w:r>
      <w:r>
        <w:t>l, Anne Kleffner, Olga Petricevic, Miranda Mant</w:t>
      </w:r>
      <w:r w:rsidR="00036A0D">
        <w:t>e</w:t>
      </w:r>
      <w:r>
        <w:t>y</w:t>
      </w:r>
      <w:r w:rsidR="00672AB3">
        <w:t>, and Justin Zimmerman</w:t>
      </w:r>
      <w:r w:rsidR="007D1BE4">
        <w:t xml:space="preserve"> </w:t>
      </w:r>
      <w:r w:rsidR="007D1BE4" w:rsidRPr="00104567">
        <w:t>wrote this</w:t>
      </w:r>
      <w:r w:rsidR="007D1BE4">
        <w:t xml:space="preserve"> case </w:t>
      </w:r>
      <w:r w:rsidR="007D1BE4" w:rsidRPr="00104567">
        <w:t>solely to provide material for class discussion. The</w:t>
      </w:r>
      <w:r w:rsidR="007D1BE4">
        <w:t xml:space="preserve"> authors do not intend to illustrate either effective or ineffective handling of a managerial situation. The authors may have disguised certain names and other identifying information to protect confidentiality.</w:t>
      </w:r>
    </w:p>
    <w:p w14:paraId="58EB0BC5" w14:textId="77777777" w:rsidR="007D1BE4" w:rsidRDefault="007D1BE4" w:rsidP="007D1BE4">
      <w:pPr>
        <w:pStyle w:val="StyleCopyrightStatementAfter0ptBottomSinglesolidline1"/>
      </w:pPr>
    </w:p>
    <w:p w14:paraId="6A351F69" w14:textId="77777777" w:rsidR="0012024D" w:rsidRDefault="0012024D" w:rsidP="0012024D">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302DCE2" w14:textId="77777777" w:rsidR="0012024D" w:rsidRDefault="0012024D" w:rsidP="0012024D">
      <w:pPr>
        <w:jc w:val="both"/>
        <w:rPr>
          <w:rFonts w:ascii="Arial" w:hAnsi="Arial" w:cs="Arial"/>
          <w:i/>
          <w:iCs/>
          <w:sz w:val="16"/>
          <w:szCs w:val="16"/>
          <w:lang w:val="en-CA"/>
        </w:rPr>
      </w:pPr>
    </w:p>
    <w:p w14:paraId="4F331B24" w14:textId="6123777D" w:rsidR="007D1BE4" w:rsidRDefault="0012024D" w:rsidP="0012024D">
      <w:pPr>
        <w:pStyle w:val="StyleStyleCopyrightStatementAfter0ptBottomSinglesolid"/>
        <w:outlineLvl w:val="0"/>
      </w:pPr>
      <w:r w:rsidRPr="00672AB3">
        <w:t>Copyright © 2018, Ivey Business School Foundation</w:t>
      </w:r>
      <w:r>
        <w:tab/>
        <w:t>Version: 2018-</w:t>
      </w:r>
      <w:r>
        <w:t>11-01</w:t>
      </w:r>
    </w:p>
    <w:p w14:paraId="76A508E5" w14:textId="77777777" w:rsidR="007D1BE4" w:rsidRPr="003B7EF2" w:rsidRDefault="007D1BE4" w:rsidP="007D1BE4">
      <w:pPr>
        <w:pStyle w:val="StyleCopyrightStatementAfter0ptBottomSinglesolidline1"/>
        <w:rPr>
          <w:rFonts w:ascii="Times New Roman" w:hAnsi="Times New Roman"/>
          <w:sz w:val="20"/>
        </w:rPr>
      </w:pPr>
    </w:p>
    <w:p w14:paraId="34532AB5" w14:textId="77777777" w:rsidR="007D1BE4" w:rsidRDefault="007D1BE4" w:rsidP="007D1BE4">
      <w:pPr>
        <w:pStyle w:val="StyleCopyrightStatementAfter0ptBottomSinglesolidline1"/>
        <w:rPr>
          <w:rFonts w:ascii="Times New Roman" w:hAnsi="Times New Roman"/>
          <w:sz w:val="20"/>
        </w:rPr>
      </w:pPr>
    </w:p>
    <w:p w14:paraId="759A42C8" w14:textId="20FCD3D4" w:rsidR="007D1BE4" w:rsidRDefault="00672AB3" w:rsidP="007D1BE4">
      <w:pPr>
        <w:pStyle w:val="BodyTextMain"/>
      </w:pPr>
      <w:r>
        <w:t xml:space="preserve">It was a typical early morning in November 2015 </w:t>
      </w:r>
      <w:r w:rsidR="00EB4BA5">
        <w:t>for</w:t>
      </w:r>
      <w:r>
        <w:t xml:space="preserve"> Kevin Davies, founder and chief executive officer of Hop Compost (Hop)</w:t>
      </w:r>
      <w:r w:rsidR="00EB4BA5">
        <w:t>. Davies</w:t>
      </w:r>
      <w:r>
        <w:t xml:space="preserve"> entered the company facility</w:t>
      </w:r>
      <w:r w:rsidR="00EB4BA5">
        <w:t>,</w:t>
      </w:r>
      <w:r w:rsidR="007D1BE4">
        <w:t xml:space="preserve"> </w:t>
      </w:r>
      <w:r w:rsidR="00EB4BA5">
        <w:t xml:space="preserve">which was </w:t>
      </w:r>
      <w:r w:rsidR="007D1BE4">
        <w:t xml:space="preserve">located in a </w:t>
      </w:r>
      <w:r w:rsidR="0032286A">
        <w:t>678 square metre (</w:t>
      </w:r>
      <w:r w:rsidR="007D1BE4">
        <w:t>7</w:t>
      </w:r>
      <w:r w:rsidR="0006244D">
        <w:t>,</w:t>
      </w:r>
      <w:r w:rsidR="007D1BE4">
        <w:t>300 square foot) revitalized warehouse in the inner city of Calgary, Alberta, Canada</w:t>
      </w:r>
      <w:r w:rsidR="0006244D">
        <w:t xml:space="preserve">. </w:t>
      </w:r>
      <w:r w:rsidR="005D61C4">
        <w:t>The warehouse</w:t>
      </w:r>
      <w:r w:rsidR="007D1BE4">
        <w:t xml:space="preserve"> represented the beginning of a revolution in the food waste </w:t>
      </w:r>
      <w:r w:rsidR="0006244D">
        <w:t xml:space="preserve">and </w:t>
      </w:r>
      <w:r w:rsidR="007D1BE4">
        <w:t xml:space="preserve">compost industries. </w:t>
      </w:r>
      <w:r w:rsidR="005D61C4">
        <w:t>It</w:t>
      </w:r>
      <w:r w:rsidR="007D1BE4">
        <w:t xml:space="preserve"> was home to one of the major competitive advantages of Hop</w:t>
      </w:r>
      <w:r w:rsidR="0006244D">
        <w:t>—</w:t>
      </w:r>
      <w:r w:rsidR="007D1BE4">
        <w:t xml:space="preserve">the proprietary </w:t>
      </w:r>
      <w:r w:rsidR="007D1BE4" w:rsidRPr="00675426">
        <w:t>Hot Rot Organic Solutions (</w:t>
      </w:r>
      <w:r w:rsidR="007D1BE4">
        <w:t>Hot Rot</w:t>
      </w:r>
      <w:r w:rsidR="00675426">
        <w:t>)</w:t>
      </w:r>
      <w:r w:rsidR="007D1BE4">
        <w:t xml:space="preserve"> system, a specialized technology that </w:t>
      </w:r>
      <w:r w:rsidR="005D61C4">
        <w:t>took</w:t>
      </w:r>
      <w:r w:rsidR="005D61C4" w:rsidRPr="00C6134F">
        <w:t xml:space="preserve"> </w:t>
      </w:r>
      <w:r w:rsidR="007D1BE4" w:rsidRPr="00C6134F">
        <w:t xml:space="preserve">food </w:t>
      </w:r>
      <w:r w:rsidR="007D1BE4">
        <w:t>waste</w:t>
      </w:r>
      <w:r w:rsidR="007D1BE4" w:rsidRPr="00C6134F">
        <w:t xml:space="preserve"> from local restaurants </w:t>
      </w:r>
      <w:r w:rsidR="007D1BE4">
        <w:t>and processe</w:t>
      </w:r>
      <w:r w:rsidR="005D61C4">
        <w:t>d</w:t>
      </w:r>
      <w:r w:rsidR="007D1BE4">
        <w:t xml:space="preserve"> it </w:t>
      </w:r>
      <w:r w:rsidR="00E16C8A">
        <w:t xml:space="preserve">in just 10 days </w:t>
      </w:r>
      <w:r w:rsidR="007D1BE4">
        <w:t xml:space="preserve">into the </w:t>
      </w:r>
      <w:r w:rsidR="007D1BE4" w:rsidRPr="00C6134F">
        <w:t xml:space="preserve">most </w:t>
      </w:r>
      <w:r w:rsidR="00E16C8A">
        <w:t>nutrient dense</w:t>
      </w:r>
      <w:r w:rsidR="007D1BE4" w:rsidRPr="00C6134F">
        <w:t xml:space="preserve"> com</w:t>
      </w:r>
      <w:r w:rsidR="007D1BE4">
        <w:t>post in Canada.</w:t>
      </w:r>
    </w:p>
    <w:p w14:paraId="3A00FB7A" w14:textId="77777777" w:rsidR="007D1BE4" w:rsidRDefault="007D1BE4" w:rsidP="007D1BE4">
      <w:pPr>
        <w:pStyle w:val="BodyTextMain"/>
      </w:pPr>
    </w:p>
    <w:p w14:paraId="52BC44DF" w14:textId="3993C789" w:rsidR="007D1BE4" w:rsidRPr="00672AB3" w:rsidRDefault="007D1BE4" w:rsidP="007D1BE4">
      <w:pPr>
        <w:pStyle w:val="BodyTextMain"/>
        <w:rPr>
          <w:spacing w:val="-2"/>
        </w:rPr>
      </w:pPr>
      <w:r w:rsidRPr="00672AB3">
        <w:rPr>
          <w:spacing w:val="-2"/>
        </w:rPr>
        <w:t>Hop had been operating since February 1, 2015</w:t>
      </w:r>
      <w:r w:rsidR="005D61C4" w:rsidRPr="00672AB3">
        <w:rPr>
          <w:spacing w:val="-2"/>
        </w:rPr>
        <w:t>,</w:t>
      </w:r>
      <w:r w:rsidRPr="00672AB3">
        <w:rPr>
          <w:spacing w:val="-2"/>
        </w:rPr>
        <w:t xml:space="preserve"> and while it had been consistently successful </w:t>
      </w:r>
      <w:r w:rsidR="00EB4BA5">
        <w:rPr>
          <w:spacing w:val="-2"/>
        </w:rPr>
        <w:t>through 2015</w:t>
      </w:r>
      <w:r w:rsidRPr="00672AB3">
        <w:rPr>
          <w:spacing w:val="-2"/>
        </w:rPr>
        <w:t>, Davies recalled the struggles he had in developing and licensing the technology, finding a centralized facility, and securing investment. He credited his passion for his business and environmental stewardship, as well as a strong team behind him</w:t>
      </w:r>
      <w:r w:rsidR="005D61C4" w:rsidRPr="00672AB3">
        <w:rPr>
          <w:spacing w:val="-2"/>
        </w:rPr>
        <w:t>,</w:t>
      </w:r>
      <w:r w:rsidRPr="00672AB3">
        <w:rPr>
          <w:spacing w:val="-2"/>
        </w:rPr>
        <w:t xml:space="preserve"> for overcoming the challenges and reaching facility capacity in less than one year.</w:t>
      </w:r>
    </w:p>
    <w:p w14:paraId="1BAAF8C7" w14:textId="77777777" w:rsidR="007D1BE4" w:rsidRDefault="007D1BE4" w:rsidP="007D1BE4">
      <w:pPr>
        <w:pStyle w:val="BodyTextMain"/>
      </w:pPr>
    </w:p>
    <w:p w14:paraId="0916B500" w14:textId="2AD089DB" w:rsidR="007D1BE4" w:rsidRDefault="007D1BE4" w:rsidP="007D1BE4">
      <w:pPr>
        <w:pStyle w:val="BodyTextMain"/>
      </w:pPr>
      <w:r>
        <w:t xml:space="preserve">The team was already </w:t>
      </w:r>
      <w:r w:rsidRPr="00C6134F">
        <w:t>working toward launching Hop Vancouver</w:t>
      </w:r>
      <w:r>
        <w:t xml:space="preserve"> in</w:t>
      </w:r>
      <w:r w:rsidRPr="00C6134F">
        <w:t xml:space="preserve"> mid-2016</w:t>
      </w:r>
      <w:r w:rsidR="00E16C8A">
        <w:t>; they were also</w:t>
      </w:r>
      <w:r>
        <w:t xml:space="preserve"> </w:t>
      </w:r>
      <w:r w:rsidRPr="00C6134F">
        <w:t>looking</w:t>
      </w:r>
      <w:r>
        <w:t xml:space="preserve"> forward to future expansion by</w:t>
      </w:r>
      <w:r w:rsidRPr="00C6134F">
        <w:t xml:space="preserve"> building partnerships in Toronto</w:t>
      </w:r>
      <w:r>
        <w:t xml:space="preserve"> and several cities across the United States. The impending growth, however, would bring more challenges to the Hop team. The company was going to need heavy investment for this expansion, but convincing investors of </w:t>
      </w:r>
      <w:r w:rsidR="00E16C8A">
        <w:t>Hop’s</w:t>
      </w:r>
      <w:r>
        <w:t xml:space="preserve"> social and environmental impact had proven difficult for Davies in the past.</w:t>
      </w:r>
      <w:r w:rsidR="00903B38">
        <w:t xml:space="preserve"> </w:t>
      </w:r>
      <w:r>
        <w:t>He also understood that with the expansion</w:t>
      </w:r>
      <w:r w:rsidR="00E16C8A">
        <w:t>,</w:t>
      </w:r>
      <w:r>
        <w:t xml:space="preserve"> he would no longer be able to have his hands in every aspect of the business, which could leave the company vulnerable to decisions that would threaten its core social and environmental mission.</w:t>
      </w:r>
    </w:p>
    <w:p w14:paraId="472A7826" w14:textId="77777777" w:rsidR="007D1BE4" w:rsidRDefault="007D1BE4" w:rsidP="007D1BE4">
      <w:pPr>
        <w:pStyle w:val="BodyTextMain"/>
      </w:pPr>
    </w:p>
    <w:p w14:paraId="435017A8" w14:textId="631A2906" w:rsidR="007D1BE4" w:rsidRPr="00672AB3" w:rsidRDefault="007D1BE4" w:rsidP="007D1BE4">
      <w:pPr>
        <w:pStyle w:val="BodyTextMain"/>
        <w:rPr>
          <w:spacing w:val="-4"/>
        </w:rPr>
      </w:pPr>
      <w:r w:rsidRPr="00672AB3">
        <w:rPr>
          <w:spacing w:val="-4"/>
          <w:lang w:val="en-CA"/>
        </w:rPr>
        <w:t xml:space="preserve">Meghan Perry, Hop’s </w:t>
      </w:r>
      <w:r w:rsidR="005D61C4" w:rsidRPr="00672AB3">
        <w:rPr>
          <w:spacing w:val="-4"/>
          <w:lang w:val="en-CA"/>
        </w:rPr>
        <w:t>chief financial officer</w:t>
      </w:r>
      <w:r w:rsidRPr="00672AB3">
        <w:rPr>
          <w:spacing w:val="-4"/>
          <w:lang w:val="en-CA"/>
        </w:rPr>
        <w:t xml:space="preserve">, </w:t>
      </w:r>
      <w:r w:rsidR="00413D5E" w:rsidRPr="00672AB3">
        <w:rPr>
          <w:spacing w:val="-4"/>
        </w:rPr>
        <w:t>considered</w:t>
      </w:r>
      <w:r w:rsidRPr="00672AB3">
        <w:rPr>
          <w:spacing w:val="-4"/>
        </w:rPr>
        <w:t xml:space="preserve"> </w:t>
      </w:r>
      <w:r w:rsidR="004C2267" w:rsidRPr="00672AB3">
        <w:rPr>
          <w:spacing w:val="-4"/>
        </w:rPr>
        <w:t xml:space="preserve">whether Hop should invest resources at this early stage of the company to pursue sustainability certifications, such as the “B Corp” certification, awarded by the non-profit B Lab. </w:t>
      </w:r>
      <w:r w:rsidRPr="00672AB3">
        <w:rPr>
          <w:spacing w:val="-4"/>
        </w:rPr>
        <w:t xml:space="preserve">She also </w:t>
      </w:r>
      <w:r w:rsidR="00413D5E" w:rsidRPr="00672AB3">
        <w:rPr>
          <w:spacing w:val="-4"/>
        </w:rPr>
        <w:t>considered</w:t>
      </w:r>
      <w:r w:rsidRPr="00672AB3">
        <w:rPr>
          <w:spacing w:val="-4"/>
        </w:rPr>
        <w:t xml:space="preserve"> </w:t>
      </w:r>
      <w:r w:rsidR="004C2267" w:rsidRPr="00672AB3">
        <w:rPr>
          <w:spacing w:val="-4"/>
        </w:rPr>
        <w:t>how to position Hop to investors to raise the CA$800,000</w:t>
      </w:r>
      <w:r w:rsidR="004C2267" w:rsidRPr="00672AB3">
        <w:rPr>
          <w:rStyle w:val="FootnoteReference"/>
          <w:spacing w:val="-4"/>
        </w:rPr>
        <w:footnoteReference w:id="1"/>
      </w:r>
      <w:r w:rsidR="004C2267" w:rsidRPr="00672AB3">
        <w:rPr>
          <w:spacing w:val="-4"/>
        </w:rPr>
        <w:t xml:space="preserve"> </w:t>
      </w:r>
      <w:r w:rsidR="00E16C8A" w:rsidRPr="00672AB3">
        <w:rPr>
          <w:spacing w:val="-4"/>
        </w:rPr>
        <w:t>necessary to</w:t>
      </w:r>
      <w:r w:rsidR="004C2267" w:rsidRPr="00672AB3">
        <w:rPr>
          <w:spacing w:val="-4"/>
        </w:rPr>
        <w:t xml:space="preserve"> fund a rapid expansion plan while ensuring that the company kept its core values. </w:t>
      </w:r>
      <w:r w:rsidR="00EB4BA5">
        <w:rPr>
          <w:spacing w:val="-4"/>
        </w:rPr>
        <w:t xml:space="preserve">Now in early 2016, </w:t>
      </w:r>
      <w:r w:rsidR="00413D5E" w:rsidRPr="00672AB3">
        <w:rPr>
          <w:spacing w:val="-4"/>
        </w:rPr>
        <w:t xml:space="preserve">Davies and Perry </w:t>
      </w:r>
      <w:r w:rsidRPr="00672AB3">
        <w:rPr>
          <w:spacing w:val="-4"/>
        </w:rPr>
        <w:t xml:space="preserve">had to report their strategy for both of these issues to </w:t>
      </w:r>
      <w:r w:rsidR="00413D5E" w:rsidRPr="00672AB3">
        <w:rPr>
          <w:spacing w:val="-4"/>
        </w:rPr>
        <w:t>Hop’s b</w:t>
      </w:r>
      <w:r w:rsidRPr="00672AB3">
        <w:rPr>
          <w:spacing w:val="-4"/>
        </w:rPr>
        <w:t xml:space="preserve">oard of </w:t>
      </w:r>
      <w:r w:rsidR="00413D5E" w:rsidRPr="00672AB3">
        <w:rPr>
          <w:spacing w:val="-4"/>
        </w:rPr>
        <w:t>d</w:t>
      </w:r>
      <w:r w:rsidRPr="00672AB3">
        <w:rPr>
          <w:spacing w:val="-4"/>
        </w:rPr>
        <w:t xml:space="preserve">irectors </w:t>
      </w:r>
      <w:r w:rsidR="00413D5E" w:rsidRPr="00672AB3">
        <w:rPr>
          <w:spacing w:val="-4"/>
        </w:rPr>
        <w:t xml:space="preserve">at </w:t>
      </w:r>
      <w:r w:rsidRPr="00672AB3">
        <w:rPr>
          <w:spacing w:val="-4"/>
        </w:rPr>
        <w:t>the end of the next week.</w:t>
      </w:r>
    </w:p>
    <w:p w14:paraId="72A8574D" w14:textId="77777777" w:rsidR="007D1BE4" w:rsidRPr="00EF5067" w:rsidRDefault="007D1BE4" w:rsidP="00EF5067">
      <w:pPr>
        <w:pStyle w:val="BodyTextMain"/>
      </w:pPr>
    </w:p>
    <w:p w14:paraId="4FE3B574" w14:textId="2DBA8421" w:rsidR="007D1BE4" w:rsidRPr="00D760E1" w:rsidRDefault="007D1BE4" w:rsidP="00EF5067">
      <w:pPr>
        <w:pStyle w:val="Casehead1"/>
        <w:outlineLvl w:val="0"/>
      </w:pPr>
      <w:r w:rsidRPr="00D760E1">
        <w:lastRenderedPageBreak/>
        <w:t>Background: Planting the</w:t>
      </w:r>
      <w:r w:rsidR="00DB5119">
        <w:t xml:space="preserve"> IDea </w:t>
      </w:r>
    </w:p>
    <w:p w14:paraId="6DB5103C" w14:textId="77777777" w:rsidR="007D1BE4" w:rsidRPr="00D93284" w:rsidRDefault="007D1BE4" w:rsidP="00EF5067">
      <w:pPr>
        <w:pStyle w:val="BodyTextMain"/>
        <w:keepNext/>
      </w:pPr>
    </w:p>
    <w:p w14:paraId="34B490C5" w14:textId="369EA149" w:rsidR="005F646E" w:rsidRPr="00D366A8" w:rsidRDefault="007D1BE4" w:rsidP="0084066A">
      <w:pPr>
        <w:pStyle w:val="BodyTextMain"/>
        <w:rPr>
          <w:spacing w:val="-4"/>
        </w:rPr>
      </w:pPr>
      <w:r w:rsidRPr="00D366A8">
        <w:rPr>
          <w:spacing w:val="-4"/>
        </w:rPr>
        <w:t>The desire to innovate the composting market came from an unlikely source</w:t>
      </w:r>
      <w:r w:rsidR="001108A1" w:rsidRPr="00D366A8">
        <w:rPr>
          <w:spacing w:val="-4"/>
        </w:rPr>
        <w:t>:</w:t>
      </w:r>
      <w:r w:rsidRPr="00D366A8">
        <w:rPr>
          <w:spacing w:val="-4"/>
        </w:rPr>
        <w:t xml:space="preserve"> Davies</w:t>
      </w:r>
      <w:r w:rsidR="005F646E" w:rsidRPr="00D366A8">
        <w:rPr>
          <w:spacing w:val="-4"/>
        </w:rPr>
        <w:t>’</w:t>
      </w:r>
      <w:r w:rsidRPr="00D366A8">
        <w:rPr>
          <w:spacing w:val="-4"/>
        </w:rPr>
        <w:t xml:space="preserve"> beloved </w:t>
      </w:r>
      <w:r w:rsidR="001108A1" w:rsidRPr="00D366A8">
        <w:rPr>
          <w:spacing w:val="-4"/>
        </w:rPr>
        <w:t>dog</w:t>
      </w:r>
      <w:r w:rsidRPr="00D366A8">
        <w:rPr>
          <w:spacing w:val="-4"/>
        </w:rPr>
        <w:t xml:space="preserve">, Willy, </w:t>
      </w:r>
      <w:r w:rsidR="00FA3473" w:rsidRPr="00D366A8">
        <w:rPr>
          <w:spacing w:val="-4"/>
        </w:rPr>
        <w:t xml:space="preserve">who </w:t>
      </w:r>
      <w:r w:rsidRPr="00D366A8">
        <w:rPr>
          <w:spacing w:val="-4"/>
        </w:rPr>
        <w:t>had been poisoned by the fertilizer used in the family’s garden. Willy recovered, but the experience fuel</w:t>
      </w:r>
      <w:r w:rsidR="00EB06BD" w:rsidRPr="00D366A8">
        <w:rPr>
          <w:spacing w:val="-4"/>
        </w:rPr>
        <w:t>l</w:t>
      </w:r>
      <w:r w:rsidRPr="00D366A8">
        <w:rPr>
          <w:spacing w:val="-4"/>
        </w:rPr>
        <w:t>ed Davies’ determination to find an environmentally-friendly fertilizer that would</w:t>
      </w:r>
      <w:r w:rsidR="005F646E" w:rsidRPr="00D366A8">
        <w:rPr>
          <w:spacing w:val="-4"/>
        </w:rPr>
        <w:t xml:space="preserve"> </w:t>
      </w:r>
      <w:r w:rsidRPr="00D366A8">
        <w:rPr>
          <w:spacing w:val="-4"/>
        </w:rPr>
        <w:t>n</w:t>
      </w:r>
      <w:r w:rsidR="005F646E" w:rsidRPr="00D366A8">
        <w:rPr>
          <w:spacing w:val="-4"/>
        </w:rPr>
        <w:t>o</w:t>
      </w:r>
      <w:r w:rsidRPr="00D366A8">
        <w:rPr>
          <w:spacing w:val="-4"/>
        </w:rPr>
        <w:t>t cause harm to humans or animals.</w:t>
      </w:r>
      <w:r w:rsidR="005F646E" w:rsidRPr="00D366A8">
        <w:rPr>
          <w:spacing w:val="-4"/>
        </w:rPr>
        <w:t xml:space="preserve"> </w:t>
      </w:r>
      <w:r w:rsidRPr="00D366A8">
        <w:rPr>
          <w:spacing w:val="-4"/>
        </w:rPr>
        <w:t xml:space="preserve">With the </w:t>
      </w:r>
      <w:r w:rsidR="00DB5119" w:rsidRPr="00D366A8">
        <w:rPr>
          <w:spacing w:val="-4"/>
        </w:rPr>
        <w:t xml:space="preserve">idea </w:t>
      </w:r>
      <w:r w:rsidRPr="00D366A8">
        <w:rPr>
          <w:spacing w:val="-4"/>
        </w:rPr>
        <w:t xml:space="preserve">planted, Davies investigated the competitive landscape of the composting industry. </w:t>
      </w:r>
    </w:p>
    <w:p w14:paraId="610F58B7" w14:textId="77777777" w:rsidR="005F646E" w:rsidRPr="00D366A8" w:rsidRDefault="005F646E" w:rsidP="0084066A">
      <w:pPr>
        <w:pStyle w:val="BodyTextMain"/>
        <w:rPr>
          <w:spacing w:val="-4"/>
        </w:rPr>
      </w:pPr>
    </w:p>
    <w:p w14:paraId="4CD4A8EE" w14:textId="14D8D4A7" w:rsidR="00675426" w:rsidRDefault="005F646E" w:rsidP="0084066A">
      <w:pPr>
        <w:pStyle w:val="BodyTextMain"/>
      </w:pPr>
      <w:r>
        <w:t>Davies</w:t>
      </w:r>
      <w:r w:rsidR="007D1BE4">
        <w:t xml:space="preserve"> discovered that </w:t>
      </w:r>
      <w:r w:rsidR="007D1BE4" w:rsidRPr="00C6134F">
        <w:t xml:space="preserve">municipal composting policies </w:t>
      </w:r>
      <w:r w:rsidR="007D1BE4">
        <w:t xml:space="preserve">and </w:t>
      </w:r>
      <w:r w:rsidR="007D1BE4" w:rsidRPr="00C6134F">
        <w:t xml:space="preserve">programs had outdated, time-consuming, and unreliable approaches that led to low quality compost. With landfill space projected to run out in </w:t>
      </w:r>
      <w:r w:rsidR="00C358FB">
        <w:t>many</w:t>
      </w:r>
      <w:r w:rsidR="00C358FB" w:rsidRPr="00C6134F">
        <w:t xml:space="preserve"> </w:t>
      </w:r>
      <w:r w:rsidR="007D1BE4" w:rsidRPr="00C6134F">
        <w:t>major Canadian c</w:t>
      </w:r>
      <w:r w:rsidR="007D1BE4">
        <w:t xml:space="preserve">ity </w:t>
      </w:r>
      <w:r w:rsidR="00EB4BA5" w:rsidRPr="006011D4">
        <w:t xml:space="preserve">by </w:t>
      </w:r>
      <w:r w:rsidR="00C358FB" w:rsidRPr="006011D4">
        <w:t>2028</w:t>
      </w:r>
      <w:r w:rsidR="006011D4" w:rsidRPr="006011D4">
        <w:t>,</w:t>
      </w:r>
      <w:r w:rsidR="00C358FB" w:rsidRPr="006011D4">
        <w:rPr>
          <w:rStyle w:val="FootnoteReference"/>
        </w:rPr>
        <w:footnoteReference w:id="2"/>
      </w:r>
      <w:r w:rsidR="007D1BE4">
        <w:t xml:space="preserve"> Davies </w:t>
      </w:r>
      <w:r w:rsidR="007D1BE4" w:rsidRPr="00C6134F">
        <w:t>did</w:t>
      </w:r>
      <w:r>
        <w:t xml:space="preserve"> </w:t>
      </w:r>
      <w:r w:rsidR="007D1BE4" w:rsidRPr="00C6134F">
        <w:t>n</w:t>
      </w:r>
      <w:r>
        <w:t>o</w:t>
      </w:r>
      <w:r w:rsidR="007D1BE4" w:rsidRPr="00C6134F">
        <w:t xml:space="preserve">t see </w:t>
      </w:r>
      <w:r w:rsidR="00EB06BD">
        <w:t>the existing</w:t>
      </w:r>
      <w:r w:rsidR="007D1BE4" w:rsidRPr="00C6134F">
        <w:t xml:space="preserve"> rudimentary approach as the solution to waste management problems. </w:t>
      </w:r>
      <w:r w:rsidR="007D1BE4">
        <w:t xml:space="preserve">He expanded his research, taking time to evaluate </w:t>
      </w:r>
      <w:r w:rsidR="007D1BE4" w:rsidRPr="00C6134F">
        <w:t xml:space="preserve">generational trends and </w:t>
      </w:r>
      <w:r w:rsidR="007D1BE4">
        <w:t xml:space="preserve">the </w:t>
      </w:r>
      <w:r w:rsidR="007D1BE4" w:rsidRPr="00C6134F">
        <w:t>growth of clean tech</w:t>
      </w:r>
      <w:r w:rsidR="007D1BE4">
        <w:t>nology</w:t>
      </w:r>
      <w:r w:rsidR="00675426">
        <w:t>,</w:t>
      </w:r>
      <w:r w:rsidR="007D1BE4">
        <w:t xml:space="preserve"> which had not </w:t>
      </w:r>
      <w:r w:rsidR="007D1BE4" w:rsidRPr="00C6134F">
        <w:t xml:space="preserve">yet been </w:t>
      </w:r>
      <w:r w:rsidR="007D1BE4">
        <w:t xml:space="preserve">used at scale </w:t>
      </w:r>
      <w:r w:rsidR="007D1BE4" w:rsidRPr="00C6134F">
        <w:t>in the composting process</w:t>
      </w:r>
      <w:r w:rsidR="007D1BE4">
        <w:t xml:space="preserve">. He then </w:t>
      </w:r>
      <w:r w:rsidR="00675426">
        <w:t>partnered</w:t>
      </w:r>
      <w:r w:rsidR="007D1BE4" w:rsidRPr="00C6134F">
        <w:t xml:space="preserve"> with a technology firm in Britain to help </w:t>
      </w:r>
      <w:r w:rsidR="007D1BE4">
        <w:t xml:space="preserve">develop his idea. </w:t>
      </w:r>
    </w:p>
    <w:p w14:paraId="5AF13067" w14:textId="77777777" w:rsidR="00675426" w:rsidRDefault="00675426" w:rsidP="0084066A">
      <w:pPr>
        <w:pStyle w:val="BodyTextMain"/>
      </w:pPr>
    </w:p>
    <w:p w14:paraId="563CB99E" w14:textId="1E39DE12" w:rsidR="007D1BE4" w:rsidRPr="00672AB3" w:rsidRDefault="007D1BE4" w:rsidP="00672AB3">
      <w:pPr>
        <w:pStyle w:val="BodyTextMain"/>
      </w:pPr>
      <w:r w:rsidRPr="00672AB3">
        <w:t xml:space="preserve">During the research and development phase, Davies and the technology firm kept uncovering patents that would halt their work. All patents surrounding this technology led back to </w:t>
      </w:r>
      <w:r w:rsidR="009A7F5B" w:rsidRPr="00672AB3">
        <w:t>the Hot Rot</w:t>
      </w:r>
      <w:r w:rsidRPr="00672AB3">
        <w:t xml:space="preserve"> device</w:t>
      </w:r>
      <w:r w:rsidR="00675426" w:rsidRPr="00672AB3">
        <w:t>,</w:t>
      </w:r>
      <w:r w:rsidRPr="00672AB3">
        <w:t xml:space="preserve"> created by a company in New Zealand. </w:t>
      </w:r>
      <w:r w:rsidR="00672AB3" w:rsidRPr="00672AB3">
        <w:t>Instead of attempting to work around the patents to build a competing technology, Davies developed a licensing agreement with Hot Rot.</w:t>
      </w:r>
      <w:r w:rsidRPr="00672AB3">
        <w:t xml:space="preserve"> This agreement gave Davies the exclusive rights to the equipment in Calgary, Edmonton, Vancouver, Toronto, Ottawa, Montreal, </w:t>
      </w:r>
      <w:r w:rsidR="00DA2B0F" w:rsidRPr="00672AB3">
        <w:t xml:space="preserve">and </w:t>
      </w:r>
      <w:r w:rsidRPr="00672AB3">
        <w:t>four cities in the United States.</w:t>
      </w:r>
    </w:p>
    <w:p w14:paraId="72A9CAEC" w14:textId="77777777" w:rsidR="007D1BE4" w:rsidRDefault="007D1BE4" w:rsidP="007D1BE4">
      <w:pPr>
        <w:pStyle w:val="BodyTextMain"/>
      </w:pPr>
    </w:p>
    <w:p w14:paraId="76DAA87B" w14:textId="14D4A734" w:rsidR="007D1BE4" w:rsidRPr="006F4736" w:rsidRDefault="007D1BE4" w:rsidP="007D1BE4">
      <w:pPr>
        <w:pStyle w:val="BodyTextMain"/>
        <w:rPr>
          <w:spacing w:val="-2"/>
        </w:rPr>
      </w:pPr>
      <w:r w:rsidRPr="006F4736">
        <w:rPr>
          <w:spacing w:val="-2"/>
        </w:rPr>
        <w:t xml:space="preserve">Typically, well-sorted, </w:t>
      </w:r>
      <w:r w:rsidR="00DA2B0F" w:rsidRPr="006F4736">
        <w:rPr>
          <w:spacing w:val="-2"/>
        </w:rPr>
        <w:t xml:space="preserve">warm, </w:t>
      </w:r>
      <w:r w:rsidRPr="006F4736">
        <w:rPr>
          <w:spacing w:val="-2"/>
        </w:rPr>
        <w:t xml:space="preserve">moist piles of food waste </w:t>
      </w:r>
      <w:r w:rsidR="006776FC" w:rsidRPr="006F4736">
        <w:rPr>
          <w:spacing w:val="-2"/>
        </w:rPr>
        <w:t xml:space="preserve">took </w:t>
      </w:r>
      <w:r w:rsidRPr="006F4736">
        <w:rPr>
          <w:spacing w:val="-2"/>
        </w:rPr>
        <w:t>approximately three months to compost, which starkly contrast</w:t>
      </w:r>
      <w:r w:rsidR="006776FC" w:rsidRPr="006F4736">
        <w:rPr>
          <w:spacing w:val="-2"/>
        </w:rPr>
        <w:t>ed</w:t>
      </w:r>
      <w:r w:rsidRPr="006F4736">
        <w:rPr>
          <w:spacing w:val="-2"/>
        </w:rPr>
        <w:t xml:space="preserve"> with Hot Rot’s ability to compost unsorted food scraps in 10 days. The Hot Rot process</w:t>
      </w:r>
      <w:r w:rsidR="006776FC" w:rsidRPr="006F4736">
        <w:rPr>
          <w:spacing w:val="-2"/>
        </w:rPr>
        <w:t xml:space="preserve"> wa</w:t>
      </w:r>
      <w:r w:rsidRPr="006F4736">
        <w:rPr>
          <w:spacing w:val="-2"/>
        </w:rPr>
        <w:t>s fully enclosed; it barely releas</w:t>
      </w:r>
      <w:r w:rsidR="006776FC" w:rsidRPr="006F4736">
        <w:rPr>
          <w:spacing w:val="-2"/>
        </w:rPr>
        <w:t>ed</w:t>
      </w:r>
      <w:r w:rsidRPr="006F4736">
        <w:rPr>
          <w:spacing w:val="-2"/>
        </w:rPr>
        <w:t xml:space="preserve"> any odours or liquid by-product, and pest infestation </w:t>
      </w:r>
      <w:r w:rsidR="006776FC" w:rsidRPr="006F4736">
        <w:rPr>
          <w:spacing w:val="-2"/>
        </w:rPr>
        <w:t>wa</w:t>
      </w:r>
      <w:r w:rsidRPr="006F4736">
        <w:rPr>
          <w:spacing w:val="-2"/>
        </w:rPr>
        <w:t xml:space="preserve">s not a concern. The </w:t>
      </w:r>
      <w:r w:rsidR="006776FC" w:rsidRPr="006F4736">
        <w:rPr>
          <w:spacing w:val="-2"/>
        </w:rPr>
        <w:t xml:space="preserve">resulting </w:t>
      </w:r>
      <w:r w:rsidRPr="006F4736">
        <w:rPr>
          <w:spacing w:val="-2"/>
        </w:rPr>
        <w:t xml:space="preserve">compost </w:t>
      </w:r>
      <w:r w:rsidR="006776FC" w:rsidRPr="006F4736">
        <w:rPr>
          <w:spacing w:val="-2"/>
        </w:rPr>
        <w:t>was</w:t>
      </w:r>
      <w:r w:rsidRPr="006F4736">
        <w:rPr>
          <w:spacing w:val="-2"/>
        </w:rPr>
        <w:t xml:space="preserve"> a certified organic, non-</w:t>
      </w:r>
      <w:r w:rsidR="006776FC" w:rsidRPr="006F4736">
        <w:rPr>
          <w:spacing w:val="-2"/>
        </w:rPr>
        <w:t>genetically modified</w:t>
      </w:r>
      <w:r w:rsidRPr="006F4736">
        <w:rPr>
          <w:spacing w:val="-2"/>
        </w:rPr>
        <w:t xml:space="preserve"> alternative to fertilizer</w:t>
      </w:r>
      <w:r w:rsidR="006776FC" w:rsidRPr="006F4736">
        <w:rPr>
          <w:spacing w:val="-2"/>
        </w:rPr>
        <w:t>, which wa</w:t>
      </w:r>
      <w:r w:rsidRPr="006F4736">
        <w:rPr>
          <w:spacing w:val="-2"/>
        </w:rPr>
        <w:t xml:space="preserve">s so safe </w:t>
      </w:r>
      <w:r w:rsidR="006776FC" w:rsidRPr="006F4736">
        <w:rPr>
          <w:spacing w:val="-2"/>
        </w:rPr>
        <w:t xml:space="preserve">that </w:t>
      </w:r>
      <w:r w:rsidR="007B0DB8">
        <w:rPr>
          <w:spacing w:val="-2"/>
        </w:rPr>
        <w:t>it</w:t>
      </w:r>
      <w:r w:rsidRPr="006F4736">
        <w:rPr>
          <w:spacing w:val="-2"/>
        </w:rPr>
        <w:t xml:space="preserve"> could </w:t>
      </w:r>
      <w:r w:rsidR="007B0DB8">
        <w:rPr>
          <w:spacing w:val="-2"/>
        </w:rPr>
        <w:t xml:space="preserve">be </w:t>
      </w:r>
      <w:r w:rsidRPr="006F4736">
        <w:rPr>
          <w:spacing w:val="-2"/>
        </w:rPr>
        <w:t>eat</w:t>
      </w:r>
      <w:r w:rsidR="007B0DB8">
        <w:rPr>
          <w:spacing w:val="-2"/>
        </w:rPr>
        <w:t>en,</w:t>
      </w:r>
      <w:r w:rsidRPr="006F4736">
        <w:rPr>
          <w:spacing w:val="-2"/>
        </w:rPr>
        <w:t xml:space="preserve"> if one was so inclined. Hop’s compost had the highest nutrient quality of any compost in Canada, and </w:t>
      </w:r>
      <w:r w:rsidR="006776FC" w:rsidRPr="006F4736">
        <w:rPr>
          <w:spacing w:val="-2"/>
        </w:rPr>
        <w:t xml:space="preserve">with a </w:t>
      </w:r>
      <w:r w:rsidRPr="006F4736">
        <w:rPr>
          <w:spacing w:val="-2"/>
        </w:rPr>
        <w:t>live data stream that the Hot Rot system provided during the composting process</w:t>
      </w:r>
      <w:r w:rsidR="006776FC" w:rsidRPr="006F4736">
        <w:rPr>
          <w:spacing w:val="-2"/>
        </w:rPr>
        <w:t xml:space="preserve">, the </w:t>
      </w:r>
      <w:r w:rsidR="00B30520" w:rsidRPr="006F4736">
        <w:rPr>
          <w:spacing w:val="-2"/>
        </w:rPr>
        <w:t>ratio of components (nitrogen, potassium, and phosphate) could be customized</w:t>
      </w:r>
      <w:r w:rsidRPr="006F4736">
        <w:rPr>
          <w:spacing w:val="-2"/>
        </w:rPr>
        <w:t xml:space="preserve">. Davies hoped to </w:t>
      </w:r>
      <w:r w:rsidR="00B30520" w:rsidRPr="006F4736">
        <w:rPr>
          <w:spacing w:val="-2"/>
        </w:rPr>
        <w:t xml:space="preserve">use this advantage to </w:t>
      </w:r>
      <w:r w:rsidRPr="006F4736">
        <w:rPr>
          <w:spacing w:val="-2"/>
        </w:rPr>
        <w:t xml:space="preserve">create custom compost for farmers based on </w:t>
      </w:r>
      <w:r w:rsidR="00B30520" w:rsidRPr="006F4736">
        <w:rPr>
          <w:spacing w:val="-2"/>
        </w:rPr>
        <w:t xml:space="preserve">the nutrient needs of their </w:t>
      </w:r>
      <w:r w:rsidRPr="006F4736">
        <w:rPr>
          <w:spacing w:val="-2"/>
        </w:rPr>
        <w:t>soil.</w:t>
      </w:r>
    </w:p>
    <w:p w14:paraId="3D7E747D" w14:textId="77777777" w:rsidR="007D1BE4" w:rsidRPr="006F4736" w:rsidRDefault="007D1BE4" w:rsidP="007D1BE4">
      <w:pPr>
        <w:pStyle w:val="BodyTextMain"/>
        <w:rPr>
          <w:spacing w:val="-2"/>
        </w:rPr>
      </w:pPr>
    </w:p>
    <w:p w14:paraId="23E08298" w14:textId="0CBADAAD" w:rsidR="007249A9" w:rsidRPr="006F4736" w:rsidRDefault="007D1BE4" w:rsidP="007D1BE4">
      <w:pPr>
        <w:pStyle w:val="BodyTextMain"/>
        <w:rPr>
          <w:spacing w:val="-2"/>
        </w:rPr>
      </w:pPr>
      <w:r w:rsidRPr="006F4736">
        <w:rPr>
          <w:spacing w:val="-2"/>
        </w:rPr>
        <w:t xml:space="preserve">Davies recognized that his business idea was sound and that he had extremely valuable proprietary technology in North America. He used the technology to </w:t>
      </w:r>
      <w:r w:rsidR="00B30520" w:rsidRPr="006F4736">
        <w:rPr>
          <w:spacing w:val="-2"/>
        </w:rPr>
        <w:t xml:space="preserve">both </w:t>
      </w:r>
      <w:r w:rsidRPr="006F4736">
        <w:rPr>
          <w:spacing w:val="-2"/>
        </w:rPr>
        <w:t xml:space="preserve">offer a food waste collection service </w:t>
      </w:r>
      <w:r w:rsidR="00B30520" w:rsidRPr="006F4736">
        <w:rPr>
          <w:spacing w:val="-2"/>
        </w:rPr>
        <w:t xml:space="preserve">and </w:t>
      </w:r>
      <w:r w:rsidRPr="006F4736">
        <w:rPr>
          <w:spacing w:val="-2"/>
        </w:rPr>
        <w:t xml:space="preserve">sell organic compost for fertilization with little competition. </w:t>
      </w:r>
      <w:r w:rsidR="00DC710A" w:rsidRPr="006F4736">
        <w:rPr>
          <w:spacing w:val="-2"/>
        </w:rPr>
        <w:t>He</w:t>
      </w:r>
      <w:r w:rsidR="00B30520" w:rsidRPr="006F4736">
        <w:rPr>
          <w:spacing w:val="-2"/>
        </w:rPr>
        <w:t xml:space="preserve"> built</w:t>
      </w:r>
      <w:r w:rsidRPr="006F4736">
        <w:rPr>
          <w:spacing w:val="-2"/>
        </w:rPr>
        <w:t xml:space="preserve"> his business model </w:t>
      </w:r>
      <w:r w:rsidR="00B30520" w:rsidRPr="006F4736">
        <w:rPr>
          <w:spacing w:val="-2"/>
        </w:rPr>
        <w:t>to</w:t>
      </w:r>
      <w:r w:rsidRPr="006F4736">
        <w:rPr>
          <w:spacing w:val="-2"/>
        </w:rPr>
        <w:t xml:space="preserve"> capitalize on the technology while still making an environmental difference in his city. He offered local restaurants 90-day contracts for food collection services. </w:t>
      </w:r>
      <w:r w:rsidR="007249A9" w:rsidRPr="006F4736">
        <w:rPr>
          <w:spacing w:val="-2"/>
        </w:rPr>
        <w:t>With</w:t>
      </w:r>
      <w:r w:rsidRPr="006F4736">
        <w:rPr>
          <w:spacing w:val="-2"/>
        </w:rPr>
        <w:t xml:space="preserve"> Hot Rot’s advanced technological abilities, the restaurants did not need to sort their food scraps and could include hard-to-compost materials like bones, meat, fish, and dairy. </w:t>
      </w:r>
    </w:p>
    <w:p w14:paraId="246F81F3" w14:textId="77777777" w:rsidR="007249A9" w:rsidRDefault="007249A9" w:rsidP="007D1BE4">
      <w:pPr>
        <w:pStyle w:val="BodyTextMain"/>
      </w:pPr>
    </w:p>
    <w:p w14:paraId="3747B85A" w14:textId="6B429EC6" w:rsidR="007D1BE4" w:rsidRDefault="007D1BE4" w:rsidP="007D1BE4">
      <w:pPr>
        <w:pStyle w:val="BodyTextMain"/>
      </w:pPr>
      <w:r w:rsidRPr="00C6134F">
        <w:t>Hop provide</w:t>
      </w:r>
      <w:r>
        <w:t>d</w:t>
      </w:r>
      <w:r w:rsidRPr="00C6134F">
        <w:t xml:space="preserve"> restaurants with </w:t>
      </w:r>
      <w:r>
        <w:t xml:space="preserve">food scrap </w:t>
      </w:r>
      <w:r w:rsidRPr="00C6134F">
        <w:t>bins</w:t>
      </w:r>
      <w:r w:rsidR="007249A9">
        <w:t>. When Hop</w:t>
      </w:r>
      <w:r w:rsidRPr="00C6134F">
        <w:t xml:space="preserve"> collect</w:t>
      </w:r>
      <w:r w:rsidR="007249A9">
        <w:t>ed</w:t>
      </w:r>
      <w:r w:rsidRPr="00C6134F">
        <w:t xml:space="preserve"> </w:t>
      </w:r>
      <w:r>
        <w:t>the</w:t>
      </w:r>
      <w:r w:rsidRPr="00C6134F">
        <w:t xml:space="preserve"> food waste</w:t>
      </w:r>
      <w:r>
        <w:t>,</w:t>
      </w:r>
      <w:r w:rsidRPr="00C6134F">
        <w:t xml:space="preserve"> </w:t>
      </w:r>
      <w:r w:rsidR="00DC710A" w:rsidRPr="00C6134F">
        <w:t>a scale weigh</w:t>
      </w:r>
      <w:r w:rsidR="00DC710A">
        <w:t>ed</w:t>
      </w:r>
      <w:r w:rsidR="00DC710A" w:rsidRPr="00C6134F">
        <w:t xml:space="preserve"> the</w:t>
      </w:r>
      <w:r w:rsidR="00DC710A">
        <w:t xml:space="preserve"> volume of food waste </w:t>
      </w:r>
      <w:r w:rsidR="00DC710A" w:rsidRPr="00C6134F">
        <w:t>collect</w:t>
      </w:r>
      <w:r w:rsidR="00DC710A">
        <w:t>ed</w:t>
      </w:r>
      <w:r w:rsidR="00DC710A" w:rsidRPr="00C6134F">
        <w:t xml:space="preserve"> </w:t>
      </w:r>
      <w:r w:rsidR="00DC710A">
        <w:t xml:space="preserve">and </w:t>
      </w:r>
      <w:r w:rsidRPr="00C6134F">
        <w:t>a bio</w:t>
      </w:r>
      <w:r>
        <w:t>-</w:t>
      </w:r>
      <w:r w:rsidRPr="00C6134F">
        <w:t>soap pump in the truck wash</w:t>
      </w:r>
      <w:r w:rsidR="007249A9">
        <w:t>ed</w:t>
      </w:r>
      <w:r w:rsidRPr="00C6134F">
        <w:t xml:space="preserve"> the </w:t>
      </w:r>
      <w:r w:rsidR="00DC710A">
        <w:t xml:space="preserve">emptied </w:t>
      </w:r>
      <w:r w:rsidRPr="00C6134F">
        <w:t xml:space="preserve">bins. Each month, </w:t>
      </w:r>
      <w:r>
        <w:t>using the</w:t>
      </w:r>
      <w:r w:rsidRPr="00C6134F">
        <w:t xml:space="preserve"> data from the</w:t>
      </w:r>
      <w:r>
        <w:t xml:space="preserve"> collection</w:t>
      </w:r>
      <w:r w:rsidRPr="00C6134F">
        <w:t xml:space="preserve"> truck, Hop </w:t>
      </w:r>
      <w:r>
        <w:t xml:space="preserve">issued an </w:t>
      </w:r>
      <w:r w:rsidRPr="00C6134F">
        <w:t xml:space="preserve">impact report </w:t>
      </w:r>
      <w:r w:rsidR="007249A9">
        <w:t xml:space="preserve">that </w:t>
      </w:r>
      <w:r>
        <w:t>e</w:t>
      </w:r>
      <w:r w:rsidRPr="00C6134F">
        <w:t>nabl</w:t>
      </w:r>
      <w:r>
        <w:t>ed</w:t>
      </w:r>
      <w:r w:rsidRPr="00C6134F">
        <w:t xml:space="preserve"> </w:t>
      </w:r>
      <w:r>
        <w:t xml:space="preserve">its clients </w:t>
      </w:r>
      <w:r w:rsidRPr="00C6134F">
        <w:t>to quantify their weekly efforts to reduce their environmental footprint</w:t>
      </w:r>
      <w:r w:rsidR="007249A9">
        <w:t>—</w:t>
      </w:r>
      <w:r>
        <w:t xml:space="preserve">a first for many companies. In addition, Hop </w:t>
      </w:r>
      <w:r w:rsidRPr="00C6134F">
        <w:t xml:space="preserve">offered restaurants </w:t>
      </w:r>
      <w:r w:rsidR="00DC710A" w:rsidRPr="00C6134F">
        <w:t>staff training</w:t>
      </w:r>
      <w:r w:rsidR="00DC710A">
        <w:t xml:space="preserve"> and </w:t>
      </w:r>
      <w:r w:rsidRPr="00C6134F">
        <w:t>customized sign</w:t>
      </w:r>
      <w:r w:rsidR="007249A9">
        <w:t>s</w:t>
      </w:r>
      <w:r w:rsidRPr="00C6134F">
        <w:t xml:space="preserve"> for their bins </w:t>
      </w:r>
      <w:r w:rsidR="007249A9">
        <w:t>as part of</w:t>
      </w:r>
      <w:r>
        <w:t xml:space="preserve"> the contract</w:t>
      </w:r>
      <w:r w:rsidRPr="00C6134F">
        <w:t>.</w:t>
      </w:r>
    </w:p>
    <w:p w14:paraId="2D091BAD" w14:textId="77777777" w:rsidR="00672AB3" w:rsidRDefault="00672AB3" w:rsidP="007D1BE4">
      <w:pPr>
        <w:pStyle w:val="BodyTextMain"/>
      </w:pPr>
    </w:p>
    <w:p w14:paraId="51778C18" w14:textId="77777777" w:rsidR="00672AB3" w:rsidRDefault="00672AB3" w:rsidP="007D1BE4">
      <w:pPr>
        <w:pStyle w:val="BodyTextMain"/>
      </w:pPr>
    </w:p>
    <w:p w14:paraId="7B7A176A" w14:textId="22E0B694" w:rsidR="007D1BE4" w:rsidRDefault="00011F60" w:rsidP="00EF5067">
      <w:pPr>
        <w:pStyle w:val="Casehead1"/>
        <w:outlineLvl w:val="0"/>
      </w:pPr>
      <w:r>
        <w:t xml:space="preserve">Part A: </w:t>
      </w:r>
      <w:r w:rsidR="004C2267">
        <w:t xml:space="preserve">Sustaining </w:t>
      </w:r>
      <w:r w:rsidR="007D1BE4">
        <w:t xml:space="preserve">Hop’s Environmental </w:t>
      </w:r>
      <w:r w:rsidR="004C2267">
        <w:t>Imperative While Growing</w:t>
      </w:r>
    </w:p>
    <w:p w14:paraId="15E13386" w14:textId="77777777" w:rsidR="007D1BE4" w:rsidRDefault="007D1BE4" w:rsidP="0084066A">
      <w:pPr>
        <w:pStyle w:val="BodyTextMain"/>
        <w:keepNext/>
      </w:pPr>
    </w:p>
    <w:p w14:paraId="20500BCA" w14:textId="77777777" w:rsidR="000F43C7" w:rsidRDefault="000F43C7" w:rsidP="007D1BE4">
      <w:pPr>
        <w:pStyle w:val="BodyTextMain"/>
      </w:pPr>
      <w:r>
        <w:t>From the beginning, the team’s mission was</w:t>
      </w:r>
      <w:r w:rsidRPr="00C6134F">
        <w:t xml:space="preserve"> to </w:t>
      </w:r>
      <w:r>
        <w:t>drive</w:t>
      </w:r>
      <w:r w:rsidRPr="00C6134F">
        <w:t xml:space="preserve"> success </w:t>
      </w:r>
      <w:r>
        <w:t xml:space="preserve">by </w:t>
      </w:r>
      <w:r w:rsidRPr="00C6134F">
        <w:t>creat</w:t>
      </w:r>
      <w:r>
        <w:t>ing a</w:t>
      </w:r>
      <w:r w:rsidRPr="00C6134F">
        <w:t xml:space="preserve"> positive environmental impact</w:t>
      </w:r>
      <w:r>
        <w:t xml:space="preserve">. </w:t>
      </w:r>
    </w:p>
    <w:p w14:paraId="7B825273" w14:textId="53438EF2" w:rsidR="007D1BE4" w:rsidRDefault="007D1BE4" w:rsidP="007D1BE4">
      <w:pPr>
        <w:pStyle w:val="BodyTextMain"/>
      </w:pPr>
      <w:r w:rsidRPr="00C6134F">
        <w:lastRenderedPageBreak/>
        <w:t xml:space="preserve">Since </w:t>
      </w:r>
      <w:r>
        <w:t xml:space="preserve">its launch </w:t>
      </w:r>
      <w:r w:rsidRPr="00C6134F">
        <w:t>in 2015, Hop ha</w:t>
      </w:r>
      <w:r w:rsidR="007249A9">
        <w:t>d</w:t>
      </w:r>
      <w:r w:rsidRPr="00C6134F">
        <w:t xml:space="preserve"> saved </w:t>
      </w:r>
      <w:r w:rsidR="00DB5119">
        <w:t xml:space="preserve">1.8 million kilograms (3.9 million pounds) </w:t>
      </w:r>
      <w:r w:rsidRPr="00C6134F">
        <w:t>of food</w:t>
      </w:r>
      <w:r>
        <w:t xml:space="preserve"> </w:t>
      </w:r>
      <w:r w:rsidRPr="00C6134F">
        <w:t>from landfills. The average resta</w:t>
      </w:r>
      <w:r>
        <w:t>urant wasted 40</w:t>
      </w:r>
      <w:r w:rsidR="00C93A8A">
        <w:t xml:space="preserve"> per cent</w:t>
      </w:r>
      <w:r>
        <w:t xml:space="preserve"> of </w:t>
      </w:r>
      <w:r w:rsidR="00C93A8A">
        <w:t xml:space="preserve">its </w:t>
      </w:r>
      <w:r>
        <w:t>food</w:t>
      </w:r>
      <w:r w:rsidR="00C93A8A">
        <w:t>,</w:t>
      </w:r>
      <w:r>
        <w:t xml:space="preserve"> but </w:t>
      </w:r>
      <w:r w:rsidR="00DB5119">
        <w:t xml:space="preserve">Hop enabled restaurants to put all </w:t>
      </w:r>
      <w:r w:rsidR="00EB4BA5">
        <w:t xml:space="preserve">of </w:t>
      </w:r>
      <w:r w:rsidR="00DB5119">
        <w:t>that food to use</w:t>
      </w:r>
      <w:r w:rsidRPr="00C6134F">
        <w:t xml:space="preserve">. </w:t>
      </w:r>
      <w:r w:rsidR="00C93A8A">
        <w:t>In</w:t>
      </w:r>
      <w:r w:rsidR="00C93A8A" w:rsidRPr="00C6134F">
        <w:t xml:space="preserve"> </w:t>
      </w:r>
      <w:r w:rsidRPr="00C6134F">
        <w:t>2015, Hop grew to</w:t>
      </w:r>
      <w:r>
        <w:t xml:space="preserve"> fill its</w:t>
      </w:r>
      <w:r w:rsidRPr="00C6134F">
        <w:t xml:space="preserve"> </w:t>
      </w:r>
      <w:r>
        <w:t xml:space="preserve">current </w:t>
      </w:r>
      <w:r w:rsidRPr="00C6134F">
        <w:t xml:space="preserve">capacity </w:t>
      </w:r>
      <w:r w:rsidR="00C93A8A">
        <w:t xml:space="preserve">in Calgary </w:t>
      </w:r>
      <w:r>
        <w:t>and was look</w:t>
      </w:r>
      <w:r w:rsidR="00C93A8A">
        <w:t>ing</w:t>
      </w:r>
      <w:r>
        <w:t xml:space="preserve"> to expand </w:t>
      </w:r>
      <w:r w:rsidR="00C93A8A">
        <w:t>it,</w:t>
      </w:r>
      <w:r w:rsidRPr="00C6134F">
        <w:t xml:space="preserve"> as well as develop a facility in Vancouver. </w:t>
      </w:r>
    </w:p>
    <w:p w14:paraId="1CC1DE60" w14:textId="53E16850" w:rsidR="007D1BE4" w:rsidRPr="00AA22F0" w:rsidRDefault="007D1BE4" w:rsidP="0084066A">
      <w:pPr>
        <w:pStyle w:val="BodyTextMain"/>
        <w:keepNext/>
      </w:pPr>
    </w:p>
    <w:p w14:paraId="547CBD53" w14:textId="3A0850DE" w:rsidR="007D1BE4" w:rsidRDefault="002C63BA" w:rsidP="007D1BE4">
      <w:pPr>
        <w:pStyle w:val="BodyTextMain"/>
      </w:pPr>
      <w:r>
        <w:t>When</w:t>
      </w:r>
      <w:r w:rsidR="007D1BE4">
        <w:t xml:space="preserve"> Davies</w:t>
      </w:r>
      <w:r w:rsidR="007D1BE4" w:rsidRPr="00C6134F">
        <w:t xml:space="preserve"> </w:t>
      </w:r>
      <w:r>
        <w:t xml:space="preserve">and his team </w:t>
      </w:r>
      <w:r w:rsidR="007D1BE4" w:rsidRPr="00C6134F">
        <w:t xml:space="preserve">last </w:t>
      </w:r>
      <w:r>
        <w:t>met</w:t>
      </w:r>
      <w:r w:rsidRPr="00C6134F">
        <w:t xml:space="preserve"> </w:t>
      </w:r>
      <w:r w:rsidR="007D1BE4" w:rsidRPr="00C6134F">
        <w:t xml:space="preserve">with </w:t>
      </w:r>
      <w:r>
        <w:t>Hop’s</w:t>
      </w:r>
      <w:r w:rsidRPr="00C6134F">
        <w:t xml:space="preserve"> </w:t>
      </w:r>
      <w:r>
        <w:t>b</w:t>
      </w:r>
      <w:r w:rsidR="007D1BE4" w:rsidRPr="00C6134F">
        <w:t>oard</w:t>
      </w:r>
      <w:r>
        <w:t>,</w:t>
      </w:r>
      <w:r w:rsidR="007D1BE4" w:rsidRPr="00C6134F">
        <w:t xml:space="preserve"> </w:t>
      </w:r>
      <w:r w:rsidR="007D1BE4">
        <w:t xml:space="preserve">they discussed </w:t>
      </w:r>
      <w:r w:rsidR="007D1BE4" w:rsidRPr="00C6134F">
        <w:t xml:space="preserve">how to keep </w:t>
      </w:r>
      <w:r w:rsidR="00DC710A">
        <w:t>Hop’s</w:t>
      </w:r>
      <w:r w:rsidR="007D1BE4">
        <w:t xml:space="preserve"> environmental imperative at</w:t>
      </w:r>
      <w:r w:rsidR="007D1BE4" w:rsidRPr="00C6134F">
        <w:t xml:space="preserve"> the core of </w:t>
      </w:r>
      <w:r w:rsidR="00DC710A">
        <w:t>its</w:t>
      </w:r>
      <w:r w:rsidR="007D1BE4" w:rsidRPr="00C6134F">
        <w:t xml:space="preserve"> business as they expand</w:t>
      </w:r>
      <w:r>
        <w:t>ed</w:t>
      </w:r>
      <w:r w:rsidR="007D1BE4" w:rsidRPr="00C6134F">
        <w:t xml:space="preserve">. </w:t>
      </w:r>
      <w:r>
        <w:t>Davies told the board</w:t>
      </w:r>
      <w:r w:rsidR="007D1BE4" w:rsidRPr="00B24C4A">
        <w:t xml:space="preserve"> that </w:t>
      </w:r>
      <w:r>
        <w:t>Hop</w:t>
      </w:r>
      <w:r w:rsidRPr="00B24C4A">
        <w:t xml:space="preserve"> </w:t>
      </w:r>
      <w:r>
        <w:t>was</w:t>
      </w:r>
      <w:r w:rsidRPr="00B24C4A">
        <w:t xml:space="preserve"> target</w:t>
      </w:r>
      <w:r>
        <w:t>ing</w:t>
      </w:r>
      <w:r w:rsidRPr="00B24C4A">
        <w:t xml:space="preserve"> </w:t>
      </w:r>
      <w:r>
        <w:t xml:space="preserve">growth </w:t>
      </w:r>
      <w:r w:rsidRPr="00B24C4A">
        <w:t xml:space="preserve">within </w:t>
      </w:r>
      <w:r w:rsidR="003C0C77" w:rsidRPr="006011D4">
        <w:t xml:space="preserve">from </w:t>
      </w:r>
      <w:r w:rsidR="00C358FB" w:rsidRPr="006011D4">
        <w:t xml:space="preserve">January 2017 </w:t>
      </w:r>
      <w:r w:rsidR="003C0C77" w:rsidRPr="006011D4">
        <w:t xml:space="preserve">to </w:t>
      </w:r>
      <w:r w:rsidR="00C358FB" w:rsidRPr="006011D4">
        <w:t>January 2018</w:t>
      </w:r>
      <w:r w:rsidR="003C0C77" w:rsidRPr="006011D4">
        <w:t xml:space="preserve"> </w:t>
      </w:r>
      <w:r w:rsidRPr="006011D4">
        <w:t>that</w:t>
      </w:r>
      <w:r>
        <w:t xml:space="preserve"> would be </w:t>
      </w:r>
      <w:r w:rsidR="007D1BE4" w:rsidRPr="00B24C4A">
        <w:t xml:space="preserve">four times </w:t>
      </w:r>
      <w:r>
        <w:t>its</w:t>
      </w:r>
      <w:r w:rsidRPr="00B24C4A">
        <w:t xml:space="preserve"> </w:t>
      </w:r>
      <w:r>
        <w:t xml:space="preserve">current </w:t>
      </w:r>
      <w:r w:rsidR="007D1BE4" w:rsidRPr="00B24C4A">
        <w:t>production footprint.</w:t>
      </w:r>
      <w:r w:rsidR="007D1BE4">
        <w:t xml:space="preserve"> But, </w:t>
      </w:r>
      <w:r w:rsidR="003C0C77">
        <w:t>in early 2016</w:t>
      </w:r>
      <w:r w:rsidR="009870E2">
        <w:t xml:space="preserve">, as Davies was preparing for the upcoming board meeting, he grasped </w:t>
      </w:r>
      <w:r w:rsidR="007D1BE4">
        <w:t>the reality of Hop’s rapid growth</w:t>
      </w:r>
      <w:r w:rsidR="00B2676E">
        <w:t>.</w:t>
      </w:r>
      <w:r w:rsidR="007D1BE4">
        <w:t xml:space="preserve"> </w:t>
      </w:r>
      <w:r w:rsidR="009870E2">
        <w:t>O</w:t>
      </w:r>
      <w:r w:rsidR="007D1BE4">
        <w:t>n a small scale</w:t>
      </w:r>
      <w:r w:rsidR="009870E2">
        <w:t>,</w:t>
      </w:r>
      <w:r w:rsidR="007D1BE4">
        <w:t xml:space="preserve"> it </w:t>
      </w:r>
      <w:r w:rsidR="009870E2">
        <w:t xml:space="preserve">was </w:t>
      </w:r>
      <w:r w:rsidR="007D1BE4">
        <w:t>easy for businesses to keep their original focus and mission central to their operations</w:t>
      </w:r>
      <w:r w:rsidR="009870E2">
        <w:t>, but g</w:t>
      </w:r>
      <w:r w:rsidR="007D1BE4">
        <w:t>rowth create</w:t>
      </w:r>
      <w:r w:rsidR="009870E2">
        <w:t>d</w:t>
      </w:r>
      <w:r w:rsidR="007D1BE4">
        <w:t xml:space="preserve"> new threats and </w:t>
      </w:r>
      <w:r w:rsidR="009870E2">
        <w:t xml:space="preserve">made </w:t>
      </w:r>
      <w:r w:rsidR="007D1BE4">
        <w:t xml:space="preserve">it more challenging to keep the original mission at the forefront. </w:t>
      </w:r>
      <w:r w:rsidR="009870E2">
        <w:t xml:space="preserve">Davies </w:t>
      </w:r>
      <w:r w:rsidR="007D1BE4">
        <w:t>worried whether he had adequately prepared Hop for this challenge. He saw</w:t>
      </w:r>
      <w:r w:rsidR="007D1BE4" w:rsidRPr="00C6134F">
        <w:t xml:space="preserve"> the issue boiling </w:t>
      </w:r>
      <w:r w:rsidR="007D1BE4">
        <w:t>down to two potential solutions:</w:t>
      </w:r>
      <w:r w:rsidR="007D1BE4" w:rsidRPr="00C6134F">
        <w:t xml:space="preserve"> </w:t>
      </w:r>
      <w:r w:rsidR="003C0C77" w:rsidRPr="00C6134F">
        <w:t xml:space="preserve">meet the standards set by an external certification board such as </w:t>
      </w:r>
      <w:r w:rsidR="003C0C77">
        <w:t>B Lab or</w:t>
      </w:r>
      <w:r w:rsidR="003C0C77" w:rsidRPr="00C6134F">
        <w:t xml:space="preserve"> </w:t>
      </w:r>
      <w:r w:rsidR="007D1BE4" w:rsidRPr="00C6134F">
        <w:t>maintain internal accountability through procedures and company culture</w:t>
      </w:r>
      <w:r w:rsidR="007D1BE4">
        <w:t>.</w:t>
      </w:r>
    </w:p>
    <w:p w14:paraId="5077F8AF" w14:textId="77777777" w:rsidR="007D1BE4" w:rsidRPr="00D93284" w:rsidRDefault="007D1BE4" w:rsidP="00EF5067">
      <w:pPr>
        <w:pStyle w:val="BodyTextMain"/>
      </w:pPr>
    </w:p>
    <w:p w14:paraId="258C421E" w14:textId="77777777" w:rsidR="007D1BE4" w:rsidRPr="00EF5067" w:rsidRDefault="007D1BE4" w:rsidP="00EF5067">
      <w:pPr>
        <w:pStyle w:val="BodyTextMain"/>
      </w:pPr>
    </w:p>
    <w:p w14:paraId="10D14BFF" w14:textId="77777777" w:rsidR="007D1BE4" w:rsidRPr="00D760E1" w:rsidRDefault="007D1BE4" w:rsidP="00EF5067">
      <w:pPr>
        <w:pStyle w:val="Casehead2"/>
      </w:pPr>
      <w:r w:rsidRPr="00D760E1">
        <w:t>B Corp Certification</w:t>
      </w:r>
    </w:p>
    <w:p w14:paraId="485D39F9" w14:textId="77777777" w:rsidR="007D1BE4" w:rsidRPr="00EF5067" w:rsidRDefault="007D1BE4" w:rsidP="00EF5067">
      <w:pPr>
        <w:pStyle w:val="BodyTextMain"/>
        <w:keepNext/>
      </w:pPr>
    </w:p>
    <w:p w14:paraId="3B85D21C" w14:textId="42C3B61B" w:rsidR="007D1BE4" w:rsidRDefault="000262DD" w:rsidP="007D1BE4">
      <w:pPr>
        <w:pStyle w:val="BodyTextMain"/>
      </w:pPr>
      <w:r>
        <w:t xml:space="preserve">“Certified </w:t>
      </w:r>
      <w:r w:rsidR="007D1BE4" w:rsidRPr="00C6134F">
        <w:t>B Corp</w:t>
      </w:r>
      <w:r>
        <w:t>orations”</w:t>
      </w:r>
      <w:r w:rsidR="007D1BE4" w:rsidRPr="00C6134F">
        <w:t xml:space="preserve"> </w:t>
      </w:r>
      <w:r>
        <w:t>we</w:t>
      </w:r>
      <w:r w:rsidR="007D1BE4" w:rsidRPr="00C6134F">
        <w:t>re for-profit corporations that use</w:t>
      </w:r>
      <w:r>
        <w:t>d</w:t>
      </w:r>
      <w:r w:rsidR="007D1BE4" w:rsidRPr="00C6134F">
        <w:t xml:space="preserve"> their business</w:t>
      </w:r>
      <w:r w:rsidR="007D1BE4">
        <w:t>es</w:t>
      </w:r>
      <w:r w:rsidR="007D1BE4" w:rsidRPr="00C6134F">
        <w:t xml:space="preserve"> to help solve social and economic problems. To gain B Corp </w:t>
      </w:r>
      <w:r w:rsidR="007D1BE4">
        <w:t>c</w:t>
      </w:r>
      <w:r w:rsidR="007D1BE4" w:rsidRPr="00C6134F">
        <w:t>ertification</w:t>
      </w:r>
      <w:r w:rsidR="007D1BE4">
        <w:t>,</w:t>
      </w:r>
      <w:r w:rsidR="007D1BE4" w:rsidRPr="00C6134F">
        <w:t xml:space="preserve"> businesses </w:t>
      </w:r>
      <w:r w:rsidR="00425944">
        <w:t>had to</w:t>
      </w:r>
      <w:r w:rsidR="00425944" w:rsidRPr="00C6134F">
        <w:t xml:space="preserve"> </w:t>
      </w:r>
      <w:r w:rsidR="007D1BE4" w:rsidRPr="00C6134F">
        <w:t xml:space="preserve">meet performance standards </w:t>
      </w:r>
      <w:r w:rsidR="00425944">
        <w:t>in social and environmental performance,</w:t>
      </w:r>
      <w:r w:rsidR="00425944" w:rsidRPr="00C6134F">
        <w:t xml:space="preserve"> </w:t>
      </w:r>
      <w:r w:rsidR="007D1BE4" w:rsidRPr="00C6134F">
        <w:t>accountability, and transparency</w:t>
      </w:r>
      <w:r w:rsidR="00425944">
        <w:t xml:space="preserve"> for the good of </w:t>
      </w:r>
      <w:r w:rsidR="00425944" w:rsidRPr="00C6134F">
        <w:t>the env</w:t>
      </w:r>
      <w:r w:rsidR="00425944">
        <w:t>ironment, community, and employees.</w:t>
      </w:r>
      <w:r w:rsidR="00B61011">
        <w:rPr>
          <w:rStyle w:val="FootnoteReference"/>
        </w:rPr>
        <w:footnoteReference w:id="3"/>
      </w:r>
      <w:r w:rsidR="00425944" w:rsidRPr="00C6134F">
        <w:t xml:space="preserve"> </w:t>
      </w:r>
      <w:r w:rsidR="007D1BE4" w:rsidRPr="00C6134F">
        <w:t>B Lab, a no</w:t>
      </w:r>
      <w:r w:rsidR="007D1BE4">
        <w:t>t</w:t>
      </w:r>
      <w:r w:rsidR="007D1BE4" w:rsidRPr="00C6134F">
        <w:t xml:space="preserve">-for-profit </w:t>
      </w:r>
      <w:r w:rsidR="007D1BE4">
        <w:t xml:space="preserve">organization </w:t>
      </w:r>
      <w:r w:rsidR="007D1BE4" w:rsidRPr="00C6134F">
        <w:t>founded in 2006</w:t>
      </w:r>
      <w:r w:rsidR="00B61011">
        <w:t>, assessed applicant corporations and made the award. B Lab</w:t>
      </w:r>
      <w:r w:rsidR="007D1BE4">
        <w:t xml:space="preserve"> </w:t>
      </w:r>
      <w:r w:rsidR="00B61011">
        <w:t>awarded its first certification</w:t>
      </w:r>
      <w:r w:rsidR="00B61011" w:rsidRPr="00C6134F">
        <w:t xml:space="preserve"> </w:t>
      </w:r>
      <w:r w:rsidR="007D1BE4" w:rsidRPr="00C6134F">
        <w:t>in 2007</w:t>
      </w:r>
      <w:r w:rsidR="003C0C77">
        <w:t>.</w:t>
      </w:r>
      <w:r w:rsidR="007D1BE4" w:rsidRPr="00C10283">
        <w:rPr>
          <w:rStyle w:val="FootnoteReference"/>
        </w:rPr>
        <w:footnoteReference w:id="4"/>
      </w:r>
      <w:r w:rsidR="007D1BE4" w:rsidRPr="00C6134F">
        <w:t xml:space="preserve"> </w:t>
      </w:r>
    </w:p>
    <w:p w14:paraId="17DA4F0C" w14:textId="77777777" w:rsidR="007D1BE4" w:rsidRDefault="007D1BE4" w:rsidP="007D1BE4">
      <w:pPr>
        <w:pStyle w:val="BodyTextMain"/>
      </w:pPr>
    </w:p>
    <w:p w14:paraId="1EF15164" w14:textId="34EC4752" w:rsidR="00F42013" w:rsidRDefault="00693272" w:rsidP="007D1BE4">
      <w:pPr>
        <w:pStyle w:val="BodyTextMain"/>
      </w:pPr>
      <w:r>
        <w:t>B Lab envisioned the B Corp certification as akin to the Fair Trade certification for coffee, chocolate, or milk: an instantly recognizable designation that signalled the business’s commitment to social and environmental goals.</w:t>
      </w:r>
      <w:r>
        <w:rPr>
          <w:rStyle w:val="FootnoteReference"/>
        </w:rPr>
        <w:footnoteReference w:id="5"/>
      </w:r>
      <w:r>
        <w:t xml:space="preserve"> </w:t>
      </w:r>
      <w:r w:rsidR="007D1BE4">
        <w:t xml:space="preserve">B Corp certification </w:t>
      </w:r>
      <w:r>
        <w:t xml:space="preserve">provided businesses with </w:t>
      </w:r>
      <w:r w:rsidR="007D1BE4">
        <w:t>many benefits</w:t>
      </w:r>
      <w:r w:rsidR="00F42013">
        <w:t xml:space="preserve">, among them, </w:t>
      </w:r>
      <w:r w:rsidR="007D1BE4">
        <w:t xml:space="preserve">inclusion in a vast network of like-minded businesses, inherent marketing through B Lab’s many media outlets, and a verification </w:t>
      </w:r>
      <w:r w:rsidR="00F42013">
        <w:t xml:space="preserve">to consumers </w:t>
      </w:r>
      <w:r w:rsidR="007D1BE4">
        <w:t xml:space="preserve">of the </w:t>
      </w:r>
      <w:r>
        <w:t xml:space="preserve">business’s </w:t>
      </w:r>
      <w:r w:rsidR="007D1BE4">
        <w:t>social and environmental claims.</w:t>
      </w:r>
      <w:r w:rsidR="00F42013">
        <w:rPr>
          <w:rStyle w:val="FootnoteReference"/>
        </w:rPr>
        <w:footnoteReference w:id="6"/>
      </w:r>
      <w:r w:rsidR="007D1BE4">
        <w:t xml:space="preserve"> </w:t>
      </w:r>
      <w:r w:rsidR="00F42013">
        <w:t>However, t</w:t>
      </w:r>
      <w:r w:rsidR="007D1BE4">
        <w:t>he cost of certifying was high for a start</w:t>
      </w:r>
      <w:r w:rsidR="00F42013">
        <w:t>-</w:t>
      </w:r>
      <w:r w:rsidR="007D1BE4">
        <w:t xml:space="preserve">up, the certification process was lengthy, and the meaning behind </w:t>
      </w:r>
      <w:r w:rsidR="00F42013">
        <w:t xml:space="preserve">Certified </w:t>
      </w:r>
      <w:r w:rsidR="007D1BE4">
        <w:t xml:space="preserve">B Corporations was still largely unrecognized by Canadian consumers. </w:t>
      </w:r>
    </w:p>
    <w:p w14:paraId="7479B0FF" w14:textId="77777777" w:rsidR="00F42013" w:rsidRDefault="00F42013" w:rsidP="007D1BE4">
      <w:pPr>
        <w:pStyle w:val="BodyTextMain"/>
      </w:pPr>
    </w:p>
    <w:p w14:paraId="2D172ECA" w14:textId="3157B178" w:rsidR="007D1BE4" w:rsidRPr="00C6134F" w:rsidRDefault="00F42013" w:rsidP="007D1BE4">
      <w:pPr>
        <w:pStyle w:val="BodyTextMain"/>
      </w:pPr>
      <w:r>
        <w:t xml:space="preserve">For </w:t>
      </w:r>
      <w:r w:rsidR="007D1BE4">
        <w:t>a bootstrapping start</w:t>
      </w:r>
      <w:r>
        <w:t>-</w:t>
      </w:r>
      <w:r w:rsidR="007D1BE4">
        <w:t xml:space="preserve">up tight on both financial and human capital, the question </w:t>
      </w:r>
      <w:r>
        <w:t xml:space="preserve">was </w:t>
      </w:r>
      <w:r w:rsidR="007D1BE4">
        <w:t xml:space="preserve">whether the benefits of B Corp </w:t>
      </w:r>
      <w:r>
        <w:t>c</w:t>
      </w:r>
      <w:r w:rsidR="007D1BE4">
        <w:t>ertification outweighed the costs for Hop.</w:t>
      </w:r>
    </w:p>
    <w:p w14:paraId="6D6AD465" w14:textId="77777777" w:rsidR="007D1BE4" w:rsidRPr="00D93284" w:rsidRDefault="007D1BE4" w:rsidP="00EF5067">
      <w:pPr>
        <w:pStyle w:val="BodyTextMain"/>
      </w:pPr>
    </w:p>
    <w:p w14:paraId="36631ECD" w14:textId="77777777" w:rsidR="007D1BE4" w:rsidRPr="00D93284" w:rsidRDefault="007D1BE4" w:rsidP="00EF5067">
      <w:pPr>
        <w:pStyle w:val="BodyTextMain"/>
      </w:pPr>
    </w:p>
    <w:p w14:paraId="13A17EE9" w14:textId="77777777" w:rsidR="007D1BE4" w:rsidRPr="00D760E1" w:rsidRDefault="007D1BE4" w:rsidP="00EF5067">
      <w:pPr>
        <w:pStyle w:val="Casehead2"/>
      </w:pPr>
      <w:r w:rsidRPr="00D760E1">
        <w:t>Stakeholder Accountability</w:t>
      </w:r>
    </w:p>
    <w:p w14:paraId="358E5B5B" w14:textId="77777777" w:rsidR="007D1BE4" w:rsidRPr="00EF5067" w:rsidRDefault="007D1BE4" w:rsidP="00EF5067">
      <w:pPr>
        <w:pStyle w:val="BodyTextMain"/>
        <w:keepNext/>
      </w:pPr>
    </w:p>
    <w:p w14:paraId="31537A11" w14:textId="727C8A8C" w:rsidR="007D1BE4" w:rsidRDefault="006512CA" w:rsidP="007D1BE4">
      <w:pPr>
        <w:pStyle w:val="BodyTextMain"/>
      </w:pPr>
      <w:r>
        <w:t xml:space="preserve">At the previous board meeting, </w:t>
      </w:r>
      <w:r w:rsidR="007D1BE4">
        <w:t xml:space="preserve">Davies </w:t>
      </w:r>
      <w:r w:rsidR="007D1BE4" w:rsidRPr="00C6134F">
        <w:t xml:space="preserve">and the </w:t>
      </w:r>
      <w:r w:rsidR="00CE4A3F">
        <w:t>b</w:t>
      </w:r>
      <w:r w:rsidR="007D1BE4">
        <w:t xml:space="preserve">oard of </w:t>
      </w:r>
      <w:r w:rsidR="00CE4A3F">
        <w:t>d</w:t>
      </w:r>
      <w:r w:rsidR="007D1BE4" w:rsidRPr="00C6134F">
        <w:t xml:space="preserve">irectors </w:t>
      </w:r>
      <w:r>
        <w:t xml:space="preserve">discussed the merits of B Corp certification. They </w:t>
      </w:r>
      <w:r w:rsidR="007D1BE4" w:rsidRPr="00C6134F">
        <w:t xml:space="preserve">wondered if achieving B Corp certification would help </w:t>
      </w:r>
      <w:r w:rsidR="00CE4A3F" w:rsidRPr="00C6134F">
        <w:t xml:space="preserve">Hop </w:t>
      </w:r>
      <w:r w:rsidR="00CE4A3F">
        <w:t>remain</w:t>
      </w:r>
      <w:r w:rsidR="00CE4A3F" w:rsidRPr="00C6134F">
        <w:t xml:space="preserve"> </w:t>
      </w:r>
      <w:r w:rsidR="007D1BE4" w:rsidRPr="00C6134F">
        <w:t xml:space="preserve">accountable to </w:t>
      </w:r>
      <w:r w:rsidR="00CE4A3F">
        <w:t>its</w:t>
      </w:r>
      <w:r w:rsidR="00CE4A3F" w:rsidRPr="00C6134F">
        <w:t xml:space="preserve"> </w:t>
      </w:r>
      <w:r w:rsidR="007D1BE4" w:rsidRPr="00C6134F">
        <w:t xml:space="preserve">environmental promises and reach </w:t>
      </w:r>
      <w:r w:rsidR="00CE4A3F">
        <w:t>its</w:t>
      </w:r>
      <w:r w:rsidR="00CE4A3F" w:rsidRPr="00C6134F">
        <w:t xml:space="preserve"> </w:t>
      </w:r>
      <w:r w:rsidR="007D1BE4" w:rsidRPr="00C6134F">
        <w:t>goals.</w:t>
      </w:r>
      <w:r w:rsidR="00903B38">
        <w:t xml:space="preserve"> </w:t>
      </w:r>
      <w:r w:rsidR="00CE4A3F">
        <w:t>M</w:t>
      </w:r>
      <w:r w:rsidR="007D1BE4">
        <w:t>eetin</w:t>
      </w:r>
      <w:r w:rsidR="007D1BE4" w:rsidRPr="00C6134F">
        <w:t xml:space="preserve">g </w:t>
      </w:r>
      <w:r w:rsidR="007D1BE4">
        <w:t xml:space="preserve">the </w:t>
      </w:r>
      <w:r w:rsidR="007D1BE4" w:rsidRPr="00C6134F">
        <w:t xml:space="preserve">environmental standards </w:t>
      </w:r>
      <w:r w:rsidR="007D1BE4">
        <w:t xml:space="preserve">of </w:t>
      </w:r>
      <w:r w:rsidR="007D1BE4" w:rsidRPr="00C6134F">
        <w:t xml:space="preserve">an external certification </w:t>
      </w:r>
      <w:r w:rsidR="007D1BE4">
        <w:t xml:space="preserve">board meant that </w:t>
      </w:r>
      <w:r w:rsidR="007D1BE4" w:rsidRPr="00C6134F">
        <w:t xml:space="preserve">accountability </w:t>
      </w:r>
      <w:r w:rsidR="007D1BE4">
        <w:t>was essential.</w:t>
      </w:r>
      <w:r w:rsidR="007D1BE4" w:rsidRPr="00C6134F">
        <w:t xml:space="preserve"> </w:t>
      </w:r>
      <w:r w:rsidR="007D1BE4">
        <w:t xml:space="preserve">B Lab randomly audited </w:t>
      </w:r>
      <w:r w:rsidR="007D1BE4" w:rsidRPr="00C6134F">
        <w:t>10</w:t>
      </w:r>
      <w:r w:rsidR="00CE4A3F">
        <w:t xml:space="preserve"> per cent</w:t>
      </w:r>
      <w:r w:rsidR="007D1BE4" w:rsidRPr="00C6134F">
        <w:t xml:space="preserve"> of </w:t>
      </w:r>
      <w:r w:rsidR="007D1BE4">
        <w:t xml:space="preserve">its </w:t>
      </w:r>
      <w:r w:rsidR="00CE4A3F">
        <w:t>C</w:t>
      </w:r>
      <w:r w:rsidR="007D1BE4">
        <w:t xml:space="preserve">ertified </w:t>
      </w:r>
      <w:r w:rsidR="007D1BE4" w:rsidRPr="00C6134F">
        <w:t>B Corporations each year</w:t>
      </w:r>
      <w:r w:rsidR="007D1BE4">
        <w:t xml:space="preserve">; </w:t>
      </w:r>
      <w:r w:rsidR="007D1BE4" w:rsidRPr="00C6134F">
        <w:t xml:space="preserve">holding </w:t>
      </w:r>
      <w:r w:rsidR="00A66399">
        <w:t>certified</w:t>
      </w:r>
      <w:r w:rsidR="00A66399" w:rsidRPr="00C6134F">
        <w:t xml:space="preserve"> </w:t>
      </w:r>
      <w:r w:rsidR="007D1BE4" w:rsidRPr="00C6134F">
        <w:t>status mean</w:t>
      </w:r>
      <w:r w:rsidR="007D1BE4">
        <w:t>t that</w:t>
      </w:r>
      <w:r w:rsidR="007D1BE4" w:rsidRPr="00C6134F">
        <w:t xml:space="preserve"> </w:t>
      </w:r>
      <w:r w:rsidR="007D1BE4">
        <w:t xml:space="preserve">the company </w:t>
      </w:r>
      <w:r w:rsidR="00F80FF2">
        <w:t>had to</w:t>
      </w:r>
      <w:r w:rsidR="007D1BE4">
        <w:t xml:space="preserve"> </w:t>
      </w:r>
      <w:r w:rsidR="007D1BE4" w:rsidRPr="00C6134F">
        <w:t>unfailingly meet the standards laid out for a corporation</w:t>
      </w:r>
      <w:r w:rsidR="007D1BE4">
        <w:t xml:space="preserve"> and have the documentation to back it up.</w:t>
      </w:r>
    </w:p>
    <w:p w14:paraId="6A7EA701" w14:textId="77777777" w:rsidR="007D1BE4" w:rsidRDefault="007D1BE4" w:rsidP="007D1BE4">
      <w:pPr>
        <w:pStyle w:val="BodyTextMain"/>
      </w:pPr>
    </w:p>
    <w:p w14:paraId="7D58EE8D" w14:textId="2EDC0AB5" w:rsidR="006512CA" w:rsidRDefault="007D1BE4" w:rsidP="007D1BE4">
      <w:pPr>
        <w:pStyle w:val="BodyTextMain"/>
        <w:rPr>
          <w:lang w:val="en-CA"/>
        </w:rPr>
      </w:pPr>
      <w:r>
        <w:rPr>
          <w:lang w:val="en-CA"/>
        </w:rPr>
        <w:lastRenderedPageBreak/>
        <w:t xml:space="preserve">Davies and the </w:t>
      </w:r>
      <w:r w:rsidR="00A66399">
        <w:rPr>
          <w:lang w:val="en-CA"/>
        </w:rPr>
        <w:t>b</w:t>
      </w:r>
      <w:r>
        <w:rPr>
          <w:lang w:val="en-CA"/>
        </w:rPr>
        <w:t xml:space="preserve">oard had </w:t>
      </w:r>
      <w:r w:rsidRPr="00C6134F">
        <w:rPr>
          <w:lang w:val="en-CA"/>
        </w:rPr>
        <w:t xml:space="preserve">similar </w:t>
      </w:r>
      <w:r>
        <w:rPr>
          <w:lang w:val="en-CA"/>
        </w:rPr>
        <w:t>goals</w:t>
      </w:r>
      <w:r w:rsidRPr="00C6134F">
        <w:rPr>
          <w:lang w:val="en-CA"/>
        </w:rPr>
        <w:t xml:space="preserve"> </w:t>
      </w:r>
      <w:r w:rsidR="00A66399">
        <w:rPr>
          <w:lang w:val="en-CA"/>
        </w:rPr>
        <w:t>for</w:t>
      </w:r>
      <w:r w:rsidR="00A66399" w:rsidRPr="00C6134F">
        <w:rPr>
          <w:lang w:val="en-CA"/>
        </w:rPr>
        <w:t xml:space="preserve"> </w:t>
      </w:r>
      <w:r w:rsidRPr="00C6134F">
        <w:rPr>
          <w:lang w:val="en-CA"/>
        </w:rPr>
        <w:t xml:space="preserve">attaining B Corp certification. </w:t>
      </w:r>
      <w:r w:rsidR="00A66399">
        <w:rPr>
          <w:lang w:val="en-CA"/>
        </w:rPr>
        <w:t>O</w:t>
      </w:r>
      <w:r>
        <w:rPr>
          <w:lang w:val="en-CA"/>
        </w:rPr>
        <w:t>peration</w:t>
      </w:r>
      <w:r w:rsidR="00A66399">
        <w:rPr>
          <w:lang w:val="en-CA"/>
        </w:rPr>
        <w:t>s would improve at Hop with the use of</w:t>
      </w:r>
      <w:r>
        <w:rPr>
          <w:lang w:val="en-CA"/>
        </w:rPr>
        <w:t xml:space="preserve"> w</w:t>
      </w:r>
      <w:r w:rsidRPr="00C6134F">
        <w:rPr>
          <w:lang w:val="en-CA"/>
        </w:rPr>
        <w:t>rit</w:t>
      </w:r>
      <w:r>
        <w:rPr>
          <w:lang w:val="en-CA"/>
        </w:rPr>
        <w:t>ten</w:t>
      </w:r>
      <w:r w:rsidRPr="00C6134F">
        <w:rPr>
          <w:lang w:val="en-CA"/>
        </w:rPr>
        <w:t xml:space="preserve"> procedures</w:t>
      </w:r>
      <w:r>
        <w:rPr>
          <w:lang w:val="en-CA"/>
        </w:rPr>
        <w:t xml:space="preserve">; </w:t>
      </w:r>
      <w:r w:rsidR="00A66399">
        <w:rPr>
          <w:lang w:val="en-CA"/>
        </w:rPr>
        <w:t xml:space="preserve">it had been proven that </w:t>
      </w:r>
      <w:r>
        <w:rPr>
          <w:lang w:val="en-CA"/>
        </w:rPr>
        <w:t xml:space="preserve">having </w:t>
      </w:r>
      <w:r w:rsidR="00A66399">
        <w:rPr>
          <w:lang w:val="en-CA"/>
        </w:rPr>
        <w:t xml:space="preserve">and using </w:t>
      </w:r>
      <w:r>
        <w:rPr>
          <w:lang w:val="en-CA"/>
        </w:rPr>
        <w:t>documented procedures led to greater efficiency and fewer errors in the workplace</w:t>
      </w:r>
      <w:r w:rsidR="00C973CF">
        <w:rPr>
          <w:lang w:val="en-CA"/>
        </w:rPr>
        <w:t>.</w:t>
      </w:r>
      <w:r w:rsidR="005F563A">
        <w:rPr>
          <w:rStyle w:val="FootnoteReference"/>
          <w:lang w:val="en-CA"/>
        </w:rPr>
        <w:footnoteReference w:id="7"/>
      </w:r>
      <w:r>
        <w:rPr>
          <w:lang w:val="en-CA"/>
        </w:rPr>
        <w:t xml:space="preserve"> Similarly, establishing</w:t>
      </w:r>
      <w:r w:rsidRPr="00C6134F">
        <w:rPr>
          <w:lang w:val="en-CA"/>
        </w:rPr>
        <w:t xml:space="preserve"> policies that </w:t>
      </w:r>
      <w:r w:rsidR="00A66399">
        <w:rPr>
          <w:lang w:val="en-CA"/>
        </w:rPr>
        <w:t>went</w:t>
      </w:r>
      <w:r w:rsidR="00A66399" w:rsidRPr="00C6134F">
        <w:rPr>
          <w:lang w:val="en-CA"/>
        </w:rPr>
        <w:t xml:space="preserve"> </w:t>
      </w:r>
      <w:r w:rsidRPr="00C6134F">
        <w:rPr>
          <w:lang w:val="en-CA"/>
        </w:rPr>
        <w:t xml:space="preserve">beyond industry standards </w:t>
      </w:r>
      <w:r w:rsidR="006512CA">
        <w:rPr>
          <w:lang w:val="en-CA"/>
        </w:rPr>
        <w:t>for</w:t>
      </w:r>
      <w:r>
        <w:rPr>
          <w:lang w:val="en-CA"/>
        </w:rPr>
        <w:t xml:space="preserve"> the environment and the </w:t>
      </w:r>
      <w:r w:rsidR="006512CA">
        <w:rPr>
          <w:lang w:val="en-CA"/>
        </w:rPr>
        <w:t>employees</w:t>
      </w:r>
      <w:r>
        <w:rPr>
          <w:lang w:val="en-CA"/>
        </w:rPr>
        <w:t xml:space="preserve"> </w:t>
      </w:r>
      <w:r w:rsidRPr="00C6134F">
        <w:rPr>
          <w:lang w:val="en-CA"/>
        </w:rPr>
        <w:t>would improve</w:t>
      </w:r>
      <w:r>
        <w:rPr>
          <w:lang w:val="en-CA"/>
        </w:rPr>
        <w:t xml:space="preserve"> Hop’s</w:t>
      </w:r>
      <w:r w:rsidRPr="00C6134F">
        <w:rPr>
          <w:lang w:val="en-CA"/>
        </w:rPr>
        <w:t xml:space="preserve"> human resources, especially as </w:t>
      </w:r>
      <w:r w:rsidR="006512CA">
        <w:rPr>
          <w:lang w:val="en-CA"/>
        </w:rPr>
        <w:t>its</w:t>
      </w:r>
      <w:r w:rsidR="006512CA" w:rsidRPr="00C6134F">
        <w:rPr>
          <w:lang w:val="en-CA"/>
        </w:rPr>
        <w:t xml:space="preserve"> </w:t>
      </w:r>
      <w:r w:rsidRPr="00C6134F">
        <w:rPr>
          <w:lang w:val="en-CA"/>
        </w:rPr>
        <w:t>small team expand</w:t>
      </w:r>
      <w:r>
        <w:rPr>
          <w:lang w:val="en-CA"/>
        </w:rPr>
        <w:t>ed</w:t>
      </w:r>
      <w:r w:rsidRPr="00C6134F">
        <w:rPr>
          <w:lang w:val="en-CA"/>
        </w:rPr>
        <w:t xml:space="preserve"> over time. </w:t>
      </w:r>
      <w:r>
        <w:rPr>
          <w:lang w:val="en-CA"/>
        </w:rPr>
        <w:t xml:space="preserve">The team </w:t>
      </w:r>
      <w:r w:rsidR="006512CA">
        <w:rPr>
          <w:lang w:val="en-CA"/>
        </w:rPr>
        <w:t xml:space="preserve">also </w:t>
      </w:r>
      <w:r>
        <w:rPr>
          <w:lang w:val="en-CA"/>
        </w:rPr>
        <w:t>believe</w:t>
      </w:r>
      <w:r w:rsidR="006512CA">
        <w:rPr>
          <w:lang w:val="en-CA"/>
        </w:rPr>
        <w:t>d</w:t>
      </w:r>
      <w:r>
        <w:rPr>
          <w:lang w:val="en-CA"/>
        </w:rPr>
        <w:t xml:space="preserve"> that the businesses that provide</w:t>
      </w:r>
      <w:r w:rsidR="006512CA">
        <w:rPr>
          <w:lang w:val="en-CA"/>
        </w:rPr>
        <w:t>d</w:t>
      </w:r>
      <w:r>
        <w:rPr>
          <w:lang w:val="en-CA"/>
        </w:rPr>
        <w:t xml:space="preserve"> Hop with food scraps</w:t>
      </w:r>
      <w:r w:rsidRPr="00C6134F">
        <w:rPr>
          <w:lang w:val="en-CA"/>
        </w:rPr>
        <w:t xml:space="preserve"> would be more inclined to work with </w:t>
      </w:r>
      <w:r w:rsidR="006512CA">
        <w:rPr>
          <w:lang w:val="en-CA"/>
        </w:rPr>
        <w:t xml:space="preserve">Hop </w:t>
      </w:r>
      <w:r>
        <w:rPr>
          <w:lang w:val="en-CA"/>
        </w:rPr>
        <w:t xml:space="preserve">if </w:t>
      </w:r>
      <w:r w:rsidR="006512CA">
        <w:rPr>
          <w:lang w:val="en-CA"/>
        </w:rPr>
        <w:t xml:space="preserve">it </w:t>
      </w:r>
      <w:r>
        <w:rPr>
          <w:lang w:val="en-CA"/>
        </w:rPr>
        <w:t xml:space="preserve">had B Corp </w:t>
      </w:r>
      <w:r w:rsidR="006512CA">
        <w:rPr>
          <w:lang w:val="en-CA"/>
        </w:rPr>
        <w:t>c</w:t>
      </w:r>
      <w:r>
        <w:rPr>
          <w:lang w:val="en-CA"/>
        </w:rPr>
        <w:t>ertification</w:t>
      </w:r>
      <w:r w:rsidR="006512CA">
        <w:rPr>
          <w:lang w:val="en-CA"/>
        </w:rPr>
        <w:t>;</w:t>
      </w:r>
      <w:r>
        <w:rPr>
          <w:lang w:val="en-CA"/>
        </w:rPr>
        <w:t xml:space="preserve"> it </w:t>
      </w:r>
      <w:r w:rsidR="006512CA">
        <w:rPr>
          <w:lang w:val="en-CA"/>
        </w:rPr>
        <w:t xml:space="preserve">would </w:t>
      </w:r>
      <w:r>
        <w:rPr>
          <w:lang w:val="en-CA"/>
        </w:rPr>
        <w:t xml:space="preserve">reflect well on </w:t>
      </w:r>
      <w:r w:rsidR="006512CA">
        <w:rPr>
          <w:lang w:val="en-CA"/>
        </w:rPr>
        <w:t xml:space="preserve">the co-operating businesses </w:t>
      </w:r>
      <w:r>
        <w:rPr>
          <w:lang w:val="en-CA"/>
        </w:rPr>
        <w:t xml:space="preserve">to be partnered with a </w:t>
      </w:r>
      <w:r w:rsidR="006512CA">
        <w:rPr>
          <w:lang w:val="en-CA"/>
        </w:rPr>
        <w:t xml:space="preserve">company </w:t>
      </w:r>
      <w:r>
        <w:rPr>
          <w:lang w:val="en-CA"/>
        </w:rPr>
        <w:t xml:space="preserve">with </w:t>
      </w:r>
      <w:r w:rsidR="006512CA">
        <w:rPr>
          <w:lang w:val="en-CA"/>
        </w:rPr>
        <w:t xml:space="preserve">noted </w:t>
      </w:r>
      <w:r>
        <w:rPr>
          <w:lang w:val="en-CA"/>
        </w:rPr>
        <w:t>exceptional standards throughout its operations</w:t>
      </w:r>
      <w:r w:rsidRPr="00C6134F">
        <w:rPr>
          <w:lang w:val="en-CA"/>
        </w:rPr>
        <w:t>.</w:t>
      </w:r>
      <w:r>
        <w:rPr>
          <w:lang w:val="en-CA"/>
        </w:rPr>
        <w:t xml:space="preserve"> </w:t>
      </w:r>
    </w:p>
    <w:p w14:paraId="2AFDAD6A" w14:textId="77777777" w:rsidR="006512CA" w:rsidRDefault="006512CA" w:rsidP="007D1BE4">
      <w:pPr>
        <w:pStyle w:val="BodyTextMain"/>
        <w:rPr>
          <w:lang w:val="en-CA"/>
        </w:rPr>
      </w:pPr>
    </w:p>
    <w:p w14:paraId="04B30F0F" w14:textId="5F4F76B7" w:rsidR="003C37D5" w:rsidRDefault="007D1BE4" w:rsidP="007D1BE4">
      <w:pPr>
        <w:pStyle w:val="BodyTextMain"/>
        <w:rPr>
          <w:lang w:val="en-CA"/>
        </w:rPr>
      </w:pPr>
      <w:r>
        <w:rPr>
          <w:lang w:val="en-CA"/>
        </w:rPr>
        <w:t>Perry</w:t>
      </w:r>
      <w:r w:rsidR="003C37D5">
        <w:rPr>
          <w:lang w:val="en-CA"/>
        </w:rPr>
        <w:t xml:space="preserve"> offered her</w:t>
      </w:r>
      <w:r>
        <w:rPr>
          <w:lang w:val="en-CA"/>
        </w:rPr>
        <w:t xml:space="preserve"> financial perspective, </w:t>
      </w:r>
      <w:r w:rsidR="003C37D5">
        <w:rPr>
          <w:lang w:val="en-CA"/>
        </w:rPr>
        <w:t>noting that “</w:t>
      </w:r>
      <w:r>
        <w:rPr>
          <w:lang w:val="en-CA"/>
        </w:rPr>
        <w:t xml:space="preserve">companies would rather deal with B Corps and may even give them discounts” for their products or services. Attaining B Corp certification could leverage supplier relations in a unique </w:t>
      </w:r>
      <w:r w:rsidR="003C37D5">
        <w:rPr>
          <w:lang w:val="en-CA"/>
        </w:rPr>
        <w:t xml:space="preserve">way </w:t>
      </w:r>
      <w:r>
        <w:rPr>
          <w:lang w:val="en-CA"/>
        </w:rPr>
        <w:t xml:space="preserve">and benefit Hop financially in the long term. </w:t>
      </w:r>
    </w:p>
    <w:p w14:paraId="3C2E1B85" w14:textId="77777777" w:rsidR="003C37D5" w:rsidRDefault="003C37D5" w:rsidP="007D1BE4">
      <w:pPr>
        <w:pStyle w:val="BodyTextMain"/>
        <w:rPr>
          <w:lang w:val="en-CA"/>
        </w:rPr>
      </w:pPr>
    </w:p>
    <w:p w14:paraId="17D9C07C" w14:textId="356E156A" w:rsidR="007D1BE4" w:rsidRPr="00C6134F" w:rsidRDefault="007D1BE4" w:rsidP="007D1BE4">
      <w:pPr>
        <w:pStyle w:val="BodyTextMain"/>
        <w:rPr>
          <w:lang w:val="en-CA"/>
        </w:rPr>
      </w:pPr>
      <w:r>
        <w:rPr>
          <w:lang w:val="en-CA"/>
        </w:rPr>
        <w:t>A</w:t>
      </w:r>
      <w:r w:rsidRPr="00C6134F">
        <w:rPr>
          <w:lang w:val="en-CA"/>
        </w:rPr>
        <w:t xml:space="preserve">lthough </w:t>
      </w:r>
      <w:r w:rsidR="003C37D5">
        <w:rPr>
          <w:lang w:val="en-CA"/>
        </w:rPr>
        <w:t xml:space="preserve">Hop did </w:t>
      </w:r>
      <w:r w:rsidRPr="00C6134F">
        <w:rPr>
          <w:lang w:val="en-CA"/>
        </w:rPr>
        <w:t>not have direct competitors</w:t>
      </w:r>
      <w:r w:rsidR="003C37D5">
        <w:rPr>
          <w:lang w:val="en-CA"/>
        </w:rPr>
        <w:t xml:space="preserve"> at the time</w:t>
      </w:r>
      <w:r w:rsidRPr="00C6134F">
        <w:rPr>
          <w:lang w:val="en-CA"/>
        </w:rPr>
        <w:t xml:space="preserve">, it </w:t>
      </w:r>
      <w:r w:rsidR="003C37D5">
        <w:rPr>
          <w:lang w:val="en-CA"/>
        </w:rPr>
        <w:t>was</w:t>
      </w:r>
      <w:r w:rsidR="003C37D5" w:rsidRPr="00C6134F">
        <w:rPr>
          <w:lang w:val="en-CA"/>
        </w:rPr>
        <w:t xml:space="preserve"> </w:t>
      </w:r>
      <w:r w:rsidRPr="00C6134F">
        <w:rPr>
          <w:lang w:val="en-CA"/>
        </w:rPr>
        <w:t xml:space="preserve">becoming </w:t>
      </w:r>
      <w:r w:rsidR="003C37D5" w:rsidRPr="00C6134F">
        <w:rPr>
          <w:lang w:val="en-CA"/>
        </w:rPr>
        <w:t xml:space="preserve">standard </w:t>
      </w:r>
      <w:r w:rsidR="003C37D5">
        <w:rPr>
          <w:lang w:val="en-CA"/>
        </w:rPr>
        <w:t xml:space="preserve">in the </w:t>
      </w:r>
      <w:r w:rsidRPr="00C6134F">
        <w:rPr>
          <w:lang w:val="en-CA"/>
        </w:rPr>
        <w:t>industry for social enterprises to attain B Corp certification</w:t>
      </w:r>
      <w:r w:rsidR="003C37D5">
        <w:rPr>
          <w:lang w:val="en-CA"/>
        </w:rPr>
        <w:t>. The certification</w:t>
      </w:r>
      <w:r>
        <w:rPr>
          <w:lang w:val="en-CA"/>
        </w:rPr>
        <w:t xml:space="preserve"> would help to establish Hop as a legitimate social enterprise</w:t>
      </w:r>
      <w:r w:rsidR="003C37D5">
        <w:rPr>
          <w:lang w:val="en-CA"/>
        </w:rPr>
        <w:t xml:space="preserve"> in the group</w:t>
      </w:r>
      <w:r>
        <w:rPr>
          <w:lang w:val="en-CA"/>
        </w:rPr>
        <w:t xml:space="preserve">. </w:t>
      </w:r>
      <w:r w:rsidRPr="00930350">
        <w:rPr>
          <w:lang w:val="en-CA"/>
        </w:rPr>
        <w:t xml:space="preserve">Keeping Hop accountable to an overarching certification board would </w:t>
      </w:r>
      <w:r w:rsidR="003C37D5">
        <w:rPr>
          <w:lang w:val="en-CA"/>
        </w:rPr>
        <w:t xml:space="preserve">also </w:t>
      </w:r>
      <w:r w:rsidRPr="00930350">
        <w:rPr>
          <w:lang w:val="en-CA"/>
        </w:rPr>
        <w:t xml:space="preserve">help </w:t>
      </w:r>
      <w:r w:rsidR="003C37D5">
        <w:rPr>
          <w:lang w:val="en-CA"/>
        </w:rPr>
        <w:t xml:space="preserve">to </w:t>
      </w:r>
      <w:r w:rsidRPr="00930350">
        <w:rPr>
          <w:lang w:val="en-CA"/>
        </w:rPr>
        <w:t>leverage risk</w:t>
      </w:r>
      <w:r>
        <w:rPr>
          <w:lang w:val="en-CA"/>
        </w:rPr>
        <w:t xml:space="preserve"> by establishing stronger </w:t>
      </w:r>
      <w:r w:rsidR="003C37D5">
        <w:rPr>
          <w:lang w:val="en-CA"/>
        </w:rPr>
        <w:t xml:space="preserve">relationships with </w:t>
      </w:r>
      <w:r>
        <w:rPr>
          <w:lang w:val="en-CA"/>
        </w:rPr>
        <w:t>supplier</w:t>
      </w:r>
      <w:r w:rsidR="003C37D5">
        <w:rPr>
          <w:lang w:val="en-CA"/>
        </w:rPr>
        <w:t>s</w:t>
      </w:r>
      <w:r>
        <w:rPr>
          <w:lang w:val="en-CA"/>
        </w:rPr>
        <w:t xml:space="preserve"> and employee</w:t>
      </w:r>
      <w:r w:rsidR="003C37D5">
        <w:rPr>
          <w:lang w:val="en-CA"/>
        </w:rPr>
        <w:t>s,</w:t>
      </w:r>
      <w:r>
        <w:rPr>
          <w:lang w:val="en-CA"/>
        </w:rPr>
        <w:t xml:space="preserve"> </w:t>
      </w:r>
      <w:r w:rsidR="003C37D5">
        <w:rPr>
          <w:lang w:val="en-CA"/>
        </w:rPr>
        <w:t>and by</w:t>
      </w:r>
      <w:r>
        <w:rPr>
          <w:lang w:val="en-CA"/>
        </w:rPr>
        <w:t xml:space="preserve"> creat</w:t>
      </w:r>
      <w:r w:rsidR="003C37D5">
        <w:rPr>
          <w:lang w:val="en-CA"/>
        </w:rPr>
        <w:t>ing</w:t>
      </w:r>
      <w:r>
        <w:rPr>
          <w:lang w:val="en-CA"/>
        </w:rPr>
        <w:t xml:space="preserve"> operational efficiencies.</w:t>
      </w:r>
    </w:p>
    <w:p w14:paraId="17BA16D6" w14:textId="77777777" w:rsidR="007D1BE4" w:rsidRDefault="007D1BE4" w:rsidP="007D1BE4">
      <w:pPr>
        <w:pStyle w:val="BodyTextMain"/>
      </w:pPr>
    </w:p>
    <w:p w14:paraId="7A4B11F6" w14:textId="4A316388" w:rsidR="00C920D0" w:rsidRPr="006F4736" w:rsidRDefault="007D1BE4" w:rsidP="007D1BE4">
      <w:pPr>
        <w:pStyle w:val="BodyTextMain"/>
        <w:rPr>
          <w:spacing w:val="-4"/>
        </w:rPr>
      </w:pPr>
      <w:r w:rsidRPr="006F4736">
        <w:rPr>
          <w:spacing w:val="-4"/>
        </w:rPr>
        <w:t xml:space="preserve">One of the directors, however, wondered why Hop needed to </w:t>
      </w:r>
      <w:r w:rsidR="003C37D5" w:rsidRPr="006F4736">
        <w:rPr>
          <w:spacing w:val="-4"/>
        </w:rPr>
        <w:t>pursue certification at that point</w:t>
      </w:r>
      <w:r w:rsidRPr="006F4736">
        <w:rPr>
          <w:spacing w:val="-4"/>
        </w:rPr>
        <w:t xml:space="preserve">, </w:t>
      </w:r>
      <w:r w:rsidR="00C920D0" w:rsidRPr="006F4736">
        <w:rPr>
          <w:spacing w:val="-4"/>
        </w:rPr>
        <w:t xml:space="preserve">questioning </w:t>
      </w:r>
      <w:r w:rsidRPr="006F4736">
        <w:rPr>
          <w:spacing w:val="-4"/>
        </w:rPr>
        <w:t xml:space="preserve">why they needed other people to “tell us </w:t>
      </w:r>
      <w:r w:rsidR="00C920D0" w:rsidRPr="006F4736">
        <w:rPr>
          <w:spacing w:val="-4"/>
        </w:rPr>
        <w:t xml:space="preserve">[what] </w:t>
      </w:r>
      <w:r w:rsidRPr="006F4736">
        <w:rPr>
          <w:spacing w:val="-4"/>
        </w:rPr>
        <w:t>we already know</w:t>
      </w:r>
      <w:r w:rsidR="00A3211B" w:rsidRPr="006F4736">
        <w:rPr>
          <w:spacing w:val="-4"/>
        </w:rPr>
        <w:t xml:space="preserve">: </w:t>
      </w:r>
      <w:r w:rsidR="00C920D0" w:rsidRPr="006F4736">
        <w:rPr>
          <w:spacing w:val="-4"/>
        </w:rPr>
        <w:t>[why]</w:t>
      </w:r>
      <w:r w:rsidRPr="006F4736">
        <w:rPr>
          <w:spacing w:val="-4"/>
        </w:rPr>
        <w:t xml:space="preserve"> we are great</w:t>
      </w:r>
      <w:r w:rsidR="00C920D0" w:rsidRPr="006F4736">
        <w:rPr>
          <w:spacing w:val="-4"/>
        </w:rPr>
        <w:t>.</w:t>
      </w:r>
      <w:r w:rsidRPr="006F4736">
        <w:rPr>
          <w:spacing w:val="-4"/>
        </w:rPr>
        <w:t xml:space="preserve">” </w:t>
      </w:r>
      <w:r w:rsidR="00C920D0" w:rsidRPr="006F4736">
        <w:rPr>
          <w:spacing w:val="-4"/>
        </w:rPr>
        <w:t xml:space="preserve">The director </w:t>
      </w:r>
      <w:r w:rsidRPr="006F4736">
        <w:rPr>
          <w:spacing w:val="-4"/>
        </w:rPr>
        <w:t xml:space="preserve">believed </w:t>
      </w:r>
      <w:r w:rsidR="00C920D0" w:rsidRPr="006F4736">
        <w:rPr>
          <w:spacing w:val="-4"/>
        </w:rPr>
        <w:t xml:space="preserve">that </w:t>
      </w:r>
      <w:r w:rsidRPr="006F4736">
        <w:rPr>
          <w:spacing w:val="-4"/>
        </w:rPr>
        <w:t>Hop would</w:t>
      </w:r>
      <w:r w:rsidR="00C920D0" w:rsidRPr="006F4736">
        <w:rPr>
          <w:spacing w:val="-4"/>
        </w:rPr>
        <w:t xml:space="preserve"> </w:t>
      </w:r>
      <w:r w:rsidRPr="006F4736">
        <w:rPr>
          <w:spacing w:val="-4"/>
        </w:rPr>
        <w:t>n</w:t>
      </w:r>
      <w:r w:rsidR="00C920D0" w:rsidRPr="006F4736">
        <w:rPr>
          <w:spacing w:val="-4"/>
        </w:rPr>
        <w:t>o</w:t>
      </w:r>
      <w:r w:rsidRPr="006F4736">
        <w:rPr>
          <w:spacing w:val="-4"/>
        </w:rPr>
        <w:t xml:space="preserve">t struggle with accountability because Hop’s environmental mission was fundamental to the operations, </w:t>
      </w:r>
      <w:r w:rsidR="00C920D0" w:rsidRPr="006F4736">
        <w:rPr>
          <w:spacing w:val="-4"/>
        </w:rPr>
        <w:t xml:space="preserve">meaning accountability and the mission </w:t>
      </w:r>
      <w:r w:rsidRPr="006F4736">
        <w:rPr>
          <w:spacing w:val="-4"/>
        </w:rPr>
        <w:t>could not be mutually exclusive. Hop did</w:t>
      </w:r>
      <w:r w:rsidR="00C920D0" w:rsidRPr="006F4736">
        <w:rPr>
          <w:spacing w:val="-4"/>
        </w:rPr>
        <w:t xml:space="preserve"> </w:t>
      </w:r>
      <w:r w:rsidRPr="006F4736">
        <w:rPr>
          <w:spacing w:val="-4"/>
        </w:rPr>
        <w:t>n</w:t>
      </w:r>
      <w:r w:rsidR="00C920D0" w:rsidRPr="006F4736">
        <w:rPr>
          <w:spacing w:val="-4"/>
        </w:rPr>
        <w:t>o</w:t>
      </w:r>
      <w:r w:rsidRPr="006F4736">
        <w:rPr>
          <w:spacing w:val="-4"/>
        </w:rPr>
        <w:t xml:space="preserve">t need an external certification board to convey what was already clear through both its operations and marketing strategy. </w:t>
      </w:r>
    </w:p>
    <w:p w14:paraId="01E49C4A" w14:textId="77777777" w:rsidR="00C920D0" w:rsidRDefault="00C920D0" w:rsidP="007D1BE4">
      <w:pPr>
        <w:pStyle w:val="BodyTextMain"/>
      </w:pPr>
    </w:p>
    <w:p w14:paraId="590AD5A6" w14:textId="4A938052" w:rsidR="007D1BE4" w:rsidRDefault="007D1BE4" w:rsidP="007D1BE4">
      <w:pPr>
        <w:pStyle w:val="BodyTextMain"/>
      </w:pPr>
      <w:r>
        <w:t>A final issue with certification</w:t>
      </w:r>
      <w:r w:rsidR="00C920D0">
        <w:t xml:space="preserve"> was the time and cost involved. A</w:t>
      </w:r>
      <w:r>
        <w:t xml:space="preserve">ttaining </w:t>
      </w:r>
      <w:r w:rsidR="00C920D0">
        <w:t xml:space="preserve">B Corp certification </w:t>
      </w:r>
      <w:r>
        <w:t>could be a time consuming and expensive process. As a start</w:t>
      </w:r>
      <w:r w:rsidR="00C920D0">
        <w:t>-</w:t>
      </w:r>
      <w:r>
        <w:t xml:space="preserve">up, Hop was constantly improving </w:t>
      </w:r>
      <w:r w:rsidR="00C920D0">
        <w:t>its s</w:t>
      </w:r>
      <w:r>
        <w:t xml:space="preserve">tandardized </w:t>
      </w:r>
      <w:r w:rsidR="00C920D0">
        <w:t>o</w:t>
      </w:r>
      <w:r>
        <w:t xml:space="preserve">perating </w:t>
      </w:r>
      <w:r w:rsidR="00C920D0">
        <w:t>p</w:t>
      </w:r>
      <w:r>
        <w:t>rocedures</w:t>
      </w:r>
      <w:r w:rsidR="002157FE">
        <w:t>.</w:t>
      </w:r>
      <w:r>
        <w:t xml:space="preserve"> </w:t>
      </w:r>
      <w:r w:rsidR="002157FE">
        <w:t>A</w:t>
      </w:r>
      <w:r w:rsidR="00C920D0">
        <w:t>s a</w:t>
      </w:r>
      <w:r>
        <w:t xml:space="preserve"> B Corp</w:t>
      </w:r>
      <w:r w:rsidR="00C920D0">
        <w:t xml:space="preserve"> business</w:t>
      </w:r>
      <w:r>
        <w:t xml:space="preserve">, </w:t>
      </w:r>
      <w:r w:rsidR="002157FE">
        <w:t xml:space="preserve">Hop would be required to continually update </w:t>
      </w:r>
      <w:r w:rsidR="00BC1564">
        <w:t>its</w:t>
      </w:r>
      <w:r w:rsidR="002157FE">
        <w:t xml:space="preserve"> documents with every latest change. That </w:t>
      </w:r>
      <w:r>
        <w:t>would be intensely time consuming.</w:t>
      </w:r>
    </w:p>
    <w:p w14:paraId="0FB32D34" w14:textId="77777777" w:rsidR="007D1BE4" w:rsidRDefault="007D1BE4" w:rsidP="007D1BE4">
      <w:pPr>
        <w:pStyle w:val="BodyTextMain"/>
      </w:pPr>
    </w:p>
    <w:p w14:paraId="67D9ECF2" w14:textId="2379808E" w:rsidR="007D1BE4" w:rsidRPr="00C6134F" w:rsidRDefault="007D1BE4" w:rsidP="007D1BE4">
      <w:pPr>
        <w:pStyle w:val="BodyTextMain"/>
      </w:pPr>
      <w:r>
        <w:t>A</w:t>
      </w:r>
      <w:r w:rsidRPr="00C6134F">
        <w:t xml:space="preserve">nother director </w:t>
      </w:r>
      <w:r w:rsidR="00D2493E">
        <w:t xml:space="preserve">had a different position. </w:t>
      </w:r>
      <w:r w:rsidR="00D95E68">
        <w:t xml:space="preserve">He suggested </w:t>
      </w:r>
      <w:r w:rsidRPr="00C6134F">
        <w:t xml:space="preserve">that with growth, </w:t>
      </w:r>
      <w:r w:rsidR="00D95E68">
        <w:t xml:space="preserve">a </w:t>
      </w:r>
      <w:r w:rsidRPr="00C6134F">
        <w:t xml:space="preserve">high standard in every aspect of their business </w:t>
      </w:r>
      <w:r w:rsidR="00D95E68">
        <w:t xml:space="preserve">would be easier to maintain if they were striving for </w:t>
      </w:r>
      <w:r w:rsidRPr="00C6134F">
        <w:t>an external expectation</w:t>
      </w:r>
      <w:r>
        <w:t xml:space="preserve"> rather than a vague </w:t>
      </w:r>
      <w:r w:rsidR="00D95E68">
        <w:t>expectation</w:t>
      </w:r>
      <w:r w:rsidR="00D95E68" w:rsidRPr="00D95E68">
        <w:t xml:space="preserve"> </w:t>
      </w:r>
      <w:r w:rsidR="00D95E68">
        <w:t>established internally</w:t>
      </w:r>
      <w:r w:rsidRPr="00C6134F">
        <w:t xml:space="preserve">. </w:t>
      </w:r>
      <w:r w:rsidR="00D95E68">
        <w:t xml:space="preserve">The director suggested that </w:t>
      </w:r>
      <w:r w:rsidR="00300842" w:rsidRPr="00C6134F">
        <w:t xml:space="preserve">meeting these standards early </w:t>
      </w:r>
      <w:r w:rsidR="00300842">
        <w:t>was</w:t>
      </w:r>
      <w:r w:rsidR="00300842" w:rsidRPr="00C6134F">
        <w:t xml:space="preserve"> key to </w:t>
      </w:r>
      <w:r w:rsidR="00300842">
        <w:t>Hop’s</w:t>
      </w:r>
      <w:r w:rsidR="00300842" w:rsidRPr="00C6134F">
        <w:t xml:space="preserve"> future success</w:t>
      </w:r>
      <w:r w:rsidR="00300842">
        <w:t>. I</w:t>
      </w:r>
      <w:r w:rsidRPr="00C6134F">
        <w:t xml:space="preserve">t </w:t>
      </w:r>
      <w:r>
        <w:t>would be</w:t>
      </w:r>
      <w:r w:rsidRPr="00C6134F">
        <w:t xml:space="preserve"> easier </w:t>
      </w:r>
      <w:r w:rsidR="00D95E68">
        <w:t xml:space="preserve">for Hop </w:t>
      </w:r>
      <w:r w:rsidRPr="00C6134F">
        <w:t>to adapt as a small start</w:t>
      </w:r>
      <w:r w:rsidR="00D95E68">
        <w:t>-</w:t>
      </w:r>
      <w:r w:rsidRPr="00C6134F">
        <w:t>up</w:t>
      </w:r>
      <w:r w:rsidR="003C0C77">
        <w:t>.</w:t>
      </w:r>
      <w:r w:rsidR="00300842">
        <w:t xml:space="preserve"> </w:t>
      </w:r>
      <w:r w:rsidR="003C0C77">
        <w:t>A</w:t>
      </w:r>
      <w:r w:rsidR="00300842" w:rsidRPr="00C6134F">
        <w:t xml:space="preserve">ltering procedures </w:t>
      </w:r>
      <w:r w:rsidR="00300842">
        <w:t xml:space="preserve">later as </w:t>
      </w:r>
      <w:r w:rsidR="00300842" w:rsidRPr="00C6134F">
        <w:t xml:space="preserve">a large, multi-city business </w:t>
      </w:r>
      <w:r w:rsidR="00300842">
        <w:t xml:space="preserve">would be </w:t>
      </w:r>
      <w:r w:rsidR="00300842" w:rsidRPr="00C6134F">
        <w:t xml:space="preserve">much more difficult than building the procedures correctly from the </w:t>
      </w:r>
      <w:r w:rsidR="00300842">
        <w:t>beginning</w:t>
      </w:r>
      <w:r w:rsidR="00300842" w:rsidRPr="00C6134F">
        <w:t>.</w:t>
      </w:r>
      <w:r w:rsidR="00300842">
        <w:t xml:space="preserve"> The standards</w:t>
      </w:r>
      <w:r>
        <w:t xml:space="preserve"> would </w:t>
      </w:r>
      <w:r w:rsidR="00D95E68">
        <w:t xml:space="preserve">also </w:t>
      </w:r>
      <w:r>
        <w:t xml:space="preserve">act as a risk management strategy as </w:t>
      </w:r>
      <w:r w:rsidR="00D95E68">
        <w:t xml:space="preserve">Hop </w:t>
      </w:r>
      <w:r>
        <w:t>expanded</w:t>
      </w:r>
      <w:r w:rsidRPr="00C6134F">
        <w:t xml:space="preserve">. </w:t>
      </w:r>
      <w:r w:rsidR="00300842">
        <w:t xml:space="preserve">If they did not </w:t>
      </w:r>
      <w:r>
        <w:t>establish appropriate procedures early</w:t>
      </w:r>
      <w:r w:rsidR="00300842">
        <w:t xml:space="preserve">, </w:t>
      </w:r>
      <w:r>
        <w:t>the company fac</w:t>
      </w:r>
      <w:r w:rsidR="00300842">
        <w:t>ed</w:t>
      </w:r>
      <w:r>
        <w:t xml:space="preserve"> greater risks in the future. </w:t>
      </w:r>
      <w:r w:rsidR="00300842">
        <w:t>The director noted</w:t>
      </w:r>
      <w:r w:rsidR="00300842" w:rsidRPr="00C6134F">
        <w:t xml:space="preserve"> </w:t>
      </w:r>
      <w:r w:rsidRPr="00C6134F">
        <w:t>that Hop ha</w:t>
      </w:r>
      <w:r>
        <w:t>d</w:t>
      </w:r>
      <w:r w:rsidRPr="00C6134F">
        <w:t xml:space="preserve"> </w:t>
      </w:r>
      <w:r>
        <w:t xml:space="preserve">already </w:t>
      </w:r>
      <w:r w:rsidRPr="00C6134F">
        <w:t xml:space="preserve">created a standard of impact reporting through </w:t>
      </w:r>
      <w:r w:rsidR="00300842">
        <w:t>its</w:t>
      </w:r>
      <w:r w:rsidR="00300842" w:rsidRPr="00C6134F">
        <w:t xml:space="preserve"> </w:t>
      </w:r>
      <w:r w:rsidRPr="00C6134F">
        <w:t>monthly reports to food suppliers, and tha</w:t>
      </w:r>
      <w:r>
        <w:t>t as a business</w:t>
      </w:r>
      <w:r w:rsidR="00300842">
        <w:t>,</w:t>
      </w:r>
      <w:r>
        <w:t xml:space="preserve"> they </w:t>
      </w:r>
      <w:r w:rsidR="00355382">
        <w:t xml:space="preserve">would </w:t>
      </w:r>
      <w:r>
        <w:t>continue to</w:t>
      </w:r>
      <w:r w:rsidRPr="00C6134F">
        <w:t xml:space="preserve"> </w:t>
      </w:r>
      <w:r>
        <w:t>demonstrate</w:t>
      </w:r>
      <w:r w:rsidRPr="00C6134F">
        <w:t xml:space="preserve"> </w:t>
      </w:r>
      <w:r w:rsidR="00355382">
        <w:t xml:space="preserve">to their customers </w:t>
      </w:r>
      <w:r w:rsidRPr="00C6134F">
        <w:t xml:space="preserve">the value of reporting </w:t>
      </w:r>
      <w:r>
        <w:t xml:space="preserve">and transparency by attaining B Corp </w:t>
      </w:r>
      <w:r w:rsidR="00355382">
        <w:t>c</w:t>
      </w:r>
      <w:r>
        <w:t>ertification</w:t>
      </w:r>
      <w:r w:rsidRPr="00C6134F">
        <w:t>.</w:t>
      </w:r>
    </w:p>
    <w:p w14:paraId="2E63DD93" w14:textId="77777777" w:rsidR="007D1BE4" w:rsidRDefault="007D1BE4" w:rsidP="007D1BE4">
      <w:pPr>
        <w:pStyle w:val="BodyTextMain"/>
      </w:pPr>
    </w:p>
    <w:p w14:paraId="6E863EB5" w14:textId="47B27B31" w:rsidR="007D1BE4" w:rsidRPr="00C6134F" w:rsidRDefault="007D1BE4" w:rsidP="007D1BE4">
      <w:pPr>
        <w:pStyle w:val="BodyTextMain"/>
      </w:pPr>
      <w:r>
        <w:t xml:space="preserve">Davies discovered that </w:t>
      </w:r>
      <w:r w:rsidRPr="00C6134F">
        <w:t>B Lab offer</w:t>
      </w:r>
      <w:r>
        <w:t>ed</w:t>
      </w:r>
      <w:r w:rsidRPr="00C6134F">
        <w:t xml:space="preserve"> </w:t>
      </w:r>
      <w:r w:rsidR="00355382">
        <w:t>its</w:t>
      </w:r>
      <w:r w:rsidR="00355382" w:rsidRPr="00C6134F">
        <w:t xml:space="preserve"> </w:t>
      </w:r>
      <w:r w:rsidR="00355382">
        <w:t>“</w:t>
      </w:r>
      <w:r w:rsidRPr="00C6134F">
        <w:t>B Impact Assessment</w:t>
      </w:r>
      <w:r w:rsidR="00355382">
        <w:t>”</w:t>
      </w:r>
      <w:r w:rsidRPr="00C6134F">
        <w:t xml:space="preserve"> online for free</w:t>
      </w:r>
      <w:r w:rsidR="00297EFF">
        <w:t xml:space="preserve">, </w:t>
      </w:r>
      <w:r w:rsidRPr="00C6134F">
        <w:t xml:space="preserve">without having to apply for certification. Hop </w:t>
      </w:r>
      <w:r>
        <w:t>could</w:t>
      </w:r>
      <w:r w:rsidRPr="00C6134F">
        <w:t xml:space="preserve"> take </w:t>
      </w:r>
      <w:r>
        <w:t xml:space="preserve">advantage of the opportunity and </w:t>
      </w:r>
      <w:r w:rsidR="00297EFF">
        <w:t>self-</w:t>
      </w:r>
      <w:r w:rsidRPr="00C6134F">
        <w:t xml:space="preserve">assess the business without having to </w:t>
      </w:r>
      <w:r w:rsidR="00297EFF">
        <w:t>spend</w:t>
      </w:r>
      <w:r w:rsidR="00297EFF" w:rsidRPr="00C6134F">
        <w:t xml:space="preserve"> </w:t>
      </w:r>
      <w:r w:rsidRPr="00C6134F">
        <w:t xml:space="preserve">the money and time </w:t>
      </w:r>
      <w:r w:rsidR="00297EFF">
        <w:t xml:space="preserve">required for </w:t>
      </w:r>
      <w:r>
        <w:t>full</w:t>
      </w:r>
      <w:r w:rsidR="00297EFF">
        <w:t xml:space="preserve"> certification</w:t>
      </w:r>
      <w:r>
        <w:t>.</w:t>
      </w:r>
      <w:r w:rsidR="00297EFF">
        <w:t xml:space="preserve"> Hop</w:t>
      </w:r>
      <w:r>
        <w:t xml:space="preserve"> could </w:t>
      </w:r>
      <w:r w:rsidR="00297EFF">
        <w:t>use the free impact assessment to</w:t>
      </w:r>
      <w:r>
        <w:t xml:space="preserve"> </w:t>
      </w:r>
      <w:r w:rsidR="00297EFF">
        <w:t xml:space="preserve">build </w:t>
      </w:r>
      <w:r w:rsidRPr="00C6134F">
        <w:t xml:space="preserve">procedures </w:t>
      </w:r>
      <w:r>
        <w:t xml:space="preserve">that </w:t>
      </w:r>
      <w:r w:rsidRPr="00C6134F">
        <w:t>reflect</w:t>
      </w:r>
      <w:r w:rsidR="00297EFF">
        <w:t>ed</w:t>
      </w:r>
      <w:r w:rsidRPr="00C6134F">
        <w:t xml:space="preserve"> </w:t>
      </w:r>
      <w:r w:rsidR="00297EFF">
        <w:t xml:space="preserve">its goal of making a difference through the </w:t>
      </w:r>
      <w:r w:rsidRPr="00C6134F">
        <w:t xml:space="preserve">business. </w:t>
      </w:r>
      <w:r w:rsidR="00672AB3">
        <w:t xml:space="preserve">Some directors, however, were concerned that if Hop generated its own standards and procedures, customers and the company itself might come to think the standards meant something more than they did. Without the </w:t>
      </w:r>
      <w:r w:rsidR="00672AB3">
        <w:lastRenderedPageBreak/>
        <w:t>accountability that B Lab provided and the documentation required to back the company’s claims, Hop’s internally generated standards could create false expectations, creating a risk for the business.</w:t>
      </w:r>
    </w:p>
    <w:p w14:paraId="2F20A416" w14:textId="77777777" w:rsidR="007D1BE4" w:rsidRPr="00D93284" w:rsidRDefault="007D1BE4" w:rsidP="00401375">
      <w:pPr>
        <w:pStyle w:val="BodyTextMain"/>
      </w:pPr>
    </w:p>
    <w:p w14:paraId="12439D10" w14:textId="77777777" w:rsidR="007D1BE4" w:rsidRPr="00EF5067" w:rsidRDefault="007D1BE4" w:rsidP="00401375">
      <w:pPr>
        <w:pStyle w:val="BodyTextMain"/>
      </w:pPr>
    </w:p>
    <w:p w14:paraId="46ED23B6" w14:textId="77777777" w:rsidR="007D1BE4" w:rsidRPr="00D760E1" w:rsidRDefault="007D1BE4" w:rsidP="00401375">
      <w:pPr>
        <w:pStyle w:val="Casehead2"/>
      </w:pPr>
      <w:r w:rsidRPr="00D760E1">
        <w:t>The Power of a Network</w:t>
      </w:r>
    </w:p>
    <w:p w14:paraId="127FE01A" w14:textId="77777777" w:rsidR="007D1BE4" w:rsidRPr="00D93284" w:rsidRDefault="007D1BE4" w:rsidP="00401375">
      <w:pPr>
        <w:pStyle w:val="BodyTextMain"/>
        <w:keepNext/>
      </w:pPr>
    </w:p>
    <w:p w14:paraId="4EC4F6E6" w14:textId="5B66CC54" w:rsidR="007D1BE4" w:rsidRDefault="00940330" w:rsidP="007D1BE4">
      <w:pPr>
        <w:pStyle w:val="BodyTextMain"/>
      </w:pPr>
      <w:r>
        <w:t xml:space="preserve">If Hop were certified, it would be connected to </w:t>
      </w:r>
      <w:r w:rsidR="007D1BE4">
        <w:t>B Lab’s network of over 2</w:t>
      </w:r>
      <w:r>
        <w:t>,5</w:t>
      </w:r>
      <w:r w:rsidR="007D1BE4">
        <w:t>00</w:t>
      </w:r>
      <w:r w:rsidR="007D1BE4" w:rsidRPr="00C6134F">
        <w:t xml:space="preserve"> companies</w:t>
      </w:r>
      <w:r>
        <w:t>; that connection</w:t>
      </w:r>
      <w:r w:rsidR="007D1BE4">
        <w:t xml:space="preserve">, </w:t>
      </w:r>
      <w:r>
        <w:t xml:space="preserve">especially to </w:t>
      </w:r>
      <w:r w:rsidR="007D1BE4">
        <w:t xml:space="preserve">the </w:t>
      </w:r>
      <w:r>
        <w:t xml:space="preserve">227 </w:t>
      </w:r>
      <w:r w:rsidR="007D1BE4">
        <w:t xml:space="preserve">Canadian </w:t>
      </w:r>
      <w:r>
        <w:t>companies</w:t>
      </w:r>
      <w:r w:rsidR="007D1BE4">
        <w:t>,</w:t>
      </w:r>
      <w:r w:rsidR="007D1BE4" w:rsidRPr="00C6134F">
        <w:t xml:space="preserve"> </w:t>
      </w:r>
      <w:r w:rsidR="007D1BE4">
        <w:t>would be a</w:t>
      </w:r>
      <w:r w:rsidR="007D1BE4" w:rsidRPr="00C6134F">
        <w:t xml:space="preserve"> </w:t>
      </w:r>
      <w:r w:rsidR="007D1BE4">
        <w:t>huge</w:t>
      </w:r>
      <w:r w:rsidR="007D1BE4" w:rsidRPr="00C6134F">
        <w:t xml:space="preserve"> benefit</w:t>
      </w:r>
      <w:r w:rsidR="007D1BE4">
        <w:t xml:space="preserve"> to Hop.</w:t>
      </w:r>
      <w:r w:rsidR="007D1BE4" w:rsidRPr="00C6134F">
        <w:t xml:space="preserve"> Without </w:t>
      </w:r>
      <w:r w:rsidR="007D1BE4">
        <w:t>obtaining the full certification,</w:t>
      </w:r>
      <w:r w:rsidR="007D1BE4" w:rsidRPr="00C6134F">
        <w:t xml:space="preserve"> Hop would have </w:t>
      </w:r>
      <w:r w:rsidR="007D1BE4">
        <w:t xml:space="preserve">to spend its own resources </w:t>
      </w:r>
      <w:r w:rsidR="007D1BE4" w:rsidRPr="00C6134F">
        <w:t>to reach</w:t>
      </w:r>
      <w:r w:rsidR="007D1BE4">
        <w:t xml:space="preserve"> the vast number of companies </w:t>
      </w:r>
      <w:r>
        <w:t>available in</w:t>
      </w:r>
      <w:r w:rsidR="007D1BE4">
        <w:t xml:space="preserve"> B Lab</w:t>
      </w:r>
      <w:r>
        <w:t>’s network</w:t>
      </w:r>
      <w:r w:rsidR="007D1BE4" w:rsidRPr="00C6134F">
        <w:t xml:space="preserve">. </w:t>
      </w:r>
      <w:r>
        <w:t>A</w:t>
      </w:r>
      <w:r w:rsidR="007D1BE4" w:rsidRPr="00C6134F">
        <w:t xml:space="preserve">ttaining B Corp certification </w:t>
      </w:r>
      <w:r w:rsidR="00975B6B">
        <w:t xml:space="preserve">could provide Hop with </w:t>
      </w:r>
      <w:r w:rsidR="007D1BE4">
        <w:t xml:space="preserve">quick and </w:t>
      </w:r>
      <w:r w:rsidR="007D1BE4" w:rsidRPr="00C6134F">
        <w:t xml:space="preserve">easy connections that </w:t>
      </w:r>
      <w:r w:rsidR="00975B6B">
        <w:t>might</w:t>
      </w:r>
      <w:r w:rsidR="00975B6B" w:rsidRPr="00C6134F">
        <w:t xml:space="preserve"> </w:t>
      </w:r>
      <w:r w:rsidR="007D1BE4" w:rsidRPr="00C6134F">
        <w:t>be vital to Hop’s g</w:t>
      </w:r>
      <w:r w:rsidR="007D1BE4">
        <w:t>rowth throughout North America.</w:t>
      </w:r>
    </w:p>
    <w:p w14:paraId="7540AAE5" w14:textId="77777777" w:rsidR="007D1BE4" w:rsidRDefault="007D1BE4" w:rsidP="007D1BE4">
      <w:pPr>
        <w:pStyle w:val="BodyTextMain"/>
      </w:pPr>
    </w:p>
    <w:p w14:paraId="4CE90F1F" w14:textId="3AD96C1A" w:rsidR="007D1BE4" w:rsidRDefault="00975B6B" w:rsidP="007D1BE4">
      <w:pPr>
        <w:pStyle w:val="BodyTextMain"/>
      </w:pPr>
      <w:r>
        <w:t xml:space="preserve">Another consideration was </w:t>
      </w:r>
      <w:r w:rsidR="007D1BE4">
        <w:t>Davies</w:t>
      </w:r>
      <w:r>
        <w:t xml:space="preserve">’ plan to expand into Toronto </w:t>
      </w:r>
      <w:r w:rsidR="007D1BE4">
        <w:t xml:space="preserve">after establishing Hop </w:t>
      </w:r>
      <w:r w:rsidR="007D1BE4" w:rsidRPr="00C6134F">
        <w:t>Vancouver</w:t>
      </w:r>
      <w:r>
        <w:t xml:space="preserve">. </w:t>
      </w:r>
      <w:r w:rsidR="007D1BE4" w:rsidRPr="00C6134F">
        <w:t>B Lab</w:t>
      </w:r>
      <w:r>
        <w:t>’s Canadian</w:t>
      </w:r>
      <w:r w:rsidR="007D1BE4" w:rsidRPr="00C6134F">
        <w:t xml:space="preserve"> head </w:t>
      </w:r>
      <w:r w:rsidR="007D1BE4">
        <w:t xml:space="preserve">office </w:t>
      </w:r>
      <w:r>
        <w:t>was in Toronto,</w:t>
      </w:r>
      <w:r w:rsidR="007D1BE4">
        <w:t xml:space="preserve"> </w:t>
      </w:r>
      <w:r w:rsidR="007D1BE4" w:rsidRPr="00C6134F">
        <w:t>which also ha</w:t>
      </w:r>
      <w:r>
        <w:t>d</w:t>
      </w:r>
      <w:r w:rsidR="007D1BE4" w:rsidRPr="00C6134F">
        <w:t xml:space="preserve"> the largest concentration of B Corp </w:t>
      </w:r>
      <w:r>
        <w:t>c</w:t>
      </w:r>
      <w:r w:rsidR="007D1BE4">
        <w:t>ertified businesses in Canada.</w:t>
      </w:r>
    </w:p>
    <w:p w14:paraId="23F602E3" w14:textId="77777777" w:rsidR="007D1BE4" w:rsidRPr="00D93284" w:rsidRDefault="007D1BE4" w:rsidP="00401375">
      <w:pPr>
        <w:pStyle w:val="BodyTextMain"/>
      </w:pPr>
    </w:p>
    <w:p w14:paraId="2FD98426" w14:textId="77777777" w:rsidR="007D1BE4" w:rsidRPr="00EF5067" w:rsidRDefault="007D1BE4" w:rsidP="00401375">
      <w:pPr>
        <w:pStyle w:val="BodyTextMain"/>
      </w:pPr>
    </w:p>
    <w:p w14:paraId="46AF7CCC" w14:textId="77777777" w:rsidR="007D1BE4" w:rsidRPr="00D760E1" w:rsidRDefault="007D1BE4" w:rsidP="00401375">
      <w:pPr>
        <w:pStyle w:val="Casehead2"/>
      </w:pPr>
      <w:r>
        <w:t>Creating a Strong Story</w:t>
      </w:r>
    </w:p>
    <w:p w14:paraId="55537387" w14:textId="77777777" w:rsidR="007D1BE4" w:rsidRPr="00D93284" w:rsidRDefault="007D1BE4" w:rsidP="00401375">
      <w:pPr>
        <w:pStyle w:val="BodyTextMain"/>
        <w:keepNext/>
      </w:pPr>
    </w:p>
    <w:p w14:paraId="7E3C1337" w14:textId="343F6BAA" w:rsidR="00871955" w:rsidRDefault="00975B6B" w:rsidP="007D1BE4">
      <w:pPr>
        <w:pStyle w:val="BodyTextMain"/>
      </w:pPr>
      <w:r>
        <w:t xml:space="preserve">One of the </w:t>
      </w:r>
      <w:r w:rsidR="007D1BE4" w:rsidRPr="00C6134F">
        <w:t>director</w:t>
      </w:r>
      <w:r>
        <w:t>s</w:t>
      </w:r>
      <w:r w:rsidR="007D1BE4" w:rsidRPr="00C6134F">
        <w:t xml:space="preserve"> believe</w:t>
      </w:r>
      <w:r w:rsidR="007D1BE4">
        <w:t>d</w:t>
      </w:r>
      <w:r w:rsidR="007D1BE4" w:rsidRPr="00C6134F">
        <w:t xml:space="preserve"> </w:t>
      </w:r>
      <w:r w:rsidR="007D1BE4">
        <w:t xml:space="preserve">that </w:t>
      </w:r>
      <w:r w:rsidR="007D1BE4" w:rsidRPr="00C6134F">
        <w:t xml:space="preserve">Hop </w:t>
      </w:r>
      <w:r w:rsidR="007D1BE4">
        <w:t xml:space="preserve">should save money at this pivotal </w:t>
      </w:r>
      <w:r>
        <w:t xml:space="preserve">point </w:t>
      </w:r>
      <w:r w:rsidR="007D1BE4">
        <w:t xml:space="preserve">and </w:t>
      </w:r>
      <w:r w:rsidR="007D1BE4" w:rsidRPr="00C6134F">
        <w:t xml:space="preserve">market </w:t>
      </w:r>
      <w:r w:rsidR="007D1BE4">
        <w:t xml:space="preserve">itself using </w:t>
      </w:r>
      <w:r w:rsidR="007D1BE4" w:rsidRPr="00C6134F">
        <w:t xml:space="preserve">the statistics Hop </w:t>
      </w:r>
      <w:r w:rsidR="007D1BE4">
        <w:t>had</w:t>
      </w:r>
      <w:r w:rsidR="007D1BE4" w:rsidRPr="00C6134F">
        <w:t xml:space="preserve"> already developed</w:t>
      </w:r>
      <w:r w:rsidR="007D1BE4">
        <w:t>.</w:t>
      </w:r>
      <w:r w:rsidR="007D1BE4" w:rsidRPr="00C6134F">
        <w:t xml:space="preserve"> </w:t>
      </w:r>
      <w:r>
        <w:t xml:space="preserve">The director </w:t>
      </w:r>
      <w:r w:rsidR="007D1BE4">
        <w:t>stressed that c</w:t>
      </w:r>
      <w:r w:rsidR="007D1BE4" w:rsidRPr="00C6134F">
        <w:t>ommunicating how many millions of pounds of food waste Hop saved from landfills</w:t>
      </w:r>
      <w:r w:rsidR="00871955">
        <w:t xml:space="preserve"> and profiling the resulting compost</w:t>
      </w:r>
      <w:r w:rsidR="007D1BE4" w:rsidRPr="00C6134F">
        <w:t xml:space="preserve"> </w:t>
      </w:r>
      <w:r w:rsidR="00871955">
        <w:t xml:space="preserve">with </w:t>
      </w:r>
      <w:r w:rsidR="007D1BE4" w:rsidRPr="00C6134F">
        <w:t xml:space="preserve">the highest nutrient content </w:t>
      </w:r>
      <w:r w:rsidR="00871955">
        <w:t>available</w:t>
      </w:r>
      <w:r w:rsidR="00871955" w:rsidRPr="00C6134F">
        <w:t xml:space="preserve"> </w:t>
      </w:r>
      <w:r w:rsidR="007D1BE4" w:rsidRPr="00C6134F">
        <w:t xml:space="preserve">in Canada </w:t>
      </w:r>
      <w:r w:rsidR="00871955">
        <w:t>would be</w:t>
      </w:r>
      <w:r w:rsidR="00871955" w:rsidRPr="00C6134F">
        <w:t xml:space="preserve"> </w:t>
      </w:r>
      <w:r w:rsidR="007D1BE4" w:rsidRPr="00C6134F">
        <w:t xml:space="preserve">more tangible to Canadian consumers than B Corp </w:t>
      </w:r>
      <w:r w:rsidR="00871955">
        <w:t>c</w:t>
      </w:r>
      <w:r w:rsidR="007D1BE4" w:rsidRPr="00C6134F">
        <w:t>ertification.</w:t>
      </w:r>
    </w:p>
    <w:p w14:paraId="3A31D047" w14:textId="77777777" w:rsidR="00871955" w:rsidRDefault="00871955" w:rsidP="007D1BE4">
      <w:pPr>
        <w:pStyle w:val="BodyTextMain"/>
      </w:pPr>
    </w:p>
    <w:p w14:paraId="7D83DE93" w14:textId="51000799" w:rsidR="007D1BE4" w:rsidRPr="00C6134F" w:rsidRDefault="007D1BE4" w:rsidP="007D1BE4">
      <w:pPr>
        <w:pStyle w:val="BodyTextMain"/>
      </w:pPr>
      <w:r w:rsidRPr="00C6134F">
        <w:t>A</w:t>
      </w:r>
      <w:r>
        <w:t>nother</w:t>
      </w:r>
      <w:r w:rsidRPr="00C6134F">
        <w:t xml:space="preserve"> director </w:t>
      </w:r>
      <w:r>
        <w:t>agreed</w:t>
      </w:r>
      <w:r w:rsidRPr="00C6134F">
        <w:t xml:space="preserve"> with this opinion</w:t>
      </w:r>
      <w:r>
        <w:t xml:space="preserve">, </w:t>
      </w:r>
      <w:r w:rsidR="00871955">
        <w:t xml:space="preserve">adding </w:t>
      </w:r>
      <w:r w:rsidRPr="00C6134F">
        <w:t xml:space="preserve">that the environmental benefits </w:t>
      </w:r>
      <w:r>
        <w:t>were</w:t>
      </w:r>
      <w:r w:rsidRPr="00C6134F">
        <w:t xml:space="preserve"> fundamental to Hop’s operation, and </w:t>
      </w:r>
      <w:r w:rsidR="00871955">
        <w:t xml:space="preserve">that </w:t>
      </w:r>
      <w:r>
        <w:t xml:space="preserve">was </w:t>
      </w:r>
      <w:r w:rsidRPr="00C6134F">
        <w:t>immediately communicated to consumers by</w:t>
      </w:r>
      <w:r>
        <w:t xml:space="preserve"> Hop</w:t>
      </w:r>
      <w:r w:rsidR="00871955">
        <w:t>’s</w:t>
      </w:r>
      <w:r w:rsidR="00200550">
        <w:t xml:space="preserve"> business of</w:t>
      </w:r>
      <w:r>
        <w:t xml:space="preserve"> tak</w:t>
      </w:r>
      <w:r w:rsidR="00200550">
        <w:t>ing</w:t>
      </w:r>
      <w:r w:rsidRPr="00C6134F">
        <w:t xml:space="preserve"> </w:t>
      </w:r>
      <w:r>
        <w:t xml:space="preserve">restaurant food waste and </w:t>
      </w:r>
      <w:r w:rsidR="00200550">
        <w:t>making</w:t>
      </w:r>
      <w:r w:rsidR="00200550" w:rsidRPr="00C6134F">
        <w:t xml:space="preserve"> </w:t>
      </w:r>
      <w:r w:rsidRPr="00C6134F">
        <w:t xml:space="preserve">it into compost. B Corp </w:t>
      </w:r>
      <w:r w:rsidR="00FB08FC">
        <w:t>c</w:t>
      </w:r>
      <w:r w:rsidRPr="00C6134F">
        <w:t>ertification</w:t>
      </w:r>
      <w:r w:rsidR="00FB08FC">
        <w:t>, however,</w:t>
      </w:r>
      <w:r w:rsidRPr="00C6134F">
        <w:t xml:space="preserve"> would </w:t>
      </w:r>
      <w:r w:rsidR="00FB08FC">
        <w:t xml:space="preserve">also make </w:t>
      </w:r>
      <w:r w:rsidRPr="00C6134F">
        <w:t xml:space="preserve">consumers </w:t>
      </w:r>
      <w:r w:rsidR="00FB08FC">
        <w:t xml:space="preserve">aware of </w:t>
      </w:r>
      <w:r w:rsidRPr="00C6134F">
        <w:t xml:space="preserve">the more difficult-to-market benefits of Hop, such as employee </w:t>
      </w:r>
      <w:r>
        <w:t>welfare</w:t>
      </w:r>
      <w:r w:rsidRPr="00C6134F">
        <w:t>. Th</w:t>
      </w:r>
      <w:r w:rsidR="00FB08FC">
        <w:t>e</w:t>
      </w:r>
      <w:r w:rsidRPr="00C6134F">
        <w:t xml:space="preserve"> certification would show that Hop </w:t>
      </w:r>
      <w:r w:rsidR="00FB08FC">
        <w:t>went</w:t>
      </w:r>
      <w:r w:rsidR="00FB08FC" w:rsidRPr="00C6134F">
        <w:t xml:space="preserve"> </w:t>
      </w:r>
      <w:r w:rsidRPr="00C6134F">
        <w:t>beyond the environmentally</w:t>
      </w:r>
      <w:r>
        <w:t>-</w:t>
      </w:r>
      <w:r w:rsidRPr="00C6134F">
        <w:t>friendly nature of the business t</w:t>
      </w:r>
      <w:r>
        <w:t>o achieve excellence in a multitude of areas.</w:t>
      </w:r>
    </w:p>
    <w:p w14:paraId="46FEBA1E" w14:textId="77777777" w:rsidR="007D1BE4" w:rsidRDefault="007D1BE4" w:rsidP="007D1BE4">
      <w:pPr>
        <w:pStyle w:val="BodyTextMain"/>
      </w:pPr>
    </w:p>
    <w:p w14:paraId="3536EF89" w14:textId="2EDD51EF" w:rsidR="007D1BE4" w:rsidRPr="00BC0173" w:rsidRDefault="007D1BE4" w:rsidP="007D1BE4">
      <w:pPr>
        <w:pStyle w:val="BodyTextMain"/>
      </w:pPr>
      <w:r>
        <w:t>Consumers ha</w:t>
      </w:r>
      <w:r w:rsidR="00FB08FC">
        <w:t>d</w:t>
      </w:r>
      <w:r>
        <w:t xml:space="preserve"> become skeptical about </w:t>
      </w:r>
      <w:r w:rsidRPr="00C6134F">
        <w:t xml:space="preserve">companies that </w:t>
      </w:r>
      <w:r w:rsidR="00FB08FC">
        <w:t>did not</w:t>
      </w:r>
      <w:r w:rsidR="00FB08FC" w:rsidRPr="00C6134F">
        <w:t xml:space="preserve"> </w:t>
      </w:r>
      <w:r w:rsidRPr="00C6134F">
        <w:t>substantiate their environmental claims</w:t>
      </w:r>
      <w:r>
        <w:t>.</w:t>
      </w:r>
      <w:r w:rsidRPr="00C6134F">
        <w:t xml:space="preserve"> </w:t>
      </w:r>
      <w:r w:rsidR="00267DDE">
        <w:t>U</w:t>
      </w:r>
      <w:r>
        <w:t xml:space="preserve">nsubstantiated claims about </w:t>
      </w:r>
      <w:r w:rsidR="00267DDE">
        <w:t xml:space="preserve">“green” </w:t>
      </w:r>
      <w:r>
        <w:t xml:space="preserve">products </w:t>
      </w:r>
      <w:r w:rsidR="00267DDE">
        <w:t>put companies at</w:t>
      </w:r>
      <w:r>
        <w:t xml:space="preserve"> </w:t>
      </w:r>
      <w:r w:rsidRPr="00C6134F">
        <w:t xml:space="preserve">risk </w:t>
      </w:r>
      <w:r w:rsidR="00267DDE">
        <w:t>of</w:t>
      </w:r>
      <w:r>
        <w:t xml:space="preserve"> civil and criminal action for </w:t>
      </w:r>
      <w:r w:rsidRPr="00C6134F">
        <w:t xml:space="preserve">misleading consumers. At the very least, </w:t>
      </w:r>
      <w:r w:rsidR="00267DDE">
        <w:t>to protect themselves against legal action,</w:t>
      </w:r>
      <w:r w:rsidR="00267DDE" w:rsidRPr="00C6134F">
        <w:t xml:space="preserve"> </w:t>
      </w:r>
      <w:r w:rsidRPr="00C6134F">
        <w:t>Hop</w:t>
      </w:r>
      <w:r w:rsidR="00267DDE">
        <w:t>’s team</w:t>
      </w:r>
      <w:r>
        <w:t xml:space="preserve"> </w:t>
      </w:r>
      <w:r w:rsidRPr="00C6134F">
        <w:t>need</w:t>
      </w:r>
      <w:r>
        <w:t>ed</w:t>
      </w:r>
      <w:r w:rsidRPr="00C6134F">
        <w:t xml:space="preserve"> to maintain documents to </w:t>
      </w:r>
      <w:r w:rsidR="00267DDE">
        <w:t>substantiate</w:t>
      </w:r>
      <w:r w:rsidR="00267DDE" w:rsidRPr="00C6134F">
        <w:t xml:space="preserve"> </w:t>
      </w:r>
      <w:r w:rsidR="00267DDE">
        <w:t>their</w:t>
      </w:r>
      <w:r w:rsidR="00267DDE" w:rsidRPr="00C6134F">
        <w:t xml:space="preserve"> </w:t>
      </w:r>
      <w:r w:rsidRPr="00C6134F">
        <w:t xml:space="preserve">environmental </w:t>
      </w:r>
      <w:r w:rsidR="00267DDE">
        <w:t>claims</w:t>
      </w:r>
      <w:r>
        <w:t>.</w:t>
      </w:r>
      <w:r w:rsidRPr="00C6134F">
        <w:t xml:space="preserve"> Attaining B Corp </w:t>
      </w:r>
      <w:r w:rsidR="00267DDE">
        <w:t>c</w:t>
      </w:r>
      <w:r w:rsidRPr="00C6134F">
        <w:t xml:space="preserve">ertification would </w:t>
      </w:r>
      <w:r w:rsidR="00267DDE">
        <w:t xml:space="preserve">help with that by </w:t>
      </w:r>
      <w:r>
        <w:t>verify</w:t>
      </w:r>
      <w:r w:rsidR="00267DDE">
        <w:t>ing</w:t>
      </w:r>
      <w:r>
        <w:t xml:space="preserve"> Hop’s environmental claims and communicat</w:t>
      </w:r>
      <w:r w:rsidR="00267DDE">
        <w:t>ing</w:t>
      </w:r>
      <w:r>
        <w:t xml:space="preserve"> </w:t>
      </w:r>
      <w:r w:rsidRPr="00C6134F">
        <w:t xml:space="preserve">to knowledgeable consumers that Hop </w:t>
      </w:r>
      <w:r>
        <w:t>wa</w:t>
      </w:r>
      <w:r w:rsidRPr="00C6134F">
        <w:t>s</w:t>
      </w:r>
      <w:r>
        <w:t>, indeed, an environmentally responsible company.</w:t>
      </w:r>
    </w:p>
    <w:p w14:paraId="17901E0F" w14:textId="77777777" w:rsidR="007D1BE4" w:rsidRPr="00566B9E" w:rsidRDefault="007D1BE4" w:rsidP="00566B9E">
      <w:pPr>
        <w:pStyle w:val="BodyTextMain"/>
      </w:pPr>
    </w:p>
    <w:p w14:paraId="0EDDDD46" w14:textId="77777777" w:rsidR="007D1BE4" w:rsidRPr="00566B9E" w:rsidRDefault="007D1BE4" w:rsidP="00566B9E">
      <w:pPr>
        <w:pStyle w:val="BodyTextMain"/>
      </w:pPr>
    </w:p>
    <w:p w14:paraId="707E8644" w14:textId="522942E1" w:rsidR="007D1BE4" w:rsidRPr="00320425" w:rsidRDefault="007D1BE4" w:rsidP="00566B9E">
      <w:pPr>
        <w:pStyle w:val="Casehead2"/>
      </w:pPr>
      <w:r w:rsidRPr="00320425">
        <w:t>Balancing Mission</w:t>
      </w:r>
      <w:r w:rsidR="00267DDE">
        <w:t xml:space="preserve"> with</w:t>
      </w:r>
      <w:r w:rsidRPr="00320425">
        <w:t xml:space="preserve"> Resources and Investors</w:t>
      </w:r>
    </w:p>
    <w:p w14:paraId="40F1D59D" w14:textId="77777777" w:rsidR="007D1BE4" w:rsidRPr="00566B9E" w:rsidRDefault="007D1BE4" w:rsidP="00566B9E">
      <w:pPr>
        <w:pStyle w:val="BodyTextMain"/>
        <w:keepNext/>
      </w:pPr>
    </w:p>
    <w:p w14:paraId="189CCC11" w14:textId="65D65116" w:rsidR="007D1BE4" w:rsidRPr="00D366A8" w:rsidRDefault="007D1BE4" w:rsidP="007D1BE4">
      <w:pPr>
        <w:pStyle w:val="BodyTextMain"/>
        <w:rPr>
          <w:spacing w:val="-2"/>
        </w:rPr>
      </w:pPr>
      <w:r w:rsidRPr="00D366A8">
        <w:rPr>
          <w:spacing w:val="-2"/>
        </w:rPr>
        <w:t xml:space="preserve">The cost of B Corp </w:t>
      </w:r>
      <w:r w:rsidR="00267DDE" w:rsidRPr="00D366A8">
        <w:rPr>
          <w:spacing w:val="-2"/>
        </w:rPr>
        <w:t>c</w:t>
      </w:r>
      <w:r w:rsidRPr="00D366A8">
        <w:rPr>
          <w:spacing w:val="-2"/>
        </w:rPr>
        <w:t>ertification varie</w:t>
      </w:r>
      <w:r w:rsidR="00267DDE" w:rsidRPr="00D366A8">
        <w:rPr>
          <w:spacing w:val="-2"/>
        </w:rPr>
        <w:t>d,</w:t>
      </w:r>
      <w:r w:rsidRPr="00D366A8">
        <w:rPr>
          <w:spacing w:val="-2"/>
        </w:rPr>
        <w:t xml:space="preserve"> depending on the size of the business </w:t>
      </w:r>
      <w:r w:rsidR="00267DDE" w:rsidRPr="00D366A8">
        <w:rPr>
          <w:spacing w:val="-2"/>
        </w:rPr>
        <w:t>and its industry;</w:t>
      </w:r>
      <w:r w:rsidR="00D23203" w:rsidRPr="00D366A8">
        <w:rPr>
          <w:spacing w:val="-2"/>
        </w:rPr>
        <w:t xml:space="preserve"> the </w:t>
      </w:r>
      <w:r w:rsidRPr="00D366A8">
        <w:rPr>
          <w:spacing w:val="-2"/>
        </w:rPr>
        <w:t xml:space="preserve">cost </w:t>
      </w:r>
      <w:r w:rsidR="00D23203" w:rsidRPr="00D366A8">
        <w:rPr>
          <w:spacing w:val="-2"/>
        </w:rPr>
        <w:t>could be as high as</w:t>
      </w:r>
      <w:r w:rsidRPr="00D366A8">
        <w:rPr>
          <w:spacing w:val="-2"/>
        </w:rPr>
        <w:t xml:space="preserve"> $25,000 </w:t>
      </w:r>
      <w:r w:rsidR="00D23203" w:rsidRPr="00D366A8">
        <w:rPr>
          <w:spacing w:val="-2"/>
        </w:rPr>
        <w:t xml:space="preserve">per </w:t>
      </w:r>
      <w:r w:rsidRPr="00D366A8">
        <w:rPr>
          <w:spacing w:val="-2"/>
        </w:rPr>
        <w:t xml:space="preserve">year, which </w:t>
      </w:r>
      <w:r w:rsidR="00D23203" w:rsidRPr="00D366A8">
        <w:rPr>
          <w:spacing w:val="-2"/>
        </w:rPr>
        <w:t xml:space="preserve">was </w:t>
      </w:r>
      <w:r w:rsidR="003C0C77">
        <w:rPr>
          <w:spacing w:val="-2"/>
        </w:rPr>
        <w:t xml:space="preserve">expensive </w:t>
      </w:r>
      <w:r w:rsidRPr="00D366A8">
        <w:rPr>
          <w:spacing w:val="-2"/>
        </w:rPr>
        <w:t>for a start</w:t>
      </w:r>
      <w:r w:rsidR="00D23203" w:rsidRPr="00D366A8">
        <w:rPr>
          <w:spacing w:val="-2"/>
        </w:rPr>
        <w:t>-</w:t>
      </w:r>
      <w:r w:rsidRPr="00D366A8">
        <w:rPr>
          <w:spacing w:val="-2"/>
        </w:rPr>
        <w:t xml:space="preserve">up. Every financial decision made by a </w:t>
      </w:r>
      <w:r w:rsidR="005F563A" w:rsidRPr="00D366A8">
        <w:rPr>
          <w:spacing w:val="-2"/>
        </w:rPr>
        <w:t>start-up</w:t>
      </w:r>
      <w:r w:rsidRPr="00D366A8">
        <w:rPr>
          <w:spacing w:val="-2"/>
        </w:rPr>
        <w:t xml:space="preserve"> during the </w:t>
      </w:r>
      <w:r w:rsidR="00D23203" w:rsidRPr="00D366A8">
        <w:rPr>
          <w:spacing w:val="-2"/>
        </w:rPr>
        <w:t xml:space="preserve">early stage of negative cash flow (the </w:t>
      </w:r>
      <w:r w:rsidRPr="00D366A8">
        <w:rPr>
          <w:spacing w:val="-2"/>
        </w:rPr>
        <w:t>“valley of death”</w:t>
      </w:r>
      <w:r w:rsidR="00D23203" w:rsidRPr="00D366A8">
        <w:rPr>
          <w:spacing w:val="-2"/>
        </w:rPr>
        <w:t>)</w:t>
      </w:r>
      <w:r w:rsidRPr="00D366A8">
        <w:rPr>
          <w:spacing w:val="-2"/>
        </w:rPr>
        <w:t xml:space="preserve"> could make or break the company.</w:t>
      </w:r>
      <w:r w:rsidR="00903B38" w:rsidRPr="00D366A8">
        <w:rPr>
          <w:spacing w:val="-2"/>
        </w:rPr>
        <w:t xml:space="preserve"> </w:t>
      </w:r>
      <w:r w:rsidRPr="00D366A8">
        <w:rPr>
          <w:spacing w:val="-2"/>
        </w:rPr>
        <w:t xml:space="preserve">Davies worked hard for every dollar he raised for Hop, and </w:t>
      </w:r>
      <w:r w:rsidR="00D23203" w:rsidRPr="00D366A8">
        <w:rPr>
          <w:spacing w:val="-2"/>
        </w:rPr>
        <w:t xml:space="preserve">he </w:t>
      </w:r>
      <w:r w:rsidRPr="00D366A8">
        <w:rPr>
          <w:spacing w:val="-2"/>
        </w:rPr>
        <w:t xml:space="preserve">was proud that his business gave investors </w:t>
      </w:r>
      <w:r w:rsidR="00D23203" w:rsidRPr="00D366A8">
        <w:rPr>
          <w:spacing w:val="-2"/>
        </w:rPr>
        <w:t xml:space="preserve">a </w:t>
      </w:r>
      <w:r w:rsidRPr="00D366A8">
        <w:rPr>
          <w:spacing w:val="-2"/>
        </w:rPr>
        <w:t>140</w:t>
      </w:r>
      <w:r w:rsidR="00D23203" w:rsidRPr="00D366A8">
        <w:rPr>
          <w:spacing w:val="-2"/>
        </w:rPr>
        <w:t xml:space="preserve"> per cent</w:t>
      </w:r>
      <w:r w:rsidRPr="00D366A8">
        <w:rPr>
          <w:spacing w:val="-2"/>
        </w:rPr>
        <w:t xml:space="preserve"> return on </w:t>
      </w:r>
      <w:r w:rsidR="00D23203" w:rsidRPr="00D366A8">
        <w:rPr>
          <w:spacing w:val="-2"/>
        </w:rPr>
        <w:t xml:space="preserve">their </w:t>
      </w:r>
      <w:r w:rsidRPr="00D366A8">
        <w:rPr>
          <w:spacing w:val="-2"/>
        </w:rPr>
        <w:t xml:space="preserve">shares. </w:t>
      </w:r>
      <w:r w:rsidR="00D23203" w:rsidRPr="00D366A8">
        <w:rPr>
          <w:spacing w:val="-2"/>
        </w:rPr>
        <w:t>But</w:t>
      </w:r>
      <w:r w:rsidRPr="00D366A8">
        <w:rPr>
          <w:spacing w:val="-2"/>
        </w:rPr>
        <w:t xml:space="preserve"> Hop was resource</w:t>
      </w:r>
      <w:r w:rsidR="00D23203" w:rsidRPr="00D366A8">
        <w:rPr>
          <w:spacing w:val="-2"/>
        </w:rPr>
        <w:t>-</w:t>
      </w:r>
      <w:r w:rsidRPr="00D366A8">
        <w:rPr>
          <w:spacing w:val="-2"/>
        </w:rPr>
        <w:t>strapped</w:t>
      </w:r>
      <w:r w:rsidR="00D23203" w:rsidRPr="00D366A8">
        <w:rPr>
          <w:spacing w:val="-2"/>
        </w:rPr>
        <w:t>, just</w:t>
      </w:r>
      <w:r w:rsidRPr="00D366A8">
        <w:rPr>
          <w:spacing w:val="-2"/>
        </w:rPr>
        <w:t xml:space="preserve"> like any other start</w:t>
      </w:r>
      <w:r w:rsidR="00D23203" w:rsidRPr="00D366A8">
        <w:rPr>
          <w:spacing w:val="-2"/>
        </w:rPr>
        <w:t>-</w:t>
      </w:r>
      <w:r w:rsidRPr="00D366A8">
        <w:rPr>
          <w:spacing w:val="-2"/>
        </w:rPr>
        <w:t>up (</w:t>
      </w:r>
      <w:r w:rsidR="00D23203" w:rsidRPr="00D366A8">
        <w:rPr>
          <w:spacing w:val="-2"/>
        </w:rPr>
        <w:t>s</w:t>
      </w:r>
      <w:r w:rsidRPr="00D366A8">
        <w:rPr>
          <w:spacing w:val="-2"/>
        </w:rPr>
        <w:t>ee Exhibit</w:t>
      </w:r>
      <w:r w:rsidR="00D23203" w:rsidRPr="00D366A8">
        <w:rPr>
          <w:spacing w:val="-2"/>
        </w:rPr>
        <w:t>s</w:t>
      </w:r>
      <w:r w:rsidRPr="00D366A8">
        <w:rPr>
          <w:spacing w:val="-2"/>
        </w:rPr>
        <w:t xml:space="preserve"> </w:t>
      </w:r>
      <w:r w:rsidR="00DD78A8" w:rsidRPr="00D366A8">
        <w:rPr>
          <w:spacing w:val="-2"/>
        </w:rPr>
        <w:t>1</w:t>
      </w:r>
      <w:r w:rsidR="00D23203" w:rsidRPr="00D366A8">
        <w:rPr>
          <w:spacing w:val="-2"/>
        </w:rPr>
        <w:t xml:space="preserve"> and </w:t>
      </w:r>
      <w:r w:rsidR="00DD78A8" w:rsidRPr="00D366A8">
        <w:rPr>
          <w:spacing w:val="-2"/>
        </w:rPr>
        <w:t>2</w:t>
      </w:r>
      <w:r w:rsidRPr="00D366A8">
        <w:rPr>
          <w:spacing w:val="-2"/>
        </w:rPr>
        <w:t>)</w:t>
      </w:r>
      <w:r w:rsidR="00D23203" w:rsidRPr="00D366A8">
        <w:rPr>
          <w:spacing w:val="-2"/>
        </w:rPr>
        <w:t>. T</w:t>
      </w:r>
      <w:r w:rsidRPr="00D366A8">
        <w:rPr>
          <w:spacing w:val="-2"/>
        </w:rPr>
        <w:t xml:space="preserve">here </w:t>
      </w:r>
      <w:r w:rsidR="00D23203" w:rsidRPr="00D366A8">
        <w:rPr>
          <w:spacing w:val="-2"/>
        </w:rPr>
        <w:t xml:space="preserve">was </w:t>
      </w:r>
      <w:r w:rsidRPr="00D366A8">
        <w:rPr>
          <w:spacing w:val="-2"/>
        </w:rPr>
        <w:t xml:space="preserve">very little </w:t>
      </w:r>
      <w:r w:rsidR="003C0C77">
        <w:rPr>
          <w:spacing w:val="-2"/>
        </w:rPr>
        <w:t>room for extra spen</w:t>
      </w:r>
      <w:r w:rsidR="0012024D">
        <w:rPr>
          <w:spacing w:val="-2"/>
        </w:rPr>
        <w:t>d</w:t>
      </w:r>
      <w:r w:rsidR="003C0C77">
        <w:rPr>
          <w:spacing w:val="-2"/>
        </w:rPr>
        <w:t>ing</w:t>
      </w:r>
      <w:r w:rsidRPr="00D366A8">
        <w:rPr>
          <w:spacing w:val="-2"/>
        </w:rPr>
        <w:t xml:space="preserve"> in Hop’s budget for the next year</w:t>
      </w:r>
      <w:r w:rsidRPr="00D366A8">
        <w:rPr>
          <w:i/>
          <w:spacing w:val="-2"/>
        </w:rPr>
        <w:t>.</w:t>
      </w:r>
      <w:r w:rsidRPr="00D366A8">
        <w:rPr>
          <w:spacing w:val="-2"/>
        </w:rPr>
        <w:t xml:space="preserve"> Spending money on B Corp certification at </w:t>
      </w:r>
      <w:r w:rsidR="00BC1564" w:rsidRPr="00D366A8">
        <w:rPr>
          <w:spacing w:val="-2"/>
        </w:rPr>
        <w:t>this</w:t>
      </w:r>
      <w:r w:rsidR="00D23203" w:rsidRPr="00D366A8">
        <w:rPr>
          <w:spacing w:val="-2"/>
        </w:rPr>
        <w:t xml:space="preserve"> </w:t>
      </w:r>
      <w:r w:rsidRPr="00D366A8">
        <w:rPr>
          <w:spacing w:val="-2"/>
        </w:rPr>
        <w:t xml:space="preserve">particular time could be a financial blow for Hop, particularly </w:t>
      </w:r>
      <w:r w:rsidR="00D23203" w:rsidRPr="00D366A8">
        <w:rPr>
          <w:spacing w:val="-2"/>
        </w:rPr>
        <w:t xml:space="preserve">because </w:t>
      </w:r>
      <w:r w:rsidRPr="00D366A8">
        <w:rPr>
          <w:spacing w:val="-2"/>
        </w:rPr>
        <w:t xml:space="preserve">Hop needed to keep its returns as high as possible to prove </w:t>
      </w:r>
      <w:r w:rsidR="00D23203" w:rsidRPr="00D366A8">
        <w:rPr>
          <w:spacing w:val="-2"/>
        </w:rPr>
        <w:t xml:space="preserve">Hop’s value </w:t>
      </w:r>
      <w:r w:rsidRPr="00D366A8">
        <w:rPr>
          <w:spacing w:val="-2"/>
        </w:rPr>
        <w:t xml:space="preserve">to potential investors </w:t>
      </w:r>
      <w:r w:rsidR="0041041C" w:rsidRPr="00D366A8">
        <w:rPr>
          <w:spacing w:val="-2"/>
        </w:rPr>
        <w:t>who would</w:t>
      </w:r>
      <w:r w:rsidRPr="00D366A8">
        <w:rPr>
          <w:spacing w:val="-2"/>
        </w:rPr>
        <w:t xml:space="preserve"> help fund Hop’s growth.</w:t>
      </w:r>
    </w:p>
    <w:p w14:paraId="0F49AB5A" w14:textId="0371C7C7" w:rsidR="0041041C" w:rsidRPr="006F4736" w:rsidRDefault="007D1BE4" w:rsidP="007D1BE4">
      <w:pPr>
        <w:pStyle w:val="BodyTextMain"/>
        <w:rPr>
          <w:spacing w:val="-2"/>
        </w:rPr>
      </w:pPr>
      <w:r w:rsidRPr="006F4736">
        <w:rPr>
          <w:spacing w:val="-2"/>
        </w:rPr>
        <w:lastRenderedPageBreak/>
        <w:t xml:space="preserve">In addition, the process for B Corp </w:t>
      </w:r>
      <w:r w:rsidR="0041041C" w:rsidRPr="006F4736">
        <w:rPr>
          <w:spacing w:val="-2"/>
        </w:rPr>
        <w:t>c</w:t>
      </w:r>
      <w:r w:rsidRPr="006F4736">
        <w:rPr>
          <w:spacing w:val="-2"/>
        </w:rPr>
        <w:t xml:space="preserve">ertification, which needed to be completed every two years, </w:t>
      </w:r>
      <w:r w:rsidR="0041041C" w:rsidRPr="006F4736">
        <w:rPr>
          <w:spacing w:val="-2"/>
        </w:rPr>
        <w:t xml:space="preserve">was </w:t>
      </w:r>
      <w:r w:rsidRPr="006F4736">
        <w:rPr>
          <w:spacing w:val="-2"/>
        </w:rPr>
        <w:t xml:space="preserve">lengthy and time consuming. </w:t>
      </w:r>
      <w:r w:rsidR="001C13F0" w:rsidRPr="006F4736">
        <w:rPr>
          <w:spacing w:val="-2"/>
        </w:rPr>
        <w:t xml:space="preserve">The process required that companies first meet the performance requirements, which was a six-stage process (see Exhibit </w:t>
      </w:r>
      <w:r w:rsidR="00DD78A8" w:rsidRPr="006F4736">
        <w:rPr>
          <w:spacing w:val="-2"/>
        </w:rPr>
        <w:t>3</w:t>
      </w:r>
      <w:r w:rsidR="001C13F0" w:rsidRPr="006F4736">
        <w:rPr>
          <w:spacing w:val="-2"/>
        </w:rPr>
        <w:t xml:space="preserve">) that started with completing the B Impact Assessment (see Exhibit </w:t>
      </w:r>
      <w:r w:rsidR="00DD78A8" w:rsidRPr="006F4736">
        <w:rPr>
          <w:spacing w:val="-2"/>
        </w:rPr>
        <w:t>4</w:t>
      </w:r>
      <w:r w:rsidR="001C13F0" w:rsidRPr="006F4736">
        <w:rPr>
          <w:spacing w:val="-2"/>
        </w:rPr>
        <w:t>).</w:t>
      </w:r>
    </w:p>
    <w:p w14:paraId="51D5653F" w14:textId="77777777" w:rsidR="0041041C" w:rsidRPr="006F4736" w:rsidRDefault="0041041C" w:rsidP="007D1BE4">
      <w:pPr>
        <w:pStyle w:val="BodyTextMain"/>
        <w:rPr>
          <w:spacing w:val="-2"/>
        </w:rPr>
      </w:pPr>
    </w:p>
    <w:p w14:paraId="0D107111" w14:textId="52C76ADC" w:rsidR="001C13F0" w:rsidRDefault="007D1BE4" w:rsidP="007D1BE4">
      <w:pPr>
        <w:pStyle w:val="BodyTextMain"/>
      </w:pPr>
      <w:r>
        <w:t>Davies</w:t>
      </w:r>
      <w:r w:rsidRPr="00C6134F">
        <w:t xml:space="preserve"> </w:t>
      </w:r>
      <w:r w:rsidR="0041041C">
        <w:t>felt</w:t>
      </w:r>
      <w:r w:rsidR="0041041C" w:rsidRPr="00C6134F">
        <w:t xml:space="preserve"> </w:t>
      </w:r>
      <w:r w:rsidRPr="00C6134F">
        <w:t xml:space="preserve">that speed and growth </w:t>
      </w:r>
      <w:r>
        <w:t>were</w:t>
      </w:r>
      <w:r w:rsidRPr="00C6134F">
        <w:t xml:space="preserve"> two </w:t>
      </w:r>
      <w:r w:rsidR="0041041C">
        <w:t xml:space="preserve">of the </w:t>
      </w:r>
      <w:r w:rsidRPr="00C6134F">
        <w:t xml:space="preserve">main features of Hop’s </w:t>
      </w:r>
      <w:r>
        <w:t>approach</w:t>
      </w:r>
      <w:r w:rsidR="003C0C77">
        <w:t>.</w:t>
      </w:r>
      <w:r w:rsidRPr="00C6134F">
        <w:t xml:space="preserve"> </w:t>
      </w:r>
      <w:r w:rsidR="003C0C77">
        <w:t>T</w:t>
      </w:r>
      <w:r w:rsidRPr="00C6134F">
        <w:t>he team need</w:t>
      </w:r>
      <w:r>
        <w:t>ed</w:t>
      </w:r>
      <w:r w:rsidRPr="00C6134F">
        <w:t xml:space="preserve"> to make decision</w:t>
      </w:r>
      <w:r>
        <w:t>s</w:t>
      </w:r>
      <w:r w:rsidRPr="00C6134F">
        <w:t xml:space="preserve"> and act quickly. Some directors worried that </w:t>
      </w:r>
      <w:r>
        <w:t>the certification</w:t>
      </w:r>
      <w:r w:rsidRPr="00C6134F">
        <w:t xml:space="preserve"> process would slow Hop at a pivotal time</w:t>
      </w:r>
      <w:r w:rsidR="0041041C">
        <w:t>; they</w:t>
      </w:r>
      <w:r w:rsidRPr="00C6134F">
        <w:t xml:space="preserve"> questioned why </w:t>
      </w:r>
      <w:r>
        <w:t>certification could</w:t>
      </w:r>
      <w:r w:rsidR="0041041C">
        <w:t xml:space="preserve"> </w:t>
      </w:r>
      <w:r>
        <w:t>n</w:t>
      </w:r>
      <w:r w:rsidR="0041041C">
        <w:t>o</w:t>
      </w:r>
      <w:r>
        <w:t>t wait</w:t>
      </w:r>
      <w:r w:rsidR="0041041C">
        <w:t xml:space="preserve"> for a better time</w:t>
      </w:r>
      <w:r w:rsidRPr="00C6134F">
        <w:t xml:space="preserve">. </w:t>
      </w:r>
      <w:r>
        <w:t>F</w:t>
      </w:r>
      <w:r w:rsidRPr="00C6134F">
        <w:t xml:space="preserve">ive of </w:t>
      </w:r>
      <w:r>
        <w:t xml:space="preserve">Hop’s </w:t>
      </w:r>
      <w:r w:rsidRPr="00C6134F">
        <w:t xml:space="preserve">seven directors </w:t>
      </w:r>
      <w:r>
        <w:t xml:space="preserve">thought </w:t>
      </w:r>
      <w:r w:rsidRPr="00C6134F">
        <w:t>that certifying Hop immediately would be a waste of financial and human capital, and suggest</w:t>
      </w:r>
      <w:r>
        <w:t>ed</w:t>
      </w:r>
      <w:r w:rsidRPr="00C6134F">
        <w:t xml:space="preserve"> waiting </w:t>
      </w:r>
      <w:r>
        <w:t xml:space="preserve">until </w:t>
      </w:r>
      <w:r w:rsidRPr="00C6134F">
        <w:t xml:space="preserve">a later date. </w:t>
      </w:r>
    </w:p>
    <w:p w14:paraId="6651407F" w14:textId="77777777" w:rsidR="001C13F0" w:rsidRDefault="001C13F0" w:rsidP="007D1BE4">
      <w:pPr>
        <w:pStyle w:val="BodyTextMain"/>
      </w:pPr>
    </w:p>
    <w:p w14:paraId="7F9366E0" w14:textId="35B6ADBB" w:rsidR="007D1BE4" w:rsidRPr="00C6134F" w:rsidRDefault="007D1BE4" w:rsidP="007D1BE4">
      <w:pPr>
        <w:pStyle w:val="BodyTextMain"/>
      </w:pPr>
      <w:r w:rsidRPr="00C6134F">
        <w:t xml:space="preserve">In the heated meeting, the two directors </w:t>
      </w:r>
      <w:r w:rsidR="001C13F0">
        <w:t>who</w:t>
      </w:r>
      <w:r w:rsidR="001C13F0" w:rsidRPr="00C6134F">
        <w:t xml:space="preserve"> </w:t>
      </w:r>
      <w:r w:rsidRPr="00C6134F">
        <w:t>support</w:t>
      </w:r>
      <w:r>
        <w:t>ed</w:t>
      </w:r>
      <w:r w:rsidRPr="00C6134F">
        <w:t xml:space="preserve"> certification </w:t>
      </w:r>
      <w:r w:rsidR="001C13F0">
        <w:t>argued</w:t>
      </w:r>
      <w:r w:rsidR="001C13F0" w:rsidRPr="00C6134F">
        <w:t xml:space="preserve"> </w:t>
      </w:r>
      <w:r w:rsidRPr="00C6134F">
        <w:t xml:space="preserve">that the extra marketing and networking </w:t>
      </w:r>
      <w:r>
        <w:t>would</w:t>
      </w:r>
      <w:r w:rsidRPr="00C6134F">
        <w:t xml:space="preserve"> bring additional revenue and accolades that </w:t>
      </w:r>
      <w:r>
        <w:t>would</w:t>
      </w:r>
      <w:r w:rsidRPr="00C6134F">
        <w:t xml:space="preserve"> outweigh the financial burden. The five directors </w:t>
      </w:r>
      <w:r w:rsidR="001C13F0">
        <w:t>opposed to</w:t>
      </w:r>
      <w:r w:rsidR="001C13F0" w:rsidRPr="00C6134F">
        <w:t xml:space="preserve"> </w:t>
      </w:r>
      <w:r w:rsidRPr="00C6134F">
        <w:t xml:space="preserve">certification </w:t>
      </w:r>
      <w:r w:rsidR="001C13F0">
        <w:t>countered</w:t>
      </w:r>
      <w:r w:rsidRPr="00C6134F">
        <w:t>:</w:t>
      </w:r>
    </w:p>
    <w:p w14:paraId="54DEA08D" w14:textId="77777777" w:rsidR="007D1BE4" w:rsidRPr="00D93284" w:rsidRDefault="007D1BE4" w:rsidP="00566B9E">
      <w:pPr>
        <w:pStyle w:val="BodyTextMain"/>
      </w:pPr>
    </w:p>
    <w:p w14:paraId="7BC220C1" w14:textId="115D6EF5" w:rsidR="007D1BE4" w:rsidRPr="00C6134F" w:rsidRDefault="007D1BE4" w:rsidP="007D1BE4">
      <w:pPr>
        <w:pStyle w:val="BodyTextMain"/>
        <w:ind w:left="720"/>
      </w:pPr>
      <w:r w:rsidRPr="00C6134F">
        <w:t>At this time, Hop has reached capacity in Calgary. Although there are expansion plans into Vancouver, Hop ha</w:t>
      </w:r>
      <w:r w:rsidR="001C13F0">
        <w:t>s</w:t>
      </w:r>
      <w:r w:rsidRPr="00C6134F">
        <w:t xml:space="preserve"> already established a network and marketing plan </w:t>
      </w:r>
      <w:r w:rsidR="00342FB4">
        <w:t xml:space="preserve">[that has generated] </w:t>
      </w:r>
      <w:r w:rsidRPr="00C6134F">
        <w:t xml:space="preserve">enough committed interest to be, at minimum, </w:t>
      </w:r>
      <w:r w:rsidR="001C13F0">
        <w:t xml:space="preserve">at </w:t>
      </w:r>
      <w:r w:rsidRPr="00C6134F">
        <w:t>two</w:t>
      </w:r>
      <w:r>
        <w:t>-</w:t>
      </w:r>
      <w:r w:rsidRPr="00C6134F">
        <w:t>third</w:t>
      </w:r>
      <w:r>
        <w:t>s capacity [in Vancouver] by the launch date. At this time, the</w:t>
      </w:r>
      <w:r w:rsidRPr="00C6134F">
        <w:t xml:space="preserve"> money and time would be better spent on funding the Vancouver </w:t>
      </w:r>
      <w:r>
        <w:t>initiative rather than on certification.</w:t>
      </w:r>
    </w:p>
    <w:p w14:paraId="616F7CA7" w14:textId="77777777" w:rsidR="007D1BE4" w:rsidRPr="00D93284" w:rsidRDefault="007D1BE4" w:rsidP="00566B9E">
      <w:pPr>
        <w:pStyle w:val="BodyTextMain"/>
      </w:pPr>
    </w:p>
    <w:p w14:paraId="0D0E0C48" w14:textId="591B2081" w:rsidR="007D1BE4" w:rsidRDefault="007D1BE4" w:rsidP="007D1BE4">
      <w:pPr>
        <w:pStyle w:val="BodyTextMain"/>
      </w:pPr>
      <w:r>
        <w:t>Historically, Davies</w:t>
      </w:r>
      <w:r w:rsidRPr="008C4144">
        <w:t xml:space="preserve"> ha</w:t>
      </w:r>
      <w:r>
        <w:t>d</w:t>
      </w:r>
      <w:r w:rsidRPr="008C4144">
        <w:t xml:space="preserve"> struggled with investors </w:t>
      </w:r>
      <w:r>
        <w:t>disagreeing with</w:t>
      </w:r>
      <w:r w:rsidRPr="008C4144">
        <w:t xml:space="preserve"> his valuation of Hop, particularly </w:t>
      </w:r>
      <w:r w:rsidR="00342FB4">
        <w:t>with regard to</w:t>
      </w:r>
      <w:r w:rsidR="00342FB4" w:rsidRPr="008C4144">
        <w:t xml:space="preserve"> </w:t>
      </w:r>
      <w:r w:rsidRPr="008C4144">
        <w:t xml:space="preserve">the social impact of the business. Although </w:t>
      </w:r>
      <w:r>
        <w:t xml:space="preserve">the </w:t>
      </w:r>
      <w:r w:rsidRPr="008C4144">
        <w:t>Hop</w:t>
      </w:r>
      <w:r>
        <w:t xml:space="preserve"> team</w:t>
      </w:r>
      <w:r w:rsidRPr="008C4144">
        <w:t xml:space="preserve"> ha</w:t>
      </w:r>
      <w:r>
        <w:t>d</w:t>
      </w:r>
      <w:r w:rsidRPr="008C4144">
        <w:t xml:space="preserve"> never lowered their valuation in negotiations, the directors worried </w:t>
      </w:r>
      <w:r>
        <w:t xml:space="preserve">that </w:t>
      </w:r>
      <w:r w:rsidRPr="008C4144">
        <w:t xml:space="preserve">putting capital into </w:t>
      </w:r>
      <w:r w:rsidR="00342FB4">
        <w:t>B Corp</w:t>
      </w:r>
      <w:r w:rsidR="00342FB4" w:rsidRPr="008C4144">
        <w:t xml:space="preserve"> </w:t>
      </w:r>
      <w:r w:rsidRPr="008C4144">
        <w:t xml:space="preserve">certification </w:t>
      </w:r>
      <w:r w:rsidR="00342FB4">
        <w:t>might</w:t>
      </w:r>
      <w:r w:rsidR="00342FB4" w:rsidRPr="008C4144">
        <w:t xml:space="preserve"> </w:t>
      </w:r>
      <w:r w:rsidRPr="008C4144">
        <w:t xml:space="preserve">alienate the investors </w:t>
      </w:r>
      <w:r>
        <w:t>Davies</w:t>
      </w:r>
      <w:r w:rsidRPr="008C4144">
        <w:t xml:space="preserve"> worked so hard to reach. The meaning behind B Corp </w:t>
      </w:r>
      <w:r w:rsidR="00342FB4">
        <w:t>c</w:t>
      </w:r>
      <w:r w:rsidRPr="008C4144">
        <w:t xml:space="preserve">ertification </w:t>
      </w:r>
      <w:r w:rsidR="00342FB4">
        <w:t xml:space="preserve">was not </w:t>
      </w:r>
      <w:r w:rsidRPr="008C4144">
        <w:t xml:space="preserve">well-known in Canada, </w:t>
      </w:r>
      <w:r w:rsidR="00342FB4">
        <w:t>so it was</w:t>
      </w:r>
      <w:r w:rsidRPr="008C4144">
        <w:t xml:space="preserve"> probab</w:t>
      </w:r>
      <w:r w:rsidR="00342FB4">
        <w:t>le</w:t>
      </w:r>
      <w:r w:rsidRPr="008C4144">
        <w:t xml:space="preserve"> that Hop’s investors </w:t>
      </w:r>
      <w:r w:rsidR="00342FB4">
        <w:t>would</w:t>
      </w:r>
      <w:r w:rsidR="00342FB4" w:rsidRPr="008C4144">
        <w:t xml:space="preserve"> </w:t>
      </w:r>
      <w:r w:rsidRPr="008C4144">
        <w:t xml:space="preserve">not know what it </w:t>
      </w:r>
      <w:r w:rsidR="00342FB4">
        <w:t>wa</w:t>
      </w:r>
      <w:r w:rsidRPr="008C4144">
        <w:t xml:space="preserve">s or see </w:t>
      </w:r>
      <w:r w:rsidR="00342FB4">
        <w:t>its</w:t>
      </w:r>
      <w:r w:rsidR="00342FB4" w:rsidRPr="008C4144">
        <w:t xml:space="preserve"> </w:t>
      </w:r>
      <w:r w:rsidRPr="008C4144">
        <w:t>value. The directors believe</w:t>
      </w:r>
      <w:r>
        <w:t>d</w:t>
      </w:r>
      <w:r w:rsidRPr="008C4144">
        <w:t xml:space="preserve"> that investors would rather their money be spent on magnifying Hop’s environmental impact throughout North America as opposed to it being spent on officially </w:t>
      </w:r>
      <w:r w:rsidR="00F423CC" w:rsidRPr="008C4144">
        <w:t>labelling</w:t>
      </w:r>
      <w:r w:rsidRPr="008C4144">
        <w:t xml:space="preserve"> </w:t>
      </w:r>
      <w:r w:rsidR="00CF5E32">
        <w:t>Hop’s</w:t>
      </w:r>
      <w:r w:rsidR="00CF5E32" w:rsidRPr="008C4144">
        <w:t xml:space="preserve"> </w:t>
      </w:r>
      <w:r w:rsidRPr="008C4144">
        <w:t>current impact.</w:t>
      </w:r>
    </w:p>
    <w:p w14:paraId="6EF9D210" w14:textId="77777777" w:rsidR="007D1BE4" w:rsidRDefault="007D1BE4" w:rsidP="007D1BE4">
      <w:pPr>
        <w:pStyle w:val="BodyTextMain"/>
      </w:pPr>
    </w:p>
    <w:p w14:paraId="00FC9A97" w14:textId="77777777" w:rsidR="007D1BE4" w:rsidRPr="0002094D" w:rsidRDefault="007D1BE4" w:rsidP="007D1BE4">
      <w:pPr>
        <w:pStyle w:val="BodyTextMain"/>
      </w:pPr>
    </w:p>
    <w:p w14:paraId="75C3402F" w14:textId="3DA6CD12" w:rsidR="007D1BE4" w:rsidRDefault="006164E9" w:rsidP="006164E9">
      <w:pPr>
        <w:pStyle w:val="Casehead1"/>
        <w:rPr>
          <w:lang w:val="en-CA"/>
        </w:rPr>
      </w:pPr>
      <w:r>
        <w:rPr>
          <w:lang w:val="en-CA"/>
        </w:rPr>
        <w:t xml:space="preserve">Part B: </w:t>
      </w:r>
      <w:r w:rsidR="007D1BE4" w:rsidRPr="00D760E1">
        <w:rPr>
          <w:lang w:val="en-CA"/>
        </w:rPr>
        <w:t>Through the Eyes of an Investor</w:t>
      </w:r>
    </w:p>
    <w:p w14:paraId="2AB17023" w14:textId="7427B3B9" w:rsidR="00654374" w:rsidRPr="00566B9E" w:rsidRDefault="00654374" w:rsidP="00672AB3">
      <w:pPr>
        <w:pStyle w:val="BodyTextMain"/>
        <w:rPr>
          <w:lang w:val="en-CA"/>
        </w:rPr>
      </w:pPr>
    </w:p>
    <w:p w14:paraId="629E0895" w14:textId="58A72D2F" w:rsidR="005973AD" w:rsidRDefault="007D1BE4" w:rsidP="005973AD">
      <w:pPr>
        <w:pStyle w:val="BodyTextMain"/>
        <w:rPr>
          <w:color w:val="000000" w:themeColor="text1"/>
        </w:rPr>
      </w:pPr>
      <w:r>
        <w:t>Tied to the B Corp decision</w:t>
      </w:r>
      <w:r w:rsidR="00CF5E32">
        <w:t xml:space="preserve"> </w:t>
      </w:r>
      <w:r>
        <w:t xml:space="preserve">was a pressing financial need to fund </w:t>
      </w:r>
      <w:r w:rsidR="00CF5E32">
        <w:t xml:space="preserve">Hop’s </w:t>
      </w:r>
      <w:r>
        <w:t xml:space="preserve">immediate plans for growth. </w:t>
      </w:r>
      <w:r w:rsidR="00FC18B1" w:rsidRPr="0050379F">
        <w:t>Hop had proprietary technology,</w:t>
      </w:r>
      <w:r w:rsidR="00FC18B1">
        <w:rPr>
          <w:color w:val="FF6600"/>
        </w:rPr>
        <w:t xml:space="preserve"> </w:t>
      </w:r>
      <w:r w:rsidR="00FC18B1" w:rsidRPr="00556BC1">
        <w:rPr>
          <w:color w:val="000000" w:themeColor="text1"/>
        </w:rPr>
        <w:t xml:space="preserve">a long list of Calgary’s top restaurants already </w:t>
      </w:r>
      <w:r w:rsidR="00FC18B1">
        <w:rPr>
          <w:color w:val="000000" w:themeColor="text1"/>
        </w:rPr>
        <w:t xml:space="preserve">confirmed </w:t>
      </w:r>
      <w:r w:rsidR="00FC18B1" w:rsidRPr="00556BC1">
        <w:rPr>
          <w:color w:val="000000" w:themeColor="text1"/>
        </w:rPr>
        <w:t>as clients</w:t>
      </w:r>
      <w:r w:rsidR="00FC18B1">
        <w:rPr>
          <w:color w:val="000000" w:themeColor="text1"/>
        </w:rPr>
        <w:t>, and</w:t>
      </w:r>
      <w:r w:rsidR="00FC18B1" w:rsidRPr="00556BC1">
        <w:rPr>
          <w:color w:val="000000" w:themeColor="text1"/>
        </w:rPr>
        <w:t xml:space="preserve"> an established facility location, </w:t>
      </w:r>
      <w:r w:rsidR="00FC18B1">
        <w:rPr>
          <w:color w:val="000000" w:themeColor="text1"/>
        </w:rPr>
        <w:t xml:space="preserve">but </w:t>
      </w:r>
      <w:r w:rsidR="00FC18B1" w:rsidRPr="00556BC1">
        <w:rPr>
          <w:color w:val="000000" w:themeColor="text1"/>
        </w:rPr>
        <w:t xml:space="preserve">the barrier to entry for Hop was still enormous. The competitive landscape in the waste management industry included companies and methods that held a large part of the market share. </w:t>
      </w:r>
      <w:r w:rsidR="00FC18B1">
        <w:rPr>
          <w:color w:val="000000" w:themeColor="text1"/>
        </w:rPr>
        <w:t xml:space="preserve">To compete, </w:t>
      </w:r>
      <w:r w:rsidR="000F6B66">
        <w:rPr>
          <w:color w:val="000000" w:themeColor="text1"/>
        </w:rPr>
        <w:t xml:space="preserve">Davies </w:t>
      </w:r>
      <w:r w:rsidR="000F6B66" w:rsidRPr="00556BC1">
        <w:rPr>
          <w:color w:val="000000" w:themeColor="text1"/>
        </w:rPr>
        <w:t xml:space="preserve">needed to raise $800,000 for Hop’s expansion </w:t>
      </w:r>
      <w:r w:rsidR="000F6B66">
        <w:rPr>
          <w:color w:val="000000" w:themeColor="text1"/>
        </w:rPr>
        <w:t>in</w:t>
      </w:r>
      <w:r w:rsidR="000F6B66" w:rsidRPr="00556BC1">
        <w:rPr>
          <w:color w:val="000000" w:themeColor="text1"/>
        </w:rPr>
        <w:t>to Vancouver, and then immediately</w:t>
      </w:r>
      <w:r w:rsidR="000F6B66">
        <w:rPr>
          <w:color w:val="000000" w:themeColor="text1"/>
        </w:rPr>
        <w:t xml:space="preserve"> </w:t>
      </w:r>
      <w:r w:rsidR="00986A9D">
        <w:rPr>
          <w:color w:val="000000" w:themeColor="text1"/>
        </w:rPr>
        <w:t>begin</w:t>
      </w:r>
      <w:r w:rsidR="000F6B66" w:rsidRPr="00556BC1">
        <w:rPr>
          <w:color w:val="000000" w:themeColor="text1"/>
        </w:rPr>
        <w:t xml:space="preserve"> </w:t>
      </w:r>
      <w:r w:rsidR="000F6B66">
        <w:rPr>
          <w:color w:val="000000" w:themeColor="text1"/>
        </w:rPr>
        <w:t xml:space="preserve">raising funds </w:t>
      </w:r>
      <w:r w:rsidR="000F6B66" w:rsidRPr="00556BC1">
        <w:rPr>
          <w:color w:val="000000" w:themeColor="text1"/>
        </w:rPr>
        <w:t xml:space="preserve">for expansion into Toronto. </w:t>
      </w:r>
    </w:p>
    <w:p w14:paraId="430DCC78" w14:textId="77777777" w:rsidR="005973AD" w:rsidRDefault="005973AD" w:rsidP="005973AD">
      <w:pPr>
        <w:pStyle w:val="BodyTextMain"/>
        <w:rPr>
          <w:color w:val="000000" w:themeColor="text1"/>
        </w:rPr>
      </w:pPr>
    </w:p>
    <w:p w14:paraId="2700FC82" w14:textId="16E6309A" w:rsidR="0004492E" w:rsidRDefault="005973AD" w:rsidP="007D1BE4">
      <w:pPr>
        <w:pStyle w:val="BodyTextMain"/>
      </w:pPr>
      <w:r>
        <w:t xml:space="preserve">Given the contrasting opinions from the board of directors, Davies </w:t>
      </w:r>
      <w:r w:rsidR="00986A9D">
        <w:t>wondered</w:t>
      </w:r>
      <w:r>
        <w:t xml:space="preserve"> if he should focus his future pitches solely on the validity of Hop’s business model or spend time determining a better way to convince investors of the financial benefits of Hop’s social and environmental impact. He </w:t>
      </w:r>
      <w:r w:rsidR="007D1BE4">
        <w:t>remembered how difficult the previous rounds of investment talks</w:t>
      </w:r>
      <w:r w:rsidR="00CF5E32">
        <w:t xml:space="preserve"> </w:t>
      </w:r>
      <w:r w:rsidR="0004492E">
        <w:t>had been</w:t>
      </w:r>
      <w:r w:rsidR="007D1BE4">
        <w:t xml:space="preserve">. </w:t>
      </w:r>
      <w:r w:rsidR="000F6B66">
        <w:t>His</w:t>
      </w:r>
      <w:r w:rsidR="00CF5E32">
        <w:t xml:space="preserve"> greatest struggle when seeking investment had been communicating the value of the social and environmental aspects of his business. </w:t>
      </w:r>
      <w:r w:rsidR="007D1BE4">
        <w:t>Although Hop was now better</w:t>
      </w:r>
      <w:r w:rsidR="00CF5E32">
        <w:t xml:space="preserve"> </w:t>
      </w:r>
      <w:r w:rsidR="007D1BE4">
        <w:t xml:space="preserve">established with a proven scalable business model, </w:t>
      </w:r>
      <w:r w:rsidR="00CF5E32">
        <w:t xml:space="preserve">this </w:t>
      </w:r>
      <w:r w:rsidR="007D1BE4">
        <w:t xml:space="preserve">struggle was inherent to Hop, no </w:t>
      </w:r>
      <w:r w:rsidR="0012024D">
        <w:t>matter the size of the company.</w:t>
      </w:r>
    </w:p>
    <w:p w14:paraId="78CACB4D" w14:textId="77777777" w:rsidR="0012024D" w:rsidRDefault="0012024D" w:rsidP="007D1BE4">
      <w:pPr>
        <w:pStyle w:val="BodyTextMain"/>
      </w:pPr>
      <w:bookmarkStart w:id="0" w:name="_GoBack"/>
      <w:bookmarkEnd w:id="0"/>
    </w:p>
    <w:p w14:paraId="7A03A3FE" w14:textId="04EAD4AC" w:rsidR="007D1BE4" w:rsidRPr="0097655C" w:rsidRDefault="007D1BE4" w:rsidP="007D1BE4">
      <w:pPr>
        <w:pStyle w:val="BodyTextMain"/>
        <w:rPr>
          <w:color w:val="000000" w:themeColor="text1"/>
        </w:rPr>
      </w:pPr>
      <w:r w:rsidRPr="00556BC1">
        <w:rPr>
          <w:color w:val="000000" w:themeColor="text1"/>
        </w:rPr>
        <w:t xml:space="preserve">When </w:t>
      </w:r>
      <w:r>
        <w:rPr>
          <w:color w:val="000000" w:themeColor="text1"/>
        </w:rPr>
        <w:t>Davies first approach</w:t>
      </w:r>
      <w:r w:rsidR="000F6B66">
        <w:rPr>
          <w:color w:val="000000" w:themeColor="text1"/>
        </w:rPr>
        <w:t>ed</w:t>
      </w:r>
      <w:r>
        <w:rPr>
          <w:color w:val="000000" w:themeColor="text1"/>
        </w:rPr>
        <w:t xml:space="preserve"> potential </w:t>
      </w:r>
      <w:r w:rsidRPr="00556BC1">
        <w:rPr>
          <w:color w:val="000000" w:themeColor="text1"/>
        </w:rPr>
        <w:t>investors</w:t>
      </w:r>
      <w:r>
        <w:rPr>
          <w:color w:val="000000" w:themeColor="text1"/>
        </w:rPr>
        <w:t xml:space="preserve">, he </w:t>
      </w:r>
      <w:r w:rsidRPr="00556BC1">
        <w:rPr>
          <w:color w:val="000000" w:themeColor="text1"/>
        </w:rPr>
        <w:t xml:space="preserve">realized that many of them did not </w:t>
      </w:r>
      <w:r>
        <w:rPr>
          <w:color w:val="000000" w:themeColor="text1"/>
        </w:rPr>
        <w:t xml:space="preserve">understand </w:t>
      </w:r>
      <w:r w:rsidRPr="00556BC1">
        <w:rPr>
          <w:color w:val="000000" w:themeColor="text1"/>
        </w:rPr>
        <w:t xml:space="preserve">the value of his company. Calgary was the economic </w:t>
      </w:r>
      <w:r w:rsidR="00F423CC" w:rsidRPr="00556BC1">
        <w:rPr>
          <w:color w:val="000000" w:themeColor="text1"/>
        </w:rPr>
        <w:t>centr</w:t>
      </w:r>
      <w:r w:rsidR="00F423CC">
        <w:rPr>
          <w:color w:val="000000" w:themeColor="text1"/>
        </w:rPr>
        <w:t>e</w:t>
      </w:r>
      <w:r w:rsidRPr="00556BC1">
        <w:rPr>
          <w:color w:val="000000" w:themeColor="text1"/>
        </w:rPr>
        <w:t xml:space="preserve"> for the </w:t>
      </w:r>
      <w:r>
        <w:rPr>
          <w:color w:val="000000" w:themeColor="text1"/>
        </w:rPr>
        <w:t>oil and gas industry in Canada</w:t>
      </w:r>
      <w:r w:rsidR="00FC18B1">
        <w:rPr>
          <w:color w:val="000000" w:themeColor="text1"/>
        </w:rPr>
        <w:t>, and t</w:t>
      </w:r>
      <w:r>
        <w:rPr>
          <w:color w:val="000000" w:themeColor="text1"/>
        </w:rPr>
        <w:t xml:space="preserve">here </w:t>
      </w:r>
      <w:r w:rsidRPr="00556BC1">
        <w:rPr>
          <w:color w:val="000000" w:themeColor="text1"/>
        </w:rPr>
        <w:t>was significant capital in the city</w:t>
      </w:r>
      <w:r w:rsidR="00FC18B1">
        <w:rPr>
          <w:color w:val="000000" w:themeColor="text1"/>
        </w:rPr>
        <w:t>. T</w:t>
      </w:r>
      <w:r w:rsidRPr="00556BC1">
        <w:rPr>
          <w:color w:val="000000" w:themeColor="text1"/>
        </w:rPr>
        <w:t xml:space="preserve">here was also </w:t>
      </w:r>
      <w:r>
        <w:rPr>
          <w:color w:val="000000" w:themeColor="text1"/>
        </w:rPr>
        <w:t xml:space="preserve">a clear </w:t>
      </w:r>
      <w:r w:rsidRPr="00556BC1">
        <w:rPr>
          <w:color w:val="000000" w:themeColor="text1"/>
        </w:rPr>
        <w:t xml:space="preserve">expectation </w:t>
      </w:r>
      <w:r>
        <w:rPr>
          <w:color w:val="000000" w:themeColor="text1"/>
        </w:rPr>
        <w:t xml:space="preserve">about the high rate of return </w:t>
      </w:r>
      <w:r w:rsidR="0004492E">
        <w:rPr>
          <w:color w:val="000000" w:themeColor="text1"/>
        </w:rPr>
        <w:t xml:space="preserve">expected </w:t>
      </w:r>
      <w:r>
        <w:rPr>
          <w:color w:val="000000" w:themeColor="text1"/>
        </w:rPr>
        <w:lastRenderedPageBreak/>
        <w:t xml:space="preserve">by </w:t>
      </w:r>
      <w:r w:rsidRPr="00556BC1">
        <w:rPr>
          <w:color w:val="000000" w:themeColor="text1"/>
        </w:rPr>
        <w:t xml:space="preserve">investors. </w:t>
      </w:r>
      <w:r w:rsidR="00DD7015" w:rsidRPr="00654374">
        <w:rPr>
          <w:lang w:val="en-US"/>
        </w:rPr>
        <w:t xml:space="preserve">During his first round of investment talks, Davies learned that </w:t>
      </w:r>
      <w:r w:rsidR="00DD7015">
        <w:rPr>
          <w:lang w:val="en-US"/>
        </w:rPr>
        <w:t>investors’</w:t>
      </w:r>
      <w:r w:rsidR="00DD7015" w:rsidRPr="00654374">
        <w:rPr>
          <w:lang w:val="en-US"/>
        </w:rPr>
        <w:t xml:space="preserve"> main concern</w:t>
      </w:r>
      <w:r w:rsidR="00DD7015">
        <w:rPr>
          <w:lang w:val="en-US"/>
        </w:rPr>
        <w:t>s</w:t>
      </w:r>
      <w:r w:rsidR="00DD7015" w:rsidRPr="00654374">
        <w:rPr>
          <w:lang w:val="en-US"/>
        </w:rPr>
        <w:t xml:space="preserve"> </w:t>
      </w:r>
      <w:r w:rsidR="00DD7015">
        <w:rPr>
          <w:lang w:val="en-US"/>
        </w:rPr>
        <w:t>were</w:t>
      </w:r>
      <w:r w:rsidR="00DD7015" w:rsidRPr="00654374">
        <w:rPr>
          <w:lang w:val="en-US"/>
        </w:rPr>
        <w:t xml:space="preserve"> </w:t>
      </w:r>
      <w:r w:rsidR="00DD7015">
        <w:rPr>
          <w:lang w:val="en-US"/>
        </w:rPr>
        <w:t>a</w:t>
      </w:r>
      <w:r w:rsidR="00DD7015" w:rsidRPr="00654374">
        <w:rPr>
          <w:lang w:val="en-US"/>
        </w:rPr>
        <w:t xml:space="preserve"> lack of demand for </w:t>
      </w:r>
      <w:r w:rsidR="00DD7015">
        <w:rPr>
          <w:lang w:val="en-US"/>
        </w:rPr>
        <w:t>Hop’s</w:t>
      </w:r>
      <w:r w:rsidR="00DD7015" w:rsidRPr="00654374">
        <w:rPr>
          <w:lang w:val="en-US"/>
        </w:rPr>
        <w:t xml:space="preserve"> service and the dollar value that </w:t>
      </w:r>
      <w:r w:rsidR="00DD7015">
        <w:rPr>
          <w:lang w:val="en-US"/>
        </w:rPr>
        <w:t>Davies had</w:t>
      </w:r>
      <w:r w:rsidR="00DD7015" w:rsidRPr="00654374">
        <w:rPr>
          <w:lang w:val="en-US"/>
        </w:rPr>
        <w:t xml:space="preserve"> assigned to the environmental impact of his service</w:t>
      </w:r>
      <w:r w:rsidRPr="00556BC1">
        <w:rPr>
          <w:color w:val="000000" w:themeColor="text1"/>
        </w:rPr>
        <w:t xml:space="preserve">. </w:t>
      </w:r>
      <w:r w:rsidR="006B3CAA">
        <w:rPr>
          <w:color w:val="000000" w:themeColor="text1"/>
        </w:rPr>
        <w:t>Yet, i</w:t>
      </w:r>
      <w:r>
        <w:rPr>
          <w:color w:val="000000" w:themeColor="text1"/>
        </w:rPr>
        <w:t xml:space="preserve">n spite of investor hesitation, Davies successfully </w:t>
      </w:r>
      <w:r w:rsidRPr="00556BC1">
        <w:rPr>
          <w:color w:val="000000" w:themeColor="text1"/>
        </w:rPr>
        <w:t>managed to raise the initial $500,000 he n</w:t>
      </w:r>
      <w:r>
        <w:rPr>
          <w:color w:val="000000" w:themeColor="text1"/>
        </w:rPr>
        <w:t>eeded to launch Hop in Calgary.</w:t>
      </w:r>
    </w:p>
    <w:p w14:paraId="78B74E97" w14:textId="77777777" w:rsidR="007D1BE4" w:rsidRPr="00C6134F" w:rsidRDefault="007D1BE4" w:rsidP="007D1BE4">
      <w:pPr>
        <w:pStyle w:val="BodyTextMain"/>
      </w:pPr>
    </w:p>
    <w:p w14:paraId="3941119F" w14:textId="1FE25F05" w:rsidR="00053D6B" w:rsidRPr="006F4736" w:rsidRDefault="00986A9D" w:rsidP="007D1BE4">
      <w:pPr>
        <w:pStyle w:val="BodyTextMain"/>
        <w:rPr>
          <w:spacing w:val="-2"/>
          <w:lang w:val="en-CA"/>
        </w:rPr>
      </w:pPr>
      <w:r w:rsidRPr="006F4736">
        <w:rPr>
          <w:spacing w:val="-2"/>
          <w:lang w:val="en-CA"/>
        </w:rPr>
        <w:t>With start-ups, angel investors were usually the primary type of investor, and that had been Hop’s source of investment so far. But all i</w:t>
      </w:r>
      <w:r w:rsidR="007D1BE4" w:rsidRPr="006F4736">
        <w:rPr>
          <w:spacing w:val="-2"/>
          <w:lang w:val="en-CA"/>
        </w:rPr>
        <w:t xml:space="preserve">nvestors </w:t>
      </w:r>
      <w:r w:rsidR="006B3CAA" w:rsidRPr="006F4736">
        <w:rPr>
          <w:spacing w:val="-2"/>
          <w:lang w:val="en-CA"/>
        </w:rPr>
        <w:t xml:space="preserve">were </w:t>
      </w:r>
      <w:r w:rsidR="007D1BE4" w:rsidRPr="006F4736">
        <w:rPr>
          <w:spacing w:val="-2"/>
          <w:lang w:val="en-CA"/>
        </w:rPr>
        <w:t xml:space="preserve">heavily influenced by the </w:t>
      </w:r>
      <w:r w:rsidR="006B3CAA" w:rsidRPr="006F4736">
        <w:rPr>
          <w:spacing w:val="-2"/>
          <w:lang w:val="en-CA"/>
        </w:rPr>
        <w:t xml:space="preserve">trade-off of </w:t>
      </w:r>
      <w:r w:rsidR="007D1BE4" w:rsidRPr="006F4736">
        <w:rPr>
          <w:spacing w:val="-2"/>
          <w:lang w:val="en-CA"/>
        </w:rPr>
        <w:t xml:space="preserve">risk and reward </w:t>
      </w:r>
      <w:r w:rsidR="006B3CAA" w:rsidRPr="006F4736">
        <w:rPr>
          <w:spacing w:val="-2"/>
          <w:lang w:val="en-CA"/>
        </w:rPr>
        <w:t>in</w:t>
      </w:r>
      <w:r w:rsidR="007D1BE4" w:rsidRPr="006F4736">
        <w:rPr>
          <w:spacing w:val="-2"/>
          <w:lang w:val="en-CA"/>
        </w:rPr>
        <w:t xml:space="preserve"> an opportunity. While each investor ha</w:t>
      </w:r>
      <w:r w:rsidR="006B3CAA" w:rsidRPr="006F4736">
        <w:rPr>
          <w:spacing w:val="-2"/>
          <w:lang w:val="en-CA"/>
        </w:rPr>
        <w:t>d</w:t>
      </w:r>
      <w:r w:rsidR="007D1BE4" w:rsidRPr="006F4736">
        <w:rPr>
          <w:spacing w:val="-2"/>
          <w:lang w:val="en-CA"/>
        </w:rPr>
        <w:t xml:space="preserve"> a different level of tolerance and motivation for the allocation of their monetary gains, </w:t>
      </w:r>
      <w:r w:rsidR="00053D6B" w:rsidRPr="006F4736">
        <w:rPr>
          <w:spacing w:val="-2"/>
          <w:lang w:val="en-CA"/>
        </w:rPr>
        <w:t xml:space="preserve">regardless of whether the strategic investment was short or long term, </w:t>
      </w:r>
      <w:r w:rsidR="007D1BE4" w:rsidRPr="006F4736">
        <w:rPr>
          <w:spacing w:val="-2"/>
          <w:lang w:val="en-CA"/>
        </w:rPr>
        <w:t xml:space="preserve">the primary concern of the majority of investors </w:t>
      </w:r>
      <w:r w:rsidR="006B3CAA" w:rsidRPr="006F4736">
        <w:rPr>
          <w:spacing w:val="-2"/>
          <w:lang w:val="en-CA"/>
        </w:rPr>
        <w:t xml:space="preserve">was </w:t>
      </w:r>
      <w:r w:rsidR="007D1BE4" w:rsidRPr="006F4736">
        <w:rPr>
          <w:spacing w:val="-2"/>
          <w:lang w:val="en-CA"/>
        </w:rPr>
        <w:t xml:space="preserve">their </w:t>
      </w:r>
      <w:r w:rsidR="006B3CAA" w:rsidRPr="006F4736">
        <w:rPr>
          <w:spacing w:val="-2"/>
          <w:lang w:val="en-CA"/>
        </w:rPr>
        <w:t>r</w:t>
      </w:r>
      <w:r w:rsidR="007D1BE4" w:rsidRPr="006F4736">
        <w:rPr>
          <w:spacing w:val="-2"/>
          <w:lang w:val="en-CA"/>
        </w:rPr>
        <w:t xml:space="preserve">eturn on </w:t>
      </w:r>
      <w:r w:rsidR="006B3CAA" w:rsidRPr="006F4736">
        <w:rPr>
          <w:spacing w:val="-2"/>
          <w:lang w:val="en-CA"/>
        </w:rPr>
        <w:t>i</w:t>
      </w:r>
      <w:r w:rsidR="007D1BE4" w:rsidRPr="006F4736">
        <w:rPr>
          <w:spacing w:val="-2"/>
          <w:lang w:val="en-CA"/>
        </w:rPr>
        <w:t xml:space="preserve">nvestment. </w:t>
      </w:r>
      <w:r w:rsidR="006B3CAA" w:rsidRPr="006F4736">
        <w:rPr>
          <w:spacing w:val="-2"/>
          <w:lang w:val="en-CA"/>
        </w:rPr>
        <w:t>T</w:t>
      </w:r>
      <w:r w:rsidR="007D1BE4" w:rsidRPr="006F4736">
        <w:rPr>
          <w:spacing w:val="-2"/>
          <w:lang w:val="en-CA"/>
        </w:rPr>
        <w:t xml:space="preserve">o address this, </w:t>
      </w:r>
      <w:r w:rsidR="006B3CAA" w:rsidRPr="006F4736">
        <w:rPr>
          <w:spacing w:val="-2"/>
          <w:lang w:val="en-CA"/>
        </w:rPr>
        <w:t xml:space="preserve">an enterprise’s </w:t>
      </w:r>
      <w:r w:rsidR="007D1BE4" w:rsidRPr="006F4736">
        <w:rPr>
          <w:spacing w:val="-2"/>
          <w:lang w:val="en-CA"/>
        </w:rPr>
        <w:t xml:space="preserve">“book value” </w:t>
      </w:r>
      <w:r w:rsidR="006B3CAA" w:rsidRPr="006F4736">
        <w:rPr>
          <w:spacing w:val="-2"/>
          <w:lang w:val="en-CA"/>
        </w:rPr>
        <w:t>needed to</w:t>
      </w:r>
      <w:r w:rsidR="007D1BE4" w:rsidRPr="006F4736">
        <w:rPr>
          <w:spacing w:val="-2"/>
          <w:lang w:val="en-CA"/>
        </w:rPr>
        <w:t xml:space="preserve"> be established </w:t>
      </w:r>
      <w:r w:rsidR="006B3CAA" w:rsidRPr="006F4736">
        <w:rPr>
          <w:spacing w:val="-2"/>
          <w:lang w:val="en-CA"/>
        </w:rPr>
        <w:t>to</w:t>
      </w:r>
      <w:r w:rsidR="007D1BE4" w:rsidRPr="006F4736">
        <w:rPr>
          <w:spacing w:val="-2"/>
          <w:lang w:val="en-CA"/>
        </w:rPr>
        <w:t xml:space="preserve"> provide a baseline valuation of the company at its </w:t>
      </w:r>
      <w:r w:rsidR="006B3CAA" w:rsidRPr="006F4736">
        <w:rPr>
          <w:spacing w:val="-2"/>
          <w:lang w:val="en-CA"/>
        </w:rPr>
        <w:t>n</w:t>
      </w:r>
      <w:r w:rsidR="007D1BE4" w:rsidRPr="006F4736">
        <w:rPr>
          <w:spacing w:val="-2"/>
          <w:lang w:val="en-CA"/>
        </w:rPr>
        <w:t xml:space="preserve">et </w:t>
      </w:r>
      <w:r w:rsidR="006B3CAA" w:rsidRPr="006F4736">
        <w:rPr>
          <w:spacing w:val="-2"/>
          <w:lang w:val="en-CA"/>
        </w:rPr>
        <w:t>p</w:t>
      </w:r>
      <w:r w:rsidR="007D1BE4" w:rsidRPr="006F4736">
        <w:rPr>
          <w:spacing w:val="-2"/>
          <w:lang w:val="en-CA"/>
        </w:rPr>
        <w:t xml:space="preserve">resent </w:t>
      </w:r>
      <w:r w:rsidR="006B3CAA" w:rsidRPr="006F4736">
        <w:rPr>
          <w:spacing w:val="-2"/>
          <w:lang w:val="en-CA"/>
        </w:rPr>
        <w:t>v</w:t>
      </w:r>
      <w:r w:rsidR="007D1BE4" w:rsidRPr="006F4736">
        <w:rPr>
          <w:spacing w:val="-2"/>
          <w:lang w:val="en-CA"/>
        </w:rPr>
        <w:t xml:space="preserve">alue. </w:t>
      </w:r>
    </w:p>
    <w:p w14:paraId="171E283B" w14:textId="77777777" w:rsidR="00053D6B" w:rsidRDefault="00053D6B" w:rsidP="007D1BE4">
      <w:pPr>
        <w:pStyle w:val="BodyTextMain"/>
        <w:rPr>
          <w:lang w:val="en-CA"/>
        </w:rPr>
      </w:pPr>
    </w:p>
    <w:p w14:paraId="569F6DAD" w14:textId="5F3B1351" w:rsidR="00DD7015" w:rsidRDefault="00DD7015" w:rsidP="00DD7015">
      <w:pPr>
        <w:pStyle w:val="BodyTextMain"/>
        <w:rPr>
          <w:lang w:val="en-CA"/>
        </w:rPr>
      </w:pPr>
      <w:r>
        <w:rPr>
          <w:lang w:val="en-CA"/>
        </w:rPr>
        <w:t>Perry had done an excellent job</w:t>
      </w:r>
      <w:r w:rsidRPr="00A23EE3">
        <w:rPr>
          <w:lang w:val="en-CA"/>
        </w:rPr>
        <w:t xml:space="preserve"> </w:t>
      </w:r>
      <w:r w:rsidRPr="00B24C4A">
        <w:rPr>
          <w:lang w:val="en-CA"/>
        </w:rPr>
        <w:t>corroborating</w:t>
      </w:r>
      <w:r>
        <w:rPr>
          <w:lang w:val="en-CA"/>
        </w:rPr>
        <w:t xml:space="preserve"> the financial statements and clearly model</w:t>
      </w:r>
      <w:r w:rsidR="00F423CC">
        <w:rPr>
          <w:lang w:val="en-CA"/>
        </w:rPr>
        <w:t>l</w:t>
      </w:r>
      <w:r>
        <w:rPr>
          <w:lang w:val="en-CA"/>
        </w:rPr>
        <w:t>ing Hop’s</w:t>
      </w:r>
      <w:r w:rsidRPr="00A23EE3">
        <w:rPr>
          <w:lang w:val="en-CA"/>
        </w:rPr>
        <w:t xml:space="preserve"> past performance and </w:t>
      </w:r>
      <w:r>
        <w:rPr>
          <w:lang w:val="en-CA"/>
        </w:rPr>
        <w:t xml:space="preserve">future </w:t>
      </w:r>
      <w:r w:rsidRPr="00A23EE3">
        <w:rPr>
          <w:lang w:val="en-CA"/>
        </w:rPr>
        <w:t xml:space="preserve">profitability. </w:t>
      </w:r>
      <w:r>
        <w:rPr>
          <w:lang w:val="en-CA"/>
        </w:rPr>
        <w:t xml:space="preserve">She was working with Davies to provide the </w:t>
      </w:r>
      <w:r w:rsidRPr="00A23EE3">
        <w:rPr>
          <w:lang w:val="en-CA"/>
        </w:rPr>
        <w:t xml:space="preserve">information </w:t>
      </w:r>
      <w:r>
        <w:rPr>
          <w:lang w:val="en-CA"/>
        </w:rPr>
        <w:t>that would be the</w:t>
      </w:r>
      <w:r w:rsidRPr="00A23EE3">
        <w:rPr>
          <w:lang w:val="en-CA"/>
        </w:rPr>
        <w:t xml:space="preserve"> basis for predicting future performance.</w:t>
      </w:r>
      <w:r>
        <w:rPr>
          <w:lang w:val="en-CA"/>
        </w:rPr>
        <w:t xml:space="preserve"> Her prediction would</w:t>
      </w:r>
      <w:r w:rsidRPr="00A23EE3">
        <w:rPr>
          <w:lang w:val="en-CA"/>
        </w:rPr>
        <w:t xml:space="preserve"> help mitigate the risk of not achieving </w:t>
      </w:r>
      <w:r>
        <w:rPr>
          <w:lang w:val="en-CA"/>
        </w:rPr>
        <w:t xml:space="preserve">the necessary </w:t>
      </w:r>
      <w:r w:rsidRPr="00A23EE3">
        <w:rPr>
          <w:lang w:val="en-CA"/>
        </w:rPr>
        <w:t xml:space="preserve">future net cash inflows. </w:t>
      </w:r>
      <w:r>
        <w:rPr>
          <w:lang w:val="en-CA"/>
        </w:rPr>
        <w:t>Most of the model</w:t>
      </w:r>
      <w:r w:rsidR="00327D26">
        <w:rPr>
          <w:lang w:val="en-CA"/>
        </w:rPr>
        <w:t>l</w:t>
      </w:r>
      <w:r>
        <w:rPr>
          <w:lang w:val="en-CA"/>
        </w:rPr>
        <w:t xml:space="preserve">ing was done with traditional financial models that focused on estimated future earnings, achieved by scaling Hop to multiple cities. </w:t>
      </w:r>
    </w:p>
    <w:p w14:paraId="3D3F7903" w14:textId="77777777" w:rsidR="00DD7015" w:rsidRDefault="00DD7015" w:rsidP="00DD7015">
      <w:pPr>
        <w:pStyle w:val="BodyTextMain"/>
        <w:rPr>
          <w:lang w:val="en-CA"/>
        </w:rPr>
      </w:pPr>
    </w:p>
    <w:p w14:paraId="4155E8DD" w14:textId="77777777" w:rsidR="00DD7015" w:rsidRDefault="00B2792B" w:rsidP="00986A9D">
      <w:pPr>
        <w:pStyle w:val="BodyTextMain"/>
        <w:rPr>
          <w:lang w:val="en-CA"/>
        </w:rPr>
      </w:pPr>
      <w:r>
        <w:t>In order to prove stable financial performance, Davies and Perry needed to showcase Hop’s business model, future strategy, risk level, and longevity to investors. Davies knew that t</w:t>
      </w:r>
      <w:r w:rsidRPr="00A23EE3">
        <w:t xml:space="preserve">he size of the market and scalability </w:t>
      </w:r>
      <w:r>
        <w:t xml:space="preserve">would be </w:t>
      </w:r>
      <w:r w:rsidRPr="00A23EE3">
        <w:t>question</w:t>
      </w:r>
      <w:r>
        <w:t>ed</w:t>
      </w:r>
      <w:r w:rsidRPr="00A23EE3">
        <w:t xml:space="preserve">, as well as </w:t>
      </w:r>
      <w:r>
        <w:t xml:space="preserve">Hop’s </w:t>
      </w:r>
      <w:r w:rsidRPr="00A23EE3">
        <w:t xml:space="preserve">competitive differentiation and </w:t>
      </w:r>
      <w:r w:rsidRPr="00A23EE3">
        <w:rPr>
          <w:lang w:val="en-CA"/>
        </w:rPr>
        <w:t>exit</w:t>
      </w:r>
      <w:r>
        <w:t xml:space="preserve"> strategy (</w:t>
      </w:r>
      <w:r w:rsidRPr="00A23EE3">
        <w:t>in case the company should ever be sold</w:t>
      </w:r>
      <w:r>
        <w:t>), and he clearly saw the importance of keeping Hop’s financial stability as the basis of a valuation that included environmental and social performance.</w:t>
      </w:r>
      <w:r w:rsidR="00DD7015">
        <w:t xml:space="preserve"> </w:t>
      </w:r>
      <w:r w:rsidR="00105D8F">
        <w:rPr>
          <w:lang w:val="en-CA"/>
        </w:rPr>
        <w:t>F</w:t>
      </w:r>
      <w:r w:rsidR="00053D6B" w:rsidRPr="00A23EE3">
        <w:rPr>
          <w:lang w:val="en-CA"/>
        </w:rPr>
        <w:t xml:space="preserve">inancial performance </w:t>
      </w:r>
      <w:r w:rsidR="00053D6B">
        <w:rPr>
          <w:lang w:val="en-CA"/>
        </w:rPr>
        <w:t>had been</w:t>
      </w:r>
      <w:r w:rsidR="00053D6B" w:rsidRPr="00A23EE3">
        <w:rPr>
          <w:lang w:val="en-CA"/>
        </w:rPr>
        <w:t xml:space="preserve"> the greatest determinant when valuing </w:t>
      </w:r>
      <w:r w:rsidR="00053D6B">
        <w:rPr>
          <w:lang w:val="en-CA"/>
        </w:rPr>
        <w:t>a</w:t>
      </w:r>
      <w:r w:rsidR="00053D6B" w:rsidRPr="00A23EE3">
        <w:rPr>
          <w:lang w:val="en-CA"/>
        </w:rPr>
        <w:t xml:space="preserve"> company</w:t>
      </w:r>
      <w:r w:rsidR="00DD7015">
        <w:rPr>
          <w:lang w:val="en-CA"/>
        </w:rPr>
        <w:t>. B</w:t>
      </w:r>
      <w:r w:rsidR="00105D8F">
        <w:rPr>
          <w:lang w:val="en-CA"/>
        </w:rPr>
        <w:t xml:space="preserve">ut </w:t>
      </w:r>
      <w:r w:rsidR="00053D6B">
        <w:rPr>
          <w:lang w:val="en-CA"/>
        </w:rPr>
        <w:t xml:space="preserve">companies </w:t>
      </w:r>
      <w:r w:rsidR="00105D8F">
        <w:rPr>
          <w:lang w:val="en-CA"/>
        </w:rPr>
        <w:t>were facing</w:t>
      </w:r>
      <w:r w:rsidR="00053D6B">
        <w:rPr>
          <w:lang w:val="en-CA"/>
        </w:rPr>
        <w:t xml:space="preserve"> an ever-increasing risk in attaining and maintaining their “social licence to operate,”</w:t>
      </w:r>
      <w:r w:rsidR="00053D6B" w:rsidRPr="00C10283">
        <w:rPr>
          <w:rStyle w:val="FootnoteReference"/>
        </w:rPr>
        <w:footnoteReference w:id="8"/>
      </w:r>
      <w:r w:rsidR="00053D6B">
        <w:rPr>
          <w:lang w:val="en-CA"/>
        </w:rPr>
        <w:t xml:space="preserve"> and Hop’s mission-driven business model substantially lowered the impact of that risk for investors</w:t>
      </w:r>
      <w:r w:rsidR="00DD7015">
        <w:rPr>
          <w:lang w:val="en-CA"/>
        </w:rPr>
        <w:t xml:space="preserve">; however, </w:t>
      </w:r>
      <w:r w:rsidR="007D1BE4">
        <w:rPr>
          <w:lang w:val="en-CA"/>
        </w:rPr>
        <w:t xml:space="preserve">Perry and Davies </w:t>
      </w:r>
      <w:r w:rsidR="00053D6B">
        <w:rPr>
          <w:lang w:val="en-CA"/>
        </w:rPr>
        <w:t>were uncertain</w:t>
      </w:r>
      <w:r w:rsidR="00E97D48">
        <w:rPr>
          <w:lang w:val="en-CA"/>
        </w:rPr>
        <w:t xml:space="preserve"> </w:t>
      </w:r>
      <w:r w:rsidR="007D1BE4">
        <w:rPr>
          <w:lang w:val="en-CA"/>
        </w:rPr>
        <w:t xml:space="preserve">where to place </w:t>
      </w:r>
      <w:r w:rsidR="00053D6B">
        <w:rPr>
          <w:lang w:val="en-CA"/>
        </w:rPr>
        <w:t xml:space="preserve">Hop’s </w:t>
      </w:r>
      <w:r w:rsidR="00105D8F">
        <w:rPr>
          <w:lang w:val="en-CA"/>
        </w:rPr>
        <w:t xml:space="preserve">positive environmental and social impact </w:t>
      </w:r>
      <w:r w:rsidR="007D1BE4">
        <w:rPr>
          <w:lang w:val="en-CA"/>
        </w:rPr>
        <w:t>in the future prediction models.</w:t>
      </w:r>
      <w:r w:rsidR="00986A9D" w:rsidRPr="00986A9D">
        <w:rPr>
          <w:lang w:val="en-CA"/>
        </w:rPr>
        <w:t xml:space="preserve"> </w:t>
      </w:r>
    </w:p>
    <w:p w14:paraId="1FAE8D85" w14:textId="77777777" w:rsidR="00DD7015" w:rsidRDefault="00DD7015" w:rsidP="00986A9D">
      <w:pPr>
        <w:pStyle w:val="BodyTextMain"/>
        <w:rPr>
          <w:lang w:val="en-CA"/>
        </w:rPr>
      </w:pPr>
    </w:p>
    <w:p w14:paraId="142AC4AC" w14:textId="4E12BF60" w:rsidR="007D1BE4" w:rsidRDefault="00986A9D" w:rsidP="007D1BE4">
      <w:pPr>
        <w:pStyle w:val="BodyTextMain"/>
      </w:pPr>
      <w:r>
        <w:rPr>
          <w:lang w:val="en-CA"/>
        </w:rPr>
        <w:t xml:space="preserve">Davies needed to include </w:t>
      </w:r>
      <w:r w:rsidRPr="00A23EE3">
        <w:rPr>
          <w:lang w:val="en-CA"/>
        </w:rPr>
        <w:t>qualitative characteristics</w:t>
      </w:r>
      <w:r>
        <w:rPr>
          <w:lang w:val="en-CA"/>
        </w:rPr>
        <w:t>,</w:t>
      </w:r>
      <w:r w:rsidRPr="00A23EE3">
        <w:rPr>
          <w:lang w:val="en-CA"/>
        </w:rPr>
        <w:t xml:space="preserve"> such as relevance and faithful representation. </w:t>
      </w:r>
      <w:r>
        <w:rPr>
          <w:lang w:val="en-CA"/>
        </w:rPr>
        <w:t>He had strong metrics for the environmental impact Hop was creating each month in landfill waste diversion, but he struggled with how to position this with investors.</w:t>
      </w:r>
      <w:r w:rsidR="00DD7015">
        <w:t xml:space="preserve"> </w:t>
      </w:r>
      <w:r w:rsidR="00B11FD0">
        <w:t>There were m</w:t>
      </w:r>
      <w:r w:rsidR="007D1BE4" w:rsidRPr="00A23EE3">
        <w:t>any valuation methodologies</w:t>
      </w:r>
      <w:r w:rsidR="00B11FD0">
        <w:t xml:space="preserve">; </w:t>
      </w:r>
      <w:r w:rsidR="007D1BE4">
        <w:t>h</w:t>
      </w:r>
      <w:r w:rsidR="007D1BE4" w:rsidRPr="00A23EE3">
        <w:t xml:space="preserve">owever, in </w:t>
      </w:r>
      <w:r w:rsidR="00B11FD0">
        <w:t>Hop’s</w:t>
      </w:r>
      <w:r w:rsidR="00B11FD0" w:rsidRPr="00A23EE3">
        <w:t xml:space="preserve"> </w:t>
      </w:r>
      <w:r w:rsidR="007D1BE4" w:rsidRPr="00A23EE3">
        <w:t xml:space="preserve">case, there </w:t>
      </w:r>
      <w:r w:rsidR="00B11FD0">
        <w:t>was</w:t>
      </w:r>
      <w:r w:rsidR="00B11FD0" w:rsidRPr="00A23EE3">
        <w:t xml:space="preserve"> </w:t>
      </w:r>
      <w:r w:rsidR="007D1BE4" w:rsidRPr="00A23EE3">
        <w:t xml:space="preserve">an absence of comparable companies, </w:t>
      </w:r>
      <w:r w:rsidR="007D1BE4">
        <w:t xml:space="preserve">a </w:t>
      </w:r>
      <w:r w:rsidR="007D1BE4" w:rsidRPr="00A23EE3">
        <w:t xml:space="preserve">lack of historical data, and </w:t>
      </w:r>
      <w:r w:rsidR="007D1BE4">
        <w:t xml:space="preserve">a </w:t>
      </w:r>
      <w:r w:rsidR="007D1BE4" w:rsidRPr="00A23EE3">
        <w:t xml:space="preserve">lack of quantifiable valuation techniques </w:t>
      </w:r>
      <w:r w:rsidR="007D1BE4">
        <w:t xml:space="preserve">with respect to intangible assets like waste diversion, carbon reduction, and hiring staff from </w:t>
      </w:r>
      <w:r w:rsidR="00B11FD0">
        <w:t xml:space="preserve">organizations like </w:t>
      </w:r>
      <w:r w:rsidR="007D1BE4">
        <w:t>the Calgary Drop-</w:t>
      </w:r>
      <w:r w:rsidR="00B11FD0">
        <w:t>I</w:t>
      </w:r>
      <w:r w:rsidR="007D1BE4">
        <w:t>n Centre</w:t>
      </w:r>
      <w:r w:rsidR="00DD7015">
        <w:t>, which</w:t>
      </w:r>
      <w:r w:rsidR="00B11FD0">
        <w:t xml:space="preserve"> supported people at risk of homelessness</w:t>
      </w:r>
      <w:r w:rsidR="007D1BE4" w:rsidRPr="00A23EE3">
        <w:t>.</w:t>
      </w:r>
      <w:r w:rsidR="007D1BE4">
        <w:t xml:space="preserve"> This </w:t>
      </w:r>
      <w:r w:rsidR="00B2792B">
        <w:t>was proving to be a</w:t>
      </w:r>
      <w:r w:rsidR="007D1BE4">
        <w:t xml:space="preserve"> troubling challenge for Davies and Perry</w:t>
      </w:r>
      <w:r w:rsidR="00B2792B">
        <w:t>,</w:t>
      </w:r>
      <w:r w:rsidR="007D1BE4">
        <w:t xml:space="preserve"> and time was running out to get a proposed solution for the </w:t>
      </w:r>
      <w:r w:rsidR="00B2792B">
        <w:t>b</w:t>
      </w:r>
      <w:r w:rsidR="007D1BE4">
        <w:t xml:space="preserve">oard of </w:t>
      </w:r>
      <w:r w:rsidR="00B2792B">
        <w:t>d</w:t>
      </w:r>
      <w:r w:rsidR="007D1BE4">
        <w:t xml:space="preserve">irectors </w:t>
      </w:r>
      <w:r w:rsidR="00B2792B">
        <w:t xml:space="preserve">meeting </w:t>
      </w:r>
      <w:r w:rsidR="007D1BE4">
        <w:t>at the end of the week.</w:t>
      </w:r>
    </w:p>
    <w:p w14:paraId="4044ACD4" w14:textId="25A70A86" w:rsidR="00DD7015" w:rsidRDefault="00DD7015" w:rsidP="007D1BE4">
      <w:pPr>
        <w:pStyle w:val="BodyTextMain"/>
      </w:pPr>
    </w:p>
    <w:p w14:paraId="55B6A204" w14:textId="77777777" w:rsidR="007D1BE4" w:rsidRPr="00A23EE3" w:rsidRDefault="007D1BE4" w:rsidP="007D1BE4">
      <w:pPr>
        <w:jc w:val="both"/>
        <w:rPr>
          <w:sz w:val="22"/>
          <w:szCs w:val="22"/>
        </w:rPr>
      </w:pPr>
    </w:p>
    <w:p w14:paraId="5A725CE0" w14:textId="77777777" w:rsidR="007D1BE4" w:rsidRPr="008010BB" w:rsidRDefault="007D1BE4" w:rsidP="009A7F5B">
      <w:pPr>
        <w:pStyle w:val="Casehead2"/>
        <w:rPr>
          <w:lang w:val="en-CA"/>
        </w:rPr>
      </w:pPr>
      <w:r w:rsidRPr="008010BB">
        <w:rPr>
          <w:lang w:val="en-CA"/>
        </w:rPr>
        <w:t>The V</w:t>
      </w:r>
      <w:r>
        <w:rPr>
          <w:lang w:val="en-CA"/>
        </w:rPr>
        <w:t>alue of Responsible Stewardship</w:t>
      </w:r>
    </w:p>
    <w:p w14:paraId="7061ED04" w14:textId="77777777" w:rsidR="007D1BE4" w:rsidRPr="00A23EE3" w:rsidRDefault="007D1BE4" w:rsidP="007D1BE4">
      <w:pPr>
        <w:jc w:val="both"/>
        <w:rPr>
          <w:b/>
          <w:lang w:val="en-CA"/>
        </w:rPr>
      </w:pPr>
    </w:p>
    <w:p w14:paraId="77CEA504" w14:textId="5348433E" w:rsidR="007D1BE4" w:rsidRPr="006F4736" w:rsidRDefault="00151C44" w:rsidP="007D1BE4">
      <w:pPr>
        <w:pStyle w:val="BodyTextMain"/>
        <w:rPr>
          <w:spacing w:val="-2"/>
          <w:lang w:val="en-CA"/>
        </w:rPr>
      </w:pPr>
      <w:r w:rsidRPr="006F4736">
        <w:rPr>
          <w:spacing w:val="-2"/>
          <w:lang w:val="en-CA"/>
        </w:rPr>
        <w:t>T</w:t>
      </w:r>
      <w:r w:rsidR="007D1BE4" w:rsidRPr="006F4736">
        <w:rPr>
          <w:spacing w:val="-2"/>
          <w:lang w:val="en-CA"/>
        </w:rPr>
        <w:t xml:space="preserve">he </w:t>
      </w:r>
      <w:r w:rsidR="00327D26" w:rsidRPr="006F4736">
        <w:rPr>
          <w:spacing w:val="-2"/>
          <w:lang w:val="en-CA"/>
        </w:rPr>
        <w:t xml:space="preserve">traditional </w:t>
      </w:r>
      <w:r w:rsidRPr="006F4736">
        <w:rPr>
          <w:spacing w:val="-2"/>
          <w:lang w:val="en-CA"/>
        </w:rPr>
        <w:t xml:space="preserve">business </w:t>
      </w:r>
      <w:r w:rsidR="007D1BE4" w:rsidRPr="006F4736">
        <w:rPr>
          <w:spacing w:val="-2"/>
          <w:lang w:val="en-CA"/>
        </w:rPr>
        <w:t xml:space="preserve">paradigm of value </w:t>
      </w:r>
      <w:r w:rsidRPr="006F4736">
        <w:rPr>
          <w:spacing w:val="-2"/>
          <w:lang w:val="en-CA"/>
        </w:rPr>
        <w:t>focused on</w:t>
      </w:r>
      <w:r w:rsidR="007D1BE4" w:rsidRPr="006F4736">
        <w:rPr>
          <w:spacing w:val="-2"/>
          <w:lang w:val="en-CA"/>
        </w:rPr>
        <w:t xml:space="preserve"> the financial bottom line, but there was a shift</w:t>
      </w:r>
      <w:r w:rsidR="00820146" w:rsidRPr="006F4736">
        <w:rPr>
          <w:spacing w:val="-2"/>
          <w:lang w:val="en-CA"/>
        </w:rPr>
        <w:t xml:space="preserve"> occurring</w:t>
      </w:r>
      <w:r w:rsidR="003C0C77">
        <w:rPr>
          <w:spacing w:val="-2"/>
          <w:lang w:val="en-CA"/>
        </w:rPr>
        <w:t>—</w:t>
      </w:r>
      <w:r w:rsidR="00820146" w:rsidRPr="006F4736">
        <w:rPr>
          <w:spacing w:val="-2"/>
          <w:lang w:val="en-CA"/>
        </w:rPr>
        <w:t xml:space="preserve">value increasingly included </w:t>
      </w:r>
      <w:r w:rsidRPr="006F4736">
        <w:rPr>
          <w:spacing w:val="-2"/>
          <w:lang w:val="en-CA"/>
        </w:rPr>
        <w:t>c</w:t>
      </w:r>
      <w:r w:rsidR="007D1BE4" w:rsidRPr="006F4736">
        <w:rPr>
          <w:spacing w:val="-2"/>
          <w:lang w:val="en-CA"/>
        </w:rPr>
        <w:t xml:space="preserve">orporate </w:t>
      </w:r>
      <w:r w:rsidRPr="006F4736">
        <w:rPr>
          <w:spacing w:val="-2"/>
          <w:lang w:val="en-CA"/>
        </w:rPr>
        <w:t>s</w:t>
      </w:r>
      <w:r w:rsidR="007D1BE4" w:rsidRPr="006F4736">
        <w:rPr>
          <w:spacing w:val="-2"/>
          <w:lang w:val="en-CA"/>
        </w:rPr>
        <w:t xml:space="preserve">ocial </w:t>
      </w:r>
      <w:r w:rsidRPr="006F4736">
        <w:rPr>
          <w:spacing w:val="-2"/>
          <w:lang w:val="en-CA"/>
        </w:rPr>
        <w:t>r</w:t>
      </w:r>
      <w:r w:rsidR="007D1BE4" w:rsidRPr="006F4736">
        <w:rPr>
          <w:spacing w:val="-2"/>
          <w:lang w:val="en-CA"/>
        </w:rPr>
        <w:t xml:space="preserve">esponsibility, </w:t>
      </w:r>
      <w:r w:rsidR="00820146" w:rsidRPr="006F4736">
        <w:rPr>
          <w:spacing w:val="-2"/>
          <w:lang w:val="en-CA"/>
        </w:rPr>
        <w:t>i</w:t>
      </w:r>
      <w:r w:rsidR="007D1BE4" w:rsidRPr="006F4736">
        <w:rPr>
          <w:spacing w:val="-2"/>
          <w:lang w:val="en-CA"/>
        </w:rPr>
        <w:t xml:space="preserve">mpact </w:t>
      </w:r>
      <w:r w:rsidR="00820146" w:rsidRPr="006F4736">
        <w:rPr>
          <w:spacing w:val="-2"/>
          <w:lang w:val="en-CA"/>
        </w:rPr>
        <w:t>i</w:t>
      </w:r>
      <w:r w:rsidR="007D1BE4" w:rsidRPr="006F4736">
        <w:rPr>
          <w:spacing w:val="-2"/>
          <w:lang w:val="en-CA"/>
        </w:rPr>
        <w:t xml:space="preserve">nvesting, and </w:t>
      </w:r>
      <w:r w:rsidR="00820146" w:rsidRPr="006F4736">
        <w:rPr>
          <w:spacing w:val="-2"/>
          <w:lang w:val="en-CA"/>
        </w:rPr>
        <w:t>s</w:t>
      </w:r>
      <w:r w:rsidR="007D1BE4" w:rsidRPr="006F4736">
        <w:rPr>
          <w:spacing w:val="-2"/>
          <w:lang w:val="en-CA"/>
        </w:rPr>
        <w:t>ocial enterprises.</w:t>
      </w:r>
      <w:r w:rsidR="005F563A" w:rsidRPr="006F4736">
        <w:rPr>
          <w:spacing w:val="-2"/>
          <w:lang w:val="en-CA"/>
        </w:rPr>
        <w:t xml:space="preserve"> Seed</w:t>
      </w:r>
      <w:r w:rsidR="007D1BE4" w:rsidRPr="006F4736">
        <w:rPr>
          <w:spacing w:val="-2"/>
          <w:lang w:val="en-CA"/>
        </w:rPr>
        <w:t xml:space="preserve"> </w:t>
      </w:r>
      <w:r w:rsidR="005F563A" w:rsidRPr="006F4736">
        <w:rPr>
          <w:spacing w:val="-2"/>
          <w:lang w:val="en-CA"/>
        </w:rPr>
        <w:t>f</w:t>
      </w:r>
      <w:r w:rsidR="007D1BE4" w:rsidRPr="006F4736">
        <w:rPr>
          <w:spacing w:val="-2"/>
          <w:lang w:val="en-CA"/>
        </w:rPr>
        <w:t xml:space="preserve">unds were </w:t>
      </w:r>
      <w:r w:rsidR="003D2965" w:rsidRPr="006F4736">
        <w:rPr>
          <w:spacing w:val="-2"/>
          <w:lang w:val="en-CA"/>
        </w:rPr>
        <w:t xml:space="preserve">being </w:t>
      </w:r>
      <w:r w:rsidR="007D1BE4" w:rsidRPr="006F4736">
        <w:rPr>
          <w:spacing w:val="-2"/>
          <w:lang w:val="en-CA"/>
        </w:rPr>
        <w:t xml:space="preserve">created with the goal of supporting mission-focused businesses. </w:t>
      </w:r>
      <w:r w:rsidR="003D2965" w:rsidRPr="006F4736">
        <w:rPr>
          <w:spacing w:val="-2"/>
          <w:lang w:val="en-CA"/>
        </w:rPr>
        <w:t>T</w:t>
      </w:r>
      <w:r w:rsidR="007D1BE4" w:rsidRPr="006F4736">
        <w:rPr>
          <w:spacing w:val="-2"/>
          <w:lang w:val="en-CA"/>
        </w:rPr>
        <w:t>here were a few innovative</w:t>
      </w:r>
      <w:r w:rsidR="003D2965" w:rsidRPr="006F4736">
        <w:rPr>
          <w:spacing w:val="-2"/>
          <w:lang w:val="en-CA"/>
        </w:rPr>
        <w:t>,</w:t>
      </w:r>
      <w:r w:rsidR="007D1BE4" w:rsidRPr="006F4736">
        <w:rPr>
          <w:spacing w:val="-2"/>
          <w:lang w:val="en-CA"/>
        </w:rPr>
        <w:t xml:space="preserve"> mission-focused funds</w:t>
      </w:r>
      <w:r w:rsidR="003D2965" w:rsidRPr="006F4736">
        <w:rPr>
          <w:spacing w:val="-2"/>
          <w:lang w:val="en-CA"/>
        </w:rPr>
        <w:t xml:space="preserve"> in Canada;</w:t>
      </w:r>
      <w:r w:rsidR="007D1BE4" w:rsidRPr="006F4736">
        <w:rPr>
          <w:spacing w:val="-2"/>
          <w:lang w:val="en-CA"/>
        </w:rPr>
        <w:t xml:space="preserve"> for example, there were clean technology funds, low carbon funds, and funds </w:t>
      </w:r>
      <w:r w:rsidR="003D2965" w:rsidRPr="006F4736">
        <w:rPr>
          <w:spacing w:val="-2"/>
          <w:lang w:val="en-CA"/>
        </w:rPr>
        <w:t xml:space="preserve">created by </w:t>
      </w:r>
      <w:r w:rsidR="00B95E20" w:rsidRPr="006F4736">
        <w:rPr>
          <w:spacing w:val="-2"/>
          <w:lang w:val="en-CA"/>
        </w:rPr>
        <w:t>Vancouver City Savings Credit Union</w:t>
      </w:r>
      <w:r w:rsidR="007D1BE4" w:rsidRPr="006F4736">
        <w:rPr>
          <w:spacing w:val="-2"/>
          <w:lang w:val="en-CA"/>
        </w:rPr>
        <w:t>, Ma</w:t>
      </w:r>
      <w:r w:rsidR="00B95E20" w:rsidRPr="006F4736">
        <w:rPr>
          <w:spacing w:val="-2"/>
          <w:lang w:val="en-CA"/>
        </w:rPr>
        <w:t>RS Centre for Impact I</w:t>
      </w:r>
      <w:r w:rsidR="007D1BE4" w:rsidRPr="006F4736">
        <w:rPr>
          <w:spacing w:val="-2"/>
          <w:lang w:val="en-CA"/>
        </w:rPr>
        <w:t xml:space="preserve">nvesting, and </w:t>
      </w:r>
      <w:r w:rsidR="00B95E20" w:rsidRPr="006F4736">
        <w:rPr>
          <w:spacing w:val="-2"/>
          <w:lang w:val="en-CA"/>
        </w:rPr>
        <w:t>Royal Bank of Canada</w:t>
      </w:r>
      <w:r w:rsidR="007D1BE4" w:rsidRPr="006F4736">
        <w:rPr>
          <w:b/>
          <w:spacing w:val="-2"/>
          <w:lang w:val="en-CA"/>
        </w:rPr>
        <w:t>.</w:t>
      </w:r>
      <w:r w:rsidR="00903B38" w:rsidRPr="006F4736">
        <w:rPr>
          <w:spacing w:val="-2"/>
          <w:lang w:val="en-CA"/>
        </w:rPr>
        <w:t xml:space="preserve"> </w:t>
      </w:r>
      <w:r w:rsidR="003D2965" w:rsidRPr="006F4736">
        <w:rPr>
          <w:spacing w:val="-2"/>
          <w:lang w:val="en-CA"/>
        </w:rPr>
        <w:t xml:space="preserve">For </w:t>
      </w:r>
      <w:r w:rsidR="007D1BE4" w:rsidRPr="006F4736">
        <w:rPr>
          <w:spacing w:val="-2"/>
          <w:lang w:val="en-CA"/>
        </w:rPr>
        <w:t>Perry and Davies</w:t>
      </w:r>
      <w:r w:rsidR="003D2965" w:rsidRPr="006F4736">
        <w:rPr>
          <w:spacing w:val="-2"/>
          <w:lang w:val="en-CA"/>
        </w:rPr>
        <w:t>, this confirmed they</w:t>
      </w:r>
      <w:r w:rsidR="007D1BE4" w:rsidRPr="006F4736">
        <w:rPr>
          <w:spacing w:val="-2"/>
          <w:lang w:val="en-CA"/>
        </w:rPr>
        <w:t xml:space="preserve"> were on the right track and </w:t>
      </w:r>
      <w:r w:rsidR="007D1BE4" w:rsidRPr="006F4736">
        <w:rPr>
          <w:spacing w:val="-2"/>
          <w:lang w:val="en-CA"/>
        </w:rPr>
        <w:lastRenderedPageBreak/>
        <w:t>that the triple bottom line accounting</w:t>
      </w:r>
      <w:r w:rsidR="00B95E20" w:rsidRPr="006F4736">
        <w:rPr>
          <w:spacing w:val="-2"/>
          <w:lang w:val="en-CA"/>
        </w:rPr>
        <w:t xml:space="preserve"> (social, environmental, and financial)</w:t>
      </w:r>
      <w:r w:rsidR="007D1BE4" w:rsidRPr="006F4736">
        <w:rPr>
          <w:spacing w:val="-2"/>
          <w:lang w:val="en-CA"/>
        </w:rPr>
        <w:t xml:space="preserve"> that Hop needed could balance profit equally with the impact the organization had on the environment and society as a whole.</w:t>
      </w:r>
    </w:p>
    <w:p w14:paraId="4D9D8051" w14:textId="77777777" w:rsidR="007D1BE4" w:rsidRPr="006F4736" w:rsidRDefault="007D1BE4" w:rsidP="007D1BE4">
      <w:pPr>
        <w:pStyle w:val="BodyTextMain"/>
        <w:rPr>
          <w:spacing w:val="-2"/>
          <w:lang w:val="en-CA"/>
        </w:rPr>
      </w:pPr>
    </w:p>
    <w:p w14:paraId="3E2F5ECA" w14:textId="0035613C" w:rsidR="007D1BE4" w:rsidRDefault="003D2965" w:rsidP="007D1BE4">
      <w:pPr>
        <w:pStyle w:val="BodyTextMain"/>
        <w:rPr>
          <w:lang w:val="en-CA"/>
        </w:rPr>
      </w:pPr>
      <w:r>
        <w:rPr>
          <w:lang w:val="en-CA"/>
        </w:rPr>
        <w:t>T</w:t>
      </w:r>
      <w:r w:rsidR="007D1BE4" w:rsidRPr="00A23EE3">
        <w:rPr>
          <w:lang w:val="en-CA"/>
        </w:rPr>
        <w:t xml:space="preserve">he value of </w:t>
      </w:r>
      <w:r w:rsidR="007D1BE4">
        <w:rPr>
          <w:lang w:val="en-CA"/>
        </w:rPr>
        <w:t>a company like Hop</w:t>
      </w:r>
      <w:r w:rsidR="007D1BE4" w:rsidRPr="00A23EE3">
        <w:rPr>
          <w:lang w:val="en-CA"/>
        </w:rPr>
        <w:t xml:space="preserve"> </w:t>
      </w:r>
      <w:r>
        <w:rPr>
          <w:lang w:val="en-CA"/>
        </w:rPr>
        <w:t xml:space="preserve">could </w:t>
      </w:r>
      <w:r w:rsidR="007D1BE4" w:rsidRPr="00A23EE3">
        <w:rPr>
          <w:lang w:val="en-CA"/>
        </w:rPr>
        <w:t>no</w:t>
      </w:r>
      <w:r w:rsidR="007D1BE4">
        <w:rPr>
          <w:lang w:val="en-CA"/>
        </w:rPr>
        <w:t>t</w:t>
      </w:r>
      <w:r w:rsidR="007D1BE4" w:rsidRPr="00A23EE3">
        <w:rPr>
          <w:lang w:val="en-CA"/>
        </w:rPr>
        <w:t xml:space="preserve"> </w:t>
      </w:r>
      <w:r>
        <w:rPr>
          <w:lang w:val="en-CA"/>
        </w:rPr>
        <w:t xml:space="preserve">be </w:t>
      </w:r>
      <w:r w:rsidR="007D1BE4" w:rsidRPr="00A23EE3">
        <w:rPr>
          <w:lang w:val="en-CA"/>
        </w:rPr>
        <w:t xml:space="preserve">solely defined by </w:t>
      </w:r>
      <w:r w:rsidR="007D1BE4">
        <w:rPr>
          <w:lang w:val="en-CA"/>
        </w:rPr>
        <w:t>the</w:t>
      </w:r>
      <w:r w:rsidR="007D1BE4" w:rsidRPr="00A23EE3">
        <w:rPr>
          <w:lang w:val="en-CA"/>
        </w:rPr>
        <w:t xml:space="preserve"> bottom line.</w:t>
      </w:r>
      <w:r w:rsidR="007D1BE4">
        <w:rPr>
          <w:lang w:val="en-CA"/>
        </w:rPr>
        <w:t xml:space="preserve"> Hop was already attaining a </w:t>
      </w:r>
      <w:r w:rsidR="007D1BE4" w:rsidRPr="00A23EE3">
        <w:rPr>
          <w:lang w:val="en-CA"/>
        </w:rPr>
        <w:t xml:space="preserve">better return on investment through </w:t>
      </w:r>
      <w:r w:rsidR="00117A43">
        <w:rPr>
          <w:lang w:val="en-CA"/>
        </w:rPr>
        <w:t xml:space="preserve">its </w:t>
      </w:r>
      <w:r w:rsidR="007D1BE4">
        <w:rPr>
          <w:lang w:val="en-CA"/>
        </w:rPr>
        <w:t>mission-driven business model</w:t>
      </w:r>
      <w:r w:rsidR="00117A43">
        <w:rPr>
          <w:lang w:val="en-CA"/>
        </w:rPr>
        <w:t>,</w:t>
      </w:r>
      <w:r w:rsidR="007D1BE4">
        <w:rPr>
          <w:lang w:val="en-CA"/>
        </w:rPr>
        <w:t xml:space="preserve"> achieving a strong</w:t>
      </w:r>
      <w:r w:rsidR="007D1BE4" w:rsidRPr="00A23EE3">
        <w:rPr>
          <w:lang w:val="en-CA"/>
        </w:rPr>
        <w:t xml:space="preserve"> triple bottom line. </w:t>
      </w:r>
      <w:r w:rsidR="00921A9F">
        <w:rPr>
          <w:lang w:val="en-CA"/>
        </w:rPr>
        <w:t xml:space="preserve">And </w:t>
      </w:r>
      <w:r w:rsidR="007D1BE4">
        <w:rPr>
          <w:lang w:val="en-CA"/>
        </w:rPr>
        <w:t xml:space="preserve">Hop was </w:t>
      </w:r>
      <w:r w:rsidR="00833BE7">
        <w:rPr>
          <w:lang w:val="en-CA"/>
        </w:rPr>
        <w:t xml:space="preserve">clearly </w:t>
      </w:r>
      <w:r w:rsidR="007D1BE4">
        <w:rPr>
          <w:lang w:val="en-CA"/>
        </w:rPr>
        <w:t xml:space="preserve">challenging </w:t>
      </w:r>
      <w:r w:rsidR="007D1BE4" w:rsidRPr="00A23EE3">
        <w:rPr>
          <w:lang w:val="en-CA"/>
        </w:rPr>
        <w:t xml:space="preserve">conventional thinking </w:t>
      </w:r>
      <w:r w:rsidR="00D92446">
        <w:rPr>
          <w:lang w:val="en-CA"/>
        </w:rPr>
        <w:t>by</w:t>
      </w:r>
      <w:r w:rsidR="007D1BE4" w:rsidRPr="00A23EE3">
        <w:rPr>
          <w:lang w:val="en-CA"/>
        </w:rPr>
        <w:t xml:space="preserve"> </w:t>
      </w:r>
      <w:r w:rsidR="00833BE7">
        <w:rPr>
          <w:lang w:val="en-CA"/>
        </w:rPr>
        <w:t>suggest</w:t>
      </w:r>
      <w:r w:rsidR="00D92446">
        <w:rPr>
          <w:lang w:val="en-CA"/>
        </w:rPr>
        <w:t>ing</w:t>
      </w:r>
      <w:r w:rsidR="00833BE7">
        <w:rPr>
          <w:lang w:val="en-CA"/>
        </w:rPr>
        <w:t xml:space="preserve"> that investment in socially responsible companies was part of a </w:t>
      </w:r>
      <w:r w:rsidR="007D1BE4" w:rsidRPr="00A23EE3">
        <w:rPr>
          <w:lang w:val="en-CA"/>
        </w:rPr>
        <w:t>profitable investment portfolio</w:t>
      </w:r>
      <w:r w:rsidR="007D1BE4">
        <w:rPr>
          <w:lang w:val="en-CA"/>
        </w:rPr>
        <w:t xml:space="preserve">. </w:t>
      </w:r>
      <w:r w:rsidR="00D92446">
        <w:rPr>
          <w:lang w:val="en-CA"/>
        </w:rPr>
        <w:t>Some i</w:t>
      </w:r>
      <w:r w:rsidR="007D1BE4">
        <w:rPr>
          <w:lang w:val="en-CA"/>
        </w:rPr>
        <w:t xml:space="preserve">nvestors considered </w:t>
      </w:r>
      <w:r w:rsidR="00FF6207">
        <w:rPr>
          <w:lang w:val="en-CA"/>
        </w:rPr>
        <w:t>socially responsible</w:t>
      </w:r>
      <w:r w:rsidR="00833BE7">
        <w:rPr>
          <w:lang w:val="en-CA"/>
        </w:rPr>
        <w:t xml:space="preserve"> invest</w:t>
      </w:r>
      <w:r w:rsidR="007C4055">
        <w:rPr>
          <w:lang w:val="en-CA"/>
        </w:rPr>
        <w:t>ing</w:t>
      </w:r>
      <w:r w:rsidR="00833BE7">
        <w:rPr>
          <w:lang w:val="en-CA"/>
        </w:rPr>
        <w:t xml:space="preserve"> </w:t>
      </w:r>
      <w:r w:rsidR="007D1BE4">
        <w:rPr>
          <w:lang w:val="en-CA"/>
        </w:rPr>
        <w:t xml:space="preserve">to be the role of governments and </w:t>
      </w:r>
      <w:r w:rsidR="00833BE7">
        <w:rPr>
          <w:lang w:val="en-CA"/>
        </w:rPr>
        <w:t>non-governmental organizations</w:t>
      </w:r>
      <w:r w:rsidR="007D1BE4">
        <w:rPr>
          <w:lang w:val="en-CA"/>
        </w:rPr>
        <w:t>.</w:t>
      </w:r>
      <w:r w:rsidR="00903B38">
        <w:rPr>
          <w:lang w:val="en-CA"/>
        </w:rPr>
        <w:t xml:space="preserve"> </w:t>
      </w:r>
      <w:r w:rsidR="00833BE7">
        <w:rPr>
          <w:lang w:val="en-CA"/>
        </w:rPr>
        <w:t xml:space="preserve">But </w:t>
      </w:r>
      <w:r w:rsidR="007D1BE4">
        <w:rPr>
          <w:lang w:val="en-CA"/>
        </w:rPr>
        <w:t xml:space="preserve">Perry found considerable evidence </w:t>
      </w:r>
      <w:r w:rsidR="00833BE7">
        <w:rPr>
          <w:lang w:val="en-CA"/>
        </w:rPr>
        <w:t xml:space="preserve">to support </w:t>
      </w:r>
      <w:r w:rsidR="00FF6207">
        <w:rPr>
          <w:lang w:val="en-CA"/>
        </w:rPr>
        <w:t>Hop’s</w:t>
      </w:r>
      <w:r w:rsidR="00833BE7">
        <w:rPr>
          <w:lang w:val="en-CA"/>
        </w:rPr>
        <w:t xml:space="preserve"> </w:t>
      </w:r>
      <w:r w:rsidR="00FF6207">
        <w:rPr>
          <w:lang w:val="en-CA"/>
        </w:rPr>
        <w:t xml:space="preserve">triple bottom line </w:t>
      </w:r>
      <w:r w:rsidR="00833BE7">
        <w:rPr>
          <w:lang w:val="en-CA"/>
        </w:rPr>
        <w:t>argument</w:t>
      </w:r>
      <w:r w:rsidR="007D1BE4">
        <w:rPr>
          <w:lang w:val="en-CA"/>
        </w:rPr>
        <w:t>.</w:t>
      </w:r>
      <w:r w:rsidR="00903B38">
        <w:rPr>
          <w:lang w:val="en-CA"/>
        </w:rPr>
        <w:t xml:space="preserve"> </w:t>
      </w:r>
      <w:r w:rsidR="00833BE7">
        <w:rPr>
          <w:lang w:val="en-CA"/>
        </w:rPr>
        <w:t>For example, a</w:t>
      </w:r>
      <w:r w:rsidR="007D1BE4">
        <w:rPr>
          <w:lang w:val="en-CA"/>
        </w:rPr>
        <w:t xml:space="preserve"> recent Morgan Stanley study that </w:t>
      </w:r>
      <w:r w:rsidR="007D1BE4" w:rsidRPr="00A23EE3">
        <w:rPr>
          <w:lang w:val="en-CA"/>
        </w:rPr>
        <w:t xml:space="preserve">found </w:t>
      </w:r>
      <w:r w:rsidR="007D1BE4" w:rsidRPr="003C0C77">
        <w:rPr>
          <w:lang w:val="en-CA"/>
        </w:rPr>
        <w:t>higher</w:t>
      </w:r>
      <w:r w:rsidR="007D1BE4" w:rsidRPr="00A23EE3">
        <w:rPr>
          <w:lang w:val="en-CA"/>
        </w:rPr>
        <w:t xml:space="preserve"> returns </w:t>
      </w:r>
      <w:r w:rsidR="007D1BE4">
        <w:rPr>
          <w:lang w:val="en-CA"/>
        </w:rPr>
        <w:t xml:space="preserve">were </w:t>
      </w:r>
      <w:r w:rsidR="007D1BE4" w:rsidRPr="00A23EE3">
        <w:rPr>
          <w:lang w:val="en-CA"/>
        </w:rPr>
        <w:t>der</w:t>
      </w:r>
      <w:r w:rsidR="007D1BE4">
        <w:rPr>
          <w:lang w:val="en-CA"/>
        </w:rPr>
        <w:t>ived from investing in sustainable companies</w:t>
      </w:r>
      <w:r w:rsidR="00833BE7">
        <w:rPr>
          <w:lang w:val="en-CA"/>
        </w:rPr>
        <w:t>:</w:t>
      </w:r>
    </w:p>
    <w:p w14:paraId="3A545123" w14:textId="77777777" w:rsidR="007D1BE4" w:rsidRDefault="007D1BE4" w:rsidP="007D1BE4">
      <w:pPr>
        <w:pStyle w:val="BodyTextMain"/>
        <w:rPr>
          <w:lang w:val="en-CA"/>
        </w:rPr>
      </w:pPr>
    </w:p>
    <w:p w14:paraId="4FB978D1" w14:textId="23654831" w:rsidR="007D1BE4" w:rsidRDefault="007D1BE4" w:rsidP="007D1BE4">
      <w:pPr>
        <w:pStyle w:val="BodyTextMain"/>
        <w:ind w:left="720"/>
      </w:pPr>
      <w:r>
        <w:t>Long-term annual returns of one index comprising firms scoring highly on environmental, social and governance criteria exceeded the S&amp;P 500 by 45 basis points since its inception in 1990</w:t>
      </w:r>
      <w:r w:rsidR="005E4A6B">
        <w:t>.</w:t>
      </w:r>
      <w:r w:rsidRPr="00512FE1">
        <w:rPr>
          <w:rStyle w:val="FootnoteReference"/>
        </w:rPr>
        <w:footnoteReference w:id="9"/>
      </w:r>
    </w:p>
    <w:p w14:paraId="195CC03F" w14:textId="77777777" w:rsidR="007D1BE4" w:rsidRPr="00D93284" w:rsidRDefault="007D1BE4" w:rsidP="00512FE1">
      <w:pPr>
        <w:pStyle w:val="BodyTextMain"/>
        <w:rPr>
          <w:lang w:val="en-CA"/>
        </w:rPr>
      </w:pPr>
    </w:p>
    <w:p w14:paraId="1647EDF5" w14:textId="06055167" w:rsidR="007D1BE4" w:rsidRPr="000553A7" w:rsidRDefault="007D1BE4" w:rsidP="007D1BE4">
      <w:pPr>
        <w:pStyle w:val="BodyTextMain"/>
        <w:rPr>
          <w:lang w:val="en-CA"/>
        </w:rPr>
      </w:pPr>
      <w:r>
        <w:rPr>
          <w:lang w:val="en-CA"/>
        </w:rPr>
        <w:t xml:space="preserve">The challenge </w:t>
      </w:r>
      <w:r w:rsidR="005E4A6B">
        <w:rPr>
          <w:lang w:val="en-CA"/>
        </w:rPr>
        <w:t>for</w:t>
      </w:r>
      <w:r>
        <w:rPr>
          <w:lang w:val="en-CA"/>
        </w:rPr>
        <w:t xml:space="preserve"> Davies and Perry</w:t>
      </w:r>
      <w:r w:rsidR="005E4A6B">
        <w:rPr>
          <w:lang w:val="en-CA"/>
        </w:rPr>
        <w:t xml:space="preserve"> was that their</w:t>
      </w:r>
      <w:r>
        <w:rPr>
          <w:lang w:val="en-CA"/>
        </w:rPr>
        <w:t xml:space="preserve"> meetings with investors were still following the pure for-profit paradigm for making an investment decision. Davies </w:t>
      </w:r>
      <w:r w:rsidR="005E4A6B">
        <w:rPr>
          <w:lang w:val="en-CA"/>
        </w:rPr>
        <w:t>was</w:t>
      </w:r>
      <w:r>
        <w:rPr>
          <w:lang w:val="en-CA"/>
        </w:rPr>
        <w:t xml:space="preserve"> frustrat</w:t>
      </w:r>
      <w:r w:rsidR="005E4A6B">
        <w:rPr>
          <w:lang w:val="en-CA"/>
        </w:rPr>
        <w:t>ed</w:t>
      </w:r>
      <w:r>
        <w:rPr>
          <w:lang w:val="en-CA"/>
        </w:rPr>
        <w:t xml:space="preserve"> with </w:t>
      </w:r>
      <w:r w:rsidR="005E4A6B">
        <w:rPr>
          <w:lang w:val="en-CA"/>
        </w:rPr>
        <w:t xml:space="preserve">investors’ adherence </w:t>
      </w:r>
      <w:r w:rsidRPr="00A23EE3">
        <w:rPr>
          <w:lang w:val="en-CA"/>
        </w:rPr>
        <w:t xml:space="preserve">to the </w:t>
      </w:r>
      <w:r w:rsidR="005E4A6B">
        <w:rPr>
          <w:lang w:val="en-CA"/>
        </w:rPr>
        <w:t>traditional</w:t>
      </w:r>
      <w:r w:rsidRPr="00A23EE3">
        <w:rPr>
          <w:lang w:val="en-CA"/>
        </w:rPr>
        <w:t xml:space="preserve"> train of thought </w:t>
      </w:r>
      <w:r w:rsidR="005E4A6B">
        <w:rPr>
          <w:lang w:val="en-CA"/>
        </w:rPr>
        <w:t>in</w:t>
      </w:r>
      <w:r w:rsidRPr="00A23EE3">
        <w:rPr>
          <w:lang w:val="en-CA"/>
        </w:rPr>
        <w:t xml:space="preserve"> business</w:t>
      </w:r>
      <w:r w:rsidR="00921A9F">
        <w:rPr>
          <w:lang w:val="en-CA"/>
        </w:rPr>
        <w:t xml:space="preserve">, believing that </w:t>
      </w:r>
      <w:r w:rsidRPr="00A23EE3">
        <w:rPr>
          <w:lang w:val="en-CA"/>
        </w:rPr>
        <w:t xml:space="preserve">if an organization </w:t>
      </w:r>
      <w:r w:rsidR="005E4A6B">
        <w:rPr>
          <w:lang w:val="en-CA"/>
        </w:rPr>
        <w:t>wa</w:t>
      </w:r>
      <w:r w:rsidRPr="00A23EE3">
        <w:rPr>
          <w:lang w:val="en-CA"/>
        </w:rPr>
        <w:t xml:space="preserve">s focusing on environment, people, and profit equally, profits </w:t>
      </w:r>
      <w:r w:rsidR="00C66AD0">
        <w:rPr>
          <w:lang w:val="en-CA"/>
        </w:rPr>
        <w:t>would</w:t>
      </w:r>
      <w:r w:rsidR="005E4A6B" w:rsidRPr="00A23EE3">
        <w:rPr>
          <w:lang w:val="en-CA"/>
        </w:rPr>
        <w:t xml:space="preserve"> </w:t>
      </w:r>
      <w:r w:rsidRPr="00A23EE3">
        <w:rPr>
          <w:lang w:val="en-CA"/>
        </w:rPr>
        <w:t>be diminish</w:t>
      </w:r>
      <w:r w:rsidRPr="00B24C4A">
        <w:rPr>
          <w:lang w:val="en-CA"/>
        </w:rPr>
        <w:t>ed</w:t>
      </w:r>
      <w:r w:rsidRPr="00B24C4A">
        <w:rPr>
          <w:b/>
          <w:lang w:val="en-CA"/>
        </w:rPr>
        <w:t>.</w:t>
      </w:r>
      <w:r w:rsidRPr="00A23EE3">
        <w:rPr>
          <w:lang w:val="en-CA"/>
        </w:rPr>
        <w:t xml:space="preserve"> </w:t>
      </w:r>
      <w:r>
        <w:rPr>
          <w:lang w:val="en-CA"/>
        </w:rPr>
        <w:t>Ironically</w:t>
      </w:r>
      <w:r w:rsidRPr="00A23EE3">
        <w:rPr>
          <w:lang w:val="en-CA"/>
        </w:rPr>
        <w:t xml:space="preserve">, </w:t>
      </w:r>
      <w:r>
        <w:rPr>
          <w:lang w:val="en-CA"/>
        </w:rPr>
        <w:t>this belief result</w:t>
      </w:r>
      <w:r w:rsidR="005E4A6B">
        <w:rPr>
          <w:lang w:val="en-CA"/>
        </w:rPr>
        <w:t>ed</w:t>
      </w:r>
      <w:r>
        <w:rPr>
          <w:lang w:val="en-CA"/>
        </w:rPr>
        <w:t xml:space="preserve"> in less lucrative returns for investors. Regardless, the problem </w:t>
      </w:r>
      <w:r w:rsidR="005E4A6B">
        <w:rPr>
          <w:lang w:val="en-CA"/>
        </w:rPr>
        <w:t xml:space="preserve">of misconception </w:t>
      </w:r>
      <w:r>
        <w:rPr>
          <w:lang w:val="en-CA"/>
        </w:rPr>
        <w:t>remained.</w:t>
      </w:r>
    </w:p>
    <w:p w14:paraId="608084E7" w14:textId="77777777" w:rsidR="007D1BE4" w:rsidRPr="00512FE1" w:rsidRDefault="007D1BE4" w:rsidP="00512FE1">
      <w:pPr>
        <w:pStyle w:val="BodyTextMain"/>
        <w:rPr>
          <w:lang w:val="en-CA"/>
        </w:rPr>
      </w:pPr>
    </w:p>
    <w:p w14:paraId="3D7774E6" w14:textId="77777777" w:rsidR="007D1BE4" w:rsidRPr="00512FE1" w:rsidRDefault="007D1BE4" w:rsidP="00512FE1">
      <w:pPr>
        <w:pStyle w:val="BodyTextMain"/>
        <w:rPr>
          <w:lang w:val="en-CA"/>
        </w:rPr>
      </w:pPr>
    </w:p>
    <w:p w14:paraId="2ACC735F" w14:textId="77777777" w:rsidR="007D1BE4" w:rsidRPr="00D760E1" w:rsidRDefault="007D1BE4" w:rsidP="00512FE1">
      <w:pPr>
        <w:pStyle w:val="Casehead2"/>
        <w:rPr>
          <w:lang w:val="en-CA"/>
        </w:rPr>
      </w:pPr>
      <w:r>
        <w:rPr>
          <w:lang w:val="en-CA"/>
        </w:rPr>
        <w:t>Responsible Value in Practice</w:t>
      </w:r>
    </w:p>
    <w:p w14:paraId="0072D8DC" w14:textId="77777777" w:rsidR="007D1BE4" w:rsidRPr="00512FE1" w:rsidRDefault="007D1BE4" w:rsidP="00512FE1">
      <w:pPr>
        <w:pStyle w:val="BodyTextMain"/>
        <w:keepNext/>
        <w:rPr>
          <w:lang w:val="en-CA"/>
        </w:rPr>
      </w:pPr>
    </w:p>
    <w:p w14:paraId="50F61F20" w14:textId="0D4270EB" w:rsidR="007D1BE4" w:rsidRPr="00A23EE3" w:rsidRDefault="005E4A6B" w:rsidP="007D1BE4">
      <w:pPr>
        <w:pStyle w:val="BodyTextMain"/>
        <w:rPr>
          <w:lang w:val="en-CA"/>
        </w:rPr>
      </w:pPr>
      <w:r>
        <w:rPr>
          <w:lang w:val="en-CA"/>
        </w:rPr>
        <w:t xml:space="preserve">Hop’s </w:t>
      </w:r>
      <w:r w:rsidR="007D1BE4" w:rsidRPr="00A23EE3">
        <w:rPr>
          <w:lang w:val="en-CA"/>
        </w:rPr>
        <w:t xml:space="preserve">primary environmental goals </w:t>
      </w:r>
      <w:r w:rsidR="007D1BE4">
        <w:rPr>
          <w:lang w:val="en-CA"/>
        </w:rPr>
        <w:t>f</w:t>
      </w:r>
      <w:r w:rsidR="007D1BE4" w:rsidRPr="00A23EE3">
        <w:rPr>
          <w:lang w:val="en-CA"/>
        </w:rPr>
        <w:t>ocus</w:t>
      </w:r>
      <w:r w:rsidR="007D1BE4">
        <w:rPr>
          <w:lang w:val="en-CA"/>
        </w:rPr>
        <w:t>ed</w:t>
      </w:r>
      <w:r w:rsidR="007D1BE4" w:rsidRPr="00A23EE3">
        <w:rPr>
          <w:lang w:val="en-CA"/>
        </w:rPr>
        <w:t xml:space="preserve"> on the interests of </w:t>
      </w:r>
      <w:r w:rsidR="007D1BE4">
        <w:rPr>
          <w:lang w:val="en-CA"/>
        </w:rPr>
        <w:t xml:space="preserve">all </w:t>
      </w:r>
      <w:r w:rsidR="007D1BE4" w:rsidRPr="00A23EE3">
        <w:rPr>
          <w:lang w:val="en-CA"/>
        </w:rPr>
        <w:t>stakeholders, bridging the gap</w:t>
      </w:r>
      <w:r w:rsidR="005F563A">
        <w:rPr>
          <w:lang w:val="en-CA"/>
        </w:rPr>
        <w:t>s between farmers, restaurants, and food waste</w:t>
      </w:r>
      <w:r w:rsidR="007D1BE4" w:rsidRPr="00A23EE3">
        <w:rPr>
          <w:lang w:val="en-CA"/>
        </w:rPr>
        <w:t xml:space="preserve"> by diverting food waste </w:t>
      </w:r>
      <w:r w:rsidR="007D1BE4">
        <w:rPr>
          <w:lang w:val="en-CA"/>
        </w:rPr>
        <w:t xml:space="preserve">away from landfills </w:t>
      </w:r>
      <w:r w:rsidR="007D1BE4" w:rsidRPr="00A23EE3">
        <w:rPr>
          <w:lang w:val="en-CA"/>
        </w:rPr>
        <w:t xml:space="preserve">and </w:t>
      </w:r>
      <w:r w:rsidR="00DA5510">
        <w:rPr>
          <w:lang w:val="en-CA"/>
        </w:rPr>
        <w:t xml:space="preserve">using it to </w:t>
      </w:r>
      <w:r w:rsidR="007D1BE4" w:rsidRPr="00A23EE3">
        <w:rPr>
          <w:lang w:val="en-CA"/>
        </w:rPr>
        <w:t>provid</w:t>
      </w:r>
      <w:r w:rsidR="00DA5510">
        <w:rPr>
          <w:lang w:val="en-CA"/>
        </w:rPr>
        <w:t>e</w:t>
      </w:r>
      <w:r w:rsidR="007D1BE4" w:rsidRPr="00A23EE3">
        <w:rPr>
          <w:lang w:val="en-CA"/>
        </w:rPr>
        <w:t xml:space="preserve"> superior compost.</w:t>
      </w:r>
      <w:r w:rsidR="007D1BE4">
        <w:rPr>
          <w:lang w:val="en-CA"/>
        </w:rPr>
        <w:t xml:space="preserve"> Hop needed a process to integrate its core values around waste diversion and community in the company’s valuation</w:t>
      </w:r>
      <w:r w:rsidR="00C66AD0">
        <w:rPr>
          <w:lang w:val="en-CA"/>
        </w:rPr>
        <w:t>.</w:t>
      </w:r>
      <w:r w:rsidR="00DA5510">
        <w:rPr>
          <w:lang w:val="en-CA"/>
        </w:rPr>
        <w:t xml:space="preserve"> </w:t>
      </w:r>
      <w:r w:rsidR="00C66AD0">
        <w:rPr>
          <w:lang w:val="en-CA"/>
        </w:rPr>
        <w:t xml:space="preserve">This process </w:t>
      </w:r>
      <w:r w:rsidR="007D1BE4" w:rsidRPr="00A23EE3">
        <w:rPr>
          <w:lang w:val="en-CA"/>
        </w:rPr>
        <w:t>w</w:t>
      </w:r>
      <w:r w:rsidR="007D1BE4">
        <w:rPr>
          <w:lang w:val="en-CA"/>
        </w:rPr>
        <w:t>ould</w:t>
      </w:r>
      <w:r w:rsidR="007D1BE4" w:rsidRPr="00A23EE3">
        <w:rPr>
          <w:lang w:val="en-CA"/>
        </w:rPr>
        <w:t xml:space="preserve"> b</w:t>
      </w:r>
      <w:r w:rsidR="007D1BE4">
        <w:rPr>
          <w:lang w:val="en-CA"/>
        </w:rPr>
        <w:t xml:space="preserve">e the catalyst to Hop’s success. Both Davies and Perry agreed that, </w:t>
      </w:r>
      <w:r w:rsidR="007D1BE4" w:rsidRPr="00A23EE3">
        <w:rPr>
          <w:lang w:val="en-CA"/>
        </w:rPr>
        <w:t>ultimately</w:t>
      </w:r>
      <w:r w:rsidR="007D1BE4">
        <w:rPr>
          <w:lang w:val="en-CA"/>
        </w:rPr>
        <w:t>, this integration would lead</w:t>
      </w:r>
      <w:r w:rsidR="007D1BE4" w:rsidRPr="00A23EE3">
        <w:rPr>
          <w:lang w:val="en-CA"/>
        </w:rPr>
        <w:t xml:space="preserve"> to an increase</w:t>
      </w:r>
      <w:r w:rsidR="007D1BE4">
        <w:rPr>
          <w:lang w:val="en-CA"/>
        </w:rPr>
        <w:t>d</w:t>
      </w:r>
      <w:r w:rsidR="007D1BE4" w:rsidRPr="00A23EE3">
        <w:rPr>
          <w:lang w:val="en-CA"/>
        </w:rPr>
        <w:t xml:space="preserve"> probability </w:t>
      </w:r>
      <w:r w:rsidR="00684995">
        <w:rPr>
          <w:lang w:val="en-CA"/>
        </w:rPr>
        <w:t>of</w:t>
      </w:r>
      <w:r w:rsidR="00684995" w:rsidRPr="00A23EE3">
        <w:rPr>
          <w:lang w:val="en-CA"/>
        </w:rPr>
        <w:t xml:space="preserve"> </w:t>
      </w:r>
      <w:r w:rsidR="007D1BE4" w:rsidRPr="00A23EE3">
        <w:rPr>
          <w:lang w:val="en-CA"/>
        </w:rPr>
        <w:t>l</w:t>
      </w:r>
      <w:r w:rsidR="007D1BE4">
        <w:rPr>
          <w:lang w:val="en-CA"/>
        </w:rPr>
        <w:t>ucrative returns for investors.</w:t>
      </w:r>
    </w:p>
    <w:p w14:paraId="0D14F91A" w14:textId="77777777" w:rsidR="007D1BE4" w:rsidRPr="00A23EE3" w:rsidRDefault="007D1BE4" w:rsidP="007D1BE4">
      <w:pPr>
        <w:pStyle w:val="BodyTextMain"/>
        <w:rPr>
          <w:lang w:val="en-CA"/>
        </w:rPr>
      </w:pPr>
    </w:p>
    <w:p w14:paraId="78A51DA7" w14:textId="6D608EE8" w:rsidR="007D1BE4" w:rsidRPr="00A23EE3" w:rsidRDefault="007D1BE4" w:rsidP="007D1BE4">
      <w:pPr>
        <w:pStyle w:val="BodyTextMain"/>
        <w:rPr>
          <w:lang w:val="en-CA"/>
        </w:rPr>
      </w:pPr>
      <w:r>
        <w:rPr>
          <w:lang w:val="en-CA"/>
        </w:rPr>
        <w:t xml:space="preserve">Perry focused on understanding the </w:t>
      </w:r>
      <w:r w:rsidRPr="00A23EE3">
        <w:rPr>
          <w:lang w:val="en-CA"/>
        </w:rPr>
        <w:t xml:space="preserve">crucial role </w:t>
      </w:r>
      <w:r>
        <w:rPr>
          <w:lang w:val="en-CA"/>
        </w:rPr>
        <w:t xml:space="preserve">Hop played </w:t>
      </w:r>
      <w:r w:rsidRPr="00A23EE3">
        <w:rPr>
          <w:lang w:val="en-CA"/>
        </w:rPr>
        <w:t xml:space="preserve">in the reduction of </w:t>
      </w:r>
      <w:r>
        <w:rPr>
          <w:lang w:val="en-CA"/>
        </w:rPr>
        <w:t>greenhouse gas (</w:t>
      </w:r>
      <w:r w:rsidRPr="00A23EE3">
        <w:rPr>
          <w:lang w:val="en-CA"/>
        </w:rPr>
        <w:t>GHG</w:t>
      </w:r>
      <w:r>
        <w:rPr>
          <w:lang w:val="en-CA"/>
        </w:rPr>
        <w:t>)</w:t>
      </w:r>
      <w:r w:rsidRPr="00A23EE3">
        <w:rPr>
          <w:lang w:val="en-CA"/>
        </w:rPr>
        <w:t xml:space="preserve"> emissions by diverting </w:t>
      </w:r>
      <w:r>
        <w:rPr>
          <w:lang w:val="en-CA"/>
        </w:rPr>
        <w:t>two</w:t>
      </w:r>
      <w:r w:rsidRPr="00A23EE3">
        <w:rPr>
          <w:lang w:val="en-CA"/>
        </w:rPr>
        <w:t xml:space="preserve"> million pounds of food scraps </w:t>
      </w:r>
      <w:r w:rsidR="00C5356C">
        <w:rPr>
          <w:lang w:val="en-CA"/>
        </w:rPr>
        <w:t>away from landfill</w:t>
      </w:r>
      <w:r w:rsidR="00C5356C" w:rsidRPr="00A23EE3">
        <w:rPr>
          <w:lang w:val="en-CA"/>
        </w:rPr>
        <w:t xml:space="preserve"> </w:t>
      </w:r>
      <w:r w:rsidRPr="00A23EE3">
        <w:rPr>
          <w:lang w:val="en-CA"/>
        </w:rPr>
        <w:t xml:space="preserve">in the first year of operations. </w:t>
      </w:r>
      <w:r w:rsidR="00C5356C">
        <w:rPr>
          <w:lang w:val="en-CA"/>
        </w:rPr>
        <w:t xml:space="preserve">The accomplishment </w:t>
      </w:r>
      <w:r>
        <w:rPr>
          <w:lang w:val="en-CA"/>
        </w:rPr>
        <w:t>was a source of pride for the Hop team</w:t>
      </w:r>
      <w:r w:rsidR="00921A9F">
        <w:rPr>
          <w:lang w:val="en-CA"/>
        </w:rPr>
        <w:t>;</w:t>
      </w:r>
      <w:r>
        <w:rPr>
          <w:lang w:val="en-CA"/>
        </w:rPr>
        <w:t xml:space="preserve"> t</w:t>
      </w:r>
      <w:r w:rsidRPr="00A23EE3">
        <w:rPr>
          <w:lang w:val="en-CA"/>
        </w:rPr>
        <w:t>hrough</w:t>
      </w:r>
      <w:r>
        <w:rPr>
          <w:lang w:val="en-CA"/>
        </w:rPr>
        <w:t xml:space="preserve"> their </w:t>
      </w:r>
      <w:r w:rsidRPr="00A23EE3">
        <w:rPr>
          <w:lang w:val="en-CA"/>
        </w:rPr>
        <w:t xml:space="preserve">innovative </w:t>
      </w:r>
      <w:r>
        <w:rPr>
          <w:lang w:val="en-CA"/>
        </w:rPr>
        <w:t xml:space="preserve">Hot Rot </w:t>
      </w:r>
      <w:r w:rsidRPr="00A23EE3">
        <w:rPr>
          <w:lang w:val="en-CA"/>
        </w:rPr>
        <w:t xml:space="preserve">technology, a single employee </w:t>
      </w:r>
      <w:r w:rsidR="00C5356C">
        <w:rPr>
          <w:lang w:val="en-CA"/>
        </w:rPr>
        <w:t>could</w:t>
      </w:r>
      <w:r w:rsidR="00C5356C" w:rsidRPr="00A23EE3">
        <w:rPr>
          <w:lang w:val="en-CA"/>
        </w:rPr>
        <w:t xml:space="preserve"> </w:t>
      </w:r>
      <w:r w:rsidRPr="00A23EE3">
        <w:rPr>
          <w:lang w:val="en-CA"/>
        </w:rPr>
        <w:t xml:space="preserve">manage this </w:t>
      </w:r>
      <w:r>
        <w:rPr>
          <w:lang w:val="en-CA"/>
        </w:rPr>
        <w:t>volume of food waste and turn it into the highest quality compost ever recorded in Canada.</w:t>
      </w:r>
    </w:p>
    <w:p w14:paraId="716F8D3F" w14:textId="77777777" w:rsidR="007D1BE4" w:rsidRPr="00A23EE3" w:rsidRDefault="007D1BE4" w:rsidP="007D1BE4">
      <w:pPr>
        <w:pStyle w:val="BodyTextMain"/>
        <w:rPr>
          <w:lang w:val="en-CA"/>
        </w:rPr>
      </w:pPr>
    </w:p>
    <w:p w14:paraId="5F8A9435" w14:textId="1ADFE1FD" w:rsidR="007D1BE4" w:rsidRPr="00A23EE3" w:rsidRDefault="00C5356C" w:rsidP="007D1BE4">
      <w:pPr>
        <w:pStyle w:val="BodyTextMain"/>
        <w:rPr>
          <w:lang w:val="en-CA"/>
        </w:rPr>
      </w:pPr>
      <w:r>
        <w:rPr>
          <w:lang w:val="en-CA"/>
        </w:rPr>
        <w:t>I</w:t>
      </w:r>
      <w:r w:rsidR="007D1BE4">
        <w:rPr>
          <w:lang w:val="en-CA"/>
        </w:rPr>
        <w:t xml:space="preserve">mpact tracking was a mechanism that allowed </w:t>
      </w:r>
      <w:r>
        <w:rPr>
          <w:lang w:val="en-CA"/>
        </w:rPr>
        <w:t xml:space="preserve">Hop’s </w:t>
      </w:r>
      <w:r w:rsidR="007D1BE4" w:rsidRPr="00A23EE3">
        <w:rPr>
          <w:lang w:val="en-CA"/>
        </w:rPr>
        <w:t xml:space="preserve">clients to quantify their positive environmental impact. Essentially, clients </w:t>
      </w:r>
      <w:r w:rsidR="007D1BE4">
        <w:rPr>
          <w:lang w:val="en-CA"/>
        </w:rPr>
        <w:t>were</w:t>
      </w:r>
      <w:r w:rsidR="007D1BE4" w:rsidRPr="00A23EE3">
        <w:rPr>
          <w:lang w:val="en-CA"/>
        </w:rPr>
        <w:t xml:space="preserve"> paying a premium</w:t>
      </w:r>
      <w:r w:rsidR="00684995">
        <w:rPr>
          <w:lang w:val="en-CA"/>
        </w:rPr>
        <w:t xml:space="preserve"> of $75 per bin pick up</w:t>
      </w:r>
      <w:r w:rsidR="007D1BE4" w:rsidRPr="00A23EE3">
        <w:rPr>
          <w:lang w:val="en-CA"/>
        </w:rPr>
        <w:t xml:space="preserve"> for this service so they </w:t>
      </w:r>
      <w:r>
        <w:rPr>
          <w:lang w:val="en-CA"/>
        </w:rPr>
        <w:t>could</w:t>
      </w:r>
      <w:r w:rsidRPr="00A23EE3">
        <w:rPr>
          <w:lang w:val="en-CA"/>
        </w:rPr>
        <w:t xml:space="preserve"> </w:t>
      </w:r>
      <w:r w:rsidR="007D1BE4" w:rsidRPr="00A23EE3">
        <w:rPr>
          <w:lang w:val="en-CA"/>
        </w:rPr>
        <w:t xml:space="preserve">demonstrate to </w:t>
      </w:r>
      <w:r>
        <w:rPr>
          <w:lang w:val="en-CA"/>
        </w:rPr>
        <w:t xml:space="preserve">their </w:t>
      </w:r>
      <w:r w:rsidR="007D1BE4" w:rsidRPr="00A23EE3">
        <w:rPr>
          <w:lang w:val="en-CA"/>
        </w:rPr>
        <w:t>prospective customers that the company care</w:t>
      </w:r>
      <w:r>
        <w:rPr>
          <w:lang w:val="en-CA"/>
        </w:rPr>
        <w:t>d</w:t>
      </w:r>
      <w:r w:rsidR="007D1BE4" w:rsidRPr="00A23EE3">
        <w:rPr>
          <w:lang w:val="en-CA"/>
        </w:rPr>
        <w:t xml:space="preserve"> about </w:t>
      </w:r>
      <w:r>
        <w:rPr>
          <w:lang w:val="en-CA"/>
        </w:rPr>
        <w:t>its</w:t>
      </w:r>
      <w:r w:rsidRPr="00A23EE3">
        <w:rPr>
          <w:lang w:val="en-CA"/>
        </w:rPr>
        <w:t xml:space="preserve"> </w:t>
      </w:r>
      <w:r w:rsidR="007D1BE4" w:rsidRPr="00A23EE3">
        <w:rPr>
          <w:lang w:val="en-CA"/>
        </w:rPr>
        <w:t xml:space="preserve">environmental impact. Thanks to the </w:t>
      </w:r>
      <w:r>
        <w:rPr>
          <w:lang w:val="en-CA"/>
        </w:rPr>
        <w:t xml:space="preserve">Hot Rot </w:t>
      </w:r>
      <w:r w:rsidR="007D1BE4" w:rsidRPr="00A23EE3">
        <w:rPr>
          <w:lang w:val="en-CA"/>
        </w:rPr>
        <w:t xml:space="preserve">technology, Hop </w:t>
      </w:r>
      <w:r w:rsidR="007D1BE4">
        <w:rPr>
          <w:lang w:val="en-CA"/>
        </w:rPr>
        <w:t>could</w:t>
      </w:r>
      <w:r w:rsidR="007D1BE4" w:rsidRPr="00A23EE3">
        <w:rPr>
          <w:lang w:val="en-CA"/>
        </w:rPr>
        <w:t xml:space="preserve"> weigh the food scrap bins from each client and determine the amount of food waste </w:t>
      </w:r>
      <w:r>
        <w:rPr>
          <w:lang w:val="en-CA"/>
        </w:rPr>
        <w:t>being</w:t>
      </w:r>
      <w:r w:rsidR="007D1BE4">
        <w:rPr>
          <w:lang w:val="en-CA"/>
        </w:rPr>
        <w:t xml:space="preserve"> </w:t>
      </w:r>
      <w:r w:rsidR="007D1BE4" w:rsidRPr="00A23EE3">
        <w:rPr>
          <w:lang w:val="en-CA"/>
        </w:rPr>
        <w:t>diverted from landfill, the amount of water saved</w:t>
      </w:r>
      <w:r w:rsidR="007D1BE4">
        <w:rPr>
          <w:lang w:val="en-CA"/>
        </w:rPr>
        <w:t>,</w:t>
      </w:r>
      <w:r w:rsidR="007D1BE4" w:rsidRPr="00A23EE3">
        <w:rPr>
          <w:lang w:val="en-CA"/>
        </w:rPr>
        <w:t xml:space="preserve"> and the </w:t>
      </w:r>
      <w:r>
        <w:rPr>
          <w:lang w:val="en-CA"/>
        </w:rPr>
        <w:t xml:space="preserve">reduction in the </w:t>
      </w:r>
      <w:r w:rsidR="007D1BE4" w:rsidRPr="00A23EE3">
        <w:rPr>
          <w:lang w:val="en-CA"/>
        </w:rPr>
        <w:t>company’s GHG emission</w:t>
      </w:r>
      <w:r>
        <w:rPr>
          <w:lang w:val="en-CA"/>
        </w:rPr>
        <w:t>s</w:t>
      </w:r>
      <w:r w:rsidR="007D1BE4" w:rsidRPr="00A23EE3">
        <w:rPr>
          <w:lang w:val="en-CA"/>
        </w:rPr>
        <w:t>. This valuable information allow</w:t>
      </w:r>
      <w:r>
        <w:rPr>
          <w:lang w:val="en-CA"/>
        </w:rPr>
        <w:t>ed</w:t>
      </w:r>
      <w:r w:rsidR="007D1BE4" w:rsidRPr="00A23EE3">
        <w:rPr>
          <w:lang w:val="en-CA"/>
        </w:rPr>
        <w:t xml:space="preserve"> Hop to charge a 10</w:t>
      </w:r>
      <w:r>
        <w:rPr>
          <w:lang w:val="en-CA"/>
        </w:rPr>
        <w:t xml:space="preserve"> per cent</w:t>
      </w:r>
      <w:r w:rsidR="007D1BE4" w:rsidRPr="00A23EE3">
        <w:rPr>
          <w:lang w:val="en-CA"/>
        </w:rPr>
        <w:t xml:space="preserve"> premium.</w:t>
      </w:r>
    </w:p>
    <w:p w14:paraId="6264ABDD" w14:textId="77777777" w:rsidR="007D1BE4" w:rsidRPr="00A23EE3" w:rsidRDefault="007D1BE4" w:rsidP="007D1BE4">
      <w:pPr>
        <w:pStyle w:val="BodyTextMain"/>
        <w:rPr>
          <w:lang w:val="en-CA"/>
        </w:rPr>
      </w:pPr>
    </w:p>
    <w:p w14:paraId="4B222BBB" w14:textId="2250B091" w:rsidR="007D1BE4" w:rsidRPr="00A23EE3" w:rsidRDefault="007D1BE4" w:rsidP="007D1BE4">
      <w:pPr>
        <w:pStyle w:val="BodyTextMain"/>
        <w:rPr>
          <w:lang w:val="en-CA"/>
        </w:rPr>
      </w:pPr>
      <w:r>
        <w:rPr>
          <w:lang w:val="en-CA"/>
        </w:rPr>
        <w:t xml:space="preserve">Perry continued to review the past </w:t>
      </w:r>
      <w:r w:rsidRPr="00B24C4A">
        <w:rPr>
          <w:lang w:val="en-CA"/>
        </w:rPr>
        <w:t>year’s</w:t>
      </w:r>
      <w:r>
        <w:rPr>
          <w:lang w:val="en-CA"/>
        </w:rPr>
        <w:t xml:space="preserve"> financial statements and focused on </w:t>
      </w:r>
      <w:r w:rsidRPr="00A23EE3">
        <w:rPr>
          <w:lang w:val="en-CA"/>
        </w:rPr>
        <w:t>Hop</w:t>
      </w:r>
      <w:r>
        <w:rPr>
          <w:lang w:val="en-CA"/>
        </w:rPr>
        <w:t>’s</w:t>
      </w:r>
      <w:r w:rsidRPr="00A23EE3">
        <w:rPr>
          <w:lang w:val="en-CA"/>
        </w:rPr>
        <w:t xml:space="preserve"> </w:t>
      </w:r>
      <w:r>
        <w:rPr>
          <w:lang w:val="en-CA"/>
        </w:rPr>
        <w:t xml:space="preserve">three revenue streams. </w:t>
      </w:r>
      <w:r w:rsidRPr="00A23EE3">
        <w:rPr>
          <w:lang w:val="en-CA"/>
        </w:rPr>
        <w:t>First, Hop provide</w:t>
      </w:r>
      <w:r>
        <w:rPr>
          <w:lang w:val="en-CA"/>
        </w:rPr>
        <w:t>d</w:t>
      </w:r>
      <w:r w:rsidRPr="00A23EE3">
        <w:rPr>
          <w:lang w:val="en-CA"/>
        </w:rPr>
        <w:t xml:space="preserve"> a pick-up service of </w:t>
      </w:r>
      <w:r>
        <w:rPr>
          <w:lang w:val="en-CA"/>
        </w:rPr>
        <w:t xml:space="preserve">organic </w:t>
      </w:r>
      <w:r w:rsidRPr="00A23EE3">
        <w:rPr>
          <w:lang w:val="en-CA"/>
        </w:rPr>
        <w:t>food waste f</w:t>
      </w:r>
      <w:r>
        <w:rPr>
          <w:lang w:val="en-CA"/>
        </w:rPr>
        <w:t>rom</w:t>
      </w:r>
      <w:r w:rsidRPr="00A23EE3">
        <w:rPr>
          <w:lang w:val="en-CA"/>
        </w:rPr>
        <w:t xml:space="preserve"> local food merchants </w:t>
      </w:r>
      <w:r>
        <w:rPr>
          <w:lang w:val="en-CA"/>
        </w:rPr>
        <w:t>for disposal.</w:t>
      </w:r>
      <w:r w:rsidRPr="00A23EE3">
        <w:rPr>
          <w:lang w:val="en-CA"/>
        </w:rPr>
        <w:t xml:space="preserve"> The service </w:t>
      </w:r>
      <w:r>
        <w:rPr>
          <w:lang w:val="en-CA"/>
        </w:rPr>
        <w:t>wa</w:t>
      </w:r>
      <w:r w:rsidRPr="00A23EE3">
        <w:rPr>
          <w:lang w:val="en-CA"/>
        </w:rPr>
        <w:t xml:space="preserve">s </w:t>
      </w:r>
      <w:r>
        <w:rPr>
          <w:lang w:val="en-CA"/>
        </w:rPr>
        <w:t xml:space="preserve">provided </w:t>
      </w:r>
      <w:r w:rsidRPr="00A23EE3">
        <w:rPr>
          <w:lang w:val="en-CA"/>
        </w:rPr>
        <w:t>on a contractual basis to help mitigate client turnover. Second, Hop distribute</w:t>
      </w:r>
      <w:r>
        <w:rPr>
          <w:lang w:val="en-CA"/>
        </w:rPr>
        <w:t>d</w:t>
      </w:r>
      <w:r w:rsidRPr="00A23EE3">
        <w:rPr>
          <w:lang w:val="en-CA"/>
        </w:rPr>
        <w:t xml:space="preserve"> the </w:t>
      </w:r>
      <w:r w:rsidRPr="00A23EE3">
        <w:rPr>
          <w:lang w:val="en-CA"/>
        </w:rPr>
        <w:lastRenderedPageBreak/>
        <w:t>highest quality fertilizer to local growers, organic farms, and home garden</w:t>
      </w:r>
      <w:r>
        <w:rPr>
          <w:lang w:val="en-CA"/>
        </w:rPr>
        <w:t xml:space="preserve"> stores</w:t>
      </w:r>
      <w:r w:rsidRPr="00A23EE3">
        <w:rPr>
          <w:lang w:val="en-CA"/>
        </w:rPr>
        <w:t xml:space="preserve">. Third, due to the large scale of GHG reduction created through Hop’s operations, Hop </w:t>
      </w:r>
      <w:r>
        <w:rPr>
          <w:lang w:val="en-CA"/>
        </w:rPr>
        <w:t>sold</w:t>
      </w:r>
      <w:r w:rsidRPr="00A23EE3">
        <w:rPr>
          <w:lang w:val="en-CA"/>
        </w:rPr>
        <w:t xml:space="preserve"> carbon credits</w:t>
      </w:r>
      <w:r w:rsidR="00684995">
        <w:rPr>
          <w:lang w:val="en-CA"/>
        </w:rPr>
        <w:t xml:space="preserve"> under Alberta’s cap and trade system</w:t>
      </w:r>
      <w:r w:rsidRPr="00A23EE3">
        <w:rPr>
          <w:lang w:val="en-CA"/>
        </w:rPr>
        <w:t xml:space="preserve"> to energy companies such as Suncor</w:t>
      </w:r>
      <w:r w:rsidR="00B95E20">
        <w:rPr>
          <w:lang w:val="en-CA"/>
        </w:rPr>
        <w:t xml:space="preserve"> Energy, an Alberta oil </w:t>
      </w:r>
      <w:r>
        <w:rPr>
          <w:lang w:val="en-CA"/>
        </w:rPr>
        <w:t>sands developer</w:t>
      </w:r>
      <w:r w:rsidR="00013E05">
        <w:rPr>
          <w:lang w:val="en-CA"/>
        </w:rPr>
        <w:t>.</w:t>
      </w:r>
      <w:r w:rsidR="00684995">
        <w:rPr>
          <w:rStyle w:val="FootnoteReference"/>
          <w:lang w:val="en-CA"/>
        </w:rPr>
        <w:footnoteReference w:id="10"/>
      </w:r>
      <w:r w:rsidRPr="00A23EE3">
        <w:rPr>
          <w:lang w:val="en-CA"/>
        </w:rPr>
        <w:t xml:space="preserve"> This third revenue stream </w:t>
      </w:r>
      <w:r>
        <w:rPr>
          <w:lang w:val="en-CA"/>
        </w:rPr>
        <w:t>was</w:t>
      </w:r>
      <w:r w:rsidRPr="00A23EE3">
        <w:rPr>
          <w:lang w:val="en-CA"/>
        </w:rPr>
        <w:t xml:space="preserve"> extremely lucrative for Hop because </w:t>
      </w:r>
      <w:r w:rsidR="00ED6838">
        <w:rPr>
          <w:lang w:val="en-CA"/>
        </w:rPr>
        <w:t xml:space="preserve">its </w:t>
      </w:r>
      <w:r w:rsidRPr="00A23EE3">
        <w:rPr>
          <w:lang w:val="en-CA"/>
        </w:rPr>
        <w:t>day-to-day operations deal</w:t>
      </w:r>
      <w:r>
        <w:rPr>
          <w:lang w:val="en-CA"/>
        </w:rPr>
        <w:t>t</w:t>
      </w:r>
      <w:r w:rsidRPr="00A23EE3">
        <w:rPr>
          <w:lang w:val="en-CA"/>
        </w:rPr>
        <w:t xml:space="preserve"> with the diversion of food waste</w:t>
      </w:r>
      <w:r w:rsidR="00ED6838">
        <w:rPr>
          <w:lang w:val="en-CA"/>
        </w:rPr>
        <w:t xml:space="preserve"> that</w:t>
      </w:r>
      <w:r w:rsidRPr="00A23EE3">
        <w:rPr>
          <w:lang w:val="en-CA"/>
        </w:rPr>
        <w:t xml:space="preserve"> create</w:t>
      </w:r>
      <w:r>
        <w:rPr>
          <w:lang w:val="en-CA"/>
        </w:rPr>
        <w:t>d</w:t>
      </w:r>
      <w:r w:rsidRPr="00A23EE3">
        <w:rPr>
          <w:lang w:val="en-CA"/>
        </w:rPr>
        <w:t xml:space="preserve"> methane. Methane </w:t>
      </w:r>
      <w:r>
        <w:rPr>
          <w:lang w:val="en-CA"/>
        </w:rPr>
        <w:t>contribute</w:t>
      </w:r>
      <w:r w:rsidR="00ED6838">
        <w:rPr>
          <w:lang w:val="en-CA"/>
        </w:rPr>
        <w:t>d</w:t>
      </w:r>
      <w:r>
        <w:rPr>
          <w:lang w:val="en-CA"/>
        </w:rPr>
        <w:t xml:space="preserve"> 20 to 25 times more</w:t>
      </w:r>
      <w:r w:rsidRPr="00A23EE3">
        <w:rPr>
          <w:lang w:val="en-CA"/>
        </w:rPr>
        <w:t xml:space="preserve"> GHG emissions </w:t>
      </w:r>
      <w:r w:rsidR="00ED6838">
        <w:rPr>
          <w:lang w:val="en-CA"/>
        </w:rPr>
        <w:t>than carbon dioxide</w:t>
      </w:r>
      <w:r w:rsidRPr="00A23EE3">
        <w:rPr>
          <w:lang w:val="en-CA"/>
        </w:rPr>
        <w:t xml:space="preserve"> </w:t>
      </w:r>
      <w:r w:rsidR="00ED6838">
        <w:rPr>
          <w:lang w:val="en-CA"/>
        </w:rPr>
        <w:t>(</w:t>
      </w:r>
      <w:r w:rsidRPr="00A23EE3">
        <w:rPr>
          <w:lang w:val="en-CA"/>
        </w:rPr>
        <w:t>CO</w:t>
      </w:r>
      <w:r w:rsidRPr="00A23EE3">
        <w:rPr>
          <w:vertAlign w:val="subscript"/>
          <w:lang w:val="en-CA"/>
        </w:rPr>
        <w:t>2</w:t>
      </w:r>
      <w:r w:rsidR="00ED6838">
        <w:rPr>
          <w:vertAlign w:val="subscript"/>
          <w:lang w:val="en-CA"/>
        </w:rPr>
        <w:t>)</w:t>
      </w:r>
      <w:r w:rsidR="00013E05">
        <w:rPr>
          <w:vertAlign w:val="subscript"/>
          <w:lang w:val="en-CA"/>
        </w:rPr>
        <w:t>.</w:t>
      </w:r>
      <w:r w:rsidR="00684995">
        <w:rPr>
          <w:rStyle w:val="FootnoteReference"/>
          <w:lang w:val="en-CA"/>
        </w:rPr>
        <w:footnoteReference w:id="11"/>
      </w:r>
      <w:r w:rsidRPr="00A23EE3">
        <w:rPr>
          <w:lang w:val="en-CA"/>
        </w:rPr>
        <w:t xml:space="preserve"> In </w:t>
      </w:r>
      <w:r w:rsidR="00ED6838">
        <w:rPr>
          <w:lang w:val="en-CA"/>
        </w:rPr>
        <w:t>Albert</w:t>
      </w:r>
      <w:r w:rsidR="00914E48">
        <w:rPr>
          <w:lang w:val="en-CA"/>
        </w:rPr>
        <w:t>a</w:t>
      </w:r>
      <w:r w:rsidR="00ED6838">
        <w:rPr>
          <w:lang w:val="en-CA"/>
        </w:rPr>
        <w:t>’s</w:t>
      </w:r>
      <w:r w:rsidR="00ED6838" w:rsidRPr="00A23EE3">
        <w:rPr>
          <w:lang w:val="en-CA"/>
        </w:rPr>
        <w:t xml:space="preserve"> </w:t>
      </w:r>
      <w:r w:rsidRPr="00A23EE3">
        <w:rPr>
          <w:lang w:val="en-CA"/>
        </w:rPr>
        <w:t>carbon credit market</w:t>
      </w:r>
      <w:r w:rsidR="00ED6838">
        <w:rPr>
          <w:lang w:val="en-CA"/>
        </w:rPr>
        <w:t>,</w:t>
      </w:r>
      <w:r w:rsidRPr="00A23EE3">
        <w:rPr>
          <w:lang w:val="en-CA"/>
        </w:rPr>
        <w:t xml:space="preserve"> Hop </w:t>
      </w:r>
      <w:r w:rsidR="00ED6838">
        <w:rPr>
          <w:lang w:val="en-CA"/>
        </w:rPr>
        <w:t>could</w:t>
      </w:r>
      <w:r w:rsidR="00ED6838" w:rsidRPr="00A23EE3">
        <w:rPr>
          <w:lang w:val="en-CA"/>
        </w:rPr>
        <w:t xml:space="preserve"> </w:t>
      </w:r>
      <w:r w:rsidRPr="00A23EE3">
        <w:rPr>
          <w:lang w:val="en-CA"/>
        </w:rPr>
        <w:t xml:space="preserve">sell 30 tonnes </w:t>
      </w:r>
      <w:r w:rsidR="00ED6838">
        <w:rPr>
          <w:lang w:val="en-CA"/>
        </w:rPr>
        <w:t xml:space="preserve">of credit </w:t>
      </w:r>
      <w:r w:rsidRPr="00A23EE3">
        <w:rPr>
          <w:lang w:val="en-CA"/>
        </w:rPr>
        <w:t>for $60,00</w:t>
      </w:r>
      <w:r>
        <w:rPr>
          <w:lang w:val="en-CA"/>
        </w:rPr>
        <w:t xml:space="preserve">0. </w:t>
      </w:r>
      <w:r w:rsidRPr="00A23EE3">
        <w:rPr>
          <w:lang w:val="en-CA"/>
        </w:rPr>
        <w:t xml:space="preserve">Hop </w:t>
      </w:r>
      <w:r>
        <w:rPr>
          <w:lang w:val="en-CA"/>
        </w:rPr>
        <w:t>was</w:t>
      </w:r>
      <w:r w:rsidRPr="00A23EE3">
        <w:rPr>
          <w:lang w:val="en-CA"/>
        </w:rPr>
        <w:t xml:space="preserve"> </w:t>
      </w:r>
      <w:r>
        <w:rPr>
          <w:lang w:val="en-CA"/>
        </w:rPr>
        <w:t xml:space="preserve">predicted to divert 70 tonnes </w:t>
      </w:r>
      <w:r w:rsidR="00ED6838">
        <w:rPr>
          <w:lang w:val="en-CA"/>
        </w:rPr>
        <w:t>by the</w:t>
      </w:r>
      <w:r w:rsidR="00CC6CFA">
        <w:rPr>
          <w:lang w:val="en-CA"/>
        </w:rPr>
        <w:t xml:space="preserve"> end</w:t>
      </w:r>
      <w:r w:rsidR="00ED6838">
        <w:rPr>
          <w:lang w:val="en-CA"/>
        </w:rPr>
        <w:t xml:space="preserve"> of </w:t>
      </w:r>
      <w:r w:rsidR="003A199A">
        <w:rPr>
          <w:lang w:val="en-CA"/>
        </w:rPr>
        <w:t>2017</w:t>
      </w:r>
      <w:r>
        <w:rPr>
          <w:lang w:val="en-CA"/>
        </w:rPr>
        <w:t>.</w:t>
      </w:r>
    </w:p>
    <w:p w14:paraId="78F474BB" w14:textId="77777777" w:rsidR="007D1BE4" w:rsidRPr="00A23EE3" w:rsidRDefault="007D1BE4" w:rsidP="007D1BE4">
      <w:pPr>
        <w:pStyle w:val="BodyTextMain"/>
        <w:rPr>
          <w:lang w:val="en-CA"/>
        </w:rPr>
      </w:pPr>
    </w:p>
    <w:p w14:paraId="552F14EE" w14:textId="5273F511" w:rsidR="007D1BE4" w:rsidRPr="006F4736" w:rsidRDefault="00B7565E" w:rsidP="007D1BE4">
      <w:pPr>
        <w:pStyle w:val="BodyTextMain"/>
        <w:rPr>
          <w:spacing w:val="-2"/>
          <w:lang w:val="en-CA"/>
        </w:rPr>
      </w:pPr>
      <w:r w:rsidRPr="006F4736">
        <w:rPr>
          <w:spacing w:val="-2"/>
          <w:lang w:val="en-CA"/>
        </w:rPr>
        <w:t>Still, d</w:t>
      </w:r>
      <w:r w:rsidR="007D1BE4" w:rsidRPr="006F4736">
        <w:rPr>
          <w:spacing w:val="-2"/>
          <w:lang w:val="en-CA"/>
        </w:rPr>
        <w:t>espite three stable revenue streams</w:t>
      </w:r>
      <w:r w:rsidRPr="006F4736">
        <w:rPr>
          <w:spacing w:val="-2"/>
          <w:lang w:val="en-CA"/>
        </w:rPr>
        <w:t xml:space="preserve"> and </w:t>
      </w:r>
      <w:r w:rsidR="007D1BE4" w:rsidRPr="006F4736">
        <w:rPr>
          <w:spacing w:val="-2"/>
          <w:lang w:val="en-CA"/>
        </w:rPr>
        <w:t xml:space="preserve">a stable historical performance, Perry </w:t>
      </w:r>
      <w:r w:rsidRPr="006F4736">
        <w:rPr>
          <w:spacing w:val="-2"/>
          <w:lang w:val="en-CA"/>
        </w:rPr>
        <w:t xml:space="preserve">was </w:t>
      </w:r>
      <w:r w:rsidR="007D1BE4" w:rsidRPr="006F4736">
        <w:rPr>
          <w:spacing w:val="-2"/>
          <w:lang w:val="en-CA"/>
        </w:rPr>
        <w:t xml:space="preserve">at a loss </w:t>
      </w:r>
      <w:r w:rsidR="000941B2" w:rsidRPr="006F4736">
        <w:rPr>
          <w:spacing w:val="-2"/>
          <w:lang w:val="en-CA"/>
        </w:rPr>
        <w:t xml:space="preserve">with </w:t>
      </w:r>
      <w:r w:rsidR="007D1BE4" w:rsidRPr="006F4736">
        <w:rPr>
          <w:spacing w:val="-2"/>
          <w:lang w:val="en-CA"/>
        </w:rPr>
        <w:t>how to value Hop’s positive externalities</w:t>
      </w:r>
      <w:r w:rsidR="000941B2" w:rsidRPr="006F4736">
        <w:rPr>
          <w:spacing w:val="-2"/>
          <w:lang w:val="en-CA"/>
        </w:rPr>
        <w:t>.</w:t>
      </w:r>
      <w:r w:rsidR="007D1BE4" w:rsidRPr="006F4736">
        <w:rPr>
          <w:spacing w:val="-2"/>
          <w:lang w:val="en-CA"/>
        </w:rPr>
        <w:t xml:space="preserve"> </w:t>
      </w:r>
      <w:r w:rsidR="000941B2" w:rsidRPr="006F4736">
        <w:rPr>
          <w:spacing w:val="-2"/>
          <w:lang w:val="en-CA"/>
        </w:rPr>
        <w:t>I</w:t>
      </w:r>
      <w:r w:rsidR="007D1BE4" w:rsidRPr="006F4736">
        <w:rPr>
          <w:spacing w:val="-2"/>
          <w:lang w:val="en-CA"/>
        </w:rPr>
        <w:t>t was imperative to incorporate these into Hop’s valuation for investors.</w:t>
      </w:r>
    </w:p>
    <w:p w14:paraId="0A42D6FD" w14:textId="77777777" w:rsidR="007D1BE4" w:rsidRPr="00CC6CFA" w:rsidRDefault="007D1BE4" w:rsidP="00CC6CFA">
      <w:pPr>
        <w:pStyle w:val="BodyTextMain"/>
        <w:rPr>
          <w:lang w:val="en-CA"/>
        </w:rPr>
      </w:pPr>
    </w:p>
    <w:p w14:paraId="413E6A4C" w14:textId="77777777" w:rsidR="007D1BE4" w:rsidRPr="00CC6CFA" w:rsidRDefault="007D1BE4" w:rsidP="00CC6CFA">
      <w:pPr>
        <w:pStyle w:val="BodyTextMain"/>
        <w:rPr>
          <w:lang w:val="en-CA"/>
        </w:rPr>
      </w:pPr>
    </w:p>
    <w:p w14:paraId="1280BCE7" w14:textId="77777777" w:rsidR="007D1BE4" w:rsidRPr="00D760E1" w:rsidRDefault="007D1BE4" w:rsidP="00CC6CFA">
      <w:pPr>
        <w:pStyle w:val="Casehead1"/>
        <w:outlineLvl w:val="0"/>
      </w:pPr>
      <w:r w:rsidRPr="00D760E1">
        <w:t>The Future of Hop</w:t>
      </w:r>
      <w:r>
        <w:t>: B Corp and Investor Decisions</w:t>
      </w:r>
    </w:p>
    <w:p w14:paraId="6FDBB4D8" w14:textId="77777777" w:rsidR="007D1BE4" w:rsidRPr="00CC6CFA" w:rsidRDefault="007D1BE4" w:rsidP="00CC6CFA">
      <w:pPr>
        <w:pStyle w:val="BodyTextMain"/>
        <w:keepNext/>
      </w:pPr>
    </w:p>
    <w:p w14:paraId="5AB5B4E2" w14:textId="3D92BE81" w:rsidR="007D1BE4" w:rsidRPr="009A1825" w:rsidRDefault="007D1BE4" w:rsidP="007D1BE4">
      <w:pPr>
        <w:pStyle w:val="BodyTextMain"/>
      </w:pPr>
      <w:r>
        <w:t xml:space="preserve">Davies and Perry were focused on two major decisions that would impact </w:t>
      </w:r>
      <w:r w:rsidR="000941B2">
        <w:t xml:space="preserve">Hop’s </w:t>
      </w:r>
      <w:r>
        <w:t xml:space="preserve">future. Davies </w:t>
      </w:r>
      <w:r w:rsidRPr="009A1825">
        <w:t>th</w:t>
      </w:r>
      <w:r>
        <w:t xml:space="preserve">ought about </w:t>
      </w:r>
      <w:r w:rsidRPr="009A1825">
        <w:t>where he</w:t>
      </w:r>
      <w:r>
        <w:t xml:space="preserve">’d like to </w:t>
      </w:r>
      <w:r w:rsidRPr="009A1825">
        <w:t xml:space="preserve">see Hop going </w:t>
      </w:r>
      <w:r w:rsidR="000941B2">
        <w:t>over</w:t>
      </w:r>
      <w:r w:rsidR="000941B2" w:rsidRPr="009A1825">
        <w:t xml:space="preserve"> </w:t>
      </w:r>
      <w:r w:rsidRPr="009A1825">
        <w:t xml:space="preserve">the years. Ideally, he </w:t>
      </w:r>
      <w:r>
        <w:t>saw</w:t>
      </w:r>
      <w:r w:rsidRPr="009A1825">
        <w:t xml:space="preserve"> Hop moving into every major North American city</w:t>
      </w:r>
      <w:r w:rsidR="000941B2">
        <w:t>, providing</w:t>
      </w:r>
      <w:r w:rsidRPr="009A1825">
        <w:t xml:space="preserve"> a functional</w:t>
      </w:r>
      <w:r w:rsidR="000941B2">
        <w:t>,</w:t>
      </w:r>
      <w:r w:rsidRPr="009A1825">
        <w:t xml:space="preserve"> </w:t>
      </w:r>
      <w:r w:rsidRPr="006011D4">
        <w:t xml:space="preserve">closed-loop food cycle for thousands of restaurants. Davies was counting on </w:t>
      </w:r>
      <w:r w:rsidR="000941B2" w:rsidRPr="006011D4">
        <w:t xml:space="preserve">an </w:t>
      </w:r>
      <w:r w:rsidRPr="006011D4">
        <w:t xml:space="preserve">acquisition or going public </w:t>
      </w:r>
      <w:r w:rsidR="00C66AD0" w:rsidRPr="006011D4">
        <w:t xml:space="preserve">by </w:t>
      </w:r>
      <w:r w:rsidR="00C358FB" w:rsidRPr="006011D4">
        <w:t>2020</w:t>
      </w:r>
      <w:r w:rsidRPr="006011D4">
        <w:t>.</w:t>
      </w:r>
    </w:p>
    <w:p w14:paraId="07E92A08" w14:textId="77777777" w:rsidR="007D1BE4" w:rsidRPr="00D7534D" w:rsidRDefault="007D1BE4" w:rsidP="007D1BE4">
      <w:pPr>
        <w:pStyle w:val="BodyTextMain"/>
      </w:pPr>
    </w:p>
    <w:p w14:paraId="16FE25EA" w14:textId="69FACA9F" w:rsidR="007D1BE4" w:rsidRDefault="007D1BE4" w:rsidP="007D1BE4">
      <w:pPr>
        <w:pStyle w:val="BodyTextMain"/>
        <w:rPr>
          <w:color w:val="000000" w:themeColor="text1"/>
        </w:rPr>
      </w:pPr>
      <w:r>
        <w:rPr>
          <w:color w:val="000000" w:themeColor="text1"/>
        </w:rPr>
        <w:t>Davies</w:t>
      </w:r>
      <w:r w:rsidRPr="008C4144">
        <w:rPr>
          <w:color w:val="000000" w:themeColor="text1"/>
        </w:rPr>
        <w:t xml:space="preserve"> had seen his business start as a simple idea, and </w:t>
      </w:r>
      <w:r>
        <w:rPr>
          <w:color w:val="000000" w:themeColor="text1"/>
        </w:rPr>
        <w:t xml:space="preserve">despite </w:t>
      </w:r>
      <w:r w:rsidRPr="008C4144">
        <w:rPr>
          <w:color w:val="000000" w:themeColor="text1"/>
        </w:rPr>
        <w:t>many challenges along the way</w:t>
      </w:r>
      <w:r>
        <w:rPr>
          <w:color w:val="000000" w:themeColor="text1"/>
        </w:rPr>
        <w:t>,</w:t>
      </w:r>
      <w:r w:rsidRPr="008C4144">
        <w:rPr>
          <w:color w:val="000000" w:themeColor="text1"/>
        </w:rPr>
        <w:t xml:space="preserve"> he </w:t>
      </w:r>
      <w:r w:rsidR="000941B2">
        <w:rPr>
          <w:color w:val="000000" w:themeColor="text1"/>
        </w:rPr>
        <w:t>had grown</w:t>
      </w:r>
      <w:r w:rsidR="000941B2" w:rsidRPr="008C4144">
        <w:rPr>
          <w:color w:val="000000" w:themeColor="text1"/>
        </w:rPr>
        <w:t xml:space="preserve"> </w:t>
      </w:r>
      <w:r w:rsidRPr="008C4144">
        <w:rPr>
          <w:color w:val="000000" w:themeColor="text1"/>
        </w:rPr>
        <w:t xml:space="preserve">it into a </w:t>
      </w:r>
      <w:r>
        <w:rPr>
          <w:color w:val="000000" w:themeColor="text1"/>
        </w:rPr>
        <w:t xml:space="preserve">scalable </w:t>
      </w:r>
      <w:r w:rsidRPr="008C4144">
        <w:rPr>
          <w:color w:val="000000" w:themeColor="text1"/>
        </w:rPr>
        <w:t>company</w:t>
      </w:r>
      <w:r>
        <w:rPr>
          <w:color w:val="000000" w:themeColor="text1"/>
        </w:rPr>
        <w:t xml:space="preserve"> </w:t>
      </w:r>
      <w:r w:rsidR="000941B2">
        <w:rPr>
          <w:color w:val="000000" w:themeColor="text1"/>
        </w:rPr>
        <w:t>with</w:t>
      </w:r>
      <w:r>
        <w:rPr>
          <w:color w:val="000000" w:themeColor="text1"/>
        </w:rPr>
        <w:t xml:space="preserve"> care for the environment </w:t>
      </w:r>
      <w:r w:rsidR="000941B2">
        <w:rPr>
          <w:color w:val="000000" w:themeColor="text1"/>
        </w:rPr>
        <w:t xml:space="preserve">at </w:t>
      </w:r>
      <w:r>
        <w:rPr>
          <w:color w:val="000000" w:themeColor="text1"/>
        </w:rPr>
        <w:t xml:space="preserve">the </w:t>
      </w:r>
      <w:r w:rsidR="00B95E20">
        <w:rPr>
          <w:color w:val="000000" w:themeColor="text1"/>
        </w:rPr>
        <w:t>centre</w:t>
      </w:r>
      <w:r>
        <w:rPr>
          <w:color w:val="000000" w:themeColor="text1"/>
        </w:rPr>
        <w:t xml:space="preserve"> of its mission</w:t>
      </w:r>
      <w:r w:rsidRPr="008C4144">
        <w:rPr>
          <w:color w:val="000000" w:themeColor="text1"/>
        </w:rPr>
        <w:t xml:space="preserve">. </w:t>
      </w:r>
      <w:r>
        <w:rPr>
          <w:color w:val="000000" w:themeColor="text1"/>
        </w:rPr>
        <w:t xml:space="preserve">Davies worried that </w:t>
      </w:r>
      <w:r w:rsidR="000941B2">
        <w:rPr>
          <w:color w:val="000000" w:themeColor="text1"/>
        </w:rPr>
        <w:t xml:space="preserve">as the company grew, </w:t>
      </w:r>
      <w:r>
        <w:rPr>
          <w:color w:val="000000" w:themeColor="text1"/>
        </w:rPr>
        <w:t>the mission would be dissolved and replaced with only financial return on investment guiding the decision-making process.</w:t>
      </w:r>
      <w:r w:rsidR="00903B38">
        <w:rPr>
          <w:color w:val="000000" w:themeColor="text1"/>
        </w:rPr>
        <w:t xml:space="preserve"> </w:t>
      </w:r>
      <w:r>
        <w:rPr>
          <w:color w:val="000000" w:themeColor="text1"/>
        </w:rPr>
        <w:t>He struggled with how to best maintain the mission while hiring and training new staff, opening a second location, and raising the next round of investment.</w:t>
      </w:r>
    </w:p>
    <w:p w14:paraId="2F012D8B" w14:textId="77777777" w:rsidR="007D1BE4" w:rsidRDefault="007D1BE4" w:rsidP="007D1BE4">
      <w:pPr>
        <w:pStyle w:val="BodyTextMain"/>
        <w:rPr>
          <w:color w:val="000000" w:themeColor="text1"/>
        </w:rPr>
      </w:pPr>
    </w:p>
    <w:p w14:paraId="5B3CF56D" w14:textId="41AE8827" w:rsidR="007D1BE4" w:rsidRDefault="007D1BE4" w:rsidP="007D1BE4">
      <w:pPr>
        <w:pStyle w:val="BodyTextMain"/>
        <w:rPr>
          <w:color w:val="000000" w:themeColor="text1"/>
        </w:rPr>
      </w:pPr>
      <w:r>
        <w:rPr>
          <w:color w:val="000000" w:themeColor="text1"/>
        </w:rPr>
        <w:t>Davies did</w:t>
      </w:r>
      <w:r w:rsidR="000941B2">
        <w:rPr>
          <w:color w:val="000000" w:themeColor="text1"/>
        </w:rPr>
        <w:t xml:space="preserve"> </w:t>
      </w:r>
      <w:r>
        <w:rPr>
          <w:color w:val="000000" w:themeColor="text1"/>
        </w:rPr>
        <w:t>n</w:t>
      </w:r>
      <w:r w:rsidR="000941B2">
        <w:rPr>
          <w:color w:val="000000" w:themeColor="text1"/>
        </w:rPr>
        <w:t>o</w:t>
      </w:r>
      <w:r>
        <w:rPr>
          <w:color w:val="000000" w:themeColor="text1"/>
        </w:rPr>
        <w:t>t</w:t>
      </w:r>
      <w:r w:rsidRPr="008C4144">
        <w:rPr>
          <w:color w:val="000000" w:themeColor="text1"/>
        </w:rPr>
        <w:t xml:space="preserve"> know what </w:t>
      </w:r>
      <w:r>
        <w:rPr>
          <w:color w:val="000000" w:themeColor="text1"/>
        </w:rPr>
        <w:t>was</w:t>
      </w:r>
      <w:r w:rsidRPr="008C4144">
        <w:rPr>
          <w:color w:val="000000" w:themeColor="text1"/>
        </w:rPr>
        <w:t xml:space="preserve"> best. B Corp </w:t>
      </w:r>
      <w:r w:rsidR="000941B2">
        <w:rPr>
          <w:color w:val="000000" w:themeColor="text1"/>
        </w:rPr>
        <w:t>c</w:t>
      </w:r>
      <w:r w:rsidRPr="008C4144">
        <w:rPr>
          <w:color w:val="000000" w:themeColor="text1"/>
        </w:rPr>
        <w:t xml:space="preserve">ertification </w:t>
      </w:r>
      <w:r>
        <w:rPr>
          <w:color w:val="000000" w:themeColor="text1"/>
        </w:rPr>
        <w:t>would</w:t>
      </w:r>
      <w:r w:rsidRPr="008C4144">
        <w:rPr>
          <w:color w:val="000000" w:themeColor="text1"/>
        </w:rPr>
        <w:t xml:space="preserve"> establish accountability</w:t>
      </w:r>
      <w:r w:rsidR="00914E48">
        <w:rPr>
          <w:color w:val="000000" w:themeColor="text1"/>
        </w:rPr>
        <w:t>. I</w:t>
      </w:r>
      <w:r w:rsidR="000941B2">
        <w:rPr>
          <w:color w:val="000000" w:themeColor="text1"/>
        </w:rPr>
        <w:t xml:space="preserve">t </w:t>
      </w:r>
      <w:r>
        <w:rPr>
          <w:color w:val="000000" w:themeColor="text1"/>
        </w:rPr>
        <w:t xml:space="preserve">could </w:t>
      </w:r>
      <w:r w:rsidRPr="008C4144">
        <w:rPr>
          <w:color w:val="000000" w:themeColor="text1"/>
        </w:rPr>
        <w:t>create an advantageous network</w:t>
      </w:r>
      <w:r w:rsidR="000941B2">
        <w:rPr>
          <w:color w:val="000000" w:themeColor="text1"/>
        </w:rPr>
        <w:t xml:space="preserve"> and</w:t>
      </w:r>
      <w:r w:rsidRPr="008C4144">
        <w:rPr>
          <w:color w:val="000000" w:themeColor="text1"/>
        </w:rPr>
        <w:t xml:space="preserve"> help market </w:t>
      </w:r>
      <w:r>
        <w:rPr>
          <w:color w:val="000000" w:themeColor="text1"/>
        </w:rPr>
        <w:t xml:space="preserve">Hop’s services and </w:t>
      </w:r>
      <w:r w:rsidRPr="008C4144">
        <w:rPr>
          <w:color w:val="000000" w:themeColor="text1"/>
        </w:rPr>
        <w:t xml:space="preserve">product to knowledgeable consumers. </w:t>
      </w:r>
      <w:r>
        <w:rPr>
          <w:color w:val="000000" w:themeColor="text1"/>
        </w:rPr>
        <w:t xml:space="preserve">He conceded that </w:t>
      </w:r>
      <w:r w:rsidRPr="008C4144">
        <w:rPr>
          <w:color w:val="000000" w:themeColor="text1"/>
        </w:rPr>
        <w:t xml:space="preserve">most Canadians </w:t>
      </w:r>
      <w:r w:rsidR="000941B2">
        <w:rPr>
          <w:color w:val="000000" w:themeColor="text1"/>
        </w:rPr>
        <w:t>did not know</w:t>
      </w:r>
      <w:r w:rsidR="000941B2" w:rsidRPr="008C4144">
        <w:rPr>
          <w:color w:val="000000" w:themeColor="text1"/>
        </w:rPr>
        <w:t xml:space="preserve"> </w:t>
      </w:r>
      <w:r>
        <w:rPr>
          <w:color w:val="000000" w:themeColor="text1"/>
        </w:rPr>
        <w:t>about B Corps</w:t>
      </w:r>
      <w:r w:rsidRPr="008C4144">
        <w:rPr>
          <w:color w:val="000000" w:themeColor="text1"/>
        </w:rPr>
        <w:t>, and the time and expense put into certifying m</w:t>
      </w:r>
      <w:r>
        <w:rPr>
          <w:color w:val="000000" w:themeColor="text1"/>
        </w:rPr>
        <w:t>ight</w:t>
      </w:r>
      <w:r w:rsidRPr="008C4144">
        <w:rPr>
          <w:color w:val="000000" w:themeColor="text1"/>
        </w:rPr>
        <w:t xml:space="preserve"> be better used for expansion and magnifying </w:t>
      </w:r>
      <w:r>
        <w:rPr>
          <w:color w:val="000000" w:themeColor="text1"/>
        </w:rPr>
        <w:t>Hop’s</w:t>
      </w:r>
      <w:r w:rsidRPr="008C4144">
        <w:rPr>
          <w:color w:val="000000" w:themeColor="text1"/>
        </w:rPr>
        <w:t xml:space="preserve"> environmental impact.</w:t>
      </w:r>
      <w:r>
        <w:rPr>
          <w:color w:val="000000" w:themeColor="text1"/>
        </w:rPr>
        <w:t xml:space="preserve"> Davies was </w:t>
      </w:r>
      <w:r w:rsidRPr="008C4144">
        <w:rPr>
          <w:color w:val="000000" w:themeColor="text1"/>
        </w:rPr>
        <w:t xml:space="preserve">at a crossroads, and his trusted </w:t>
      </w:r>
      <w:r w:rsidR="000F3B93">
        <w:rPr>
          <w:color w:val="000000" w:themeColor="text1"/>
        </w:rPr>
        <w:t>b</w:t>
      </w:r>
      <w:r w:rsidRPr="008C4144">
        <w:rPr>
          <w:color w:val="000000" w:themeColor="text1"/>
        </w:rPr>
        <w:t xml:space="preserve">oard of </w:t>
      </w:r>
      <w:r w:rsidR="000F3B93">
        <w:rPr>
          <w:color w:val="000000" w:themeColor="text1"/>
        </w:rPr>
        <w:t>d</w:t>
      </w:r>
      <w:r w:rsidRPr="008C4144">
        <w:rPr>
          <w:color w:val="000000" w:themeColor="text1"/>
        </w:rPr>
        <w:t>irectors seem</w:t>
      </w:r>
      <w:r w:rsidR="000F3B93">
        <w:rPr>
          <w:color w:val="000000" w:themeColor="text1"/>
        </w:rPr>
        <w:t>ed</w:t>
      </w:r>
      <w:r w:rsidRPr="008C4144">
        <w:rPr>
          <w:color w:val="000000" w:themeColor="text1"/>
        </w:rPr>
        <w:t xml:space="preserve"> just as conflicted as </w:t>
      </w:r>
      <w:r>
        <w:rPr>
          <w:color w:val="000000" w:themeColor="text1"/>
        </w:rPr>
        <w:t>he was.</w:t>
      </w:r>
    </w:p>
    <w:p w14:paraId="4CA03ED3" w14:textId="77777777" w:rsidR="007D1BE4" w:rsidRDefault="007D1BE4" w:rsidP="007D1BE4">
      <w:pPr>
        <w:pStyle w:val="BodyTextMain"/>
        <w:rPr>
          <w:lang w:val="en-CA"/>
        </w:rPr>
      </w:pPr>
    </w:p>
    <w:p w14:paraId="3A96F188" w14:textId="1B897257" w:rsidR="007D1BE4" w:rsidRPr="00D7534D" w:rsidRDefault="007D1BE4" w:rsidP="007D1BE4">
      <w:pPr>
        <w:pStyle w:val="BodyTextMain"/>
        <w:rPr>
          <w:lang w:val="en-CA"/>
        </w:rPr>
      </w:pPr>
      <w:r>
        <w:rPr>
          <w:lang w:val="en-CA"/>
        </w:rPr>
        <w:t xml:space="preserve">While Davies wrestled with the B Corp </w:t>
      </w:r>
      <w:r w:rsidR="000F3B93">
        <w:rPr>
          <w:lang w:val="en-CA"/>
        </w:rPr>
        <w:t>d</w:t>
      </w:r>
      <w:r>
        <w:rPr>
          <w:lang w:val="en-CA"/>
        </w:rPr>
        <w:t>ecision, Perry knew they faced</w:t>
      </w:r>
      <w:r w:rsidRPr="00A23EE3">
        <w:rPr>
          <w:lang w:val="en-CA"/>
        </w:rPr>
        <w:t xml:space="preserve"> a dilemma</w:t>
      </w:r>
      <w:r>
        <w:rPr>
          <w:lang w:val="en-CA"/>
        </w:rPr>
        <w:t xml:space="preserve"> </w:t>
      </w:r>
      <w:r w:rsidR="000F3B93">
        <w:rPr>
          <w:lang w:val="en-CA"/>
        </w:rPr>
        <w:t xml:space="preserve">with </w:t>
      </w:r>
      <w:r>
        <w:rPr>
          <w:lang w:val="en-CA"/>
        </w:rPr>
        <w:t>how to pitch Hop’s business model to investors. As Perry wrapped up her research on sustainable investing methodologies, she told Davies</w:t>
      </w:r>
      <w:r w:rsidRPr="00A23EE3">
        <w:rPr>
          <w:lang w:val="en-CA"/>
        </w:rPr>
        <w:t xml:space="preserve"> </w:t>
      </w:r>
      <w:r>
        <w:rPr>
          <w:lang w:val="en-CA"/>
        </w:rPr>
        <w:t xml:space="preserve">about the large and growing evidence for </w:t>
      </w:r>
      <w:r w:rsidRPr="00A23EE3">
        <w:rPr>
          <w:lang w:val="en-CA"/>
        </w:rPr>
        <w:t>using a valuation technique that incorporate</w:t>
      </w:r>
      <w:r>
        <w:rPr>
          <w:lang w:val="en-CA"/>
        </w:rPr>
        <w:t>d</w:t>
      </w:r>
      <w:r w:rsidRPr="00A23EE3">
        <w:rPr>
          <w:lang w:val="en-CA"/>
        </w:rPr>
        <w:t xml:space="preserve"> all stakeholders’ concerns through </w:t>
      </w:r>
      <w:r w:rsidRPr="00A23EE3">
        <w:rPr>
          <w:color w:val="000000" w:themeColor="text1"/>
        </w:rPr>
        <w:t>social and environmental positive externalities</w:t>
      </w:r>
      <w:r>
        <w:rPr>
          <w:color w:val="000000" w:themeColor="text1"/>
        </w:rPr>
        <w:t xml:space="preserve">. With </w:t>
      </w:r>
      <w:r w:rsidR="000F3B93">
        <w:rPr>
          <w:color w:val="000000" w:themeColor="text1"/>
        </w:rPr>
        <w:t>i</w:t>
      </w:r>
      <w:r>
        <w:rPr>
          <w:color w:val="000000" w:themeColor="text1"/>
        </w:rPr>
        <w:t xml:space="preserve">nvestor meetings scheduled, Perry and Davies had to decide how </w:t>
      </w:r>
      <w:r w:rsidR="000F3B93">
        <w:rPr>
          <w:color w:val="000000" w:themeColor="text1"/>
        </w:rPr>
        <w:t xml:space="preserve">they would pitch </w:t>
      </w:r>
      <w:r>
        <w:rPr>
          <w:color w:val="000000" w:themeColor="text1"/>
        </w:rPr>
        <w:t>Hop to the</w:t>
      </w:r>
      <w:r w:rsidR="00914E48">
        <w:rPr>
          <w:color w:val="000000" w:themeColor="text1"/>
        </w:rPr>
        <w:t xml:space="preserve"> investors</w:t>
      </w:r>
      <w:r>
        <w:rPr>
          <w:color w:val="000000" w:themeColor="text1"/>
        </w:rPr>
        <w:t>.</w:t>
      </w:r>
    </w:p>
    <w:p w14:paraId="4BBCAFD1" w14:textId="77777777" w:rsidR="007D1BE4" w:rsidRPr="00D93284" w:rsidRDefault="007D1BE4" w:rsidP="00CC6CFA">
      <w:pPr>
        <w:pStyle w:val="BodyTextMain"/>
        <w:rPr>
          <w:vertAlign w:val="subscript"/>
        </w:rPr>
      </w:pPr>
      <w:r>
        <w:rPr>
          <w:vertAlign w:val="subscript"/>
        </w:rPr>
        <w:br w:type="page"/>
      </w:r>
    </w:p>
    <w:p w14:paraId="20B1D4B9" w14:textId="6E94F7D5" w:rsidR="007D1BE4" w:rsidRDefault="007D1BE4" w:rsidP="00CC6CFA">
      <w:pPr>
        <w:pStyle w:val="ExhibitHeading"/>
        <w:outlineLvl w:val="0"/>
      </w:pPr>
      <w:r>
        <w:lastRenderedPageBreak/>
        <w:t>Exhibit 1</w:t>
      </w:r>
      <w:r w:rsidRPr="00D7534D">
        <w:t>:</w:t>
      </w:r>
      <w:r>
        <w:t xml:space="preserve"> Hop C</w:t>
      </w:r>
      <w:r w:rsidRPr="008010BB">
        <w:t>ompost</w:t>
      </w:r>
      <w:r w:rsidR="009B1CDA">
        <w:t>—</w:t>
      </w:r>
      <w:r>
        <w:t>Projected Income Statement</w:t>
      </w:r>
      <w:r w:rsidR="009B1CDA">
        <w:t xml:space="preserve"> for 201</w:t>
      </w:r>
      <w:r w:rsidR="00684995">
        <w:t>6</w:t>
      </w:r>
    </w:p>
    <w:p w14:paraId="613A70FB" w14:textId="77777777" w:rsidR="007D1BE4" w:rsidRPr="00CC6CFA" w:rsidRDefault="007D1BE4" w:rsidP="00013E05">
      <w:pPr>
        <w:pStyle w:val="ExhibitText"/>
      </w:pPr>
    </w:p>
    <w:tbl>
      <w:tblPr>
        <w:tblW w:w="5760" w:type="dxa"/>
        <w:jc w:val="center"/>
        <w:tblLook w:val="04A0" w:firstRow="1" w:lastRow="0" w:firstColumn="1" w:lastColumn="0" w:noHBand="0" w:noVBand="1"/>
      </w:tblPr>
      <w:tblGrid>
        <w:gridCol w:w="4320"/>
        <w:gridCol w:w="1440"/>
      </w:tblGrid>
      <w:tr w:rsidR="007D1BE4" w:rsidRPr="00CF453F" w14:paraId="72C1D6A4" w14:textId="77777777" w:rsidTr="00B83E6B">
        <w:trPr>
          <w:trHeight w:val="288"/>
          <w:jc w:val="center"/>
        </w:trPr>
        <w:tc>
          <w:tcPr>
            <w:tcW w:w="0" w:type="auto"/>
            <w:tcBorders>
              <w:top w:val="nil"/>
              <w:left w:val="nil"/>
              <w:bottom w:val="nil"/>
              <w:right w:val="nil"/>
            </w:tcBorders>
            <w:shd w:val="clear" w:color="auto" w:fill="auto"/>
            <w:noWrap/>
            <w:vAlign w:val="center"/>
            <w:hideMark/>
          </w:tcPr>
          <w:p w14:paraId="05C867D5" w14:textId="77777777" w:rsidR="007D1BE4" w:rsidRPr="00CF453F" w:rsidRDefault="007D1BE4" w:rsidP="009B1CDA">
            <w:pPr>
              <w:pStyle w:val="ExhibitText"/>
              <w:jc w:val="left"/>
              <w:rPr>
                <w:lang w:val="en-CA"/>
              </w:rPr>
            </w:pPr>
          </w:p>
        </w:tc>
        <w:tc>
          <w:tcPr>
            <w:tcW w:w="1440" w:type="dxa"/>
            <w:tcBorders>
              <w:top w:val="nil"/>
              <w:left w:val="nil"/>
              <w:bottom w:val="nil"/>
              <w:right w:val="nil"/>
            </w:tcBorders>
            <w:shd w:val="clear" w:color="auto" w:fill="auto"/>
            <w:noWrap/>
            <w:vAlign w:val="center"/>
            <w:hideMark/>
          </w:tcPr>
          <w:p w14:paraId="7444140B" w14:textId="53779EC4" w:rsidR="007D1BE4" w:rsidRPr="009B1CDA" w:rsidRDefault="009B1CDA" w:rsidP="00B83E6B">
            <w:pPr>
              <w:pStyle w:val="ExhibitText"/>
              <w:jc w:val="right"/>
              <w:rPr>
                <w:b/>
                <w:lang w:val="en-CA"/>
              </w:rPr>
            </w:pPr>
            <w:r w:rsidRPr="009B1CDA">
              <w:rPr>
                <w:b/>
                <w:lang w:val="en-CA"/>
              </w:rPr>
              <w:t xml:space="preserve">in </w:t>
            </w:r>
            <w:r w:rsidR="00FB1DEF">
              <w:rPr>
                <w:b/>
                <w:lang w:val="en-CA"/>
              </w:rPr>
              <w:t>CA</w:t>
            </w:r>
            <w:r w:rsidRPr="009B1CDA">
              <w:rPr>
                <w:b/>
                <w:lang w:val="en-CA"/>
              </w:rPr>
              <w:t>$</w:t>
            </w:r>
          </w:p>
        </w:tc>
      </w:tr>
      <w:tr w:rsidR="007D1BE4" w:rsidRPr="00CF453F" w14:paraId="7EB99553"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11543A1B" w14:textId="3213AAF2" w:rsidR="007D1BE4" w:rsidRPr="00CF453F" w:rsidRDefault="007D1BE4" w:rsidP="009B1CDA">
            <w:pPr>
              <w:pStyle w:val="ExhibitText"/>
              <w:jc w:val="left"/>
              <w:rPr>
                <w:lang w:val="en-CA"/>
              </w:rPr>
            </w:pPr>
            <w:r w:rsidRPr="00CF453F">
              <w:rPr>
                <w:lang w:val="en-CA"/>
              </w:rPr>
              <w:t xml:space="preserve">Revenue from </w:t>
            </w:r>
            <w:r w:rsidR="000F3B93">
              <w:rPr>
                <w:lang w:val="en-CA"/>
              </w:rPr>
              <w:t>s</w:t>
            </w:r>
            <w:r w:rsidRPr="00CF453F">
              <w:rPr>
                <w:lang w:val="en-CA"/>
              </w:rPr>
              <w:t>ervices</w:t>
            </w:r>
          </w:p>
        </w:tc>
        <w:tc>
          <w:tcPr>
            <w:tcW w:w="1440" w:type="dxa"/>
            <w:tcBorders>
              <w:top w:val="nil"/>
              <w:left w:val="nil"/>
              <w:bottom w:val="nil"/>
              <w:right w:val="nil"/>
            </w:tcBorders>
            <w:shd w:val="clear" w:color="auto" w:fill="auto"/>
            <w:noWrap/>
            <w:vAlign w:val="center"/>
            <w:hideMark/>
          </w:tcPr>
          <w:p w14:paraId="6745E045" w14:textId="77777777" w:rsidR="007D1BE4" w:rsidRPr="009B1CDA" w:rsidRDefault="007D1BE4" w:rsidP="009B1CDA">
            <w:pPr>
              <w:pStyle w:val="ExhibitNumber"/>
              <w:jc w:val="right"/>
              <w:rPr>
                <w:b w:val="0"/>
                <w:lang w:val="en-CA"/>
              </w:rPr>
            </w:pPr>
            <w:r w:rsidRPr="009B1CDA">
              <w:rPr>
                <w:b w:val="0"/>
                <w:lang w:val="en-CA"/>
              </w:rPr>
              <w:t>450,000</w:t>
            </w:r>
          </w:p>
        </w:tc>
      </w:tr>
      <w:tr w:rsidR="007D1BE4" w:rsidRPr="00CF453F" w14:paraId="5AD3ABF7"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30A27E53" w14:textId="6F39A3B3" w:rsidR="007D1BE4" w:rsidRPr="00CF453F" w:rsidRDefault="007D1BE4" w:rsidP="009B1CDA">
            <w:pPr>
              <w:pStyle w:val="ExhibitText"/>
              <w:jc w:val="left"/>
              <w:rPr>
                <w:lang w:val="en-CA"/>
              </w:rPr>
            </w:pPr>
            <w:r w:rsidRPr="00CF453F">
              <w:rPr>
                <w:lang w:val="en-CA"/>
              </w:rPr>
              <w:t xml:space="preserve">Revenue from </w:t>
            </w:r>
            <w:r w:rsidR="000F3B93">
              <w:rPr>
                <w:lang w:val="en-CA"/>
              </w:rPr>
              <w:t>c</w:t>
            </w:r>
            <w:r w:rsidRPr="00CF453F">
              <w:rPr>
                <w:lang w:val="en-CA"/>
              </w:rPr>
              <w:t xml:space="preserve">arbon </w:t>
            </w:r>
            <w:r w:rsidR="000F3B93">
              <w:rPr>
                <w:lang w:val="en-CA"/>
              </w:rPr>
              <w:t>c</w:t>
            </w:r>
            <w:r w:rsidRPr="00CF453F">
              <w:rPr>
                <w:lang w:val="en-CA"/>
              </w:rPr>
              <w:t>redits</w:t>
            </w:r>
          </w:p>
        </w:tc>
        <w:tc>
          <w:tcPr>
            <w:tcW w:w="1440" w:type="dxa"/>
            <w:tcBorders>
              <w:top w:val="nil"/>
              <w:left w:val="nil"/>
              <w:bottom w:val="nil"/>
              <w:right w:val="nil"/>
            </w:tcBorders>
            <w:shd w:val="clear" w:color="auto" w:fill="auto"/>
            <w:noWrap/>
            <w:vAlign w:val="center"/>
            <w:hideMark/>
          </w:tcPr>
          <w:p w14:paraId="64D502A7" w14:textId="77777777" w:rsidR="007D1BE4" w:rsidRPr="009B1CDA" w:rsidRDefault="007D1BE4" w:rsidP="009B1CDA">
            <w:pPr>
              <w:pStyle w:val="ExhibitNumber"/>
              <w:jc w:val="right"/>
              <w:rPr>
                <w:b w:val="0"/>
                <w:lang w:val="en-CA"/>
              </w:rPr>
            </w:pPr>
            <w:r w:rsidRPr="009B1CDA">
              <w:rPr>
                <w:b w:val="0"/>
                <w:lang w:val="en-CA"/>
              </w:rPr>
              <w:t>130,000</w:t>
            </w:r>
          </w:p>
        </w:tc>
      </w:tr>
      <w:tr w:rsidR="007D1BE4" w:rsidRPr="00CF453F" w14:paraId="5E9FCF62"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057900C5" w14:textId="114A09EF" w:rsidR="007D1BE4" w:rsidRPr="00CF453F" w:rsidRDefault="007D1BE4" w:rsidP="009B1CDA">
            <w:pPr>
              <w:pStyle w:val="ExhibitText"/>
              <w:jc w:val="left"/>
              <w:rPr>
                <w:lang w:val="en-CA"/>
              </w:rPr>
            </w:pPr>
            <w:r w:rsidRPr="00CF453F">
              <w:rPr>
                <w:lang w:val="en-CA"/>
              </w:rPr>
              <w:t xml:space="preserve">Compost </w:t>
            </w:r>
            <w:r w:rsidR="000F3B93">
              <w:rPr>
                <w:lang w:val="en-CA"/>
              </w:rPr>
              <w:t>s</w:t>
            </w:r>
            <w:r w:rsidRPr="00CF453F">
              <w:rPr>
                <w:lang w:val="en-CA"/>
              </w:rPr>
              <w:t>ales</w:t>
            </w:r>
          </w:p>
        </w:tc>
        <w:tc>
          <w:tcPr>
            <w:tcW w:w="1440" w:type="dxa"/>
            <w:tcBorders>
              <w:top w:val="nil"/>
              <w:left w:val="nil"/>
              <w:bottom w:val="nil"/>
              <w:right w:val="nil"/>
            </w:tcBorders>
            <w:shd w:val="clear" w:color="auto" w:fill="auto"/>
            <w:noWrap/>
            <w:vAlign w:val="center"/>
            <w:hideMark/>
          </w:tcPr>
          <w:p w14:paraId="0E1F3779" w14:textId="24DC7A31" w:rsidR="007D1BE4" w:rsidRPr="009B1CDA" w:rsidRDefault="009B1CDA" w:rsidP="009B1CDA">
            <w:pPr>
              <w:pStyle w:val="ExhibitNumber"/>
              <w:jc w:val="right"/>
              <w:rPr>
                <w:b w:val="0"/>
                <w:lang w:val="en-CA"/>
              </w:rPr>
            </w:pPr>
            <w:r>
              <w:rPr>
                <w:b w:val="0"/>
                <w:lang w:val="en-CA"/>
              </w:rPr>
              <w:t>—</w:t>
            </w:r>
          </w:p>
        </w:tc>
      </w:tr>
      <w:tr w:rsidR="007D1BE4" w:rsidRPr="00CF453F" w14:paraId="5B73A2EE"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33E3C5CF" w14:textId="77777777" w:rsidR="007D1BE4" w:rsidRPr="000B44F5" w:rsidRDefault="007D1BE4" w:rsidP="009B1CDA">
            <w:pPr>
              <w:pStyle w:val="ExhibitText"/>
              <w:jc w:val="left"/>
              <w:rPr>
                <w:b/>
                <w:lang w:val="en-CA"/>
              </w:rPr>
            </w:pPr>
            <w:r w:rsidRPr="000B44F5">
              <w:rPr>
                <w:b/>
                <w:lang w:val="en-CA"/>
              </w:rPr>
              <w:t>Total Revenue</w:t>
            </w:r>
          </w:p>
        </w:tc>
        <w:tc>
          <w:tcPr>
            <w:tcW w:w="1440" w:type="dxa"/>
            <w:tcBorders>
              <w:top w:val="nil"/>
              <w:left w:val="nil"/>
              <w:bottom w:val="nil"/>
              <w:right w:val="nil"/>
            </w:tcBorders>
            <w:shd w:val="clear" w:color="auto" w:fill="auto"/>
            <w:noWrap/>
            <w:vAlign w:val="center"/>
            <w:hideMark/>
          </w:tcPr>
          <w:p w14:paraId="44285C8F" w14:textId="77777777" w:rsidR="007D1BE4" w:rsidRPr="009B1CDA" w:rsidRDefault="007D1BE4" w:rsidP="009B1CDA">
            <w:pPr>
              <w:pStyle w:val="ExhibitNumber"/>
              <w:jc w:val="right"/>
              <w:rPr>
                <w:lang w:val="en-CA"/>
              </w:rPr>
            </w:pPr>
            <w:r w:rsidRPr="009B1CDA">
              <w:rPr>
                <w:lang w:val="en-CA"/>
              </w:rPr>
              <w:t>580,000</w:t>
            </w:r>
          </w:p>
        </w:tc>
      </w:tr>
      <w:tr w:rsidR="007D1BE4" w:rsidRPr="00CF453F" w14:paraId="455110EC"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7E3E5B26" w14:textId="77777777" w:rsidR="007D1BE4" w:rsidRPr="00CF453F" w:rsidRDefault="007D1BE4" w:rsidP="009B1CDA">
            <w:pPr>
              <w:pStyle w:val="ExhibitText"/>
              <w:jc w:val="left"/>
              <w:rPr>
                <w:lang w:val="en-CA"/>
              </w:rPr>
            </w:pPr>
          </w:p>
        </w:tc>
        <w:tc>
          <w:tcPr>
            <w:tcW w:w="1440" w:type="dxa"/>
            <w:tcBorders>
              <w:top w:val="nil"/>
              <w:left w:val="nil"/>
              <w:bottom w:val="nil"/>
              <w:right w:val="nil"/>
            </w:tcBorders>
            <w:shd w:val="clear" w:color="auto" w:fill="auto"/>
            <w:noWrap/>
            <w:vAlign w:val="center"/>
            <w:hideMark/>
          </w:tcPr>
          <w:p w14:paraId="393BC714" w14:textId="77777777" w:rsidR="007D1BE4" w:rsidRPr="009B1CDA" w:rsidRDefault="007D1BE4" w:rsidP="009B1CDA">
            <w:pPr>
              <w:pStyle w:val="ExhibitText"/>
              <w:jc w:val="right"/>
              <w:rPr>
                <w:lang w:val="en-CA"/>
              </w:rPr>
            </w:pPr>
          </w:p>
        </w:tc>
      </w:tr>
      <w:tr w:rsidR="007D1BE4" w:rsidRPr="00CF453F" w14:paraId="4EE8D438"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52031296" w14:textId="108AD6E1" w:rsidR="007D1BE4" w:rsidRPr="00CF453F" w:rsidRDefault="000F3B93" w:rsidP="009B1CDA">
            <w:pPr>
              <w:pStyle w:val="ExhibitText"/>
              <w:jc w:val="left"/>
              <w:rPr>
                <w:lang w:val="en-CA"/>
              </w:rPr>
            </w:pPr>
            <w:r>
              <w:rPr>
                <w:lang w:val="en-CA"/>
              </w:rPr>
              <w:t>Cost of goods sold (</w:t>
            </w:r>
            <w:r w:rsidR="007D1BE4" w:rsidRPr="00CF453F">
              <w:rPr>
                <w:lang w:val="en-CA"/>
              </w:rPr>
              <w:t>COGS</w:t>
            </w:r>
            <w:r>
              <w:rPr>
                <w:lang w:val="en-CA"/>
              </w:rPr>
              <w:t>)</w:t>
            </w:r>
          </w:p>
        </w:tc>
        <w:tc>
          <w:tcPr>
            <w:tcW w:w="1440" w:type="dxa"/>
            <w:tcBorders>
              <w:top w:val="nil"/>
              <w:left w:val="nil"/>
              <w:bottom w:val="nil"/>
              <w:right w:val="nil"/>
            </w:tcBorders>
            <w:shd w:val="clear" w:color="auto" w:fill="auto"/>
            <w:noWrap/>
            <w:vAlign w:val="center"/>
            <w:hideMark/>
          </w:tcPr>
          <w:p w14:paraId="5AECF110" w14:textId="77777777" w:rsidR="007D1BE4" w:rsidRPr="009B1CDA" w:rsidRDefault="007D1BE4" w:rsidP="009B1CDA">
            <w:pPr>
              <w:pStyle w:val="ExhibitNumber"/>
              <w:jc w:val="right"/>
              <w:rPr>
                <w:b w:val="0"/>
                <w:lang w:val="en-CA"/>
              </w:rPr>
            </w:pPr>
            <w:r w:rsidRPr="009B1CDA">
              <w:rPr>
                <w:b w:val="0"/>
                <w:lang w:val="en-CA"/>
              </w:rPr>
              <w:t>10,000</w:t>
            </w:r>
          </w:p>
        </w:tc>
      </w:tr>
      <w:tr w:rsidR="007D1BE4" w:rsidRPr="00CF453F" w14:paraId="0F5C5758"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55224747" w14:textId="77777777" w:rsidR="007D1BE4" w:rsidRPr="00CF453F" w:rsidRDefault="007D1BE4" w:rsidP="009B1CDA">
            <w:pPr>
              <w:pStyle w:val="ExhibitText"/>
              <w:jc w:val="left"/>
              <w:rPr>
                <w:lang w:val="en-CA"/>
              </w:rPr>
            </w:pPr>
            <w:r w:rsidRPr="00CF453F">
              <w:rPr>
                <w:lang w:val="en-CA"/>
              </w:rPr>
              <w:t>Rent</w:t>
            </w:r>
          </w:p>
        </w:tc>
        <w:tc>
          <w:tcPr>
            <w:tcW w:w="1440" w:type="dxa"/>
            <w:tcBorders>
              <w:top w:val="nil"/>
              <w:left w:val="nil"/>
              <w:bottom w:val="nil"/>
              <w:right w:val="nil"/>
            </w:tcBorders>
            <w:shd w:val="clear" w:color="auto" w:fill="auto"/>
            <w:noWrap/>
            <w:vAlign w:val="center"/>
            <w:hideMark/>
          </w:tcPr>
          <w:p w14:paraId="1F154DF4" w14:textId="77777777" w:rsidR="007D1BE4" w:rsidRPr="009B1CDA" w:rsidRDefault="007D1BE4" w:rsidP="009B1CDA">
            <w:pPr>
              <w:pStyle w:val="ExhibitNumber"/>
              <w:jc w:val="right"/>
              <w:rPr>
                <w:b w:val="0"/>
                <w:lang w:val="en-CA"/>
              </w:rPr>
            </w:pPr>
            <w:r w:rsidRPr="009B1CDA">
              <w:rPr>
                <w:b w:val="0"/>
                <w:lang w:val="en-CA"/>
              </w:rPr>
              <w:t>84,000</w:t>
            </w:r>
          </w:p>
        </w:tc>
      </w:tr>
      <w:tr w:rsidR="007D1BE4" w:rsidRPr="00CF453F" w14:paraId="7CC98427"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648F8C4E" w14:textId="77777777" w:rsidR="007D1BE4" w:rsidRPr="00CF453F" w:rsidRDefault="007D1BE4" w:rsidP="009B1CDA">
            <w:pPr>
              <w:pStyle w:val="ExhibitText"/>
              <w:jc w:val="left"/>
              <w:rPr>
                <w:lang w:val="en-CA"/>
              </w:rPr>
            </w:pPr>
            <w:r w:rsidRPr="00CF453F">
              <w:rPr>
                <w:lang w:val="en-CA"/>
              </w:rPr>
              <w:t>Utilities</w:t>
            </w:r>
          </w:p>
        </w:tc>
        <w:tc>
          <w:tcPr>
            <w:tcW w:w="1440" w:type="dxa"/>
            <w:tcBorders>
              <w:top w:val="nil"/>
              <w:left w:val="nil"/>
              <w:bottom w:val="nil"/>
              <w:right w:val="nil"/>
            </w:tcBorders>
            <w:shd w:val="clear" w:color="auto" w:fill="auto"/>
            <w:noWrap/>
            <w:vAlign w:val="center"/>
            <w:hideMark/>
          </w:tcPr>
          <w:p w14:paraId="72067528" w14:textId="77777777" w:rsidR="007D1BE4" w:rsidRPr="009B1CDA" w:rsidRDefault="007D1BE4" w:rsidP="009B1CDA">
            <w:pPr>
              <w:pStyle w:val="ExhibitNumber"/>
              <w:jc w:val="right"/>
              <w:rPr>
                <w:b w:val="0"/>
                <w:lang w:val="en-CA"/>
              </w:rPr>
            </w:pPr>
            <w:r w:rsidRPr="009B1CDA">
              <w:rPr>
                <w:b w:val="0"/>
                <w:lang w:val="en-CA"/>
              </w:rPr>
              <w:t>9,600</w:t>
            </w:r>
          </w:p>
        </w:tc>
      </w:tr>
      <w:tr w:rsidR="007D1BE4" w:rsidRPr="00CF453F" w14:paraId="6901C9E3"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59DFB97D" w14:textId="606BCBB2" w:rsidR="007D1BE4" w:rsidRPr="00CF453F" w:rsidRDefault="007D1BE4" w:rsidP="009B1CDA">
            <w:pPr>
              <w:pStyle w:val="ExhibitText"/>
              <w:jc w:val="left"/>
              <w:rPr>
                <w:lang w:val="en-CA"/>
              </w:rPr>
            </w:pPr>
            <w:r w:rsidRPr="00CF453F">
              <w:rPr>
                <w:lang w:val="en-CA"/>
              </w:rPr>
              <w:t xml:space="preserve">Warehouse </w:t>
            </w:r>
            <w:r w:rsidR="000F3B93">
              <w:rPr>
                <w:lang w:val="en-CA"/>
              </w:rPr>
              <w:t>i</w:t>
            </w:r>
            <w:r w:rsidRPr="00CF453F">
              <w:rPr>
                <w:lang w:val="en-CA"/>
              </w:rPr>
              <w:t>nsurance</w:t>
            </w:r>
          </w:p>
        </w:tc>
        <w:tc>
          <w:tcPr>
            <w:tcW w:w="1440" w:type="dxa"/>
            <w:tcBorders>
              <w:top w:val="nil"/>
              <w:left w:val="nil"/>
              <w:bottom w:val="nil"/>
              <w:right w:val="nil"/>
            </w:tcBorders>
            <w:shd w:val="clear" w:color="auto" w:fill="auto"/>
            <w:noWrap/>
            <w:vAlign w:val="center"/>
            <w:hideMark/>
          </w:tcPr>
          <w:p w14:paraId="76DBCAD8" w14:textId="77777777" w:rsidR="007D1BE4" w:rsidRPr="009B1CDA" w:rsidRDefault="007D1BE4" w:rsidP="009B1CDA">
            <w:pPr>
              <w:pStyle w:val="ExhibitNumber"/>
              <w:jc w:val="right"/>
              <w:rPr>
                <w:b w:val="0"/>
                <w:lang w:val="en-CA"/>
              </w:rPr>
            </w:pPr>
            <w:r w:rsidRPr="009B1CDA">
              <w:rPr>
                <w:b w:val="0"/>
                <w:lang w:val="en-CA"/>
              </w:rPr>
              <w:t>34,000</w:t>
            </w:r>
          </w:p>
        </w:tc>
      </w:tr>
      <w:tr w:rsidR="007D1BE4" w:rsidRPr="00CF453F" w14:paraId="11B7BBAF"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04AAE867" w14:textId="77777777" w:rsidR="007D1BE4" w:rsidRPr="00CF453F" w:rsidRDefault="007D1BE4" w:rsidP="009B1CDA">
            <w:pPr>
              <w:pStyle w:val="ExhibitText"/>
              <w:jc w:val="left"/>
              <w:rPr>
                <w:lang w:val="en-CA"/>
              </w:rPr>
            </w:pPr>
            <w:r w:rsidRPr="00CF453F">
              <w:rPr>
                <w:lang w:val="en-CA"/>
              </w:rPr>
              <w:t>Salaries</w:t>
            </w:r>
          </w:p>
        </w:tc>
        <w:tc>
          <w:tcPr>
            <w:tcW w:w="1440" w:type="dxa"/>
            <w:tcBorders>
              <w:top w:val="nil"/>
              <w:left w:val="nil"/>
              <w:bottom w:val="nil"/>
              <w:right w:val="nil"/>
            </w:tcBorders>
            <w:shd w:val="clear" w:color="auto" w:fill="auto"/>
            <w:noWrap/>
            <w:vAlign w:val="center"/>
            <w:hideMark/>
          </w:tcPr>
          <w:p w14:paraId="2BA27037" w14:textId="77777777" w:rsidR="007D1BE4" w:rsidRPr="009B1CDA" w:rsidRDefault="007D1BE4" w:rsidP="009B1CDA">
            <w:pPr>
              <w:pStyle w:val="ExhibitNumber"/>
              <w:jc w:val="right"/>
              <w:rPr>
                <w:b w:val="0"/>
                <w:lang w:val="en-CA"/>
              </w:rPr>
            </w:pPr>
            <w:r w:rsidRPr="009B1CDA">
              <w:rPr>
                <w:b w:val="0"/>
                <w:lang w:val="en-CA"/>
              </w:rPr>
              <w:t>330,000</w:t>
            </w:r>
          </w:p>
        </w:tc>
      </w:tr>
      <w:tr w:rsidR="007D1BE4" w:rsidRPr="00CF453F" w14:paraId="36AB71DB"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50A7E9E9" w14:textId="22725C82" w:rsidR="007D1BE4" w:rsidRPr="00CF453F" w:rsidRDefault="007D1BE4" w:rsidP="009B1CDA">
            <w:pPr>
              <w:pStyle w:val="ExhibitText"/>
              <w:jc w:val="left"/>
              <w:rPr>
                <w:lang w:val="en-CA"/>
              </w:rPr>
            </w:pPr>
            <w:r w:rsidRPr="00CF453F">
              <w:rPr>
                <w:lang w:val="en-CA"/>
              </w:rPr>
              <w:t xml:space="preserve">Truck and </w:t>
            </w:r>
            <w:r w:rsidR="000F3B93">
              <w:rPr>
                <w:lang w:val="en-CA"/>
              </w:rPr>
              <w:t>b</w:t>
            </w:r>
            <w:r w:rsidRPr="00CF453F">
              <w:rPr>
                <w:lang w:val="en-CA"/>
              </w:rPr>
              <w:t>obcat</w:t>
            </w:r>
          </w:p>
        </w:tc>
        <w:tc>
          <w:tcPr>
            <w:tcW w:w="1440" w:type="dxa"/>
            <w:tcBorders>
              <w:top w:val="nil"/>
              <w:left w:val="nil"/>
              <w:bottom w:val="nil"/>
              <w:right w:val="nil"/>
            </w:tcBorders>
            <w:shd w:val="clear" w:color="auto" w:fill="auto"/>
            <w:noWrap/>
            <w:vAlign w:val="center"/>
            <w:hideMark/>
          </w:tcPr>
          <w:p w14:paraId="54C57878" w14:textId="77777777" w:rsidR="007D1BE4" w:rsidRPr="009B1CDA" w:rsidRDefault="007D1BE4" w:rsidP="009B1CDA">
            <w:pPr>
              <w:pStyle w:val="ExhibitNumber"/>
              <w:jc w:val="right"/>
              <w:rPr>
                <w:b w:val="0"/>
                <w:lang w:val="en-CA"/>
              </w:rPr>
            </w:pPr>
          </w:p>
        </w:tc>
      </w:tr>
      <w:tr w:rsidR="007D1BE4" w:rsidRPr="00CF453F" w14:paraId="7E1892BA"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6A3BA55D" w14:textId="77777777" w:rsidR="007D1BE4" w:rsidRPr="00CF453F" w:rsidRDefault="007D1BE4" w:rsidP="009B1CDA">
            <w:pPr>
              <w:pStyle w:val="ExhibitText"/>
              <w:jc w:val="left"/>
              <w:rPr>
                <w:lang w:val="en-CA"/>
              </w:rPr>
            </w:pPr>
            <w:r w:rsidRPr="00CF453F">
              <w:rPr>
                <w:lang w:val="en-CA"/>
              </w:rPr>
              <w:t>Gas</w:t>
            </w:r>
          </w:p>
        </w:tc>
        <w:tc>
          <w:tcPr>
            <w:tcW w:w="1440" w:type="dxa"/>
            <w:tcBorders>
              <w:top w:val="nil"/>
              <w:left w:val="nil"/>
              <w:bottom w:val="nil"/>
              <w:right w:val="nil"/>
            </w:tcBorders>
            <w:shd w:val="clear" w:color="auto" w:fill="auto"/>
            <w:noWrap/>
            <w:vAlign w:val="center"/>
            <w:hideMark/>
          </w:tcPr>
          <w:p w14:paraId="0D43D394" w14:textId="77777777" w:rsidR="007D1BE4" w:rsidRPr="009B1CDA" w:rsidRDefault="007D1BE4" w:rsidP="009B1CDA">
            <w:pPr>
              <w:pStyle w:val="ExhibitNumber"/>
              <w:jc w:val="right"/>
              <w:rPr>
                <w:b w:val="0"/>
                <w:lang w:val="en-CA"/>
              </w:rPr>
            </w:pPr>
            <w:r w:rsidRPr="009B1CDA">
              <w:rPr>
                <w:b w:val="0"/>
                <w:lang w:val="en-CA"/>
              </w:rPr>
              <w:t>5,000</w:t>
            </w:r>
          </w:p>
        </w:tc>
      </w:tr>
      <w:tr w:rsidR="007D1BE4" w:rsidRPr="00CF453F" w14:paraId="77F3F0F0"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0FC1F218" w14:textId="77777777" w:rsidR="007D1BE4" w:rsidRPr="00CF453F" w:rsidRDefault="007D1BE4" w:rsidP="009B1CDA">
            <w:pPr>
              <w:pStyle w:val="ExhibitText"/>
              <w:jc w:val="left"/>
              <w:rPr>
                <w:lang w:val="en-CA"/>
              </w:rPr>
            </w:pPr>
            <w:r w:rsidRPr="00CF453F">
              <w:rPr>
                <w:lang w:val="en-CA"/>
              </w:rPr>
              <w:t>Insurance</w:t>
            </w:r>
          </w:p>
        </w:tc>
        <w:tc>
          <w:tcPr>
            <w:tcW w:w="1440" w:type="dxa"/>
            <w:tcBorders>
              <w:top w:val="nil"/>
              <w:left w:val="nil"/>
              <w:bottom w:val="nil"/>
              <w:right w:val="nil"/>
            </w:tcBorders>
            <w:shd w:val="clear" w:color="auto" w:fill="auto"/>
            <w:noWrap/>
            <w:vAlign w:val="center"/>
            <w:hideMark/>
          </w:tcPr>
          <w:p w14:paraId="1E713466" w14:textId="77777777" w:rsidR="007D1BE4" w:rsidRPr="009B1CDA" w:rsidRDefault="007D1BE4" w:rsidP="009B1CDA">
            <w:pPr>
              <w:pStyle w:val="ExhibitNumber"/>
              <w:jc w:val="right"/>
              <w:rPr>
                <w:b w:val="0"/>
                <w:lang w:val="en-CA"/>
              </w:rPr>
            </w:pPr>
            <w:r w:rsidRPr="009B1CDA">
              <w:rPr>
                <w:b w:val="0"/>
                <w:lang w:val="en-CA"/>
              </w:rPr>
              <w:t>20,000</w:t>
            </w:r>
          </w:p>
        </w:tc>
      </w:tr>
      <w:tr w:rsidR="007D1BE4" w:rsidRPr="00CF453F" w14:paraId="77BE5A88"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646F16C1" w14:textId="5D8D5897" w:rsidR="007D1BE4" w:rsidRPr="00CF453F" w:rsidRDefault="007D1BE4" w:rsidP="009B1CDA">
            <w:pPr>
              <w:pStyle w:val="ExhibitText"/>
              <w:jc w:val="left"/>
              <w:rPr>
                <w:lang w:val="en-CA"/>
              </w:rPr>
            </w:pPr>
            <w:r w:rsidRPr="00CF453F">
              <w:rPr>
                <w:lang w:val="en-CA"/>
              </w:rPr>
              <w:t xml:space="preserve">Depreciation </w:t>
            </w:r>
            <w:r w:rsidR="000F3B93">
              <w:rPr>
                <w:lang w:val="en-CA"/>
              </w:rPr>
              <w:t>e</w:t>
            </w:r>
            <w:r w:rsidRPr="00CF453F">
              <w:rPr>
                <w:lang w:val="en-CA"/>
              </w:rPr>
              <w:t>xpense</w:t>
            </w:r>
            <w:r w:rsidR="000F3B93">
              <w:rPr>
                <w:lang w:val="en-CA"/>
              </w:rPr>
              <w:t>—m</w:t>
            </w:r>
            <w:r w:rsidRPr="00CF453F">
              <w:rPr>
                <w:lang w:val="en-CA"/>
              </w:rPr>
              <w:t>achine*</w:t>
            </w:r>
          </w:p>
        </w:tc>
        <w:tc>
          <w:tcPr>
            <w:tcW w:w="1440" w:type="dxa"/>
            <w:tcBorders>
              <w:top w:val="nil"/>
              <w:left w:val="nil"/>
              <w:bottom w:val="nil"/>
              <w:right w:val="nil"/>
            </w:tcBorders>
            <w:shd w:val="clear" w:color="auto" w:fill="auto"/>
            <w:noWrap/>
            <w:vAlign w:val="center"/>
            <w:hideMark/>
          </w:tcPr>
          <w:p w14:paraId="14C8D5CA" w14:textId="77777777" w:rsidR="007D1BE4" w:rsidRPr="009B1CDA" w:rsidRDefault="007D1BE4" w:rsidP="009B1CDA">
            <w:pPr>
              <w:pStyle w:val="ExhibitNumber"/>
              <w:jc w:val="right"/>
              <w:rPr>
                <w:b w:val="0"/>
                <w:lang w:val="en-CA"/>
              </w:rPr>
            </w:pPr>
            <w:r w:rsidRPr="009B1CDA">
              <w:rPr>
                <w:b w:val="0"/>
                <w:lang w:val="en-CA"/>
              </w:rPr>
              <w:t>10,000</w:t>
            </w:r>
          </w:p>
        </w:tc>
      </w:tr>
      <w:tr w:rsidR="007D1BE4" w:rsidRPr="00CF453F" w14:paraId="611E8E97"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5CA3FD6E" w14:textId="35183A4C" w:rsidR="007D1BE4" w:rsidRPr="00CF453F" w:rsidRDefault="007D1BE4" w:rsidP="009B1CDA">
            <w:pPr>
              <w:pStyle w:val="ExhibitText"/>
              <w:jc w:val="left"/>
              <w:rPr>
                <w:lang w:val="en-CA"/>
              </w:rPr>
            </w:pPr>
            <w:r w:rsidRPr="00CF453F">
              <w:rPr>
                <w:lang w:val="en-CA"/>
              </w:rPr>
              <w:t xml:space="preserve">Depreciation </w:t>
            </w:r>
            <w:r w:rsidR="000F3B93">
              <w:rPr>
                <w:lang w:val="en-CA"/>
              </w:rPr>
              <w:t>e</w:t>
            </w:r>
            <w:r w:rsidRPr="00CF453F">
              <w:rPr>
                <w:lang w:val="en-CA"/>
              </w:rPr>
              <w:t>xpense</w:t>
            </w:r>
            <w:r w:rsidR="000F3B93">
              <w:rPr>
                <w:lang w:val="en-CA"/>
              </w:rPr>
              <w:t>—v</w:t>
            </w:r>
            <w:r w:rsidRPr="00CF453F">
              <w:rPr>
                <w:lang w:val="en-CA"/>
              </w:rPr>
              <w:t>ehicle**</w:t>
            </w:r>
          </w:p>
        </w:tc>
        <w:tc>
          <w:tcPr>
            <w:tcW w:w="1440" w:type="dxa"/>
            <w:tcBorders>
              <w:top w:val="nil"/>
              <w:left w:val="nil"/>
              <w:bottom w:val="nil"/>
              <w:right w:val="nil"/>
            </w:tcBorders>
            <w:shd w:val="clear" w:color="auto" w:fill="auto"/>
            <w:noWrap/>
            <w:vAlign w:val="center"/>
            <w:hideMark/>
          </w:tcPr>
          <w:p w14:paraId="1A3E3FB4" w14:textId="77777777" w:rsidR="007D1BE4" w:rsidRPr="009B1CDA" w:rsidRDefault="007D1BE4" w:rsidP="009B1CDA">
            <w:pPr>
              <w:pStyle w:val="ExhibitNumber"/>
              <w:jc w:val="right"/>
              <w:rPr>
                <w:b w:val="0"/>
                <w:lang w:val="en-CA"/>
              </w:rPr>
            </w:pPr>
            <w:r w:rsidRPr="009B1CDA">
              <w:rPr>
                <w:b w:val="0"/>
                <w:lang w:val="en-CA"/>
              </w:rPr>
              <w:t>9,800</w:t>
            </w:r>
          </w:p>
        </w:tc>
      </w:tr>
      <w:tr w:rsidR="007D1BE4" w:rsidRPr="00CF453F" w14:paraId="6014277D"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6C512B84" w14:textId="77777777" w:rsidR="007D1BE4" w:rsidRPr="000B44F5" w:rsidRDefault="007D1BE4" w:rsidP="009B1CDA">
            <w:pPr>
              <w:pStyle w:val="ExhibitText"/>
              <w:jc w:val="left"/>
              <w:rPr>
                <w:b/>
                <w:lang w:val="en-CA"/>
              </w:rPr>
            </w:pPr>
            <w:r w:rsidRPr="000B44F5">
              <w:rPr>
                <w:b/>
                <w:lang w:val="en-CA"/>
              </w:rPr>
              <w:t>Total Costs</w:t>
            </w:r>
          </w:p>
        </w:tc>
        <w:tc>
          <w:tcPr>
            <w:tcW w:w="1440" w:type="dxa"/>
            <w:tcBorders>
              <w:top w:val="nil"/>
              <w:left w:val="nil"/>
              <w:bottom w:val="nil"/>
              <w:right w:val="nil"/>
            </w:tcBorders>
            <w:shd w:val="clear" w:color="auto" w:fill="auto"/>
            <w:noWrap/>
            <w:vAlign w:val="center"/>
            <w:hideMark/>
          </w:tcPr>
          <w:p w14:paraId="00FF600B" w14:textId="77777777" w:rsidR="007D1BE4" w:rsidRPr="009B1CDA" w:rsidRDefault="007D1BE4" w:rsidP="009B1CDA">
            <w:pPr>
              <w:pStyle w:val="ExhibitNumber"/>
              <w:jc w:val="right"/>
              <w:rPr>
                <w:lang w:val="en-CA"/>
              </w:rPr>
            </w:pPr>
            <w:r w:rsidRPr="009B1CDA">
              <w:rPr>
                <w:lang w:val="en-CA"/>
              </w:rPr>
              <w:t>512,400</w:t>
            </w:r>
          </w:p>
        </w:tc>
      </w:tr>
      <w:tr w:rsidR="007D1BE4" w:rsidRPr="00CF453F" w14:paraId="78607E83"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003BC7AC" w14:textId="77777777" w:rsidR="007D1BE4" w:rsidRPr="00CF453F" w:rsidRDefault="007D1BE4" w:rsidP="009B1CDA">
            <w:pPr>
              <w:pStyle w:val="ExhibitText"/>
              <w:jc w:val="left"/>
              <w:rPr>
                <w:lang w:val="en-CA"/>
              </w:rPr>
            </w:pPr>
          </w:p>
        </w:tc>
        <w:tc>
          <w:tcPr>
            <w:tcW w:w="1440" w:type="dxa"/>
            <w:tcBorders>
              <w:top w:val="nil"/>
              <w:left w:val="nil"/>
              <w:bottom w:val="nil"/>
              <w:right w:val="nil"/>
            </w:tcBorders>
            <w:shd w:val="clear" w:color="auto" w:fill="auto"/>
            <w:noWrap/>
            <w:vAlign w:val="center"/>
            <w:hideMark/>
          </w:tcPr>
          <w:p w14:paraId="1067C796" w14:textId="77777777" w:rsidR="007D1BE4" w:rsidRPr="009B1CDA" w:rsidRDefault="007D1BE4" w:rsidP="009B1CDA">
            <w:pPr>
              <w:pStyle w:val="ExhibitText"/>
              <w:jc w:val="right"/>
              <w:rPr>
                <w:lang w:val="en-CA"/>
              </w:rPr>
            </w:pPr>
          </w:p>
        </w:tc>
      </w:tr>
      <w:tr w:rsidR="007D1BE4" w:rsidRPr="00CF453F" w14:paraId="7049EFD2"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28E25891" w14:textId="6EE49B52" w:rsidR="007D1BE4" w:rsidRPr="000B44F5" w:rsidRDefault="0092330A" w:rsidP="009B1CDA">
            <w:pPr>
              <w:pStyle w:val="ExhibitText"/>
              <w:jc w:val="left"/>
              <w:rPr>
                <w:b/>
                <w:lang w:val="en-CA"/>
              </w:rPr>
            </w:pPr>
            <w:r>
              <w:rPr>
                <w:b/>
                <w:lang w:val="en-CA"/>
              </w:rPr>
              <w:t>Earnings before interest and taxes (</w:t>
            </w:r>
            <w:r w:rsidR="007D1BE4" w:rsidRPr="000B44F5">
              <w:rPr>
                <w:b/>
                <w:lang w:val="en-CA"/>
              </w:rPr>
              <w:t>EBIT</w:t>
            </w:r>
            <w:r>
              <w:rPr>
                <w:b/>
                <w:lang w:val="en-CA"/>
              </w:rPr>
              <w:t>)</w:t>
            </w:r>
          </w:p>
        </w:tc>
        <w:tc>
          <w:tcPr>
            <w:tcW w:w="1440" w:type="dxa"/>
            <w:tcBorders>
              <w:top w:val="nil"/>
              <w:left w:val="nil"/>
              <w:bottom w:val="nil"/>
              <w:right w:val="nil"/>
            </w:tcBorders>
            <w:shd w:val="clear" w:color="auto" w:fill="auto"/>
            <w:noWrap/>
            <w:vAlign w:val="center"/>
            <w:hideMark/>
          </w:tcPr>
          <w:p w14:paraId="0E6C6ACD" w14:textId="77777777" w:rsidR="007D1BE4" w:rsidRPr="009B1CDA" w:rsidRDefault="007D1BE4" w:rsidP="009B1CDA">
            <w:pPr>
              <w:pStyle w:val="ExhibitNumber"/>
              <w:jc w:val="right"/>
              <w:rPr>
                <w:lang w:val="en-CA"/>
              </w:rPr>
            </w:pPr>
            <w:r w:rsidRPr="009B1CDA">
              <w:rPr>
                <w:lang w:val="en-CA"/>
              </w:rPr>
              <w:t>67,600</w:t>
            </w:r>
          </w:p>
        </w:tc>
      </w:tr>
      <w:tr w:rsidR="007D1BE4" w:rsidRPr="00CF453F" w14:paraId="1F446E4A"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5F8231B7" w14:textId="77777777" w:rsidR="007D1BE4" w:rsidRPr="000B44F5" w:rsidRDefault="007D1BE4" w:rsidP="009B1CDA">
            <w:pPr>
              <w:pStyle w:val="ExhibitText"/>
              <w:jc w:val="left"/>
              <w:rPr>
                <w:b/>
                <w:lang w:val="en-CA"/>
              </w:rPr>
            </w:pPr>
            <w:r w:rsidRPr="000B44F5">
              <w:rPr>
                <w:b/>
                <w:lang w:val="en-CA"/>
              </w:rPr>
              <w:t>Tax Rate</w:t>
            </w:r>
          </w:p>
        </w:tc>
        <w:tc>
          <w:tcPr>
            <w:tcW w:w="1440" w:type="dxa"/>
            <w:tcBorders>
              <w:top w:val="nil"/>
              <w:left w:val="nil"/>
              <w:bottom w:val="nil"/>
              <w:right w:val="nil"/>
            </w:tcBorders>
            <w:shd w:val="clear" w:color="auto" w:fill="auto"/>
            <w:noWrap/>
            <w:vAlign w:val="center"/>
            <w:hideMark/>
          </w:tcPr>
          <w:p w14:paraId="20BA1F03" w14:textId="77777777" w:rsidR="007D1BE4" w:rsidRPr="009B1CDA" w:rsidRDefault="007D1BE4" w:rsidP="009B1CDA">
            <w:pPr>
              <w:pStyle w:val="ExhibitNumber"/>
              <w:jc w:val="right"/>
              <w:rPr>
                <w:lang w:val="en-CA"/>
              </w:rPr>
            </w:pPr>
            <w:r w:rsidRPr="009B1CDA">
              <w:rPr>
                <w:lang w:val="en-CA"/>
              </w:rPr>
              <w:t>27%</w:t>
            </w:r>
          </w:p>
        </w:tc>
      </w:tr>
      <w:tr w:rsidR="007D1BE4" w:rsidRPr="00CF453F" w14:paraId="03475036"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1F47C934" w14:textId="77777777" w:rsidR="007D1BE4" w:rsidRPr="000B44F5" w:rsidRDefault="007D1BE4" w:rsidP="009B1CDA">
            <w:pPr>
              <w:pStyle w:val="ExhibitText"/>
              <w:jc w:val="left"/>
              <w:rPr>
                <w:b/>
                <w:lang w:val="en-CA"/>
              </w:rPr>
            </w:pPr>
            <w:r w:rsidRPr="000B44F5">
              <w:rPr>
                <w:b/>
                <w:lang w:val="en-CA"/>
              </w:rPr>
              <w:t>Tax Expense</w:t>
            </w:r>
          </w:p>
        </w:tc>
        <w:tc>
          <w:tcPr>
            <w:tcW w:w="1440" w:type="dxa"/>
            <w:tcBorders>
              <w:top w:val="nil"/>
              <w:left w:val="nil"/>
              <w:bottom w:val="nil"/>
              <w:right w:val="nil"/>
            </w:tcBorders>
            <w:shd w:val="clear" w:color="auto" w:fill="auto"/>
            <w:noWrap/>
            <w:vAlign w:val="center"/>
            <w:hideMark/>
          </w:tcPr>
          <w:p w14:paraId="1FFE8BD6" w14:textId="77777777" w:rsidR="007D1BE4" w:rsidRPr="009B1CDA" w:rsidRDefault="007D1BE4" w:rsidP="009B1CDA">
            <w:pPr>
              <w:pStyle w:val="ExhibitNumber"/>
              <w:jc w:val="right"/>
              <w:rPr>
                <w:lang w:val="en-CA"/>
              </w:rPr>
            </w:pPr>
            <w:r w:rsidRPr="009B1CDA">
              <w:rPr>
                <w:lang w:val="en-CA"/>
              </w:rPr>
              <w:t>18,252</w:t>
            </w:r>
          </w:p>
        </w:tc>
      </w:tr>
      <w:tr w:rsidR="007D1BE4" w:rsidRPr="00CF453F" w14:paraId="7DB78823"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61DCD552" w14:textId="77777777" w:rsidR="007D1BE4" w:rsidRPr="000B44F5" w:rsidRDefault="007D1BE4" w:rsidP="009B1CDA">
            <w:pPr>
              <w:pStyle w:val="ExhibitText"/>
              <w:jc w:val="left"/>
              <w:rPr>
                <w:b/>
                <w:lang w:val="en-CA"/>
              </w:rPr>
            </w:pPr>
            <w:r w:rsidRPr="000B44F5">
              <w:rPr>
                <w:b/>
                <w:lang w:val="en-CA"/>
              </w:rPr>
              <w:t>Net Income</w:t>
            </w:r>
          </w:p>
        </w:tc>
        <w:tc>
          <w:tcPr>
            <w:tcW w:w="1440" w:type="dxa"/>
            <w:tcBorders>
              <w:top w:val="nil"/>
              <w:left w:val="nil"/>
              <w:bottom w:val="nil"/>
              <w:right w:val="nil"/>
            </w:tcBorders>
            <w:shd w:val="clear" w:color="auto" w:fill="auto"/>
            <w:noWrap/>
            <w:vAlign w:val="center"/>
            <w:hideMark/>
          </w:tcPr>
          <w:p w14:paraId="6FF0A359" w14:textId="77777777" w:rsidR="007D1BE4" w:rsidRPr="009B1CDA" w:rsidRDefault="007D1BE4" w:rsidP="009B1CDA">
            <w:pPr>
              <w:pStyle w:val="ExhibitNumber"/>
              <w:jc w:val="right"/>
              <w:rPr>
                <w:lang w:val="en-CA"/>
              </w:rPr>
            </w:pPr>
            <w:r w:rsidRPr="009B1CDA">
              <w:rPr>
                <w:lang w:val="en-CA"/>
              </w:rPr>
              <w:t>49,348</w:t>
            </w:r>
          </w:p>
        </w:tc>
      </w:tr>
    </w:tbl>
    <w:p w14:paraId="37B0B91B" w14:textId="788B3D23" w:rsidR="007D1BE4" w:rsidRDefault="007D1BE4" w:rsidP="00C10283">
      <w:pPr>
        <w:pStyle w:val="ExhibitText"/>
      </w:pPr>
    </w:p>
    <w:p w14:paraId="10B55796" w14:textId="02CDE67E" w:rsidR="009B1CDA" w:rsidRDefault="009B1CDA" w:rsidP="009A7F5B">
      <w:pPr>
        <w:pStyle w:val="Footnote"/>
      </w:pPr>
      <w:r>
        <w:t xml:space="preserve">Note: </w:t>
      </w:r>
      <w:r w:rsidRPr="00CF453F">
        <w:rPr>
          <w:lang w:val="en-CA"/>
        </w:rPr>
        <w:t>*</w:t>
      </w:r>
      <w:r w:rsidR="000F3B93">
        <w:rPr>
          <w:lang w:val="en-CA"/>
        </w:rPr>
        <w:t xml:space="preserve"> Depreciation calculated at $</w:t>
      </w:r>
      <w:r w:rsidRPr="00CF453F">
        <w:rPr>
          <w:lang w:val="en-CA"/>
        </w:rPr>
        <w:t>500,000</w:t>
      </w:r>
      <w:r w:rsidR="000F3B93">
        <w:rPr>
          <w:lang w:val="en-CA"/>
        </w:rPr>
        <w:t xml:space="preserve"> over </w:t>
      </w:r>
      <w:r w:rsidRPr="00CF453F">
        <w:rPr>
          <w:lang w:val="en-CA"/>
        </w:rPr>
        <w:t>50 years</w:t>
      </w:r>
      <w:r>
        <w:rPr>
          <w:lang w:val="en-CA"/>
        </w:rPr>
        <w:t xml:space="preserve">; </w:t>
      </w:r>
      <w:r w:rsidRPr="00CF453F">
        <w:rPr>
          <w:lang w:val="en-CA"/>
        </w:rPr>
        <w:t>**</w:t>
      </w:r>
      <w:r w:rsidR="000F3B93">
        <w:rPr>
          <w:lang w:val="en-CA"/>
        </w:rPr>
        <w:t xml:space="preserve"> </w:t>
      </w:r>
      <w:r w:rsidR="0092330A">
        <w:rPr>
          <w:lang w:val="en-CA"/>
        </w:rPr>
        <w:t>d</w:t>
      </w:r>
      <w:r w:rsidR="000F3B93">
        <w:rPr>
          <w:lang w:val="en-CA"/>
        </w:rPr>
        <w:t>epreciation calculated at $</w:t>
      </w:r>
      <w:r w:rsidRPr="00CF453F">
        <w:rPr>
          <w:lang w:val="en-CA"/>
        </w:rPr>
        <w:t>100,000</w:t>
      </w:r>
      <w:r w:rsidR="0092330A">
        <w:rPr>
          <w:lang w:val="en-CA"/>
        </w:rPr>
        <w:t> </w:t>
      </w:r>
      <w:r w:rsidR="000F3B93">
        <w:rPr>
          <w:lang w:val="en-CA"/>
        </w:rPr>
        <w:t>−</w:t>
      </w:r>
      <w:r w:rsidR="0092330A">
        <w:rPr>
          <w:lang w:val="en-CA"/>
        </w:rPr>
        <w:t> </w:t>
      </w:r>
      <w:r w:rsidR="000F3B93">
        <w:rPr>
          <w:lang w:val="en-CA"/>
        </w:rPr>
        <w:t>$</w:t>
      </w:r>
      <w:r w:rsidRPr="00CF453F">
        <w:rPr>
          <w:lang w:val="en-CA"/>
        </w:rPr>
        <w:t>2</w:t>
      </w:r>
      <w:r w:rsidR="0092330A">
        <w:rPr>
          <w:lang w:val="en-CA"/>
        </w:rPr>
        <w:t>,</w:t>
      </w:r>
      <w:r w:rsidRPr="00CF453F">
        <w:rPr>
          <w:lang w:val="en-CA"/>
        </w:rPr>
        <w:t>000</w:t>
      </w:r>
      <w:r w:rsidR="0092330A">
        <w:rPr>
          <w:lang w:val="en-CA"/>
        </w:rPr>
        <w:t xml:space="preserve"> over </w:t>
      </w:r>
      <w:r w:rsidRPr="00CF453F">
        <w:rPr>
          <w:lang w:val="en-CA"/>
        </w:rPr>
        <w:t>10 years</w:t>
      </w:r>
      <w:r w:rsidR="0092330A">
        <w:rPr>
          <w:lang w:val="en-CA"/>
        </w:rPr>
        <w:t>.</w:t>
      </w:r>
    </w:p>
    <w:p w14:paraId="295B5DF9" w14:textId="129520F3" w:rsidR="007D1BE4" w:rsidRDefault="007D1BE4" w:rsidP="007D1BE4">
      <w:pPr>
        <w:pStyle w:val="Footnote"/>
      </w:pPr>
      <w:r>
        <w:t xml:space="preserve">Source: </w:t>
      </w:r>
      <w:r w:rsidRPr="00773B9B">
        <w:t xml:space="preserve">Created by </w:t>
      </w:r>
      <w:r w:rsidR="0092330A">
        <w:t>the case a</w:t>
      </w:r>
      <w:r w:rsidRPr="00773B9B">
        <w:t>uthor</w:t>
      </w:r>
      <w:r w:rsidR="0092330A">
        <w:t>s</w:t>
      </w:r>
      <w:r w:rsidRPr="00773B9B">
        <w:t>, based on</w:t>
      </w:r>
      <w:r w:rsidR="00C66AD0">
        <w:t xml:space="preserve"> an interview with</w:t>
      </w:r>
      <w:r w:rsidRPr="00773B9B">
        <w:t xml:space="preserve"> Meghan Perry</w:t>
      </w:r>
      <w:r w:rsidR="0092330A">
        <w:t xml:space="preserve"> (chief financial officer, </w:t>
      </w:r>
      <w:r w:rsidRPr="00773B9B">
        <w:t>Hop Compost</w:t>
      </w:r>
      <w:r w:rsidR="0092330A">
        <w:t>)</w:t>
      </w:r>
      <w:r w:rsidR="00C66AD0">
        <w:t xml:space="preserve"> on</w:t>
      </w:r>
      <w:r w:rsidRPr="00773B9B">
        <w:t xml:space="preserve"> November 1</w:t>
      </w:r>
      <w:r w:rsidR="0092330A">
        <w:t>,</w:t>
      </w:r>
      <w:r w:rsidRPr="00773B9B">
        <w:t xml:space="preserve"> 2016</w:t>
      </w:r>
      <w:r>
        <w:t>.</w:t>
      </w:r>
    </w:p>
    <w:p w14:paraId="3130E330" w14:textId="77777777" w:rsidR="007D1BE4" w:rsidRPr="00D93284" w:rsidRDefault="007D1BE4" w:rsidP="00CC6CFA">
      <w:pPr>
        <w:pStyle w:val="ExhibitText"/>
        <w:rPr>
          <w:sz w:val="17"/>
          <w:vertAlign w:val="subscript"/>
        </w:rPr>
      </w:pPr>
      <w:r>
        <w:rPr>
          <w:vertAlign w:val="subscript"/>
        </w:rPr>
        <w:br w:type="page"/>
      </w:r>
    </w:p>
    <w:p w14:paraId="69F8D1C7" w14:textId="77777777" w:rsidR="009B1CDA" w:rsidRDefault="007D1BE4" w:rsidP="00CC6CFA">
      <w:pPr>
        <w:pStyle w:val="ExhibitHeading"/>
        <w:outlineLvl w:val="0"/>
      </w:pPr>
      <w:r>
        <w:lastRenderedPageBreak/>
        <w:t>Exhibit 2</w:t>
      </w:r>
      <w:r w:rsidRPr="008010BB">
        <w:t xml:space="preserve">: </w:t>
      </w:r>
      <w:r w:rsidR="009B1CDA">
        <w:t>Hop Compost—</w:t>
      </w:r>
      <w:r>
        <w:t>Statement of Financial Position</w:t>
      </w:r>
      <w:r w:rsidR="009B1CDA">
        <w:t xml:space="preserve">, </w:t>
      </w:r>
    </w:p>
    <w:p w14:paraId="7D73C10D" w14:textId="465946AA" w:rsidR="007D1BE4" w:rsidRPr="008010BB" w:rsidRDefault="009B1CDA" w:rsidP="0084066A">
      <w:pPr>
        <w:pStyle w:val="ExhibitHeading"/>
        <w:outlineLvl w:val="0"/>
      </w:pPr>
      <w:r>
        <w:t>end of fiscal year 1 (2016)</w:t>
      </w:r>
    </w:p>
    <w:p w14:paraId="5CC2007D" w14:textId="77777777" w:rsidR="007D1BE4" w:rsidRDefault="007D1BE4" w:rsidP="00C10283">
      <w:pPr>
        <w:pStyle w:val="ExhibitText"/>
      </w:pPr>
    </w:p>
    <w:tbl>
      <w:tblPr>
        <w:tblW w:w="5760" w:type="dxa"/>
        <w:jc w:val="center"/>
        <w:tblLook w:val="04A0" w:firstRow="1" w:lastRow="0" w:firstColumn="1" w:lastColumn="0" w:noHBand="0" w:noVBand="1"/>
      </w:tblPr>
      <w:tblGrid>
        <w:gridCol w:w="4320"/>
        <w:gridCol w:w="1440"/>
      </w:tblGrid>
      <w:tr w:rsidR="009B1CDA" w:rsidRPr="00C56A7B" w14:paraId="555F4A01" w14:textId="77777777" w:rsidTr="00B83E6B">
        <w:trPr>
          <w:trHeight w:val="288"/>
          <w:jc w:val="center"/>
        </w:trPr>
        <w:tc>
          <w:tcPr>
            <w:tcW w:w="0" w:type="auto"/>
            <w:tcBorders>
              <w:top w:val="nil"/>
              <w:left w:val="nil"/>
              <w:bottom w:val="nil"/>
              <w:right w:val="nil"/>
            </w:tcBorders>
            <w:shd w:val="clear" w:color="auto" w:fill="auto"/>
            <w:noWrap/>
            <w:vAlign w:val="center"/>
            <w:hideMark/>
          </w:tcPr>
          <w:p w14:paraId="381749A9" w14:textId="77777777" w:rsidR="009B1CDA" w:rsidRPr="00C56A7B" w:rsidRDefault="009B1CDA" w:rsidP="00C10283">
            <w:pPr>
              <w:pStyle w:val="ExhibitText"/>
            </w:pPr>
          </w:p>
        </w:tc>
        <w:tc>
          <w:tcPr>
            <w:tcW w:w="1440" w:type="dxa"/>
            <w:tcBorders>
              <w:top w:val="nil"/>
              <w:left w:val="nil"/>
              <w:bottom w:val="nil"/>
              <w:right w:val="nil"/>
            </w:tcBorders>
            <w:shd w:val="clear" w:color="auto" w:fill="auto"/>
            <w:noWrap/>
            <w:vAlign w:val="center"/>
            <w:hideMark/>
          </w:tcPr>
          <w:p w14:paraId="7071B5FB" w14:textId="5180C0F7" w:rsidR="009B1CDA" w:rsidRPr="00B83E6B" w:rsidRDefault="009B1CDA" w:rsidP="00B83E6B">
            <w:pPr>
              <w:pStyle w:val="ExhibitText"/>
              <w:jc w:val="right"/>
              <w:rPr>
                <w:b/>
              </w:rPr>
            </w:pPr>
            <w:r w:rsidRPr="00B83E6B">
              <w:rPr>
                <w:b/>
              </w:rPr>
              <w:t xml:space="preserve">in </w:t>
            </w:r>
            <w:r w:rsidR="00FB1DEF">
              <w:rPr>
                <w:b/>
              </w:rPr>
              <w:t>CA</w:t>
            </w:r>
            <w:r w:rsidRPr="00B83E6B">
              <w:rPr>
                <w:b/>
              </w:rPr>
              <w:t>$</w:t>
            </w:r>
          </w:p>
        </w:tc>
      </w:tr>
      <w:tr w:rsidR="009B1CDA" w:rsidRPr="00C56A7B" w14:paraId="7071AE6E"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76741D36" w14:textId="16262838" w:rsidR="009B1CDA" w:rsidRPr="00C56A7B" w:rsidRDefault="009B1CDA" w:rsidP="00C10283">
            <w:pPr>
              <w:pStyle w:val="ExhibitText"/>
            </w:pPr>
            <w:r w:rsidRPr="00C56A7B">
              <w:t>Current Assets</w:t>
            </w:r>
          </w:p>
        </w:tc>
        <w:tc>
          <w:tcPr>
            <w:tcW w:w="1440" w:type="dxa"/>
            <w:tcBorders>
              <w:top w:val="nil"/>
              <w:left w:val="nil"/>
              <w:bottom w:val="nil"/>
              <w:right w:val="nil"/>
            </w:tcBorders>
            <w:shd w:val="clear" w:color="auto" w:fill="auto"/>
            <w:noWrap/>
            <w:vAlign w:val="center"/>
            <w:hideMark/>
          </w:tcPr>
          <w:p w14:paraId="5F919E45" w14:textId="77777777" w:rsidR="009B1CDA" w:rsidRPr="00C56A7B" w:rsidRDefault="009B1CDA" w:rsidP="009B1CDA">
            <w:pPr>
              <w:pStyle w:val="ExhibitText"/>
              <w:jc w:val="right"/>
            </w:pPr>
          </w:p>
        </w:tc>
      </w:tr>
      <w:tr w:rsidR="009B1CDA" w:rsidRPr="00C56A7B" w14:paraId="28751A69"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131CCDCE" w14:textId="0BA1A107" w:rsidR="009B1CDA" w:rsidRPr="00C56A7B" w:rsidRDefault="009B1CDA" w:rsidP="00441A95">
            <w:pPr>
              <w:pStyle w:val="ExhibitText"/>
              <w:ind w:left="144"/>
            </w:pPr>
            <w:r w:rsidRPr="00C56A7B">
              <w:t>Cash</w:t>
            </w:r>
          </w:p>
        </w:tc>
        <w:tc>
          <w:tcPr>
            <w:tcW w:w="1440" w:type="dxa"/>
            <w:tcBorders>
              <w:top w:val="nil"/>
              <w:left w:val="nil"/>
              <w:bottom w:val="single" w:sz="4" w:space="0" w:color="auto"/>
              <w:right w:val="nil"/>
            </w:tcBorders>
            <w:shd w:val="clear" w:color="auto" w:fill="auto"/>
            <w:noWrap/>
            <w:vAlign w:val="center"/>
            <w:hideMark/>
          </w:tcPr>
          <w:p w14:paraId="531003F8" w14:textId="02F43E17" w:rsidR="009B1CDA" w:rsidRPr="00C56A7B" w:rsidRDefault="009B1CDA" w:rsidP="009B1CDA">
            <w:pPr>
              <w:pStyle w:val="ExhibitText"/>
              <w:jc w:val="right"/>
            </w:pPr>
            <w:r w:rsidRPr="00C56A7B">
              <w:t xml:space="preserve">250,000 </w:t>
            </w:r>
          </w:p>
        </w:tc>
      </w:tr>
      <w:tr w:rsidR="00C56A7B" w:rsidRPr="00C56A7B" w14:paraId="6D6848D9"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2F82F567" w14:textId="7412940D" w:rsidR="00C56A7B" w:rsidRPr="00C56A7B" w:rsidRDefault="00C56A7B" w:rsidP="00C10283">
            <w:pPr>
              <w:pStyle w:val="ExhibitText"/>
            </w:pPr>
            <w:r w:rsidRPr="00C56A7B">
              <w:t>Total Current Assets</w:t>
            </w:r>
          </w:p>
        </w:tc>
        <w:tc>
          <w:tcPr>
            <w:tcW w:w="1440" w:type="dxa"/>
            <w:tcBorders>
              <w:top w:val="nil"/>
              <w:left w:val="nil"/>
              <w:bottom w:val="nil"/>
              <w:right w:val="nil"/>
            </w:tcBorders>
            <w:shd w:val="clear" w:color="auto" w:fill="auto"/>
            <w:noWrap/>
            <w:vAlign w:val="center"/>
            <w:hideMark/>
          </w:tcPr>
          <w:p w14:paraId="4E0D404A" w14:textId="6EFE9A98" w:rsidR="00C56A7B" w:rsidRPr="00C56A7B" w:rsidRDefault="00C56A7B" w:rsidP="009B1CDA">
            <w:pPr>
              <w:pStyle w:val="ExhibitText"/>
              <w:jc w:val="right"/>
            </w:pPr>
            <w:r w:rsidRPr="00C56A7B">
              <w:t xml:space="preserve">250,000 </w:t>
            </w:r>
          </w:p>
        </w:tc>
      </w:tr>
      <w:tr w:rsidR="009B1CDA" w:rsidRPr="00C56A7B" w14:paraId="51F71426"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59BE9881" w14:textId="77777777" w:rsidR="009B1CDA" w:rsidRPr="00C56A7B" w:rsidRDefault="009B1CDA" w:rsidP="00C10283">
            <w:pPr>
              <w:pStyle w:val="ExhibitText"/>
            </w:pPr>
          </w:p>
        </w:tc>
        <w:tc>
          <w:tcPr>
            <w:tcW w:w="1440" w:type="dxa"/>
            <w:tcBorders>
              <w:top w:val="nil"/>
              <w:left w:val="nil"/>
              <w:bottom w:val="nil"/>
              <w:right w:val="nil"/>
            </w:tcBorders>
            <w:shd w:val="clear" w:color="auto" w:fill="auto"/>
            <w:noWrap/>
            <w:vAlign w:val="center"/>
            <w:hideMark/>
          </w:tcPr>
          <w:p w14:paraId="7FED698C" w14:textId="77777777" w:rsidR="009B1CDA" w:rsidRPr="00C56A7B" w:rsidRDefault="009B1CDA" w:rsidP="009B1CDA">
            <w:pPr>
              <w:pStyle w:val="ExhibitText"/>
              <w:jc w:val="right"/>
            </w:pPr>
          </w:p>
        </w:tc>
      </w:tr>
      <w:tr w:rsidR="009B1CDA" w:rsidRPr="00C56A7B" w14:paraId="65162817"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61BCC4D2" w14:textId="3E20EE98" w:rsidR="009B1CDA" w:rsidRPr="00C56A7B" w:rsidRDefault="009B1CDA" w:rsidP="00C10283">
            <w:pPr>
              <w:pStyle w:val="ExhibitText"/>
            </w:pPr>
            <w:r w:rsidRPr="00C56A7B">
              <w:t>Non-Current Assets</w:t>
            </w:r>
          </w:p>
        </w:tc>
        <w:tc>
          <w:tcPr>
            <w:tcW w:w="1440" w:type="dxa"/>
            <w:tcBorders>
              <w:top w:val="nil"/>
              <w:left w:val="nil"/>
              <w:bottom w:val="nil"/>
              <w:right w:val="nil"/>
            </w:tcBorders>
            <w:shd w:val="clear" w:color="auto" w:fill="auto"/>
            <w:noWrap/>
            <w:vAlign w:val="center"/>
            <w:hideMark/>
          </w:tcPr>
          <w:p w14:paraId="21D78BAD" w14:textId="77777777" w:rsidR="009B1CDA" w:rsidRPr="00C56A7B" w:rsidRDefault="009B1CDA" w:rsidP="009B1CDA">
            <w:pPr>
              <w:pStyle w:val="ExhibitText"/>
              <w:jc w:val="right"/>
            </w:pPr>
          </w:p>
        </w:tc>
      </w:tr>
      <w:tr w:rsidR="009B1CDA" w:rsidRPr="00C56A7B" w14:paraId="26015CC5"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4F5E57F2" w14:textId="027E3E1E" w:rsidR="009B1CDA" w:rsidRPr="00C56A7B" w:rsidRDefault="009B1CDA" w:rsidP="00441A95">
            <w:pPr>
              <w:pStyle w:val="ExhibitText"/>
              <w:ind w:left="144"/>
            </w:pPr>
            <w:r w:rsidRPr="00C56A7B">
              <w:t>Trucks</w:t>
            </w:r>
          </w:p>
        </w:tc>
        <w:tc>
          <w:tcPr>
            <w:tcW w:w="1440" w:type="dxa"/>
            <w:tcBorders>
              <w:top w:val="nil"/>
              <w:left w:val="nil"/>
              <w:bottom w:val="nil"/>
              <w:right w:val="nil"/>
            </w:tcBorders>
            <w:shd w:val="clear" w:color="auto" w:fill="auto"/>
            <w:noWrap/>
            <w:vAlign w:val="center"/>
            <w:hideMark/>
          </w:tcPr>
          <w:p w14:paraId="7160B4B4" w14:textId="387DB9CD" w:rsidR="009B1CDA" w:rsidRPr="00C56A7B" w:rsidRDefault="009B1CDA" w:rsidP="009B1CDA">
            <w:pPr>
              <w:pStyle w:val="ExhibitText"/>
              <w:jc w:val="right"/>
            </w:pPr>
            <w:r w:rsidRPr="00C56A7B">
              <w:t xml:space="preserve">250,000 </w:t>
            </w:r>
          </w:p>
        </w:tc>
      </w:tr>
      <w:tr w:rsidR="009B1CDA" w:rsidRPr="00C56A7B" w14:paraId="26465AC1"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45535D57" w14:textId="2CBFAE55" w:rsidR="009B1CDA" w:rsidRPr="00C56A7B" w:rsidRDefault="009B1CDA" w:rsidP="00441A95">
            <w:pPr>
              <w:pStyle w:val="ExhibitText"/>
              <w:ind w:left="144"/>
            </w:pPr>
            <w:r w:rsidRPr="00C56A7B">
              <w:t>Machines</w:t>
            </w:r>
          </w:p>
        </w:tc>
        <w:tc>
          <w:tcPr>
            <w:tcW w:w="1440" w:type="dxa"/>
            <w:tcBorders>
              <w:top w:val="nil"/>
              <w:left w:val="nil"/>
              <w:bottom w:val="single" w:sz="4" w:space="0" w:color="auto"/>
              <w:right w:val="nil"/>
            </w:tcBorders>
            <w:shd w:val="clear" w:color="auto" w:fill="auto"/>
            <w:noWrap/>
            <w:vAlign w:val="center"/>
            <w:hideMark/>
          </w:tcPr>
          <w:p w14:paraId="2A309EBC" w14:textId="4A4DAC56" w:rsidR="009B1CDA" w:rsidRPr="00C56A7B" w:rsidRDefault="009B1CDA" w:rsidP="009B1CDA">
            <w:pPr>
              <w:pStyle w:val="ExhibitText"/>
              <w:jc w:val="right"/>
            </w:pPr>
            <w:r w:rsidRPr="00C56A7B">
              <w:t xml:space="preserve">1,000,000 </w:t>
            </w:r>
          </w:p>
        </w:tc>
      </w:tr>
      <w:tr w:rsidR="00C56A7B" w:rsidRPr="00C56A7B" w14:paraId="61B90151"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74146A63" w14:textId="77777777" w:rsidR="00C56A7B" w:rsidRPr="00C56A7B" w:rsidRDefault="00C56A7B" w:rsidP="00C10283">
            <w:pPr>
              <w:pStyle w:val="ExhibitText"/>
            </w:pPr>
            <w:r w:rsidRPr="00C56A7B">
              <w:t>Total Non-Current Assets</w:t>
            </w:r>
          </w:p>
        </w:tc>
        <w:tc>
          <w:tcPr>
            <w:tcW w:w="1440" w:type="dxa"/>
            <w:tcBorders>
              <w:top w:val="nil"/>
              <w:left w:val="nil"/>
              <w:bottom w:val="nil"/>
              <w:right w:val="nil"/>
            </w:tcBorders>
            <w:shd w:val="clear" w:color="auto" w:fill="auto"/>
            <w:noWrap/>
            <w:vAlign w:val="center"/>
            <w:hideMark/>
          </w:tcPr>
          <w:p w14:paraId="4E4254B8" w14:textId="20D9484B" w:rsidR="00C56A7B" w:rsidRPr="00C56A7B" w:rsidRDefault="00C56A7B" w:rsidP="009B1CDA">
            <w:pPr>
              <w:pStyle w:val="ExhibitText"/>
              <w:jc w:val="right"/>
            </w:pPr>
            <w:r w:rsidRPr="00C56A7B">
              <w:t xml:space="preserve">1,250,000 </w:t>
            </w:r>
          </w:p>
        </w:tc>
      </w:tr>
      <w:tr w:rsidR="009B1CDA" w:rsidRPr="00C56A7B" w14:paraId="74F3503E"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2B3D3409" w14:textId="77777777" w:rsidR="009B1CDA" w:rsidRPr="00C56A7B" w:rsidRDefault="009B1CDA" w:rsidP="00C10283">
            <w:pPr>
              <w:pStyle w:val="ExhibitText"/>
            </w:pPr>
          </w:p>
        </w:tc>
        <w:tc>
          <w:tcPr>
            <w:tcW w:w="1440" w:type="dxa"/>
            <w:tcBorders>
              <w:top w:val="nil"/>
              <w:left w:val="nil"/>
              <w:bottom w:val="nil"/>
              <w:right w:val="nil"/>
            </w:tcBorders>
            <w:shd w:val="clear" w:color="auto" w:fill="auto"/>
            <w:noWrap/>
            <w:vAlign w:val="center"/>
            <w:hideMark/>
          </w:tcPr>
          <w:p w14:paraId="6601FA7C" w14:textId="77777777" w:rsidR="009B1CDA" w:rsidRPr="00C56A7B" w:rsidRDefault="009B1CDA" w:rsidP="009B1CDA">
            <w:pPr>
              <w:pStyle w:val="ExhibitText"/>
              <w:jc w:val="right"/>
            </w:pPr>
          </w:p>
        </w:tc>
      </w:tr>
      <w:tr w:rsidR="009B1CDA" w:rsidRPr="00C10283" w14:paraId="0CFA7D8F"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6679E1C3" w14:textId="67FBE743" w:rsidR="009B1CDA" w:rsidRPr="00C10283" w:rsidRDefault="009B1CDA" w:rsidP="00C10283">
            <w:pPr>
              <w:pStyle w:val="ExhibitText"/>
              <w:rPr>
                <w:b/>
              </w:rPr>
            </w:pPr>
            <w:r w:rsidRPr="00C10283">
              <w:rPr>
                <w:b/>
              </w:rPr>
              <w:t>Total Assets</w:t>
            </w:r>
          </w:p>
        </w:tc>
        <w:tc>
          <w:tcPr>
            <w:tcW w:w="1440" w:type="dxa"/>
            <w:tcBorders>
              <w:top w:val="single" w:sz="4" w:space="0" w:color="auto"/>
              <w:left w:val="nil"/>
              <w:bottom w:val="double" w:sz="6" w:space="0" w:color="auto"/>
              <w:right w:val="nil"/>
            </w:tcBorders>
            <w:shd w:val="clear" w:color="auto" w:fill="auto"/>
            <w:noWrap/>
            <w:vAlign w:val="center"/>
            <w:hideMark/>
          </w:tcPr>
          <w:p w14:paraId="6CD6F178" w14:textId="4AB7320C" w:rsidR="009B1CDA" w:rsidRPr="00C10283" w:rsidRDefault="009B1CDA" w:rsidP="009B1CDA">
            <w:pPr>
              <w:pStyle w:val="ExhibitText"/>
              <w:jc w:val="right"/>
              <w:rPr>
                <w:b/>
              </w:rPr>
            </w:pPr>
            <w:r w:rsidRPr="00C10283">
              <w:rPr>
                <w:b/>
              </w:rPr>
              <w:t xml:space="preserve">1,500,000 </w:t>
            </w:r>
          </w:p>
        </w:tc>
      </w:tr>
      <w:tr w:rsidR="009B1CDA" w:rsidRPr="00C56A7B" w14:paraId="40DD9939"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21A4B310" w14:textId="77777777" w:rsidR="009B1CDA" w:rsidRPr="00C56A7B" w:rsidRDefault="009B1CDA" w:rsidP="00C10283">
            <w:pPr>
              <w:pStyle w:val="ExhibitText"/>
            </w:pPr>
          </w:p>
        </w:tc>
        <w:tc>
          <w:tcPr>
            <w:tcW w:w="1440" w:type="dxa"/>
            <w:tcBorders>
              <w:top w:val="nil"/>
              <w:left w:val="nil"/>
              <w:bottom w:val="nil"/>
              <w:right w:val="nil"/>
            </w:tcBorders>
            <w:shd w:val="clear" w:color="auto" w:fill="auto"/>
            <w:noWrap/>
            <w:vAlign w:val="center"/>
            <w:hideMark/>
          </w:tcPr>
          <w:p w14:paraId="46763BB6" w14:textId="77777777" w:rsidR="009B1CDA" w:rsidRPr="00C56A7B" w:rsidRDefault="009B1CDA" w:rsidP="009B1CDA">
            <w:pPr>
              <w:pStyle w:val="ExhibitText"/>
              <w:jc w:val="right"/>
            </w:pPr>
          </w:p>
        </w:tc>
      </w:tr>
      <w:tr w:rsidR="009B1CDA" w:rsidRPr="00C56A7B" w14:paraId="16EDD946"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4BCE5742" w14:textId="3F841326" w:rsidR="009B1CDA" w:rsidRPr="00C56A7B" w:rsidRDefault="009B1CDA" w:rsidP="00C10283">
            <w:pPr>
              <w:pStyle w:val="ExhibitText"/>
            </w:pPr>
            <w:r w:rsidRPr="00C56A7B">
              <w:t>Current Liabilities</w:t>
            </w:r>
          </w:p>
        </w:tc>
        <w:tc>
          <w:tcPr>
            <w:tcW w:w="1440" w:type="dxa"/>
            <w:tcBorders>
              <w:top w:val="nil"/>
              <w:left w:val="nil"/>
              <w:bottom w:val="nil"/>
              <w:right w:val="nil"/>
            </w:tcBorders>
            <w:shd w:val="clear" w:color="auto" w:fill="auto"/>
            <w:noWrap/>
            <w:vAlign w:val="center"/>
            <w:hideMark/>
          </w:tcPr>
          <w:p w14:paraId="45F65A2A" w14:textId="77777777" w:rsidR="009B1CDA" w:rsidRPr="00C56A7B" w:rsidRDefault="009B1CDA" w:rsidP="009B1CDA">
            <w:pPr>
              <w:pStyle w:val="ExhibitText"/>
              <w:jc w:val="right"/>
            </w:pPr>
          </w:p>
        </w:tc>
      </w:tr>
      <w:tr w:rsidR="009B1CDA" w:rsidRPr="00C56A7B" w14:paraId="11E45ED0"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6500E354" w14:textId="77777777" w:rsidR="009B1CDA" w:rsidRPr="00C56A7B" w:rsidRDefault="009B1CDA" w:rsidP="00441A95">
            <w:pPr>
              <w:pStyle w:val="ExhibitText"/>
              <w:ind w:left="144"/>
            </w:pPr>
            <w:r w:rsidRPr="00C56A7B">
              <w:t>Bank Loan</w:t>
            </w:r>
          </w:p>
        </w:tc>
        <w:tc>
          <w:tcPr>
            <w:tcW w:w="1440" w:type="dxa"/>
            <w:tcBorders>
              <w:top w:val="nil"/>
              <w:left w:val="nil"/>
              <w:bottom w:val="single" w:sz="4" w:space="0" w:color="auto"/>
              <w:right w:val="nil"/>
            </w:tcBorders>
            <w:shd w:val="clear" w:color="auto" w:fill="auto"/>
            <w:noWrap/>
            <w:vAlign w:val="center"/>
            <w:hideMark/>
          </w:tcPr>
          <w:p w14:paraId="6E1E0CF7" w14:textId="7107D72A" w:rsidR="009B1CDA" w:rsidRPr="00C56A7B" w:rsidRDefault="009B1CDA" w:rsidP="009B1CDA">
            <w:pPr>
              <w:pStyle w:val="ExhibitText"/>
              <w:jc w:val="right"/>
            </w:pPr>
            <w:r w:rsidRPr="00C56A7B">
              <w:t xml:space="preserve">100,000 </w:t>
            </w:r>
          </w:p>
        </w:tc>
      </w:tr>
      <w:tr w:rsidR="00C56A7B" w:rsidRPr="00C56A7B" w14:paraId="2F1A203B"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01160771" w14:textId="77777777" w:rsidR="00C56A7B" w:rsidRPr="00C56A7B" w:rsidRDefault="00C56A7B" w:rsidP="00C10283">
            <w:pPr>
              <w:pStyle w:val="ExhibitText"/>
            </w:pPr>
            <w:r w:rsidRPr="00C56A7B">
              <w:t>Total Current Liabilities</w:t>
            </w:r>
          </w:p>
        </w:tc>
        <w:tc>
          <w:tcPr>
            <w:tcW w:w="1440" w:type="dxa"/>
            <w:tcBorders>
              <w:top w:val="nil"/>
              <w:left w:val="nil"/>
              <w:bottom w:val="nil"/>
              <w:right w:val="nil"/>
            </w:tcBorders>
            <w:shd w:val="clear" w:color="auto" w:fill="auto"/>
            <w:noWrap/>
            <w:vAlign w:val="center"/>
            <w:hideMark/>
          </w:tcPr>
          <w:p w14:paraId="45281E2B" w14:textId="54D65A2C" w:rsidR="00C56A7B" w:rsidRPr="00C56A7B" w:rsidRDefault="00C56A7B" w:rsidP="009B1CDA">
            <w:pPr>
              <w:pStyle w:val="ExhibitText"/>
              <w:jc w:val="right"/>
            </w:pPr>
            <w:r w:rsidRPr="00C56A7B">
              <w:t xml:space="preserve">100,000 </w:t>
            </w:r>
          </w:p>
        </w:tc>
      </w:tr>
      <w:tr w:rsidR="009B1CDA" w:rsidRPr="00C56A7B" w14:paraId="3363025F"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761B9D89" w14:textId="77777777" w:rsidR="009B1CDA" w:rsidRPr="00C56A7B" w:rsidRDefault="009B1CDA" w:rsidP="00C10283">
            <w:pPr>
              <w:pStyle w:val="ExhibitText"/>
            </w:pPr>
          </w:p>
        </w:tc>
        <w:tc>
          <w:tcPr>
            <w:tcW w:w="1440" w:type="dxa"/>
            <w:tcBorders>
              <w:top w:val="nil"/>
              <w:left w:val="nil"/>
              <w:bottom w:val="nil"/>
              <w:right w:val="nil"/>
            </w:tcBorders>
            <w:shd w:val="clear" w:color="auto" w:fill="auto"/>
            <w:noWrap/>
            <w:vAlign w:val="center"/>
            <w:hideMark/>
          </w:tcPr>
          <w:p w14:paraId="1C779A31" w14:textId="77777777" w:rsidR="009B1CDA" w:rsidRPr="00C56A7B" w:rsidRDefault="009B1CDA" w:rsidP="009B1CDA">
            <w:pPr>
              <w:pStyle w:val="ExhibitText"/>
              <w:jc w:val="right"/>
            </w:pPr>
          </w:p>
        </w:tc>
      </w:tr>
      <w:tr w:rsidR="00C56A7B" w:rsidRPr="00C56A7B" w14:paraId="22C5F3DA"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785ED5AB" w14:textId="1167946B" w:rsidR="00C56A7B" w:rsidRPr="00C56A7B" w:rsidRDefault="00C56A7B" w:rsidP="00C10283">
            <w:pPr>
              <w:pStyle w:val="ExhibitText"/>
            </w:pPr>
            <w:r w:rsidRPr="00C56A7B">
              <w:t>Non-Current Liabilit</w:t>
            </w:r>
            <w:r w:rsidR="0092330A">
              <w:t>i</w:t>
            </w:r>
            <w:r w:rsidRPr="00C56A7B">
              <w:t>es</w:t>
            </w:r>
          </w:p>
        </w:tc>
        <w:tc>
          <w:tcPr>
            <w:tcW w:w="1440" w:type="dxa"/>
            <w:tcBorders>
              <w:top w:val="nil"/>
              <w:left w:val="nil"/>
              <w:bottom w:val="nil"/>
              <w:right w:val="nil"/>
            </w:tcBorders>
            <w:shd w:val="clear" w:color="auto" w:fill="auto"/>
            <w:noWrap/>
            <w:vAlign w:val="center"/>
            <w:hideMark/>
          </w:tcPr>
          <w:p w14:paraId="6937F52F" w14:textId="77777777" w:rsidR="00C56A7B" w:rsidRPr="00C56A7B" w:rsidRDefault="00C56A7B" w:rsidP="009B1CDA">
            <w:pPr>
              <w:pStyle w:val="ExhibitText"/>
              <w:jc w:val="right"/>
            </w:pPr>
          </w:p>
        </w:tc>
      </w:tr>
      <w:tr w:rsidR="009B1CDA" w:rsidRPr="00C56A7B" w14:paraId="1682A386"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78B2C343" w14:textId="77777777" w:rsidR="009B1CDA" w:rsidRPr="00C56A7B" w:rsidRDefault="009B1CDA" w:rsidP="00441A95">
            <w:pPr>
              <w:pStyle w:val="ExhibitText"/>
              <w:ind w:left="144"/>
            </w:pPr>
            <w:r w:rsidRPr="00C56A7B">
              <w:t>Bank Loan</w:t>
            </w:r>
          </w:p>
        </w:tc>
        <w:tc>
          <w:tcPr>
            <w:tcW w:w="1440" w:type="dxa"/>
            <w:tcBorders>
              <w:top w:val="nil"/>
              <w:left w:val="nil"/>
              <w:bottom w:val="single" w:sz="4" w:space="0" w:color="auto"/>
              <w:right w:val="nil"/>
            </w:tcBorders>
            <w:shd w:val="clear" w:color="auto" w:fill="auto"/>
            <w:noWrap/>
            <w:vAlign w:val="center"/>
            <w:hideMark/>
          </w:tcPr>
          <w:p w14:paraId="7CF9CEE2" w14:textId="56C12753" w:rsidR="009B1CDA" w:rsidRPr="00C56A7B" w:rsidRDefault="009B1CDA" w:rsidP="009B1CDA">
            <w:pPr>
              <w:pStyle w:val="ExhibitText"/>
              <w:jc w:val="right"/>
            </w:pPr>
            <w:r w:rsidRPr="00C56A7B">
              <w:t xml:space="preserve">600,000 </w:t>
            </w:r>
          </w:p>
        </w:tc>
      </w:tr>
      <w:tr w:rsidR="009B1CDA" w:rsidRPr="00C56A7B" w14:paraId="4EE4C1ED"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1029EC7B" w14:textId="7ECF65BF" w:rsidR="009B1CDA" w:rsidRPr="00C56A7B" w:rsidRDefault="009B1CDA" w:rsidP="00C10283">
            <w:pPr>
              <w:pStyle w:val="ExhibitText"/>
            </w:pPr>
            <w:r w:rsidRPr="00C56A7B">
              <w:t>Total Liabilities</w:t>
            </w:r>
          </w:p>
        </w:tc>
        <w:tc>
          <w:tcPr>
            <w:tcW w:w="1440" w:type="dxa"/>
            <w:tcBorders>
              <w:top w:val="nil"/>
              <w:left w:val="nil"/>
              <w:bottom w:val="nil"/>
              <w:right w:val="nil"/>
            </w:tcBorders>
            <w:shd w:val="clear" w:color="auto" w:fill="auto"/>
            <w:noWrap/>
            <w:vAlign w:val="center"/>
            <w:hideMark/>
          </w:tcPr>
          <w:p w14:paraId="3361ED98" w14:textId="4B0E748B" w:rsidR="009B1CDA" w:rsidRPr="00C56A7B" w:rsidRDefault="009B1CDA" w:rsidP="009B1CDA">
            <w:pPr>
              <w:pStyle w:val="ExhibitText"/>
              <w:jc w:val="right"/>
            </w:pPr>
            <w:r w:rsidRPr="00C56A7B">
              <w:t xml:space="preserve">700,000 </w:t>
            </w:r>
          </w:p>
        </w:tc>
      </w:tr>
      <w:tr w:rsidR="009B1CDA" w:rsidRPr="00C56A7B" w14:paraId="56E58A03"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7AAA7B2E" w14:textId="77777777" w:rsidR="009B1CDA" w:rsidRPr="00C56A7B" w:rsidRDefault="009B1CDA" w:rsidP="00C10283">
            <w:pPr>
              <w:pStyle w:val="ExhibitText"/>
            </w:pPr>
          </w:p>
        </w:tc>
        <w:tc>
          <w:tcPr>
            <w:tcW w:w="1440" w:type="dxa"/>
            <w:tcBorders>
              <w:top w:val="nil"/>
              <w:left w:val="nil"/>
              <w:bottom w:val="nil"/>
              <w:right w:val="nil"/>
            </w:tcBorders>
            <w:shd w:val="clear" w:color="auto" w:fill="auto"/>
            <w:noWrap/>
            <w:vAlign w:val="center"/>
            <w:hideMark/>
          </w:tcPr>
          <w:p w14:paraId="794493C3" w14:textId="77777777" w:rsidR="009B1CDA" w:rsidRPr="00C56A7B" w:rsidRDefault="009B1CDA" w:rsidP="009B1CDA">
            <w:pPr>
              <w:pStyle w:val="ExhibitText"/>
              <w:jc w:val="right"/>
            </w:pPr>
          </w:p>
        </w:tc>
      </w:tr>
      <w:tr w:rsidR="00C56A7B" w:rsidRPr="00C56A7B" w14:paraId="7F654217"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3EEC7DC4" w14:textId="07C6BDE6" w:rsidR="00C56A7B" w:rsidRPr="00C56A7B" w:rsidRDefault="00C56A7B" w:rsidP="00C10283">
            <w:pPr>
              <w:pStyle w:val="ExhibitText"/>
            </w:pPr>
            <w:r w:rsidRPr="00C56A7B">
              <w:t>Shareholders</w:t>
            </w:r>
            <w:r w:rsidR="0092330A">
              <w:t>’</w:t>
            </w:r>
            <w:r w:rsidRPr="00C56A7B">
              <w:t xml:space="preserve"> Equity </w:t>
            </w:r>
          </w:p>
        </w:tc>
        <w:tc>
          <w:tcPr>
            <w:tcW w:w="1440" w:type="dxa"/>
            <w:tcBorders>
              <w:top w:val="nil"/>
              <w:left w:val="nil"/>
              <w:bottom w:val="nil"/>
              <w:right w:val="nil"/>
            </w:tcBorders>
            <w:shd w:val="clear" w:color="auto" w:fill="auto"/>
            <w:noWrap/>
            <w:vAlign w:val="center"/>
            <w:hideMark/>
          </w:tcPr>
          <w:p w14:paraId="11A19888" w14:textId="77777777" w:rsidR="00C56A7B" w:rsidRPr="00C56A7B" w:rsidRDefault="00C56A7B" w:rsidP="009B1CDA">
            <w:pPr>
              <w:pStyle w:val="ExhibitText"/>
              <w:jc w:val="right"/>
            </w:pPr>
          </w:p>
        </w:tc>
      </w:tr>
      <w:tr w:rsidR="009B1CDA" w:rsidRPr="00C56A7B" w14:paraId="434AAFDA"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65233436" w14:textId="77777777" w:rsidR="009B1CDA" w:rsidRPr="00C56A7B" w:rsidRDefault="009B1CDA" w:rsidP="00441A95">
            <w:pPr>
              <w:pStyle w:val="ExhibitText"/>
              <w:ind w:left="144"/>
            </w:pPr>
            <w:r w:rsidRPr="00C56A7B">
              <w:t>Common Shares</w:t>
            </w:r>
          </w:p>
        </w:tc>
        <w:tc>
          <w:tcPr>
            <w:tcW w:w="1440" w:type="dxa"/>
            <w:tcBorders>
              <w:top w:val="nil"/>
              <w:left w:val="nil"/>
              <w:bottom w:val="nil"/>
              <w:right w:val="nil"/>
            </w:tcBorders>
            <w:shd w:val="clear" w:color="auto" w:fill="auto"/>
            <w:noWrap/>
            <w:vAlign w:val="center"/>
            <w:hideMark/>
          </w:tcPr>
          <w:p w14:paraId="1296EE8F" w14:textId="0499C6BA" w:rsidR="009B1CDA" w:rsidRPr="00C56A7B" w:rsidRDefault="009B1CDA" w:rsidP="009B1CDA">
            <w:pPr>
              <w:pStyle w:val="ExhibitText"/>
              <w:jc w:val="right"/>
            </w:pPr>
            <w:r w:rsidRPr="00C56A7B">
              <w:t xml:space="preserve">460,000 </w:t>
            </w:r>
          </w:p>
        </w:tc>
      </w:tr>
      <w:tr w:rsidR="009B1CDA" w:rsidRPr="00C56A7B" w14:paraId="60190BFA"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462EC2D0" w14:textId="77777777" w:rsidR="009B1CDA" w:rsidRPr="00C56A7B" w:rsidRDefault="009B1CDA" w:rsidP="00441A95">
            <w:pPr>
              <w:pStyle w:val="ExhibitText"/>
              <w:ind w:left="144"/>
            </w:pPr>
            <w:r w:rsidRPr="00C56A7B">
              <w:t>Retained Earnings</w:t>
            </w:r>
          </w:p>
        </w:tc>
        <w:tc>
          <w:tcPr>
            <w:tcW w:w="1440" w:type="dxa"/>
            <w:tcBorders>
              <w:top w:val="nil"/>
              <w:left w:val="nil"/>
              <w:bottom w:val="single" w:sz="4" w:space="0" w:color="auto"/>
              <w:right w:val="nil"/>
            </w:tcBorders>
            <w:shd w:val="clear" w:color="auto" w:fill="auto"/>
            <w:noWrap/>
            <w:vAlign w:val="center"/>
            <w:hideMark/>
          </w:tcPr>
          <w:p w14:paraId="0AF47AD6" w14:textId="1A6972F6" w:rsidR="009B1CDA" w:rsidRPr="00C56A7B" w:rsidRDefault="009B1CDA" w:rsidP="009B1CDA">
            <w:pPr>
              <w:pStyle w:val="ExhibitText"/>
              <w:jc w:val="right"/>
            </w:pPr>
            <w:r w:rsidRPr="00C56A7B">
              <w:t xml:space="preserve">340,000 </w:t>
            </w:r>
          </w:p>
        </w:tc>
      </w:tr>
      <w:tr w:rsidR="009B1CDA" w:rsidRPr="00C56A7B" w14:paraId="0DE99A12"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1D32143F" w14:textId="0CA3CFB0" w:rsidR="009B1CDA" w:rsidRPr="00C56A7B" w:rsidRDefault="009B1CDA" w:rsidP="00C10283">
            <w:pPr>
              <w:pStyle w:val="ExhibitText"/>
            </w:pPr>
            <w:r w:rsidRPr="00C56A7B">
              <w:t>Total Equity</w:t>
            </w:r>
          </w:p>
        </w:tc>
        <w:tc>
          <w:tcPr>
            <w:tcW w:w="1440" w:type="dxa"/>
            <w:tcBorders>
              <w:top w:val="nil"/>
              <w:left w:val="nil"/>
              <w:bottom w:val="nil"/>
              <w:right w:val="nil"/>
            </w:tcBorders>
            <w:shd w:val="clear" w:color="auto" w:fill="auto"/>
            <w:noWrap/>
            <w:vAlign w:val="center"/>
            <w:hideMark/>
          </w:tcPr>
          <w:p w14:paraId="253F7148" w14:textId="5A6C1358" w:rsidR="009B1CDA" w:rsidRPr="00C56A7B" w:rsidRDefault="009B1CDA" w:rsidP="009B1CDA">
            <w:pPr>
              <w:pStyle w:val="ExhibitText"/>
              <w:jc w:val="right"/>
            </w:pPr>
            <w:r w:rsidRPr="00C56A7B">
              <w:t xml:space="preserve">800,000 </w:t>
            </w:r>
          </w:p>
        </w:tc>
      </w:tr>
      <w:tr w:rsidR="009B1CDA" w:rsidRPr="00C56A7B" w14:paraId="5EC632B6"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12FA0A8A" w14:textId="77777777" w:rsidR="009B1CDA" w:rsidRPr="00C56A7B" w:rsidRDefault="009B1CDA" w:rsidP="00C10283">
            <w:pPr>
              <w:pStyle w:val="ExhibitText"/>
            </w:pPr>
          </w:p>
        </w:tc>
        <w:tc>
          <w:tcPr>
            <w:tcW w:w="1440" w:type="dxa"/>
            <w:tcBorders>
              <w:top w:val="nil"/>
              <w:left w:val="nil"/>
              <w:bottom w:val="nil"/>
              <w:right w:val="nil"/>
            </w:tcBorders>
            <w:shd w:val="clear" w:color="auto" w:fill="auto"/>
            <w:noWrap/>
            <w:vAlign w:val="center"/>
            <w:hideMark/>
          </w:tcPr>
          <w:p w14:paraId="1D72F8F9" w14:textId="77777777" w:rsidR="009B1CDA" w:rsidRPr="00C56A7B" w:rsidRDefault="009B1CDA" w:rsidP="009B1CDA">
            <w:pPr>
              <w:pStyle w:val="ExhibitText"/>
              <w:jc w:val="right"/>
            </w:pPr>
          </w:p>
        </w:tc>
      </w:tr>
      <w:tr w:rsidR="00C56A7B" w:rsidRPr="00441A95" w14:paraId="1A7ABCFD"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74944A2E" w14:textId="6E6FC7BD" w:rsidR="00C56A7B" w:rsidRPr="00441A95" w:rsidRDefault="00C56A7B" w:rsidP="00C10283">
            <w:pPr>
              <w:pStyle w:val="ExhibitText"/>
              <w:rPr>
                <w:b/>
              </w:rPr>
            </w:pPr>
            <w:r w:rsidRPr="00441A95">
              <w:rPr>
                <w:b/>
              </w:rPr>
              <w:t>Total Liabilities and Shareholders</w:t>
            </w:r>
            <w:r w:rsidR="0092330A">
              <w:rPr>
                <w:b/>
              </w:rPr>
              <w:t>’</w:t>
            </w:r>
            <w:r w:rsidRPr="00441A95">
              <w:rPr>
                <w:b/>
              </w:rPr>
              <w:t xml:space="preserve"> Equity</w:t>
            </w:r>
          </w:p>
        </w:tc>
        <w:tc>
          <w:tcPr>
            <w:tcW w:w="1440" w:type="dxa"/>
            <w:tcBorders>
              <w:top w:val="single" w:sz="4" w:space="0" w:color="auto"/>
              <w:left w:val="nil"/>
              <w:bottom w:val="double" w:sz="6" w:space="0" w:color="auto"/>
              <w:right w:val="nil"/>
            </w:tcBorders>
            <w:shd w:val="clear" w:color="auto" w:fill="auto"/>
            <w:noWrap/>
            <w:vAlign w:val="center"/>
            <w:hideMark/>
          </w:tcPr>
          <w:p w14:paraId="77EEAD49" w14:textId="7F2EF7D9" w:rsidR="00C56A7B" w:rsidRPr="00441A95" w:rsidRDefault="00C56A7B" w:rsidP="009B1CDA">
            <w:pPr>
              <w:pStyle w:val="ExhibitText"/>
              <w:jc w:val="right"/>
              <w:rPr>
                <w:b/>
              </w:rPr>
            </w:pPr>
            <w:r w:rsidRPr="00441A95">
              <w:rPr>
                <w:b/>
              </w:rPr>
              <w:t xml:space="preserve">1,500,000 </w:t>
            </w:r>
          </w:p>
        </w:tc>
      </w:tr>
      <w:tr w:rsidR="009B1CDA" w:rsidRPr="00C56A7B" w14:paraId="14A2FAB3"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753FDBA2" w14:textId="77777777" w:rsidR="009B1CDA" w:rsidRPr="00C56A7B" w:rsidRDefault="009B1CDA" w:rsidP="00C10283">
            <w:pPr>
              <w:pStyle w:val="ExhibitText"/>
            </w:pPr>
          </w:p>
        </w:tc>
        <w:tc>
          <w:tcPr>
            <w:tcW w:w="1440" w:type="dxa"/>
            <w:tcBorders>
              <w:top w:val="nil"/>
              <w:left w:val="nil"/>
              <w:bottom w:val="nil"/>
              <w:right w:val="nil"/>
            </w:tcBorders>
            <w:shd w:val="clear" w:color="auto" w:fill="auto"/>
            <w:noWrap/>
            <w:vAlign w:val="center"/>
            <w:hideMark/>
          </w:tcPr>
          <w:p w14:paraId="2DD9B935" w14:textId="77777777" w:rsidR="009B1CDA" w:rsidRPr="00C56A7B" w:rsidRDefault="009B1CDA" w:rsidP="009B1CDA">
            <w:pPr>
              <w:pStyle w:val="ExhibitText"/>
              <w:jc w:val="right"/>
            </w:pPr>
          </w:p>
        </w:tc>
      </w:tr>
      <w:tr w:rsidR="009B1CDA" w:rsidRPr="00C56A7B" w14:paraId="003477BA" w14:textId="77777777" w:rsidTr="009B1CDA">
        <w:trPr>
          <w:trHeight w:val="288"/>
          <w:jc w:val="center"/>
        </w:trPr>
        <w:tc>
          <w:tcPr>
            <w:tcW w:w="0" w:type="auto"/>
            <w:tcBorders>
              <w:top w:val="nil"/>
              <w:left w:val="nil"/>
              <w:bottom w:val="nil"/>
              <w:right w:val="nil"/>
            </w:tcBorders>
            <w:shd w:val="clear" w:color="auto" w:fill="auto"/>
            <w:noWrap/>
            <w:vAlign w:val="center"/>
            <w:hideMark/>
          </w:tcPr>
          <w:p w14:paraId="66FB8F96" w14:textId="5B8B145A" w:rsidR="009B1CDA" w:rsidRPr="00C56A7B" w:rsidRDefault="009B1CDA" w:rsidP="00C10283">
            <w:pPr>
              <w:pStyle w:val="ExhibitText"/>
            </w:pPr>
            <w:r w:rsidRPr="00C56A7B">
              <w:t>Book Value</w:t>
            </w:r>
          </w:p>
        </w:tc>
        <w:tc>
          <w:tcPr>
            <w:tcW w:w="1440" w:type="dxa"/>
            <w:tcBorders>
              <w:top w:val="nil"/>
              <w:left w:val="nil"/>
              <w:bottom w:val="nil"/>
              <w:right w:val="nil"/>
            </w:tcBorders>
            <w:shd w:val="clear" w:color="auto" w:fill="auto"/>
            <w:noWrap/>
            <w:vAlign w:val="center"/>
            <w:hideMark/>
          </w:tcPr>
          <w:p w14:paraId="5BC06D78" w14:textId="47E73AB7" w:rsidR="009B1CDA" w:rsidRPr="00C56A7B" w:rsidRDefault="009B1CDA" w:rsidP="009B1CDA">
            <w:pPr>
              <w:pStyle w:val="ExhibitText"/>
              <w:jc w:val="right"/>
            </w:pPr>
            <w:r w:rsidRPr="00C56A7B">
              <w:t xml:space="preserve">800,000 </w:t>
            </w:r>
          </w:p>
        </w:tc>
      </w:tr>
    </w:tbl>
    <w:p w14:paraId="1999A37D" w14:textId="79C43001" w:rsidR="007D1BE4" w:rsidRDefault="007D1BE4" w:rsidP="00FA251D">
      <w:pPr>
        <w:pStyle w:val="ExhibitText"/>
      </w:pPr>
    </w:p>
    <w:p w14:paraId="459D935A" w14:textId="6BE0C330" w:rsidR="007D1BE4" w:rsidRDefault="007D1BE4" w:rsidP="007D1BE4">
      <w:pPr>
        <w:pStyle w:val="Footnote"/>
      </w:pPr>
      <w:r w:rsidRPr="00773B9B">
        <w:t xml:space="preserve">Source: </w:t>
      </w:r>
      <w:r w:rsidR="0092330A" w:rsidRPr="0092330A">
        <w:t xml:space="preserve">Created by the case authors, </w:t>
      </w:r>
      <w:r w:rsidR="00C66AD0" w:rsidRPr="00773B9B">
        <w:t>based on</w:t>
      </w:r>
      <w:r w:rsidR="00C66AD0">
        <w:t xml:space="preserve"> an interview with</w:t>
      </w:r>
      <w:r w:rsidR="00C66AD0" w:rsidRPr="00773B9B">
        <w:t xml:space="preserve"> Meghan Perry</w:t>
      </w:r>
      <w:r w:rsidR="00C66AD0">
        <w:t xml:space="preserve"> (chief financial officer, </w:t>
      </w:r>
      <w:r w:rsidR="00C66AD0" w:rsidRPr="00773B9B">
        <w:t>Hop Compost</w:t>
      </w:r>
      <w:r w:rsidR="00C66AD0">
        <w:t>) on</w:t>
      </w:r>
      <w:r w:rsidR="00C66AD0" w:rsidRPr="00773B9B">
        <w:t xml:space="preserve"> November 1</w:t>
      </w:r>
      <w:r w:rsidR="00C66AD0">
        <w:t>,</w:t>
      </w:r>
      <w:r w:rsidR="00C66AD0" w:rsidRPr="00773B9B">
        <w:t xml:space="preserve"> 2016</w:t>
      </w:r>
      <w:r w:rsidR="00C66AD0">
        <w:t>.</w:t>
      </w:r>
    </w:p>
    <w:p w14:paraId="492AAC60" w14:textId="77777777" w:rsidR="007D1BE4" w:rsidRPr="00D93284" w:rsidRDefault="007D1BE4" w:rsidP="00CC6CFA">
      <w:pPr>
        <w:pStyle w:val="ExhibitText"/>
        <w:rPr>
          <w:sz w:val="17"/>
          <w:vertAlign w:val="subscript"/>
        </w:rPr>
      </w:pPr>
      <w:r>
        <w:rPr>
          <w:vertAlign w:val="subscript"/>
        </w:rPr>
        <w:br w:type="page"/>
      </w:r>
    </w:p>
    <w:p w14:paraId="478BC97A" w14:textId="62DC1AB4" w:rsidR="007D1BE4" w:rsidRPr="00D760E1" w:rsidRDefault="007D1BE4" w:rsidP="00CC6CFA">
      <w:pPr>
        <w:pStyle w:val="ExhibitHeading"/>
        <w:outlineLvl w:val="0"/>
      </w:pPr>
      <w:bookmarkStart w:id="1" w:name="_Hlk516739109"/>
      <w:r w:rsidRPr="00D760E1">
        <w:lastRenderedPageBreak/>
        <w:t xml:space="preserve">Exhibit </w:t>
      </w:r>
      <w:r>
        <w:t>3</w:t>
      </w:r>
      <w:r w:rsidR="001B46F8">
        <w:t xml:space="preserve">: </w:t>
      </w:r>
      <w:r w:rsidRPr="00D760E1">
        <w:t>Performance Requi</w:t>
      </w:r>
      <w:r>
        <w:t xml:space="preserve">rements </w:t>
      </w:r>
      <w:r w:rsidR="0092330A">
        <w:t xml:space="preserve">for </w:t>
      </w:r>
      <w:r>
        <w:t>B Corp Certification</w:t>
      </w:r>
    </w:p>
    <w:bookmarkEnd w:id="1"/>
    <w:p w14:paraId="58BD38D7" w14:textId="77777777" w:rsidR="007D1BE4" w:rsidRDefault="007D1BE4" w:rsidP="00CC6CFA">
      <w:pPr>
        <w:pStyle w:val="ExhibitText"/>
      </w:pPr>
    </w:p>
    <w:p w14:paraId="6E3A830B" w14:textId="11EFFE71" w:rsidR="007D1BE4" w:rsidRPr="00D93284" w:rsidRDefault="007D1BE4" w:rsidP="00CC6CFA">
      <w:pPr>
        <w:pStyle w:val="ExhibitText"/>
        <w:numPr>
          <w:ilvl w:val="0"/>
          <w:numId w:val="5"/>
        </w:numPr>
      </w:pPr>
      <w:r w:rsidRPr="00D93284">
        <w:t xml:space="preserve">Take </w:t>
      </w:r>
      <w:r w:rsidR="00FB0746">
        <w:t xml:space="preserve">the </w:t>
      </w:r>
      <w:r w:rsidRPr="00D93284">
        <w:t>B Impact Assessment</w:t>
      </w:r>
      <w:r w:rsidR="00FB0746">
        <w:t>.</w:t>
      </w:r>
    </w:p>
    <w:p w14:paraId="55C22F43" w14:textId="3A5FC29F" w:rsidR="007D1BE4" w:rsidRPr="00D93284" w:rsidRDefault="00FB0746" w:rsidP="00CC6CFA">
      <w:pPr>
        <w:pStyle w:val="ExhibitText"/>
        <w:numPr>
          <w:ilvl w:val="1"/>
          <w:numId w:val="5"/>
        </w:numPr>
      </w:pPr>
      <w:r>
        <w:t xml:space="preserve">Assessment varies depending </w:t>
      </w:r>
      <w:r w:rsidR="007D1BE4" w:rsidRPr="00866EF7">
        <w:t>on company</w:t>
      </w:r>
      <w:r>
        <w:t>’s</w:t>
      </w:r>
      <w:r w:rsidR="007D1BE4" w:rsidRPr="00D93284">
        <w:t xml:space="preserve"> size</w:t>
      </w:r>
      <w:r>
        <w:t xml:space="preserve"> (number of employees)</w:t>
      </w:r>
      <w:r w:rsidR="007D1BE4" w:rsidRPr="00866EF7">
        <w:t>,</w:t>
      </w:r>
      <w:r w:rsidR="007D1BE4" w:rsidRPr="00D93284">
        <w:t xml:space="preserve"> sector, </w:t>
      </w:r>
      <w:r>
        <w:t xml:space="preserve">and </w:t>
      </w:r>
      <w:r w:rsidR="007D1BE4" w:rsidRPr="00D93284">
        <w:t>location of primary operation.</w:t>
      </w:r>
    </w:p>
    <w:p w14:paraId="159BF755" w14:textId="01741DD4" w:rsidR="007D1BE4" w:rsidRPr="00D93284" w:rsidRDefault="007D1BE4" w:rsidP="00CC6CFA">
      <w:pPr>
        <w:pStyle w:val="ExhibitText"/>
        <w:numPr>
          <w:ilvl w:val="1"/>
          <w:numId w:val="5"/>
        </w:numPr>
      </w:pPr>
      <w:r w:rsidRPr="00D93284">
        <w:t xml:space="preserve">The </w:t>
      </w:r>
      <w:r w:rsidR="00FB0746">
        <w:t>a</w:t>
      </w:r>
      <w:r w:rsidRPr="00D93284">
        <w:t>ssessment takes approximately two to four hours to complete.</w:t>
      </w:r>
    </w:p>
    <w:p w14:paraId="1B6C3120" w14:textId="06BA1133" w:rsidR="007D1BE4" w:rsidRPr="00D93284" w:rsidRDefault="007D1BE4" w:rsidP="00CC6CFA">
      <w:pPr>
        <w:pStyle w:val="ExhibitText"/>
        <w:numPr>
          <w:ilvl w:val="1"/>
          <w:numId w:val="5"/>
        </w:numPr>
      </w:pPr>
      <w:r w:rsidRPr="00EF5067">
        <w:t xml:space="preserve">Company receives a </w:t>
      </w:r>
      <w:r w:rsidR="00FB0746">
        <w:t>B Impact R</w:t>
      </w:r>
      <w:r w:rsidRPr="00866EF7">
        <w:t>eport</w:t>
      </w:r>
      <w:r w:rsidRPr="00D93284">
        <w:t xml:space="preserve"> that contains an overall score.</w:t>
      </w:r>
      <w:r w:rsidR="00903B38" w:rsidRPr="00D93284">
        <w:t xml:space="preserve"> </w:t>
      </w:r>
      <w:r w:rsidRPr="00EF5067">
        <w:t xml:space="preserve">The company must achieve a score over 80 </w:t>
      </w:r>
      <w:r w:rsidR="001B46F8">
        <w:t xml:space="preserve">out of 200 </w:t>
      </w:r>
      <w:r w:rsidRPr="00D93284">
        <w:t xml:space="preserve">to proceed. </w:t>
      </w:r>
    </w:p>
    <w:p w14:paraId="5337FDE0" w14:textId="77777777" w:rsidR="00903B38" w:rsidRPr="00866EF7" w:rsidRDefault="00903B38" w:rsidP="00903B38">
      <w:pPr>
        <w:pStyle w:val="ExhibitText"/>
      </w:pPr>
    </w:p>
    <w:p w14:paraId="20A569C6" w14:textId="6A11F141" w:rsidR="007D1BE4" w:rsidRPr="00D93284" w:rsidRDefault="007D1BE4" w:rsidP="00CC6CFA">
      <w:pPr>
        <w:pStyle w:val="ExhibitText"/>
        <w:numPr>
          <w:ilvl w:val="0"/>
          <w:numId w:val="5"/>
        </w:numPr>
      </w:pPr>
      <w:r w:rsidRPr="00D93284">
        <w:t>Schedule assessment review and submit supporting documentation</w:t>
      </w:r>
      <w:r w:rsidR="00FB0746">
        <w:t>.</w:t>
      </w:r>
    </w:p>
    <w:p w14:paraId="04D79FE8" w14:textId="1700A5A8" w:rsidR="007D1BE4" w:rsidRPr="00EF5067" w:rsidRDefault="007D1BE4" w:rsidP="00CC6CFA">
      <w:pPr>
        <w:pStyle w:val="ExhibitText"/>
        <w:numPr>
          <w:ilvl w:val="1"/>
          <w:numId w:val="5"/>
        </w:numPr>
      </w:pPr>
      <w:r w:rsidRPr="00D93284">
        <w:t>Six to eight questions</w:t>
      </w:r>
      <w:r w:rsidRPr="00866EF7">
        <w:t xml:space="preserve"> </w:t>
      </w:r>
      <w:r w:rsidR="00FB0746">
        <w:t>from the Impact Assessment</w:t>
      </w:r>
      <w:r w:rsidR="00FB0746" w:rsidRPr="00D93284">
        <w:t xml:space="preserve"> </w:t>
      </w:r>
      <w:r w:rsidRPr="00D93284">
        <w:t xml:space="preserve">that </w:t>
      </w:r>
      <w:r w:rsidRPr="00EF5067">
        <w:t>were answered in the affirmative are randomly selected by B Labs.</w:t>
      </w:r>
    </w:p>
    <w:p w14:paraId="5F1E4BFD" w14:textId="7FBB6B18" w:rsidR="007D1BE4" w:rsidRPr="00EF5067" w:rsidRDefault="007D1BE4" w:rsidP="00CC6CFA">
      <w:pPr>
        <w:pStyle w:val="ExhibitText"/>
        <w:numPr>
          <w:ilvl w:val="1"/>
          <w:numId w:val="5"/>
        </w:numPr>
      </w:pPr>
      <w:r w:rsidRPr="00EF5067">
        <w:t>The company is asked to demonstrate those practices in more detail through documentation.</w:t>
      </w:r>
    </w:p>
    <w:p w14:paraId="5408784B" w14:textId="77777777" w:rsidR="009B1CDA" w:rsidRPr="00866EF7" w:rsidRDefault="009B1CDA" w:rsidP="009B1CDA">
      <w:pPr>
        <w:pStyle w:val="ExhibitText"/>
      </w:pPr>
    </w:p>
    <w:p w14:paraId="28561868" w14:textId="5E8A753D" w:rsidR="007D1BE4" w:rsidRPr="00D93284" w:rsidRDefault="007D1BE4" w:rsidP="00CC6CFA">
      <w:pPr>
        <w:pStyle w:val="ExhibitText"/>
        <w:numPr>
          <w:ilvl w:val="0"/>
          <w:numId w:val="5"/>
        </w:numPr>
      </w:pPr>
      <w:r w:rsidRPr="00D93284">
        <w:t>Complete the assessment</w:t>
      </w:r>
      <w:r w:rsidR="001B46F8">
        <w:t xml:space="preserve"> review</w:t>
      </w:r>
      <w:r w:rsidR="00FB0746">
        <w:t>.</w:t>
      </w:r>
    </w:p>
    <w:p w14:paraId="09F30C0D" w14:textId="2B32974A" w:rsidR="007D1BE4" w:rsidRPr="00EF5067" w:rsidRDefault="007D1BE4" w:rsidP="00CC6CFA">
      <w:pPr>
        <w:pStyle w:val="ExhibitText"/>
        <w:numPr>
          <w:ilvl w:val="1"/>
          <w:numId w:val="5"/>
        </w:numPr>
      </w:pPr>
      <w:r w:rsidRPr="00D93284">
        <w:t xml:space="preserve">B Lab staff review questions that </w:t>
      </w:r>
      <w:r w:rsidR="00FB0746">
        <w:t>may have been</w:t>
      </w:r>
      <w:r w:rsidR="00FB0746" w:rsidRPr="00D93284">
        <w:t xml:space="preserve"> </w:t>
      </w:r>
      <w:r w:rsidRPr="00D93284">
        <w:t>difficult to answer</w:t>
      </w:r>
      <w:r w:rsidRPr="00EF5067">
        <w:t xml:space="preserve"> or are unclear.</w:t>
      </w:r>
    </w:p>
    <w:p w14:paraId="4C018233" w14:textId="2E8F0B4E" w:rsidR="001B46F8" w:rsidRDefault="001B46F8" w:rsidP="00FA251D">
      <w:pPr>
        <w:pStyle w:val="ExhibitText"/>
        <w:numPr>
          <w:ilvl w:val="1"/>
          <w:numId w:val="5"/>
        </w:numPr>
      </w:pPr>
      <w:r>
        <w:t>Review takes 60 to 90 minutes.</w:t>
      </w:r>
    </w:p>
    <w:p w14:paraId="521EEAC9" w14:textId="77777777" w:rsidR="00903B38" w:rsidRPr="00866EF7" w:rsidRDefault="00903B38" w:rsidP="00903B38">
      <w:pPr>
        <w:pStyle w:val="ExhibitText"/>
      </w:pPr>
    </w:p>
    <w:p w14:paraId="4C220006" w14:textId="3C1D645D" w:rsidR="007D1BE4" w:rsidRPr="00D93284" w:rsidRDefault="007D1BE4" w:rsidP="00CC6CFA">
      <w:pPr>
        <w:pStyle w:val="ExhibitText"/>
        <w:numPr>
          <w:ilvl w:val="0"/>
          <w:numId w:val="5"/>
        </w:numPr>
      </w:pPr>
      <w:r w:rsidRPr="00D93284">
        <w:t>Submit additional documentation</w:t>
      </w:r>
      <w:r w:rsidR="00FB0746">
        <w:t>.</w:t>
      </w:r>
    </w:p>
    <w:p w14:paraId="4F67D3F3" w14:textId="49C7EF72" w:rsidR="007D1BE4" w:rsidRPr="00D93284" w:rsidRDefault="007D1BE4" w:rsidP="00CC6CFA">
      <w:pPr>
        <w:pStyle w:val="ExhibitText"/>
        <w:numPr>
          <w:ilvl w:val="1"/>
          <w:numId w:val="5"/>
        </w:numPr>
      </w:pPr>
      <w:r w:rsidRPr="00D93284">
        <w:t>One to six additional questions are selected by B Labs</w:t>
      </w:r>
      <w:r w:rsidR="001B46F8">
        <w:t xml:space="preserve"> from the Impact Business Model section of the assessment</w:t>
      </w:r>
      <w:r w:rsidR="00FB0746">
        <w:t>.</w:t>
      </w:r>
    </w:p>
    <w:p w14:paraId="5D3AEF16" w14:textId="5EA660D4" w:rsidR="007D1BE4" w:rsidRPr="00D93284" w:rsidRDefault="007D1BE4" w:rsidP="00CC6CFA">
      <w:pPr>
        <w:pStyle w:val="ExhibitText"/>
        <w:numPr>
          <w:ilvl w:val="1"/>
          <w:numId w:val="5"/>
        </w:numPr>
      </w:pPr>
      <w:r w:rsidRPr="00D93284">
        <w:t>The company is asked to provide more documentation</w:t>
      </w:r>
      <w:r w:rsidR="00FB0746">
        <w:t>.</w:t>
      </w:r>
    </w:p>
    <w:p w14:paraId="3DE0D8C0" w14:textId="4EE2A97B" w:rsidR="00903B38" w:rsidRPr="00866EF7" w:rsidRDefault="00903B38" w:rsidP="00903B38">
      <w:pPr>
        <w:pStyle w:val="ExhibitText"/>
      </w:pPr>
    </w:p>
    <w:p w14:paraId="38F308B7" w14:textId="2C3AC312" w:rsidR="007D1BE4" w:rsidRPr="00D93284" w:rsidRDefault="001B46F8" w:rsidP="00CC6CFA">
      <w:pPr>
        <w:pStyle w:val="ExhibitText"/>
        <w:numPr>
          <w:ilvl w:val="0"/>
          <w:numId w:val="5"/>
        </w:numPr>
      </w:pPr>
      <w:r>
        <w:t>C</w:t>
      </w:r>
      <w:r w:rsidR="007D1BE4" w:rsidRPr="00866EF7">
        <w:t>omplete</w:t>
      </w:r>
      <w:r w:rsidR="007D1BE4" w:rsidRPr="00D93284">
        <w:t xml:space="preserve"> disclosure questionnaire</w:t>
      </w:r>
      <w:r w:rsidR="00FB0746">
        <w:t>.</w:t>
      </w:r>
    </w:p>
    <w:p w14:paraId="1089DDF0" w14:textId="76A20E17" w:rsidR="007D1BE4" w:rsidRPr="00D93284" w:rsidRDefault="007D1BE4" w:rsidP="00CC6CFA">
      <w:pPr>
        <w:pStyle w:val="ExhibitText"/>
        <w:numPr>
          <w:ilvl w:val="1"/>
          <w:numId w:val="5"/>
        </w:numPr>
      </w:pPr>
      <w:r w:rsidRPr="00D93284">
        <w:t>Company is asked to confidentially disclose any sensitive practices</w:t>
      </w:r>
      <w:r w:rsidR="001B46F8">
        <w:t>, fines,</w:t>
      </w:r>
      <w:r w:rsidRPr="00D93284">
        <w:t xml:space="preserve"> or previous sanctions.</w:t>
      </w:r>
      <w:r w:rsidR="00FB0746">
        <w:t xml:space="preserve"> </w:t>
      </w:r>
      <w:r w:rsidR="001B46F8">
        <w:t>Disclosure does</w:t>
      </w:r>
      <w:r w:rsidRPr="00866EF7">
        <w:t xml:space="preserve"> </w:t>
      </w:r>
      <w:r w:rsidRPr="00D93284">
        <w:t>not affect rating.</w:t>
      </w:r>
    </w:p>
    <w:p w14:paraId="1413EAC0" w14:textId="56DC23CC" w:rsidR="007D1BE4" w:rsidRDefault="001B46F8" w:rsidP="00FA251D">
      <w:pPr>
        <w:pStyle w:val="ExhibitText"/>
        <w:numPr>
          <w:ilvl w:val="1"/>
          <w:numId w:val="5"/>
        </w:numPr>
      </w:pPr>
      <w:r>
        <w:t>If one or more items merit further transparency, the company will be required to provide incremental disclosure and possibly, implement specific remedies</w:t>
      </w:r>
      <w:r w:rsidR="00FB0746">
        <w:t>.</w:t>
      </w:r>
    </w:p>
    <w:p w14:paraId="61B5E65B" w14:textId="77777777" w:rsidR="00903B38" w:rsidRPr="00866EF7" w:rsidRDefault="00903B38" w:rsidP="00903B38">
      <w:pPr>
        <w:pStyle w:val="ExhibitText"/>
      </w:pPr>
    </w:p>
    <w:p w14:paraId="5B2181D1" w14:textId="3F81C063" w:rsidR="007D1BE4" w:rsidRPr="00D93284" w:rsidRDefault="007D1BE4" w:rsidP="00CC6CFA">
      <w:pPr>
        <w:pStyle w:val="ExhibitText"/>
        <w:numPr>
          <w:ilvl w:val="0"/>
          <w:numId w:val="5"/>
        </w:numPr>
      </w:pPr>
      <w:r w:rsidRPr="00D93284">
        <w:t>Background checks conducted</w:t>
      </w:r>
      <w:r w:rsidR="00FB0746">
        <w:t>.</w:t>
      </w:r>
    </w:p>
    <w:p w14:paraId="2F7E265D" w14:textId="77777777" w:rsidR="007D1BE4" w:rsidRPr="00CC6CFA" w:rsidRDefault="007D1BE4" w:rsidP="00CC6CFA">
      <w:pPr>
        <w:pStyle w:val="ExhibitText"/>
      </w:pPr>
    </w:p>
    <w:p w14:paraId="159285CB" w14:textId="2521DAE7" w:rsidR="007D1BE4" w:rsidRPr="000B44F5" w:rsidRDefault="007D1BE4" w:rsidP="007D1BE4">
      <w:pPr>
        <w:pStyle w:val="Footnote"/>
      </w:pPr>
      <w:r w:rsidRPr="000B44F5">
        <w:t xml:space="preserve">Source: </w:t>
      </w:r>
      <w:r w:rsidR="001B46F8">
        <w:t>“Performance Requirements,” B Lab</w:t>
      </w:r>
      <w:r w:rsidR="000E6D64">
        <w:t>, a</w:t>
      </w:r>
      <w:r w:rsidRPr="000B44F5">
        <w:t xml:space="preserve">ccessed </w:t>
      </w:r>
      <w:r w:rsidR="000E6D64">
        <w:t>July 11, 2018,</w:t>
      </w:r>
      <w:r w:rsidRPr="000B44F5">
        <w:t xml:space="preserve"> </w:t>
      </w:r>
      <w:r w:rsidRPr="0080118C">
        <w:t>www.bcorporation.net/become-a-b-corp/how-to-become-a-b-corp/performance-requirements</w:t>
      </w:r>
      <w:r w:rsidR="000E6D64">
        <w:t>.</w:t>
      </w:r>
    </w:p>
    <w:p w14:paraId="31238594" w14:textId="77777777" w:rsidR="007D1BE4" w:rsidRPr="00CC6CFA" w:rsidRDefault="007D1BE4" w:rsidP="00CC6CFA">
      <w:pPr>
        <w:pStyle w:val="ExhibitText"/>
      </w:pPr>
    </w:p>
    <w:p w14:paraId="3AC84786" w14:textId="77777777" w:rsidR="007D1BE4" w:rsidRPr="00CC6CFA" w:rsidRDefault="007D1BE4" w:rsidP="00CC6CFA">
      <w:pPr>
        <w:pStyle w:val="ExhibitText"/>
        <w:rPr>
          <w:vertAlign w:val="subscript"/>
        </w:rPr>
      </w:pPr>
      <w:r w:rsidRPr="00CC6CFA">
        <w:rPr>
          <w:vertAlign w:val="subscript"/>
        </w:rPr>
        <w:br w:type="page"/>
      </w:r>
    </w:p>
    <w:p w14:paraId="527B3E80" w14:textId="362589E2" w:rsidR="007D1BE4" w:rsidRPr="008010BB" w:rsidRDefault="007D1BE4" w:rsidP="00CC6CFA">
      <w:pPr>
        <w:pStyle w:val="ExhibitHeading"/>
        <w:outlineLvl w:val="0"/>
      </w:pPr>
      <w:r w:rsidRPr="008010BB">
        <w:lastRenderedPageBreak/>
        <w:t xml:space="preserve">Exhibit </w:t>
      </w:r>
      <w:r>
        <w:t xml:space="preserve">4: </w:t>
      </w:r>
      <w:r w:rsidR="00FB1DEF">
        <w:t>Sample</w:t>
      </w:r>
      <w:r w:rsidR="00FB1DEF" w:rsidRPr="008010BB">
        <w:t xml:space="preserve"> </w:t>
      </w:r>
      <w:r w:rsidRPr="008010BB">
        <w:t>B Impact Assessment</w:t>
      </w:r>
    </w:p>
    <w:p w14:paraId="5D19A065" w14:textId="77777777" w:rsidR="007D1BE4" w:rsidRPr="00CC6CFA" w:rsidRDefault="007D1BE4" w:rsidP="00CC6CFA">
      <w:pPr>
        <w:pStyle w:val="ExhibitText"/>
        <w:rPr>
          <w:shd w:val="clear" w:color="auto" w:fill="FFFFFF"/>
          <w:lang w:val="en-CA"/>
        </w:rPr>
      </w:pPr>
    </w:p>
    <w:p w14:paraId="3B2B321C" w14:textId="59277C6A" w:rsidR="007D1BE4" w:rsidRPr="00CC6CFA" w:rsidRDefault="007D1BE4" w:rsidP="00CC6CFA">
      <w:pPr>
        <w:pStyle w:val="ExhibitText"/>
        <w:numPr>
          <w:ilvl w:val="0"/>
          <w:numId w:val="6"/>
        </w:numPr>
        <w:rPr>
          <w:color w:val="515151"/>
          <w:sz w:val="19"/>
          <w:shd w:val="clear" w:color="auto" w:fill="FFFFFF"/>
          <w:lang w:val="en-CA"/>
        </w:rPr>
      </w:pPr>
      <w:r w:rsidRPr="00CC6CFA">
        <w:rPr>
          <w:sz w:val="19"/>
          <w:shd w:val="clear" w:color="auto" w:fill="FFFFFF"/>
          <w:lang w:val="en-CA"/>
        </w:rPr>
        <w:t>Select the description that best describes your business.</w:t>
      </w:r>
    </w:p>
    <w:p w14:paraId="032E39D6" w14:textId="7D0D5E57" w:rsidR="007D1BE4" w:rsidRPr="00CC6CFA" w:rsidRDefault="007D1BE4" w:rsidP="00CC6CFA">
      <w:pPr>
        <w:pStyle w:val="ExhibitText"/>
        <w:ind w:left="360"/>
        <w:rPr>
          <w:color w:val="515151"/>
          <w:sz w:val="19"/>
          <w:lang w:val="en-CA"/>
        </w:rPr>
      </w:pPr>
      <w:r w:rsidRPr="00CC6CFA">
        <w:rPr>
          <w:i/>
          <w:color w:val="515151"/>
          <w:sz w:val="19"/>
          <w:lang w:val="en-CA"/>
        </w:rPr>
        <w:t>This is an unweighted question that will not impact your score and is asked only for research/benchmarking purposes.</w:t>
      </w:r>
    </w:p>
    <w:tbl>
      <w:tblPr>
        <w:tblW w:w="864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8640"/>
      </w:tblGrid>
      <w:tr w:rsidR="007D1BE4" w:rsidRPr="006570AC" w14:paraId="464144A8" w14:textId="77777777" w:rsidTr="00441A95">
        <w:trPr>
          <w:tblCellSpacing w:w="15" w:type="dxa"/>
        </w:trPr>
        <w:tc>
          <w:tcPr>
            <w:tcW w:w="0" w:type="auto"/>
            <w:tcMar>
              <w:top w:w="15" w:type="dxa"/>
              <w:left w:w="15" w:type="dxa"/>
              <w:bottom w:w="30" w:type="dxa"/>
              <w:right w:w="15" w:type="dxa"/>
            </w:tcMar>
            <w:vAlign w:val="center"/>
            <w:hideMark/>
          </w:tcPr>
          <w:p w14:paraId="1F6D7C2B" w14:textId="16113D50" w:rsidR="007D1BE4" w:rsidRPr="006570AC" w:rsidRDefault="007D1BE4" w:rsidP="006570AC">
            <w:pPr>
              <w:pStyle w:val="ExhibitText"/>
              <w:ind w:left="360" w:hanging="360"/>
              <w:rPr>
                <w:color w:val="515151"/>
                <w:sz w:val="19"/>
                <w:szCs w:val="19"/>
                <w:lang w:val="en-CA"/>
              </w:rPr>
            </w:pPr>
            <w:r w:rsidRPr="006570AC">
              <w:rPr>
                <w:color w:val="515151"/>
                <w:sz w:val="19"/>
                <w:szCs w:val="19"/>
                <w:lang w:val="en-CA"/>
              </w:rPr>
              <w:fldChar w:fldCharType="begin"/>
            </w:r>
            <w:r w:rsidRPr="006570AC">
              <w:rPr>
                <w:color w:val="515151"/>
                <w:sz w:val="19"/>
                <w:szCs w:val="19"/>
                <w:lang w:val="en-CA"/>
              </w:rPr>
              <w:instrText xml:space="preserve"> </w:instrText>
            </w:r>
            <w:r w:rsidRPr="006570AC">
              <w:rPr>
                <w:color w:val="515151"/>
                <w:sz w:val="19"/>
                <w:szCs w:val="19"/>
                <w:lang w:val="en-CA"/>
              </w:rPr>
              <w:fldChar w:fldCharType="begin"/>
            </w:r>
            <w:r w:rsidRPr="006570AC">
              <w:rPr>
                <w:color w:val="515151"/>
                <w:sz w:val="19"/>
                <w:szCs w:val="19"/>
                <w:lang w:val="en-CA"/>
              </w:rPr>
              <w:instrText xml:space="preserve"> PRIVATE "&lt;INPUT TYPE=\"radio\" NAME=\"j_id0:AssessFrm:j_id117:0:j_id121:0:j_id157\" VALUE=\"a00C000000dwRoVIAU\"&gt;" </w:instrText>
            </w:r>
            <w:r w:rsidRPr="006570AC">
              <w:rPr>
                <w:color w:val="515151"/>
                <w:sz w:val="19"/>
                <w:szCs w:val="19"/>
                <w:lang w:val="en-CA"/>
              </w:rPr>
              <w:fldChar w:fldCharType="end"/>
            </w:r>
            <w:r w:rsidRPr="006570AC">
              <w:rPr>
                <w:color w:val="515151"/>
                <w:sz w:val="19"/>
                <w:szCs w:val="19"/>
                <w:lang w:val="en-CA"/>
              </w:rPr>
              <w:instrText xml:space="preserve">MACROBUTTON HTMLDirect </w:instrText>
            </w:r>
            <w:r w:rsidRPr="006570AC">
              <w:rPr>
                <w:color w:val="515151"/>
                <w:sz w:val="19"/>
                <w:szCs w:val="19"/>
                <w:lang w:val="en-CA"/>
              </w:rPr>
              <w:fldChar w:fldCharType="end"/>
            </w:r>
            <w:r w:rsidR="00B83E6B" w:rsidRPr="006570AC">
              <w:rPr>
                <w:rFonts w:eastAsia="Segoe UI Symbol" w:hint="eastAsia"/>
                <w:color w:val="515151"/>
                <w:sz w:val="19"/>
                <w:szCs w:val="19"/>
                <w:lang w:val="en-CA"/>
              </w:rPr>
              <w:t>◯</w:t>
            </w:r>
            <w:r w:rsidR="00B83E6B" w:rsidRPr="006570AC">
              <w:rPr>
                <w:rFonts w:eastAsia="Segoe UI Symbol"/>
                <w:color w:val="515151"/>
                <w:sz w:val="19"/>
                <w:szCs w:val="19"/>
                <w:lang w:val="en-CA"/>
              </w:rPr>
              <w:tab/>
            </w:r>
            <w:r w:rsidRPr="006570AC">
              <w:rPr>
                <w:color w:val="515151"/>
                <w:sz w:val="19"/>
                <w:szCs w:val="19"/>
                <w:lang w:val="en-CA"/>
              </w:rPr>
              <w:t>Positive social/environmental impact is desirable but not a particular focus for our business.</w:t>
            </w:r>
          </w:p>
        </w:tc>
      </w:tr>
      <w:tr w:rsidR="007D1BE4" w:rsidRPr="006570AC" w14:paraId="3026FC44" w14:textId="77777777" w:rsidTr="00441A95">
        <w:trPr>
          <w:tblCellSpacing w:w="15" w:type="dxa"/>
        </w:trPr>
        <w:tc>
          <w:tcPr>
            <w:tcW w:w="0" w:type="auto"/>
            <w:tcMar>
              <w:top w:w="15" w:type="dxa"/>
              <w:left w:w="15" w:type="dxa"/>
              <w:bottom w:w="30" w:type="dxa"/>
              <w:right w:w="15" w:type="dxa"/>
            </w:tcMar>
            <w:vAlign w:val="center"/>
            <w:hideMark/>
          </w:tcPr>
          <w:p w14:paraId="50F3B301" w14:textId="5512F9EC" w:rsidR="007D1BE4" w:rsidRPr="006570AC" w:rsidRDefault="00B83E6B" w:rsidP="006570AC">
            <w:pPr>
              <w:pStyle w:val="ExhibitText"/>
              <w:ind w:left="360" w:hanging="360"/>
              <w:rPr>
                <w:color w:val="515151"/>
                <w:sz w:val="19"/>
                <w:szCs w:val="19"/>
                <w:lang w:val="en-CA"/>
              </w:rPr>
            </w:pPr>
            <w:r w:rsidRPr="006570AC">
              <w:rPr>
                <w:rFonts w:ascii="Segoe UI Symbol" w:eastAsia="Segoe UI Symbol" w:hAnsi="Segoe UI Symbol" w:hint="eastAsia"/>
                <w:color w:val="515151"/>
                <w:sz w:val="19"/>
                <w:szCs w:val="19"/>
                <w:lang w:val="en-CA" w:eastAsia="ja-JP"/>
              </w:rPr>
              <w:t>◯</w:t>
            </w:r>
            <w:r w:rsidRPr="006570AC">
              <w:rPr>
                <w:rFonts w:ascii="Segoe UI Symbol" w:eastAsia="Segoe UI Symbol" w:hAnsi="Segoe UI Symbol"/>
                <w:color w:val="515151"/>
                <w:sz w:val="19"/>
                <w:szCs w:val="19"/>
                <w:lang w:val="en-CA" w:eastAsia="ja-JP"/>
              </w:rPr>
              <w:tab/>
            </w:r>
            <w:r w:rsidR="007D1BE4" w:rsidRPr="006570AC">
              <w:rPr>
                <w:color w:val="515151"/>
                <w:sz w:val="19"/>
                <w:szCs w:val="19"/>
                <w:lang w:val="en-CA"/>
              </w:rPr>
              <w:t>Social and environmental impact is frequently considered but it isn't a high priority.</w:t>
            </w:r>
          </w:p>
        </w:tc>
      </w:tr>
      <w:tr w:rsidR="007D1BE4" w:rsidRPr="006570AC" w14:paraId="746E34AA" w14:textId="77777777" w:rsidTr="00441A95">
        <w:trPr>
          <w:tblCellSpacing w:w="15" w:type="dxa"/>
        </w:trPr>
        <w:tc>
          <w:tcPr>
            <w:tcW w:w="0" w:type="auto"/>
            <w:tcMar>
              <w:top w:w="15" w:type="dxa"/>
              <w:left w:w="15" w:type="dxa"/>
              <w:bottom w:w="30" w:type="dxa"/>
              <w:right w:w="15" w:type="dxa"/>
            </w:tcMar>
            <w:vAlign w:val="center"/>
            <w:hideMark/>
          </w:tcPr>
          <w:p w14:paraId="62A87A71" w14:textId="3429BAC6" w:rsidR="007D1BE4" w:rsidRPr="006570AC" w:rsidRDefault="00B83E6B" w:rsidP="006570AC">
            <w:pPr>
              <w:pStyle w:val="ExhibitText"/>
              <w:ind w:left="360" w:hanging="360"/>
              <w:rPr>
                <w:color w:val="515151"/>
                <w:sz w:val="19"/>
                <w:szCs w:val="19"/>
                <w:lang w:val="en-CA"/>
              </w:rPr>
            </w:pPr>
            <w:r w:rsidRPr="006570AC">
              <w:rPr>
                <w:rFonts w:ascii="Segoe UI Symbol" w:eastAsia="Segoe UI Symbol" w:hAnsi="Segoe UI Symbol" w:hint="eastAsia"/>
                <w:color w:val="515151"/>
                <w:sz w:val="19"/>
                <w:szCs w:val="19"/>
                <w:lang w:val="en-CA" w:eastAsia="ja-JP"/>
              </w:rPr>
              <w:t>◯</w:t>
            </w:r>
            <w:r w:rsidRPr="006570AC">
              <w:rPr>
                <w:rFonts w:ascii="Segoe UI Symbol" w:eastAsia="Segoe UI Symbol" w:hAnsi="Segoe UI Symbol"/>
                <w:color w:val="515151"/>
                <w:sz w:val="19"/>
                <w:szCs w:val="19"/>
                <w:lang w:val="en-CA" w:eastAsia="ja-JP"/>
              </w:rPr>
              <w:tab/>
            </w:r>
            <w:r w:rsidR="007D1BE4" w:rsidRPr="006570AC">
              <w:rPr>
                <w:color w:val="515151"/>
                <w:sz w:val="19"/>
                <w:szCs w:val="19"/>
                <w:lang w:val="en-CA"/>
              </w:rPr>
              <w:t>We consider social and environmental impact in some aspects of our business but infrequently.</w:t>
            </w:r>
          </w:p>
        </w:tc>
      </w:tr>
      <w:tr w:rsidR="007D1BE4" w:rsidRPr="006570AC" w14:paraId="3CDC486E" w14:textId="77777777" w:rsidTr="00441A95">
        <w:trPr>
          <w:tblCellSpacing w:w="15" w:type="dxa"/>
        </w:trPr>
        <w:tc>
          <w:tcPr>
            <w:tcW w:w="0" w:type="auto"/>
            <w:tcMar>
              <w:top w:w="15" w:type="dxa"/>
              <w:left w:w="15" w:type="dxa"/>
              <w:bottom w:w="30" w:type="dxa"/>
              <w:right w:w="15" w:type="dxa"/>
            </w:tcMar>
            <w:vAlign w:val="center"/>
            <w:hideMark/>
          </w:tcPr>
          <w:p w14:paraId="42E74203" w14:textId="164EF7D9" w:rsidR="007D1BE4" w:rsidRPr="006570AC" w:rsidRDefault="00B83E6B" w:rsidP="006570AC">
            <w:pPr>
              <w:pStyle w:val="ExhibitText"/>
              <w:ind w:left="360" w:hanging="360"/>
              <w:rPr>
                <w:color w:val="515151"/>
                <w:sz w:val="19"/>
                <w:szCs w:val="19"/>
                <w:lang w:val="en-CA"/>
              </w:rPr>
            </w:pPr>
            <w:r w:rsidRPr="006570AC">
              <w:rPr>
                <w:rFonts w:ascii="Segoe UI Symbol" w:eastAsia="Segoe UI Symbol" w:hAnsi="Segoe UI Symbol" w:hint="eastAsia"/>
                <w:color w:val="515151"/>
                <w:sz w:val="19"/>
                <w:szCs w:val="19"/>
                <w:lang w:val="en-CA" w:eastAsia="ja-JP"/>
              </w:rPr>
              <w:t>◯</w:t>
            </w:r>
            <w:r w:rsidRPr="006570AC">
              <w:rPr>
                <w:rFonts w:ascii="Segoe UI Symbol" w:eastAsia="Segoe UI Symbol" w:hAnsi="Segoe UI Symbol"/>
                <w:color w:val="515151"/>
                <w:sz w:val="19"/>
                <w:szCs w:val="19"/>
                <w:lang w:val="en-CA" w:eastAsia="ja-JP"/>
              </w:rPr>
              <w:tab/>
            </w:r>
            <w:r w:rsidR="007D1BE4" w:rsidRPr="006570AC">
              <w:rPr>
                <w:color w:val="515151"/>
                <w:sz w:val="19"/>
                <w:szCs w:val="19"/>
                <w:lang w:val="en-CA"/>
              </w:rPr>
              <w:t>We consistently incorporate social and environmental impact into decision-making because we consider it important to the success and profitability of our business.</w:t>
            </w:r>
          </w:p>
        </w:tc>
      </w:tr>
      <w:tr w:rsidR="007D1BE4" w:rsidRPr="006570AC" w14:paraId="6E38398D" w14:textId="77777777" w:rsidTr="00441A95">
        <w:trPr>
          <w:tblCellSpacing w:w="15" w:type="dxa"/>
        </w:trPr>
        <w:tc>
          <w:tcPr>
            <w:tcW w:w="0" w:type="auto"/>
            <w:tcMar>
              <w:top w:w="15" w:type="dxa"/>
              <w:left w:w="15" w:type="dxa"/>
              <w:bottom w:w="30" w:type="dxa"/>
              <w:right w:w="15" w:type="dxa"/>
            </w:tcMar>
            <w:vAlign w:val="center"/>
            <w:hideMark/>
          </w:tcPr>
          <w:p w14:paraId="69D3678B" w14:textId="5FAC257F" w:rsidR="007D1BE4" w:rsidRPr="006570AC" w:rsidRDefault="00B83E6B" w:rsidP="006570AC">
            <w:pPr>
              <w:pStyle w:val="ExhibitText"/>
              <w:ind w:left="360" w:hanging="360"/>
              <w:rPr>
                <w:color w:val="515151"/>
                <w:sz w:val="19"/>
                <w:szCs w:val="19"/>
                <w:lang w:val="en-CA"/>
              </w:rPr>
            </w:pPr>
            <w:r w:rsidRPr="006570AC">
              <w:rPr>
                <w:rFonts w:ascii="Segoe UI Symbol" w:eastAsia="Segoe UI Symbol" w:hAnsi="Segoe UI Symbol" w:hint="eastAsia"/>
                <w:color w:val="515151"/>
                <w:sz w:val="19"/>
                <w:szCs w:val="19"/>
                <w:lang w:val="en-CA" w:eastAsia="ja-JP"/>
              </w:rPr>
              <w:t>◯</w:t>
            </w:r>
            <w:r w:rsidRPr="006570AC">
              <w:rPr>
                <w:rFonts w:ascii="Segoe UI Symbol" w:eastAsia="Segoe UI Symbol" w:hAnsi="Segoe UI Symbol"/>
                <w:color w:val="515151"/>
                <w:sz w:val="19"/>
                <w:szCs w:val="19"/>
                <w:lang w:val="en-CA" w:eastAsia="ja-JP"/>
              </w:rPr>
              <w:tab/>
            </w:r>
            <w:r w:rsidR="007D1BE4" w:rsidRPr="006570AC">
              <w:rPr>
                <w:color w:val="515151"/>
                <w:sz w:val="19"/>
                <w:szCs w:val="19"/>
                <w:lang w:val="en-CA"/>
              </w:rPr>
              <w:t>We treat our social/environmental impact as a primary measure of success for our business and prioritize it even in cases where it may not drive profitability.</w:t>
            </w:r>
          </w:p>
        </w:tc>
      </w:tr>
    </w:tbl>
    <w:p w14:paraId="7E04D24D" w14:textId="65F5ADDC" w:rsidR="007D1BE4" w:rsidRPr="00CC6CFA" w:rsidRDefault="007D1BE4" w:rsidP="00CC6CFA">
      <w:pPr>
        <w:pStyle w:val="ExhibitText"/>
        <w:numPr>
          <w:ilvl w:val="0"/>
          <w:numId w:val="6"/>
        </w:numPr>
        <w:rPr>
          <w:sz w:val="19"/>
          <w:lang w:val="en-CA"/>
        </w:rPr>
      </w:pPr>
      <w:r w:rsidRPr="00CC6CFA">
        <w:rPr>
          <w:sz w:val="19"/>
          <w:lang w:val="en-CA"/>
        </w:rPr>
        <w:t xml:space="preserve">Does your company have a corporate mission statement, and does </w:t>
      </w:r>
      <w:r w:rsidRPr="006570AC">
        <w:rPr>
          <w:sz w:val="19"/>
          <w:szCs w:val="19"/>
          <w:lang w:val="en-CA"/>
        </w:rPr>
        <w:t>i</w:t>
      </w:r>
      <w:r w:rsidR="00AC3E30">
        <w:rPr>
          <w:sz w:val="19"/>
          <w:szCs w:val="19"/>
          <w:lang w:val="en-CA"/>
        </w:rPr>
        <w:t>t</w:t>
      </w:r>
      <w:r w:rsidRPr="00CC6CFA">
        <w:rPr>
          <w:sz w:val="19"/>
          <w:lang w:val="en-CA"/>
        </w:rPr>
        <w:t xml:space="preserve"> include any of the following?</w:t>
      </w:r>
    </w:p>
    <w:p w14:paraId="1A04CC63" w14:textId="22DEDFC2" w:rsidR="007D1BE4" w:rsidRPr="00CC6CFA" w:rsidRDefault="007D1BE4" w:rsidP="00CC6CFA">
      <w:pPr>
        <w:pStyle w:val="ExhibitText"/>
        <w:ind w:left="360"/>
        <w:rPr>
          <w:sz w:val="19"/>
          <w:lang w:val="en-CA"/>
        </w:rPr>
      </w:pPr>
      <w:r w:rsidRPr="00CC6CFA">
        <w:rPr>
          <w:i/>
          <w:sz w:val="19"/>
          <w:lang w:val="en-CA"/>
        </w:rPr>
        <w:t>Please check all that apply.</w:t>
      </w:r>
    </w:p>
    <w:tbl>
      <w:tblPr>
        <w:tblW w:w="864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8640"/>
      </w:tblGrid>
      <w:tr w:rsidR="007D1BE4" w:rsidRPr="006570AC" w14:paraId="363F3873" w14:textId="77777777" w:rsidTr="00441A95">
        <w:trPr>
          <w:tblCellSpacing w:w="15" w:type="dxa"/>
        </w:trPr>
        <w:tc>
          <w:tcPr>
            <w:tcW w:w="0" w:type="auto"/>
            <w:tcMar>
              <w:top w:w="15" w:type="dxa"/>
              <w:left w:w="15" w:type="dxa"/>
              <w:bottom w:w="30" w:type="dxa"/>
              <w:right w:w="15" w:type="dxa"/>
            </w:tcMar>
            <w:vAlign w:val="center"/>
            <w:hideMark/>
          </w:tcPr>
          <w:p w14:paraId="4521A18B" w14:textId="14C34D35" w:rsidR="007D1BE4" w:rsidRPr="006570AC" w:rsidRDefault="00B83E6B" w:rsidP="006570AC">
            <w:pPr>
              <w:pStyle w:val="ExhibitText"/>
              <w:ind w:left="360" w:hanging="360"/>
              <w:rPr>
                <w:color w:val="515151"/>
                <w:sz w:val="19"/>
                <w:szCs w:val="19"/>
                <w:lang w:val="en-CA"/>
              </w:rPr>
            </w:pPr>
            <w:r w:rsidRPr="006570AC">
              <w:rPr>
                <w:rFonts w:ascii="Segoe UI Symbol" w:hAnsi="Segoe UI Symbol"/>
                <w:color w:val="515151"/>
                <w:sz w:val="19"/>
                <w:szCs w:val="19"/>
                <w:lang w:val="en-CA"/>
              </w:rPr>
              <w:t>☐</w:t>
            </w:r>
            <w:r w:rsidRPr="006570AC">
              <w:rPr>
                <w:rFonts w:ascii="Segoe UI Symbol" w:hAnsi="Segoe UI Symbol"/>
                <w:color w:val="515151"/>
                <w:sz w:val="19"/>
                <w:szCs w:val="19"/>
                <w:lang w:val="en-CA"/>
              </w:rPr>
              <w:tab/>
            </w:r>
            <w:r w:rsidR="007D1BE4" w:rsidRPr="006570AC">
              <w:rPr>
                <w:color w:val="515151"/>
                <w:sz w:val="19"/>
                <w:szCs w:val="19"/>
                <w:lang w:val="en-CA"/>
              </w:rPr>
              <w:t>No written statement</w:t>
            </w:r>
          </w:p>
        </w:tc>
      </w:tr>
      <w:tr w:rsidR="007D1BE4" w:rsidRPr="006570AC" w14:paraId="75B87443" w14:textId="77777777" w:rsidTr="00441A95">
        <w:trPr>
          <w:tblCellSpacing w:w="15" w:type="dxa"/>
        </w:trPr>
        <w:tc>
          <w:tcPr>
            <w:tcW w:w="0" w:type="auto"/>
            <w:tcMar>
              <w:top w:w="15" w:type="dxa"/>
              <w:left w:w="15" w:type="dxa"/>
              <w:bottom w:w="30" w:type="dxa"/>
              <w:right w:w="15" w:type="dxa"/>
            </w:tcMar>
            <w:vAlign w:val="center"/>
            <w:hideMark/>
          </w:tcPr>
          <w:p w14:paraId="32655D48" w14:textId="4465DC6B" w:rsidR="007D1BE4" w:rsidRPr="006570AC" w:rsidRDefault="00B83E6B" w:rsidP="006570AC">
            <w:pPr>
              <w:pStyle w:val="ExhibitText"/>
              <w:ind w:left="360" w:hanging="360"/>
              <w:rPr>
                <w:color w:val="515151"/>
                <w:sz w:val="19"/>
                <w:szCs w:val="19"/>
                <w:lang w:val="en-CA"/>
              </w:rPr>
            </w:pPr>
            <w:r w:rsidRPr="006570AC">
              <w:rPr>
                <w:rFonts w:ascii="Segoe UI Symbol" w:hAnsi="Segoe UI Symbol"/>
                <w:color w:val="515151"/>
                <w:sz w:val="19"/>
                <w:szCs w:val="19"/>
                <w:lang w:val="en-CA"/>
              </w:rPr>
              <w:t>☐</w:t>
            </w:r>
            <w:r w:rsidRPr="006570AC">
              <w:rPr>
                <w:rFonts w:ascii="Segoe UI Symbol" w:hAnsi="Segoe UI Symbol"/>
                <w:color w:val="515151"/>
                <w:sz w:val="19"/>
                <w:szCs w:val="19"/>
                <w:lang w:val="en-CA"/>
              </w:rPr>
              <w:tab/>
            </w:r>
            <w:r w:rsidR="007D1BE4" w:rsidRPr="006570AC">
              <w:rPr>
                <w:color w:val="515151"/>
                <w:sz w:val="19"/>
                <w:szCs w:val="19"/>
                <w:lang w:val="en-CA"/>
              </w:rPr>
              <w:t>A written corporate mission statement that does not include a social or environmental commitment</w:t>
            </w:r>
          </w:p>
        </w:tc>
      </w:tr>
      <w:tr w:rsidR="007D1BE4" w:rsidRPr="006570AC" w14:paraId="02098390" w14:textId="77777777" w:rsidTr="00441A95">
        <w:trPr>
          <w:tblCellSpacing w:w="15" w:type="dxa"/>
        </w:trPr>
        <w:tc>
          <w:tcPr>
            <w:tcW w:w="0" w:type="auto"/>
            <w:tcMar>
              <w:top w:w="15" w:type="dxa"/>
              <w:left w:w="15" w:type="dxa"/>
              <w:bottom w:w="30" w:type="dxa"/>
              <w:right w:w="15" w:type="dxa"/>
            </w:tcMar>
            <w:vAlign w:val="center"/>
            <w:hideMark/>
          </w:tcPr>
          <w:p w14:paraId="405117C4" w14:textId="2B709036" w:rsidR="007D1BE4" w:rsidRPr="006570AC" w:rsidRDefault="00B83E6B" w:rsidP="006570AC">
            <w:pPr>
              <w:pStyle w:val="ExhibitText"/>
              <w:ind w:left="360" w:hanging="360"/>
              <w:rPr>
                <w:color w:val="515151"/>
                <w:sz w:val="19"/>
                <w:szCs w:val="19"/>
                <w:lang w:val="en-CA"/>
              </w:rPr>
            </w:pPr>
            <w:r w:rsidRPr="006570AC">
              <w:rPr>
                <w:rFonts w:ascii="Segoe UI Symbol" w:hAnsi="Segoe UI Symbol"/>
                <w:color w:val="515151"/>
                <w:sz w:val="19"/>
                <w:szCs w:val="19"/>
                <w:lang w:val="en-CA"/>
              </w:rPr>
              <w:t>☐</w:t>
            </w:r>
            <w:r w:rsidRPr="006570AC">
              <w:rPr>
                <w:rFonts w:ascii="Segoe UI Symbol" w:hAnsi="Segoe UI Symbol"/>
                <w:color w:val="515151"/>
                <w:sz w:val="19"/>
                <w:szCs w:val="19"/>
                <w:lang w:val="en-CA"/>
              </w:rPr>
              <w:tab/>
            </w:r>
            <w:r w:rsidR="007D1BE4" w:rsidRPr="006570AC">
              <w:rPr>
                <w:color w:val="515151"/>
                <w:sz w:val="19"/>
                <w:szCs w:val="19"/>
                <w:lang w:val="en-CA"/>
              </w:rPr>
              <w:t>A general commitment to social and/or environmental responsibility and stewardship</w:t>
            </w:r>
          </w:p>
        </w:tc>
      </w:tr>
      <w:tr w:rsidR="007D1BE4" w:rsidRPr="006570AC" w14:paraId="6857E891" w14:textId="77777777" w:rsidTr="00441A95">
        <w:trPr>
          <w:tblCellSpacing w:w="15" w:type="dxa"/>
        </w:trPr>
        <w:tc>
          <w:tcPr>
            <w:tcW w:w="0" w:type="auto"/>
            <w:tcMar>
              <w:top w:w="15" w:type="dxa"/>
              <w:left w:w="15" w:type="dxa"/>
              <w:bottom w:w="30" w:type="dxa"/>
              <w:right w:w="15" w:type="dxa"/>
            </w:tcMar>
            <w:vAlign w:val="center"/>
            <w:hideMark/>
          </w:tcPr>
          <w:p w14:paraId="4208D81F" w14:textId="5F8DA398" w:rsidR="007D1BE4" w:rsidRPr="006570AC" w:rsidRDefault="00B83E6B" w:rsidP="006570AC">
            <w:pPr>
              <w:pStyle w:val="ExhibitText"/>
              <w:ind w:left="360" w:hanging="360"/>
              <w:rPr>
                <w:color w:val="515151"/>
                <w:sz w:val="19"/>
                <w:szCs w:val="19"/>
                <w:lang w:val="en-CA"/>
              </w:rPr>
            </w:pPr>
            <w:r w:rsidRPr="006570AC">
              <w:rPr>
                <w:rFonts w:ascii="Segoe UI Symbol" w:hAnsi="Segoe UI Symbol"/>
                <w:color w:val="515151"/>
                <w:sz w:val="19"/>
                <w:szCs w:val="19"/>
                <w:lang w:val="en-CA"/>
              </w:rPr>
              <w:t>☐</w:t>
            </w:r>
            <w:r w:rsidRPr="006570AC">
              <w:rPr>
                <w:rFonts w:ascii="Segoe UI Symbol" w:hAnsi="Segoe UI Symbol"/>
                <w:color w:val="515151"/>
                <w:sz w:val="19"/>
                <w:szCs w:val="19"/>
                <w:lang w:val="en-CA"/>
              </w:rPr>
              <w:tab/>
            </w:r>
            <w:r w:rsidR="007D1BE4" w:rsidRPr="006570AC">
              <w:rPr>
                <w:color w:val="515151"/>
                <w:sz w:val="19"/>
                <w:szCs w:val="19"/>
                <w:lang w:val="en-CA"/>
              </w:rPr>
              <w:t>A commitment to a specific positive social impact (e.g.</w:t>
            </w:r>
            <w:r w:rsidR="00AC3E30">
              <w:rPr>
                <w:color w:val="515151"/>
                <w:sz w:val="19"/>
                <w:szCs w:val="19"/>
                <w:lang w:val="en-CA"/>
              </w:rPr>
              <w:t>,</w:t>
            </w:r>
            <w:r w:rsidR="007D1BE4" w:rsidRPr="006570AC">
              <w:rPr>
                <w:color w:val="515151"/>
                <w:sz w:val="19"/>
                <w:szCs w:val="19"/>
                <w:lang w:val="en-CA"/>
              </w:rPr>
              <w:t xml:space="preserve"> poverty alleviation, sustainable economic development)</w:t>
            </w:r>
          </w:p>
        </w:tc>
      </w:tr>
      <w:tr w:rsidR="007D1BE4" w:rsidRPr="006570AC" w14:paraId="04CFFBCD" w14:textId="77777777" w:rsidTr="00441A95">
        <w:trPr>
          <w:tblCellSpacing w:w="15" w:type="dxa"/>
        </w:trPr>
        <w:tc>
          <w:tcPr>
            <w:tcW w:w="0" w:type="auto"/>
            <w:tcMar>
              <w:top w:w="15" w:type="dxa"/>
              <w:left w:w="15" w:type="dxa"/>
              <w:bottom w:w="30" w:type="dxa"/>
              <w:right w:w="15" w:type="dxa"/>
            </w:tcMar>
            <w:vAlign w:val="center"/>
            <w:hideMark/>
          </w:tcPr>
          <w:p w14:paraId="0F81E236" w14:textId="57C9F61A" w:rsidR="007D1BE4" w:rsidRPr="006570AC" w:rsidRDefault="00B83E6B" w:rsidP="006570AC">
            <w:pPr>
              <w:pStyle w:val="ExhibitText"/>
              <w:ind w:left="360" w:hanging="360"/>
              <w:rPr>
                <w:color w:val="515151"/>
                <w:sz w:val="19"/>
                <w:szCs w:val="19"/>
                <w:lang w:val="en-CA"/>
              </w:rPr>
            </w:pPr>
            <w:r w:rsidRPr="006570AC">
              <w:rPr>
                <w:rFonts w:ascii="Segoe UI Symbol" w:hAnsi="Segoe UI Symbol"/>
                <w:color w:val="515151"/>
                <w:sz w:val="19"/>
                <w:szCs w:val="19"/>
                <w:lang w:val="en-CA"/>
              </w:rPr>
              <w:t>☐</w:t>
            </w:r>
            <w:r w:rsidRPr="006570AC">
              <w:rPr>
                <w:rFonts w:ascii="Segoe UI Symbol" w:hAnsi="Segoe UI Symbol"/>
                <w:color w:val="515151"/>
                <w:sz w:val="19"/>
                <w:szCs w:val="19"/>
                <w:lang w:val="en-CA"/>
              </w:rPr>
              <w:tab/>
            </w:r>
            <w:r w:rsidR="007D1BE4" w:rsidRPr="006570AC">
              <w:rPr>
                <w:color w:val="515151"/>
                <w:sz w:val="19"/>
                <w:szCs w:val="19"/>
                <w:lang w:val="en-CA"/>
              </w:rPr>
              <w:t>A commitment to a specific positive environmental impact (e.g.</w:t>
            </w:r>
            <w:r w:rsidR="00AC3E30">
              <w:rPr>
                <w:color w:val="515151"/>
                <w:sz w:val="19"/>
                <w:szCs w:val="19"/>
                <w:lang w:val="en-CA"/>
              </w:rPr>
              <w:t>,</w:t>
            </w:r>
            <w:r w:rsidR="007D1BE4" w:rsidRPr="006570AC">
              <w:rPr>
                <w:color w:val="515151"/>
                <w:sz w:val="19"/>
                <w:szCs w:val="19"/>
                <w:lang w:val="en-CA"/>
              </w:rPr>
              <w:t xml:space="preserve"> reducing waste to landfill with upcycled products)</w:t>
            </w:r>
          </w:p>
        </w:tc>
      </w:tr>
      <w:tr w:rsidR="007D1BE4" w:rsidRPr="006570AC" w14:paraId="03717998" w14:textId="77777777" w:rsidTr="00441A95">
        <w:trPr>
          <w:tblCellSpacing w:w="15" w:type="dxa"/>
        </w:trPr>
        <w:tc>
          <w:tcPr>
            <w:tcW w:w="0" w:type="auto"/>
            <w:tcMar>
              <w:top w:w="15" w:type="dxa"/>
              <w:left w:w="15" w:type="dxa"/>
              <w:bottom w:w="30" w:type="dxa"/>
              <w:right w:w="15" w:type="dxa"/>
            </w:tcMar>
            <w:vAlign w:val="center"/>
            <w:hideMark/>
          </w:tcPr>
          <w:p w14:paraId="39FB9435" w14:textId="37253785" w:rsidR="007D1BE4" w:rsidRPr="006570AC" w:rsidRDefault="00B83E6B" w:rsidP="006570AC">
            <w:pPr>
              <w:pStyle w:val="ExhibitText"/>
              <w:ind w:left="360" w:hanging="360"/>
              <w:rPr>
                <w:color w:val="515151"/>
                <w:sz w:val="19"/>
                <w:szCs w:val="19"/>
                <w:lang w:val="en-CA"/>
              </w:rPr>
            </w:pPr>
            <w:r w:rsidRPr="006570AC">
              <w:rPr>
                <w:rFonts w:ascii="Segoe UI Symbol" w:hAnsi="Segoe UI Symbol"/>
                <w:color w:val="515151"/>
                <w:sz w:val="19"/>
                <w:szCs w:val="19"/>
                <w:lang w:val="en-CA"/>
              </w:rPr>
              <w:t>☐</w:t>
            </w:r>
            <w:r w:rsidRPr="006570AC">
              <w:rPr>
                <w:rFonts w:ascii="Segoe UI Symbol" w:hAnsi="Segoe UI Symbol"/>
                <w:color w:val="515151"/>
                <w:sz w:val="19"/>
                <w:szCs w:val="19"/>
                <w:lang w:val="en-CA"/>
              </w:rPr>
              <w:tab/>
            </w:r>
            <w:r w:rsidR="007D1BE4" w:rsidRPr="006570AC">
              <w:rPr>
                <w:color w:val="515151"/>
                <w:sz w:val="19"/>
                <w:szCs w:val="19"/>
                <w:lang w:val="en-CA"/>
              </w:rPr>
              <w:t>A commitment to serve a target beneficiary group in need (e.g.</w:t>
            </w:r>
            <w:r w:rsidR="00AC3E30">
              <w:rPr>
                <w:color w:val="515151"/>
                <w:sz w:val="19"/>
                <w:szCs w:val="19"/>
                <w:lang w:val="en-CA"/>
              </w:rPr>
              <w:t>,</w:t>
            </w:r>
            <w:r w:rsidR="007D1BE4" w:rsidRPr="006570AC">
              <w:rPr>
                <w:color w:val="515151"/>
                <w:sz w:val="19"/>
                <w:szCs w:val="19"/>
                <w:lang w:val="en-CA"/>
              </w:rPr>
              <w:t xml:space="preserve"> low</w:t>
            </w:r>
            <w:r w:rsidR="00AC3E30">
              <w:rPr>
                <w:color w:val="515151"/>
                <w:sz w:val="19"/>
                <w:szCs w:val="19"/>
                <w:lang w:val="en-CA"/>
              </w:rPr>
              <w:t>-</w:t>
            </w:r>
            <w:r w:rsidR="007D1BE4" w:rsidRPr="006570AC">
              <w:rPr>
                <w:color w:val="515151"/>
                <w:sz w:val="19"/>
                <w:szCs w:val="19"/>
                <w:lang w:val="en-CA"/>
              </w:rPr>
              <w:t>income customers, smallholder farmers)</w:t>
            </w:r>
          </w:p>
        </w:tc>
      </w:tr>
    </w:tbl>
    <w:p w14:paraId="68A11FF7" w14:textId="77777777" w:rsidR="00903B38" w:rsidRPr="006570AC" w:rsidRDefault="00903B38" w:rsidP="006570AC">
      <w:pPr>
        <w:pStyle w:val="ExhibitText"/>
        <w:rPr>
          <w:sz w:val="19"/>
          <w:szCs w:val="19"/>
          <w:shd w:val="clear" w:color="auto" w:fill="FFFFFF"/>
          <w:lang w:val="en-CA"/>
        </w:rPr>
      </w:pPr>
    </w:p>
    <w:p w14:paraId="33526282" w14:textId="1D1BC2E4" w:rsidR="007D1BE4" w:rsidRPr="00CC6CFA" w:rsidRDefault="007D1BE4" w:rsidP="00CC6CFA">
      <w:pPr>
        <w:pStyle w:val="ExhibitText"/>
        <w:numPr>
          <w:ilvl w:val="0"/>
          <w:numId w:val="6"/>
        </w:numPr>
        <w:rPr>
          <w:sz w:val="19"/>
          <w:shd w:val="clear" w:color="auto" w:fill="FFFFFF"/>
          <w:lang w:val="en-CA"/>
        </w:rPr>
      </w:pPr>
      <w:r w:rsidRPr="00CC6CFA">
        <w:rPr>
          <w:sz w:val="19"/>
          <w:shd w:val="clear" w:color="auto" w:fill="FFFFFF"/>
          <w:lang w:val="en-CA"/>
        </w:rPr>
        <w:t>Please type or paste your mission statement here.</w:t>
      </w:r>
    </w:p>
    <w:p w14:paraId="2FADBA54" w14:textId="4D1EDDA4" w:rsidR="00FC1A97" w:rsidRPr="006570AC" w:rsidRDefault="00FC1A97" w:rsidP="006570AC">
      <w:pPr>
        <w:pStyle w:val="ExhibitText"/>
        <w:rPr>
          <w:sz w:val="19"/>
          <w:szCs w:val="19"/>
          <w:shd w:val="clear" w:color="auto" w:fill="FFFFFF"/>
          <w:lang w:val="en-CA"/>
        </w:rPr>
      </w:pPr>
    </w:p>
    <w:p w14:paraId="7A99E818" w14:textId="77777777" w:rsidR="007D1BE4" w:rsidRPr="006570AC" w:rsidRDefault="007D1BE4" w:rsidP="006570AC">
      <w:pPr>
        <w:pStyle w:val="ExhibitText"/>
        <w:ind w:left="720"/>
        <w:rPr>
          <w:sz w:val="19"/>
          <w:szCs w:val="19"/>
          <w:shd w:val="clear" w:color="auto" w:fill="FFFFFF"/>
          <w:lang w:val="en-CA"/>
        </w:rPr>
      </w:pPr>
      <w:r w:rsidRPr="006570AC">
        <w:rPr>
          <w:noProof/>
          <w:sz w:val="19"/>
          <w:szCs w:val="19"/>
          <w:lang w:val="en-US"/>
        </w:rPr>
        <mc:AlternateContent>
          <mc:Choice Requires="wps">
            <w:drawing>
              <wp:inline distT="0" distB="0" distL="0" distR="0" wp14:anchorId="25997596" wp14:editId="7C38A351">
                <wp:extent cx="5486400" cy="457200"/>
                <wp:effectExtent l="0" t="0" r="12700" b="12700"/>
                <wp:docPr id="38" name="Text Box 38"/>
                <wp:cNvGraphicFramePr/>
                <a:graphic xmlns:a="http://schemas.openxmlformats.org/drawingml/2006/main">
                  <a:graphicData uri="http://schemas.microsoft.com/office/word/2010/wordprocessingShape">
                    <wps:wsp>
                      <wps:cNvSpPr txBox="1"/>
                      <wps:spPr>
                        <a:xfrm>
                          <a:off x="0" y="0"/>
                          <a:ext cx="5486400" cy="457200"/>
                        </a:xfrm>
                        <a:prstGeom prst="rect">
                          <a:avLst/>
                        </a:prstGeom>
                        <a:noFill/>
                        <a:ln>
                          <a:solidFill>
                            <a:schemeClr val="tx1">
                              <a:lumMod val="50000"/>
                              <a:lumOff val="50000"/>
                            </a:schemeClr>
                          </a:solid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BE6B994" w14:textId="77777777" w:rsidR="00DB5119" w:rsidRDefault="00DB5119" w:rsidP="00FC1A97">
                            <w:pPr>
                              <w:pStyle w:val="Exhibit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type w14:anchorId="25997596" id="_x0000_t202" coordsize="21600,21600" o:spt="202" path="m,l,21600r21600,l21600,xe">
                <v:stroke joinstyle="miter"/>
                <v:path gradientshapeok="t" o:connecttype="rect"/>
              </v:shapetype>
              <v:shape id="Text Box 38" o:spid="_x0000_s1026" type="#_x0000_t202" style="width:6in;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" filled="f" strokecolor="gray [1629]">
                <v:textbox>
                  <w:txbxContent>
                    <w:p w14:paraId="5BE6B994" w14:textId="77777777" w:rsidR="00DB5119" w:rsidRDefault="00DB5119" w:rsidP="00FC1A97">
                      <w:pPr>
                        <w:pStyle w:val="ExhibitText"/>
                      </w:pPr>
                    </w:p>
                  </w:txbxContent>
                </v:textbox>
                <w10:anchorlock/>
              </v:shape>
            </w:pict>
          </mc:Fallback>
        </mc:AlternateContent>
      </w:r>
    </w:p>
    <w:p w14:paraId="7D69DCDF" w14:textId="77777777" w:rsidR="007D1BE4" w:rsidRPr="006570AC" w:rsidRDefault="007D1BE4" w:rsidP="006570AC">
      <w:pPr>
        <w:pStyle w:val="ExhibitText"/>
        <w:rPr>
          <w:sz w:val="19"/>
          <w:szCs w:val="19"/>
          <w:shd w:val="clear" w:color="auto" w:fill="FFFFFF"/>
          <w:lang w:val="en-CA"/>
        </w:rPr>
      </w:pPr>
    </w:p>
    <w:p w14:paraId="4A518A1D" w14:textId="5F39C123" w:rsidR="007D1BE4" w:rsidRPr="00CC6CFA" w:rsidRDefault="007D1BE4" w:rsidP="00CC6CFA">
      <w:pPr>
        <w:pStyle w:val="ExhibitText"/>
        <w:numPr>
          <w:ilvl w:val="0"/>
          <w:numId w:val="6"/>
        </w:numPr>
        <w:rPr>
          <w:sz w:val="19"/>
          <w:shd w:val="clear" w:color="auto" w:fill="FFFFFF"/>
          <w:lang w:val="en-CA"/>
        </w:rPr>
      </w:pPr>
      <w:r w:rsidRPr="00CC6CFA">
        <w:rPr>
          <w:sz w:val="19"/>
          <w:shd w:val="clear" w:color="auto" w:fill="FFFFFF"/>
          <w:lang w:val="en-CA"/>
        </w:rPr>
        <w:t xml:space="preserve">Does the Board of Directors or equivalent governing body review </w:t>
      </w:r>
      <w:r w:rsidR="00AC3E30">
        <w:rPr>
          <w:sz w:val="19"/>
          <w:szCs w:val="19"/>
          <w:shd w:val="clear" w:color="auto" w:fill="FFFFFF"/>
          <w:lang w:val="en-CA"/>
        </w:rPr>
        <w:t>your</w:t>
      </w:r>
      <w:r w:rsidR="00AC3E30" w:rsidRPr="00CC6CFA">
        <w:rPr>
          <w:sz w:val="19"/>
          <w:shd w:val="clear" w:color="auto" w:fill="FFFFFF"/>
          <w:lang w:val="en-CA"/>
        </w:rPr>
        <w:t xml:space="preserve"> </w:t>
      </w:r>
      <w:r w:rsidRPr="00CC6CFA">
        <w:rPr>
          <w:sz w:val="19"/>
          <w:shd w:val="clear" w:color="auto" w:fill="FFFFFF"/>
          <w:lang w:val="en-CA"/>
        </w:rPr>
        <w:t>company’s social or environmental performance on at least an annual basis?</w:t>
      </w:r>
    </w:p>
    <w:tbl>
      <w:tblPr>
        <w:tblW w:w="864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8640"/>
      </w:tblGrid>
      <w:tr w:rsidR="007D1BE4" w:rsidRPr="006570AC" w14:paraId="0034FDFC" w14:textId="77777777" w:rsidTr="00441A95">
        <w:trPr>
          <w:tblCellSpacing w:w="15" w:type="dxa"/>
        </w:trPr>
        <w:tc>
          <w:tcPr>
            <w:tcW w:w="0" w:type="auto"/>
            <w:tcMar>
              <w:top w:w="15" w:type="dxa"/>
              <w:left w:w="15" w:type="dxa"/>
              <w:bottom w:w="30" w:type="dxa"/>
              <w:right w:w="15" w:type="dxa"/>
            </w:tcMar>
            <w:vAlign w:val="center"/>
            <w:hideMark/>
          </w:tcPr>
          <w:p w14:paraId="352C513A" w14:textId="360951BE" w:rsidR="007D1BE4" w:rsidRPr="006570AC" w:rsidRDefault="00B83E6B" w:rsidP="006570AC">
            <w:pPr>
              <w:pStyle w:val="ExhibitText"/>
              <w:ind w:left="360" w:hanging="360"/>
              <w:rPr>
                <w:sz w:val="19"/>
                <w:szCs w:val="19"/>
                <w:lang w:val="en-CA"/>
              </w:rPr>
            </w:pPr>
            <w:r w:rsidRPr="006570AC">
              <w:rPr>
                <w:rFonts w:ascii="Segoe UI Symbol" w:hAnsi="Segoe UI Symbol"/>
                <w:color w:val="515151"/>
                <w:sz w:val="19"/>
                <w:szCs w:val="19"/>
                <w:lang w:val="en-CA"/>
              </w:rPr>
              <w:t>☐</w:t>
            </w:r>
            <w:r w:rsidRPr="006570AC">
              <w:rPr>
                <w:rFonts w:ascii="Segoe UI Symbol" w:hAnsi="Segoe UI Symbol"/>
                <w:color w:val="515151"/>
                <w:sz w:val="19"/>
                <w:szCs w:val="19"/>
                <w:lang w:val="en-CA"/>
              </w:rPr>
              <w:tab/>
            </w:r>
            <w:r w:rsidR="007D1BE4" w:rsidRPr="006570AC">
              <w:rPr>
                <w:sz w:val="19"/>
                <w:szCs w:val="19"/>
                <w:lang w:val="en-CA"/>
              </w:rPr>
              <w:t>Yes</w:t>
            </w:r>
          </w:p>
        </w:tc>
      </w:tr>
      <w:tr w:rsidR="007D1BE4" w:rsidRPr="006570AC" w14:paraId="051489F5" w14:textId="77777777" w:rsidTr="00441A95">
        <w:trPr>
          <w:tblCellSpacing w:w="15" w:type="dxa"/>
        </w:trPr>
        <w:tc>
          <w:tcPr>
            <w:tcW w:w="0" w:type="auto"/>
            <w:tcMar>
              <w:top w:w="15" w:type="dxa"/>
              <w:left w:w="15" w:type="dxa"/>
              <w:bottom w:w="30" w:type="dxa"/>
              <w:right w:w="15" w:type="dxa"/>
            </w:tcMar>
            <w:vAlign w:val="center"/>
            <w:hideMark/>
          </w:tcPr>
          <w:p w14:paraId="0290B8F7" w14:textId="44986863" w:rsidR="007D1BE4" w:rsidRPr="006570AC" w:rsidRDefault="00B83E6B" w:rsidP="006570AC">
            <w:pPr>
              <w:pStyle w:val="ExhibitText"/>
              <w:ind w:left="360" w:hanging="360"/>
              <w:rPr>
                <w:sz w:val="19"/>
                <w:szCs w:val="19"/>
                <w:lang w:val="en-CA"/>
              </w:rPr>
            </w:pPr>
            <w:r w:rsidRPr="006570AC">
              <w:rPr>
                <w:rFonts w:ascii="Segoe UI Symbol" w:hAnsi="Segoe UI Symbol"/>
                <w:color w:val="515151"/>
                <w:sz w:val="19"/>
                <w:szCs w:val="19"/>
                <w:lang w:val="en-CA"/>
              </w:rPr>
              <w:t>☐</w:t>
            </w:r>
            <w:r w:rsidRPr="006570AC">
              <w:rPr>
                <w:rFonts w:ascii="Segoe UI Symbol" w:hAnsi="Segoe UI Symbol"/>
                <w:color w:val="515151"/>
                <w:sz w:val="19"/>
                <w:szCs w:val="19"/>
                <w:lang w:val="en-CA"/>
              </w:rPr>
              <w:tab/>
            </w:r>
            <w:r w:rsidR="007D1BE4" w:rsidRPr="006570AC">
              <w:rPr>
                <w:sz w:val="19"/>
                <w:szCs w:val="19"/>
                <w:lang w:val="en-CA"/>
              </w:rPr>
              <w:t>No</w:t>
            </w:r>
          </w:p>
        </w:tc>
      </w:tr>
      <w:tr w:rsidR="00FC1A97" w:rsidRPr="006570AC" w14:paraId="39CB2742" w14:textId="77777777" w:rsidTr="00441A95">
        <w:trPr>
          <w:tblCellSpacing w:w="15" w:type="dxa"/>
        </w:trPr>
        <w:tc>
          <w:tcPr>
            <w:tcW w:w="0" w:type="auto"/>
            <w:tcMar>
              <w:top w:w="15" w:type="dxa"/>
              <w:left w:w="15" w:type="dxa"/>
              <w:bottom w:w="30" w:type="dxa"/>
              <w:right w:w="15" w:type="dxa"/>
            </w:tcMar>
            <w:vAlign w:val="center"/>
          </w:tcPr>
          <w:p w14:paraId="68810C8B" w14:textId="05456C95" w:rsidR="00FC1A97" w:rsidRPr="006570AC" w:rsidRDefault="00B83E6B" w:rsidP="006570AC">
            <w:pPr>
              <w:pStyle w:val="ExhibitText"/>
              <w:ind w:left="360" w:hanging="360"/>
              <w:rPr>
                <w:sz w:val="19"/>
                <w:szCs w:val="19"/>
                <w:lang w:val="en-CA"/>
              </w:rPr>
            </w:pPr>
            <w:r w:rsidRPr="006570AC">
              <w:rPr>
                <w:rFonts w:ascii="Segoe UI Symbol" w:hAnsi="Segoe UI Symbol"/>
                <w:color w:val="515151"/>
                <w:sz w:val="19"/>
                <w:szCs w:val="19"/>
                <w:lang w:val="en-CA"/>
              </w:rPr>
              <w:t>☐</w:t>
            </w:r>
            <w:r w:rsidRPr="006570AC">
              <w:rPr>
                <w:rFonts w:ascii="Segoe UI Symbol" w:hAnsi="Segoe UI Symbol"/>
                <w:color w:val="515151"/>
                <w:sz w:val="19"/>
                <w:szCs w:val="19"/>
                <w:lang w:val="en-CA"/>
              </w:rPr>
              <w:tab/>
            </w:r>
            <w:r w:rsidR="00FC1A97" w:rsidRPr="006570AC">
              <w:rPr>
                <w:sz w:val="19"/>
                <w:szCs w:val="19"/>
                <w:lang w:val="en-CA"/>
              </w:rPr>
              <w:t>N/A- No Board of Directors or equivalent governing body</w:t>
            </w:r>
          </w:p>
        </w:tc>
      </w:tr>
    </w:tbl>
    <w:p w14:paraId="7FFD22FE" w14:textId="77777777" w:rsidR="007D1BE4" w:rsidRPr="006570AC" w:rsidRDefault="007D1BE4" w:rsidP="006570AC">
      <w:pPr>
        <w:pStyle w:val="ExhibitText"/>
        <w:rPr>
          <w:sz w:val="19"/>
          <w:szCs w:val="19"/>
          <w:lang w:val="en-CA"/>
        </w:rPr>
      </w:pPr>
    </w:p>
    <w:p w14:paraId="2D3473E6" w14:textId="45B35420" w:rsidR="007D1BE4" w:rsidRPr="00CC6CFA" w:rsidRDefault="007D1BE4" w:rsidP="00CC6CFA">
      <w:pPr>
        <w:pStyle w:val="ExhibitText"/>
        <w:numPr>
          <w:ilvl w:val="0"/>
          <w:numId w:val="6"/>
        </w:numPr>
        <w:rPr>
          <w:sz w:val="19"/>
          <w:shd w:val="clear" w:color="auto" w:fill="FFFFFF"/>
          <w:lang w:val="en-CA"/>
        </w:rPr>
      </w:pPr>
      <w:r w:rsidRPr="00CC6CFA">
        <w:rPr>
          <w:sz w:val="19"/>
          <w:shd w:val="clear" w:color="auto" w:fill="FFFFFF"/>
          <w:lang w:val="en-CA"/>
        </w:rPr>
        <w:t xml:space="preserve">Are there key performance indicators (KPIs) or metrics that your company tracks at least annually to determine if you are meeting your social or environmental objectives? </w:t>
      </w:r>
    </w:p>
    <w:tbl>
      <w:tblPr>
        <w:tblW w:w="864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8640"/>
      </w:tblGrid>
      <w:tr w:rsidR="007D1BE4" w:rsidRPr="006570AC" w14:paraId="04B57463" w14:textId="77777777" w:rsidTr="00441A95">
        <w:trPr>
          <w:tblCellSpacing w:w="15" w:type="dxa"/>
        </w:trPr>
        <w:tc>
          <w:tcPr>
            <w:tcW w:w="0" w:type="auto"/>
            <w:tcMar>
              <w:top w:w="15" w:type="dxa"/>
              <w:left w:w="15" w:type="dxa"/>
              <w:bottom w:w="30" w:type="dxa"/>
              <w:right w:w="15" w:type="dxa"/>
            </w:tcMar>
            <w:vAlign w:val="center"/>
            <w:hideMark/>
          </w:tcPr>
          <w:p w14:paraId="504F13BF" w14:textId="5EB28F79" w:rsidR="007D1BE4" w:rsidRPr="006570AC" w:rsidRDefault="00B83E6B" w:rsidP="006570AC">
            <w:pPr>
              <w:pStyle w:val="ExhibitText"/>
              <w:ind w:left="360" w:hanging="360"/>
              <w:rPr>
                <w:sz w:val="19"/>
                <w:szCs w:val="19"/>
                <w:lang w:val="en-CA"/>
              </w:rPr>
            </w:pPr>
            <w:r w:rsidRPr="006570AC">
              <w:rPr>
                <w:rFonts w:ascii="Segoe UI Symbol" w:hAnsi="Segoe UI Symbol"/>
                <w:color w:val="515151"/>
                <w:sz w:val="19"/>
                <w:szCs w:val="19"/>
                <w:lang w:val="en-CA"/>
              </w:rPr>
              <w:t>☐</w:t>
            </w:r>
            <w:r w:rsidRPr="006570AC">
              <w:rPr>
                <w:rFonts w:ascii="Segoe UI Symbol" w:hAnsi="Segoe UI Symbol"/>
                <w:color w:val="515151"/>
                <w:sz w:val="19"/>
                <w:szCs w:val="19"/>
                <w:lang w:val="en-CA"/>
              </w:rPr>
              <w:tab/>
            </w:r>
            <w:r w:rsidR="007D1BE4" w:rsidRPr="006570AC">
              <w:rPr>
                <w:sz w:val="19"/>
                <w:szCs w:val="19"/>
                <w:lang w:val="en-CA"/>
              </w:rPr>
              <w:t>We don't track key social or environmental performance indicators</w:t>
            </w:r>
            <w:r w:rsidR="00AC3E30">
              <w:rPr>
                <w:sz w:val="19"/>
                <w:szCs w:val="19"/>
                <w:lang w:val="en-CA"/>
              </w:rPr>
              <w:t>.</w:t>
            </w:r>
          </w:p>
        </w:tc>
      </w:tr>
      <w:tr w:rsidR="007D1BE4" w:rsidRPr="006570AC" w14:paraId="3D8B3100" w14:textId="77777777" w:rsidTr="00441A95">
        <w:trPr>
          <w:tblCellSpacing w:w="15" w:type="dxa"/>
        </w:trPr>
        <w:tc>
          <w:tcPr>
            <w:tcW w:w="0" w:type="auto"/>
            <w:tcMar>
              <w:top w:w="15" w:type="dxa"/>
              <w:left w:w="15" w:type="dxa"/>
              <w:bottom w:w="30" w:type="dxa"/>
              <w:right w:w="15" w:type="dxa"/>
            </w:tcMar>
            <w:vAlign w:val="center"/>
            <w:hideMark/>
          </w:tcPr>
          <w:p w14:paraId="403E9FF4" w14:textId="0336FFF5" w:rsidR="007D1BE4" w:rsidRPr="006570AC" w:rsidRDefault="00B83E6B" w:rsidP="006570AC">
            <w:pPr>
              <w:pStyle w:val="ExhibitText"/>
              <w:ind w:left="360" w:hanging="360"/>
              <w:rPr>
                <w:sz w:val="19"/>
                <w:szCs w:val="19"/>
                <w:lang w:val="en-CA"/>
              </w:rPr>
            </w:pPr>
            <w:r w:rsidRPr="006570AC">
              <w:rPr>
                <w:rFonts w:ascii="Segoe UI Symbol" w:hAnsi="Segoe UI Symbol"/>
                <w:color w:val="515151"/>
                <w:sz w:val="19"/>
                <w:szCs w:val="19"/>
                <w:lang w:val="en-CA"/>
              </w:rPr>
              <w:t>☐</w:t>
            </w:r>
            <w:r w:rsidRPr="006570AC">
              <w:rPr>
                <w:rFonts w:ascii="Segoe UI Symbol" w:hAnsi="Segoe UI Symbol"/>
                <w:color w:val="515151"/>
                <w:sz w:val="19"/>
                <w:szCs w:val="19"/>
                <w:lang w:val="en-CA"/>
              </w:rPr>
              <w:tab/>
            </w:r>
            <w:r w:rsidR="007D1BE4" w:rsidRPr="006570AC">
              <w:rPr>
                <w:sz w:val="19"/>
                <w:szCs w:val="19"/>
                <w:lang w:val="en-CA"/>
              </w:rPr>
              <w:t>We measure KPIs/metrics or outputs that we have identified and defined in order to determine if we are achieving our social and environmental objectives</w:t>
            </w:r>
            <w:r w:rsidR="00AC3E30">
              <w:rPr>
                <w:sz w:val="19"/>
                <w:szCs w:val="19"/>
                <w:lang w:val="en-CA"/>
              </w:rPr>
              <w:t>.</w:t>
            </w:r>
          </w:p>
        </w:tc>
      </w:tr>
      <w:tr w:rsidR="007D1BE4" w:rsidRPr="006570AC" w14:paraId="7D61824E" w14:textId="77777777" w:rsidTr="00441A95">
        <w:trPr>
          <w:tblCellSpacing w:w="15" w:type="dxa"/>
        </w:trPr>
        <w:tc>
          <w:tcPr>
            <w:tcW w:w="0" w:type="auto"/>
            <w:tcMar>
              <w:top w:w="15" w:type="dxa"/>
              <w:left w:w="15" w:type="dxa"/>
              <w:bottom w:w="30" w:type="dxa"/>
              <w:right w:w="15" w:type="dxa"/>
            </w:tcMar>
            <w:vAlign w:val="center"/>
            <w:hideMark/>
          </w:tcPr>
          <w:p w14:paraId="1FE3B348" w14:textId="4D23AC57" w:rsidR="007D1BE4" w:rsidRPr="006570AC" w:rsidRDefault="00B83E6B" w:rsidP="006570AC">
            <w:pPr>
              <w:pStyle w:val="ExhibitText"/>
              <w:ind w:left="360" w:hanging="360"/>
              <w:rPr>
                <w:sz w:val="19"/>
                <w:szCs w:val="19"/>
                <w:lang w:val="en-CA"/>
              </w:rPr>
            </w:pPr>
            <w:r w:rsidRPr="006570AC">
              <w:rPr>
                <w:rFonts w:ascii="Segoe UI Symbol" w:hAnsi="Segoe UI Symbol"/>
                <w:color w:val="515151"/>
                <w:sz w:val="19"/>
                <w:szCs w:val="19"/>
                <w:lang w:val="en-CA"/>
              </w:rPr>
              <w:t>☐</w:t>
            </w:r>
            <w:r w:rsidRPr="006570AC">
              <w:rPr>
                <w:rFonts w:ascii="Segoe UI Symbol" w:hAnsi="Segoe UI Symbol"/>
                <w:color w:val="515151"/>
                <w:sz w:val="19"/>
                <w:szCs w:val="19"/>
                <w:lang w:val="en-CA"/>
              </w:rPr>
              <w:tab/>
            </w:r>
            <w:r w:rsidR="007D1BE4" w:rsidRPr="006570AC">
              <w:rPr>
                <w:sz w:val="19"/>
                <w:szCs w:val="19"/>
                <w:lang w:val="en-CA"/>
              </w:rPr>
              <w:t>We measure social and environmental outcomes over time (</w:t>
            </w:r>
            <w:r w:rsidR="00AC3E30">
              <w:rPr>
                <w:sz w:val="19"/>
                <w:szCs w:val="19"/>
                <w:lang w:val="en-CA"/>
              </w:rPr>
              <w:t>e.g.,</w:t>
            </w:r>
            <w:r w:rsidR="007D1BE4" w:rsidRPr="006570AC">
              <w:rPr>
                <w:sz w:val="19"/>
                <w:szCs w:val="19"/>
                <w:lang w:val="en-CA"/>
              </w:rPr>
              <w:t xml:space="preserve"> </w:t>
            </w:r>
            <w:r w:rsidR="00AC3E30">
              <w:rPr>
                <w:sz w:val="19"/>
                <w:szCs w:val="19"/>
                <w:lang w:val="en-CA"/>
              </w:rPr>
              <w:t>third</w:t>
            </w:r>
            <w:r w:rsidR="007D1BE4" w:rsidRPr="006570AC">
              <w:rPr>
                <w:sz w:val="19"/>
                <w:szCs w:val="19"/>
                <w:lang w:val="en-CA"/>
              </w:rPr>
              <w:t>-party impact assessments, progress out of poverty indexing, beneficiary outcome surveys)</w:t>
            </w:r>
            <w:r w:rsidR="00AC3E30">
              <w:rPr>
                <w:sz w:val="19"/>
                <w:szCs w:val="19"/>
                <w:lang w:val="en-CA"/>
              </w:rPr>
              <w:t>.</w:t>
            </w:r>
          </w:p>
        </w:tc>
      </w:tr>
    </w:tbl>
    <w:p w14:paraId="20D0F089" w14:textId="77777777" w:rsidR="007D1BE4" w:rsidRDefault="007D1BE4" w:rsidP="00FC1A97">
      <w:pPr>
        <w:pStyle w:val="ExhibitText"/>
        <w:rPr>
          <w:lang w:val="en-CA"/>
        </w:rPr>
      </w:pPr>
    </w:p>
    <w:p w14:paraId="0AA87789" w14:textId="593E32C1" w:rsidR="007D1BE4" w:rsidRDefault="007D1BE4" w:rsidP="00FC1A97">
      <w:pPr>
        <w:pStyle w:val="Footnote"/>
      </w:pPr>
      <w:r w:rsidRPr="000B44F5">
        <w:t xml:space="preserve">Source: </w:t>
      </w:r>
      <w:r w:rsidR="000E6D64">
        <w:t>“B Impact Assessment,” B Lab, a</w:t>
      </w:r>
      <w:r w:rsidRPr="000B44F5">
        <w:t xml:space="preserve">ccessed </w:t>
      </w:r>
      <w:r w:rsidR="000E6D64">
        <w:t>July 11, 2018,</w:t>
      </w:r>
      <w:r w:rsidRPr="000B44F5">
        <w:t xml:space="preserve"> </w:t>
      </w:r>
      <w:r w:rsidRPr="00BC5624">
        <w:t>http://bimpactassessment.net/bcorporation</w:t>
      </w:r>
      <w:r w:rsidR="000E6D64">
        <w:t>.</w:t>
      </w:r>
    </w:p>
    <w:p w14:paraId="103FBB36" w14:textId="77777777" w:rsidR="007D1BE4" w:rsidRPr="00CC6CFA" w:rsidRDefault="007D1BE4" w:rsidP="00013E05">
      <w:pPr>
        <w:spacing w:after="160" w:line="259" w:lineRule="auto"/>
      </w:pPr>
    </w:p>
    <w:p w14:paraId="77FDCE52" w14:textId="77777777" w:rsidR="008F73DE" w:rsidRDefault="008F73DE" w:rsidP="00CC6CFA">
      <w:pPr>
        <w:pStyle w:val="ExhibitText"/>
      </w:pPr>
    </w:p>
    <w:sectPr w:rsidR="008F73DE" w:rsidSect="006776FC">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57234B" w16cid:durableId="1F7177E2"/>
  <w16cid:commentId w16cid:paraId="2980C165" w16cid:durableId="1F7178D0"/>
  <w16cid:commentId w16cid:paraId="51C10CE2" w16cid:durableId="1F717947"/>
  <w16cid:commentId w16cid:paraId="57D79C30" w16cid:durableId="1F704A79"/>
  <w16cid:commentId w16cid:paraId="7EBA02A6" w16cid:durableId="1F704A28"/>
  <w16cid:commentId w16cid:paraId="6B7ECF92" w16cid:durableId="1F704B58"/>
  <w16cid:commentId w16cid:paraId="78AD6513" w16cid:durableId="1F704F91"/>
  <w16cid:commentId w16cid:paraId="04E4E358" w16cid:durableId="1F70577C"/>
  <w16cid:commentId w16cid:paraId="7742C4E1" w16cid:durableId="1F7057C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E87BE" w14:textId="77777777" w:rsidR="00D633BD" w:rsidRDefault="00D633BD" w:rsidP="007D1BE4">
      <w:r>
        <w:separator/>
      </w:r>
    </w:p>
  </w:endnote>
  <w:endnote w:type="continuationSeparator" w:id="0">
    <w:p w14:paraId="78E81219" w14:textId="77777777" w:rsidR="00D633BD" w:rsidRDefault="00D633BD" w:rsidP="007D1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AF0DA" w14:textId="77777777" w:rsidR="00D633BD" w:rsidRDefault="00D633BD" w:rsidP="007D1BE4">
      <w:r>
        <w:separator/>
      </w:r>
    </w:p>
  </w:footnote>
  <w:footnote w:type="continuationSeparator" w:id="0">
    <w:p w14:paraId="4EFB2AFF" w14:textId="77777777" w:rsidR="00D633BD" w:rsidRDefault="00D633BD" w:rsidP="007D1BE4">
      <w:r>
        <w:continuationSeparator/>
      </w:r>
    </w:p>
  </w:footnote>
  <w:footnote w:id="1">
    <w:p w14:paraId="4A9D512A" w14:textId="65E779D8" w:rsidR="00DB5119" w:rsidRDefault="00DB5119" w:rsidP="004C2267">
      <w:pPr>
        <w:pStyle w:val="Footnote"/>
      </w:pPr>
      <w:r>
        <w:rPr>
          <w:rStyle w:val="FootnoteReference"/>
        </w:rPr>
        <w:footnoteRef/>
      </w:r>
      <w:r>
        <w:t xml:space="preserve"> All </w:t>
      </w:r>
      <w:r w:rsidR="00FA3473">
        <w:t>currency</w:t>
      </w:r>
      <w:r>
        <w:t xml:space="preserve"> amounts are in Canadian dollars unless otherwise </w:t>
      </w:r>
      <w:r w:rsidR="00FA3473">
        <w:t>specified</w:t>
      </w:r>
      <w:r>
        <w:t>.</w:t>
      </w:r>
    </w:p>
  </w:footnote>
  <w:footnote w:id="2">
    <w:p w14:paraId="0ECA9F52" w14:textId="5598028B" w:rsidR="00C358FB" w:rsidRPr="006011D4" w:rsidRDefault="00C358FB" w:rsidP="006011D4">
      <w:pPr>
        <w:pStyle w:val="Footnote"/>
        <w:rPr>
          <w:lang w:val="en-CA"/>
        </w:rPr>
      </w:pPr>
      <w:r>
        <w:rPr>
          <w:rStyle w:val="FootnoteReference"/>
        </w:rPr>
        <w:footnoteRef/>
      </w:r>
      <w:r>
        <w:t xml:space="preserve"> </w:t>
      </w:r>
      <w:r w:rsidR="006011D4">
        <w:t>“</w:t>
      </w:r>
      <w:r w:rsidRPr="00C358FB">
        <w:t xml:space="preserve">With </w:t>
      </w:r>
      <w:r w:rsidR="006011D4" w:rsidRPr="00C358FB">
        <w:t xml:space="preserve">Fewer Landfills, Where Will </w:t>
      </w:r>
      <w:r w:rsidRPr="00C358FB">
        <w:t xml:space="preserve">Ontario </w:t>
      </w:r>
      <w:r w:rsidR="006011D4" w:rsidRPr="00C358FB">
        <w:t>Trash Go</w:t>
      </w:r>
      <w:r w:rsidRPr="00C358FB">
        <w:t>?</w:t>
      </w:r>
      <w:r w:rsidR="006011D4">
        <w:t>,”</w:t>
      </w:r>
      <w:r>
        <w:t xml:space="preserve"> </w:t>
      </w:r>
      <w:r w:rsidR="006011D4">
        <w:t>Waterloo Region Record, a</w:t>
      </w:r>
      <w:r>
        <w:t>ccessed November 1</w:t>
      </w:r>
      <w:r w:rsidR="006011D4">
        <w:t>,</w:t>
      </w:r>
      <w:r>
        <w:t xml:space="preserve"> 2018</w:t>
      </w:r>
      <w:r w:rsidR="006011D4">
        <w:t>,</w:t>
      </w:r>
      <w:r>
        <w:t xml:space="preserve"> </w:t>
      </w:r>
      <w:r w:rsidRPr="00C358FB">
        <w:t>www.therecord.com/news-story/2592071-with-fewer-landfills-where-will-ontario-trash-go-/</w:t>
      </w:r>
      <w:r w:rsidR="006011D4">
        <w:t>.</w:t>
      </w:r>
    </w:p>
  </w:footnote>
  <w:footnote w:id="3">
    <w:p w14:paraId="514D6A36" w14:textId="59A95A40" w:rsidR="00DB5119" w:rsidRDefault="00DB5119" w:rsidP="009A7F5B">
      <w:pPr>
        <w:pStyle w:val="Footnote"/>
      </w:pPr>
      <w:r>
        <w:rPr>
          <w:rStyle w:val="FootnoteReference"/>
        </w:rPr>
        <w:footnoteRef/>
      </w:r>
      <w:r>
        <w:t xml:space="preserve"> “What Are B Corps?,” B Lab, accessed July 10, 2018, </w:t>
      </w:r>
      <w:r w:rsidRPr="00B61011">
        <w:t>www.bcorporation.net/what-are-b-corps</w:t>
      </w:r>
      <w:r>
        <w:t xml:space="preserve">; and “B the Change: People Using Business as a Force for Good,” B Lab, accessed July 10, 2018, </w:t>
      </w:r>
      <w:r w:rsidRPr="00B61011">
        <w:t>www.bcorporation.net/b-the-change</w:t>
      </w:r>
      <w:r>
        <w:t>.</w:t>
      </w:r>
    </w:p>
  </w:footnote>
  <w:footnote w:id="4">
    <w:p w14:paraId="5AA38A08" w14:textId="7047C4F2" w:rsidR="00DB5119" w:rsidRPr="006F4736" w:rsidRDefault="00DB5119" w:rsidP="00C10283">
      <w:pPr>
        <w:pStyle w:val="Footnote"/>
        <w:rPr>
          <w:spacing w:val="-4"/>
        </w:rPr>
      </w:pPr>
      <w:r w:rsidRPr="006F4736">
        <w:rPr>
          <w:rStyle w:val="FootnoteReference"/>
          <w:spacing w:val="-4"/>
        </w:rPr>
        <w:footnoteRef/>
      </w:r>
      <w:r w:rsidRPr="006F4736">
        <w:rPr>
          <w:spacing w:val="-4"/>
        </w:rPr>
        <w:t xml:space="preserve"> </w:t>
      </w:r>
      <w:r w:rsidR="006F4736" w:rsidRPr="006F4736">
        <w:rPr>
          <w:spacing w:val="-4"/>
        </w:rPr>
        <w:t>“</w:t>
      </w:r>
      <w:r w:rsidRPr="006F4736">
        <w:rPr>
          <w:spacing w:val="-4"/>
        </w:rPr>
        <w:t>Our History,</w:t>
      </w:r>
      <w:r w:rsidR="006F4736" w:rsidRPr="006F4736">
        <w:rPr>
          <w:spacing w:val="-4"/>
        </w:rPr>
        <w:t>”</w:t>
      </w:r>
      <w:r w:rsidRPr="006F4736">
        <w:rPr>
          <w:spacing w:val="-4"/>
        </w:rPr>
        <w:t xml:space="preserve"> B Lab, accessed July 10, 2018, www.bcorporation.net/what-are-b-corps/the-non-profit-behind-b-corps/our-history.</w:t>
      </w:r>
    </w:p>
  </w:footnote>
  <w:footnote w:id="5">
    <w:p w14:paraId="2054EC3D" w14:textId="4AC80F19" w:rsidR="00DB5119" w:rsidRDefault="00DB5119" w:rsidP="009A7F5B">
      <w:pPr>
        <w:pStyle w:val="Footnote"/>
      </w:pPr>
      <w:r>
        <w:rPr>
          <w:rStyle w:val="FootnoteReference"/>
        </w:rPr>
        <w:footnoteRef/>
      </w:r>
      <w:r>
        <w:t xml:space="preserve"> “What </w:t>
      </w:r>
      <w:r w:rsidR="00F80FF2">
        <w:t>A</w:t>
      </w:r>
      <w:r>
        <w:t xml:space="preserve">re B Corps?,” </w:t>
      </w:r>
      <w:r w:rsidR="00F80FF2">
        <w:t>op. cit.</w:t>
      </w:r>
    </w:p>
  </w:footnote>
  <w:footnote w:id="6">
    <w:p w14:paraId="1DE227F3" w14:textId="43F2740B" w:rsidR="00DB5119" w:rsidRDefault="00DB5119" w:rsidP="009A7F5B">
      <w:pPr>
        <w:pStyle w:val="Footnote"/>
      </w:pPr>
      <w:r>
        <w:rPr>
          <w:rStyle w:val="FootnoteReference"/>
        </w:rPr>
        <w:footnoteRef/>
      </w:r>
      <w:r>
        <w:t xml:space="preserve"> “Why Become a B Corp?,” B Lab, accessed July 10, 2018, </w:t>
      </w:r>
      <w:r w:rsidRPr="00F42013">
        <w:t>www.bcorporation.net/become-a-b-corp/why-become-a-b-corp</w:t>
      </w:r>
      <w:r>
        <w:t>.</w:t>
      </w:r>
    </w:p>
  </w:footnote>
  <w:footnote w:id="7">
    <w:p w14:paraId="6F2EF746" w14:textId="1D1853EF" w:rsidR="005F563A" w:rsidRPr="00672AB3" w:rsidRDefault="005F563A" w:rsidP="00672AB3">
      <w:pPr>
        <w:pStyle w:val="Footnote"/>
      </w:pPr>
      <w:r w:rsidRPr="00672AB3">
        <w:rPr>
          <w:rStyle w:val="FootnoteReference"/>
        </w:rPr>
        <w:footnoteRef/>
      </w:r>
      <w:r w:rsidRPr="00672AB3">
        <w:t xml:space="preserve"> “How to </w:t>
      </w:r>
      <w:r w:rsidR="006F4736" w:rsidRPr="00672AB3">
        <w:t xml:space="preserve">Improve Quality </w:t>
      </w:r>
      <w:r w:rsidR="006F4736">
        <w:t>w</w:t>
      </w:r>
      <w:r w:rsidR="006F4736" w:rsidRPr="00672AB3">
        <w:t>ith Standard Operating Procedures</w:t>
      </w:r>
      <w:r w:rsidR="006F4736">
        <w:t>,</w:t>
      </w:r>
      <w:r w:rsidRPr="00672AB3">
        <w:t xml:space="preserve">” </w:t>
      </w:r>
      <w:r w:rsidR="00C973CF" w:rsidRPr="00C973CF">
        <w:t>Project Management Hacks</w:t>
      </w:r>
      <w:r w:rsidR="00C973CF">
        <w:t xml:space="preserve">, blog, </w:t>
      </w:r>
      <w:r w:rsidRPr="00672AB3">
        <w:t>access</w:t>
      </w:r>
      <w:r w:rsidR="00C973CF">
        <w:t>ed</w:t>
      </w:r>
      <w:r w:rsidRPr="00672AB3">
        <w:t xml:space="preserve"> August 16</w:t>
      </w:r>
      <w:r w:rsidR="00493F53">
        <w:t>,</w:t>
      </w:r>
      <w:r w:rsidRPr="00672AB3">
        <w:t xml:space="preserve"> 2018, </w:t>
      </w:r>
      <w:r w:rsidRPr="006F4736">
        <w:t>http://projectmanagementhacks.com/improve-quality-standard-operating-procedures/</w:t>
      </w:r>
      <w:r w:rsidR="006F4736">
        <w:t>.</w:t>
      </w:r>
    </w:p>
  </w:footnote>
  <w:footnote w:id="8">
    <w:p w14:paraId="72D48B67" w14:textId="271BF010" w:rsidR="00DB5119" w:rsidRPr="00B24C4A" w:rsidRDefault="00DB5119" w:rsidP="00053D6B">
      <w:pPr>
        <w:pStyle w:val="Footnote"/>
        <w:rPr>
          <w:sz w:val="16"/>
          <w:szCs w:val="16"/>
          <w:lang w:val="en-CA"/>
        </w:rPr>
      </w:pPr>
      <w:r w:rsidRPr="00B24C4A">
        <w:rPr>
          <w:rStyle w:val="FootnoteReference"/>
          <w:sz w:val="16"/>
          <w:szCs w:val="16"/>
        </w:rPr>
        <w:footnoteRef/>
      </w:r>
      <w:r w:rsidRPr="00B24C4A">
        <w:rPr>
          <w:sz w:val="16"/>
          <w:szCs w:val="16"/>
        </w:rPr>
        <w:t xml:space="preserve"> </w:t>
      </w:r>
      <w:r w:rsidRPr="00C10283">
        <w:t>“</w:t>
      </w:r>
      <w:r w:rsidRPr="001B4AC3">
        <w:t xml:space="preserve">Social licence to operate” referred to a project’s need for ongoing approval within the local community and among other stakeholders and ongoing broad social acceptance (“What Is the Social License?,” </w:t>
      </w:r>
      <w:r w:rsidRPr="006F4736">
        <w:t>SociaLicense</w:t>
      </w:r>
      <w:r w:rsidRPr="001B4AC3">
        <w:t>, accessed July 10, 2018, http://socialicense.com/definition.html</w:t>
      </w:r>
      <w:r>
        <w:t>).</w:t>
      </w:r>
      <w:r w:rsidRPr="00B24C4A">
        <w:rPr>
          <w:sz w:val="16"/>
          <w:szCs w:val="16"/>
        </w:rPr>
        <w:t xml:space="preserve"> </w:t>
      </w:r>
    </w:p>
  </w:footnote>
  <w:footnote w:id="9">
    <w:p w14:paraId="0953C26F" w14:textId="7CF90F3F" w:rsidR="006F4736" w:rsidRDefault="00DB5119" w:rsidP="006F4736">
      <w:pPr>
        <w:pStyle w:val="Footnote"/>
      </w:pPr>
      <w:r w:rsidRPr="00B24C4A">
        <w:rPr>
          <w:rStyle w:val="FootnoteReference"/>
          <w:sz w:val="16"/>
        </w:rPr>
        <w:footnoteRef/>
      </w:r>
      <w:r w:rsidRPr="006F4736">
        <w:t xml:space="preserve"> Morgan Stanley </w:t>
      </w:r>
      <w:r>
        <w:t xml:space="preserve">Institute for </w:t>
      </w:r>
      <w:r w:rsidRPr="006F4736">
        <w:t xml:space="preserve">Sustainable </w:t>
      </w:r>
      <w:r>
        <w:t xml:space="preserve">Investing, </w:t>
      </w:r>
      <w:r w:rsidRPr="00654815">
        <w:rPr>
          <w:i/>
        </w:rPr>
        <w:t>Sustainable Reality</w:t>
      </w:r>
      <w:r w:rsidRPr="006F4736">
        <w:rPr>
          <w:i/>
        </w:rPr>
        <w:t>: Understanding the Performance of Sustainable Investment Strategies</w:t>
      </w:r>
      <w:r w:rsidRPr="006F4736">
        <w:t xml:space="preserve"> </w:t>
      </w:r>
      <w:r>
        <w:t>(Morgan Stanley,</w:t>
      </w:r>
      <w:r w:rsidRPr="006F4736">
        <w:t xml:space="preserve"> 2015</w:t>
      </w:r>
      <w:r>
        <w:t xml:space="preserve">), 1, accessed July 11, 2018, </w:t>
      </w:r>
      <w:r w:rsidR="006F4736" w:rsidRPr="006F4736">
        <w:t>www.morganstanley.com/</w:t>
      </w:r>
      <w:r w:rsidRPr="00654815">
        <w:t>sustainableinvesting/pdf/</w:t>
      </w:r>
    </w:p>
    <w:p w14:paraId="64632F64" w14:textId="6D56D485" w:rsidR="00DB5119" w:rsidRPr="00B24C4A" w:rsidRDefault="00DB5119" w:rsidP="006F4736">
      <w:pPr>
        <w:pStyle w:val="Footnote"/>
        <w:rPr>
          <w:sz w:val="16"/>
        </w:rPr>
      </w:pPr>
      <w:r w:rsidRPr="00654815">
        <w:t>sustainable-reality.pdf</w:t>
      </w:r>
      <w:r>
        <w:rPr>
          <w:sz w:val="16"/>
        </w:rPr>
        <w:t>.</w:t>
      </w:r>
    </w:p>
  </w:footnote>
  <w:footnote w:id="10">
    <w:p w14:paraId="0174169A" w14:textId="3233B649" w:rsidR="00684995" w:rsidRPr="00013E05" w:rsidRDefault="00684995" w:rsidP="00013E05">
      <w:pPr>
        <w:pStyle w:val="Footnote"/>
        <w:rPr>
          <w:lang w:val="en-US"/>
        </w:rPr>
      </w:pPr>
      <w:r>
        <w:rPr>
          <w:rStyle w:val="FootnoteReference"/>
        </w:rPr>
        <w:footnoteRef/>
      </w:r>
      <w:r>
        <w:t xml:space="preserve"> </w:t>
      </w:r>
      <w:r>
        <w:rPr>
          <w:lang w:val="en-US"/>
        </w:rPr>
        <w:t xml:space="preserve">For more details on Alberta’s Cap and Trade system, please refer to “Here’s </w:t>
      </w:r>
      <w:r w:rsidR="00013E05">
        <w:rPr>
          <w:lang w:val="en-US"/>
        </w:rPr>
        <w:t xml:space="preserve">a Primer on Carbon Taxes and Cap and Trade in </w:t>
      </w:r>
      <w:r>
        <w:rPr>
          <w:lang w:val="en-US"/>
        </w:rPr>
        <w:t>Canada</w:t>
      </w:r>
      <w:r w:rsidR="00013E05">
        <w:rPr>
          <w:lang w:val="en-US"/>
        </w:rPr>
        <w:t>,</w:t>
      </w:r>
      <w:r>
        <w:rPr>
          <w:lang w:val="en-US"/>
        </w:rPr>
        <w:t xml:space="preserve">” </w:t>
      </w:r>
      <w:r w:rsidR="00914E48">
        <w:rPr>
          <w:lang w:val="en-US"/>
        </w:rPr>
        <w:t xml:space="preserve">Alberts Farmer Express, December 20, 2016, </w:t>
      </w:r>
      <w:r>
        <w:rPr>
          <w:lang w:val="en-US"/>
        </w:rPr>
        <w:t>access</w:t>
      </w:r>
      <w:r w:rsidR="005C695A">
        <w:rPr>
          <w:lang w:val="en-US"/>
        </w:rPr>
        <w:t>ed</w:t>
      </w:r>
      <w:r>
        <w:rPr>
          <w:lang w:val="en-US"/>
        </w:rPr>
        <w:t xml:space="preserve"> August 16</w:t>
      </w:r>
      <w:r w:rsidR="005C695A">
        <w:rPr>
          <w:lang w:val="en-US"/>
        </w:rPr>
        <w:t>,</w:t>
      </w:r>
      <w:r>
        <w:rPr>
          <w:lang w:val="en-US"/>
        </w:rPr>
        <w:t xml:space="preserve"> 2018, </w:t>
      </w:r>
      <w:r w:rsidRPr="00684995">
        <w:rPr>
          <w:lang w:val="en-US"/>
        </w:rPr>
        <w:t>www.albertafarmexpress.ca/2016/12/20/what-you-need-to-know-about-carbon-taxes-and-cap-and-trade/</w:t>
      </w:r>
      <w:r w:rsidR="00013E05">
        <w:rPr>
          <w:lang w:val="en-US"/>
        </w:rPr>
        <w:t>.</w:t>
      </w:r>
    </w:p>
  </w:footnote>
  <w:footnote w:id="11">
    <w:p w14:paraId="13F2CAF7" w14:textId="1909FF46" w:rsidR="00684995" w:rsidRPr="00013E05" w:rsidRDefault="00684995" w:rsidP="00013E05">
      <w:pPr>
        <w:pStyle w:val="Footnote"/>
        <w:rPr>
          <w:lang w:val="en-US"/>
        </w:rPr>
      </w:pPr>
      <w:r>
        <w:rPr>
          <w:rStyle w:val="FootnoteReference"/>
        </w:rPr>
        <w:footnoteRef/>
      </w:r>
      <w:r>
        <w:t xml:space="preserve"> </w:t>
      </w:r>
      <w:r>
        <w:rPr>
          <w:lang w:val="en-US"/>
        </w:rPr>
        <w:t>“Global Greenhouse Gas Emissions Data</w:t>
      </w:r>
      <w:r w:rsidR="006F4736">
        <w:rPr>
          <w:lang w:val="en-US"/>
        </w:rPr>
        <w:t>,</w:t>
      </w:r>
      <w:r>
        <w:rPr>
          <w:lang w:val="en-US"/>
        </w:rPr>
        <w:t xml:space="preserve">” </w:t>
      </w:r>
      <w:r w:rsidR="005C695A" w:rsidRPr="005C695A">
        <w:rPr>
          <w:lang w:val="en-US"/>
        </w:rPr>
        <w:t>United States Environmental Protection Agency</w:t>
      </w:r>
      <w:r w:rsidR="005C695A">
        <w:rPr>
          <w:lang w:val="en-US"/>
        </w:rPr>
        <w:t xml:space="preserve">, </w:t>
      </w:r>
      <w:r w:rsidR="006F4736">
        <w:rPr>
          <w:lang w:val="en-US"/>
        </w:rPr>
        <w:t>a</w:t>
      </w:r>
      <w:r>
        <w:rPr>
          <w:lang w:val="en-US"/>
        </w:rPr>
        <w:t>ccess</w:t>
      </w:r>
      <w:r w:rsidR="006F4736">
        <w:rPr>
          <w:lang w:val="en-US"/>
        </w:rPr>
        <w:t>ed</w:t>
      </w:r>
      <w:r>
        <w:rPr>
          <w:lang w:val="en-US"/>
        </w:rPr>
        <w:t xml:space="preserve"> August 16</w:t>
      </w:r>
      <w:r w:rsidR="005C695A">
        <w:rPr>
          <w:lang w:val="en-US"/>
        </w:rPr>
        <w:t>,</w:t>
      </w:r>
      <w:r>
        <w:rPr>
          <w:lang w:val="en-US"/>
        </w:rPr>
        <w:t xml:space="preserve"> 2018, </w:t>
      </w:r>
      <w:r w:rsidR="006F4736" w:rsidRPr="006F4736">
        <w:rPr>
          <w:lang w:val="en-US"/>
        </w:rPr>
        <w:t>www.epa.gov/ghgemissions/global-greenhouse-gas-emissions-data</w:t>
      </w:r>
      <w:r w:rsidR="006F4736">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415EB" w14:textId="382E667D" w:rsidR="00DB5119" w:rsidRPr="00C92CC4" w:rsidRDefault="00DB5119" w:rsidP="006776FC">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2024D">
      <w:rPr>
        <w:rFonts w:ascii="Arial" w:hAnsi="Arial"/>
        <w:b/>
        <w:noProof/>
      </w:rPr>
      <w:t>13</w:t>
    </w:r>
    <w:r>
      <w:rPr>
        <w:rFonts w:ascii="Arial" w:hAnsi="Arial"/>
        <w:b/>
      </w:rPr>
      <w:fldChar w:fldCharType="end"/>
    </w:r>
    <w:r>
      <w:rPr>
        <w:rFonts w:ascii="Arial" w:hAnsi="Arial"/>
        <w:b/>
      </w:rPr>
      <w:tab/>
    </w:r>
    <w:r w:rsidR="00B71181">
      <w:rPr>
        <w:rFonts w:ascii="Arial" w:hAnsi="Arial"/>
        <w:b/>
      </w:rPr>
      <w:t>9B18C044</w:t>
    </w:r>
  </w:p>
  <w:p w14:paraId="3AA9A2A0" w14:textId="77777777" w:rsidR="00DB5119" w:rsidRDefault="00DB5119" w:rsidP="006776FC">
    <w:pPr>
      <w:pStyle w:val="Header"/>
      <w:tabs>
        <w:tab w:val="clear" w:pos="4680"/>
      </w:tabs>
      <w:rPr>
        <w:sz w:val="18"/>
        <w:szCs w:val="18"/>
      </w:rPr>
    </w:pPr>
  </w:p>
  <w:p w14:paraId="18D0AE31" w14:textId="77777777" w:rsidR="00DB5119" w:rsidRPr="00C92CC4" w:rsidRDefault="00DB5119" w:rsidP="006776FC">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63D9"/>
    <w:multiLevelType w:val="hybridMultilevel"/>
    <w:tmpl w:val="494C53BA"/>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9009B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760C1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643F05"/>
    <w:multiLevelType w:val="hybridMultilevel"/>
    <w:tmpl w:val="C76059B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61039D"/>
    <w:multiLevelType w:val="hybridMultilevel"/>
    <w:tmpl w:val="8A56918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F5708"/>
    <w:multiLevelType w:val="hybridMultilevel"/>
    <w:tmpl w:val="2990E4E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E4"/>
    <w:rsid w:val="00011F60"/>
    <w:rsid w:val="00013E05"/>
    <w:rsid w:val="000262DD"/>
    <w:rsid w:val="000353CD"/>
    <w:rsid w:val="00036A0D"/>
    <w:rsid w:val="0004492E"/>
    <w:rsid w:val="00053D6B"/>
    <w:rsid w:val="0006244D"/>
    <w:rsid w:val="000941B2"/>
    <w:rsid w:val="000E6D64"/>
    <w:rsid w:val="000F3B93"/>
    <w:rsid w:val="000F43C7"/>
    <w:rsid w:val="000F6B66"/>
    <w:rsid w:val="00105D8F"/>
    <w:rsid w:val="001108A1"/>
    <w:rsid w:val="00117A43"/>
    <w:rsid w:val="0012024D"/>
    <w:rsid w:val="00124775"/>
    <w:rsid w:val="00124C0E"/>
    <w:rsid w:val="00151C44"/>
    <w:rsid w:val="001B46F8"/>
    <w:rsid w:val="001B4AC3"/>
    <w:rsid w:val="001C13F0"/>
    <w:rsid w:val="001D625C"/>
    <w:rsid w:val="001E2DE4"/>
    <w:rsid w:val="00200550"/>
    <w:rsid w:val="002157FE"/>
    <w:rsid w:val="00267DDE"/>
    <w:rsid w:val="00286F16"/>
    <w:rsid w:val="00297EFF"/>
    <w:rsid w:val="002C63BA"/>
    <w:rsid w:val="00300842"/>
    <w:rsid w:val="00320D12"/>
    <w:rsid w:val="0032286A"/>
    <w:rsid w:val="00327D26"/>
    <w:rsid w:val="00335F9E"/>
    <w:rsid w:val="00342FB4"/>
    <w:rsid w:val="00355382"/>
    <w:rsid w:val="003965A4"/>
    <w:rsid w:val="003A199A"/>
    <w:rsid w:val="003C0C77"/>
    <w:rsid w:val="003C37D5"/>
    <w:rsid w:val="003D2965"/>
    <w:rsid w:val="00401375"/>
    <w:rsid w:val="0041041C"/>
    <w:rsid w:val="00413D5E"/>
    <w:rsid w:val="00425944"/>
    <w:rsid w:val="00441A95"/>
    <w:rsid w:val="00475D48"/>
    <w:rsid w:val="00493F53"/>
    <w:rsid w:val="004C2267"/>
    <w:rsid w:val="004E6D3B"/>
    <w:rsid w:val="004E7ADC"/>
    <w:rsid w:val="00512FE1"/>
    <w:rsid w:val="00566B9E"/>
    <w:rsid w:val="005973AD"/>
    <w:rsid w:val="005978E0"/>
    <w:rsid w:val="005C695A"/>
    <w:rsid w:val="005D61C4"/>
    <w:rsid w:val="005E4A6B"/>
    <w:rsid w:val="005F563A"/>
    <w:rsid w:val="005F646E"/>
    <w:rsid w:val="006011D4"/>
    <w:rsid w:val="006164E9"/>
    <w:rsid w:val="006512CA"/>
    <w:rsid w:val="00654374"/>
    <w:rsid w:val="00654815"/>
    <w:rsid w:val="006570AC"/>
    <w:rsid w:val="00672AB3"/>
    <w:rsid w:val="00675426"/>
    <w:rsid w:val="006776FC"/>
    <w:rsid w:val="00684995"/>
    <w:rsid w:val="00693272"/>
    <w:rsid w:val="006B3CAA"/>
    <w:rsid w:val="006E5FF2"/>
    <w:rsid w:val="006F4736"/>
    <w:rsid w:val="006F4A26"/>
    <w:rsid w:val="007249A9"/>
    <w:rsid w:val="007B0DB8"/>
    <w:rsid w:val="007B44AD"/>
    <w:rsid w:val="007C4055"/>
    <w:rsid w:val="007D1BE4"/>
    <w:rsid w:val="008001BA"/>
    <w:rsid w:val="0080118C"/>
    <w:rsid w:val="008017A6"/>
    <w:rsid w:val="0080323F"/>
    <w:rsid w:val="00820146"/>
    <w:rsid w:val="00833BE7"/>
    <w:rsid w:val="0084066A"/>
    <w:rsid w:val="00871955"/>
    <w:rsid w:val="00891707"/>
    <w:rsid w:val="008F73DE"/>
    <w:rsid w:val="00903B38"/>
    <w:rsid w:val="00914E48"/>
    <w:rsid w:val="00917EDC"/>
    <w:rsid w:val="00921A9F"/>
    <w:rsid w:val="0092330A"/>
    <w:rsid w:val="00940330"/>
    <w:rsid w:val="00951217"/>
    <w:rsid w:val="00975B6B"/>
    <w:rsid w:val="00986A9D"/>
    <w:rsid w:val="009870E2"/>
    <w:rsid w:val="009A7F5B"/>
    <w:rsid w:val="009B1CDA"/>
    <w:rsid w:val="00A0775C"/>
    <w:rsid w:val="00A3211B"/>
    <w:rsid w:val="00A66399"/>
    <w:rsid w:val="00A84C7A"/>
    <w:rsid w:val="00AA3F62"/>
    <w:rsid w:val="00AC3E30"/>
    <w:rsid w:val="00B11FD0"/>
    <w:rsid w:val="00B2676E"/>
    <w:rsid w:val="00B2792B"/>
    <w:rsid w:val="00B30520"/>
    <w:rsid w:val="00B61011"/>
    <w:rsid w:val="00B71181"/>
    <w:rsid w:val="00B7565E"/>
    <w:rsid w:val="00B83E6B"/>
    <w:rsid w:val="00B95E20"/>
    <w:rsid w:val="00BA0C04"/>
    <w:rsid w:val="00BA4C92"/>
    <w:rsid w:val="00BC1564"/>
    <w:rsid w:val="00BC5624"/>
    <w:rsid w:val="00C10283"/>
    <w:rsid w:val="00C23E59"/>
    <w:rsid w:val="00C358FB"/>
    <w:rsid w:val="00C5356C"/>
    <w:rsid w:val="00C56A7B"/>
    <w:rsid w:val="00C66AD0"/>
    <w:rsid w:val="00C920D0"/>
    <w:rsid w:val="00C93A8A"/>
    <w:rsid w:val="00C973CF"/>
    <w:rsid w:val="00CC6CFA"/>
    <w:rsid w:val="00CE4A3F"/>
    <w:rsid w:val="00CF5E32"/>
    <w:rsid w:val="00D23203"/>
    <w:rsid w:val="00D2493E"/>
    <w:rsid w:val="00D366A8"/>
    <w:rsid w:val="00D633BD"/>
    <w:rsid w:val="00D64225"/>
    <w:rsid w:val="00D92446"/>
    <w:rsid w:val="00D93284"/>
    <w:rsid w:val="00D95E68"/>
    <w:rsid w:val="00DA2B0F"/>
    <w:rsid w:val="00DA5510"/>
    <w:rsid w:val="00DB5119"/>
    <w:rsid w:val="00DC710A"/>
    <w:rsid w:val="00DD7015"/>
    <w:rsid w:val="00DD78A8"/>
    <w:rsid w:val="00E02688"/>
    <w:rsid w:val="00E16C8A"/>
    <w:rsid w:val="00E642CB"/>
    <w:rsid w:val="00E97D48"/>
    <w:rsid w:val="00EB06BD"/>
    <w:rsid w:val="00EB4BA5"/>
    <w:rsid w:val="00ED6838"/>
    <w:rsid w:val="00EF5067"/>
    <w:rsid w:val="00F32E3E"/>
    <w:rsid w:val="00F42013"/>
    <w:rsid w:val="00F423CC"/>
    <w:rsid w:val="00F80FF2"/>
    <w:rsid w:val="00FA251D"/>
    <w:rsid w:val="00FA3473"/>
    <w:rsid w:val="00FB0746"/>
    <w:rsid w:val="00FB08FC"/>
    <w:rsid w:val="00FB1DEF"/>
    <w:rsid w:val="00FC18B1"/>
    <w:rsid w:val="00FC1A97"/>
    <w:rsid w:val="00FF6207"/>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899B"/>
  <w15:chartTrackingRefBased/>
  <w15:docId w15:val="{2DC9B951-4F23-4560-B6D8-11E55CBD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066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7D1BE4"/>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7D1BE4"/>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7D1BE4"/>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7D1BE4"/>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nhideWhenUsed/>
    <w:qFormat/>
    <w:rsid w:val="007D1BE4"/>
    <w:pPr>
      <w:keepNext/>
      <w:keepLines/>
      <w:spacing w:before="200"/>
      <w:outlineLvl w:val="4"/>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7D1BE4"/>
    <w:pPr>
      <w:keepNext/>
      <w:outlineLvl w:val="6"/>
    </w:pPr>
    <w:rPr>
      <w:b/>
      <w:bCs/>
      <w:sz w:val="24"/>
      <w:szCs w:val="24"/>
      <w:lang w:eastAsia="x-none"/>
    </w:rPr>
  </w:style>
  <w:style w:type="paragraph" w:styleId="Heading8">
    <w:name w:val="heading 8"/>
    <w:basedOn w:val="Normal"/>
    <w:next w:val="Normal"/>
    <w:link w:val="Heading8Char"/>
    <w:qFormat/>
    <w:rsid w:val="007D1BE4"/>
    <w:pPr>
      <w:tabs>
        <w:tab w:val="left" w:pos="0"/>
      </w:tabs>
      <w:jc w:val="center"/>
      <w:outlineLvl w:val="7"/>
    </w:pPr>
    <w:rPr>
      <w:b/>
      <w:sz w:val="18"/>
      <w:lang w:val="en-AU"/>
    </w:rPr>
  </w:style>
  <w:style w:type="paragraph" w:styleId="Heading9">
    <w:name w:val="heading 9"/>
    <w:basedOn w:val="Normal"/>
    <w:next w:val="Normal"/>
    <w:link w:val="Heading9Char"/>
    <w:qFormat/>
    <w:rsid w:val="007D1BE4"/>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BE4"/>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7D1BE4"/>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7D1BE4"/>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7D1BE4"/>
    <w:rPr>
      <w:rFonts w:asciiTheme="majorHAnsi" w:eastAsiaTheme="majorEastAsia" w:hAnsiTheme="majorHAnsi" w:cstheme="majorBidi"/>
      <w:b/>
      <w:bCs/>
      <w:i/>
      <w:iCs/>
      <w:color w:val="5B9BD5" w:themeColor="accent1"/>
      <w:sz w:val="20"/>
      <w:szCs w:val="20"/>
    </w:rPr>
  </w:style>
  <w:style w:type="character" w:customStyle="1" w:styleId="Heading5Char">
    <w:name w:val="Heading 5 Char"/>
    <w:basedOn w:val="DefaultParagraphFont"/>
    <w:link w:val="Heading5"/>
    <w:rsid w:val="007D1BE4"/>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rsid w:val="007D1BE4"/>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D1BE4"/>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D1BE4"/>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7D1BE4"/>
    <w:rPr>
      <w:rFonts w:ascii="Tahoma" w:hAnsi="Tahoma" w:cs="Tahoma"/>
      <w:sz w:val="16"/>
      <w:szCs w:val="16"/>
    </w:rPr>
  </w:style>
  <w:style w:type="character" w:customStyle="1" w:styleId="BalloonTextChar">
    <w:name w:val="Balloon Text Char"/>
    <w:basedOn w:val="DefaultParagraphFont"/>
    <w:link w:val="BalloonText"/>
    <w:uiPriority w:val="99"/>
    <w:semiHidden/>
    <w:rsid w:val="007D1BE4"/>
    <w:rPr>
      <w:rFonts w:ascii="Tahoma" w:eastAsia="Times New Roman" w:hAnsi="Tahoma" w:cs="Tahoma"/>
      <w:sz w:val="16"/>
      <w:szCs w:val="16"/>
    </w:rPr>
  </w:style>
  <w:style w:type="paragraph" w:customStyle="1" w:styleId="MainTitle">
    <w:name w:val="MainTitle"/>
    <w:basedOn w:val="Normal"/>
    <w:link w:val="MainTitleChar"/>
    <w:uiPriority w:val="99"/>
    <w:rsid w:val="007D1BE4"/>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D1BE4"/>
    <w:rPr>
      <w:rFonts w:ascii="Arial" w:hAnsi="Arial" w:cs="Arial"/>
      <w:b/>
      <w:bCs/>
      <w:caps/>
      <w:color w:val="000000"/>
      <w:sz w:val="28"/>
      <w:szCs w:val="28"/>
    </w:rPr>
  </w:style>
  <w:style w:type="paragraph" w:customStyle="1" w:styleId="CopyrightStatement">
    <w:name w:val="CopyrightStatement"/>
    <w:basedOn w:val="Normal"/>
    <w:uiPriority w:val="99"/>
    <w:rsid w:val="007D1BE4"/>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7D1BE4"/>
    <w:pPr>
      <w:jc w:val="both"/>
    </w:pPr>
    <w:rPr>
      <w:sz w:val="22"/>
      <w:szCs w:val="22"/>
    </w:rPr>
  </w:style>
  <w:style w:type="character" w:customStyle="1" w:styleId="BodyTextMainChar">
    <w:name w:val="Body Text Main Char"/>
    <w:basedOn w:val="DefaultParagraphFont"/>
    <w:link w:val="BodyTextMain"/>
    <w:rsid w:val="007D1BE4"/>
    <w:rPr>
      <w:rFonts w:ascii="Times New Roman" w:eastAsia="Times New Roman" w:hAnsi="Times New Roman" w:cs="Times New Roman"/>
    </w:rPr>
  </w:style>
  <w:style w:type="paragraph" w:customStyle="1" w:styleId="Casehead1">
    <w:name w:val="Casehead 1"/>
    <w:basedOn w:val="BodyTextMain"/>
    <w:link w:val="Casehead1Char"/>
    <w:qFormat/>
    <w:rsid w:val="00D93284"/>
    <w:pPr>
      <w:keepNext/>
    </w:pPr>
    <w:rPr>
      <w:rFonts w:ascii="Arial" w:hAnsi="Arial" w:cs="Arial"/>
      <w:b/>
      <w:caps/>
      <w:sz w:val="20"/>
      <w:szCs w:val="20"/>
    </w:rPr>
  </w:style>
  <w:style w:type="character" w:customStyle="1" w:styleId="Casehead1Char">
    <w:name w:val="Casehead 1 Char"/>
    <w:basedOn w:val="BodyTextMainChar"/>
    <w:link w:val="Casehead1"/>
    <w:rsid w:val="0084066A"/>
    <w:rPr>
      <w:rFonts w:ascii="Arial" w:eastAsia="Times New Roman" w:hAnsi="Arial" w:cs="Arial"/>
      <w:b/>
      <w:caps/>
      <w:sz w:val="20"/>
      <w:szCs w:val="20"/>
      <w:lang w:val="en-GB"/>
    </w:rPr>
  </w:style>
  <w:style w:type="paragraph" w:customStyle="1" w:styleId="Casehead2">
    <w:name w:val="Casehead 2"/>
    <w:basedOn w:val="Casehead1"/>
    <w:link w:val="Casehead2Char"/>
    <w:qFormat/>
    <w:rsid w:val="007D1BE4"/>
    <w:rPr>
      <w:caps w:val="0"/>
    </w:rPr>
  </w:style>
  <w:style w:type="character" w:customStyle="1" w:styleId="Casehead2Char">
    <w:name w:val="Casehead 2 Char"/>
    <w:basedOn w:val="Casehead1Char"/>
    <w:link w:val="Casehead2"/>
    <w:rsid w:val="007D1BE4"/>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7D1BE4"/>
    <w:rPr>
      <w:rFonts w:ascii="Times New Roman" w:hAnsi="Times New Roman" w:cs="Times New Roman"/>
      <w:b w:val="0"/>
      <w:u w:val="single"/>
    </w:rPr>
  </w:style>
  <w:style w:type="character" w:customStyle="1" w:styleId="Casehead3Char">
    <w:name w:val="Casehead 3 Char"/>
    <w:basedOn w:val="Casehead2Char"/>
    <w:link w:val="Casehead3"/>
    <w:rsid w:val="007D1BE4"/>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7D1BE4"/>
    <w:rPr>
      <w:i/>
    </w:rPr>
  </w:style>
  <w:style w:type="character" w:customStyle="1" w:styleId="Casehead4Char">
    <w:name w:val="Casehead 4 Char"/>
    <w:basedOn w:val="Casehead3Char"/>
    <w:link w:val="Casehead4"/>
    <w:rsid w:val="007D1BE4"/>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7D1BE4"/>
  </w:style>
  <w:style w:type="character" w:customStyle="1" w:styleId="FootnoteTextChar">
    <w:name w:val="Footnote Text Char"/>
    <w:basedOn w:val="DefaultParagraphFont"/>
    <w:link w:val="FootnoteText"/>
    <w:uiPriority w:val="99"/>
    <w:rsid w:val="007D1BE4"/>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7D1BE4"/>
    <w:rPr>
      <w:vertAlign w:val="superscript"/>
    </w:rPr>
  </w:style>
  <w:style w:type="paragraph" w:customStyle="1" w:styleId="Footnote">
    <w:name w:val="Footnote"/>
    <w:basedOn w:val="FootnoteText"/>
    <w:link w:val="FootnoteChar"/>
    <w:qFormat/>
    <w:rsid w:val="007D1BE4"/>
    <w:pPr>
      <w:jc w:val="both"/>
    </w:pPr>
    <w:rPr>
      <w:rFonts w:ascii="Arial" w:hAnsi="Arial" w:cs="Arial"/>
      <w:sz w:val="17"/>
      <w:szCs w:val="17"/>
    </w:rPr>
  </w:style>
  <w:style w:type="character" w:customStyle="1" w:styleId="FootnoteChar">
    <w:name w:val="Footnote Char"/>
    <w:basedOn w:val="FootnoteTextChar"/>
    <w:link w:val="Footnote"/>
    <w:rsid w:val="007D1BE4"/>
    <w:rPr>
      <w:rFonts w:ascii="Arial" w:eastAsia="Times New Roman" w:hAnsi="Arial" w:cs="Arial"/>
      <w:sz w:val="17"/>
      <w:szCs w:val="17"/>
    </w:rPr>
  </w:style>
  <w:style w:type="paragraph" w:customStyle="1" w:styleId="Quotation3Lines">
    <w:name w:val="Quotation (3+ Lines)"/>
    <w:basedOn w:val="BodyTextMain"/>
    <w:link w:val="Quotation3LinesChar"/>
    <w:qFormat/>
    <w:rsid w:val="007D1BE4"/>
    <w:pPr>
      <w:ind w:left="720" w:right="720"/>
    </w:pPr>
  </w:style>
  <w:style w:type="character" w:customStyle="1" w:styleId="Quotation3LinesChar">
    <w:name w:val="Quotation (3+ Lines) Char"/>
    <w:basedOn w:val="BodyTextMainChar"/>
    <w:link w:val="Quotation3Lines"/>
    <w:rsid w:val="007D1BE4"/>
    <w:rPr>
      <w:rFonts w:ascii="Times New Roman" w:eastAsia="Times New Roman" w:hAnsi="Times New Roman" w:cs="Times New Roman"/>
    </w:rPr>
  </w:style>
  <w:style w:type="paragraph" w:customStyle="1" w:styleId="ExhibitNumber">
    <w:name w:val="Exhibit Number"/>
    <w:basedOn w:val="BodyTextMain"/>
    <w:link w:val="ExhibitNumberChar"/>
    <w:qFormat/>
    <w:rsid w:val="007D1BE4"/>
    <w:pPr>
      <w:jc w:val="center"/>
    </w:pPr>
    <w:rPr>
      <w:rFonts w:ascii="Arial" w:hAnsi="Arial" w:cs="Arial"/>
      <w:b/>
      <w:sz w:val="20"/>
      <w:szCs w:val="20"/>
    </w:rPr>
  </w:style>
  <w:style w:type="character" w:customStyle="1" w:styleId="ExhibitNumberChar">
    <w:name w:val="Exhibit Number Char"/>
    <w:basedOn w:val="BodyTextMainChar"/>
    <w:link w:val="ExhibitNumber"/>
    <w:rsid w:val="007D1BE4"/>
    <w:rPr>
      <w:rFonts w:ascii="Arial" w:eastAsia="Times New Roman" w:hAnsi="Arial" w:cs="Arial"/>
      <w:b/>
      <w:sz w:val="20"/>
      <w:szCs w:val="20"/>
    </w:rPr>
  </w:style>
  <w:style w:type="paragraph" w:customStyle="1" w:styleId="ExhibitHeading">
    <w:name w:val="Exhibit Heading"/>
    <w:basedOn w:val="BodyTextMain"/>
    <w:link w:val="ExhibitHeadingChar"/>
    <w:qFormat/>
    <w:rsid w:val="007D1BE4"/>
    <w:pPr>
      <w:jc w:val="center"/>
    </w:pPr>
    <w:rPr>
      <w:rFonts w:ascii="Arial" w:hAnsi="Arial" w:cs="Arial"/>
      <w:b/>
      <w:caps/>
      <w:sz w:val="20"/>
      <w:szCs w:val="20"/>
    </w:rPr>
  </w:style>
  <w:style w:type="character" w:customStyle="1" w:styleId="ExhibitHeadingChar">
    <w:name w:val="Exhibit Heading Char"/>
    <w:basedOn w:val="BodyTextMainChar"/>
    <w:link w:val="ExhibitHeading"/>
    <w:rsid w:val="007D1BE4"/>
    <w:rPr>
      <w:rFonts w:ascii="Arial" w:eastAsia="Times New Roman" w:hAnsi="Arial" w:cs="Arial"/>
      <w:b/>
      <w:caps/>
      <w:sz w:val="20"/>
      <w:szCs w:val="20"/>
    </w:rPr>
  </w:style>
  <w:style w:type="paragraph" w:customStyle="1" w:styleId="CaseTitle">
    <w:name w:val="Case Title"/>
    <w:basedOn w:val="MainTitle"/>
    <w:link w:val="CaseTitleChar"/>
    <w:qFormat/>
    <w:rsid w:val="007D1BE4"/>
  </w:style>
  <w:style w:type="character" w:customStyle="1" w:styleId="CaseTitleChar">
    <w:name w:val="Case Title Char"/>
    <w:basedOn w:val="MainTitleChar"/>
    <w:link w:val="CaseTitle"/>
    <w:rsid w:val="007D1BE4"/>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D1BE4"/>
    <w:pPr>
      <w:jc w:val="center"/>
    </w:pPr>
  </w:style>
  <w:style w:type="character" w:customStyle="1" w:styleId="TeachingNoteTitleChar">
    <w:name w:val="Teaching Note Title Char"/>
    <w:basedOn w:val="CaseTitleChar"/>
    <w:link w:val="TeachingNoteTitle"/>
    <w:rsid w:val="007D1BE4"/>
    <w:rPr>
      <w:rFonts w:ascii="Arial" w:hAnsi="Arial" w:cs="Arial"/>
      <w:b/>
      <w:bCs/>
      <w:caps/>
      <w:color w:val="000000"/>
      <w:sz w:val="28"/>
      <w:szCs w:val="28"/>
    </w:rPr>
  </w:style>
  <w:style w:type="paragraph" w:customStyle="1" w:styleId="ProductNumber">
    <w:name w:val="Product Number"/>
    <w:basedOn w:val="Normal"/>
    <w:link w:val="ProductNumberChar"/>
    <w:qFormat/>
    <w:rsid w:val="007D1BE4"/>
    <w:pPr>
      <w:jc w:val="right"/>
    </w:pPr>
    <w:rPr>
      <w:rFonts w:ascii="Arial" w:hAnsi="Arial"/>
      <w:b/>
      <w:caps/>
      <w:sz w:val="24"/>
    </w:rPr>
  </w:style>
  <w:style w:type="character" w:customStyle="1" w:styleId="ProductNumberChar">
    <w:name w:val="Product Number Char"/>
    <w:basedOn w:val="DefaultParagraphFont"/>
    <w:link w:val="ProductNumber"/>
    <w:rsid w:val="007D1BE4"/>
    <w:rPr>
      <w:rFonts w:ascii="Arial" w:eastAsia="Times New Roman" w:hAnsi="Arial" w:cs="Times New Roman"/>
      <w:b/>
      <w:caps/>
      <w:sz w:val="24"/>
      <w:szCs w:val="20"/>
    </w:rPr>
  </w:style>
  <w:style w:type="paragraph" w:customStyle="1" w:styleId="ExhibitText">
    <w:name w:val="Exhibit Text"/>
    <w:basedOn w:val="BodyTextMain"/>
    <w:link w:val="ExhibitTextChar"/>
    <w:qFormat/>
    <w:rsid w:val="007D1BE4"/>
    <w:rPr>
      <w:rFonts w:ascii="Arial" w:hAnsi="Arial" w:cs="Arial"/>
      <w:sz w:val="20"/>
      <w:szCs w:val="20"/>
    </w:rPr>
  </w:style>
  <w:style w:type="character" w:customStyle="1" w:styleId="ExhibitTextChar">
    <w:name w:val="Exhibit Text Char"/>
    <w:basedOn w:val="BodyTextMainChar"/>
    <w:link w:val="ExhibitText"/>
    <w:rsid w:val="007D1BE4"/>
    <w:rPr>
      <w:rFonts w:ascii="Arial" w:eastAsia="Times New Roman" w:hAnsi="Arial" w:cs="Arial"/>
      <w:sz w:val="20"/>
      <w:szCs w:val="20"/>
    </w:rPr>
  </w:style>
  <w:style w:type="paragraph" w:styleId="Header">
    <w:name w:val="header"/>
    <w:basedOn w:val="Normal"/>
    <w:link w:val="HeaderChar"/>
    <w:uiPriority w:val="99"/>
    <w:unhideWhenUsed/>
    <w:rsid w:val="007D1BE4"/>
    <w:pPr>
      <w:tabs>
        <w:tab w:val="center" w:pos="4680"/>
        <w:tab w:val="right" w:pos="9360"/>
      </w:tabs>
    </w:pPr>
  </w:style>
  <w:style w:type="character" w:customStyle="1" w:styleId="HeaderChar">
    <w:name w:val="Header Char"/>
    <w:basedOn w:val="DefaultParagraphFont"/>
    <w:link w:val="Header"/>
    <w:uiPriority w:val="99"/>
    <w:rsid w:val="007D1BE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1BE4"/>
    <w:pPr>
      <w:tabs>
        <w:tab w:val="center" w:pos="4680"/>
        <w:tab w:val="right" w:pos="9360"/>
      </w:tabs>
    </w:pPr>
  </w:style>
  <w:style w:type="character" w:customStyle="1" w:styleId="FooterChar">
    <w:name w:val="Footer Char"/>
    <w:basedOn w:val="DefaultParagraphFont"/>
    <w:link w:val="Footer"/>
    <w:uiPriority w:val="99"/>
    <w:rsid w:val="007D1BE4"/>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D1BE4"/>
    <w:rPr>
      <w:color w:val="0563C1" w:themeColor="hyperlink"/>
      <w:u w:val="single"/>
    </w:rPr>
  </w:style>
  <w:style w:type="paragraph" w:customStyle="1" w:styleId="StyleCopyrightStatementAfter0ptBottomSinglesolidline">
    <w:name w:val="Style CopyrightStatement + After:  0 pt Bottom: (Single solid line..."/>
    <w:basedOn w:val="CopyrightStatement"/>
    <w:rsid w:val="007D1BE4"/>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7D1BE4"/>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7D1BE4"/>
    <w:pPr>
      <w:pBdr>
        <w:top w:val="none" w:sz="0" w:space="0" w:color="auto"/>
      </w:pBdr>
    </w:pPr>
  </w:style>
  <w:style w:type="paragraph" w:styleId="BodyText">
    <w:name w:val="Body Text"/>
    <w:basedOn w:val="Normal"/>
    <w:link w:val="BodyTextChar"/>
    <w:unhideWhenUsed/>
    <w:rsid w:val="007D1BE4"/>
    <w:pPr>
      <w:spacing w:after="120"/>
    </w:pPr>
  </w:style>
  <w:style w:type="character" w:customStyle="1" w:styleId="BodyTextChar">
    <w:name w:val="Body Text Char"/>
    <w:basedOn w:val="DefaultParagraphFont"/>
    <w:link w:val="BodyText"/>
    <w:rsid w:val="007D1BE4"/>
    <w:rPr>
      <w:rFonts w:ascii="Times New Roman" w:eastAsia="Times New Roman" w:hAnsi="Times New Roman" w:cs="Times New Roman"/>
      <w:sz w:val="20"/>
      <w:szCs w:val="20"/>
    </w:rPr>
  </w:style>
  <w:style w:type="paragraph" w:styleId="ListParagraph">
    <w:name w:val="List Paragraph"/>
    <w:basedOn w:val="Normal"/>
    <w:uiPriority w:val="34"/>
    <w:qFormat/>
    <w:rsid w:val="007D1BE4"/>
    <w:pPr>
      <w:ind w:left="720"/>
      <w:contextualSpacing/>
      <w:jc w:val="both"/>
    </w:pPr>
    <w:rPr>
      <w:rFonts w:eastAsia="Calibri"/>
      <w:sz w:val="22"/>
      <w:szCs w:val="22"/>
    </w:rPr>
  </w:style>
  <w:style w:type="character" w:styleId="CommentReference">
    <w:name w:val="annotation reference"/>
    <w:uiPriority w:val="99"/>
    <w:semiHidden/>
    <w:unhideWhenUsed/>
    <w:rsid w:val="007D1BE4"/>
    <w:rPr>
      <w:sz w:val="16"/>
      <w:szCs w:val="16"/>
    </w:rPr>
  </w:style>
  <w:style w:type="paragraph" w:styleId="CommentText">
    <w:name w:val="annotation text"/>
    <w:basedOn w:val="Normal"/>
    <w:link w:val="CommentTextChar"/>
    <w:uiPriority w:val="99"/>
    <w:unhideWhenUsed/>
    <w:rsid w:val="007D1BE4"/>
  </w:style>
  <w:style w:type="character" w:customStyle="1" w:styleId="CommentTextChar">
    <w:name w:val="Comment Text Char"/>
    <w:basedOn w:val="DefaultParagraphFont"/>
    <w:link w:val="CommentText"/>
    <w:uiPriority w:val="99"/>
    <w:rsid w:val="007D1B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D1BE4"/>
    <w:rPr>
      <w:b/>
      <w:bCs/>
    </w:rPr>
  </w:style>
  <w:style w:type="character" w:customStyle="1" w:styleId="CommentSubjectChar">
    <w:name w:val="Comment Subject Char"/>
    <w:basedOn w:val="CommentTextChar"/>
    <w:link w:val="CommentSubject"/>
    <w:uiPriority w:val="99"/>
    <w:semiHidden/>
    <w:rsid w:val="007D1BE4"/>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7D1BE4"/>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7D1BE4"/>
    <w:pPr>
      <w:spacing w:before="100" w:beforeAutospacing="1" w:after="100" w:afterAutospacing="1"/>
    </w:pPr>
    <w:rPr>
      <w:sz w:val="24"/>
      <w:szCs w:val="24"/>
      <w:lang w:val="en-IN" w:eastAsia="en-IN"/>
    </w:rPr>
  </w:style>
  <w:style w:type="character" w:styleId="Strong">
    <w:name w:val="Strong"/>
    <w:uiPriority w:val="22"/>
    <w:qFormat/>
    <w:rsid w:val="007D1BE4"/>
    <w:rPr>
      <w:b/>
      <w:bCs/>
    </w:rPr>
  </w:style>
  <w:style w:type="character" w:styleId="IntenseReference">
    <w:name w:val="Intense Reference"/>
    <w:uiPriority w:val="32"/>
    <w:qFormat/>
    <w:rsid w:val="007D1BE4"/>
    <w:rPr>
      <w:b/>
      <w:bCs/>
      <w:smallCaps/>
      <w:color w:val="C0504D"/>
      <w:spacing w:val="5"/>
      <w:u w:val="single"/>
    </w:rPr>
  </w:style>
  <w:style w:type="paragraph" w:styleId="EndnoteText">
    <w:name w:val="endnote text"/>
    <w:basedOn w:val="Normal"/>
    <w:link w:val="EndnoteTextChar"/>
    <w:uiPriority w:val="99"/>
    <w:unhideWhenUsed/>
    <w:rsid w:val="007D1BE4"/>
    <w:rPr>
      <w:rFonts w:ascii="Calibri" w:eastAsia="Calibri" w:hAnsi="Calibri"/>
      <w:lang w:val="x-none" w:eastAsia="x-none"/>
    </w:rPr>
  </w:style>
  <w:style w:type="character" w:customStyle="1" w:styleId="EndnoteTextChar">
    <w:name w:val="Endnote Text Char"/>
    <w:basedOn w:val="DefaultParagraphFont"/>
    <w:link w:val="EndnoteText"/>
    <w:uiPriority w:val="99"/>
    <w:rsid w:val="007D1BE4"/>
    <w:rPr>
      <w:rFonts w:ascii="Calibri" w:eastAsia="Calibri" w:hAnsi="Calibri" w:cs="Times New Roman"/>
      <w:sz w:val="20"/>
      <w:szCs w:val="20"/>
      <w:lang w:val="x-none" w:eastAsia="x-none"/>
    </w:rPr>
  </w:style>
  <w:style w:type="character" w:styleId="EndnoteReference">
    <w:name w:val="endnote reference"/>
    <w:uiPriority w:val="99"/>
    <w:unhideWhenUsed/>
    <w:qFormat/>
    <w:rsid w:val="007D1BE4"/>
    <w:rPr>
      <w:vertAlign w:val="superscript"/>
    </w:rPr>
  </w:style>
  <w:style w:type="paragraph" w:styleId="NoSpacing">
    <w:name w:val="No Spacing"/>
    <w:link w:val="NoSpacingChar"/>
    <w:uiPriority w:val="1"/>
    <w:qFormat/>
    <w:rsid w:val="007D1BE4"/>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7D1BE4"/>
    <w:rPr>
      <w:rFonts w:ascii="Calibri" w:eastAsia="Calibri" w:hAnsi="Calibri" w:cs="Times New Roman"/>
      <w:lang w:val="en-IN"/>
    </w:rPr>
  </w:style>
  <w:style w:type="character" w:styleId="FollowedHyperlink">
    <w:name w:val="FollowedHyperlink"/>
    <w:uiPriority w:val="99"/>
    <w:semiHidden/>
    <w:unhideWhenUsed/>
    <w:rsid w:val="007D1BE4"/>
    <w:rPr>
      <w:color w:val="800080"/>
      <w:u w:val="single"/>
    </w:rPr>
  </w:style>
  <w:style w:type="paragraph" w:customStyle="1" w:styleId="Casehead40">
    <w:name w:val="Casehead4"/>
    <w:basedOn w:val="Normal"/>
    <w:next w:val="Normal"/>
    <w:rsid w:val="007D1BE4"/>
    <w:pPr>
      <w:tabs>
        <w:tab w:val="left" w:pos="-1440"/>
        <w:tab w:val="left" w:pos="-720"/>
        <w:tab w:val="left" w:pos="1"/>
      </w:tabs>
      <w:jc w:val="both"/>
    </w:pPr>
    <w:rPr>
      <w:i/>
      <w:noProof/>
      <w:sz w:val="24"/>
    </w:rPr>
  </w:style>
  <w:style w:type="table" w:styleId="TableGrid">
    <w:name w:val="Table Grid"/>
    <w:basedOn w:val="TableNormal"/>
    <w:uiPriority w:val="59"/>
    <w:rsid w:val="007D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7D1BE4"/>
    <w:pPr>
      <w:spacing w:after="120"/>
      <w:ind w:left="360"/>
    </w:pPr>
  </w:style>
  <w:style w:type="character" w:customStyle="1" w:styleId="BodyTextIndentChar">
    <w:name w:val="Body Text Indent Char"/>
    <w:basedOn w:val="DefaultParagraphFont"/>
    <w:link w:val="BodyTextIndent"/>
    <w:rsid w:val="007D1BE4"/>
    <w:rPr>
      <w:rFonts w:ascii="Times New Roman" w:eastAsia="Times New Roman" w:hAnsi="Times New Roman" w:cs="Times New Roman"/>
      <w:sz w:val="20"/>
      <w:szCs w:val="20"/>
    </w:rPr>
  </w:style>
  <w:style w:type="paragraph" w:customStyle="1" w:styleId="NormalJustified">
    <w:name w:val="Normal + Justified"/>
    <w:basedOn w:val="BodyText"/>
    <w:rsid w:val="007D1BE4"/>
    <w:pPr>
      <w:spacing w:after="0"/>
      <w:jc w:val="both"/>
    </w:pPr>
    <w:rPr>
      <w:sz w:val="24"/>
      <w:szCs w:val="24"/>
    </w:rPr>
  </w:style>
  <w:style w:type="paragraph" w:customStyle="1" w:styleId="nsource1">
    <w:name w:val="nsource1"/>
    <w:basedOn w:val="Normal"/>
    <w:rsid w:val="007D1BE4"/>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D1BE4"/>
    <w:pPr>
      <w:spacing w:after="120"/>
      <w:ind w:left="360"/>
    </w:pPr>
    <w:rPr>
      <w:sz w:val="16"/>
      <w:szCs w:val="16"/>
    </w:rPr>
  </w:style>
  <w:style w:type="character" w:customStyle="1" w:styleId="BodyTextIndent3Char">
    <w:name w:val="Body Text Indent 3 Char"/>
    <w:basedOn w:val="DefaultParagraphFont"/>
    <w:link w:val="BodyTextIndent3"/>
    <w:rsid w:val="007D1BE4"/>
    <w:rPr>
      <w:rFonts w:ascii="Times New Roman" w:eastAsia="Times New Roman" w:hAnsi="Times New Roman" w:cs="Times New Roman"/>
      <w:sz w:val="16"/>
      <w:szCs w:val="16"/>
    </w:rPr>
  </w:style>
  <w:style w:type="character" w:styleId="PageNumber">
    <w:name w:val="page number"/>
    <w:basedOn w:val="DefaultParagraphFont"/>
    <w:rsid w:val="007D1BE4"/>
  </w:style>
  <w:style w:type="paragraph" w:styleId="Title">
    <w:name w:val="Title"/>
    <w:basedOn w:val="Normal"/>
    <w:link w:val="TitleChar"/>
    <w:qFormat/>
    <w:rsid w:val="007D1BE4"/>
    <w:pPr>
      <w:spacing w:after="240"/>
      <w:jc w:val="center"/>
    </w:pPr>
    <w:rPr>
      <w:b/>
      <w:sz w:val="24"/>
      <w:lang w:val="en-AU"/>
    </w:rPr>
  </w:style>
  <w:style w:type="character" w:customStyle="1" w:styleId="TitleChar">
    <w:name w:val="Title Char"/>
    <w:basedOn w:val="DefaultParagraphFont"/>
    <w:link w:val="Title"/>
    <w:rsid w:val="007D1BE4"/>
    <w:rPr>
      <w:rFonts w:ascii="Times New Roman" w:eastAsia="Times New Roman" w:hAnsi="Times New Roman" w:cs="Times New Roman"/>
      <w:b/>
      <w:sz w:val="24"/>
      <w:szCs w:val="20"/>
      <w:lang w:val="en-AU"/>
    </w:rPr>
  </w:style>
  <w:style w:type="character" w:styleId="Emphasis">
    <w:name w:val="Emphasis"/>
    <w:uiPriority w:val="20"/>
    <w:qFormat/>
    <w:rsid w:val="007D1BE4"/>
    <w:rPr>
      <w:i/>
      <w:iCs/>
    </w:rPr>
  </w:style>
  <w:style w:type="character" w:customStyle="1" w:styleId="citation">
    <w:name w:val="citation"/>
    <w:basedOn w:val="DefaultParagraphFont"/>
    <w:rsid w:val="007D1BE4"/>
  </w:style>
  <w:style w:type="character" w:customStyle="1" w:styleId="reference-accessdate">
    <w:name w:val="reference-accessdate"/>
    <w:basedOn w:val="DefaultParagraphFont"/>
    <w:rsid w:val="007D1BE4"/>
  </w:style>
  <w:style w:type="character" w:customStyle="1" w:styleId="xn-person">
    <w:name w:val="xn-person"/>
    <w:basedOn w:val="DefaultParagraphFont"/>
    <w:rsid w:val="007D1BE4"/>
  </w:style>
  <w:style w:type="character" w:customStyle="1" w:styleId="cst-tbl-subtitle">
    <w:name w:val="cst-tbl-subtitle"/>
    <w:basedOn w:val="DefaultParagraphFont"/>
    <w:rsid w:val="007D1BE4"/>
  </w:style>
  <w:style w:type="paragraph" w:styleId="Revision">
    <w:name w:val="Revision"/>
    <w:hidden/>
    <w:uiPriority w:val="99"/>
    <w:semiHidden/>
    <w:rsid w:val="007D1BE4"/>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7D1BE4"/>
    <w:rPr>
      <w:rFonts w:ascii="Arial" w:hAnsi="Arial"/>
      <w:b/>
      <w:caps/>
      <w:lang w:eastAsia="en-CA"/>
    </w:rPr>
  </w:style>
  <w:style w:type="paragraph" w:customStyle="1" w:styleId="casehead20">
    <w:name w:val="casehead2"/>
    <w:basedOn w:val="Normal"/>
    <w:next w:val="BodyText"/>
    <w:rsid w:val="007D1BE4"/>
    <w:rPr>
      <w:rFonts w:ascii="Arial" w:hAnsi="Arial"/>
      <w:b/>
      <w:lang w:eastAsia="en-CA"/>
    </w:rPr>
  </w:style>
  <w:style w:type="character" w:customStyle="1" w:styleId="questionlabel">
    <w:name w:val="questionlabel"/>
    <w:basedOn w:val="DefaultParagraphFont"/>
    <w:rsid w:val="007D1BE4"/>
  </w:style>
  <w:style w:type="character" w:customStyle="1" w:styleId="apple-style-span">
    <w:name w:val="apple-style-span"/>
    <w:basedOn w:val="DefaultParagraphFont"/>
    <w:rsid w:val="00D93284"/>
  </w:style>
  <w:style w:type="character" w:customStyle="1" w:styleId="apple-converted-space">
    <w:name w:val="apple-converted-space"/>
    <w:basedOn w:val="DefaultParagraphFont"/>
    <w:rsid w:val="00D93284"/>
  </w:style>
  <w:style w:type="character" w:customStyle="1" w:styleId="bold01">
    <w:name w:val="bold_01"/>
    <w:basedOn w:val="DefaultParagraphFont"/>
    <w:rsid w:val="00D9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75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CD37E73-7649-4395-A8B8-8DAECCC68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5625</Words>
  <Characters>32065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 Heather</dc:creator>
  <cp:keywords/>
  <dc:description/>
  <cp:lastModifiedBy>McCutcheon, Amber</cp:lastModifiedBy>
  <cp:revision>2</cp:revision>
  <dcterms:created xsi:type="dcterms:W3CDTF">2018-11-01T19:12:00Z</dcterms:created>
  <dcterms:modified xsi:type="dcterms:W3CDTF">2018-11-01T19:12:00Z</dcterms:modified>
</cp:coreProperties>
</file>