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E9D41" w14:textId="77777777" w:rsidR="007D1A2D" w:rsidRDefault="007507C6"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lang w:eastAsia="en-GB"/>
        </w:rPr>
        <w:drawing>
          <wp:inline distT="0" distB="0" distL="0" distR="0" wp14:anchorId="1EEE2A42" wp14:editId="31D7F27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733A5DA" w14:textId="77777777" w:rsidR="00F13220" w:rsidRPr="002E084B" w:rsidRDefault="00F13220" w:rsidP="008467D5">
      <w:pPr>
        <w:pBdr>
          <w:bottom w:val="single" w:sz="18" w:space="1" w:color="auto"/>
        </w:pBdr>
        <w:tabs>
          <w:tab w:val="left" w:pos="-1440"/>
          <w:tab w:val="left" w:pos="-720"/>
          <w:tab w:val="left" w:pos="1"/>
        </w:tabs>
        <w:jc w:val="both"/>
        <w:rPr>
          <w:rFonts w:ascii="Arial" w:hAnsi="Arial"/>
          <w:b/>
          <w:sz w:val="4"/>
          <w:szCs w:val="4"/>
        </w:rPr>
      </w:pPr>
    </w:p>
    <w:p w14:paraId="292CF415" w14:textId="026B062C" w:rsidR="00D75295" w:rsidRDefault="00E114B0" w:rsidP="00D75295">
      <w:pPr>
        <w:jc w:val="right"/>
        <w:rPr>
          <w:rFonts w:ascii="Arial" w:hAnsi="Arial"/>
          <w:b/>
          <w:sz w:val="28"/>
          <w:szCs w:val="28"/>
        </w:rPr>
      </w:pPr>
      <w:r>
        <w:rPr>
          <w:rFonts w:ascii="Arial" w:hAnsi="Arial"/>
          <w:b/>
          <w:sz w:val="28"/>
          <w:szCs w:val="28"/>
        </w:rPr>
        <w:t>9B18D011</w:t>
      </w:r>
    </w:p>
    <w:p w14:paraId="3C9C8C77" w14:textId="77777777" w:rsidR="00013360" w:rsidRDefault="00013360" w:rsidP="00D75295">
      <w:pPr>
        <w:jc w:val="right"/>
        <w:rPr>
          <w:rFonts w:ascii="Arial" w:hAnsi="Arial"/>
          <w:b/>
          <w:sz w:val="28"/>
          <w:szCs w:val="28"/>
        </w:rPr>
      </w:pPr>
    </w:p>
    <w:p w14:paraId="49D5C042" w14:textId="77777777" w:rsidR="00E114B0" w:rsidRPr="00013360" w:rsidRDefault="00E114B0" w:rsidP="00D75295">
      <w:pPr>
        <w:jc w:val="right"/>
        <w:rPr>
          <w:rFonts w:ascii="Arial" w:hAnsi="Arial"/>
          <w:b/>
          <w:sz w:val="28"/>
          <w:szCs w:val="28"/>
        </w:rPr>
      </w:pPr>
    </w:p>
    <w:p w14:paraId="5CC58BF8" w14:textId="516A5C7F" w:rsidR="00013360" w:rsidRDefault="006C0A12" w:rsidP="00013360">
      <w:pPr>
        <w:pStyle w:val="CaseTitle"/>
        <w:spacing w:after="0" w:line="240" w:lineRule="auto"/>
        <w:rPr>
          <w:sz w:val="20"/>
          <w:szCs w:val="20"/>
        </w:rPr>
      </w:pPr>
      <w:r>
        <w:rPr>
          <w:rFonts w:eastAsia="Times New Roman"/>
          <w:szCs w:val="20"/>
        </w:rPr>
        <w:t>COLBERTS INC</w:t>
      </w:r>
      <w:r w:rsidR="00260995">
        <w:rPr>
          <w:rFonts w:eastAsia="Times New Roman"/>
          <w:szCs w:val="20"/>
        </w:rPr>
        <w:t>. (A)</w:t>
      </w:r>
    </w:p>
    <w:p w14:paraId="219781A9" w14:textId="77777777" w:rsidR="00CA3976" w:rsidRDefault="00CA3976" w:rsidP="00013360">
      <w:pPr>
        <w:pStyle w:val="CaseTitle"/>
        <w:spacing w:after="0" w:line="240" w:lineRule="auto"/>
        <w:rPr>
          <w:sz w:val="20"/>
          <w:szCs w:val="20"/>
        </w:rPr>
      </w:pPr>
    </w:p>
    <w:p w14:paraId="4C55FEB2" w14:textId="77777777" w:rsidR="00013360" w:rsidRPr="00013360" w:rsidRDefault="00013360" w:rsidP="00013360">
      <w:pPr>
        <w:pStyle w:val="CaseTitle"/>
        <w:spacing w:after="0" w:line="240" w:lineRule="auto"/>
        <w:rPr>
          <w:sz w:val="20"/>
          <w:szCs w:val="20"/>
        </w:rPr>
      </w:pPr>
    </w:p>
    <w:p w14:paraId="1A18C563" w14:textId="5236D9FE" w:rsidR="00627C63" w:rsidRPr="00627C63" w:rsidRDefault="006C0A12" w:rsidP="00627C63">
      <w:pPr>
        <w:pStyle w:val="StyleCopyrightStatementAfter0ptBottomSinglesolidline1"/>
      </w:pPr>
      <w:r w:rsidRPr="006C0A12">
        <w:t xml:space="preserve">Ishan Sharma and Saad Khan </w:t>
      </w:r>
      <w:r w:rsidR="008E5171" w:rsidRPr="00104567">
        <w:t>wrote</w:t>
      </w:r>
      <w:r w:rsidR="004B632F" w:rsidRPr="00104567">
        <w:t xml:space="preserve"> this</w:t>
      </w:r>
      <w:r w:rsidR="004B632F">
        <w:t xml:space="preserve"> </w:t>
      </w:r>
      <w:r w:rsidR="00152682">
        <w:t>case</w:t>
      </w:r>
      <w:r w:rsidR="004B632F">
        <w:t xml:space="preserve"> </w:t>
      </w:r>
      <w:r w:rsidR="00751E0B">
        <w:t xml:space="preserve">under the supervision of </w:t>
      </w:r>
      <w:r w:rsidR="008E5171">
        <w:t xml:space="preserve">David Wood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14:paraId="43592ED2" w14:textId="77777777" w:rsidR="00751E0B" w:rsidRDefault="00751E0B" w:rsidP="00751E0B">
      <w:pPr>
        <w:pStyle w:val="StyleCopyrightStatementAfter0ptBottomSinglesolidline1"/>
      </w:pPr>
    </w:p>
    <w:p w14:paraId="4F660F8C" w14:textId="358814C7" w:rsidR="007507C6" w:rsidRDefault="00452769" w:rsidP="007507C6">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721F2B">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96F3EDC" w14:textId="77777777" w:rsidR="00751E0B" w:rsidRDefault="00751E0B" w:rsidP="007507C6">
      <w:pPr>
        <w:pStyle w:val="StyleCopyrightStatementAfter0ptBottomSinglesolidline1"/>
        <w:pBdr>
          <w:top w:val="none" w:sz="0" w:space="0" w:color="auto"/>
        </w:pBdr>
      </w:pPr>
    </w:p>
    <w:p w14:paraId="5BCB3EF5" w14:textId="73854A06" w:rsidR="00751E0B" w:rsidRDefault="00751E0B" w:rsidP="00751E0B">
      <w:pPr>
        <w:pStyle w:val="StyleStyleCopyrightStatementAfter0ptBottomSinglesolid"/>
      </w:pPr>
      <w:r>
        <w:t>Copyright © 20</w:t>
      </w:r>
      <w:r w:rsidR="00923035">
        <w:t>1</w:t>
      </w:r>
      <w:r w:rsidR="00721F2B">
        <w:t>8</w:t>
      </w:r>
      <w:r>
        <w:t xml:space="preserve">, </w:t>
      </w:r>
      <w:r w:rsidR="009F7EC4">
        <w:t>Ivey School of Business</w:t>
      </w:r>
      <w:r>
        <w:t xml:space="preserve"> Foundation</w:t>
      </w:r>
      <w:r>
        <w:tab/>
        <w:t>Version: 20</w:t>
      </w:r>
      <w:r w:rsidR="00923035">
        <w:t>1</w:t>
      </w:r>
      <w:r w:rsidR="00721F2B">
        <w:t>8</w:t>
      </w:r>
      <w:r>
        <w:t>-</w:t>
      </w:r>
      <w:r w:rsidR="00923035">
        <w:t>0</w:t>
      </w:r>
      <w:r w:rsidR="00BF475B">
        <w:t>5</w:t>
      </w:r>
      <w:r w:rsidR="000E44A0">
        <w:t>-</w:t>
      </w:r>
      <w:r w:rsidR="00C73881">
        <w:t>31</w:t>
      </w:r>
    </w:p>
    <w:p w14:paraId="1F3B3052" w14:textId="77777777" w:rsidR="00751E0B" w:rsidRPr="003B7EF2" w:rsidRDefault="00751E0B" w:rsidP="00751E0B">
      <w:pPr>
        <w:pStyle w:val="StyleCopyrightStatementAfter0ptBottomSinglesolidline1"/>
        <w:rPr>
          <w:rFonts w:ascii="Times New Roman" w:hAnsi="Times New Roman"/>
          <w:sz w:val="20"/>
        </w:rPr>
      </w:pPr>
    </w:p>
    <w:p w14:paraId="3CB9822C" w14:textId="77777777" w:rsidR="004B632F" w:rsidRDefault="004B632F" w:rsidP="004B632F">
      <w:pPr>
        <w:pStyle w:val="StyleCopyrightStatementAfter0ptBottomSinglesolidline1"/>
        <w:rPr>
          <w:rFonts w:ascii="Times New Roman" w:hAnsi="Times New Roman"/>
          <w:sz w:val="20"/>
        </w:rPr>
      </w:pPr>
    </w:p>
    <w:p w14:paraId="683CE99F" w14:textId="6E9CE9DD" w:rsidR="006C0A12" w:rsidRDefault="00DB6D2C" w:rsidP="006C0A12">
      <w:pPr>
        <w:pStyle w:val="BodyTextMain"/>
      </w:pPr>
      <w:r>
        <w:t>Jessica</w:t>
      </w:r>
      <w:r w:rsidR="00260995">
        <w:t xml:space="preserve"> Myers</w:t>
      </w:r>
      <w:r w:rsidR="006B2399">
        <w:t>,</w:t>
      </w:r>
      <w:r w:rsidR="006C0A12">
        <w:t xml:space="preserve"> a </w:t>
      </w:r>
      <w:r w:rsidR="007D42F8">
        <w:t>s</w:t>
      </w:r>
      <w:r w:rsidR="006C0A12">
        <w:t xml:space="preserve">enior </w:t>
      </w:r>
      <w:r w:rsidR="007D42F8">
        <w:t>d</w:t>
      </w:r>
      <w:r w:rsidR="006C0A12">
        <w:t xml:space="preserve">irector of </w:t>
      </w:r>
      <w:r w:rsidR="00721F2B">
        <w:t>s</w:t>
      </w:r>
      <w:r w:rsidR="006C0A12">
        <w:t xml:space="preserve">upply </w:t>
      </w:r>
      <w:r w:rsidR="007D42F8">
        <w:t>c</w:t>
      </w:r>
      <w:r w:rsidR="006C0A12">
        <w:t>hain</w:t>
      </w:r>
      <w:r w:rsidR="00721F2B">
        <w:t xml:space="preserve"> management</w:t>
      </w:r>
      <w:r w:rsidR="006B2399">
        <w:t>,</w:t>
      </w:r>
      <w:r w:rsidR="006C0A12">
        <w:t xml:space="preserve"> had </w:t>
      </w:r>
      <w:r w:rsidR="00076FFF">
        <w:t xml:space="preserve">just </w:t>
      </w:r>
      <w:r w:rsidR="006C0A12">
        <w:t xml:space="preserve">been invited to lunch with the </w:t>
      </w:r>
      <w:r w:rsidR="00721F2B">
        <w:t>chief operating officer</w:t>
      </w:r>
      <w:r w:rsidR="006C0A12">
        <w:t xml:space="preserve"> </w:t>
      </w:r>
      <w:r w:rsidR="006B2399">
        <w:t xml:space="preserve">(COO) </w:t>
      </w:r>
      <w:r w:rsidR="00721F2B">
        <w:t>of Colberts Inc. (Colberts)</w:t>
      </w:r>
      <w:r w:rsidR="006C0A12">
        <w:t xml:space="preserve"> to discuss a possible promotion to </w:t>
      </w:r>
      <w:r w:rsidR="007D42F8">
        <w:t>v</w:t>
      </w:r>
      <w:r w:rsidR="006C0A12">
        <w:t>ice-</w:t>
      </w:r>
      <w:r w:rsidR="007D42F8">
        <w:t>p</w:t>
      </w:r>
      <w:r w:rsidR="006C0A12">
        <w:t xml:space="preserve">resident of </w:t>
      </w:r>
      <w:r w:rsidR="001F68C1">
        <w:t>T</w:t>
      </w:r>
      <w:r w:rsidR="006C0A12">
        <w:t xml:space="preserve">echnology </w:t>
      </w:r>
      <w:r w:rsidR="001F68C1">
        <w:t>O</w:t>
      </w:r>
      <w:r w:rsidR="006C0A12">
        <w:t>perations</w:t>
      </w:r>
      <w:r w:rsidR="00721F2B">
        <w:t xml:space="preserve"> at the company</w:t>
      </w:r>
      <w:r w:rsidR="006C0A12">
        <w:t xml:space="preserve">. Since </w:t>
      </w:r>
      <w:r w:rsidR="00721F2B">
        <w:t>beginning</w:t>
      </w:r>
      <w:r w:rsidR="006C0A12">
        <w:t xml:space="preserve"> at </w:t>
      </w:r>
      <w:proofErr w:type="spellStart"/>
      <w:r w:rsidR="006C0A12">
        <w:t>Colberts</w:t>
      </w:r>
      <w:proofErr w:type="spellEnd"/>
      <w:r w:rsidR="00534A1F">
        <w:t>’</w:t>
      </w:r>
      <w:r w:rsidR="006C0A12">
        <w:t xml:space="preserve"> </w:t>
      </w:r>
      <w:r w:rsidR="00260995">
        <w:t>head office in Madison</w:t>
      </w:r>
      <w:r w:rsidR="00721F2B">
        <w:t>,</w:t>
      </w:r>
      <w:r w:rsidR="00260995">
        <w:t xml:space="preserve"> Wisconsin </w:t>
      </w:r>
      <w:r w:rsidR="006C0A12">
        <w:t xml:space="preserve">three years </w:t>
      </w:r>
      <w:r w:rsidR="00300688">
        <w:t>earlier</w:t>
      </w:r>
      <w:r w:rsidR="006C0A12">
        <w:t xml:space="preserve">, </w:t>
      </w:r>
      <w:r w:rsidR="00260995">
        <w:t xml:space="preserve">Myers </w:t>
      </w:r>
      <w:r w:rsidR="006C0A12">
        <w:t xml:space="preserve">had made tremendous strides as one of the </w:t>
      </w:r>
      <w:r w:rsidR="007D42F8">
        <w:t>s</w:t>
      </w:r>
      <w:r w:rsidR="006C0A12">
        <w:t xml:space="preserve">enior </w:t>
      </w:r>
      <w:r w:rsidR="007D42F8">
        <w:t>d</w:t>
      </w:r>
      <w:r w:rsidR="006C0A12">
        <w:t xml:space="preserve">irectors of </w:t>
      </w:r>
      <w:r w:rsidR="007D42F8">
        <w:t>s</w:t>
      </w:r>
      <w:r w:rsidR="006C0A12">
        <w:t xml:space="preserve">upply </w:t>
      </w:r>
      <w:r w:rsidR="007D42F8">
        <w:t>c</w:t>
      </w:r>
      <w:r w:rsidR="006C0A12">
        <w:t xml:space="preserve">hain </w:t>
      </w:r>
      <w:r w:rsidR="007D42F8">
        <w:t>m</w:t>
      </w:r>
      <w:r w:rsidR="006C0A12">
        <w:t xml:space="preserve">anagement. </w:t>
      </w:r>
      <w:r w:rsidR="00262C49">
        <w:t>She had been</w:t>
      </w:r>
      <w:r w:rsidR="006C0A12">
        <w:t xml:space="preserve"> one of the few </w:t>
      </w:r>
      <w:r w:rsidR="007D42F8">
        <w:t>s</w:t>
      </w:r>
      <w:r w:rsidR="006C0A12">
        <w:t xml:space="preserve">enior </w:t>
      </w:r>
      <w:r w:rsidR="007D42F8">
        <w:t>d</w:t>
      </w:r>
      <w:r w:rsidR="006C0A12">
        <w:t xml:space="preserve">irectors </w:t>
      </w:r>
      <w:r w:rsidR="00824118">
        <w:t xml:space="preserve">selected </w:t>
      </w:r>
      <w:r w:rsidR="006C0A12">
        <w:t xml:space="preserve">to lead an initiative to integrate a new supply chain management system. Although a costly investment, the new </w:t>
      </w:r>
      <w:r w:rsidR="00721F2B">
        <w:t>information technology</w:t>
      </w:r>
      <w:r w:rsidR="006C0A12">
        <w:t xml:space="preserve"> infrastructure ha</w:t>
      </w:r>
      <w:r w:rsidR="001F1903">
        <w:t>d</w:t>
      </w:r>
      <w:r w:rsidR="006C0A12">
        <w:t xml:space="preserve"> helped increase operational efficienc</w:t>
      </w:r>
      <w:r w:rsidR="00064899">
        <w:t>y</w:t>
      </w:r>
      <w:r w:rsidR="006C0A12">
        <w:t xml:space="preserve"> at the store level. Not everyone </w:t>
      </w:r>
      <w:r w:rsidR="00064899">
        <w:t>had been</w:t>
      </w:r>
      <w:r w:rsidR="006C0A12">
        <w:t xml:space="preserve"> on</w:t>
      </w:r>
      <w:r w:rsidR="00064899">
        <w:t xml:space="preserve"> </w:t>
      </w:r>
      <w:r w:rsidR="006C0A12">
        <w:t xml:space="preserve">board </w:t>
      </w:r>
      <w:r w:rsidR="00064899">
        <w:t>at</w:t>
      </w:r>
      <w:r w:rsidR="006C0A12">
        <w:t xml:space="preserve"> the </w:t>
      </w:r>
      <w:r w:rsidR="00064899">
        <w:t>outset,</w:t>
      </w:r>
      <w:r w:rsidR="006C0A12">
        <w:t xml:space="preserve"> but </w:t>
      </w:r>
      <w:r w:rsidR="00064899">
        <w:t>when</w:t>
      </w:r>
      <w:r w:rsidR="006C0A12">
        <w:t xml:space="preserve"> the benefits </w:t>
      </w:r>
      <w:r w:rsidR="00064899">
        <w:t xml:space="preserve">of the new system </w:t>
      </w:r>
      <w:r w:rsidR="006C0A12">
        <w:t xml:space="preserve">could be seen, Myers </w:t>
      </w:r>
      <w:r w:rsidR="001F1903">
        <w:t>began</w:t>
      </w:r>
      <w:r w:rsidR="00205D37">
        <w:t xml:space="preserve"> </w:t>
      </w:r>
      <w:r w:rsidR="001F1903">
        <w:t xml:space="preserve">to </w:t>
      </w:r>
      <w:r>
        <w:t>receiv</w:t>
      </w:r>
      <w:r w:rsidR="001F1903">
        <w:t>e</w:t>
      </w:r>
      <w:r>
        <w:t xml:space="preserve"> congratulations </w:t>
      </w:r>
      <w:r w:rsidR="006C0A12">
        <w:t>from everyone</w:t>
      </w:r>
      <w:r w:rsidR="006F0B4A">
        <w:t xml:space="preserve"> at Colberts</w:t>
      </w:r>
      <w:r w:rsidR="006C0A12">
        <w:t xml:space="preserve">. Things could not be better. </w:t>
      </w:r>
    </w:p>
    <w:p w14:paraId="721713C2" w14:textId="77777777" w:rsidR="006C0A12" w:rsidRDefault="006C0A12" w:rsidP="006C0A12">
      <w:pPr>
        <w:pStyle w:val="BodyTextMain"/>
      </w:pPr>
    </w:p>
    <w:p w14:paraId="151893F9" w14:textId="77777777" w:rsidR="00301844" w:rsidRDefault="00301844" w:rsidP="006C0A12">
      <w:pPr>
        <w:pStyle w:val="BodyTextMain"/>
      </w:pPr>
    </w:p>
    <w:p w14:paraId="6DC2B0C7" w14:textId="74CBCE03" w:rsidR="008E0874" w:rsidRDefault="001F1903" w:rsidP="00301844">
      <w:pPr>
        <w:pStyle w:val="Casehead1"/>
      </w:pPr>
      <w:r>
        <w:t xml:space="preserve">the </w:t>
      </w:r>
      <w:r w:rsidR="008E0874">
        <w:t>INDUSTRY</w:t>
      </w:r>
    </w:p>
    <w:p w14:paraId="4FBA8B24" w14:textId="77777777" w:rsidR="00302E49" w:rsidRDefault="00302E49" w:rsidP="006C0A12">
      <w:pPr>
        <w:pStyle w:val="BodyTextMain"/>
      </w:pPr>
    </w:p>
    <w:p w14:paraId="5DA7C03A" w14:textId="3E3FC6B3" w:rsidR="006E0ECC" w:rsidRDefault="006C0A12" w:rsidP="006C0A12">
      <w:pPr>
        <w:pStyle w:val="BodyTextMain"/>
      </w:pPr>
      <w:r>
        <w:t xml:space="preserve">The </w:t>
      </w:r>
      <w:r w:rsidR="007D42F8">
        <w:t>s</w:t>
      </w:r>
      <w:r>
        <w:t xml:space="preserve">upermarket and </w:t>
      </w:r>
      <w:r w:rsidR="007D42F8">
        <w:t>g</w:t>
      </w:r>
      <w:r>
        <w:t xml:space="preserve">rocery </w:t>
      </w:r>
      <w:r w:rsidR="007D42F8">
        <w:t>s</w:t>
      </w:r>
      <w:r>
        <w:t>tore</w:t>
      </w:r>
      <w:r w:rsidR="00DB6D2C">
        <w:t xml:space="preserve"> industry wa</w:t>
      </w:r>
      <w:r>
        <w:t>s one of</w:t>
      </w:r>
      <w:r w:rsidR="00260995">
        <w:t xml:space="preserve"> the most fiercely competitive</w:t>
      </w:r>
      <w:r w:rsidR="006E0ECC">
        <w:t xml:space="preserve">. </w:t>
      </w:r>
      <w:r w:rsidR="00732348">
        <w:t>In 2016, t</w:t>
      </w:r>
      <w:r w:rsidR="00D23E9A">
        <w:t xml:space="preserve">he top three </w:t>
      </w:r>
      <w:r w:rsidR="00732348">
        <w:t xml:space="preserve">food </w:t>
      </w:r>
      <w:r w:rsidR="00D23E9A">
        <w:t>retailers</w:t>
      </w:r>
      <w:r w:rsidR="00DB6D2C">
        <w:t xml:space="preserve"> in the U</w:t>
      </w:r>
      <w:r w:rsidR="007D42F8">
        <w:t xml:space="preserve">nited </w:t>
      </w:r>
      <w:r w:rsidR="00DB6D2C">
        <w:t>S</w:t>
      </w:r>
      <w:r w:rsidR="007D42F8">
        <w:t>tates</w:t>
      </w:r>
      <w:r w:rsidR="001F1903">
        <w:t>—</w:t>
      </w:r>
      <w:r w:rsidR="00D23E9A">
        <w:t>Kroger, Publix</w:t>
      </w:r>
      <w:r w:rsidR="006B2399">
        <w:t>,</w:t>
      </w:r>
      <w:r w:rsidR="00D23E9A">
        <w:t xml:space="preserve"> and Albertsons</w:t>
      </w:r>
      <w:r w:rsidR="001F1903">
        <w:t>—</w:t>
      </w:r>
      <w:r w:rsidR="00D23E9A">
        <w:t>account</w:t>
      </w:r>
      <w:r w:rsidR="001F1903">
        <w:t>ed</w:t>
      </w:r>
      <w:r w:rsidR="00D23E9A">
        <w:t xml:space="preserve"> for only 31.3</w:t>
      </w:r>
      <w:r w:rsidR="007D42F8">
        <w:t xml:space="preserve"> per cent</w:t>
      </w:r>
      <w:r w:rsidR="00D23E9A">
        <w:t xml:space="preserve"> of all sales. The remaining 68.7</w:t>
      </w:r>
      <w:r w:rsidR="007D42F8">
        <w:t xml:space="preserve"> per cent</w:t>
      </w:r>
      <w:r w:rsidR="00D23E9A">
        <w:t xml:space="preserve"> of sales </w:t>
      </w:r>
      <w:r w:rsidR="00DB6D2C">
        <w:t>we</w:t>
      </w:r>
      <w:r w:rsidR="00D23E9A">
        <w:t>re dispersed across an estimated 41,070 food retail</w:t>
      </w:r>
      <w:r w:rsidR="006F0B4A">
        <w:t>er</w:t>
      </w:r>
      <w:r w:rsidR="00D23E9A">
        <w:t xml:space="preserve">s. </w:t>
      </w:r>
      <w:r w:rsidR="005D247C">
        <w:t>Between 201</w:t>
      </w:r>
      <w:r w:rsidR="009B5F36">
        <w:t>1</w:t>
      </w:r>
      <w:r w:rsidR="005D247C">
        <w:t xml:space="preserve"> and 201</w:t>
      </w:r>
      <w:r w:rsidR="009B5F36">
        <w:t>6</w:t>
      </w:r>
      <w:r w:rsidR="005D247C">
        <w:t>,</w:t>
      </w:r>
      <w:r w:rsidR="006E0ECC">
        <w:t xml:space="preserve"> the industry ha</w:t>
      </w:r>
      <w:r w:rsidR="00DB6D2C">
        <w:t>d</w:t>
      </w:r>
      <w:r w:rsidR="006E0ECC">
        <w:t xml:space="preserve"> grown on average only 1.0</w:t>
      </w:r>
      <w:r w:rsidR="007D42F8">
        <w:t xml:space="preserve"> per cent</w:t>
      </w:r>
      <w:r w:rsidR="006E0ECC">
        <w:t xml:space="preserve"> per year</w:t>
      </w:r>
      <w:r w:rsidR="005D247C">
        <w:t>,</w:t>
      </w:r>
      <w:r w:rsidR="006E0ECC">
        <w:t xml:space="preserve"> and </w:t>
      </w:r>
      <w:r w:rsidR="005D247C">
        <w:t xml:space="preserve">it </w:t>
      </w:r>
      <w:r w:rsidR="00DB6D2C">
        <w:t>wa</w:t>
      </w:r>
      <w:r w:rsidR="006E0ECC">
        <w:t>s expected to grow by only 0.8</w:t>
      </w:r>
      <w:r w:rsidR="007D42F8">
        <w:t xml:space="preserve"> per cent</w:t>
      </w:r>
      <w:r w:rsidR="006E0ECC">
        <w:t xml:space="preserve"> in the next five years. </w:t>
      </w:r>
      <w:r w:rsidR="005D247C">
        <w:t>F</w:t>
      </w:r>
      <w:r w:rsidR="006E0ECC">
        <w:t>ood retailers remain</w:t>
      </w:r>
      <w:r w:rsidR="005D247C">
        <w:t>ed</w:t>
      </w:r>
      <w:r w:rsidR="006E0ECC">
        <w:t xml:space="preserve"> committed to </w:t>
      </w:r>
      <w:r w:rsidR="009B5F36">
        <w:t xml:space="preserve">offering </w:t>
      </w:r>
      <w:r w:rsidR="006E0ECC">
        <w:t xml:space="preserve">deep discounts and promotions to draw foot traffic despite </w:t>
      </w:r>
      <w:r w:rsidR="005D247C">
        <w:t xml:space="preserve">an </w:t>
      </w:r>
      <w:r w:rsidR="006E0ECC">
        <w:t xml:space="preserve">already high </w:t>
      </w:r>
      <w:r w:rsidR="00DB6D2C">
        <w:t>cost of goods sold</w:t>
      </w:r>
      <w:r w:rsidR="005D247C">
        <w:t>,</w:t>
      </w:r>
      <w:r w:rsidR="006E0ECC">
        <w:t xml:space="preserve"> </w:t>
      </w:r>
      <w:r w:rsidR="005D247C">
        <w:t>which</w:t>
      </w:r>
      <w:r w:rsidR="006E0ECC">
        <w:t xml:space="preserve"> averaged 76.7</w:t>
      </w:r>
      <w:r w:rsidR="007D42F8">
        <w:t xml:space="preserve"> per cent</w:t>
      </w:r>
      <w:r w:rsidR="00732348">
        <w:t xml:space="preserve"> in 2016</w:t>
      </w:r>
      <w:r w:rsidR="006E0ECC">
        <w:t xml:space="preserve">. </w:t>
      </w:r>
      <w:r w:rsidR="00D23E9A">
        <w:t xml:space="preserve">One of the highest </w:t>
      </w:r>
      <w:r w:rsidR="006F0B4A">
        <w:t xml:space="preserve">operations </w:t>
      </w:r>
      <w:r w:rsidR="00D23E9A">
        <w:t>costs</w:t>
      </w:r>
      <w:r w:rsidR="005D247C">
        <w:t>,</w:t>
      </w:r>
      <w:r w:rsidR="00D23E9A">
        <w:t xml:space="preserve"> after the cost of goods</w:t>
      </w:r>
      <w:r w:rsidR="00DB6D2C">
        <w:t>,</w:t>
      </w:r>
      <w:r w:rsidR="00D23E9A">
        <w:t xml:space="preserve"> </w:t>
      </w:r>
      <w:r w:rsidR="00DB6D2C">
        <w:t>was</w:t>
      </w:r>
      <w:r w:rsidR="00D23E9A">
        <w:t xml:space="preserve"> logistics. </w:t>
      </w:r>
      <w:r w:rsidR="00DB6D2C">
        <w:t xml:space="preserve">Driving up logistics and supply chain costs were </w:t>
      </w:r>
      <w:r w:rsidR="006F0B4A">
        <w:t xml:space="preserve">frozen foods, and </w:t>
      </w:r>
      <w:r w:rsidR="00DB6D2C">
        <w:t>fresh meats, fruits</w:t>
      </w:r>
      <w:r w:rsidR="009B5F36">
        <w:t>,</w:t>
      </w:r>
      <w:r w:rsidR="00DB6D2C">
        <w:t xml:space="preserve"> vegetables, </w:t>
      </w:r>
      <w:r w:rsidR="009B5F36">
        <w:t xml:space="preserve">and </w:t>
      </w:r>
      <w:r w:rsidR="00DB6D2C">
        <w:t>dairy</w:t>
      </w:r>
      <w:r w:rsidR="009B5F36">
        <w:t xml:space="preserve"> products</w:t>
      </w:r>
      <w:r w:rsidR="00DB6D2C">
        <w:t xml:space="preserve">. These perishable </w:t>
      </w:r>
      <w:r w:rsidR="00D23E9A">
        <w:t>goods</w:t>
      </w:r>
      <w:r w:rsidR="00DB6D2C">
        <w:t xml:space="preserve"> total</w:t>
      </w:r>
      <w:r w:rsidR="009B5F36">
        <w:t>l</w:t>
      </w:r>
      <w:r w:rsidR="00DB6D2C">
        <w:t>ed 35.6</w:t>
      </w:r>
      <w:r w:rsidR="007D42F8">
        <w:t xml:space="preserve"> per cent</w:t>
      </w:r>
      <w:r w:rsidR="00DB6D2C">
        <w:t xml:space="preserve"> of all sales in 2016</w:t>
      </w:r>
      <w:r w:rsidR="00D23E9A">
        <w:t xml:space="preserve">. </w:t>
      </w:r>
      <w:r w:rsidR="00DB6D2C">
        <w:t>To combat pricing pressure and high supply chain costs</w:t>
      </w:r>
      <w:r w:rsidR="006E0ECC">
        <w:t xml:space="preserve">, grocers </w:t>
      </w:r>
      <w:r w:rsidR="00DB6D2C">
        <w:t>we</w:t>
      </w:r>
      <w:r w:rsidR="006E0ECC">
        <w:t>re investing heavily in technology and automation including self-checkout, pay by touch, and auto replenishment technology. Th</w:t>
      </w:r>
      <w:r w:rsidR="00DB6D2C">
        <w:t>ese</w:t>
      </w:r>
      <w:r w:rsidR="006E0ECC">
        <w:t xml:space="preserve"> investment</w:t>
      </w:r>
      <w:r w:rsidR="00DB6D2C">
        <w:t xml:space="preserve">s in technology were </w:t>
      </w:r>
      <w:r w:rsidR="006E0ECC">
        <w:t xml:space="preserve">increasing the demand for capital in an industry where the average </w:t>
      </w:r>
      <w:r w:rsidR="00732348">
        <w:t>profit margin</w:t>
      </w:r>
      <w:r w:rsidR="006E0ECC">
        <w:t xml:space="preserve"> </w:t>
      </w:r>
      <w:r w:rsidR="00DB6D2C">
        <w:t>was</w:t>
      </w:r>
      <w:r w:rsidR="006E0ECC">
        <w:t xml:space="preserve"> only 1.9</w:t>
      </w:r>
      <w:r w:rsidR="007D42F8">
        <w:t xml:space="preserve"> per cent</w:t>
      </w:r>
      <w:r w:rsidR="006E0ECC">
        <w:t>.</w:t>
      </w:r>
      <w:r w:rsidR="006E0ECC">
        <w:rPr>
          <w:rStyle w:val="FootnoteReference"/>
        </w:rPr>
        <w:footnoteReference w:id="1"/>
      </w:r>
    </w:p>
    <w:p w14:paraId="5B5122FC" w14:textId="77777777" w:rsidR="006E0ECC" w:rsidRDefault="006E0ECC" w:rsidP="006C0A12">
      <w:pPr>
        <w:pStyle w:val="BodyTextMain"/>
      </w:pPr>
    </w:p>
    <w:p w14:paraId="2C04BC10" w14:textId="77777777" w:rsidR="007D42F8" w:rsidRDefault="007D42F8" w:rsidP="006C0A12">
      <w:pPr>
        <w:pStyle w:val="BodyTextMain"/>
      </w:pPr>
    </w:p>
    <w:p w14:paraId="7C4D41E7" w14:textId="77777777" w:rsidR="006C0A12" w:rsidRDefault="006C0A12" w:rsidP="006C0A12">
      <w:pPr>
        <w:pStyle w:val="BodyTextMain"/>
      </w:pPr>
    </w:p>
    <w:p w14:paraId="17DB0724" w14:textId="77777777" w:rsidR="008E0874" w:rsidRPr="006C0A12" w:rsidRDefault="008E0874" w:rsidP="002E084B">
      <w:pPr>
        <w:pStyle w:val="Casehead1"/>
        <w:keepNext/>
      </w:pPr>
      <w:r>
        <w:lastRenderedPageBreak/>
        <w:t>COLBERTS INC.</w:t>
      </w:r>
    </w:p>
    <w:p w14:paraId="48ADA367" w14:textId="77777777" w:rsidR="008E0874" w:rsidRDefault="008E0874" w:rsidP="002E084B">
      <w:pPr>
        <w:pStyle w:val="BodyTextMain"/>
        <w:keepNext/>
      </w:pPr>
    </w:p>
    <w:p w14:paraId="21443E91" w14:textId="2FB6A68E" w:rsidR="004C57D0" w:rsidRDefault="004C57D0" w:rsidP="002E084B">
      <w:pPr>
        <w:pStyle w:val="BodyTextMain"/>
        <w:keepNext/>
      </w:pPr>
      <w:r>
        <w:t>Colberts was established in Madison</w:t>
      </w:r>
      <w:r w:rsidR="00AD4816">
        <w:t>,</w:t>
      </w:r>
      <w:r>
        <w:t xml:space="preserve"> Wisconsin</w:t>
      </w:r>
      <w:r w:rsidR="00AD4816">
        <w:t>, in the United States</w:t>
      </w:r>
      <w:r>
        <w:t xml:space="preserve"> as </w:t>
      </w:r>
      <w:r w:rsidR="00AD4816">
        <w:t xml:space="preserve">a </w:t>
      </w:r>
      <w:r>
        <w:t xml:space="preserve">one-stop shop for all household needs. </w:t>
      </w:r>
      <w:r w:rsidR="00AD4816">
        <w:t>The retailer’s</w:t>
      </w:r>
      <w:r>
        <w:t xml:space="preserve"> growing reputation for providing customers with </w:t>
      </w:r>
      <w:r w:rsidR="00AD4816">
        <w:t xml:space="preserve">the </w:t>
      </w:r>
      <w:r>
        <w:t xml:space="preserve">best products </w:t>
      </w:r>
      <w:r w:rsidR="00AD4816">
        <w:t>at</w:t>
      </w:r>
      <w:r>
        <w:t xml:space="preserve"> the lowest prices possible led to rapid growth</w:t>
      </w:r>
      <w:r w:rsidR="00DC516C">
        <w:t xml:space="preserve"> for the company</w:t>
      </w:r>
      <w:r>
        <w:t xml:space="preserve">. Colberts was one of the first </w:t>
      </w:r>
      <w:r w:rsidR="00732348">
        <w:t xml:space="preserve">grocery retailers </w:t>
      </w:r>
      <w:r>
        <w:t>to develop several private-label brands that represented superior value and not simply the lowest price. In the early years</w:t>
      </w:r>
      <w:r w:rsidR="00AD4816">
        <w:t>,</w:t>
      </w:r>
      <w:r>
        <w:t xml:space="preserve"> the</w:t>
      </w:r>
      <w:r w:rsidR="00AD4816">
        <w:t xml:space="preserve"> compan</w:t>
      </w:r>
      <w:r>
        <w:t>y w</w:t>
      </w:r>
      <w:r w:rsidR="00AD4816">
        <w:t>as</w:t>
      </w:r>
      <w:r>
        <w:t xml:space="preserve"> able to build on </w:t>
      </w:r>
      <w:r w:rsidR="00AD4816">
        <w:t>its</w:t>
      </w:r>
      <w:r>
        <w:t xml:space="preserve"> popularity and expand through</w:t>
      </w:r>
      <w:r w:rsidR="00DC516C">
        <w:t>out</w:t>
      </w:r>
      <w:r>
        <w:t xml:space="preserve"> the </w:t>
      </w:r>
      <w:r w:rsidR="00DF2F2D">
        <w:t>M</w:t>
      </w:r>
      <w:r>
        <w:t>idwestern United States.</w:t>
      </w:r>
    </w:p>
    <w:p w14:paraId="59D81913" w14:textId="77777777" w:rsidR="004C57D0" w:rsidRDefault="004C57D0" w:rsidP="004C57D0">
      <w:pPr>
        <w:pStyle w:val="BodyTextMain"/>
      </w:pPr>
    </w:p>
    <w:p w14:paraId="6750644B" w14:textId="7D369190" w:rsidR="004C57D0" w:rsidRPr="007D42F8" w:rsidRDefault="00AD4816" w:rsidP="004C57D0">
      <w:pPr>
        <w:pStyle w:val="BodyTextMain"/>
      </w:pPr>
      <w:r>
        <w:t>By early 2017,</w:t>
      </w:r>
      <w:r w:rsidR="004C57D0">
        <w:t xml:space="preserve"> </w:t>
      </w:r>
      <w:proofErr w:type="spellStart"/>
      <w:r w:rsidR="004C57D0">
        <w:t>Colberts</w:t>
      </w:r>
      <w:proofErr w:type="spellEnd"/>
      <w:r w:rsidR="004C57D0">
        <w:t xml:space="preserve"> ha</w:t>
      </w:r>
      <w:r>
        <w:t>d</w:t>
      </w:r>
      <w:r w:rsidR="004C57D0">
        <w:t xml:space="preserve"> 983 stores and continue</w:t>
      </w:r>
      <w:r>
        <w:t>d</w:t>
      </w:r>
      <w:r w:rsidR="004C57D0">
        <w:t xml:space="preserve"> to exceed the industry </w:t>
      </w:r>
      <w:r>
        <w:t>in</w:t>
      </w:r>
      <w:r w:rsidR="000D757A">
        <w:t xml:space="preserve"> same</w:t>
      </w:r>
      <w:r>
        <w:t>-</w:t>
      </w:r>
      <w:r w:rsidR="000D757A">
        <w:t>store sales growth</w:t>
      </w:r>
      <w:r>
        <w:t>, with an average</w:t>
      </w:r>
      <w:r w:rsidR="00DC516C">
        <w:t xml:space="preserve"> growth</w:t>
      </w:r>
      <w:r w:rsidR="004C57D0">
        <w:t xml:space="preserve"> of 2.</w:t>
      </w:r>
      <w:r w:rsidR="000D757A">
        <w:t>5</w:t>
      </w:r>
      <w:r w:rsidR="007D42F8">
        <w:t xml:space="preserve"> per cent</w:t>
      </w:r>
      <w:r w:rsidR="004C57D0">
        <w:t xml:space="preserve"> in the </w:t>
      </w:r>
      <w:r>
        <w:t>p</w:t>
      </w:r>
      <w:r w:rsidR="004C57D0">
        <w:t>ast three years. In addition to grow</w:t>
      </w:r>
      <w:r w:rsidR="000D757A">
        <w:t>th in revenue</w:t>
      </w:r>
      <w:r w:rsidR="004C57D0">
        <w:t xml:space="preserve">, Colberts also managed to </w:t>
      </w:r>
      <w:r w:rsidR="00DC516C">
        <w:t>earn</w:t>
      </w:r>
      <w:r w:rsidR="004C57D0">
        <w:t xml:space="preserve"> better gross margins and</w:t>
      </w:r>
      <w:r>
        <w:t xml:space="preserve"> </w:t>
      </w:r>
      <w:r w:rsidR="004C57D0">
        <w:t>a higher net income than others in the industry</w:t>
      </w:r>
      <w:r w:rsidR="004C57D0" w:rsidRPr="007D42F8">
        <w:t xml:space="preserve"> (see Exhibit</w:t>
      </w:r>
      <w:r w:rsidR="007D42F8">
        <w:t>s</w:t>
      </w:r>
      <w:r w:rsidR="004C57D0" w:rsidRPr="007D42F8">
        <w:t xml:space="preserve"> 1 </w:t>
      </w:r>
      <w:r w:rsidR="00541659" w:rsidRPr="007D42F8">
        <w:t>and 2</w:t>
      </w:r>
      <w:r w:rsidR="004C57D0" w:rsidRPr="007D42F8">
        <w:t>).</w:t>
      </w:r>
    </w:p>
    <w:p w14:paraId="122476ED" w14:textId="77777777" w:rsidR="004C57D0" w:rsidRDefault="004C57D0" w:rsidP="008E0874">
      <w:pPr>
        <w:pStyle w:val="BodyTextMain"/>
      </w:pPr>
    </w:p>
    <w:p w14:paraId="6AF16310" w14:textId="77777777" w:rsidR="00301844" w:rsidRDefault="00301844" w:rsidP="008E0874">
      <w:pPr>
        <w:pStyle w:val="BodyTextMain"/>
      </w:pPr>
    </w:p>
    <w:p w14:paraId="19532009" w14:textId="28E6CAEB" w:rsidR="000D757A" w:rsidRPr="000D757A" w:rsidRDefault="000D757A" w:rsidP="00301844">
      <w:pPr>
        <w:pStyle w:val="Casehead1"/>
      </w:pPr>
      <w:r w:rsidRPr="000D757A">
        <w:t>OPERATIONS AND SUPPLY CHAIN MANAGEMENT</w:t>
      </w:r>
    </w:p>
    <w:p w14:paraId="2500C087" w14:textId="77777777" w:rsidR="000D757A" w:rsidRDefault="000D757A" w:rsidP="00301844">
      <w:pPr>
        <w:pStyle w:val="BodyTextMain"/>
      </w:pPr>
    </w:p>
    <w:p w14:paraId="25A6BE61" w14:textId="3CC23B55" w:rsidR="006C0A12" w:rsidRDefault="006C0A12" w:rsidP="00301844">
      <w:pPr>
        <w:pStyle w:val="BodyTextMain"/>
      </w:pPr>
      <w:r>
        <w:t xml:space="preserve">An </w:t>
      </w:r>
      <w:r w:rsidR="000D757A">
        <w:t>expanding line of private label products and growing revenues had put a</w:t>
      </w:r>
      <w:r>
        <w:t xml:space="preserve"> strain on the company’s ability to manage </w:t>
      </w:r>
      <w:r w:rsidR="000D757A">
        <w:t>its</w:t>
      </w:r>
      <w:r>
        <w:t xml:space="preserve"> supply chain. </w:t>
      </w:r>
      <w:r w:rsidR="003D23D1">
        <w:t>Colberts’</w:t>
      </w:r>
      <w:r w:rsidR="00CD2A83">
        <w:t xml:space="preserve"> growth </w:t>
      </w:r>
      <w:r w:rsidR="003D23D1">
        <w:t>had</w:t>
      </w:r>
      <w:r w:rsidR="00CD2A83">
        <w:t xml:space="preserve"> introduced new complexities for the supply chain management team, making it more difficult to track orders and inventory. </w:t>
      </w:r>
      <w:r w:rsidR="00466B39">
        <w:t>In 2015</w:t>
      </w:r>
      <w:r>
        <w:t xml:space="preserve">, </w:t>
      </w:r>
      <w:r w:rsidR="00260995">
        <w:t>Colberts</w:t>
      </w:r>
      <w:r>
        <w:t xml:space="preserve"> decided to implement a new supply chain management system</w:t>
      </w:r>
      <w:r w:rsidR="00ED5770">
        <w:t xml:space="preserve"> to not only keep up with changing demands but </w:t>
      </w:r>
      <w:r w:rsidR="003D23D1">
        <w:t>also</w:t>
      </w:r>
      <w:r w:rsidR="00ED5770">
        <w:t xml:space="preserve"> stay </w:t>
      </w:r>
      <w:r w:rsidR="003D23D1">
        <w:t>at</w:t>
      </w:r>
      <w:r w:rsidR="00ED5770">
        <w:t xml:space="preserve"> the </w:t>
      </w:r>
      <w:r w:rsidR="003D23D1">
        <w:t>forefront</w:t>
      </w:r>
      <w:r w:rsidR="00ED5770">
        <w:t xml:space="preserve"> of </w:t>
      </w:r>
      <w:r w:rsidR="003D23D1">
        <w:t xml:space="preserve">new </w:t>
      </w:r>
      <w:r w:rsidR="00ED5770">
        <w:t>technology</w:t>
      </w:r>
      <w:r>
        <w:t xml:space="preserve">. </w:t>
      </w:r>
      <w:r w:rsidR="006F6739">
        <w:t>The new system included SAP for the</w:t>
      </w:r>
      <w:r w:rsidR="003D23D1">
        <w:t xml:space="preserve"> company’s</w:t>
      </w:r>
      <w:r w:rsidR="006F6739">
        <w:t xml:space="preserve"> </w:t>
      </w:r>
      <w:r w:rsidR="003D23D1">
        <w:t>enterprise resource planning (</w:t>
      </w:r>
      <w:r w:rsidR="006F6739">
        <w:t>ERP</w:t>
      </w:r>
      <w:r w:rsidR="003D23D1">
        <w:t>),</w:t>
      </w:r>
      <w:r w:rsidR="006F6739">
        <w:t xml:space="preserve"> and J</w:t>
      </w:r>
      <w:r w:rsidR="00E114B0">
        <w:t xml:space="preserve">. </w:t>
      </w:r>
      <w:r w:rsidR="006F6739">
        <w:t>D</w:t>
      </w:r>
      <w:r w:rsidR="00E114B0">
        <w:t>.</w:t>
      </w:r>
      <w:r w:rsidR="006F6739">
        <w:t xml:space="preserve"> Edwards for </w:t>
      </w:r>
      <w:r w:rsidR="003D23D1">
        <w:t>its</w:t>
      </w:r>
      <w:r w:rsidR="006F6739">
        <w:t xml:space="preserve"> inventory production, forecasting</w:t>
      </w:r>
      <w:r w:rsidR="003D23D1">
        <w:t>,</w:t>
      </w:r>
      <w:r w:rsidR="006F6739">
        <w:t xml:space="preserve"> and replenishment (IPFR). </w:t>
      </w:r>
      <w:r>
        <w:t xml:space="preserve">The </w:t>
      </w:r>
      <w:r w:rsidR="006F6739">
        <w:t>combination of th</w:t>
      </w:r>
      <w:r w:rsidR="003D23D1">
        <w:t>e</w:t>
      </w:r>
      <w:r w:rsidR="006F6739">
        <w:t xml:space="preserve"> ERP and IPFR </w:t>
      </w:r>
      <w:r w:rsidR="003D23D1">
        <w:t xml:space="preserve">systems </w:t>
      </w:r>
      <w:r w:rsidR="006F6739">
        <w:t>gave the supply chain team the ability to manage</w:t>
      </w:r>
      <w:r>
        <w:t xml:space="preserve"> inventory levels for each store across </w:t>
      </w:r>
      <w:r w:rsidR="00CD2A83">
        <w:t xml:space="preserve">the organization </w:t>
      </w:r>
      <w:r>
        <w:t>b</w:t>
      </w:r>
      <w:r w:rsidR="00CD2A83">
        <w:t xml:space="preserve">ased on analysis of </w:t>
      </w:r>
      <w:r>
        <w:t>sales trends and placing orders automatically with suppliers</w:t>
      </w:r>
      <w:r w:rsidR="00CD2A83">
        <w:t xml:space="preserve">. The </w:t>
      </w:r>
      <w:r w:rsidR="006F6739">
        <w:t xml:space="preserve">IPFR </w:t>
      </w:r>
      <w:r w:rsidR="00CD2A83">
        <w:t>system utilize</w:t>
      </w:r>
      <w:r w:rsidR="003D23D1">
        <w:t>d</w:t>
      </w:r>
      <w:r w:rsidR="00CD2A83">
        <w:t xml:space="preserve"> </w:t>
      </w:r>
      <w:r>
        <w:t xml:space="preserve">information on suppliers, warehouse locations, store locations, </w:t>
      </w:r>
      <w:r w:rsidR="00CD2A83">
        <w:t>inventory, product data</w:t>
      </w:r>
      <w:r w:rsidR="00C03889">
        <w:t>,</w:t>
      </w:r>
      <w:r w:rsidR="00CD2A83">
        <w:t xml:space="preserve"> </w:t>
      </w:r>
      <w:r>
        <w:t xml:space="preserve">and historic sales </w:t>
      </w:r>
      <w:r w:rsidR="00CD2A83">
        <w:t>f</w:t>
      </w:r>
      <w:r>
        <w:t xml:space="preserve">or each product in every store. </w:t>
      </w:r>
      <w:r w:rsidR="0049005E">
        <w:t xml:space="preserve">Current orders as well as the previous week’s orders </w:t>
      </w:r>
      <w:r w:rsidR="00C03889">
        <w:t>were</w:t>
      </w:r>
      <w:r w:rsidR="0049005E">
        <w:t xml:space="preserve"> retained</w:t>
      </w:r>
      <w:r w:rsidR="006F6739">
        <w:t xml:space="preserve"> for future reference</w:t>
      </w:r>
      <w:r w:rsidR="0049005E">
        <w:t xml:space="preserve">. </w:t>
      </w:r>
      <w:r>
        <w:t xml:space="preserve">The supply chain management system </w:t>
      </w:r>
      <w:r w:rsidR="00C03889">
        <w:t>was</w:t>
      </w:r>
      <w:r>
        <w:t xml:space="preserve"> integrated within the </w:t>
      </w:r>
      <w:r w:rsidR="006F6739">
        <w:t>new ERP</w:t>
      </w:r>
      <w:r w:rsidR="00C03889">
        <w:t xml:space="preserve"> system</w:t>
      </w:r>
      <w:r w:rsidR="00CD2A83">
        <w:t xml:space="preserve"> to ensure </w:t>
      </w:r>
      <w:r w:rsidR="00300688">
        <w:t>its</w:t>
      </w:r>
      <w:r w:rsidR="00CD2A83">
        <w:t xml:space="preserve"> smooth implementation</w:t>
      </w:r>
      <w:r>
        <w:t xml:space="preserve">. Installation of the system allowed </w:t>
      </w:r>
      <w:r w:rsidR="00260995">
        <w:t>Colberts</w:t>
      </w:r>
      <w:r>
        <w:t xml:space="preserve"> to improve efficienc</w:t>
      </w:r>
      <w:r w:rsidR="00C03889">
        <w:t>y</w:t>
      </w:r>
      <w:r>
        <w:t xml:space="preserve"> within </w:t>
      </w:r>
      <w:r w:rsidR="00C03889">
        <w:t>its</w:t>
      </w:r>
      <w:r>
        <w:t xml:space="preserve"> supplier network by re</w:t>
      </w:r>
      <w:r w:rsidR="00B90227">
        <w:t>-</w:t>
      </w:r>
      <w:r w:rsidR="00CD2A83">
        <w:t>designing</w:t>
      </w:r>
      <w:r>
        <w:t xml:space="preserve"> the replenishment schedule. The system automatica</w:t>
      </w:r>
      <w:r w:rsidR="00CD2A83">
        <w:t>lly track</w:t>
      </w:r>
      <w:r w:rsidR="00B90227">
        <w:t>ed</w:t>
      </w:r>
      <w:r>
        <w:t xml:space="preserve"> store inventory and create</w:t>
      </w:r>
      <w:r w:rsidR="00B90227">
        <w:t>d</w:t>
      </w:r>
      <w:r>
        <w:t xml:space="preserve"> orders for suppliers to fill </w:t>
      </w:r>
      <w:r w:rsidR="00CD2A83">
        <w:t>as frequently as needed</w:t>
      </w:r>
      <w:r>
        <w:t xml:space="preserve">. </w:t>
      </w:r>
      <w:r w:rsidR="00CD2A83">
        <w:t xml:space="preserve">When an order </w:t>
      </w:r>
      <w:r w:rsidR="00B90227">
        <w:t>was</w:t>
      </w:r>
      <w:r w:rsidR="00CD2A83">
        <w:t xml:space="preserve"> automatically generated</w:t>
      </w:r>
      <w:r>
        <w:t xml:space="preserve">, </w:t>
      </w:r>
      <w:r w:rsidR="00B90227">
        <w:t>it was</w:t>
      </w:r>
      <w:r>
        <w:t xml:space="preserve"> sent directly to the supplier</w:t>
      </w:r>
      <w:r w:rsidR="00B90227">
        <w:t>,</w:t>
      </w:r>
      <w:r>
        <w:t xml:space="preserve"> who </w:t>
      </w:r>
      <w:r w:rsidR="00CD2A83">
        <w:t>ship</w:t>
      </w:r>
      <w:r w:rsidR="00B90227">
        <w:t>ped</w:t>
      </w:r>
      <w:r>
        <w:t xml:space="preserve"> the product </w:t>
      </w:r>
      <w:r w:rsidR="00CD2A83">
        <w:t xml:space="preserve">either </w:t>
      </w:r>
      <w:r>
        <w:t xml:space="preserve">to </w:t>
      </w:r>
      <w:r w:rsidR="00CD2A83">
        <w:t>the distribution cent</w:t>
      </w:r>
      <w:r w:rsidR="00B90227">
        <w:t>r</w:t>
      </w:r>
      <w:r w:rsidR="00CD2A83">
        <w:t>e or directly to the store</w:t>
      </w:r>
      <w:r>
        <w:t xml:space="preserve">. Perishable items required full replenishment at </w:t>
      </w:r>
      <w:r w:rsidR="00CD2A83">
        <w:t>least weekly and in some cases daily. S</w:t>
      </w:r>
      <w:r>
        <w:t xml:space="preserve">ince these items constituted </w:t>
      </w:r>
      <w:r w:rsidR="00CD2A83">
        <w:t xml:space="preserve">nearly half </w:t>
      </w:r>
      <w:r>
        <w:t xml:space="preserve">of </w:t>
      </w:r>
      <w:r w:rsidR="00CD2A83">
        <w:t xml:space="preserve">the sales generated at </w:t>
      </w:r>
      <w:r w:rsidR="00260995">
        <w:t>Colberts</w:t>
      </w:r>
      <w:r w:rsidR="00B90227">
        <w:t>,</w:t>
      </w:r>
      <w:r>
        <w:t xml:space="preserve"> a separate application within the supply chain management system had been created to perform perishable product replenishment. </w:t>
      </w:r>
    </w:p>
    <w:p w14:paraId="25F295D9" w14:textId="77777777" w:rsidR="00CD2A83" w:rsidRDefault="00CD2A83" w:rsidP="00301844">
      <w:pPr>
        <w:pStyle w:val="BodyTextMain"/>
      </w:pPr>
    </w:p>
    <w:p w14:paraId="597F0F3A" w14:textId="02D7349D" w:rsidR="006C0A12" w:rsidRDefault="004C295B" w:rsidP="00301844">
      <w:pPr>
        <w:pStyle w:val="BodyTextMain"/>
      </w:pPr>
      <w:r>
        <w:t xml:space="preserve">As the project lead for the perishable product replenishment system, Myers was particularly proud </w:t>
      </w:r>
      <w:r w:rsidR="00537B6B">
        <w:t xml:space="preserve">of </w:t>
      </w:r>
      <w:r w:rsidR="00B90227">
        <w:t>her team’s</w:t>
      </w:r>
      <w:r w:rsidR="00537B6B">
        <w:t xml:space="preserve"> success. By the end of 2016</w:t>
      </w:r>
      <w:r w:rsidR="00AD4816">
        <w:t>,</w:t>
      </w:r>
      <w:r w:rsidR="00537B6B">
        <w:t xml:space="preserve"> </w:t>
      </w:r>
      <w:r>
        <w:t>the supply chain team was able to demonstrate a material improvement in food wastage</w:t>
      </w:r>
      <w:r w:rsidR="00B90227">
        <w:t xml:space="preserve"> and</w:t>
      </w:r>
      <w:r>
        <w:t xml:space="preserve"> service fill rates, a</w:t>
      </w:r>
      <w:r w:rsidR="00B90227">
        <w:t>s well as</w:t>
      </w:r>
      <w:r>
        <w:t xml:space="preserve"> lower operating costs. These improvements did not go unnoticed</w:t>
      </w:r>
      <w:r w:rsidR="00B90227">
        <w:t>,</w:t>
      </w:r>
      <w:r>
        <w:t xml:space="preserve"> </w:t>
      </w:r>
      <w:r w:rsidR="00B90227">
        <w:t>nor</w:t>
      </w:r>
      <w:r>
        <w:t xml:space="preserve"> did the implementation of the new system. Employees, management</w:t>
      </w:r>
      <w:r w:rsidR="00B90227">
        <w:t>,</w:t>
      </w:r>
      <w:r>
        <w:t xml:space="preserve"> and suppliers alike were complimentary of the way the team had managed the project. Myers had been the recipient of many compliments</w:t>
      </w:r>
      <w:r w:rsidR="00B90227">
        <w:t>,</w:t>
      </w:r>
      <w:r>
        <w:t xml:space="preserve"> and she was now widely seen as the logical choice for the new </w:t>
      </w:r>
      <w:r w:rsidR="007D42F8">
        <w:t>v</w:t>
      </w:r>
      <w:r w:rsidRPr="004C295B">
        <w:t>ice-</w:t>
      </w:r>
      <w:r w:rsidR="007D42F8">
        <w:t>p</w:t>
      </w:r>
      <w:r w:rsidRPr="004C295B">
        <w:t xml:space="preserve">resident of </w:t>
      </w:r>
      <w:r w:rsidR="001F68C1">
        <w:t>T</w:t>
      </w:r>
      <w:r w:rsidRPr="004C295B">
        <w:t xml:space="preserve">echnology </w:t>
      </w:r>
      <w:r w:rsidR="001F68C1">
        <w:t>O</w:t>
      </w:r>
      <w:r w:rsidRPr="004C295B">
        <w:t>perations</w:t>
      </w:r>
      <w:r>
        <w:t xml:space="preserve">. As Myers started her day, she could not help but </w:t>
      </w:r>
      <w:r w:rsidR="00BC3A6B">
        <w:t>be</w:t>
      </w:r>
      <w:r>
        <w:t xml:space="preserve"> excited for her lunch the next day with the </w:t>
      </w:r>
      <w:r w:rsidR="006B2399">
        <w:t>COO</w:t>
      </w:r>
      <w:r>
        <w:t>.</w:t>
      </w:r>
    </w:p>
    <w:p w14:paraId="6B6B21C0" w14:textId="4820CA62" w:rsidR="006C0A12" w:rsidRDefault="006C0A12" w:rsidP="00301844">
      <w:pPr>
        <w:pStyle w:val="BodyTextMain"/>
      </w:pPr>
    </w:p>
    <w:p w14:paraId="11D249EB" w14:textId="5AACAC23" w:rsidR="00537B6B" w:rsidRDefault="00537B6B">
      <w:pPr>
        <w:spacing w:after="200" w:line="276" w:lineRule="auto"/>
        <w:rPr>
          <w:rFonts w:ascii="Arial" w:hAnsi="Arial" w:cs="Arial"/>
          <w:b/>
          <w:caps/>
        </w:rPr>
      </w:pPr>
      <w:r>
        <w:br w:type="page"/>
      </w:r>
    </w:p>
    <w:p w14:paraId="684D691C" w14:textId="6F67E6ED" w:rsidR="007B5D40" w:rsidRDefault="007B5D40" w:rsidP="005C210C">
      <w:pPr>
        <w:pStyle w:val="Casehead1"/>
        <w:jc w:val="center"/>
      </w:pPr>
      <w:r w:rsidRPr="00B00962">
        <w:lastRenderedPageBreak/>
        <w:t>Exhibit 1</w:t>
      </w:r>
      <w:r w:rsidR="005C210C">
        <w:t xml:space="preserve">: </w:t>
      </w:r>
      <w:r w:rsidR="00AD4816">
        <w:t xml:space="preserve">colberts inc. </w:t>
      </w:r>
      <w:r w:rsidR="006C0A12">
        <w:t>Financial Statement</w:t>
      </w:r>
    </w:p>
    <w:p w14:paraId="17D71366" w14:textId="77777777" w:rsidR="000E44A0" w:rsidRDefault="000E44A0" w:rsidP="005C210C">
      <w:pPr>
        <w:pStyle w:val="BodyTextMain"/>
      </w:pPr>
    </w:p>
    <w:tbl>
      <w:tblPr>
        <w:tblW w:w="9659" w:type="dxa"/>
        <w:jc w:val="center"/>
        <w:tblInd w:w="-298" w:type="dxa"/>
        <w:tblLook w:val="04A0" w:firstRow="1" w:lastRow="0" w:firstColumn="1" w:lastColumn="0" w:noHBand="0" w:noVBand="1"/>
      </w:tblPr>
      <w:tblGrid>
        <w:gridCol w:w="236"/>
        <w:gridCol w:w="5658"/>
        <w:gridCol w:w="222"/>
        <w:gridCol w:w="1671"/>
        <w:gridCol w:w="222"/>
        <w:gridCol w:w="1650"/>
      </w:tblGrid>
      <w:tr w:rsidR="00541659" w:rsidRPr="00301844" w14:paraId="1F372FC9" w14:textId="77777777" w:rsidTr="00BF475B">
        <w:trPr>
          <w:trHeight w:val="315"/>
          <w:jc w:val="center"/>
        </w:trPr>
        <w:tc>
          <w:tcPr>
            <w:tcW w:w="9659" w:type="dxa"/>
            <w:gridSpan w:val="6"/>
            <w:tcBorders>
              <w:top w:val="nil"/>
              <w:left w:val="nil"/>
              <w:bottom w:val="nil"/>
              <w:right w:val="nil"/>
            </w:tcBorders>
            <w:shd w:val="clear" w:color="auto" w:fill="auto"/>
            <w:noWrap/>
            <w:vAlign w:val="bottom"/>
            <w:hideMark/>
          </w:tcPr>
          <w:p w14:paraId="0A20966B" w14:textId="00131574" w:rsidR="00541659" w:rsidRPr="00301844" w:rsidRDefault="00541659" w:rsidP="00300688">
            <w:pPr>
              <w:jc w:val="center"/>
              <w:rPr>
                <w:rFonts w:ascii="Arial" w:hAnsi="Arial" w:cs="Arial"/>
                <w:b/>
                <w:bCs/>
                <w:color w:val="000000"/>
              </w:rPr>
            </w:pPr>
            <w:r w:rsidRPr="00301844">
              <w:rPr>
                <w:rFonts w:ascii="Arial" w:hAnsi="Arial" w:cs="Arial"/>
                <w:b/>
                <w:bCs/>
                <w:color w:val="000000"/>
              </w:rPr>
              <w:t>2016 Annual Report</w:t>
            </w:r>
            <w:r w:rsidR="00B57958">
              <w:rPr>
                <w:rFonts w:ascii="Arial" w:hAnsi="Arial" w:cs="Arial"/>
                <w:b/>
                <w:bCs/>
                <w:color w:val="000000"/>
              </w:rPr>
              <w:t>—</w:t>
            </w:r>
            <w:r w:rsidRPr="00301844">
              <w:rPr>
                <w:rFonts w:ascii="Arial" w:hAnsi="Arial" w:cs="Arial"/>
                <w:b/>
                <w:bCs/>
                <w:color w:val="000000"/>
              </w:rPr>
              <w:t>Financial Highlights</w:t>
            </w:r>
          </w:p>
        </w:tc>
      </w:tr>
      <w:tr w:rsidR="00541659" w:rsidRPr="00301844" w14:paraId="26E3BF2C" w14:textId="77777777" w:rsidTr="00BF475B">
        <w:trPr>
          <w:trHeight w:val="300"/>
          <w:jc w:val="center"/>
        </w:trPr>
        <w:tc>
          <w:tcPr>
            <w:tcW w:w="9659" w:type="dxa"/>
            <w:gridSpan w:val="6"/>
            <w:tcBorders>
              <w:top w:val="nil"/>
              <w:left w:val="nil"/>
              <w:bottom w:val="nil"/>
              <w:right w:val="nil"/>
            </w:tcBorders>
            <w:shd w:val="clear" w:color="auto" w:fill="auto"/>
            <w:vAlign w:val="bottom"/>
            <w:hideMark/>
          </w:tcPr>
          <w:p w14:paraId="2330EC3E" w14:textId="7B900A08" w:rsidR="00541659" w:rsidRPr="00301844" w:rsidRDefault="00541659" w:rsidP="00C73881">
            <w:pPr>
              <w:jc w:val="center"/>
              <w:rPr>
                <w:rFonts w:ascii="Arial" w:hAnsi="Arial" w:cs="Arial"/>
                <w:color w:val="000000"/>
              </w:rPr>
            </w:pPr>
            <w:r w:rsidRPr="00301844">
              <w:rPr>
                <w:rFonts w:ascii="Arial" w:hAnsi="Arial" w:cs="Arial"/>
                <w:color w:val="000000"/>
              </w:rPr>
              <w:t xml:space="preserve">As at the years ended December 31, 2016 and January 2, 2016 </w:t>
            </w:r>
          </w:p>
        </w:tc>
      </w:tr>
      <w:tr w:rsidR="00541659" w:rsidRPr="00301844" w14:paraId="7DEE2153" w14:textId="77777777" w:rsidTr="00BF475B">
        <w:trPr>
          <w:trHeight w:val="300"/>
          <w:jc w:val="center"/>
        </w:trPr>
        <w:tc>
          <w:tcPr>
            <w:tcW w:w="9659" w:type="dxa"/>
            <w:gridSpan w:val="6"/>
            <w:tcBorders>
              <w:top w:val="nil"/>
              <w:left w:val="nil"/>
              <w:bottom w:val="nil"/>
              <w:right w:val="nil"/>
            </w:tcBorders>
            <w:shd w:val="clear" w:color="auto" w:fill="auto"/>
            <w:vAlign w:val="bottom"/>
            <w:hideMark/>
          </w:tcPr>
          <w:p w14:paraId="0A29BAC1" w14:textId="3954039D" w:rsidR="00541659" w:rsidRPr="00301844" w:rsidRDefault="00541659" w:rsidP="00C148B2">
            <w:pPr>
              <w:jc w:val="center"/>
              <w:rPr>
                <w:rFonts w:ascii="Arial" w:hAnsi="Arial" w:cs="Arial"/>
                <w:color w:val="000000"/>
              </w:rPr>
            </w:pPr>
            <w:r w:rsidRPr="00301844">
              <w:rPr>
                <w:rFonts w:ascii="Arial" w:hAnsi="Arial" w:cs="Arial"/>
                <w:color w:val="000000"/>
              </w:rPr>
              <w:t>(</w:t>
            </w:r>
            <w:r w:rsidR="0007321C">
              <w:rPr>
                <w:rFonts w:ascii="Arial" w:hAnsi="Arial" w:cs="Arial"/>
                <w:color w:val="000000"/>
              </w:rPr>
              <w:t xml:space="preserve">in $US </w:t>
            </w:r>
            <w:r w:rsidRPr="00301844">
              <w:rPr>
                <w:rFonts w:ascii="Arial" w:hAnsi="Arial" w:cs="Arial"/>
                <w:color w:val="000000"/>
              </w:rPr>
              <w:t>millions except where indicated</w:t>
            </w:r>
            <w:r w:rsidR="00C148B2">
              <w:rPr>
                <w:rFonts w:ascii="Arial" w:hAnsi="Arial" w:cs="Arial"/>
                <w:color w:val="000000"/>
              </w:rPr>
              <w:t xml:space="preserve"> otherwise</w:t>
            </w:r>
            <w:r w:rsidRPr="00301844">
              <w:rPr>
                <w:rFonts w:ascii="Arial" w:hAnsi="Arial" w:cs="Arial"/>
                <w:color w:val="000000"/>
              </w:rPr>
              <w:t>)</w:t>
            </w:r>
          </w:p>
        </w:tc>
      </w:tr>
      <w:tr w:rsidR="00541659" w:rsidRPr="00301844" w14:paraId="52648663" w14:textId="77777777" w:rsidTr="00BF475B">
        <w:trPr>
          <w:trHeight w:val="86"/>
          <w:jc w:val="center"/>
        </w:trPr>
        <w:tc>
          <w:tcPr>
            <w:tcW w:w="236" w:type="dxa"/>
            <w:tcBorders>
              <w:top w:val="nil"/>
              <w:left w:val="nil"/>
              <w:bottom w:val="nil"/>
              <w:right w:val="nil"/>
            </w:tcBorders>
            <w:shd w:val="clear" w:color="auto" w:fill="auto"/>
            <w:noWrap/>
            <w:vAlign w:val="bottom"/>
            <w:hideMark/>
          </w:tcPr>
          <w:p w14:paraId="33817B98" w14:textId="77777777" w:rsidR="00541659" w:rsidRPr="00301844" w:rsidRDefault="00541659" w:rsidP="00541659">
            <w:pPr>
              <w:jc w:val="cente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096F353D" w14:textId="77777777" w:rsidR="00541659" w:rsidRPr="00301844" w:rsidRDefault="00541659" w:rsidP="00541659">
            <w:pPr>
              <w:jc w:val="center"/>
              <w:rPr>
                <w:rFonts w:ascii="Arial" w:hAnsi="Arial" w:cs="Arial"/>
              </w:rPr>
            </w:pPr>
          </w:p>
        </w:tc>
        <w:tc>
          <w:tcPr>
            <w:tcW w:w="222" w:type="dxa"/>
            <w:tcBorders>
              <w:top w:val="nil"/>
              <w:left w:val="nil"/>
              <w:bottom w:val="nil"/>
              <w:right w:val="nil"/>
            </w:tcBorders>
            <w:shd w:val="clear" w:color="auto" w:fill="auto"/>
            <w:noWrap/>
            <w:vAlign w:val="bottom"/>
            <w:hideMark/>
          </w:tcPr>
          <w:p w14:paraId="0A5A0F6C" w14:textId="77777777" w:rsidR="00541659" w:rsidRPr="00301844" w:rsidRDefault="00541659" w:rsidP="00541659">
            <w:pPr>
              <w:jc w:val="center"/>
              <w:rPr>
                <w:rFonts w:ascii="Arial" w:hAnsi="Arial" w:cs="Arial"/>
              </w:rPr>
            </w:pPr>
          </w:p>
        </w:tc>
        <w:tc>
          <w:tcPr>
            <w:tcW w:w="1671" w:type="dxa"/>
            <w:tcBorders>
              <w:top w:val="nil"/>
              <w:left w:val="nil"/>
              <w:bottom w:val="nil"/>
              <w:right w:val="nil"/>
            </w:tcBorders>
            <w:shd w:val="clear" w:color="auto" w:fill="auto"/>
            <w:noWrap/>
            <w:vAlign w:val="bottom"/>
            <w:hideMark/>
          </w:tcPr>
          <w:p w14:paraId="3C0E66CB" w14:textId="77777777" w:rsidR="00541659" w:rsidRPr="00301844" w:rsidRDefault="00541659" w:rsidP="00541659">
            <w:pPr>
              <w:jc w:val="center"/>
              <w:rPr>
                <w:rFonts w:ascii="Arial" w:hAnsi="Arial" w:cs="Arial"/>
              </w:rPr>
            </w:pPr>
          </w:p>
        </w:tc>
        <w:tc>
          <w:tcPr>
            <w:tcW w:w="222" w:type="dxa"/>
            <w:tcBorders>
              <w:top w:val="nil"/>
              <w:left w:val="nil"/>
              <w:bottom w:val="nil"/>
              <w:right w:val="nil"/>
            </w:tcBorders>
            <w:shd w:val="clear" w:color="auto" w:fill="auto"/>
            <w:noWrap/>
            <w:vAlign w:val="bottom"/>
            <w:hideMark/>
          </w:tcPr>
          <w:p w14:paraId="0F8A5B4E" w14:textId="77777777" w:rsidR="00541659" w:rsidRPr="00301844" w:rsidRDefault="00541659" w:rsidP="00541659">
            <w:pPr>
              <w:jc w:val="center"/>
              <w:rPr>
                <w:rFonts w:ascii="Arial" w:hAnsi="Arial" w:cs="Arial"/>
              </w:rPr>
            </w:pPr>
          </w:p>
        </w:tc>
        <w:tc>
          <w:tcPr>
            <w:tcW w:w="1650" w:type="dxa"/>
            <w:tcBorders>
              <w:top w:val="nil"/>
              <w:left w:val="nil"/>
              <w:bottom w:val="nil"/>
              <w:right w:val="nil"/>
            </w:tcBorders>
            <w:shd w:val="clear" w:color="auto" w:fill="auto"/>
            <w:noWrap/>
            <w:vAlign w:val="bottom"/>
            <w:hideMark/>
          </w:tcPr>
          <w:p w14:paraId="49DD85D8" w14:textId="77777777" w:rsidR="00541659" w:rsidRPr="00301844" w:rsidRDefault="00541659" w:rsidP="00541659">
            <w:pPr>
              <w:jc w:val="center"/>
              <w:rPr>
                <w:rFonts w:ascii="Arial" w:hAnsi="Arial" w:cs="Arial"/>
              </w:rPr>
            </w:pPr>
          </w:p>
        </w:tc>
      </w:tr>
      <w:tr w:rsidR="00541659" w:rsidRPr="00301844" w14:paraId="123978D4"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75845269" w14:textId="77777777" w:rsidR="00541659" w:rsidRPr="00301844" w:rsidRDefault="00541659" w:rsidP="00541659">
            <w:pPr>
              <w:jc w:val="center"/>
              <w:rPr>
                <w:rFonts w:ascii="Arial" w:hAnsi="Arial" w:cs="Arial"/>
              </w:rPr>
            </w:pPr>
          </w:p>
        </w:tc>
        <w:tc>
          <w:tcPr>
            <w:tcW w:w="5658" w:type="dxa"/>
            <w:tcBorders>
              <w:top w:val="nil"/>
              <w:left w:val="nil"/>
              <w:bottom w:val="nil"/>
              <w:right w:val="nil"/>
            </w:tcBorders>
            <w:shd w:val="clear" w:color="auto" w:fill="auto"/>
            <w:noWrap/>
            <w:vAlign w:val="bottom"/>
            <w:hideMark/>
          </w:tcPr>
          <w:p w14:paraId="705A8D2A" w14:textId="77777777" w:rsidR="00541659" w:rsidRPr="00301844" w:rsidRDefault="00541659" w:rsidP="00541659">
            <w:pPr>
              <w:rPr>
                <w:rFonts w:ascii="Arial" w:hAnsi="Arial" w:cs="Arial"/>
              </w:rPr>
            </w:pPr>
          </w:p>
        </w:tc>
        <w:tc>
          <w:tcPr>
            <w:tcW w:w="222" w:type="dxa"/>
            <w:tcBorders>
              <w:top w:val="nil"/>
              <w:left w:val="nil"/>
              <w:bottom w:val="nil"/>
              <w:right w:val="nil"/>
            </w:tcBorders>
            <w:shd w:val="clear" w:color="auto" w:fill="auto"/>
            <w:noWrap/>
            <w:vAlign w:val="bottom"/>
            <w:hideMark/>
          </w:tcPr>
          <w:p w14:paraId="5CE66A62" w14:textId="77777777" w:rsidR="00541659" w:rsidRPr="00301844" w:rsidRDefault="00541659" w:rsidP="00541659">
            <w:pPr>
              <w:rPr>
                <w:rFonts w:ascii="Arial" w:hAnsi="Arial" w:cs="Arial"/>
              </w:rPr>
            </w:pPr>
          </w:p>
        </w:tc>
        <w:tc>
          <w:tcPr>
            <w:tcW w:w="1671" w:type="dxa"/>
            <w:tcBorders>
              <w:top w:val="single" w:sz="4" w:space="0" w:color="auto"/>
              <w:left w:val="single" w:sz="4" w:space="0" w:color="auto"/>
              <w:bottom w:val="nil"/>
              <w:right w:val="single" w:sz="4" w:space="0" w:color="auto"/>
            </w:tcBorders>
            <w:shd w:val="clear" w:color="auto" w:fill="auto"/>
            <w:noWrap/>
            <w:vAlign w:val="bottom"/>
            <w:hideMark/>
          </w:tcPr>
          <w:p w14:paraId="0E8C219F" w14:textId="77777777" w:rsidR="00541659" w:rsidRPr="00301844" w:rsidRDefault="00541659" w:rsidP="00541659">
            <w:pPr>
              <w:jc w:val="center"/>
              <w:rPr>
                <w:rFonts w:ascii="Arial" w:hAnsi="Arial" w:cs="Arial"/>
                <w:b/>
                <w:bCs/>
                <w:color w:val="000000"/>
              </w:rPr>
            </w:pPr>
            <w:r w:rsidRPr="00301844">
              <w:rPr>
                <w:rFonts w:ascii="Arial" w:hAnsi="Arial" w:cs="Arial"/>
                <w:b/>
                <w:bCs/>
                <w:color w:val="000000"/>
              </w:rPr>
              <w:t>2016</w:t>
            </w:r>
          </w:p>
        </w:tc>
        <w:tc>
          <w:tcPr>
            <w:tcW w:w="222" w:type="dxa"/>
            <w:tcBorders>
              <w:top w:val="nil"/>
              <w:left w:val="nil"/>
              <w:bottom w:val="nil"/>
              <w:right w:val="nil"/>
            </w:tcBorders>
            <w:shd w:val="clear" w:color="auto" w:fill="auto"/>
            <w:noWrap/>
            <w:vAlign w:val="bottom"/>
            <w:hideMark/>
          </w:tcPr>
          <w:p w14:paraId="30F29972" w14:textId="77777777" w:rsidR="00541659" w:rsidRPr="00301844" w:rsidRDefault="00541659" w:rsidP="00541659">
            <w:pPr>
              <w:jc w:val="center"/>
              <w:rPr>
                <w:rFonts w:ascii="Arial" w:hAnsi="Arial" w:cs="Arial"/>
                <w:b/>
                <w:bCs/>
                <w:color w:val="000000"/>
              </w:rPr>
            </w:pPr>
          </w:p>
        </w:tc>
        <w:tc>
          <w:tcPr>
            <w:tcW w:w="1650" w:type="dxa"/>
            <w:tcBorders>
              <w:top w:val="single" w:sz="4" w:space="0" w:color="auto"/>
              <w:left w:val="single" w:sz="4" w:space="0" w:color="auto"/>
              <w:bottom w:val="nil"/>
              <w:right w:val="single" w:sz="4" w:space="0" w:color="auto"/>
            </w:tcBorders>
            <w:shd w:val="clear" w:color="auto" w:fill="auto"/>
            <w:noWrap/>
            <w:vAlign w:val="bottom"/>
            <w:hideMark/>
          </w:tcPr>
          <w:p w14:paraId="65F5653B" w14:textId="77777777" w:rsidR="00541659" w:rsidRPr="00301844" w:rsidRDefault="00541659" w:rsidP="00541659">
            <w:pPr>
              <w:jc w:val="center"/>
              <w:rPr>
                <w:rFonts w:ascii="Arial" w:hAnsi="Arial" w:cs="Arial"/>
                <w:b/>
                <w:bCs/>
                <w:color w:val="000000"/>
              </w:rPr>
            </w:pPr>
            <w:r w:rsidRPr="00301844">
              <w:rPr>
                <w:rFonts w:ascii="Arial" w:hAnsi="Arial" w:cs="Arial"/>
                <w:b/>
                <w:bCs/>
                <w:color w:val="000000"/>
              </w:rPr>
              <w:t>2015</w:t>
            </w:r>
          </w:p>
        </w:tc>
      </w:tr>
      <w:tr w:rsidR="00541659" w:rsidRPr="00301844" w14:paraId="28672901" w14:textId="77777777" w:rsidTr="00BF475B">
        <w:trPr>
          <w:trHeight w:val="66"/>
          <w:jc w:val="center"/>
        </w:trPr>
        <w:tc>
          <w:tcPr>
            <w:tcW w:w="236" w:type="dxa"/>
            <w:tcBorders>
              <w:top w:val="nil"/>
              <w:left w:val="nil"/>
              <w:bottom w:val="nil"/>
              <w:right w:val="nil"/>
            </w:tcBorders>
            <w:shd w:val="clear" w:color="auto" w:fill="auto"/>
            <w:noWrap/>
            <w:vAlign w:val="bottom"/>
            <w:hideMark/>
          </w:tcPr>
          <w:p w14:paraId="41DD222D" w14:textId="77777777" w:rsidR="00541659" w:rsidRPr="00301844" w:rsidRDefault="00541659" w:rsidP="00541659">
            <w:pPr>
              <w:jc w:val="center"/>
              <w:rPr>
                <w:rFonts w:ascii="Arial" w:hAnsi="Arial" w:cs="Arial"/>
                <w:b/>
                <w:bCs/>
                <w:color w:val="000000"/>
              </w:rPr>
            </w:pPr>
          </w:p>
        </w:tc>
        <w:tc>
          <w:tcPr>
            <w:tcW w:w="5658" w:type="dxa"/>
            <w:tcBorders>
              <w:top w:val="nil"/>
              <w:left w:val="nil"/>
              <w:bottom w:val="nil"/>
              <w:right w:val="nil"/>
            </w:tcBorders>
            <w:shd w:val="clear" w:color="auto" w:fill="auto"/>
            <w:noWrap/>
            <w:vAlign w:val="bottom"/>
            <w:hideMark/>
          </w:tcPr>
          <w:p w14:paraId="5B74E4EC" w14:textId="77777777" w:rsidR="00541659" w:rsidRPr="00301844" w:rsidRDefault="00541659" w:rsidP="00541659">
            <w:pPr>
              <w:rPr>
                <w:rFonts w:ascii="Arial" w:hAnsi="Arial" w:cs="Arial"/>
              </w:rPr>
            </w:pPr>
          </w:p>
        </w:tc>
        <w:tc>
          <w:tcPr>
            <w:tcW w:w="222" w:type="dxa"/>
            <w:tcBorders>
              <w:top w:val="nil"/>
              <w:left w:val="nil"/>
              <w:bottom w:val="nil"/>
              <w:right w:val="nil"/>
            </w:tcBorders>
            <w:shd w:val="clear" w:color="auto" w:fill="auto"/>
            <w:noWrap/>
            <w:vAlign w:val="bottom"/>
            <w:hideMark/>
          </w:tcPr>
          <w:p w14:paraId="2E7F2400" w14:textId="77777777" w:rsidR="00541659" w:rsidRPr="00301844" w:rsidRDefault="00541659" w:rsidP="00541659">
            <w:pPr>
              <w:rPr>
                <w:rFonts w:ascii="Arial" w:hAnsi="Arial" w:cs="Arial"/>
              </w:rPr>
            </w:pPr>
          </w:p>
        </w:tc>
        <w:tc>
          <w:tcPr>
            <w:tcW w:w="1671" w:type="dxa"/>
            <w:tcBorders>
              <w:top w:val="nil"/>
              <w:left w:val="single" w:sz="4" w:space="0" w:color="auto"/>
              <w:bottom w:val="nil"/>
              <w:right w:val="single" w:sz="4" w:space="0" w:color="auto"/>
            </w:tcBorders>
            <w:shd w:val="clear" w:color="auto" w:fill="auto"/>
            <w:noWrap/>
            <w:vAlign w:val="bottom"/>
            <w:hideMark/>
          </w:tcPr>
          <w:p w14:paraId="5E94EDEA"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127802A7"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210A6F93"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6666EB21" w14:textId="77777777" w:rsidTr="00BF475B">
        <w:trPr>
          <w:trHeight w:val="300"/>
          <w:jc w:val="center"/>
        </w:trPr>
        <w:tc>
          <w:tcPr>
            <w:tcW w:w="5894" w:type="dxa"/>
            <w:gridSpan w:val="2"/>
            <w:tcBorders>
              <w:top w:val="nil"/>
              <w:left w:val="nil"/>
              <w:bottom w:val="nil"/>
              <w:right w:val="nil"/>
            </w:tcBorders>
            <w:shd w:val="clear" w:color="auto" w:fill="auto"/>
            <w:noWrap/>
            <w:vAlign w:val="bottom"/>
            <w:hideMark/>
          </w:tcPr>
          <w:p w14:paraId="189CD399" w14:textId="77777777" w:rsidR="00541659" w:rsidRPr="00301844" w:rsidRDefault="00541659" w:rsidP="00541659">
            <w:pPr>
              <w:rPr>
                <w:rFonts w:ascii="Arial" w:hAnsi="Arial" w:cs="Arial"/>
                <w:b/>
                <w:bCs/>
                <w:color w:val="000000"/>
              </w:rPr>
            </w:pPr>
            <w:r w:rsidRPr="00301844">
              <w:rPr>
                <w:rFonts w:ascii="Arial" w:hAnsi="Arial" w:cs="Arial"/>
                <w:b/>
                <w:bCs/>
                <w:color w:val="000000"/>
              </w:rPr>
              <w:t>Retail Results of Operations</w:t>
            </w:r>
          </w:p>
        </w:tc>
        <w:tc>
          <w:tcPr>
            <w:tcW w:w="222" w:type="dxa"/>
            <w:tcBorders>
              <w:top w:val="nil"/>
              <w:left w:val="nil"/>
              <w:bottom w:val="nil"/>
              <w:right w:val="nil"/>
            </w:tcBorders>
            <w:shd w:val="clear" w:color="auto" w:fill="auto"/>
            <w:noWrap/>
            <w:vAlign w:val="bottom"/>
            <w:hideMark/>
          </w:tcPr>
          <w:p w14:paraId="536E4BF4" w14:textId="77777777" w:rsidR="00541659" w:rsidRPr="00301844" w:rsidRDefault="00541659" w:rsidP="00541659">
            <w:pPr>
              <w:rPr>
                <w:rFonts w:ascii="Arial" w:hAnsi="Arial" w:cs="Arial"/>
                <w:b/>
                <w:bCs/>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4964B265"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371CB5F7"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637DA66F"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4AB2EF04"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15574607"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502649BE" w14:textId="77777777" w:rsidR="00541659" w:rsidRPr="00301844" w:rsidRDefault="00541659" w:rsidP="00541659">
            <w:pPr>
              <w:rPr>
                <w:rFonts w:ascii="Arial" w:hAnsi="Arial" w:cs="Arial"/>
                <w:color w:val="000000"/>
              </w:rPr>
            </w:pPr>
            <w:r w:rsidRPr="00301844">
              <w:rPr>
                <w:rFonts w:ascii="Arial" w:hAnsi="Arial" w:cs="Arial"/>
                <w:color w:val="000000"/>
              </w:rPr>
              <w:t>Sales</w:t>
            </w:r>
          </w:p>
        </w:tc>
        <w:tc>
          <w:tcPr>
            <w:tcW w:w="222" w:type="dxa"/>
            <w:tcBorders>
              <w:top w:val="nil"/>
              <w:left w:val="nil"/>
              <w:bottom w:val="nil"/>
              <w:right w:val="nil"/>
            </w:tcBorders>
            <w:shd w:val="clear" w:color="auto" w:fill="auto"/>
            <w:noWrap/>
            <w:vAlign w:val="bottom"/>
            <w:hideMark/>
          </w:tcPr>
          <w:p w14:paraId="67E7D7A3"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44486B58" w14:textId="121E5809" w:rsidR="00541659" w:rsidRPr="00301844" w:rsidRDefault="00541659" w:rsidP="007D42F8">
            <w:pPr>
              <w:rPr>
                <w:rFonts w:ascii="Arial" w:hAnsi="Arial" w:cs="Arial"/>
                <w:color w:val="000000"/>
              </w:rPr>
            </w:pPr>
            <w:r w:rsidRPr="00301844">
              <w:rPr>
                <w:rFonts w:ascii="Arial" w:hAnsi="Arial" w:cs="Arial"/>
                <w:color w:val="000000"/>
              </w:rPr>
              <w:t xml:space="preserve">               13,707 </w:t>
            </w:r>
          </w:p>
        </w:tc>
        <w:tc>
          <w:tcPr>
            <w:tcW w:w="222" w:type="dxa"/>
            <w:tcBorders>
              <w:top w:val="nil"/>
              <w:left w:val="nil"/>
              <w:bottom w:val="nil"/>
              <w:right w:val="nil"/>
            </w:tcBorders>
            <w:shd w:val="clear" w:color="auto" w:fill="auto"/>
            <w:noWrap/>
            <w:vAlign w:val="bottom"/>
            <w:hideMark/>
          </w:tcPr>
          <w:p w14:paraId="294AF4B9"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3B9B2A4F" w14:textId="020A144C" w:rsidR="00541659" w:rsidRPr="00301844" w:rsidRDefault="00541659" w:rsidP="007D42F8">
            <w:pPr>
              <w:rPr>
                <w:rFonts w:ascii="Arial" w:hAnsi="Arial" w:cs="Arial"/>
                <w:color w:val="000000"/>
              </w:rPr>
            </w:pPr>
            <w:r w:rsidRPr="00301844">
              <w:rPr>
                <w:rFonts w:ascii="Arial" w:hAnsi="Arial" w:cs="Arial"/>
                <w:color w:val="000000"/>
              </w:rPr>
              <w:t xml:space="preserve">              13,431 </w:t>
            </w:r>
          </w:p>
        </w:tc>
      </w:tr>
      <w:tr w:rsidR="00541659" w:rsidRPr="00301844" w14:paraId="32AB329D"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4D884FE2"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016D6C5E" w14:textId="2CCB4627" w:rsidR="00541659" w:rsidRPr="00301844" w:rsidRDefault="00541659" w:rsidP="00BF475B">
            <w:pPr>
              <w:rPr>
                <w:rFonts w:ascii="Arial" w:hAnsi="Arial" w:cs="Arial"/>
                <w:color w:val="000000"/>
              </w:rPr>
            </w:pPr>
            <w:r w:rsidRPr="00301844">
              <w:rPr>
                <w:rFonts w:ascii="Arial" w:hAnsi="Arial" w:cs="Arial"/>
                <w:color w:val="000000"/>
              </w:rPr>
              <w:t xml:space="preserve">Operating </w:t>
            </w:r>
            <w:r w:rsidR="00BF475B">
              <w:rPr>
                <w:rFonts w:ascii="Arial" w:hAnsi="Arial" w:cs="Arial"/>
                <w:color w:val="000000"/>
              </w:rPr>
              <w:t>I</w:t>
            </w:r>
            <w:r w:rsidRPr="00301844">
              <w:rPr>
                <w:rFonts w:ascii="Arial" w:hAnsi="Arial" w:cs="Arial"/>
                <w:color w:val="000000"/>
              </w:rPr>
              <w:t>ncome</w:t>
            </w:r>
          </w:p>
        </w:tc>
        <w:tc>
          <w:tcPr>
            <w:tcW w:w="222" w:type="dxa"/>
            <w:tcBorders>
              <w:top w:val="nil"/>
              <w:left w:val="nil"/>
              <w:bottom w:val="nil"/>
              <w:right w:val="nil"/>
            </w:tcBorders>
            <w:shd w:val="clear" w:color="auto" w:fill="auto"/>
            <w:noWrap/>
            <w:vAlign w:val="bottom"/>
            <w:hideMark/>
          </w:tcPr>
          <w:p w14:paraId="5DE30EC4"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6ABA4D05" w14:textId="4D5E2A7D" w:rsidR="00541659" w:rsidRPr="00301844" w:rsidRDefault="00541659" w:rsidP="007D42F8">
            <w:pPr>
              <w:rPr>
                <w:rFonts w:ascii="Arial" w:hAnsi="Arial" w:cs="Arial"/>
                <w:color w:val="000000"/>
              </w:rPr>
            </w:pPr>
            <w:r w:rsidRPr="00301844">
              <w:rPr>
                <w:rFonts w:ascii="Arial" w:hAnsi="Arial" w:cs="Arial"/>
                <w:color w:val="000000"/>
              </w:rPr>
              <w:t xml:space="preserve">                    574 </w:t>
            </w:r>
          </w:p>
        </w:tc>
        <w:tc>
          <w:tcPr>
            <w:tcW w:w="222" w:type="dxa"/>
            <w:tcBorders>
              <w:top w:val="nil"/>
              <w:left w:val="nil"/>
              <w:bottom w:val="nil"/>
              <w:right w:val="nil"/>
            </w:tcBorders>
            <w:shd w:val="clear" w:color="auto" w:fill="auto"/>
            <w:noWrap/>
            <w:vAlign w:val="bottom"/>
            <w:hideMark/>
          </w:tcPr>
          <w:p w14:paraId="082999A1"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3EF75CAD" w14:textId="133556FD" w:rsidR="00541659" w:rsidRPr="00301844" w:rsidRDefault="00541659" w:rsidP="007D42F8">
            <w:pPr>
              <w:rPr>
                <w:rFonts w:ascii="Arial" w:hAnsi="Arial" w:cs="Arial"/>
                <w:color w:val="000000"/>
              </w:rPr>
            </w:pPr>
            <w:r w:rsidRPr="00301844">
              <w:rPr>
                <w:rFonts w:ascii="Arial" w:hAnsi="Arial" w:cs="Arial"/>
                <w:color w:val="000000"/>
              </w:rPr>
              <w:t xml:space="preserve">                   432 </w:t>
            </w:r>
          </w:p>
        </w:tc>
      </w:tr>
      <w:tr w:rsidR="00541659" w:rsidRPr="00301844" w14:paraId="138FF8EC"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6CC17BBC"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55B4DF2B" w14:textId="0F0BEEDA" w:rsidR="00541659" w:rsidRPr="00301844" w:rsidRDefault="00541659" w:rsidP="00BF475B">
            <w:pPr>
              <w:rPr>
                <w:rFonts w:ascii="Arial" w:hAnsi="Arial" w:cs="Arial"/>
                <w:color w:val="000000"/>
              </w:rPr>
            </w:pPr>
            <w:r w:rsidRPr="00301844">
              <w:rPr>
                <w:rFonts w:ascii="Arial" w:hAnsi="Arial" w:cs="Arial"/>
                <w:color w:val="000000"/>
              </w:rPr>
              <w:t xml:space="preserve">Adjusted </w:t>
            </w:r>
            <w:r w:rsidR="00BF475B">
              <w:rPr>
                <w:rFonts w:ascii="Arial" w:hAnsi="Arial" w:cs="Arial"/>
                <w:color w:val="000000"/>
              </w:rPr>
              <w:t>G</w:t>
            </w:r>
            <w:r w:rsidRPr="00301844">
              <w:rPr>
                <w:rFonts w:ascii="Arial" w:hAnsi="Arial" w:cs="Arial"/>
                <w:color w:val="000000"/>
              </w:rPr>
              <w:t xml:space="preserve">ross </w:t>
            </w:r>
            <w:r w:rsidR="00BF475B">
              <w:rPr>
                <w:rFonts w:ascii="Arial" w:hAnsi="Arial" w:cs="Arial"/>
                <w:color w:val="000000"/>
              </w:rPr>
              <w:t>P</w:t>
            </w:r>
            <w:r w:rsidRPr="00301844">
              <w:rPr>
                <w:rFonts w:ascii="Arial" w:hAnsi="Arial" w:cs="Arial"/>
                <w:color w:val="000000"/>
              </w:rPr>
              <w:t>rofit</w:t>
            </w:r>
          </w:p>
        </w:tc>
        <w:tc>
          <w:tcPr>
            <w:tcW w:w="222" w:type="dxa"/>
            <w:tcBorders>
              <w:top w:val="nil"/>
              <w:left w:val="nil"/>
              <w:bottom w:val="nil"/>
              <w:right w:val="nil"/>
            </w:tcBorders>
            <w:shd w:val="clear" w:color="auto" w:fill="auto"/>
            <w:noWrap/>
            <w:vAlign w:val="bottom"/>
            <w:hideMark/>
          </w:tcPr>
          <w:p w14:paraId="16E268D6"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06DCA905" w14:textId="427E62D1" w:rsidR="00541659" w:rsidRPr="00301844" w:rsidRDefault="00541659" w:rsidP="007D42F8">
            <w:pPr>
              <w:rPr>
                <w:rFonts w:ascii="Arial" w:hAnsi="Arial" w:cs="Arial"/>
                <w:color w:val="000000"/>
              </w:rPr>
            </w:pPr>
            <w:r w:rsidRPr="00301844">
              <w:rPr>
                <w:rFonts w:ascii="Arial" w:hAnsi="Arial" w:cs="Arial"/>
                <w:color w:val="000000"/>
              </w:rPr>
              <w:t xml:space="preserve">                 3,703 </w:t>
            </w:r>
          </w:p>
        </w:tc>
        <w:tc>
          <w:tcPr>
            <w:tcW w:w="222" w:type="dxa"/>
            <w:tcBorders>
              <w:top w:val="nil"/>
              <w:left w:val="nil"/>
              <w:bottom w:val="nil"/>
              <w:right w:val="nil"/>
            </w:tcBorders>
            <w:shd w:val="clear" w:color="auto" w:fill="auto"/>
            <w:noWrap/>
            <w:vAlign w:val="bottom"/>
            <w:hideMark/>
          </w:tcPr>
          <w:p w14:paraId="5A4CDF09"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52153B47" w14:textId="23454A84" w:rsidR="00541659" w:rsidRPr="00301844" w:rsidRDefault="00541659" w:rsidP="007D42F8">
            <w:pPr>
              <w:rPr>
                <w:rFonts w:ascii="Arial" w:hAnsi="Arial" w:cs="Arial"/>
                <w:color w:val="000000"/>
              </w:rPr>
            </w:pPr>
            <w:r w:rsidRPr="00301844">
              <w:rPr>
                <w:rFonts w:ascii="Arial" w:hAnsi="Arial" w:cs="Arial"/>
                <w:color w:val="000000"/>
              </w:rPr>
              <w:t xml:space="preserve">  </w:t>
            </w:r>
            <w:r w:rsidR="007D42F8">
              <w:rPr>
                <w:rFonts w:ascii="Arial" w:hAnsi="Arial" w:cs="Arial"/>
                <w:color w:val="000000"/>
              </w:rPr>
              <w:t xml:space="preserve"> </w:t>
            </w:r>
            <w:r w:rsidRPr="00301844">
              <w:rPr>
                <w:rFonts w:ascii="Arial" w:hAnsi="Arial" w:cs="Arial"/>
                <w:color w:val="000000"/>
              </w:rPr>
              <w:t xml:space="preserve">             3,548 </w:t>
            </w:r>
          </w:p>
        </w:tc>
      </w:tr>
      <w:tr w:rsidR="00541659" w:rsidRPr="00301844" w14:paraId="37CF5C16"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154D3F51"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4F82C823" w14:textId="65C0F224" w:rsidR="00541659" w:rsidRPr="00301844" w:rsidRDefault="00541659" w:rsidP="00BF475B">
            <w:pPr>
              <w:rPr>
                <w:rFonts w:ascii="Arial" w:hAnsi="Arial" w:cs="Arial"/>
                <w:color w:val="000000"/>
              </w:rPr>
            </w:pPr>
            <w:r w:rsidRPr="00301844">
              <w:rPr>
                <w:rFonts w:ascii="Arial" w:hAnsi="Arial" w:cs="Arial"/>
                <w:color w:val="000000"/>
              </w:rPr>
              <w:t xml:space="preserve">Adjusted </w:t>
            </w:r>
            <w:r w:rsidR="00BF475B">
              <w:rPr>
                <w:rFonts w:ascii="Arial" w:hAnsi="Arial" w:cs="Arial"/>
                <w:color w:val="000000"/>
              </w:rPr>
              <w:t>G</w:t>
            </w:r>
            <w:r w:rsidRPr="00301844">
              <w:rPr>
                <w:rFonts w:ascii="Arial" w:hAnsi="Arial" w:cs="Arial"/>
                <w:color w:val="000000"/>
              </w:rPr>
              <w:t>ross profit %</w:t>
            </w:r>
          </w:p>
        </w:tc>
        <w:tc>
          <w:tcPr>
            <w:tcW w:w="222" w:type="dxa"/>
            <w:tcBorders>
              <w:top w:val="nil"/>
              <w:left w:val="nil"/>
              <w:bottom w:val="nil"/>
              <w:right w:val="nil"/>
            </w:tcBorders>
            <w:shd w:val="clear" w:color="auto" w:fill="auto"/>
            <w:noWrap/>
            <w:vAlign w:val="bottom"/>
            <w:hideMark/>
          </w:tcPr>
          <w:p w14:paraId="6744CC04"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5553A578" w14:textId="77777777" w:rsidR="00541659" w:rsidRPr="00301844" w:rsidRDefault="00541659" w:rsidP="00541659">
            <w:pPr>
              <w:jc w:val="right"/>
              <w:rPr>
                <w:rFonts w:ascii="Arial" w:hAnsi="Arial" w:cs="Arial"/>
                <w:color w:val="000000"/>
              </w:rPr>
            </w:pPr>
            <w:r w:rsidRPr="00301844">
              <w:rPr>
                <w:rFonts w:ascii="Arial" w:hAnsi="Arial" w:cs="Arial"/>
                <w:color w:val="000000"/>
              </w:rPr>
              <w:t>27.0%</w:t>
            </w:r>
          </w:p>
        </w:tc>
        <w:tc>
          <w:tcPr>
            <w:tcW w:w="222" w:type="dxa"/>
            <w:tcBorders>
              <w:top w:val="nil"/>
              <w:left w:val="nil"/>
              <w:bottom w:val="nil"/>
              <w:right w:val="nil"/>
            </w:tcBorders>
            <w:shd w:val="clear" w:color="auto" w:fill="auto"/>
            <w:noWrap/>
            <w:vAlign w:val="bottom"/>
            <w:hideMark/>
          </w:tcPr>
          <w:p w14:paraId="04FFDBA4"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6699DD65" w14:textId="77777777" w:rsidR="00541659" w:rsidRPr="00301844" w:rsidRDefault="00541659" w:rsidP="00541659">
            <w:pPr>
              <w:jc w:val="right"/>
              <w:rPr>
                <w:rFonts w:ascii="Arial" w:hAnsi="Arial" w:cs="Arial"/>
                <w:color w:val="000000"/>
              </w:rPr>
            </w:pPr>
            <w:r w:rsidRPr="00301844">
              <w:rPr>
                <w:rFonts w:ascii="Arial" w:hAnsi="Arial" w:cs="Arial"/>
                <w:color w:val="000000"/>
              </w:rPr>
              <w:t>26.4%</w:t>
            </w:r>
          </w:p>
        </w:tc>
      </w:tr>
      <w:tr w:rsidR="00541659" w:rsidRPr="00301844" w14:paraId="31D42B6B"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290C7D27" w14:textId="77777777" w:rsidR="00541659" w:rsidRPr="00301844" w:rsidRDefault="00541659" w:rsidP="00541659">
            <w:pPr>
              <w:jc w:val="right"/>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5F2A0DBE" w14:textId="77777777" w:rsidR="00541659" w:rsidRPr="00301844" w:rsidRDefault="00541659" w:rsidP="00541659">
            <w:pPr>
              <w:rPr>
                <w:rFonts w:ascii="Arial" w:hAnsi="Arial" w:cs="Arial"/>
                <w:color w:val="000000"/>
              </w:rPr>
            </w:pPr>
            <w:r w:rsidRPr="00301844">
              <w:rPr>
                <w:rFonts w:ascii="Arial" w:hAnsi="Arial" w:cs="Arial"/>
                <w:color w:val="000000"/>
              </w:rPr>
              <w:t>Adjusted EBITDA</w:t>
            </w:r>
          </w:p>
        </w:tc>
        <w:tc>
          <w:tcPr>
            <w:tcW w:w="222" w:type="dxa"/>
            <w:tcBorders>
              <w:top w:val="nil"/>
              <w:left w:val="nil"/>
              <w:bottom w:val="nil"/>
              <w:right w:val="nil"/>
            </w:tcBorders>
            <w:shd w:val="clear" w:color="auto" w:fill="auto"/>
            <w:noWrap/>
            <w:vAlign w:val="bottom"/>
            <w:hideMark/>
          </w:tcPr>
          <w:p w14:paraId="6B5E2449"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15A304CD" w14:textId="273BA3C3" w:rsidR="00541659" w:rsidRPr="00301844" w:rsidRDefault="00541659" w:rsidP="007D42F8">
            <w:pPr>
              <w:rPr>
                <w:rFonts w:ascii="Arial" w:hAnsi="Arial" w:cs="Arial"/>
                <w:color w:val="000000"/>
              </w:rPr>
            </w:pPr>
            <w:r w:rsidRPr="00301844">
              <w:rPr>
                <w:rFonts w:ascii="Arial" w:hAnsi="Arial" w:cs="Arial"/>
                <w:color w:val="000000"/>
              </w:rPr>
              <w:t xml:space="preserve">                 1,097 </w:t>
            </w:r>
          </w:p>
        </w:tc>
        <w:tc>
          <w:tcPr>
            <w:tcW w:w="222" w:type="dxa"/>
            <w:tcBorders>
              <w:top w:val="nil"/>
              <w:left w:val="nil"/>
              <w:bottom w:val="nil"/>
              <w:right w:val="nil"/>
            </w:tcBorders>
            <w:shd w:val="clear" w:color="auto" w:fill="auto"/>
            <w:noWrap/>
            <w:vAlign w:val="bottom"/>
            <w:hideMark/>
          </w:tcPr>
          <w:p w14:paraId="29FBDEC0"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3E9D4105" w14:textId="5B2EA8DA" w:rsidR="00541659" w:rsidRPr="00301844" w:rsidRDefault="00541659" w:rsidP="007D42F8">
            <w:pPr>
              <w:rPr>
                <w:rFonts w:ascii="Arial" w:hAnsi="Arial" w:cs="Arial"/>
                <w:color w:val="000000"/>
              </w:rPr>
            </w:pPr>
            <w:r w:rsidRPr="00301844">
              <w:rPr>
                <w:rFonts w:ascii="Arial" w:hAnsi="Arial" w:cs="Arial"/>
                <w:color w:val="000000"/>
              </w:rPr>
              <w:t xml:space="preserve">                1,012 </w:t>
            </w:r>
          </w:p>
        </w:tc>
      </w:tr>
      <w:tr w:rsidR="00541659" w:rsidRPr="00301844" w14:paraId="2E072EB9"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3392701A"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13E3732F" w14:textId="0C9C807E" w:rsidR="00541659" w:rsidRPr="00301844" w:rsidRDefault="00541659" w:rsidP="00BF475B">
            <w:pPr>
              <w:rPr>
                <w:rFonts w:ascii="Arial" w:hAnsi="Arial" w:cs="Arial"/>
                <w:color w:val="000000"/>
              </w:rPr>
            </w:pPr>
            <w:r w:rsidRPr="00301844">
              <w:rPr>
                <w:rFonts w:ascii="Arial" w:hAnsi="Arial" w:cs="Arial"/>
                <w:color w:val="000000"/>
              </w:rPr>
              <w:t xml:space="preserve">Adjusted EBITDA </w:t>
            </w:r>
            <w:r w:rsidR="00BF475B">
              <w:rPr>
                <w:rFonts w:ascii="Arial" w:hAnsi="Arial" w:cs="Arial"/>
                <w:color w:val="000000"/>
              </w:rPr>
              <w:t>M</w:t>
            </w:r>
            <w:r w:rsidRPr="00301844">
              <w:rPr>
                <w:rFonts w:ascii="Arial" w:hAnsi="Arial" w:cs="Arial"/>
                <w:color w:val="000000"/>
              </w:rPr>
              <w:t>argin</w:t>
            </w:r>
          </w:p>
        </w:tc>
        <w:tc>
          <w:tcPr>
            <w:tcW w:w="222" w:type="dxa"/>
            <w:tcBorders>
              <w:top w:val="nil"/>
              <w:left w:val="nil"/>
              <w:bottom w:val="nil"/>
              <w:right w:val="nil"/>
            </w:tcBorders>
            <w:shd w:val="clear" w:color="auto" w:fill="auto"/>
            <w:noWrap/>
            <w:vAlign w:val="bottom"/>
            <w:hideMark/>
          </w:tcPr>
          <w:p w14:paraId="17C68E78"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37545481" w14:textId="77777777" w:rsidR="00541659" w:rsidRPr="00301844" w:rsidRDefault="00541659" w:rsidP="00541659">
            <w:pPr>
              <w:jc w:val="right"/>
              <w:rPr>
                <w:rFonts w:ascii="Arial" w:hAnsi="Arial" w:cs="Arial"/>
                <w:color w:val="000000"/>
              </w:rPr>
            </w:pPr>
            <w:r w:rsidRPr="00301844">
              <w:rPr>
                <w:rFonts w:ascii="Arial" w:hAnsi="Arial" w:cs="Arial"/>
                <w:color w:val="000000"/>
              </w:rPr>
              <w:t>8.0%</w:t>
            </w:r>
          </w:p>
        </w:tc>
        <w:tc>
          <w:tcPr>
            <w:tcW w:w="222" w:type="dxa"/>
            <w:tcBorders>
              <w:top w:val="nil"/>
              <w:left w:val="nil"/>
              <w:bottom w:val="nil"/>
              <w:right w:val="nil"/>
            </w:tcBorders>
            <w:shd w:val="clear" w:color="auto" w:fill="auto"/>
            <w:noWrap/>
            <w:vAlign w:val="bottom"/>
            <w:hideMark/>
          </w:tcPr>
          <w:p w14:paraId="393ABA92"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1D14477C" w14:textId="77777777" w:rsidR="00541659" w:rsidRPr="00301844" w:rsidRDefault="00541659" w:rsidP="00541659">
            <w:pPr>
              <w:jc w:val="right"/>
              <w:rPr>
                <w:rFonts w:ascii="Arial" w:hAnsi="Arial" w:cs="Arial"/>
                <w:color w:val="000000"/>
              </w:rPr>
            </w:pPr>
            <w:r w:rsidRPr="00301844">
              <w:rPr>
                <w:rFonts w:ascii="Arial" w:hAnsi="Arial" w:cs="Arial"/>
                <w:color w:val="000000"/>
              </w:rPr>
              <w:t>7.5%</w:t>
            </w:r>
          </w:p>
        </w:tc>
      </w:tr>
      <w:tr w:rsidR="00541659" w:rsidRPr="00301844" w14:paraId="77C5547B"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64983E68" w14:textId="77777777" w:rsidR="00541659" w:rsidRPr="00301844" w:rsidRDefault="00541659" w:rsidP="00541659">
            <w:pPr>
              <w:jc w:val="right"/>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3F9EF565" w14:textId="186CBA26" w:rsidR="00541659" w:rsidRPr="00301844" w:rsidRDefault="00541659" w:rsidP="00BF475B">
            <w:pPr>
              <w:rPr>
                <w:rFonts w:ascii="Arial" w:hAnsi="Arial" w:cs="Arial"/>
                <w:color w:val="000000"/>
              </w:rPr>
            </w:pPr>
            <w:r w:rsidRPr="00301844">
              <w:rPr>
                <w:rFonts w:ascii="Arial" w:hAnsi="Arial" w:cs="Arial"/>
                <w:color w:val="000000"/>
              </w:rPr>
              <w:t xml:space="preserve">Depreciation and </w:t>
            </w:r>
            <w:r w:rsidR="00BF475B">
              <w:rPr>
                <w:rFonts w:ascii="Arial" w:hAnsi="Arial" w:cs="Arial"/>
                <w:color w:val="000000"/>
              </w:rPr>
              <w:t>A</w:t>
            </w:r>
            <w:r w:rsidRPr="00301844">
              <w:rPr>
                <w:rFonts w:ascii="Arial" w:hAnsi="Arial" w:cs="Arial"/>
                <w:color w:val="000000"/>
              </w:rPr>
              <w:t>mortization</w:t>
            </w:r>
          </w:p>
        </w:tc>
        <w:tc>
          <w:tcPr>
            <w:tcW w:w="222" w:type="dxa"/>
            <w:tcBorders>
              <w:top w:val="nil"/>
              <w:left w:val="nil"/>
              <w:bottom w:val="nil"/>
              <w:right w:val="nil"/>
            </w:tcBorders>
            <w:shd w:val="clear" w:color="auto" w:fill="auto"/>
            <w:noWrap/>
            <w:vAlign w:val="bottom"/>
            <w:hideMark/>
          </w:tcPr>
          <w:p w14:paraId="503906D2"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36C78C0B" w14:textId="2549234E" w:rsidR="00541659" w:rsidRPr="00301844" w:rsidRDefault="00541659" w:rsidP="007D42F8">
            <w:pPr>
              <w:rPr>
                <w:rFonts w:ascii="Arial" w:hAnsi="Arial" w:cs="Arial"/>
                <w:color w:val="000000"/>
              </w:rPr>
            </w:pPr>
            <w:r w:rsidRPr="00301844">
              <w:rPr>
                <w:rFonts w:ascii="Arial" w:hAnsi="Arial" w:cs="Arial"/>
                <w:color w:val="000000"/>
              </w:rPr>
              <w:t xml:space="preserve">                    457 </w:t>
            </w:r>
          </w:p>
        </w:tc>
        <w:tc>
          <w:tcPr>
            <w:tcW w:w="222" w:type="dxa"/>
            <w:tcBorders>
              <w:top w:val="nil"/>
              <w:left w:val="nil"/>
              <w:bottom w:val="nil"/>
              <w:right w:val="nil"/>
            </w:tcBorders>
            <w:shd w:val="clear" w:color="auto" w:fill="auto"/>
            <w:noWrap/>
            <w:vAlign w:val="bottom"/>
            <w:hideMark/>
          </w:tcPr>
          <w:p w14:paraId="20544F19"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5D6B4866" w14:textId="4C29A820" w:rsidR="00541659" w:rsidRPr="00301844" w:rsidRDefault="00541659" w:rsidP="007D42F8">
            <w:pPr>
              <w:rPr>
                <w:rFonts w:ascii="Arial" w:hAnsi="Arial" w:cs="Arial"/>
                <w:color w:val="000000"/>
              </w:rPr>
            </w:pPr>
            <w:r w:rsidRPr="00301844">
              <w:rPr>
                <w:rFonts w:ascii="Arial" w:hAnsi="Arial" w:cs="Arial"/>
                <w:color w:val="000000"/>
              </w:rPr>
              <w:t xml:space="preserve">                   473 </w:t>
            </w:r>
          </w:p>
        </w:tc>
      </w:tr>
      <w:tr w:rsidR="00541659" w:rsidRPr="00301844" w14:paraId="278F0AFD" w14:textId="77777777" w:rsidTr="00BF475B">
        <w:trPr>
          <w:trHeight w:val="300"/>
          <w:jc w:val="center"/>
        </w:trPr>
        <w:tc>
          <w:tcPr>
            <w:tcW w:w="5894" w:type="dxa"/>
            <w:gridSpan w:val="2"/>
            <w:tcBorders>
              <w:top w:val="nil"/>
              <w:left w:val="nil"/>
              <w:bottom w:val="nil"/>
              <w:right w:val="nil"/>
            </w:tcBorders>
            <w:shd w:val="clear" w:color="auto" w:fill="auto"/>
            <w:noWrap/>
            <w:vAlign w:val="bottom"/>
            <w:hideMark/>
          </w:tcPr>
          <w:p w14:paraId="6846F44F" w14:textId="77777777" w:rsidR="00541659" w:rsidRPr="00301844" w:rsidRDefault="00541659" w:rsidP="00541659">
            <w:pPr>
              <w:rPr>
                <w:rFonts w:ascii="Arial" w:hAnsi="Arial" w:cs="Arial"/>
                <w:b/>
                <w:bCs/>
                <w:color w:val="000000"/>
              </w:rPr>
            </w:pPr>
            <w:r w:rsidRPr="00301844">
              <w:rPr>
                <w:rFonts w:ascii="Arial" w:hAnsi="Arial" w:cs="Arial"/>
                <w:b/>
                <w:bCs/>
                <w:color w:val="000000"/>
              </w:rPr>
              <w:t>Retail Operating Statistics</w:t>
            </w:r>
          </w:p>
        </w:tc>
        <w:tc>
          <w:tcPr>
            <w:tcW w:w="222" w:type="dxa"/>
            <w:tcBorders>
              <w:top w:val="nil"/>
              <w:left w:val="nil"/>
              <w:bottom w:val="nil"/>
              <w:right w:val="nil"/>
            </w:tcBorders>
            <w:shd w:val="clear" w:color="auto" w:fill="auto"/>
            <w:noWrap/>
            <w:vAlign w:val="bottom"/>
            <w:hideMark/>
          </w:tcPr>
          <w:p w14:paraId="05175DD5" w14:textId="77777777" w:rsidR="00541659" w:rsidRPr="00301844" w:rsidRDefault="00541659" w:rsidP="00541659">
            <w:pPr>
              <w:rPr>
                <w:rFonts w:ascii="Arial" w:hAnsi="Arial" w:cs="Arial"/>
                <w:b/>
                <w:bCs/>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6C7773C4"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3DA119AB"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68628B83"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597AFDEF"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35A5630D"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24D5CD14" w14:textId="727B1446" w:rsidR="00541659" w:rsidRPr="00301844" w:rsidRDefault="00541659" w:rsidP="00BF475B">
            <w:pPr>
              <w:rPr>
                <w:rFonts w:ascii="Arial" w:hAnsi="Arial" w:cs="Arial"/>
                <w:color w:val="000000"/>
              </w:rPr>
            </w:pPr>
            <w:r w:rsidRPr="00301844">
              <w:rPr>
                <w:rFonts w:ascii="Arial" w:hAnsi="Arial" w:cs="Arial"/>
                <w:color w:val="000000"/>
              </w:rPr>
              <w:t>Same-</w:t>
            </w:r>
            <w:r w:rsidR="00BF475B">
              <w:rPr>
                <w:rFonts w:ascii="Arial" w:hAnsi="Arial" w:cs="Arial"/>
                <w:color w:val="000000"/>
              </w:rPr>
              <w:t>S</w:t>
            </w:r>
            <w:r w:rsidRPr="00301844">
              <w:rPr>
                <w:rFonts w:ascii="Arial" w:hAnsi="Arial" w:cs="Arial"/>
                <w:color w:val="000000"/>
              </w:rPr>
              <w:t xml:space="preserve">tore </w:t>
            </w:r>
            <w:r w:rsidR="00BF475B">
              <w:rPr>
                <w:rFonts w:ascii="Arial" w:hAnsi="Arial" w:cs="Arial"/>
                <w:color w:val="000000"/>
              </w:rPr>
              <w:t>S</w:t>
            </w:r>
            <w:r w:rsidRPr="00301844">
              <w:rPr>
                <w:rFonts w:ascii="Arial" w:hAnsi="Arial" w:cs="Arial"/>
                <w:color w:val="000000"/>
              </w:rPr>
              <w:t xml:space="preserve">ales </w:t>
            </w:r>
            <w:r w:rsidR="00BF475B">
              <w:rPr>
                <w:rFonts w:ascii="Arial" w:hAnsi="Arial" w:cs="Arial"/>
                <w:color w:val="000000"/>
              </w:rPr>
              <w:t>G</w:t>
            </w:r>
            <w:r w:rsidRPr="00301844">
              <w:rPr>
                <w:rFonts w:ascii="Arial" w:hAnsi="Arial" w:cs="Arial"/>
                <w:color w:val="000000"/>
              </w:rPr>
              <w:t>rowth</w:t>
            </w:r>
          </w:p>
        </w:tc>
        <w:tc>
          <w:tcPr>
            <w:tcW w:w="222" w:type="dxa"/>
            <w:tcBorders>
              <w:top w:val="nil"/>
              <w:left w:val="nil"/>
              <w:bottom w:val="nil"/>
              <w:right w:val="nil"/>
            </w:tcBorders>
            <w:shd w:val="clear" w:color="auto" w:fill="auto"/>
            <w:noWrap/>
            <w:vAlign w:val="bottom"/>
            <w:hideMark/>
          </w:tcPr>
          <w:p w14:paraId="39294C90"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006AF10E" w14:textId="77777777" w:rsidR="00541659" w:rsidRPr="00301844" w:rsidRDefault="00541659" w:rsidP="00541659">
            <w:pPr>
              <w:jc w:val="right"/>
              <w:rPr>
                <w:rFonts w:ascii="Arial" w:hAnsi="Arial" w:cs="Arial"/>
                <w:color w:val="000000"/>
              </w:rPr>
            </w:pPr>
            <w:r w:rsidRPr="00301844">
              <w:rPr>
                <w:rFonts w:ascii="Arial" w:hAnsi="Arial" w:cs="Arial"/>
                <w:color w:val="000000"/>
              </w:rPr>
              <w:t>1.5%</w:t>
            </w:r>
          </w:p>
        </w:tc>
        <w:tc>
          <w:tcPr>
            <w:tcW w:w="222" w:type="dxa"/>
            <w:tcBorders>
              <w:top w:val="nil"/>
              <w:left w:val="nil"/>
              <w:bottom w:val="nil"/>
              <w:right w:val="nil"/>
            </w:tcBorders>
            <w:shd w:val="clear" w:color="auto" w:fill="auto"/>
            <w:noWrap/>
            <w:vAlign w:val="bottom"/>
            <w:hideMark/>
          </w:tcPr>
          <w:p w14:paraId="21AE572B"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3852BF20" w14:textId="77777777" w:rsidR="00541659" w:rsidRPr="00301844" w:rsidRDefault="00541659" w:rsidP="00541659">
            <w:pPr>
              <w:jc w:val="right"/>
              <w:rPr>
                <w:rFonts w:ascii="Arial" w:hAnsi="Arial" w:cs="Arial"/>
                <w:color w:val="000000"/>
              </w:rPr>
            </w:pPr>
            <w:r w:rsidRPr="00301844">
              <w:rPr>
                <w:rFonts w:ascii="Arial" w:hAnsi="Arial" w:cs="Arial"/>
                <w:color w:val="000000"/>
              </w:rPr>
              <w:t>3.5%</w:t>
            </w:r>
          </w:p>
        </w:tc>
      </w:tr>
      <w:tr w:rsidR="00541659" w:rsidRPr="00301844" w14:paraId="3E94908D"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5E6CB11C" w14:textId="77777777" w:rsidR="00541659" w:rsidRPr="00301844" w:rsidRDefault="00541659" w:rsidP="00541659">
            <w:pPr>
              <w:jc w:val="right"/>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0AD35F9C" w14:textId="3BC63B6B" w:rsidR="00541659" w:rsidRPr="00301844" w:rsidRDefault="00541659" w:rsidP="000B510A">
            <w:pPr>
              <w:rPr>
                <w:rFonts w:ascii="Arial" w:hAnsi="Arial" w:cs="Arial"/>
                <w:color w:val="000000"/>
              </w:rPr>
            </w:pPr>
            <w:r w:rsidRPr="00301844">
              <w:rPr>
                <w:rFonts w:ascii="Arial" w:hAnsi="Arial" w:cs="Arial"/>
                <w:color w:val="000000"/>
              </w:rPr>
              <w:t xml:space="preserve">Total </w:t>
            </w:r>
            <w:r w:rsidR="00BF475B">
              <w:rPr>
                <w:rFonts w:ascii="Arial" w:hAnsi="Arial" w:cs="Arial"/>
                <w:color w:val="000000"/>
              </w:rPr>
              <w:t>R</w:t>
            </w:r>
            <w:r w:rsidRPr="00301844">
              <w:rPr>
                <w:rFonts w:ascii="Arial" w:hAnsi="Arial" w:cs="Arial"/>
                <w:color w:val="000000"/>
              </w:rPr>
              <w:t xml:space="preserve">etail </w:t>
            </w:r>
            <w:r w:rsidR="00BF475B">
              <w:rPr>
                <w:rFonts w:ascii="Arial" w:hAnsi="Arial" w:cs="Arial"/>
                <w:color w:val="000000"/>
              </w:rPr>
              <w:t>S</w:t>
            </w:r>
            <w:r w:rsidRPr="00301844">
              <w:rPr>
                <w:rFonts w:ascii="Arial" w:hAnsi="Arial" w:cs="Arial"/>
                <w:color w:val="000000"/>
              </w:rPr>
              <w:t xml:space="preserve">quare </w:t>
            </w:r>
            <w:r w:rsidR="00BF475B">
              <w:rPr>
                <w:rFonts w:ascii="Arial" w:hAnsi="Arial" w:cs="Arial"/>
                <w:color w:val="000000"/>
              </w:rPr>
              <w:t>F</w:t>
            </w:r>
            <w:r w:rsidRPr="00301844">
              <w:rPr>
                <w:rFonts w:ascii="Arial" w:hAnsi="Arial" w:cs="Arial"/>
                <w:color w:val="000000"/>
              </w:rPr>
              <w:t xml:space="preserve">ootage (in </w:t>
            </w:r>
            <w:r w:rsidR="000B510A">
              <w:rPr>
                <w:rFonts w:ascii="Arial" w:hAnsi="Arial" w:cs="Arial"/>
                <w:color w:val="000000"/>
              </w:rPr>
              <w:t>M</w:t>
            </w:r>
            <w:r w:rsidRPr="00301844">
              <w:rPr>
                <w:rFonts w:ascii="Arial" w:hAnsi="Arial" w:cs="Arial"/>
                <w:color w:val="000000"/>
              </w:rPr>
              <w:t>illions)</w:t>
            </w:r>
          </w:p>
        </w:tc>
        <w:tc>
          <w:tcPr>
            <w:tcW w:w="222" w:type="dxa"/>
            <w:tcBorders>
              <w:top w:val="nil"/>
              <w:left w:val="nil"/>
              <w:bottom w:val="nil"/>
              <w:right w:val="nil"/>
            </w:tcBorders>
            <w:shd w:val="clear" w:color="auto" w:fill="auto"/>
            <w:noWrap/>
            <w:vAlign w:val="bottom"/>
            <w:hideMark/>
          </w:tcPr>
          <w:p w14:paraId="6A078E61"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3EEE0D9C" w14:textId="77EB81F8" w:rsidR="00541659" w:rsidRPr="00301844" w:rsidRDefault="00541659" w:rsidP="007D42F8">
            <w:pPr>
              <w:rPr>
                <w:rFonts w:ascii="Arial" w:hAnsi="Arial" w:cs="Arial"/>
                <w:color w:val="000000"/>
              </w:rPr>
            </w:pPr>
            <w:r w:rsidRPr="00301844">
              <w:rPr>
                <w:rFonts w:ascii="Arial" w:hAnsi="Arial" w:cs="Arial"/>
                <w:color w:val="000000"/>
              </w:rPr>
              <w:t xml:space="preserve">                   28.5 </w:t>
            </w:r>
          </w:p>
        </w:tc>
        <w:tc>
          <w:tcPr>
            <w:tcW w:w="222" w:type="dxa"/>
            <w:tcBorders>
              <w:top w:val="nil"/>
              <w:left w:val="nil"/>
              <w:bottom w:val="nil"/>
              <w:right w:val="nil"/>
            </w:tcBorders>
            <w:shd w:val="clear" w:color="auto" w:fill="auto"/>
            <w:noWrap/>
            <w:vAlign w:val="bottom"/>
            <w:hideMark/>
          </w:tcPr>
          <w:p w14:paraId="4D8CE280"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30DA379F" w14:textId="77A53EAA" w:rsidR="00541659" w:rsidRPr="00301844" w:rsidRDefault="00541659" w:rsidP="007D42F8">
            <w:pPr>
              <w:rPr>
                <w:rFonts w:ascii="Arial" w:hAnsi="Arial" w:cs="Arial"/>
                <w:color w:val="000000"/>
              </w:rPr>
            </w:pPr>
            <w:r w:rsidRPr="00301844">
              <w:rPr>
                <w:rFonts w:ascii="Arial" w:hAnsi="Arial" w:cs="Arial"/>
                <w:color w:val="000000"/>
              </w:rPr>
              <w:t xml:space="preserve">                  28.3 </w:t>
            </w:r>
          </w:p>
        </w:tc>
      </w:tr>
      <w:tr w:rsidR="00541659" w:rsidRPr="00301844" w14:paraId="3481B3B9"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647A3721"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3FA1D8E3" w14:textId="38531F9C" w:rsidR="00541659" w:rsidRPr="00301844" w:rsidRDefault="00541659" w:rsidP="00BF475B">
            <w:pPr>
              <w:rPr>
                <w:rFonts w:ascii="Arial" w:hAnsi="Arial" w:cs="Arial"/>
                <w:color w:val="000000"/>
              </w:rPr>
            </w:pPr>
            <w:r w:rsidRPr="00301844">
              <w:rPr>
                <w:rFonts w:ascii="Arial" w:hAnsi="Arial" w:cs="Arial"/>
                <w:color w:val="000000"/>
              </w:rPr>
              <w:t xml:space="preserve">Number of </w:t>
            </w:r>
            <w:r w:rsidR="00BF475B">
              <w:rPr>
                <w:rFonts w:ascii="Arial" w:hAnsi="Arial" w:cs="Arial"/>
                <w:color w:val="000000"/>
              </w:rPr>
              <w:t>S</w:t>
            </w:r>
            <w:r w:rsidRPr="00301844">
              <w:rPr>
                <w:rFonts w:ascii="Arial" w:hAnsi="Arial" w:cs="Arial"/>
                <w:color w:val="000000"/>
              </w:rPr>
              <w:t>tores</w:t>
            </w:r>
          </w:p>
        </w:tc>
        <w:tc>
          <w:tcPr>
            <w:tcW w:w="222" w:type="dxa"/>
            <w:tcBorders>
              <w:top w:val="nil"/>
              <w:left w:val="nil"/>
              <w:bottom w:val="nil"/>
              <w:right w:val="nil"/>
            </w:tcBorders>
            <w:shd w:val="clear" w:color="auto" w:fill="auto"/>
            <w:noWrap/>
            <w:vAlign w:val="bottom"/>
            <w:hideMark/>
          </w:tcPr>
          <w:p w14:paraId="3F0A4585"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0819DCFB" w14:textId="3031FFA3" w:rsidR="00541659" w:rsidRPr="00301844" w:rsidRDefault="00541659" w:rsidP="007D42F8">
            <w:pPr>
              <w:rPr>
                <w:rFonts w:ascii="Arial" w:hAnsi="Arial" w:cs="Arial"/>
                <w:color w:val="000000"/>
              </w:rPr>
            </w:pPr>
            <w:r w:rsidRPr="00301844">
              <w:rPr>
                <w:rFonts w:ascii="Arial" w:hAnsi="Arial" w:cs="Arial"/>
                <w:color w:val="000000"/>
              </w:rPr>
              <w:t xml:space="preserve">                    983 </w:t>
            </w:r>
          </w:p>
        </w:tc>
        <w:tc>
          <w:tcPr>
            <w:tcW w:w="222" w:type="dxa"/>
            <w:tcBorders>
              <w:top w:val="nil"/>
              <w:left w:val="nil"/>
              <w:bottom w:val="nil"/>
              <w:right w:val="nil"/>
            </w:tcBorders>
            <w:shd w:val="clear" w:color="auto" w:fill="auto"/>
            <w:noWrap/>
            <w:vAlign w:val="bottom"/>
            <w:hideMark/>
          </w:tcPr>
          <w:p w14:paraId="633F3E9B"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0C51ADB5" w14:textId="45614D72" w:rsidR="00541659" w:rsidRPr="00301844" w:rsidRDefault="00541659" w:rsidP="007D42F8">
            <w:pPr>
              <w:rPr>
                <w:rFonts w:ascii="Arial" w:hAnsi="Arial" w:cs="Arial"/>
                <w:color w:val="000000"/>
              </w:rPr>
            </w:pPr>
            <w:r w:rsidRPr="00301844">
              <w:rPr>
                <w:rFonts w:ascii="Arial" w:hAnsi="Arial" w:cs="Arial"/>
                <w:color w:val="000000"/>
              </w:rPr>
              <w:t xml:space="preserve">                   985 </w:t>
            </w:r>
          </w:p>
        </w:tc>
      </w:tr>
      <w:tr w:rsidR="00541659" w:rsidRPr="00301844" w14:paraId="3E7B29BB" w14:textId="77777777" w:rsidTr="00BF475B">
        <w:trPr>
          <w:trHeight w:val="300"/>
          <w:jc w:val="center"/>
        </w:trPr>
        <w:tc>
          <w:tcPr>
            <w:tcW w:w="5894" w:type="dxa"/>
            <w:gridSpan w:val="2"/>
            <w:tcBorders>
              <w:top w:val="nil"/>
              <w:left w:val="nil"/>
              <w:bottom w:val="nil"/>
              <w:right w:val="nil"/>
            </w:tcBorders>
            <w:shd w:val="clear" w:color="auto" w:fill="auto"/>
            <w:noWrap/>
            <w:vAlign w:val="bottom"/>
            <w:hideMark/>
          </w:tcPr>
          <w:p w14:paraId="6ED8982C" w14:textId="77777777" w:rsidR="00541659" w:rsidRPr="00301844" w:rsidRDefault="00541659" w:rsidP="00541659">
            <w:pPr>
              <w:rPr>
                <w:rFonts w:ascii="Arial" w:hAnsi="Arial" w:cs="Arial"/>
                <w:b/>
                <w:bCs/>
                <w:color w:val="000000"/>
              </w:rPr>
            </w:pPr>
            <w:r w:rsidRPr="00301844">
              <w:rPr>
                <w:rFonts w:ascii="Arial" w:hAnsi="Arial" w:cs="Arial"/>
                <w:b/>
                <w:bCs/>
                <w:color w:val="000000"/>
              </w:rPr>
              <w:t>Adjusted Earnings</w:t>
            </w:r>
          </w:p>
        </w:tc>
        <w:tc>
          <w:tcPr>
            <w:tcW w:w="222" w:type="dxa"/>
            <w:tcBorders>
              <w:top w:val="nil"/>
              <w:left w:val="nil"/>
              <w:bottom w:val="nil"/>
              <w:right w:val="nil"/>
            </w:tcBorders>
            <w:shd w:val="clear" w:color="auto" w:fill="auto"/>
            <w:noWrap/>
            <w:vAlign w:val="bottom"/>
            <w:hideMark/>
          </w:tcPr>
          <w:p w14:paraId="0652B345" w14:textId="77777777" w:rsidR="00541659" w:rsidRPr="00301844" w:rsidRDefault="00541659" w:rsidP="00541659">
            <w:pPr>
              <w:rPr>
                <w:rFonts w:ascii="Arial" w:hAnsi="Arial" w:cs="Arial"/>
                <w:b/>
                <w:bCs/>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2DB4051B"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6E34A8A2"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75364828"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2A8623E8"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15FCC6E0"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1D662DFC" w14:textId="36A2ACA6" w:rsidR="00541659" w:rsidRPr="00301844" w:rsidRDefault="00541659" w:rsidP="00BF475B">
            <w:pPr>
              <w:rPr>
                <w:rFonts w:ascii="Arial" w:hAnsi="Arial" w:cs="Arial"/>
                <w:color w:val="000000"/>
              </w:rPr>
            </w:pPr>
            <w:r w:rsidRPr="00301844">
              <w:rPr>
                <w:rFonts w:ascii="Arial" w:hAnsi="Arial" w:cs="Arial"/>
                <w:color w:val="000000"/>
              </w:rPr>
              <w:t xml:space="preserve">Adjusted </w:t>
            </w:r>
            <w:r w:rsidR="00BF475B">
              <w:rPr>
                <w:rFonts w:ascii="Arial" w:hAnsi="Arial" w:cs="Arial"/>
                <w:color w:val="000000"/>
              </w:rPr>
              <w:t>N</w:t>
            </w:r>
            <w:r w:rsidRPr="00301844">
              <w:rPr>
                <w:rFonts w:ascii="Arial" w:hAnsi="Arial" w:cs="Arial"/>
                <w:color w:val="000000"/>
              </w:rPr>
              <w:t xml:space="preserve">et </w:t>
            </w:r>
            <w:r w:rsidR="00BF475B">
              <w:rPr>
                <w:rFonts w:ascii="Arial" w:hAnsi="Arial" w:cs="Arial"/>
                <w:color w:val="000000"/>
              </w:rPr>
              <w:t>E</w:t>
            </w:r>
            <w:r w:rsidRPr="00301844">
              <w:rPr>
                <w:rFonts w:ascii="Arial" w:hAnsi="Arial" w:cs="Arial"/>
                <w:color w:val="000000"/>
              </w:rPr>
              <w:t xml:space="preserve">arnings </w:t>
            </w:r>
            <w:r w:rsidR="00BF475B">
              <w:rPr>
                <w:rFonts w:ascii="Arial" w:hAnsi="Arial" w:cs="Arial"/>
                <w:color w:val="000000"/>
              </w:rPr>
              <w:t>A</w:t>
            </w:r>
            <w:r w:rsidRPr="00301844">
              <w:rPr>
                <w:rFonts w:ascii="Arial" w:hAnsi="Arial" w:cs="Arial"/>
                <w:color w:val="000000"/>
              </w:rPr>
              <w:t xml:space="preserve">vailable to </w:t>
            </w:r>
            <w:r w:rsidR="00BF475B">
              <w:rPr>
                <w:rFonts w:ascii="Arial" w:hAnsi="Arial" w:cs="Arial"/>
                <w:color w:val="000000"/>
              </w:rPr>
              <w:t>C</w:t>
            </w:r>
            <w:r w:rsidRPr="00301844">
              <w:rPr>
                <w:rFonts w:ascii="Arial" w:hAnsi="Arial" w:cs="Arial"/>
                <w:color w:val="000000"/>
              </w:rPr>
              <w:t xml:space="preserve">ommon </w:t>
            </w:r>
            <w:r w:rsidR="00BF475B">
              <w:rPr>
                <w:rFonts w:ascii="Arial" w:hAnsi="Arial" w:cs="Arial"/>
                <w:color w:val="000000"/>
              </w:rPr>
              <w:t>S</w:t>
            </w:r>
            <w:r w:rsidRPr="00301844">
              <w:rPr>
                <w:rFonts w:ascii="Arial" w:hAnsi="Arial" w:cs="Arial"/>
                <w:color w:val="000000"/>
              </w:rPr>
              <w:t>hareholders</w:t>
            </w:r>
          </w:p>
        </w:tc>
        <w:tc>
          <w:tcPr>
            <w:tcW w:w="222" w:type="dxa"/>
            <w:tcBorders>
              <w:top w:val="nil"/>
              <w:left w:val="nil"/>
              <w:bottom w:val="nil"/>
              <w:right w:val="nil"/>
            </w:tcBorders>
            <w:shd w:val="clear" w:color="auto" w:fill="auto"/>
            <w:noWrap/>
            <w:vAlign w:val="bottom"/>
            <w:hideMark/>
          </w:tcPr>
          <w:p w14:paraId="73FECF45"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11628926" w14:textId="7D71FD40" w:rsidR="00541659" w:rsidRPr="00301844" w:rsidRDefault="00541659" w:rsidP="007D42F8">
            <w:pPr>
              <w:rPr>
                <w:rFonts w:ascii="Arial" w:hAnsi="Arial" w:cs="Arial"/>
                <w:color w:val="000000"/>
              </w:rPr>
            </w:pPr>
            <w:r w:rsidRPr="00301844">
              <w:rPr>
                <w:rFonts w:ascii="Arial" w:hAnsi="Arial" w:cs="Arial"/>
                <w:color w:val="000000"/>
              </w:rPr>
              <w:t xml:space="preserve">                    500 </w:t>
            </w:r>
          </w:p>
        </w:tc>
        <w:tc>
          <w:tcPr>
            <w:tcW w:w="222" w:type="dxa"/>
            <w:tcBorders>
              <w:top w:val="nil"/>
              <w:left w:val="nil"/>
              <w:bottom w:val="nil"/>
              <w:right w:val="nil"/>
            </w:tcBorders>
            <w:shd w:val="clear" w:color="auto" w:fill="auto"/>
            <w:noWrap/>
            <w:vAlign w:val="bottom"/>
            <w:hideMark/>
          </w:tcPr>
          <w:p w14:paraId="0C342CAE"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48A2D9B1" w14:textId="6CA8D4AE" w:rsidR="00541659" w:rsidRPr="00301844" w:rsidRDefault="00541659" w:rsidP="007D42F8">
            <w:pPr>
              <w:rPr>
                <w:rFonts w:ascii="Arial" w:hAnsi="Arial" w:cs="Arial"/>
                <w:color w:val="000000"/>
              </w:rPr>
            </w:pPr>
            <w:r w:rsidRPr="00301844">
              <w:rPr>
                <w:rFonts w:ascii="Arial" w:hAnsi="Arial" w:cs="Arial"/>
                <w:color w:val="000000"/>
              </w:rPr>
              <w:t xml:space="preserve">                   429 </w:t>
            </w:r>
          </w:p>
        </w:tc>
      </w:tr>
      <w:tr w:rsidR="00541659" w:rsidRPr="00301844" w14:paraId="2DE7005C"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771C557E"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1508B74A" w14:textId="0AE9F456" w:rsidR="00541659" w:rsidRPr="00301844" w:rsidRDefault="00541659" w:rsidP="00BF475B">
            <w:pPr>
              <w:rPr>
                <w:rFonts w:ascii="Arial" w:hAnsi="Arial" w:cs="Arial"/>
                <w:color w:val="000000"/>
              </w:rPr>
            </w:pPr>
            <w:r w:rsidRPr="00301844">
              <w:rPr>
                <w:rFonts w:ascii="Arial" w:hAnsi="Arial" w:cs="Arial"/>
                <w:color w:val="000000"/>
              </w:rPr>
              <w:t xml:space="preserve">Retail </w:t>
            </w:r>
            <w:r w:rsidR="00BF475B">
              <w:rPr>
                <w:rFonts w:ascii="Arial" w:hAnsi="Arial" w:cs="Arial"/>
                <w:color w:val="000000"/>
              </w:rPr>
              <w:t>D</w:t>
            </w:r>
            <w:r w:rsidRPr="00301844">
              <w:rPr>
                <w:rFonts w:ascii="Arial" w:hAnsi="Arial" w:cs="Arial"/>
                <w:color w:val="000000"/>
              </w:rPr>
              <w:t xml:space="preserve">ebt to </w:t>
            </w:r>
            <w:r w:rsidR="00BF475B">
              <w:rPr>
                <w:rFonts w:ascii="Arial" w:hAnsi="Arial" w:cs="Arial"/>
                <w:color w:val="000000"/>
              </w:rPr>
              <w:t>R</w:t>
            </w:r>
            <w:r w:rsidRPr="00301844">
              <w:rPr>
                <w:rFonts w:ascii="Arial" w:hAnsi="Arial" w:cs="Arial"/>
                <w:color w:val="000000"/>
              </w:rPr>
              <w:t xml:space="preserve">etail </w:t>
            </w:r>
            <w:r w:rsidR="00BF475B">
              <w:rPr>
                <w:rFonts w:ascii="Arial" w:hAnsi="Arial" w:cs="Arial"/>
                <w:color w:val="000000"/>
              </w:rPr>
              <w:t>A</w:t>
            </w:r>
            <w:r w:rsidRPr="00301844">
              <w:rPr>
                <w:rFonts w:ascii="Arial" w:hAnsi="Arial" w:cs="Arial"/>
                <w:color w:val="000000"/>
              </w:rPr>
              <w:t>djusted EBITDA</w:t>
            </w:r>
          </w:p>
        </w:tc>
        <w:tc>
          <w:tcPr>
            <w:tcW w:w="222" w:type="dxa"/>
            <w:tcBorders>
              <w:top w:val="nil"/>
              <w:left w:val="nil"/>
              <w:bottom w:val="nil"/>
              <w:right w:val="nil"/>
            </w:tcBorders>
            <w:shd w:val="clear" w:color="auto" w:fill="auto"/>
            <w:noWrap/>
            <w:vAlign w:val="bottom"/>
            <w:hideMark/>
          </w:tcPr>
          <w:p w14:paraId="0A6C56BF"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79488E16" w14:textId="379541D6" w:rsidR="00541659" w:rsidRPr="00301844" w:rsidRDefault="00541659" w:rsidP="007D42F8">
            <w:pPr>
              <w:rPr>
                <w:rFonts w:ascii="Arial" w:hAnsi="Arial" w:cs="Arial"/>
                <w:color w:val="000000"/>
              </w:rPr>
            </w:pPr>
            <w:r w:rsidRPr="00301844">
              <w:rPr>
                <w:rFonts w:ascii="Arial" w:hAnsi="Arial" w:cs="Arial"/>
                <w:color w:val="000000"/>
              </w:rPr>
              <w:t xml:space="preserve">                     1.7 </w:t>
            </w:r>
          </w:p>
        </w:tc>
        <w:tc>
          <w:tcPr>
            <w:tcW w:w="222" w:type="dxa"/>
            <w:tcBorders>
              <w:top w:val="nil"/>
              <w:left w:val="nil"/>
              <w:bottom w:val="nil"/>
              <w:right w:val="nil"/>
            </w:tcBorders>
            <w:shd w:val="clear" w:color="auto" w:fill="auto"/>
            <w:noWrap/>
            <w:vAlign w:val="bottom"/>
            <w:hideMark/>
          </w:tcPr>
          <w:p w14:paraId="6F7FE4BD"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18772584" w14:textId="138E52F3" w:rsidR="00541659" w:rsidRPr="00301844" w:rsidRDefault="00541659" w:rsidP="007D42F8">
            <w:pPr>
              <w:rPr>
                <w:rFonts w:ascii="Arial" w:hAnsi="Arial" w:cs="Arial"/>
                <w:color w:val="000000"/>
              </w:rPr>
            </w:pPr>
            <w:r w:rsidRPr="00301844">
              <w:rPr>
                <w:rFonts w:ascii="Arial" w:hAnsi="Arial" w:cs="Arial"/>
                <w:color w:val="000000"/>
              </w:rPr>
              <w:t xml:space="preserve">                    2.0 </w:t>
            </w:r>
          </w:p>
        </w:tc>
      </w:tr>
      <w:tr w:rsidR="00541659" w:rsidRPr="00301844" w14:paraId="3ABF921F"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1205A73C"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7DED6C27" w14:textId="775274A3" w:rsidR="00541659" w:rsidRPr="00301844" w:rsidRDefault="00541659" w:rsidP="00BF475B">
            <w:pPr>
              <w:rPr>
                <w:rFonts w:ascii="Arial" w:hAnsi="Arial" w:cs="Arial"/>
                <w:color w:val="000000"/>
              </w:rPr>
            </w:pPr>
            <w:r w:rsidRPr="00301844">
              <w:rPr>
                <w:rFonts w:ascii="Arial" w:hAnsi="Arial" w:cs="Arial"/>
                <w:color w:val="000000"/>
              </w:rPr>
              <w:t xml:space="preserve">Adjusted </w:t>
            </w:r>
            <w:r w:rsidR="00BF475B">
              <w:rPr>
                <w:rFonts w:ascii="Arial" w:hAnsi="Arial" w:cs="Arial"/>
                <w:color w:val="000000"/>
              </w:rPr>
              <w:t>R</w:t>
            </w:r>
            <w:r w:rsidRPr="00301844">
              <w:rPr>
                <w:rFonts w:ascii="Arial" w:hAnsi="Arial" w:cs="Arial"/>
                <w:color w:val="000000"/>
              </w:rPr>
              <w:t xml:space="preserve">eturn on </w:t>
            </w:r>
            <w:r w:rsidR="00BF475B">
              <w:rPr>
                <w:rFonts w:ascii="Arial" w:hAnsi="Arial" w:cs="Arial"/>
                <w:color w:val="000000"/>
              </w:rPr>
              <w:t>E</w:t>
            </w:r>
            <w:r w:rsidRPr="00301844">
              <w:rPr>
                <w:rFonts w:ascii="Arial" w:hAnsi="Arial" w:cs="Arial"/>
                <w:color w:val="000000"/>
              </w:rPr>
              <w:t>quity</w:t>
            </w:r>
          </w:p>
        </w:tc>
        <w:tc>
          <w:tcPr>
            <w:tcW w:w="222" w:type="dxa"/>
            <w:tcBorders>
              <w:top w:val="nil"/>
              <w:left w:val="nil"/>
              <w:bottom w:val="nil"/>
              <w:right w:val="nil"/>
            </w:tcBorders>
            <w:shd w:val="clear" w:color="auto" w:fill="auto"/>
            <w:noWrap/>
            <w:vAlign w:val="bottom"/>
            <w:hideMark/>
          </w:tcPr>
          <w:p w14:paraId="185B1FB0"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7ADB5ECD" w14:textId="77777777" w:rsidR="00541659" w:rsidRPr="00301844" w:rsidRDefault="00541659" w:rsidP="00541659">
            <w:pPr>
              <w:jc w:val="right"/>
              <w:rPr>
                <w:rFonts w:ascii="Arial" w:hAnsi="Arial" w:cs="Arial"/>
                <w:color w:val="000000"/>
              </w:rPr>
            </w:pPr>
            <w:r w:rsidRPr="00301844">
              <w:rPr>
                <w:rFonts w:ascii="Arial" w:hAnsi="Arial" w:cs="Arial"/>
                <w:color w:val="000000"/>
              </w:rPr>
              <w:t>12.9%</w:t>
            </w:r>
          </w:p>
        </w:tc>
        <w:tc>
          <w:tcPr>
            <w:tcW w:w="222" w:type="dxa"/>
            <w:tcBorders>
              <w:top w:val="nil"/>
              <w:left w:val="nil"/>
              <w:bottom w:val="nil"/>
              <w:right w:val="nil"/>
            </w:tcBorders>
            <w:shd w:val="clear" w:color="auto" w:fill="auto"/>
            <w:noWrap/>
            <w:vAlign w:val="bottom"/>
            <w:hideMark/>
          </w:tcPr>
          <w:p w14:paraId="4CD0E3B2"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04BBFC02" w14:textId="77777777" w:rsidR="00541659" w:rsidRPr="00301844" w:rsidRDefault="00541659" w:rsidP="00541659">
            <w:pPr>
              <w:jc w:val="right"/>
              <w:rPr>
                <w:rFonts w:ascii="Arial" w:hAnsi="Arial" w:cs="Arial"/>
                <w:color w:val="000000"/>
              </w:rPr>
            </w:pPr>
            <w:r w:rsidRPr="00301844">
              <w:rPr>
                <w:rFonts w:ascii="Arial" w:hAnsi="Arial" w:cs="Arial"/>
                <w:color w:val="000000"/>
              </w:rPr>
              <w:t>11.1%</w:t>
            </w:r>
          </w:p>
        </w:tc>
      </w:tr>
      <w:tr w:rsidR="00541659" w:rsidRPr="00301844" w14:paraId="5FC11698"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62558E58" w14:textId="77777777" w:rsidR="00541659" w:rsidRPr="00301844" w:rsidRDefault="00541659" w:rsidP="00541659">
            <w:pPr>
              <w:jc w:val="right"/>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0742B311" w14:textId="512BFC49" w:rsidR="00541659" w:rsidRPr="00301844" w:rsidRDefault="00541659" w:rsidP="00BF475B">
            <w:pPr>
              <w:rPr>
                <w:rFonts w:ascii="Arial" w:hAnsi="Arial" w:cs="Arial"/>
                <w:color w:val="000000"/>
              </w:rPr>
            </w:pPr>
            <w:r w:rsidRPr="00301844">
              <w:rPr>
                <w:rFonts w:ascii="Arial" w:hAnsi="Arial" w:cs="Arial"/>
                <w:color w:val="000000"/>
              </w:rPr>
              <w:t xml:space="preserve">Adjusted </w:t>
            </w:r>
            <w:r w:rsidR="00BF475B">
              <w:rPr>
                <w:rFonts w:ascii="Arial" w:hAnsi="Arial" w:cs="Arial"/>
                <w:color w:val="000000"/>
              </w:rPr>
              <w:t>R</w:t>
            </w:r>
            <w:r w:rsidRPr="00301844">
              <w:rPr>
                <w:rFonts w:ascii="Arial" w:hAnsi="Arial" w:cs="Arial"/>
                <w:color w:val="000000"/>
              </w:rPr>
              <w:t xml:space="preserve">eturn on </w:t>
            </w:r>
            <w:r w:rsidR="00BF475B">
              <w:rPr>
                <w:rFonts w:ascii="Arial" w:hAnsi="Arial" w:cs="Arial"/>
                <w:color w:val="000000"/>
              </w:rPr>
              <w:t>C</w:t>
            </w:r>
            <w:r w:rsidRPr="00301844">
              <w:rPr>
                <w:rFonts w:ascii="Arial" w:hAnsi="Arial" w:cs="Arial"/>
                <w:color w:val="000000"/>
              </w:rPr>
              <w:t>apital</w:t>
            </w:r>
          </w:p>
        </w:tc>
        <w:tc>
          <w:tcPr>
            <w:tcW w:w="222" w:type="dxa"/>
            <w:tcBorders>
              <w:top w:val="nil"/>
              <w:left w:val="nil"/>
              <w:bottom w:val="nil"/>
              <w:right w:val="nil"/>
            </w:tcBorders>
            <w:shd w:val="clear" w:color="auto" w:fill="auto"/>
            <w:noWrap/>
            <w:vAlign w:val="bottom"/>
            <w:hideMark/>
          </w:tcPr>
          <w:p w14:paraId="24DC58A3"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3441274D" w14:textId="77777777" w:rsidR="00541659" w:rsidRPr="00301844" w:rsidRDefault="00541659" w:rsidP="00541659">
            <w:pPr>
              <w:jc w:val="right"/>
              <w:rPr>
                <w:rFonts w:ascii="Arial" w:hAnsi="Arial" w:cs="Arial"/>
                <w:color w:val="000000"/>
              </w:rPr>
            </w:pPr>
            <w:r w:rsidRPr="00301844">
              <w:rPr>
                <w:rFonts w:ascii="Arial" w:hAnsi="Arial" w:cs="Arial"/>
                <w:color w:val="000000"/>
              </w:rPr>
              <w:t>8.8%</w:t>
            </w:r>
          </w:p>
        </w:tc>
        <w:tc>
          <w:tcPr>
            <w:tcW w:w="222" w:type="dxa"/>
            <w:tcBorders>
              <w:top w:val="nil"/>
              <w:left w:val="nil"/>
              <w:bottom w:val="nil"/>
              <w:right w:val="nil"/>
            </w:tcBorders>
            <w:shd w:val="clear" w:color="auto" w:fill="auto"/>
            <w:noWrap/>
            <w:vAlign w:val="bottom"/>
            <w:hideMark/>
          </w:tcPr>
          <w:p w14:paraId="428D96C1"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4CDD4586" w14:textId="77777777" w:rsidR="00541659" w:rsidRPr="00301844" w:rsidRDefault="00541659" w:rsidP="00541659">
            <w:pPr>
              <w:jc w:val="right"/>
              <w:rPr>
                <w:rFonts w:ascii="Arial" w:hAnsi="Arial" w:cs="Arial"/>
                <w:color w:val="000000"/>
              </w:rPr>
            </w:pPr>
            <w:r w:rsidRPr="00301844">
              <w:rPr>
                <w:rFonts w:ascii="Arial" w:hAnsi="Arial" w:cs="Arial"/>
                <w:color w:val="000000"/>
              </w:rPr>
              <w:t>7.6%</w:t>
            </w:r>
          </w:p>
        </w:tc>
      </w:tr>
      <w:tr w:rsidR="00541659" w:rsidRPr="00301844" w14:paraId="26583BCF" w14:textId="77777777" w:rsidTr="00BF475B">
        <w:trPr>
          <w:trHeight w:val="300"/>
          <w:jc w:val="center"/>
        </w:trPr>
        <w:tc>
          <w:tcPr>
            <w:tcW w:w="5894" w:type="dxa"/>
            <w:gridSpan w:val="2"/>
            <w:tcBorders>
              <w:top w:val="nil"/>
              <w:left w:val="nil"/>
              <w:bottom w:val="nil"/>
              <w:right w:val="nil"/>
            </w:tcBorders>
            <w:shd w:val="clear" w:color="auto" w:fill="auto"/>
            <w:noWrap/>
            <w:vAlign w:val="bottom"/>
            <w:hideMark/>
          </w:tcPr>
          <w:p w14:paraId="0D8CBB29" w14:textId="77777777" w:rsidR="00541659" w:rsidRPr="00301844" w:rsidRDefault="00541659" w:rsidP="00541659">
            <w:pPr>
              <w:rPr>
                <w:rFonts w:ascii="Arial" w:hAnsi="Arial" w:cs="Arial"/>
                <w:b/>
                <w:bCs/>
                <w:color w:val="000000"/>
              </w:rPr>
            </w:pPr>
            <w:r w:rsidRPr="00301844">
              <w:rPr>
                <w:rFonts w:ascii="Arial" w:hAnsi="Arial" w:cs="Arial"/>
                <w:b/>
                <w:bCs/>
                <w:color w:val="000000"/>
              </w:rPr>
              <w:t>Consolidated Financial Position and Cash Flows</w:t>
            </w:r>
          </w:p>
        </w:tc>
        <w:tc>
          <w:tcPr>
            <w:tcW w:w="222" w:type="dxa"/>
            <w:tcBorders>
              <w:top w:val="nil"/>
              <w:left w:val="nil"/>
              <w:bottom w:val="nil"/>
              <w:right w:val="nil"/>
            </w:tcBorders>
            <w:shd w:val="clear" w:color="auto" w:fill="auto"/>
            <w:noWrap/>
            <w:vAlign w:val="bottom"/>
            <w:hideMark/>
          </w:tcPr>
          <w:p w14:paraId="6AF4C39F" w14:textId="77777777" w:rsidR="00541659" w:rsidRPr="00301844" w:rsidRDefault="00541659" w:rsidP="00541659">
            <w:pPr>
              <w:rPr>
                <w:rFonts w:ascii="Arial" w:hAnsi="Arial" w:cs="Arial"/>
                <w:b/>
                <w:bCs/>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4B019FA6"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18568AEF"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4B1CAE51"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29F95F4B"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21FB3AA2"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3E0528CD" w14:textId="523D2846" w:rsidR="00541659" w:rsidRPr="00301844" w:rsidRDefault="00541659" w:rsidP="000B510A">
            <w:pPr>
              <w:rPr>
                <w:rFonts w:ascii="Arial" w:hAnsi="Arial" w:cs="Arial"/>
                <w:color w:val="000000"/>
              </w:rPr>
            </w:pPr>
            <w:r w:rsidRPr="00301844">
              <w:rPr>
                <w:rFonts w:ascii="Arial" w:hAnsi="Arial" w:cs="Arial"/>
                <w:color w:val="000000"/>
              </w:rPr>
              <w:t xml:space="preserve">Cash and </w:t>
            </w:r>
            <w:r w:rsidR="000B510A">
              <w:rPr>
                <w:rFonts w:ascii="Arial" w:hAnsi="Arial" w:cs="Arial"/>
                <w:color w:val="000000"/>
              </w:rPr>
              <w:t>C</w:t>
            </w:r>
            <w:r w:rsidRPr="00301844">
              <w:rPr>
                <w:rFonts w:ascii="Arial" w:hAnsi="Arial" w:cs="Arial"/>
                <w:color w:val="000000"/>
              </w:rPr>
              <w:t xml:space="preserve">ash </w:t>
            </w:r>
            <w:r w:rsidR="000B510A">
              <w:rPr>
                <w:rFonts w:ascii="Arial" w:hAnsi="Arial" w:cs="Arial"/>
                <w:color w:val="000000"/>
              </w:rPr>
              <w:t>E</w:t>
            </w:r>
            <w:r w:rsidRPr="00301844">
              <w:rPr>
                <w:rFonts w:ascii="Arial" w:hAnsi="Arial" w:cs="Arial"/>
                <w:color w:val="000000"/>
              </w:rPr>
              <w:t>quivalents</w:t>
            </w:r>
          </w:p>
        </w:tc>
        <w:tc>
          <w:tcPr>
            <w:tcW w:w="222" w:type="dxa"/>
            <w:tcBorders>
              <w:top w:val="nil"/>
              <w:left w:val="nil"/>
              <w:bottom w:val="nil"/>
              <w:right w:val="nil"/>
            </w:tcBorders>
            <w:shd w:val="clear" w:color="auto" w:fill="auto"/>
            <w:noWrap/>
            <w:vAlign w:val="bottom"/>
            <w:hideMark/>
          </w:tcPr>
          <w:p w14:paraId="66FB130B"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49166D47" w14:textId="79D6EA0C" w:rsidR="00541659" w:rsidRPr="00301844" w:rsidRDefault="00541659" w:rsidP="007D42F8">
            <w:pPr>
              <w:rPr>
                <w:rFonts w:ascii="Arial" w:hAnsi="Arial" w:cs="Arial"/>
                <w:color w:val="000000"/>
              </w:rPr>
            </w:pPr>
            <w:r w:rsidRPr="00301844">
              <w:rPr>
                <w:rFonts w:ascii="Arial" w:hAnsi="Arial" w:cs="Arial"/>
                <w:color w:val="000000"/>
              </w:rPr>
              <w:t xml:space="preserve">                    471 </w:t>
            </w:r>
          </w:p>
        </w:tc>
        <w:tc>
          <w:tcPr>
            <w:tcW w:w="222" w:type="dxa"/>
            <w:tcBorders>
              <w:top w:val="nil"/>
              <w:left w:val="nil"/>
              <w:bottom w:val="nil"/>
              <w:right w:val="nil"/>
            </w:tcBorders>
            <w:shd w:val="clear" w:color="auto" w:fill="auto"/>
            <w:noWrap/>
            <w:vAlign w:val="bottom"/>
            <w:hideMark/>
          </w:tcPr>
          <w:p w14:paraId="7C6B264A"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35A8DB7F" w14:textId="5364ACA7" w:rsidR="00541659" w:rsidRPr="00301844" w:rsidRDefault="00541659" w:rsidP="007D42F8">
            <w:pPr>
              <w:rPr>
                <w:rFonts w:ascii="Arial" w:hAnsi="Arial" w:cs="Arial"/>
                <w:color w:val="000000"/>
              </w:rPr>
            </w:pPr>
            <w:r w:rsidRPr="00301844">
              <w:rPr>
                <w:rFonts w:ascii="Arial" w:hAnsi="Arial" w:cs="Arial"/>
                <w:color w:val="000000"/>
              </w:rPr>
              <w:t xml:space="preserve">                   327 </w:t>
            </w:r>
          </w:p>
        </w:tc>
      </w:tr>
      <w:tr w:rsidR="00541659" w:rsidRPr="00301844" w14:paraId="19D02E24"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5EC99703"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76B334F7" w14:textId="5255994E" w:rsidR="00541659" w:rsidRPr="00301844" w:rsidRDefault="00541659" w:rsidP="000B510A">
            <w:pPr>
              <w:rPr>
                <w:rFonts w:ascii="Arial" w:hAnsi="Arial" w:cs="Arial"/>
                <w:color w:val="000000"/>
              </w:rPr>
            </w:pPr>
            <w:r w:rsidRPr="00301844">
              <w:rPr>
                <w:rFonts w:ascii="Arial" w:hAnsi="Arial" w:cs="Arial"/>
                <w:color w:val="000000"/>
              </w:rPr>
              <w:t xml:space="preserve">Cash </w:t>
            </w:r>
            <w:r w:rsidR="000B510A">
              <w:rPr>
                <w:rFonts w:ascii="Arial" w:hAnsi="Arial" w:cs="Arial"/>
                <w:color w:val="000000"/>
              </w:rPr>
              <w:t>F</w:t>
            </w:r>
            <w:r w:rsidRPr="00301844">
              <w:rPr>
                <w:rFonts w:ascii="Arial" w:hAnsi="Arial" w:cs="Arial"/>
                <w:color w:val="000000"/>
              </w:rPr>
              <w:t xml:space="preserve">lows </w:t>
            </w:r>
            <w:r w:rsidR="000B510A">
              <w:rPr>
                <w:rFonts w:ascii="Arial" w:hAnsi="Arial" w:cs="Arial"/>
                <w:color w:val="000000"/>
              </w:rPr>
              <w:t>F</w:t>
            </w:r>
            <w:r w:rsidRPr="00301844">
              <w:rPr>
                <w:rFonts w:ascii="Arial" w:hAnsi="Arial" w:cs="Arial"/>
                <w:color w:val="000000"/>
              </w:rPr>
              <w:t xml:space="preserve">rom </w:t>
            </w:r>
            <w:r w:rsidR="000B510A">
              <w:rPr>
                <w:rFonts w:ascii="Arial" w:hAnsi="Arial" w:cs="Arial"/>
                <w:color w:val="000000"/>
              </w:rPr>
              <w:t>O</w:t>
            </w:r>
            <w:r w:rsidRPr="00301844">
              <w:rPr>
                <w:rFonts w:ascii="Arial" w:hAnsi="Arial" w:cs="Arial"/>
                <w:color w:val="000000"/>
              </w:rPr>
              <w:t xml:space="preserve">perating </w:t>
            </w:r>
            <w:r w:rsidR="000B510A">
              <w:rPr>
                <w:rFonts w:ascii="Arial" w:hAnsi="Arial" w:cs="Arial"/>
                <w:color w:val="000000"/>
              </w:rPr>
              <w:t>A</w:t>
            </w:r>
            <w:r w:rsidRPr="00301844">
              <w:rPr>
                <w:rFonts w:ascii="Arial" w:hAnsi="Arial" w:cs="Arial"/>
                <w:color w:val="000000"/>
              </w:rPr>
              <w:t>ctivities</w:t>
            </w:r>
          </w:p>
        </w:tc>
        <w:tc>
          <w:tcPr>
            <w:tcW w:w="222" w:type="dxa"/>
            <w:tcBorders>
              <w:top w:val="nil"/>
              <w:left w:val="nil"/>
              <w:bottom w:val="nil"/>
              <w:right w:val="nil"/>
            </w:tcBorders>
            <w:shd w:val="clear" w:color="auto" w:fill="auto"/>
            <w:noWrap/>
            <w:vAlign w:val="bottom"/>
            <w:hideMark/>
          </w:tcPr>
          <w:p w14:paraId="5403D0A1"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316795B8" w14:textId="0B924457" w:rsidR="00541659" w:rsidRPr="00301844" w:rsidRDefault="00541659" w:rsidP="007D42F8">
            <w:pPr>
              <w:rPr>
                <w:rFonts w:ascii="Arial" w:hAnsi="Arial" w:cs="Arial"/>
                <w:color w:val="000000"/>
              </w:rPr>
            </w:pPr>
            <w:r w:rsidRPr="00301844">
              <w:rPr>
                <w:rFonts w:ascii="Arial" w:hAnsi="Arial" w:cs="Arial"/>
                <w:color w:val="000000"/>
              </w:rPr>
              <w:t xml:space="preserve">                 1,063 </w:t>
            </w:r>
          </w:p>
        </w:tc>
        <w:tc>
          <w:tcPr>
            <w:tcW w:w="222" w:type="dxa"/>
            <w:tcBorders>
              <w:top w:val="nil"/>
              <w:left w:val="nil"/>
              <w:bottom w:val="nil"/>
              <w:right w:val="nil"/>
            </w:tcBorders>
            <w:shd w:val="clear" w:color="auto" w:fill="auto"/>
            <w:noWrap/>
            <w:vAlign w:val="bottom"/>
            <w:hideMark/>
          </w:tcPr>
          <w:p w14:paraId="6DE77687"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63BB0C35" w14:textId="4EA4F929" w:rsidR="00541659" w:rsidRPr="00301844" w:rsidRDefault="00541659" w:rsidP="007D42F8">
            <w:pPr>
              <w:rPr>
                <w:rFonts w:ascii="Arial" w:hAnsi="Arial" w:cs="Arial"/>
                <w:color w:val="000000"/>
              </w:rPr>
            </w:pPr>
            <w:r w:rsidRPr="00301844">
              <w:rPr>
                <w:rFonts w:ascii="Arial" w:hAnsi="Arial" w:cs="Arial"/>
                <w:color w:val="000000"/>
              </w:rPr>
              <w:t xml:space="preserve">                   930 </w:t>
            </w:r>
          </w:p>
        </w:tc>
      </w:tr>
      <w:tr w:rsidR="00541659" w:rsidRPr="00301844" w14:paraId="27D54926"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6286C93B"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67E2D870" w14:textId="170842FC" w:rsidR="00541659" w:rsidRPr="00301844" w:rsidRDefault="00541659" w:rsidP="000B510A">
            <w:pPr>
              <w:rPr>
                <w:rFonts w:ascii="Arial" w:hAnsi="Arial" w:cs="Arial"/>
                <w:color w:val="000000"/>
              </w:rPr>
            </w:pPr>
            <w:r w:rsidRPr="00301844">
              <w:rPr>
                <w:rFonts w:ascii="Arial" w:hAnsi="Arial" w:cs="Arial"/>
                <w:color w:val="000000"/>
              </w:rPr>
              <w:t xml:space="preserve">Capital </w:t>
            </w:r>
            <w:r w:rsidR="000B510A">
              <w:rPr>
                <w:rFonts w:ascii="Arial" w:hAnsi="Arial" w:cs="Arial"/>
                <w:color w:val="000000"/>
              </w:rPr>
              <w:t>I</w:t>
            </w:r>
            <w:r w:rsidRPr="00301844">
              <w:rPr>
                <w:rFonts w:ascii="Arial" w:hAnsi="Arial" w:cs="Arial"/>
                <w:color w:val="000000"/>
              </w:rPr>
              <w:t>nvestments</w:t>
            </w:r>
          </w:p>
        </w:tc>
        <w:tc>
          <w:tcPr>
            <w:tcW w:w="222" w:type="dxa"/>
            <w:tcBorders>
              <w:top w:val="nil"/>
              <w:left w:val="nil"/>
              <w:bottom w:val="nil"/>
              <w:right w:val="nil"/>
            </w:tcBorders>
            <w:shd w:val="clear" w:color="auto" w:fill="auto"/>
            <w:noWrap/>
            <w:vAlign w:val="bottom"/>
            <w:hideMark/>
          </w:tcPr>
          <w:p w14:paraId="04963222"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110DF5FB" w14:textId="13C52154" w:rsidR="00541659" w:rsidRPr="00301844" w:rsidRDefault="00541659" w:rsidP="007D42F8">
            <w:pPr>
              <w:rPr>
                <w:rFonts w:ascii="Arial" w:hAnsi="Arial" w:cs="Arial"/>
                <w:color w:val="000000"/>
              </w:rPr>
            </w:pPr>
            <w:r w:rsidRPr="00301844">
              <w:rPr>
                <w:rFonts w:ascii="Arial" w:hAnsi="Arial" w:cs="Arial"/>
                <w:color w:val="000000"/>
              </w:rPr>
              <w:t xml:space="preserve">                    370 </w:t>
            </w:r>
          </w:p>
        </w:tc>
        <w:tc>
          <w:tcPr>
            <w:tcW w:w="222" w:type="dxa"/>
            <w:tcBorders>
              <w:top w:val="nil"/>
              <w:left w:val="nil"/>
              <w:bottom w:val="nil"/>
              <w:right w:val="nil"/>
            </w:tcBorders>
            <w:shd w:val="clear" w:color="auto" w:fill="auto"/>
            <w:noWrap/>
            <w:vAlign w:val="bottom"/>
            <w:hideMark/>
          </w:tcPr>
          <w:p w14:paraId="5FA2576D"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7200E81B" w14:textId="1AABD373" w:rsidR="00541659" w:rsidRPr="00301844" w:rsidRDefault="00541659" w:rsidP="007D42F8">
            <w:pPr>
              <w:rPr>
                <w:rFonts w:ascii="Arial" w:hAnsi="Arial" w:cs="Arial"/>
                <w:color w:val="000000"/>
              </w:rPr>
            </w:pPr>
            <w:r w:rsidRPr="00301844">
              <w:rPr>
                <w:rFonts w:ascii="Arial" w:hAnsi="Arial" w:cs="Arial"/>
                <w:color w:val="000000"/>
              </w:rPr>
              <w:t xml:space="preserve">                   375 </w:t>
            </w:r>
          </w:p>
        </w:tc>
      </w:tr>
      <w:tr w:rsidR="00541659" w:rsidRPr="00301844" w14:paraId="62258D1C"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3C63FBAA"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62BA7FD3" w14:textId="7557460F" w:rsidR="00541659" w:rsidRPr="00301844" w:rsidRDefault="00541659" w:rsidP="000B510A">
            <w:pPr>
              <w:rPr>
                <w:rFonts w:ascii="Arial" w:hAnsi="Arial" w:cs="Arial"/>
                <w:color w:val="000000"/>
              </w:rPr>
            </w:pPr>
            <w:r w:rsidRPr="00301844">
              <w:rPr>
                <w:rFonts w:ascii="Arial" w:hAnsi="Arial" w:cs="Arial"/>
                <w:color w:val="000000"/>
              </w:rPr>
              <w:t xml:space="preserve">Free </w:t>
            </w:r>
            <w:r w:rsidR="000B510A">
              <w:rPr>
                <w:rFonts w:ascii="Arial" w:hAnsi="Arial" w:cs="Arial"/>
                <w:color w:val="000000"/>
              </w:rPr>
              <w:t>C</w:t>
            </w:r>
            <w:r w:rsidRPr="00301844">
              <w:rPr>
                <w:rFonts w:ascii="Arial" w:hAnsi="Arial" w:cs="Arial"/>
                <w:color w:val="000000"/>
              </w:rPr>
              <w:t xml:space="preserve">ash </w:t>
            </w:r>
            <w:r w:rsidR="000B510A">
              <w:rPr>
                <w:rFonts w:ascii="Arial" w:hAnsi="Arial" w:cs="Arial"/>
                <w:color w:val="000000"/>
              </w:rPr>
              <w:t>F</w:t>
            </w:r>
            <w:r w:rsidRPr="00301844">
              <w:rPr>
                <w:rFonts w:ascii="Arial" w:hAnsi="Arial" w:cs="Arial"/>
                <w:color w:val="000000"/>
              </w:rPr>
              <w:t>low</w:t>
            </w:r>
          </w:p>
        </w:tc>
        <w:tc>
          <w:tcPr>
            <w:tcW w:w="222" w:type="dxa"/>
            <w:tcBorders>
              <w:top w:val="nil"/>
              <w:left w:val="nil"/>
              <w:bottom w:val="nil"/>
              <w:right w:val="nil"/>
            </w:tcBorders>
            <w:shd w:val="clear" w:color="auto" w:fill="auto"/>
            <w:noWrap/>
            <w:vAlign w:val="bottom"/>
            <w:hideMark/>
          </w:tcPr>
          <w:p w14:paraId="27C69E0A"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09A9BE0D" w14:textId="65560DAC" w:rsidR="00541659" w:rsidRPr="00301844" w:rsidRDefault="00541659" w:rsidP="007D42F8">
            <w:pPr>
              <w:rPr>
                <w:rFonts w:ascii="Arial" w:hAnsi="Arial" w:cs="Arial"/>
                <w:color w:val="000000"/>
              </w:rPr>
            </w:pPr>
            <w:r w:rsidRPr="00301844">
              <w:rPr>
                <w:rFonts w:ascii="Arial" w:hAnsi="Arial" w:cs="Arial"/>
                <w:color w:val="000000"/>
              </w:rPr>
              <w:t xml:space="preserve">                    550 </w:t>
            </w:r>
          </w:p>
        </w:tc>
        <w:tc>
          <w:tcPr>
            <w:tcW w:w="222" w:type="dxa"/>
            <w:tcBorders>
              <w:top w:val="nil"/>
              <w:left w:val="nil"/>
              <w:bottom w:val="nil"/>
              <w:right w:val="nil"/>
            </w:tcBorders>
            <w:shd w:val="clear" w:color="auto" w:fill="auto"/>
            <w:noWrap/>
            <w:vAlign w:val="bottom"/>
            <w:hideMark/>
          </w:tcPr>
          <w:p w14:paraId="4FECB916"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47855BF4" w14:textId="0BE601B7" w:rsidR="00541659" w:rsidRPr="00301844" w:rsidRDefault="00541659" w:rsidP="007D42F8">
            <w:pPr>
              <w:rPr>
                <w:rFonts w:ascii="Arial" w:hAnsi="Arial" w:cs="Arial"/>
                <w:color w:val="000000"/>
              </w:rPr>
            </w:pPr>
            <w:r w:rsidRPr="00301844">
              <w:rPr>
                <w:rFonts w:ascii="Arial" w:hAnsi="Arial" w:cs="Arial"/>
                <w:color w:val="000000"/>
              </w:rPr>
              <w:t xml:space="preserve">                   407 </w:t>
            </w:r>
          </w:p>
        </w:tc>
      </w:tr>
      <w:tr w:rsidR="00541659" w:rsidRPr="00301844" w14:paraId="28E05182" w14:textId="77777777" w:rsidTr="00BF475B">
        <w:trPr>
          <w:trHeight w:val="300"/>
          <w:jc w:val="center"/>
        </w:trPr>
        <w:tc>
          <w:tcPr>
            <w:tcW w:w="5894" w:type="dxa"/>
            <w:gridSpan w:val="2"/>
            <w:tcBorders>
              <w:top w:val="nil"/>
              <w:left w:val="nil"/>
              <w:bottom w:val="nil"/>
              <w:right w:val="nil"/>
            </w:tcBorders>
            <w:shd w:val="clear" w:color="auto" w:fill="auto"/>
            <w:noWrap/>
            <w:vAlign w:val="bottom"/>
            <w:hideMark/>
          </w:tcPr>
          <w:p w14:paraId="55A35379" w14:textId="77777777" w:rsidR="00541659" w:rsidRPr="00301844" w:rsidRDefault="00541659" w:rsidP="00541659">
            <w:pPr>
              <w:rPr>
                <w:rFonts w:ascii="Arial" w:hAnsi="Arial" w:cs="Arial"/>
                <w:b/>
                <w:bCs/>
                <w:color w:val="000000"/>
              </w:rPr>
            </w:pPr>
            <w:r w:rsidRPr="00301844">
              <w:rPr>
                <w:rFonts w:ascii="Arial" w:hAnsi="Arial" w:cs="Arial"/>
                <w:b/>
                <w:bCs/>
                <w:color w:val="000000"/>
              </w:rPr>
              <w:t>Consolidated Per Common Share ($)</w:t>
            </w:r>
          </w:p>
        </w:tc>
        <w:tc>
          <w:tcPr>
            <w:tcW w:w="222" w:type="dxa"/>
            <w:tcBorders>
              <w:top w:val="nil"/>
              <w:left w:val="nil"/>
              <w:bottom w:val="nil"/>
              <w:right w:val="nil"/>
            </w:tcBorders>
            <w:shd w:val="clear" w:color="auto" w:fill="auto"/>
            <w:noWrap/>
            <w:vAlign w:val="bottom"/>
            <w:hideMark/>
          </w:tcPr>
          <w:p w14:paraId="75C61CCD" w14:textId="77777777" w:rsidR="00541659" w:rsidRPr="00301844" w:rsidRDefault="00541659" w:rsidP="00541659">
            <w:pPr>
              <w:rPr>
                <w:rFonts w:ascii="Arial" w:hAnsi="Arial" w:cs="Arial"/>
                <w:b/>
                <w:bCs/>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4C4BC820"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124963F2"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248BF91B"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13D86E68"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40A3B3C1"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6333D08C" w14:textId="3BE7BA7E" w:rsidR="00541659" w:rsidRPr="00301844" w:rsidRDefault="00541659" w:rsidP="000B510A">
            <w:pPr>
              <w:rPr>
                <w:rFonts w:ascii="Arial" w:hAnsi="Arial" w:cs="Arial"/>
                <w:color w:val="000000"/>
              </w:rPr>
            </w:pPr>
            <w:r w:rsidRPr="00301844">
              <w:rPr>
                <w:rFonts w:ascii="Arial" w:hAnsi="Arial" w:cs="Arial"/>
                <w:color w:val="000000"/>
              </w:rPr>
              <w:t xml:space="preserve">Diluted </w:t>
            </w:r>
            <w:r w:rsidR="000B510A">
              <w:rPr>
                <w:rFonts w:ascii="Arial" w:hAnsi="Arial" w:cs="Arial"/>
                <w:color w:val="000000"/>
              </w:rPr>
              <w:t>N</w:t>
            </w:r>
            <w:r w:rsidRPr="00301844">
              <w:rPr>
                <w:rFonts w:ascii="Arial" w:hAnsi="Arial" w:cs="Arial"/>
                <w:color w:val="000000"/>
              </w:rPr>
              <w:t xml:space="preserve">et </w:t>
            </w:r>
            <w:r w:rsidR="000B510A">
              <w:rPr>
                <w:rFonts w:ascii="Arial" w:hAnsi="Arial" w:cs="Arial"/>
                <w:color w:val="000000"/>
              </w:rPr>
              <w:t>E</w:t>
            </w:r>
            <w:r w:rsidRPr="00301844">
              <w:rPr>
                <w:rFonts w:ascii="Arial" w:hAnsi="Arial" w:cs="Arial"/>
                <w:color w:val="000000"/>
              </w:rPr>
              <w:t>arnings</w:t>
            </w:r>
          </w:p>
        </w:tc>
        <w:tc>
          <w:tcPr>
            <w:tcW w:w="222" w:type="dxa"/>
            <w:tcBorders>
              <w:top w:val="nil"/>
              <w:left w:val="nil"/>
              <w:bottom w:val="nil"/>
              <w:right w:val="nil"/>
            </w:tcBorders>
            <w:shd w:val="clear" w:color="auto" w:fill="auto"/>
            <w:noWrap/>
            <w:vAlign w:val="bottom"/>
            <w:hideMark/>
          </w:tcPr>
          <w:p w14:paraId="55D4781B"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53107734" w14:textId="77777777" w:rsidR="00541659" w:rsidRPr="00301844" w:rsidRDefault="00541659" w:rsidP="00541659">
            <w:pPr>
              <w:jc w:val="right"/>
              <w:rPr>
                <w:rFonts w:ascii="Arial" w:hAnsi="Arial" w:cs="Arial"/>
                <w:color w:val="000000"/>
              </w:rPr>
            </w:pPr>
            <w:r w:rsidRPr="00301844">
              <w:rPr>
                <w:rFonts w:ascii="Arial" w:hAnsi="Arial" w:cs="Arial"/>
                <w:color w:val="000000"/>
              </w:rPr>
              <w:t>1.77</w:t>
            </w:r>
          </w:p>
        </w:tc>
        <w:tc>
          <w:tcPr>
            <w:tcW w:w="222" w:type="dxa"/>
            <w:tcBorders>
              <w:top w:val="nil"/>
              <w:left w:val="nil"/>
              <w:bottom w:val="nil"/>
              <w:right w:val="nil"/>
            </w:tcBorders>
            <w:shd w:val="clear" w:color="auto" w:fill="auto"/>
            <w:noWrap/>
            <w:vAlign w:val="bottom"/>
            <w:hideMark/>
          </w:tcPr>
          <w:p w14:paraId="39B9E619"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2BBD2F9D" w14:textId="77777777" w:rsidR="00541659" w:rsidRPr="00301844" w:rsidRDefault="00541659" w:rsidP="00541659">
            <w:pPr>
              <w:jc w:val="right"/>
              <w:rPr>
                <w:rFonts w:ascii="Arial" w:hAnsi="Arial" w:cs="Arial"/>
                <w:color w:val="000000"/>
              </w:rPr>
            </w:pPr>
            <w:r w:rsidRPr="00301844">
              <w:rPr>
                <w:rFonts w:ascii="Arial" w:hAnsi="Arial" w:cs="Arial"/>
                <w:color w:val="000000"/>
              </w:rPr>
              <w:t>1.06</w:t>
            </w:r>
          </w:p>
        </w:tc>
      </w:tr>
      <w:tr w:rsidR="00541659" w:rsidRPr="00301844" w14:paraId="2EFE5F44"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7110537C" w14:textId="77777777" w:rsidR="00541659" w:rsidRPr="00301844" w:rsidRDefault="00541659" w:rsidP="00541659">
            <w:pPr>
              <w:jc w:val="right"/>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1A5FB5BC" w14:textId="52229F04" w:rsidR="00541659" w:rsidRPr="00301844" w:rsidRDefault="00541659" w:rsidP="000B510A">
            <w:pPr>
              <w:rPr>
                <w:rFonts w:ascii="Arial" w:hAnsi="Arial" w:cs="Arial"/>
                <w:color w:val="000000"/>
              </w:rPr>
            </w:pPr>
            <w:r w:rsidRPr="00301844">
              <w:rPr>
                <w:rFonts w:ascii="Arial" w:hAnsi="Arial" w:cs="Arial"/>
                <w:color w:val="000000"/>
              </w:rPr>
              <w:t xml:space="preserve">Adjusted </w:t>
            </w:r>
            <w:r w:rsidR="000B510A">
              <w:rPr>
                <w:rFonts w:ascii="Arial" w:hAnsi="Arial" w:cs="Arial"/>
                <w:color w:val="000000"/>
              </w:rPr>
              <w:t>D</w:t>
            </w:r>
            <w:r w:rsidRPr="00301844">
              <w:rPr>
                <w:rFonts w:ascii="Arial" w:hAnsi="Arial" w:cs="Arial"/>
                <w:color w:val="000000"/>
              </w:rPr>
              <w:t xml:space="preserve">iluted </w:t>
            </w:r>
            <w:r w:rsidR="000B510A">
              <w:rPr>
                <w:rFonts w:ascii="Arial" w:hAnsi="Arial" w:cs="Arial"/>
                <w:color w:val="000000"/>
              </w:rPr>
              <w:t>N</w:t>
            </w:r>
            <w:r w:rsidRPr="00301844">
              <w:rPr>
                <w:rFonts w:ascii="Arial" w:hAnsi="Arial" w:cs="Arial"/>
                <w:color w:val="000000"/>
              </w:rPr>
              <w:t xml:space="preserve">et </w:t>
            </w:r>
            <w:r w:rsidR="000B510A">
              <w:rPr>
                <w:rFonts w:ascii="Arial" w:hAnsi="Arial" w:cs="Arial"/>
                <w:color w:val="000000"/>
              </w:rPr>
              <w:t>E</w:t>
            </w:r>
            <w:r w:rsidRPr="00301844">
              <w:rPr>
                <w:rFonts w:ascii="Arial" w:hAnsi="Arial" w:cs="Arial"/>
                <w:color w:val="000000"/>
              </w:rPr>
              <w:t>arnings</w:t>
            </w:r>
          </w:p>
        </w:tc>
        <w:tc>
          <w:tcPr>
            <w:tcW w:w="222" w:type="dxa"/>
            <w:tcBorders>
              <w:top w:val="nil"/>
              <w:left w:val="nil"/>
              <w:bottom w:val="nil"/>
              <w:right w:val="nil"/>
            </w:tcBorders>
            <w:shd w:val="clear" w:color="auto" w:fill="auto"/>
            <w:noWrap/>
            <w:vAlign w:val="bottom"/>
            <w:hideMark/>
          </w:tcPr>
          <w:p w14:paraId="64CBA02C"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72CC9EA2" w14:textId="77777777" w:rsidR="00541659" w:rsidRPr="00301844" w:rsidRDefault="00541659" w:rsidP="00541659">
            <w:pPr>
              <w:jc w:val="right"/>
              <w:rPr>
                <w:rFonts w:ascii="Arial" w:hAnsi="Arial" w:cs="Arial"/>
                <w:color w:val="000000"/>
              </w:rPr>
            </w:pPr>
            <w:r w:rsidRPr="00301844">
              <w:rPr>
                <w:rFonts w:ascii="Arial" w:hAnsi="Arial" w:cs="Arial"/>
                <w:color w:val="000000"/>
              </w:rPr>
              <w:t>3.03</w:t>
            </w:r>
          </w:p>
        </w:tc>
        <w:tc>
          <w:tcPr>
            <w:tcW w:w="222" w:type="dxa"/>
            <w:tcBorders>
              <w:top w:val="nil"/>
              <w:left w:val="nil"/>
              <w:bottom w:val="nil"/>
              <w:right w:val="nil"/>
            </w:tcBorders>
            <w:shd w:val="clear" w:color="auto" w:fill="auto"/>
            <w:noWrap/>
            <w:vAlign w:val="bottom"/>
            <w:hideMark/>
          </w:tcPr>
          <w:p w14:paraId="2EEEA736"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14918DEC" w14:textId="77777777" w:rsidR="00541659" w:rsidRPr="00301844" w:rsidRDefault="00541659" w:rsidP="00541659">
            <w:pPr>
              <w:jc w:val="right"/>
              <w:rPr>
                <w:rFonts w:ascii="Arial" w:hAnsi="Arial" w:cs="Arial"/>
                <w:color w:val="000000"/>
              </w:rPr>
            </w:pPr>
            <w:r w:rsidRPr="00301844">
              <w:rPr>
                <w:rFonts w:ascii="Arial" w:hAnsi="Arial" w:cs="Arial"/>
                <w:color w:val="000000"/>
              </w:rPr>
              <w:t>2.56</w:t>
            </w:r>
          </w:p>
        </w:tc>
      </w:tr>
      <w:tr w:rsidR="00541659" w:rsidRPr="00301844" w14:paraId="03A81D39" w14:textId="77777777" w:rsidTr="00BF475B">
        <w:trPr>
          <w:trHeight w:val="300"/>
          <w:jc w:val="center"/>
        </w:trPr>
        <w:tc>
          <w:tcPr>
            <w:tcW w:w="5894" w:type="dxa"/>
            <w:gridSpan w:val="2"/>
            <w:tcBorders>
              <w:top w:val="nil"/>
              <w:left w:val="nil"/>
              <w:bottom w:val="nil"/>
              <w:right w:val="nil"/>
            </w:tcBorders>
            <w:shd w:val="clear" w:color="auto" w:fill="auto"/>
            <w:noWrap/>
            <w:vAlign w:val="bottom"/>
            <w:hideMark/>
          </w:tcPr>
          <w:p w14:paraId="6F9986F2" w14:textId="77777777" w:rsidR="00541659" w:rsidRPr="00301844" w:rsidRDefault="00541659" w:rsidP="00541659">
            <w:pPr>
              <w:rPr>
                <w:rFonts w:ascii="Arial" w:hAnsi="Arial" w:cs="Arial"/>
                <w:b/>
                <w:bCs/>
                <w:color w:val="000000"/>
              </w:rPr>
            </w:pPr>
            <w:r w:rsidRPr="00301844">
              <w:rPr>
                <w:rFonts w:ascii="Arial" w:hAnsi="Arial" w:cs="Arial"/>
                <w:b/>
                <w:bCs/>
                <w:color w:val="000000"/>
              </w:rPr>
              <w:t>Dividends</w:t>
            </w:r>
          </w:p>
        </w:tc>
        <w:tc>
          <w:tcPr>
            <w:tcW w:w="222" w:type="dxa"/>
            <w:tcBorders>
              <w:top w:val="nil"/>
              <w:left w:val="nil"/>
              <w:bottom w:val="nil"/>
              <w:right w:val="nil"/>
            </w:tcBorders>
            <w:shd w:val="clear" w:color="auto" w:fill="auto"/>
            <w:noWrap/>
            <w:vAlign w:val="bottom"/>
            <w:hideMark/>
          </w:tcPr>
          <w:p w14:paraId="6FDAEA8C" w14:textId="77777777" w:rsidR="00541659" w:rsidRPr="00301844" w:rsidRDefault="00541659" w:rsidP="00541659">
            <w:pPr>
              <w:rPr>
                <w:rFonts w:ascii="Arial" w:hAnsi="Arial" w:cs="Arial"/>
                <w:b/>
                <w:bCs/>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3C64E7C8"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061CC54B"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18C9755D"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56AA5521"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6375BC2B"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36C09AC2" w14:textId="31C01A9F" w:rsidR="00541659" w:rsidRPr="00301844" w:rsidRDefault="00541659" w:rsidP="000B510A">
            <w:pPr>
              <w:rPr>
                <w:rFonts w:ascii="Arial" w:hAnsi="Arial" w:cs="Arial"/>
                <w:color w:val="000000"/>
              </w:rPr>
            </w:pPr>
            <w:r w:rsidRPr="00301844">
              <w:rPr>
                <w:rFonts w:ascii="Arial" w:hAnsi="Arial" w:cs="Arial"/>
                <w:color w:val="000000"/>
              </w:rPr>
              <w:t xml:space="preserve">Dividends </w:t>
            </w:r>
            <w:r w:rsidR="000B510A">
              <w:rPr>
                <w:rFonts w:ascii="Arial" w:hAnsi="Arial" w:cs="Arial"/>
                <w:color w:val="000000"/>
              </w:rPr>
              <w:t>D</w:t>
            </w:r>
            <w:r w:rsidRPr="00301844">
              <w:rPr>
                <w:rFonts w:ascii="Arial" w:hAnsi="Arial" w:cs="Arial"/>
                <w:color w:val="000000"/>
              </w:rPr>
              <w:t xml:space="preserve">eclared per </w:t>
            </w:r>
            <w:r w:rsidR="000B510A">
              <w:rPr>
                <w:rFonts w:ascii="Arial" w:hAnsi="Arial" w:cs="Arial"/>
                <w:color w:val="000000"/>
              </w:rPr>
              <w:t>C</w:t>
            </w:r>
            <w:r w:rsidRPr="00301844">
              <w:rPr>
                <w:rFonts w:ascii="Arial" w:hAnsi="Arial" w:cs="Arial"/>
                <w:color w:val="000000"/>
              </w:rPr>
              <w:t xml:space="preserve">ommon </w:t>
            </w:r>
            <w:r w:rsidR="000B510A">
              <w:rPr>
                <w:rFonts w:ascii="Arial" w:hAnsi="Arial" w:cs="Arial"/>
                <w:color w:val="000000"/>
              </w:rPr>
              <w:t>S</w:t>
            </w:r>
            <w:r w:rsidRPr="00301844">
              <w:rPr>
                <w:rFonts w:ascii="Arial" w:hAnsi="Arial" w:cs="Arial"/>
                <w:color w:val="000000"/>
              </w:rPr>
              <w:t>hare ($)</w:t>
            </w:r>
          </w:p>
        </w:tc>
        <w:tc>
          <w:tcPr>
            <w:tcW w:w="222" w:type="dxa"/>
            <w:tcBorders>
              <w:top w:val="nil"/>
              <w:left w:val="nil"/>
              <w:bottom w:val="nil"/>
              <w:right w:val="nil"/>
            </w:tcBorders>
            <w:shd w:val="clear" w:color="auto" w:fill="auto"/>
            <w:noWrap/>
            <w:vAlign w:val="bottom"/>
            <w:hideMark/>
          </w:tcPr>
          <w:p w14:paraId="15FDD5DA"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4601C9B6" w14:textId="77777777" w:rsidR="00541659" w:rsidRPr="00301844" w:rsidRDefault="00541659" w:rsidP="00541659">
            <w:pPr>
              <w:jc w:val="right"/>
              <w:rPr>
                <w:rFonts w:ascii="Arial" w:hAnsi="Arial" w:cs="Arial"/>
                <w:color w:val="000000"/>
              </w:rPr>
            </w:pPr>
            <w:r w:rsidRPr="00301844">
              <w:rPr>
                <w:rFonts w:ascii="Arial" w:hAnsi="Arial" w:cs="Arial"/>
                <w:color w:val="000000"/>
              </w:rPr>
              <w:t>0.77</w:t>
            </w:r>
          </w:p>
        </w:tc>
        <w:tc>
          <w:tcPr>
            <w:tcW w:w="222" w:type="dxa"/>
            <w:tcBorders>
              <w:top w:val="nil"/>
              <w:left w:val="nil"/>
              <w:bottom w:val="nil"/>
              <w:right w:val="nil"/>
            </w:tcBorders>
            <w:shd w:val="clear" w:color="auto" w:fill="auto"/>
            <w:noWrap/>
            <w:vAlign w:val="bottom"/>
            <w:hideMark/>
          </w:tcPr>
          <w:p w14:paraId="4DA429D3" w14:textId="77777777" w:rsidR="00541659" w:rsidRPr="00301844" w:rsidRDefault="00541659" w:rsidP="00541659">
            <w:pPr>
              <w:jc w:val="right"/>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2DE57445" w14:textId="77777777" w:rsidR="00541659" w:rsidRPr="00301844" w:rsidRDefault="00541659" w:rsidP="00541659">
            <w:pPr>
              <w:jc w:val="right"/>
              <w:rPr>
                <w:rFonts w:ascii="Arial" w:hAnsi="Arial" w:cs="Arial"/>
                <w:color w:val="000000"/>
              </w:rPr>
            </w:pPr>
            <w:r w:rsidRPr="00301844">
              <w:rPr>
                <w:rFonts w:ascii="Arial" w:hAnsi="Arial" w:cs="Arial"/>
                <w:color w:val="000000"/>
              </w:rPr>
              <w:t>0.74</w:t>
            </w:r>
          </w:p>
        </w:tc>
      </w:tr>
      <w:tr w:rsidR="00541659" w:rsidRPr="00301844" w14:paraId="753DD31B" w14:textId="77777777" w:rsidTr="00BF475B">
        <w:trPr>
          <w:trHeight w:val="300"/>
          <w:jc w:val="center"/>
        </w:trPr>
        <w:tc>
          <w:tcPr>
            <w:tcW w:w="5894" w:type="dxa"/>
            <w:gridSpan w:val="2"/>
            <w:tcBorders>
              <w:top w:val="nil"/>
              <w:left w:val="nil"/>
              <w:bottom w:val="nil"/>
              <w:right w:val="nil"/>
            </w:tcBorders>
            <w:shd w:val="clear" w:color="auto" w:fill="auto"/>
            <w:noWrap/>
            <w:vAlign w:val="bottom"/>
            <w:hideMark/>
          </w:tcPr>
          <w:p w14:paraId="5F90B990" w14:textId="77777777" w:rsidR="00541659" w:rsidRPr="00301844" w:rsidRDefault="00541659" w:rsidP="00541659">
            <w:pPr>
              <w:rPr>
                <w:rFonts w:ascii="Arial" w:hAnsi="Arial" w:cs="Arial"/>
                <w:b/>
                <w:bCs/>
                <w:color w:val="000000"/>
              </w:rPr>
            </w:pPr>
            <w:r w:rsidRPr="00301844">
              <w:rPr>
                <w:rFonts w:ascii="Arial" w:hAnsi="Arial" w:cs="Arial"/>
                <w:b/>
                <w:bCs/>
                <w:color w:val="000000"/>
              </w:rPr>
              <w:t>Assets</w:t>
            </w:r>
          </w:p>
        </w:tc>
        <w:tc>
          <w:tcPr>
            <w:tcW w:w="222" w:type="dxa"/>
            <w:tcBorders>
              <w:top w:val="nil"/>
              <w:left w:val="nil"/>
              <w:bottom w:val="nil"/>
              <w:right w:val="nil"/>
            </w:tcBorders>
            <w:shd w:val="clear" w:color="auto" w:fill="auto"/>
            <w:noWrap/>
            <w:vAlign w:val="bottom"/>
            <w:hideMark/>
          </w:tcPr>
          <w:p w14:paraId="4E2BBCB4" w14:textId="77777777" w:rsidR="00541659" w:rsidRPr="00301844" w:rsidRDefault="00541659" w:rsidP="00541659">
            <w:pPr>
              <w:rPr>
                <w:rFonts w:ascii="Arial" w:hAnsi="Arial" w:cs="Arial"/>
                <w:b/>
                <w:bCs/>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7EF314BC"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4E6F7E36"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2649B8A8" w14:textId="77777777" w:rsidR="00541659" w:rsidRPr="00301844" w:rsidRDefault="00541659" w:rsidP="00541659">
            <w:pPr>
              <w:rPr>
                <w:rFonts w:ascii="Arial" w:hAnsi="Arial" w:cs="Arial"/>
                <w:color w:val="000000"/>
              </w:rPr>
            </w:pPr>
            <w:r w:rsidRPr="00301844">
              <w:rPr>
                <w:rFonts w:ascii="Arial" w:hAnsi="Arial" w:cs="Arial"/>
                <w:color w:val="000000"/>
              </w:rPr>
              <w:t> </w:t>
            </w:r>
          </w:p>
        </w:tc>
      </w:tr>
      <w:tr w:rsidR="00541659" w:rsidRPr="00301844" w14:paraId="76137CAD"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5FD896FC"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13253C35" w14:textId="77777777" w:rsidR="00541659" w:rsidRPr="00301844" w:rsidRDefault="00541659" w:rsidP="00541659">
            <w:pPr>
              <w:rPr>
                <w:rFonts w:ascii="Arial" w:hAnsi="Arial" w:cs="Arial"/>
                <w:color w:val="000000"/>
              </w:rPr>
            </w:pPr>
            <w:r w:rsidRPr="00301844">
              <w:rPr>
                <w:rFonts w:ascii="Arial" w:hAnsi="Arial" w:cs="Arial"/>
                <w:color w:val="000000"/>
              </w:rPr>
              <w:t>Inventory</w:t>
            </w:r>
          </w:p>
        </w:tc>
        <w:tc>
          <w:tcPr>
            <w:tcW w:w="222" w:type="dxa"/>
            <w:tcBorders>
              <w:top w:val="nil"/>
              <w:left w:val="nil"/>
              <w:bottom w:val="nil"/>
              <w:right w:val="nil"/>
            </w:tcBorders>
            <w:shd w:val="clear" w:color="auto" w:fill="auto"/>
            <w:noWrap/>
            <w:vAlign w:val="bottom"/>
            <w:hideMark/>
          </w:tcPr>
          <w:p w14:paraId="16837DFF"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4D8550B7" w14:textId="18C4D680" w:rsidR="00541659" w:rsidRPr="00301844" w:rsidRDefault="00541659" w:rsidP="007D42F8">
            <w:pPr>
              <w:rPr>
                <w:rFonts w:ascii="Arial" w:hAnsi="Arial" w:cs="Arial"/>
                <w:color w:val="000000"/>
              </w:rPr>
            </w:pPr>
            <w:r w:rsidRPr="00301844">
              <w:rPr>
                <w:rFonts w:ascii="Arial" w:hAnsi="Arial" w:cs="Arial"/>
                <w:color w:val="000000"/>
              </w:rPr>
              <w:t xml:space="preserve">                 1,320 </w:t>
            </w:r>
          </w:p>
        </w:tc>
        <w:tc>
          <w:tcPr>
            <w:tcW w:w="222" w:type="dxa"/>
            <w:tcBorders>
              <w:top w:val="nil"/>
              <w:left w:val="nil"/>
              <w:bottom w:val="nil"/>
              <w:right w:val="nil"/>
            </w:tcBorders>
            <w:shd w:val="clear" w:color="auto" w:fill="auto"/>
            <w:noWrap/>
            <w:vAlign w:val="bottom"/>
            <w:hideMark/>
          </w:tcPr>
          <w:p w14:paraId="0E765559"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6CB4FB24" w14:textId="4762DA10" w:rsidR="00541659" w:rsidRPr="00301844" w:rsidRDefault="00541659" w:rsidP="007D42F8">
            <w:pPr>
              <w:rPr>
                <w:rFonts w:ascii="Arial" w:hAnsi="Arial" w:cs="Arial"/>
                <w:color w:val="000000"/>
              </w:rPr>
            </w:pPr>
            <w:r w:rsidRPr="00301844">
              <w:rPr>
                <w:rFonts w:ascii="Arial" w:hAnsi="Arial" w:cs="Arial"/>
                <w:color w:val="000000"/>
              </w:rPr>
              <w:t xml:space="preserve">   </w:t>
            </w:r>
            <w:r w:rsidR="007D42F8">
              <w:rPr>
                <w:rFonts w:ascii="Arial" w:hAnsi="Arial" w:cs="Arial"/>
                <w:color w:val="000000"/>
              </w:rPr>
              <w:t xml:space="preserve"> </w:t>
            </w:r>
            <w:r w:rsidRPr="00301844">
              <w:rPr>
                <w:rFonts w:ascii="Arial" w:hAnsi="Arial" w:cs="Arial"/>
                <w:color w:val="000000"/>
              </w:rPr>
              <w:t xml:space="preserve">            1,305 </w:t>
            </w:r>
          </w:p>
        </w:tc>
      </w:tr>
      <w:tr w:rsidR="00541659" w:rsidRPr="00301844" w14:paraId="1AB07556"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64A2E890"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58C0D5EC" w14:textId="24FA743F" w:rsidR="00541659" w:rsidRPr="00301844" w:rsidRDefault="00541659" w:rsidP="000B510A">
            <w:pPr>
              <w:rPr>
                <w:rFonts w:ascii="Arial" w:hAnsi="Arial" w:cs="Arial"/>
                <w:color w:val="000000"/>
              </w:rPr>
            </w:pPr>
            <w:r w:rsidRPr="00301844">
              <w:rPr>
                <w:rFonts w:ascii="Arial" w:hAnsi="Arial" w:cs="Arial"/>
                <w:color w:val="000000"/>
              </w:rPr>
              <w:t>Inventory</w:t>
            </w:r>
            <w:r w:rsidR="000B510A">
              <w:rPr>
                <w:rFonts w:ascii="Arial" w:hAnsi="Arial" w:cs="Arial"/>
                <w:color w:val="000000"/>
              </w:rPr>
              <w:t xml:space="preserve"> W</w:t>
            </w:r>
            <w:r w:rsidRPr="00301844">
              <w:rPr>
                <w:rFonts w:ascii="Arial" w:hAnsi="Arial" w:cs="Arial"/>
                <w:color w:val="000000"/>
              </w:rPr>
              <w:t>rite-off (</w:t>
            </w:r>
            <w:r w:rsidR="000B510A">
              <w:rPr>
                <w:rFonts w:ascii="Arial" w:hAnsi="Arial" w:cs="Arial"/>
                <w:color w:val="000000"/>
              </w:rPr>
              <w:t>I</w:t>
            </w:r>
            <w:r w:rsidRPr="00301844">
              <w:rPr>
                <w:rFonts w:ascii="Arial" w:hAnsi="Arial" w:cs="Arial"/>
                <w:color w:val="000000"/>
              </w:rPr>
              <w:t>ncluding in COGS)</w:t>
            </w:r>
          </w:p>
        </w:tc>
        <w:tc>
          <w:tcPr>
            <w:tcW w:w="222" w:type="dxa"/>
            <w:tcBorders>
              <w:top w:val="nil"/>
              <w:left w:val="nil"/>
              <w:bottom w:val="nil"/>
              <w:right w:val="nil"/>
            </w:tcBorders>
            <w:shd w:val="clear" w:color="auto" w:fill="auto"/>
            <w:noWrap/>
            <w:vAlign w:val="bottom"/>
            <w:hideMark/>
          </w:tcPr>
          <w:p w14:paraId="78DB9101"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1A56BE24" w14:textId="22BB8A6F" w:rsidR="00541659" w:rsidRPr="00301844" w:rsidRDefault="00541659" w:rsidP="007D42F8">
            <w:pPr>
              <w:rPr>
                <w:rFonts w:ascii="Arial" w:hAnsi="Arial" w:cs="Arial"/>
                <w:color w:val="000000"/>
              </w:rPr>
            </w:pPr>
            <w:r w:rsidRPr="00301844">
              <w:rPr>
                <w:rFonts w:ascii="Arial" w:hAnsi="Arial" w:cs="Arial"/>
                <w:color w:val="000000"/>
              </w:rPr>
              <w:t xml:space="preserve">                        7 </w:t>
            </w:r>
          </w:p>
        </w:tc>
        <w:tc>
          <w:tcPr>
            <w:tcW w:w="222" w:type="dxa"/>
            <w:tcBorders>
              <w:top w:val="nil"/>
              <w:left w:val="nil"/>
              <w:bottom w:val="nil"/>
              <w:right w:val="nil"/>
            </w:tcBorders>
            <w:shd w:val="clear" w:color="auto" w:fill="auto"/>
            <w:noWrap/>
            <w:vAlign w:val="bottom"/>
            <w:hideMark/>
          </w:tcPr>
          <w:p w14:paraId="0CC9186A"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19BA49DD" w14:textId="2D70507F" w:rsidR="00541659" w:rsidRPr="00301844" w:rsidRDefault="00541659" w:rsidP="007D42F8">
            <w:pPr>
              <w:rPr>
                <w:rFonts w:ascii="Arial" w:hAnsi="Arial" w:cs="Arial"/>
                <w:color w:val="000000"/>
              </w:rPr>
            </w:pPr>
            <w:r w:rsidRPr="00301844">
              <w:rPr>
                <w:rFonts w:ascii="Arial" w:hAnsi="Arial" w:cs="Arial"/>
                <w:color w:val="000000"/>
              </w:rPr>
              <w:t xml:space="preserve">                     26 </w:t>
            </w:r>
          </w:p>
        </w:tc>
      </w:tr>
      <w:tr w:rsidR="00541659" w:rsidRPr="00301844" w14:paraId="394CC845"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7E9213BE"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450C665F" w14:textId="255DCC6E" w:rsidR="00541659" w:rsidRPr="00301844" w:rsidRDefault="00541659" w:rsidP="000B510A">
            <w:pPr>
              <w:rPr>
                <w:rFonts w:ascii="Arial" w:hAnsi="Arial" w:cs="Arial"/>
                <w:color w:val="000000"/>
              </w:rPr>
            </w:pPr>
            <w:r w:rsidRPr="00301844">
              <w:rPr>
                <w:rFonts w:ascii="Arial" w:hAnsi="Arial" w:cs="Arial"/>
                <w:color w:val="000000"/>
              </w:rPr>
              <w:t xml:space="preserve">Fixed </w:t>
            </w:r>
            <w:r w:rsidR="000B510A">
              <w:rPr>
                <w:rFonts w:ascii="Arial" w:hAnsi="Arial" w:cs="Arial"/>
                <w:color w:val="000000"/>
              </w:rPr>
              <w:t>A</w:t>
            </w:r>
            <w:r w:rsidRPr="00301844">
              <w:rPr>
                <w:rFonts w:ascii="Arial" w:hAnsi="Arial" w:cs="Arial"/>
                <w:color w:val="000000"/>
              </w:rPr>
              <w:t>ssets</w:t>
            </w:r>
          </w:p>
        </w:tc>
        <w:tc>
          <w:tcPr>
            <w:tcW w:w="222" w:type="dxa"/>
            <w:tcBorders>
              <w:top w:val="nil"/>
              <w:left w:val="nil"/>
              <w:bottom w:val="nil"/>
              <w:right w:val="nil"/>
            </w:tcBorders>
            <w:shd w:val="clear" w:color="auto" w:fill="auto"/>
            <w:noWrap/>
            <w:vAlign w:val="bottom"/>
            <w:hideMark/>
          </w:tcPr>
          <w:p w14:paraId="07C01837" w14:textId="77777777" w:rsidR="00541659" w:rsidRPr="00301844" w:rsidRDefault="00541659" w:rsidP="00541659">
            <w:pPr>
              <w:rPr>
                <w:rFonts w:ascii="Arial" w:hAnsi="Arial" w:cs="Arial"/>
                <w:color w:val="000000"/>
              </w:rPr>
            </w:pPr>
          </w:p>
        </w:tc>
        <w:tc>
          <w:tcPr>
            <w:tcW w:w="1671" w:type="dxa"/>
            <w:tcBorders>
              <w:top w:val="nil"/>
              <w:left w:val="single" w:sz="4" w:space="0" w:color="auto"/>
              <w:bottom w:val="nil"/>
              <w:right w:val="single" w:sz="4" w:space="0" w:color="auto"/>
            </w:tcBorders>
            <w:shd w:val="clear" w:color="auto" w:fill="auto"/>
            <w:noWrap/>
            <w:vAlign w:val="bottom"/>
            <w:hideMark/>
          </w:tcPr>
          <w:p w14:paraId="6F6DB751" w14:textId="02D45FA5" w:rsidR="00541659" w:rsidRPr="00301844" w:rsidRDefault="00541659" w:rsidP="007D42F8">
            <w:pPr>
              <w:rPr>
                <w:rFonts w:ascii="Arial" w:hAnsi="Arial" w:cs="Arial"/>
                <w:color w:val="000000"/>
              </w:rPr>
            </w:pPr>
            <w:r w:rsidRPr="00301844">
              <w:rPr>
                <w:rFonts w:ascii="Arial" w:hAnsi="Arial" w:cs="Arial"/>
                <w:color w:val="000000"/>
              </w:rPr>
              <w:t xml:space="preserve">                 3,189 </w:t>
            </w:r>
          </w:p>
        </w:tc>
        <w:tc>
          <w:tcPr>
            <w:tcW w:w="222" w:type="dxa"/>
            <w:tcBorders>
              <w:top w:val="nil"/>
              <w:left w:val="nil"/>
              <w:bottom w:val="nil"/>
              <w:right w:val="nil"/>
            </w:tcBorders>
            <w:shd w:val="clear" w:color="auto" w:fill="auto"/>
            <w:noWrap/>
            <w:vAlign w:val="bottom"/>
            <w:hideMark/>
          </w:tcPr>
          <w:p w14:paraId="5F1E8740"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nil"/>
              <w:right w:val="single" w:sz="4" w:space="0" w:color="auto"/>
            </w:tcBorders>
            <w:shd w:val="clear" w:color="auto" w:fill="auto"/>
            <w:noWrap/>
            <w:vAlign w:val="bottom"/>
            <w:hideMark/>
          </w:tcPr>
          <w:p w14:paraId="31378096" w14:textId="797A34D8" w:rsidR="00541659" w:rsidRPr="00301844" w:rsidRDefault="00541659" w:rsidP="007D42F8">
            <w:pPr>
              <w:rPr>
                <w:rFonts w:ascii="Arial" w:hAnsi="Arial" w:cs="Arial"/>
                <w:color w:val="000000"/>
              </w:rPr>
            </w:pPr>
            <w:r w:rsidRPr="00301844">
              <w:rPr>
                <w:rFonts w:ascii="Arial" w:hAnsi="Arial" w:cs="Arial"/>
                <w:color w:val="000000"/>
              </w:rPr>
              <w:t xml:space="preserve">                3,165 </w:t>
            </w:r>
          </w:p>
        </w:tc>
      </w:tr>
      <w:tr w:rsidR="00541659" w:rsidRPr="00301844" w14:paraId="556812C2" w14:textId="77777777" w:rsidTr="00BF475B">
        <w:trPr>
          <w:trHeight w:val="300"/>
          <w:jc w:val="center"/>
        </w:trPr>
        <w:tc>
          <w:tcPr>
            <w:tcW w:w="236" w:type="dxa"/>
            <w:tcBorders>
              <w:top w:val="nil"/>
              <w:left w:val="nil"/>
              <w:bottom w:val="nil"/>
              <w:right w:val="nil"/>
            </w:tcBorders>
            <w:shd w:val="clear" w:color="auto" w:fill="auto"/>
            <w:noWrap/>
            <w:vAlign w:val="bottom"/>
            <w:hideMark/>
          </w:tcPr>
          <w:p w14:paraId="51ABC75F" w14:textId="77777777" w:rsidR="00541659" w:rsidRPr="00301844" w:rsidRDefault="00541659" w:rsidP="00541659">
            <w:pPr>
              <w:rPr>
                <w:rFonts w:ascii="Arial" w:hAnsi="Arial" w:cs="Arial"/>
                <w:color w:val="000000"/>
              </w:rPr>
            </w:pPr>
          </w:p>
        </w:tc>
        <w:tc>
          <w:tcPr>
            <w:tcW w:w="5658" w:type="dxa"/>
            <w:tcBorders>
              <w:top w:val="nil"/>
              <w:left w:val="nil"/>
              <w:bottom w:val="nil"/>
              <w:right w:val="nil"/>
            </w:tcBorders>
            <w:shd w:val="clear" w:color="auto" w:fill="auto"/>
            <w:noWrap/>
            <w:vAlign w:val="bottom"/>
            <w:hideMark/>
          </w:tcPr>
          <w:p w14:paraId="460C6C37" w14:textId="77777777" w:rsidR="00541659" w:rsidRPr="00301844" w:rsidRDefault="00541659" w:rsidP="00541659">
            <w:pPr>
              <w:rPr>
                <w:rFonts w:ascii="Arial" w:hAnsi="Arial" w:cs="Arial"/>
              </w:rPr>
            </w:pPr>
          </w:p>
        </w:tc>
        <w:tc>
          <w:tcPr>
            <w:tcW w:w="222" w:type="dxa"/>
            <w:tcBorders>
              <w:top w:val="nil"/>
              <w:left w:val="nil"/>
              <w:bottom w:val="nil"/>
              <w:right w:val="nil"/>
            </w:tcBorders>
            <w:shd w:val="clear" w:color="auto" w:fill="auto"/>
            <w:noWrap/>
            <w:vAlign w:val="bottom"/>
            <w:hideMark/>
          </w:tcPr>
          <w:p w14:paraId="65A0589D" w14:textId="77777777" w:rsidR="00541659" w:rsidRPr="00301844" w:rsidRDefault="00541659" w:rsidP="00541659">
            <w:pPr>
              <w:rPr>
                <w:rFonts w:ascii="Arial" w:hAnsi="Arial" w:cs="Arial"/>
              </w:rPr>
            </w:pPr>
          </w:p>
        </w:tc>
        <w:tc>
          <w:tcPr>
            <w:tcW w:w="1671" w:type="dxa"/>
            <w:tcBorders>
              <w:top w:val="nil"/>
              <w:left w:val="single" w:sz="4" w:space="0" w:color="auto"/>
              <w:bottom w:val="single" w:sz="4" w:space="0" w:color="auto"/>
              <w:right w:val="single" w:sz="4" w:space="0" w:color="auto"/>
            </w:tcBorders>
            <w:shd w:val="clear" w:color="auto" w:fill="auto"/>
            <w:noWrap/>
            <w:vAlign w:val="bottom"/>
            <w:hideMark/>
          </w:tcPr>
          <w:p w14:paraId="537468AF" w14:textId="77777777" w:rsidR="00541659" w:rsidRPr="00301844" w:rsidRDefault="00541659" w:rsidP="00541659">
            <w:pPr>
              <w:rPr>
                <w:rFonts w:ascii="Arial" w:hAnsi="Arial" w:cs="Arial"/>
                <w:color w:val="000000"/>
              </w:rPr>
            </w:pPr>
            <w:r w:rsidRPr="00301844">
              <w:rPr>
                <w:rFonts w:ascii="Arial" w:hAnsi="Arial" w:cs="Arial"/>
                <w:color w:val="000000"/>
              </w:rPr>
              <w:t> </w:t>
            </w:r>
          </w:p>
        </w:tc>
        <w:tc>
          <w:tcPr>
            <w:tcW w:w="222" w:type="dxa"/>
            <w:tcBorders>
              <w:top w:val="nil"/>
              <w:left w:val="nil"/>
              <w:bottom w:val="nil"/>
              <w:right w:val="nil"/>
            </w:tcBorders>
            <w:shd w:val="clear" w:color="auto" w:fill="auto"/>
            <w:noWrap/>
            <w:vAlign w:val="bottom"/>
            <w:hideMark/>
          </w:tcPr>
          <w:p w14:paraId="33E0DFC3" w14:textId="77777777" w:rsidR="00541659" w:rsidRPr="00301844" w:rsidRDefault="00541659" w:rsidP="00541659">
            <w:pPr>
              <w:rPr>
                <w:rFonts w:ascii="Arial" w:hAnsi="Arial" w:cs="Arial"/>
                <w:color w:val="000000"/>
              </w:rPr>
            </w:pPr>
          </w:p>
        </w:tc>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54F4FBAE" w14:textId="77777777" w:rsidR="00541659" w:rsidRPr="00301844" w:rsidRDefault="00541659" w:rsidP="00541659">
            <w:pPr>
              <w:rPr>
                <w:rFonts w:ascii="Arial" w:hAnsi="Arial" w:cs="Arial"/>
                <w:color w:val="000000"/>
              </w:rPr>
            </w:pPr>
            <w:r w:rsidRPr="00301844">
              <w:rPr>
                <w:rFonts w:ascii="Arial" w:hAnsi="Arial" w:cs="Arial"/>
                <w:color w:val="000000"/>
              </w:rPr>
              <w:t> </w:t>
            </w:r>
          </w:p>
        </w:tc>
      </w:tr>
    </w:tbl>
    <w:p w14:paraId="663CB342" w14:textId="77777777" w:rsidR="005C210C" w:rsidRDefault="005C210C" w:rsidP="005C210C">
      <w:pPr>
        <w:pStyle w:val="FootnoteText1"/>
      </w:pPr>
    </w:p>
    <w:p w14:paraId="6266966D" w14:textId="3609502F" w:rsidR="00B57958" w:rsidRDefault="00B57958" w:rsidP="0066338D">
      <w:pPr>
        <w:pStyle w:val="FootnoteText1"/>
      </w:pPr>
      <w:r>
        <w:t>Note: EBITDA = earnings before interest, taxes, depreciation, and amortization; COGS = cost of goods sold</w:t>
      </w:r>
    </w:p>
    <w:p w14:paraId="743AECC0" w14:textId="30625108" w:rsidR="00541659" w:rsidRDefault="0066338D" w:rsidP="00415C9D">
      <w:pPr>
        <w:pStyle w:val="FootnoteText1"/>
      </w:pPr>
      <w:r>
        <w:t>Source: Company files.</w:t>
      </w:r>
      <w:r w:rsidR="00541659">
        <w:br w:type="page"/>
      </w:r>
    </w:p>
    <w:p w14:paraId="2EB2B88D" w14:textId="45CA8205" w:rsidR="00541659" w:rsidRDefault="003814D7" w:rsidP="00541659">
      <w:pPr>
        <w:pStyle w:val="Casehead1"/>
        <w:jc w:val="center"/>
      </w:pPr>
      <w:r>
        <w:lastRenderedPageBreak/>
        <w:t>Exhibit 2: Industry Ratios</w:t>
      </w:r>
    </w:p>
    <w:tbl>
      <w:tblPr>
        <w:tblW w:w="9354" w:type="dxa"/>
        <w:tblLook w:val="04A0" w:firstRow="1" w:lastRow="0" w:firstColumn="1" w:lastColumn="0" w:noHBand="0" w:noVBand="1"/>
      </w:tblPr>
      <w:tblGrid>
        <w:gridCol w:w="3544"/>
        <w:gridCol w:w="222"/>
        <w:gridCol w:w="838"/>
        <w:gridCol w:w="1017"/>
        <w:gridCol w:w="828"/>
        <w:gridCol w:w="222"/>
        <w:gridCol w:w="838"/>
        <w:gridCol w:w="1017"/>
        <w:gridCol w:w="828"/>
      </w:tblGrid>
      <w:tr w:rsidR="00541659" w:rsidRPr="00301844" w14:paraId="3C61760D" w14:textId="77777777" w:rsidTr="009B00E9">
        <w:trPr>
          <w:trHeight w:val="300"/>
        </w:trPr>
        <w:tc>
          <w:tcPr>
            <w:tcW w:w="9354" w:type="dxa"/>
            <w:gridSpan w:val="9"/>
            <w:tcBorders>
              <w:top w:val="nil"/>
              <w:left w:val="nil"/>
              <w:bottom w:val="nil"/>
              <w:right w:val="nil"/>
            </w:tcBorders>
            <w:shd w:val="clear" w:color="auto" w:fill="auto"/>
            <w:noWrap/>
            <w:vAlign w:val="bottom"/>
            <w:hideMark/>
          </w:tcPr>
          <w:p w14:paraId="4BB2C532" w14:textId="77777777" w:rsidR="00B57958" w:rsidRDefault="00B57958" w:rsidP="002E084B">
            <w:pPr>
              <w:pStyle w:val="BodyTextMain"/>
            </w:pPr>
          </w:p>
          <w:p w14:paraId="0D060E5B" w14:textId="5C9679CD" w:rsidR="00541659" w:rsidRPr="00301844" w:rsidRDefault="00541659" w:rsidP="00541659">
            <w:pPr>
              <w:jc w:val="center"/>
              <w:rPr>
                <w:rFonts w:ascii="Arial" w:hAnsi="Arial" w:cs="Arial"/>
                <w:b/>
                <w:bCs/>
                <w:color w:val="000000"/>
              </w:rPr>
            </w:pPr>
            <w:r w:rsidRPr="00301844">
              <w:rPr>
                <w:rFonts w:ascii="Arial" w:hAnsi="Arial" w:cs="Arial"/>
                <w:b/>
                <w:bCs/>
                <w:color w:val="000000"/>
              </w:rPr>
              <w:t>Dun &amp; Bradstreet</w:t>
            </w:r>
            <w:r w:rsidR="00B57958">
              <w:rPr>
                <w:rFonts w:ascii="Arial" w:hAnsi="Arial" w:cs="Arial"/>
                <w:b/>
                <w:bCs/>
                <w:color w:val="000000"/>
              </w:rPr>
              <w:t>, Inc.</w:t>
            </w:r>
            <w:r w:rsidRPr="00301844">
              <w:rPr>
                <w:rFonts w:ascii="Arial" w:hAnsi="Arial" w:cs="Arial"/>
                <w:b/>
                <w:bCs/>
                <w:color w:val="000000"/>
              </w:rPr>
              <w:t xml:space="preserve"> Key Business Ratios</w:t>
            </w:r>
            <w:r w:rsidR="00B57958">
              <w:rPr>
                <w:rFonts w:ascii="Arial" w:hAnsi="Arial" w:cs="Arial"/>
                <w:b/>
                <w:bCs/>
                <w:color w:val="000000"/>
              </w:rPr>
              <w:t>—Grocery Stores</w:t>
            </w:r>
          </w:p>
        </w:tc>
      </w:tr>
      <w:tr w:rsidR="00541659" w:rsidRPr="00301844" w14:paraId="1F569079" w14:textId="77777777" w:rsidTr="009B00E9">
        <w:trPr>
          <w:trHeight w:val="300"/>
        </w:trPr>
        <w:tc>
          <w:tcPr>
            <w:tcW w:w="3544" w:type="dxa"/>
            <w:tcBorders>
              <w:top w:val="nil"/>
              <w:left w:val="nil"/>
              <w:bottom w:val="nil"/>
              <w:right w:val="nil"/>
            </w:tcBorders>
            <w:shd w:val="clear" w:color="auto" w:fill="auto"/>
            <w:noWrap/>
            <w:vAlign w:val="bottom"/>
            <w:hideMark/>
          </w:tcPr>
          <w:p w14:paraId="01FAA505" w14:textId="77777777" w:rsidR="00541659" w:rsidRPr="00301844" w:rsidRDefault="00541659" w:rsidP="00541659">
            <w:pPr>
              <w:rPr>
                <w:rFonts w:ascii="Arial" w:hAnsi="Arial" w:cs="Arial"/>
                <w:color w:val="000000"/>
              </w:rPr>
            </w:pPr>
            <w:r w:rsidRPr="00301844">
              <w:rPr>
                <w:rFonts w:ascii="Arial" w:hAnsi="Arial" w:cs="Arial"/>
                <w:color w:val="000000"/>
              </w:rPr>
              <w:t xml:space="preserve"> </w:t>
            </w:r>
          </w:p>
        </w:tc>
        <w:tc>
          <w:tcPr>
            <w:tcW w:w="222" w:type="dxa"/>
            <w:tcBorders>
              <w:top w:val="nil"/>
              <w:left w:val="nil"/>
              <w:bottom w:val="nil"/>
              <w:right w:val="nil"/>
            </w:tcBorders>
            <w:shd w:val="clear" w:color="auto" w:fill="auto"/>
            <w:noWrap/>
            <w:vAlign w:val="bottom"/>
            <w:hideMark/>
          </w:tcPr>
          <w:p w14:paraId="0799718F"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4A62C08"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15F3F868" w14:textId="77777777" w:rsidR="00541659" w:rsidRPr="00301844" w:rsidRDefault="00541659" w:rsidP="00541659">
            <w:pPr>
              <w:rPr>
                <w:rFonts w:ascii="Arial" w:hAnsi="Arial" w:cs="Arial"/>
              </w:rPr>
            </w:pPr>
          </w:p>
        </w:tc>
        <w:tc>
          <w:tcPr>
            <w:tcW w:w="828" w:type="dxa"/>
            <w:tcBorders>
              <w:top w:val="nil"/>
              <w:left w:val="nil"/>
              <w:bottom w:val="nil"/>
              <w:right w:val="nil"/>
            </w:tcBorders>
            <w:shd w:val="clear" w:color="auto" w:fill="auto"/>
            <w:noWrap/>
            <w:vAlign w:val="bottom"/>
            <w:hideMark/>
          </w:tcPr>
          <w:p w14:paraId="4B8D5947" w14:textId="77777777" w:rsidR="00541659" w:rsidRPr="00301844" w:rsidRDefault="00541659" w:rsidP="00541659">
            <w:pPr>
              <w:rPr>
                <w:rFonts w:ascii="Arial" w:hAnsi="Arial" w:cs="Arial"/>
              </w:rPr>
            </w:pPr>
          </w:p>
        </w:tc>
        <w:tc>
          <w:tcPr>
            <w:tcW w:w="222" w:type="dxa"/>
            <w:tcBorders>
              <w:top w:val="nil"/>
              <w:left w:val="nil"/>
              <w:bottom w:val="nil"/>
              <w:right w:val="nil"/>
            </w:tcBorders>
            <w:shd w:val="clear" w:color="auto" w:fill="auto"/>
            <w:noWrap/>
            <w:vAlign w:val="bottom"/>
            <w:hideMark/>
          </w:tcPr>
          <w:p w14:paraId="08A6D06D" w14:textId="77777777" w:rsidR="00541659" w:rsidRPr="00301844" w:rsidRDefault="00541659" w:rsidP="00541659">
            <w:pPr>
              <w:rPr>
                <w:rFonts w:ascii="Arial" w:hAnsi="Arial" w:cs="Arial"/>
              </w:rPr>
            </w:pPr>
          </w:p>
        </w:tc>
        <w:tc>
          <w:tcPr>
            <w:tcW w:w="838" w:type="dxa"/>
            <w:tcBorders>
              <w:top w:val="nil"/>
              <w:left w:val="nil"/>
              <w:bottom w:val="nil"/>
              <w:right w:val="nil"/>
            </w:tcBorders>
            <w:shd w:val="clear" w:color="auto" w:fill="auto"/>
            <w:noWrap/>
            <w:vAlign w:val="bottom"/>
            <w:hideMark/>
          </w:tcPr>
          <w:p w14:paraId="0296964E"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6610E45B" w14:textId="77777777" w:rsidR="00541659" w:rsidRPr="00301844" w:rsidRDefault="00541659" w:rsidP="00541659">
            <w:pPr>
              <w:rPr>
                <w:rFonts w:ascii="Arial" w:hAnsi="Arial" w:cs="Arial"/>
              </w:rPr>
            </w:pPr>
          </w:p>
        </w:tc>
        <w:tc>
          <w:tcPr>
            <w:tcW w:w="828" w:type="dxa"/>
            <w:tcBorders>
              <w:top w:val="nil"/>
              <w:left w:val="nil"/>
              <w:bottom w:val="nil"/>
              <w:right w:val="nil"/>
            </w:tcBorders>
            <w:shd w:val="clear" w:color="auto" w:fill="auto"/>
            <w:noWrap/>
            <w:vAlign w:val="bottom"/>
            <w:hideMark/>
          </w:tcPr>
          <w:p w14:paraId="311575D7" w14:textId="77777777" w:rsidR="00541659" w:rsidRPr="00301844" w:rsidRDefault="00541659" w:rsidP="00541659">
            <w:pPr>
              <w:rPr>
                <w:rFonts w:ascii="Arial" w:hAnsi="Arial" w:cs="Arial"/>
              </w:rPr>
            </w:pPr>
          </w:p>
        </w:tc>
      </w:tr>
      <w:tr w:rsidR="00541659" w:rsidRPr="00301844" w14:paraId="667278F7" w14:textId="77777777" w:rsidTr="009B00E9">
        <w:trPr>
          <w:trHeight w:val="300"/>
        </w:trPr>
        <w:tc>
          <w:tcPr>
            <w:tcW w:w="3544" w:type="dxa"/>
            <w:tcBorders>
              <w:top w:val="nil"/>
              <w:left w:val="nil"/>
              <w:bottom w:val="nil"/>
              <w:right w:val="nil"/>
            </w:tcBorders>
            <w:shd w:val="clear" w:color="auto" w:fill="auto"/>
            <w:noWrap/>
            <w:vAlign w:val="bottom"/>
            <w:hideMark/>
          </w:tcPr>
          <w:p w14:paraId="56F143DA" w14:textId="77777777" w:rsidR="00541659" w:rsidRPr="00301844" w:rsidRDefault="00541659" w:rsidP="00541659">
            <w:pPr>
              <w:rPr>
                <w:rFonts w:ascii="Arial" w:hAnsi="Arial" w:cs="Arial"/>
              </w:rPr>
            </w:pPr>
          </w:p>
        </w:tc>
        <w:tc>
          <w:tcPr>
            <w:tcW w:w="222" w:type="dxa"/>
            <w:tcBorders>
              <w:top w:val="nil"/>
              <w:left w:val="nil"/>
              <w:bottom w:val="nil"/>
              <w:right w:val="nil"/>
            </w:tcBorders>
            <w:shd w:val="clear" w:color="auto" w:fill="auto"/>
            <w:noWrap/>
            <w:vAlign w:val="bottom"/>
            <w:hideMark/>
          </w:tcPr>
          <w:p w14:paraId="00C4F07E" w14:textId="77777777" w:rsidR="00541659" w:rsidRPr="00301844" w:rsidRDefault="00541659" w:rsidP="00541659">
            <w:pPr>
              <w:rPr>
                <w:rFonts w:ascii="Arial" w:hAnsi="Arial" w:cs="Arial"/>
              </w:rPr>
            </w:pPr>
          </w:p>
        </w:tc>
        <w:tc>
          <w:tcPr>
            <w:tcW w:w="2683" w:type="dxa"/>
            <w:gridSpan w:val="3"/>
            <w:tcBorders>
              <w:top w:val="nil"/>
              <w:left w:val="nil"/>
              <w:bottom w:val="nil"/>
              <w:right w:val="nil"/>
            </w:tcBorders>
            <w:shd w:val="clear" w:color="auto" w:fill="auto"/>
            <w:noWrap/>
            <w:vAlign w:val="bottom"/>
            <w:hideMark/>
          </w:tcPr>
          <w:p w14:paraId="1E4AD3A3" w14:textId="77777777" w:rsidR="00541659" w:rsidRPr="00301844" w:rsidRDefault="00541659" w:rsidP="00541659">
            <w:pPr>
              <w:jc w:val="center"/>
              <w:rPr>
                <w:rFonts w:ascii="Arial" w:hAnsi="Arial" w:cs="Arial"/>
                <w:b/>
                <w:bCs/>
                <w:color w:val="000000"/>
              </w:rPr>
            </w:pPr>
            <w:r w:rsidRPr="00301844">
              <w:rPr>
                <w:rFonts w:ascii="Arial" w:hAnsi="Arial" w:cs="Arial"/>
                <w:b/>
                <w:bCs/>
                <w:color w:val="000000"/>
              </w:rPr>
              <w:t>2015</w:t>
            </w:r>
          </w:p>
        </w:tc>
        <w:tc>
          <w:tcPr>
            <w:tcW w:w="222" w:type="dxa"/>
            <w:tcBorders>
              <w:top w:val="nil"/>
              <w:left w:val="nil"/>
              <w:bottom w:val="nil"/>
              <w:right w:val="nil"/>
            </w:tcBorders>
            <w:shd w:val="clear" w:color="auto" w:fill="auto"/>
            <w:noWrap/>
            <w:vAlign w:val="bottom"/>
            <w:hideMark/>
          </w:tcPr>
          <w:p w14:paraId="37A5E118" w14:textId="77777777" w:rsidR="00541659" w:rsidRPr="00301844" w:rsidRDefault="00541659" w:rsidP="00541659">
            <w:pPr>
              <w:jc w:val="center"/>
              <w:rPr>
                <w:rFonts w:ascii="Arial" w:hAnsi="Arial" w:cs="Arial"/>
                <w:b/>
                <w:bCs/>
                <w:color w:val="000000"/>
              </w:rPr>
            </w:pPr>
          </w:p>
        </w:tc>
        <w:tc>
          <w:tcPr>
            <w:tcW w:w="2683" w:type="dxa"/>
            <w:gridSpan w:val="3"/>
            <w:tcBorders>
              <w:top w:val="nil"/>
              <w:left w:val="nil"/>
              <w:bottom w:val="nil"/>
              <w:right w:val="nil"/>
            </w:tcBorders>
            <w:shd w:val="clear" w:color="auto" w:fill="auto"/>
            <w:noWrap/>
            <w:vAlign w:val="bottom"/>
            <w:hideMark/>
          </w:tcPr>
          <w:p w14:paraId="71B922A1" w14:textId="77777777" w:rsidR="00541659" w:rsidRPr="00301844" w:rsidRDefault="00541659" w:rsidP="00541659">
            <w:pPr>
              <w:jc w:val="center"/>
              <w:rPr>
                <w:rFonts w:ascii="Arial" w:hAnsi="Arial" w:cs="Arial"/>
                <w:b/>
                <w:bCs/>
                <w:color w:val="000000"/>
              </w:rPr>
            </w:pPr>
            <w:r w:rsidRPr="00301844">
              <w:rPr>
                <w:rFonts w:ascii="Arial" w:hAnsi="Arial" w:cs="Arial"/>
                <w:b/>
                <w:bCs/>
                <w:color w:val="000000"/>
              </w:rPr>
              <w:t>2016</w:t>
            </w:r>
          </w:p>
        </w:tc>
      </w:tr>
      <w:tr w:rsidR="00541659" w:rsidRPr="00301844" w14:paraId="46345741" w14:textId="77777777" w:rsidTr="009B00E9">
        <w:trPr>
          <w:trHeight w:val="300"/>
        </w:trPr>
        <w:tc>
          <w:tcPr>
            <w:tcW w:w="3544" w:type="dxa"/>
            <w:tcBorders>
              <w:top w:val="nil"/>
              <w:left w:val="nil"/>
              <w:bottom w:val="nil"/>
              <w:right w:val="nil"/>
            </w:tcBorders>
            <w:shd w:val="clear" w:color="auto" w:fill="auto"/>
            <w:noWrap/>
            <w:vAlign w:val="bottom"/>
            <w:hideMark/>
          </w:tcPr>
          <w:p w14:paraId="50978CF2" w14:textId="77777777" w:rsidR="00541659" w:rsidRPr="00301844" w:rsidRDefault="00541659" w:rsidP="00541659">
            <w:pPr>
              <w:jc w:val="center"/>
              <w:rPr>
                <w:rFonts w:ascii="Arial" w:hAnsi="Arial" w:cs="Arial"/>
                <w:b/>
                <w:bCs/>
                <w:color w:val="000000"/>
              </w:rPr>
            </w:pPr>
          </w:p>
        </w:tc>
        <w:tc>
          <w:tcPr>
            <w:tcW w:w="222" w:type="dxa"/>
            <w:tcBorders>
              <w:top w:val="nil"/>
              <w:left w:val="nil"/>
              <w:bottom w:val="nil"/>
              <w:right w:val="nil"/>
            </w:tcBorders>
            <w:shd w:val="clear" w:color="auto" w:fill="auto"/>
            <w:noWrap/>
            <w:vAlign w:val="bottom"/>
            <w:hideMark/>
          </w:tcPr>
          <w:p w14:paraId="61070B5C" w14:textId="77777777" w:rsidR="00541659" w:rsidRPr="00301844" w:rsidRDefault="00541659" w:rsidP="00541659">
            <w:pPr>
              <w:rPr>
                <w:rFonts w:ascii="Arial" w:hAnsi="Arial" w:cs="Arial"/>
              </w:rPr>
            </w:pPr>
          </w:p>
        </w:tc>
        <w:tc>
          <w:tcPr>
            <w:tcW w:w="838" w:type="dxa"/>
            <w:tcBorders>
              <w:top w:val="nil"/>
              <w:left w:val="nil"/>
              <w:bottom w:val="nil"/>
              <w:right w:val="nil"/>
            </w:tcBorders>
            <w:shd w:val="clear" w:color="auto" w:fill="auto"/>
            <w:noWrap/>
            <w:vAlign w:val="bottom"/>
            <w:hideMark/>
          </w:tcPr>
          <w:p w14:paraId="664BB464"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015456B8" w14:textId="77777777" w:rsidR="00541659" w:rsidRPr="00301844" w:rsidRDefault="00541659" w:rsidP="00541659">
            <w:pPr>
              <w:rPr>
                <w:rFonts w:ascii="Arial" w:hAnsi="Arial" w:cs="Arial"/>
              </w:rPr>
            </w:pPr>
          </w:p>
        </w:tc>
        <w:tc>
          <w:tcPr>
            <w:tcW w:w="828" w:type="dxa"/>
            <w:tcBorders>
              <w:top w:val="nil"/>
              <w:left w:val="nil"/>
              <w:bottom w:val="nil"/>
              <w:right w:val="nil"/>
            </w:tcBorders>
            <w:shd w:val="clear" w:color="auto" w:fill="auto"/>
            <w:noWrap/>
            <w:vAlign w:val="bottom"/>
            <w:hideMark/>
          </w:tcPr>
          <w:p w14:paraId="1B8F8406" w14:textId="77777777" w:rsidR="00541659" w:rsidRPr="00301844" w:rsidRDefault="00541659" w:rsidP="00541659">
            <w:pPr>
              <w:rPr>
                <w:rFonts w:ascii="Arial" w:hAnsi="Arial" w:cs="Arial"/>
              </w:rPr>
            </w:pPr>
          </w:p>
        </w:tc>
        <w:tc>
          <w:tcPr>
            <w:tcW w:w="222" w:type="dxa"/>
            <w:tcBorders>
              <w:top w:val="nil"/>
              <w:left w:val="nil"/>
              <w:bottom w:val="nil"/>
              <w:right w:val="nil"/>
            </w:tcBorders>
            <w:shd w:val="clear" w:color="auto" w:fill="auto"/>
            <w:noWrap/>
            <w:vAlign w:val="bottom"/>
            <w:hideMark/>
          </w:tcPr>
          <w:p w14:paraId="6BC88FFA" w14:textId="77777777" w:rsidR="00541659" w:rsidRPr="00301844" w:rsidRDefault="00541659" w:rsidP="00541659">
            <w:pPr>
              <w:rPr>
                <w:rFonts w:ascii="Arial" w:hAnsi="Arial" w:cs="Arial"/>
              </w:rPr>
            </w:pPr>
          </w:p>
        </w:tc>
        <w:tc>
          <w:tcPr>
            <w:tcW w:w="838" w:type="dxa"/>
            <w:tcBorders>
              <w:top w:val="nil"/>
              <w:left w:val="nil"/>
              <w:bottom w:val="nil"/>
              <w:right w:val="nil"/>
            </w:tcBorders>
            <w:shd w:val="clear" w:color="auto" w:fill="auto"/>
            <w:noWrap/>
            <w:vAlign w:val="bottom"/>
            <w:hideMark/>
          </w:tcPr>
          <w:p w14:paraId="08485F33"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5B78DCA6" w14:textId="77777777" w:rsidR="00541659" w:rsidRPr="00301844" w:rsidRDefault="00541659" w:rsidP="00541659">
            <w:pPr>
              <w:rPr>
                <w:rFonts w:ascii="Arial" w:hAnsi="Arial" w:cs="Arial"/>
              </w:rPr>
            </w:pPr>
          </w:p>
        </w:tc>
        <w:tc>
          <w:tcPr>
            <w:tcW w:w="828" w:type="dxa"/>
            <w:tcBorders>
              <w:top w:val="nil"/>
              <w:left w:val="nil"/>
              <w:bottom w:val="nil"/>
              <w:right w:val="nil"/>
            </w:tcBorders>
            <w:shd w:val="clear" w:color="auto" w:fill="auto"/>
            <w:noWrap/>
            <w:vAlign w:val="bottom"/>
            <w:hideMark/>
          </w:tcPr>
          <w:p w14:paraId="46B5C431" w14:textId="77777777" w:rsidR="00541659" w:rsidRPr="00301844" w:rsidRDefault="00541659" w:rsidP="00541659">
            <w:pPr>
              <w:rPr>
                <w:rFonts w:ascii="Arial" w:hAnsi="Arial" w:cs="Arial"/>
              </w:rPr>
            </w:pPr>
          </w:p>
        </w:tc>
      </w:tr>
      <w:tr w:rsidR="00541659" w:rsidRPr="00301844" w14:paraId="20BA94AA" w14:textId="77777777" w:rsidTr="009B00E9">
        <w:trPr>
          <w:trHeight w:val="300"/>
        </w:trPr>
        <w:tc>
          <w:tcPr>
            <w:tcW w:w="3544" w:type="dxa"/>
            <w:tcBorders>
              <w:top w:val="nil"/>
              <w:left w:val="nil"/>
              <w:bottom w:val="nil"/>
              <w:right w:val="nil"/>
            </w:tcBorders>
            <w:shd w:val="clear" w:color="auto" w:fill="auto"/>
            <w:noWrap/>
            <w:vAlign w:val="bottom"/>
            <w:hideMark/>
          </w:tcPr>
          <w:p w14:paraId="61042F14" w14:textId="72A51016" w:rsidR="00541659" w:rsidRPr="00301844" w:rsidRDefault="00541659" w:rsidP="00541659">
            <w:pPr>
              <w:rPr>
                <w:rFonts w:ascii="Arial" w:hAnsi="Arial" w:cs="Arial"/>
                <w:b/>
                <w:bCs/>
                <w:color w:val="000000"/>
              </w:rPr>
            </w:pPr>
            <w:r w:rsidRPr="00301844">
              <w:rPr>
                <w:rFonts w:ascii="Arial" w:hAnsi="Arial" w:cs="Arial"/>
                <w:b/>
                <w:bCs/>
                <w:color w:val="000000"/>
              </w:rPr>
              <w:t xml:space="preserve">Solvency </w:t>
            </w:r>
          </w:p>
        </w:tc>
        <w:tc>
          <w:tcPr>
            <w:tcW w:w="222" w:type="dxa"/>
            <w:tcBorders>
              <w:top w:val="nil"/>
              <w:left w:val="nil"/>
              <w:bottom w:val="nil"/>
              <w:right w:val="nil"/>
            </w:tcBorders>
            <w:shd w:val="clear" w:color="auto" w:fill="auto"/>
            <w:noWrap/>
            <w:vAlign w:val="bottom"/>
            <w:hideMark/>
          </w:tcPr>
          <w:p w14:paraId="788F03A1" w14:textId="77777777" w:rsidR="00541659" w:rsidRPr="00301844" w:rsidRDefault="00541659" w:rsidP="00541659">
            <w:pPr>
              <w:rPr>
                <w:rFonts w:ascii="Arial" w:hAnsi="Arial" w:cs="Arial"/>
                <w:b/>
                <w:bCs/>
                <w:color w:val="000000"/>
              </w:rPr>
            </w:pPr>
          </w:p>
        </w:tc>
        <w:tc>
          <w:tcPr>
            <w:tcW w:w="838" w:type="dxa"/>
            <w:tcBorders>
              <w:top w:val="nil"/>
              <w:left w:val="nil"/>
              <w:bottom w:val="nil"/>
              <w:right w:val="nil"/>
            </w:tcBorders>
            <w:shd w:val="clear" w:color="auto" w:fill="auto"/>
            <w:noWrap/>
            <w:vAlign w:val="bottom"/>
            <w:hideMark/>
          </w:tcPr>
          <w:p w14:paraId="218B30E0" w14:textId="77777777" w:rsidR="00541659" w:rsidRPr="00301844" w:rsidRDefault="00541659" w:rsidP="00541659">
            <w:pPr>
              <w:jc w:val="center"/>
              <w:rPr>
                <w:rFonts w:ascii="Arial" w:hAnsi="Arial" w:cs="Arial"/>
                <w:color w:val="000000"/>
              </w:rPr>
            </w:pPr>
            <w:r w:rsidRPr="00301844">
              <w:rPr>
                <w:rFonts w:ascii="Arial" w:hAnsi="Arial" w:cs="Arial"/>
                <w:color w:val="000000"/>
              </w:rPr>
              <w:t>Upper</w:t>
            </w:r>
          </w:p>
        </w:tc>
        <w:tc>
          <w:tcPr>
            <w:tcW w:w="1017" w:type="dxa"/>
            <w:tcBorders>
              <w:top w:val="nil"/>
              <w:left w:val="nil"/>
              <w:bottom w:val="nil"/>
              <w:right w:val="nil"/>
            </w:tcBorders>
            <w:shd w:val="clear" w:color="auto" w:fill="auto"/>
            <w:noWrap/>
            <w:vAlign w:val="bottom"/>
            <w:hideMark/>
          </w:tcPr>
          <w:p w14:paraId="73DEBEBD" w14:textId="77777777" w:rsidR="00541659" w:rsidRPr="00301844" w:rsidRDefault="00541659" w:rsidP="00541659">
            <w:pPr>
              <w:jc w:val="center"/>
              <w:rPr>
                <w:rFonts w:ascii="Arial" w:hAnsi="Arial" w:cs="Arial"/>
                <w:color w:val="000000"/>
              </w:rPr>
            </w:pPr>
            <w:r w:rsidRPr="00301844">
              <w:rPr>
                <w:rFonts w:ascii="Arial" w:hAnsi="Arial" w:cs="Arial"/>
                <w:color w:val="000000"/>
              </w:rPr>
              <w:t>Median</w:t>
            </w:r>
          </w:p>
        </w:tc>
        <w:tc>
          <w:tcPr>
            <w:tcW w:w="828" w:type="dxa"/>
            <w:tcBorders>
              <w:top w:val="nil"/>
              <w:left w:val="nil"/>
              <w:bottom w:val="nil"/>
              <w:right w:val="nil"/>
            </w:tcBorders>
            <w:shd w:val="clear" w:color="auto" w:fill="auto"/>
            <w:noWrap/>
            <w:vAlign w:val="bottom"/>
            <w:hideMark/>
          </w:tcPr>
          <w:p w14:paraId="43484FCC" w14:textId="77777777" w:rsidR="00541659" w:rsidRPr="00301844" w:rsidRDefault="00541659" w:rsidP="00541659">
            <w:pPr>
              <w:jc w:val="center"/>
              <w:rPr>
                <w:rFonts w:ascii="Arial" w:hAnsi="Arial" w:cs="Arial"/>
                <w:color w:val="000000"/>
              </w:rPr>
            </w:pPr>
            <w:r w:rsidRPr="00301844">
              <w:rPr>
                <w:rFonts w:ascii="Arial" w:hAnsi="Arial" w:cs="Arial"/>
                <w:color w:val="000000"/>
              </w:rPr>
              <w:t>Lower</w:t>
            </w:r>
          </w:p>
        </w:tc>
        <w:tc>
          <w:tcPr>
            <w:tcW w:w="222" w:type="dxa"/>
            <w:tcBorders>
              <w:top w:val="nil"/>
              <w:left w:val="nil"/>
              <w:bottom w:val="nil"/>
              <w:right w:val="nil"/>
            </w:tcBorders>
            <w:shd w:val="clear" w:color="auto" w:fill="auto"/>
            <w:noWrap/>
            <w:vAlign w:val="bottom"/>
            <w:hideMark/>
          </w:tcPr>
          <w:p w14:paraId="482A17C1" w14:textId="77777777" w:rsidR="00541659" w:rsidRPr="00301844" w:rsidRDefault="00541659" w:rsidP="00541659">
            <w:pPr>
              <w:jc w:val="cente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11DE2E5E" w14:textId="77777777" w:rsidR="00541659" w:rsidRPr="00301844" w:rsidRDefault="00541659" w:rsidP="00541659">
            <w:pPr>
              <w:jc w:val="center"/>
              <w:rPr>
                <w:rFonts w:ascii="Arial" w:hAnsi="Arial" w:cs="Arial"/>
                <w:color w:val="000000"/>
              </w:rPr>
            </w:pPr>
            <w:r w:rsidRPr="00301844">
              <w:rPr>
                <w:rFonts w:ascii="Arial" w:hAnsi="Arial" w:cs="Arial"/>
                <w:color w:val="000000"/>
              </w:rPr>
              <w:t>Upper</w:t>
            </w:r>
          </w:p>
        </w:tc>
        <w:tc>
          <w:tcPr>
            <w:tcW w:w="1017" w:type="dxa"/>
            <w:tcBorders>
              <w:top w:val="nil"/>
              <w:left w:val="nil"/>
              <w:bottom w:val="nil"/>
              <w:right w:val="nil"/>
            </w:tcBorders>
            <w:shd w:val="clear" w:color="auto" w:fill="auto"/>
            <w:noWrap/>
            <w:vAlign w:val="bottom"/>
            <w:hideMark/>
          </w:tcPr>
          <w:p w14:paraId="13A58B2B" w14:textId="77777777" w:rsidR="00541659" w:rsidRPr="00301844" w:rsidRDefault="00541659" w:rsidP="00541659">
            <w:pPr>
              <w:jc w:val="center"/>
              <w:rPr>
                <w:rFonts w:ascii="Arial" w:hAnsi="Arial" w:cs="Arial"/>
                <w:color w:val="000000"/>
              </w:rPr>
            </w:pPr>
            <w:r w:rsidRPr="00301844">
              <w:rPr>
                <w:rFonts w:ascii="Arial" w:hAnsi="Arial" w:cs="Arial"/>
                <w:color w:val="000000"/>
              </w:rPr>
              <w:t>Median</w:t>
            </w:r>
          </w:p>
        </w:tc>
        <w:tc>
          <w:tcPr>
            <w:tcW w:w="828" w:type="dxa"/>
            <w:tcBorders>
              <w:top w:val="nil"/>
              <w:left w:val="nil"/>
              <w:bottom w:val="nil"/>
              <w:right w:val="nil"/>
            </w:tcBorders>
            <w:shd w:val="clear" w:color="auto" w:fill="auto"/>
            <w:noWrap/>
            <w:vAlign w:val="bottom"/>
            <w:hideMark/>
          </w:tcPr>
          <w:p w14:paraId="50D89AE1" w14:textId="77777777" w:rsidR="00541659" w:rsidRPr="00301844" w:rsidRDefault="00541659" w:rsidP="00541659">
            <w:pPr>
              <w:jc w:val="center"/>
              <w:rPr>
                <w:rFonts w:ascii="Arial" w:hAnsi="Arial" w:cs="Arial"/>
                <w:color w:val="000000"/>
              </w:rPr>
            </w:pPr>
            <w:r w:rsidRPr="00301844">
              <w:rPr>
                <w:rFonts w:ascii="Arial" w:hAnsi="Arial" w:cs="Arial"/>
                <w:color w:val="000000"/>
              </w:rPr>
              <w:t>Lower</w:t>
            </w:r>
          </w:p>
        </w:tc>
      </w:tr>
      <w:tr w:rsidR="00541659" w:rsidRPr="00301844" w14:paraId="30810133" w14:textId="77777777" w:rsidTr="009B00E9">
        <w:trPr>
          <w:trHeight w:val="300"/>
        </w:trPr>
        <w:tc>
          <w:tcPr>
            <w:tcW w:w="3544" w:type="dxa"/>
            <w:tcBorders>
              <w:top w:val="nil"/>
              <w:left w:val="nil"/>
              <w:bottom w:val="nil"/>
              <w:right w:val="nil"/>
            </w:tcBorders>
            <w:shd w:val="clear" w:color="auto" w:fill="auto"/>
            <w:noWrap/>
            <w:vAlign w:val="bottom"/>
            <w:hideMark/>
          </w:tcPr>
          <w:p w14:paraId="30E5F8F4" w14:textId="77777777" w:rsidR="00541659" w:rsidRPr="00301844" w:rsidRDefault="00541659" w:rsidP="00541659">
            <w:pPr>
              <w:rPr>
                <w:rFonts w:ascii="Arial" w:hAnsi="Arial" w:cs="Arial"/>
                <w:color w:val="000000"/>
              </w:rPr>
            </w:pPr>
            <w:r w:rsidRPr="00301844">
              <w:rPr>
                <w:rFonts w:ascii="Arial" w:hAnsi="Arial" w:cs="Arial"/>
                <w:color w:val="000000"/>
              </w:rPr>
              <w:t>Quick Ratio</w:t>
            </w:r>
          </w:p>
        </w:tc>
        <w:tc>
          <w:tcPr>
            <w:tcW w:w="222" w:type="dxa"/>
            <w:tcBorders>
              <w:top w:val="nil"/>
              <w:left w:val="nil"/>
              <w:bottom w:val="nil"/>
              <w:right w:val="nil"/>
            </w:tcBorders>
            <w:shd w:val="clear" w:color="auto" w:fill="auto"/>
            <w:noWrap/>
            <w:vAlign w:val="bottom"/>
            <w:hideMark/>
          </w:tcPr>
          <w:p w14:paraId="018C6F27"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0390DBBA" w14:textId="77777777" w:rsidR="00541659" w:rsidRPr="00301844" w:rsidRDefault="00541659" w:rsidP="00C73881">
            <w:pPr>
              <w:jc w:val="right"/>
              <w:rPr>
                <w:rFonts w:ascii="Arial" w:hAnsi="Arial" w:cs="Arial"/>
                <w:color w:val="000000"/>
              </w:rPr>
            </w:pPr>
            <w:r w:rsidRPr="00301844">
              <w:rPr>
                <w:rFonts w:ascii="Arial" w:hAnsi="Arial" w:cs="Arial"/>
                <w:color w:val="000000"/>
              </w:rPr>
              <w:t>1.6</w:t>
            </w:r>
          </w:p>
        </w:tc>
        <w:tc>
          <w:tcPr>
            <w:tcW w:w="1017" w:type="dxa"/>
            <w:tcBorders>
              <w:top w:val="nil"/>
              <w:left w:val="nil"/>
              <w:bottom w:val="nil"/>
              <w:right w:val="nil"/>
            </w:tcBorders>
            <w:shd w:val="clear" w:color="auto" w:fill="auto"/>
            <w:noWrap/>
            <w:vAlign w:val="bottom"/>
            <w:hideMark/>
          </w:tcPr>
          <w:p w14:paraId="674A16A8" w14:textId="77777777" w:rsidR="00541659" w:rsidRPr="00301844" w:rsidRDefault="00541659" w:rsidP="00C73881">
            <w:pPr>
              <w:jc w:val="right"/>
              <w:rPr>
                <w:rFonts w:ascii="Arial" w:hAnsi="Arial" w:cs="Arial"/>
                <w:color w:val="000000"/>
              </w:rPr>
            </w:pPr>
            <w:r w:rsidRPr="00301844">
              <w:rPr>
                <w:rFonts w:ascii="Arial" w:hAnsi="Arial" w:cs="Arial"/>
                <w:color w:val="000000"/>
              </w:rPr>
              <w:t>0.7</w:t>
            </w:r>
          </w:p>
        </w:tc>
        <w:tc>
          <w:tcPr>
            <w:tcW w:w="828" w:type="dxa"/>
            <w:tcBorders>
              <w:top w:val="nil"/>
              <w:left w:val="nil"/>
              <w:bottom w:val="nil"/>
              <w:right w:val="nil"/>
            </w:tcBorders>
            <w:shd w:val="clear" w:color="auto" w:fill="auto"/>
            <w:noWrap/>
            <w:vAlign w:val="bottom"/>
            <w:hideMark/>
          </w:tcPr>
          <w:p w14:paraId="20541730" w14:textId="77777777" w:rsidR="00541659" w:rsidRPr="00301844" w:rsidRDefault="00541659" w:rsidP="00C73881">
            <w:pPr>
              <w:jc w:val="right"/>
              <w:rPr>
                <w:rFonts w:ascii="Arial" w:hAnsi="Arial" w:cs="Arial"/>
                <w:color w:val="000000"/>
              </w:rPr>
            </w:pPr>
            <w:r w:rsidRPr="00301844">
              <w:rPr>
                <w:rFonts w:ascii="Arial" w:hAnsi="Arial" w:cs="Arial"/>
                <w:color w:val="000000"/>
              </w:rPr>
              <w:t>0.3</w:t>
            </w:r>
          </w:p>
        </w:tc>
        <w:tc>
          <w:tcPr>
            <w:tcW w:w="222" w:type="dxa"/>
            <w:tcBorders>
              <w:top w:val="nil"/>
              <w:left w:val="nil"/>
              <w:bottom w:val="nil"/>
              <w:right w:val="nil"/>
            </w:tcBorders>
            <w:shd w:val="clear" w:color="auto" w:fill="auto"/>
            <w:noWrap/>
            <w:vAlign w:val="bottom"/>
            <w:hideMark/>
          </w:tcPr>
          <w:p w14:paraId="550A5318"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0822A493" w14:textId="77777777" w:rsidR="00541659" w:rsidRPr="00301844" w:rsidRDefault="00541659" w:rsidP="00C73881">
            <w:pPr>
              <w:jc w:val="right"/>
              <w:rPr>
                <w:rFonts w:ascii="Arial" w:hAnsi="Arial" w:cs="Arial"/>
                <w:color w:val="000000"/>
              </w:rPr>
            </w:pPr>
            <w:r w:rsidRPr="00301844">
              <w:rPr>
                <w:rFonts w:ascii="Arial" w:hAnsi="Arial" w:cs="Arial"/>
                <w:color w:val="000000"/>
              </w:rPr>
              <w:t>1.4</w:t>
            </w:r>
          </w:p>
        </w:tc>
        <w:tc>
          <w:tcPr>
            <w:tcW w:w="1017" w:type="dxa"/>
            <w:tcBorders>
              <w:top w:val="nil"/>
              <w:left w:val="nil"/>
              <w:bottom w:val="nil"/>
              <w:right w:val="nil"/>
            </w:tcBorders>
            <w:shd w:val="clear" w:color="auto" w:fill="auto"/>
            <w:noWrap/>
            <w:vAlign w:val="bottom"/>
            <w:hideMark/>
          </w:tcPr>
          <w:p w14:paraId="3410619C" w14:textId="77777777" w:rsidR="00541659" w:rsidRPr="00301844" w:rsidRDefault="00541659" w:rsidP="00C73881">
            <w:pPr>
              <w:jc w:val="right"/>
              <w:rPr>
                <w:rFonts w:ascii="Arial" w:hAnsi="Arial" w:cs="Arial"/>
                <w:color w:val="000000"/>
              </w:rPr>
            </w:pPr>
            <w:r w:rsidRPr="00301844">
              <w:rPr>
                <w:rFonts w:ascii="Arial" w:hAnsi="Arial" w:cs="Arial"/>
                <w:color w:val="000000"/>
              </w:rPr>
              <w:t>0.6</w:t>
            </w:r>
          </w:p>
        </w:tc>
        <w:tc>
          <w:tcPr>
            <w:tcW w:w="828" w:type="dxa"/>
            <w:tcBorders>
              <w:top w:val="nil"/>
              <w:left w:val="nil"/>
              <w:bottom w:val="nil"/>
              <w:right w:val="nil"/>
            </w:tcBorders>
            <w:shd w:val="clear" w:color="auto" w:fill="auto"/>
            <w:noWrap/>
            <w:vAlign w:val="bottom"/>
            <w:hideMark/>
          </w:tcPr>
          <w:p w14:paraId="737D7F13" w14:textId="77777777" w:rsidR="00541659" w:rsidRPr="00301844" w:rsidRDefault="00541659" w:rsidP="00C73881">
            <w:pPr>
              <w:jc w:val="right"/>
              <w:rPr>
                <w:rFonts w:ascii="Arial" w:hAnsi="Arial" w:cs="Arial"/>
                <w:color w:val="000000"/>
              </w:rPr>
            </w:pPr>
            <w:r w:rsidRPr="00301844">
              <w:rPr>
                <w:rFonts w:ascii="Arial" w:hAnsi="Arial" w:cs="Arial"/>
                <w:color w:val="000000"/>
              </w:rPr>
              <w:t>0.4</w:t>
            </w:r>
          </w:p>
        </w:tc>
      </w:tr>
      <w:tr w:rsidR="00541659" w:rsidRPr="00301844" w14:paraId="4552AB1E" w14:textId="77777777" w:rsidTr="009B00E9">
        <w:trPr>
          <w:trHeight w:val="300"/>
        </w:trPr>
        <w:tc>
          <w:tcPr>
            <w:tcW w:w="3544" w:type="dxa"/>
            <w:tcBorders>
              <w:top w:val="nil"/>
              <w:left w:val="nil"/>
              <w:bottom w:val="nil"/>
              <w:right w:val="nil"/>
            </w:tcBorders>
            <w:shd w:val="clear" w:color="auto" w:fill="auto"/>
            <w:noWrap/>
            <w:vAlign w:val="bottom"/>
            <w:hideMark/>
          </w:tcPr>
          <w:p w14:paraId="6017E0C2" w14:textId="77777777" w:rsidR="00541659" w:rsidRPr="00301844" w:rsidRDefault="00541659" w:rsidP="00541659">
            <w:pPr>
              <w:rPr>
                <w:rFonts w:ascii="Arial" w:hAnsi="Arial" w:cs="Arial"/>
                <w:color w:val="000000"/>
              </w:rPr>
            </w:pPr>
            <w:r w:rsidRPr="00301844">
              <w:rPr>
                <w:rFonts w:ascii="Arial" w:hAnsi="Arial" w:cs="Arial"/>
                <w:color w:val="000000"/>
              </w:rPr>
              <w:t>Current Ratio</w:t>
            </w:r>
          </w:p>
        </w:tc>
        <w:tc>
          <w:tcPr>
            <w:tcW w:w="222" w:type="dxa"/>
            <w:tcBorders>
              <w:top w:val="nil"/>
              <w:left w:val="nil"/>
              <w:bottom w:val="nil"/>
              <w:right w:val="nil"/>
            </w:tcBorders>
            <w:shd w:val="clear" w:color="auto" w:fill="auto"/>
            <w:noWrap/>
            <w:vAlign w:val="bottom"/>
            <w:hideMark/>
          </w:tcPr>
          <w:p w14:paraId="0F166D83"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6A73F7CE" w14:textId="77777777" w:rsidR="00541659" w:rsidRPr="00301844" w:rsidRDefault="00541659" w:rsidP="00C73881">
            <w:pPr>
              <w:jc w:val="right"/>
              <w:rPr>
                <w:rFonts w:ascii="Arial" w:hAnsi="Arial" w:cs="Arial"/>
                <w:color w:val="000000"/>
              </w:rPr>
            </w:pPr>
            <w:r w:rsidRPr="00301844">
              <w:rPr>
                <w:rFonts w:ascii="Arial" w:hAnsi="Arial" w:cs="Arial"/>
                <w:color w:val="000000"/>
              </w:rPr>
              <w:t>3.2</w:t>
            </w:r>
          </w:p>
        </w:tc>
        <w:tc>
          <w:tcPr>
            <w:tcW w:w="1017" w:type="dxa"/>
            <w:tcBorders>
              <w:top w:val="nil"/>
              <w:left w:val="nil"/>
              <w:bottom w:val="nil"/>
              <w:right w:val="nil"/>
            </w:tcBorders>
            <w:shd w:val="clear" w:color="auto" w:fill="auto"/>
            <w:noWrap/>
            <w:vAlign w:val="bottom"/>
            <w:hideMark/>
          </w:tcPr>
          <w:p w14:paraId="7DF68308" w14:textId="77777777" w:rsidR="00541659" w:rsidRPr="00301844" w:rsidRDefault="00541659" w:rsidP="00C73881">
            <w:pPr>
              <w:jc w:val="right"/>
              <w:rPr>
                <w:rFonts w:ascii="Arial" w:hAnsi="Arial" w:cs="Arial"/>
                <w:color w:val="000000"/>
              </w:rPr>
            </w:pPr>
            <w:r w:rsidRPr="00301844">
              <w:rPr>
                <w:rFonts w:ascii="Arial" w:hAnsi="Arial" w:cs="Arial"/>
                <w:color w:val="000000"/>
              </w:rPr>
              <w:t>1.7</w:t>
            </w:r>
          </w:p>
        </w:tc>
        <w:tc>
          <w:tcPr>
            <w:tcW w:w="828" w:type="dxa"/>
            <w:tcBorders>
              <w:top w:val="nil"/>
              <w:left w:val="nil"/>
              <w:bottom w:val="nil"/>
              <w:right w:val="nil"/>
            </w:tcBorders>
            <w:shd w:val="clear" w:color="auto" w:fill="auto"/>
            <w:noWrap/>
            <w:vAlign w:val="bottom"/>
            <w:hideMark/>
          </w:tcPr>
          <w:p w14:paraId="750DCB01" w14:textId="77777777" w:rsidR="00541659" w:rsidRPr="00301844" w:rsidRDefault="00541659" w:rsidP="00C73881">
            <w:pPr>
              <w:jc w:val="right"/>
              <w:rPr>
                <w:rFonts w:ascii="Arial" w:hAnsi="Arial" w:cs="Arial"/>
                <w:color w:val="000000"/>
              </w:rPr>
            </w:pPr>
            <w:r w:rsidRPr="00301844">
              <w:rPr>
                <w:rFonts w:ascii="Arial" w:hAnsi="Arial" w:cs="Arial"/>
                <w:color w:val="000000"/>
              </w:rPr>
              <w:t>1.1</w:t>
            </w:r>
          </w:p>
        </w:tc>
        <w:tc>
          <w:tcPr>
            <w:tcW w:w="222" w:type="dxa"/>
            <w:tcBorders>
              <w:top w:val="nil"/>
              <w:left w:val="nil"/>
              <w:bottom w:val="nil"/>
              <w:right w:val="nil"/>
            </w:tcBorders>
            <w:shd w:val="clear" w:color="auto" w:fill="auto"/>
            <w:noWrap/>
            <w:vAlign w:val="bottom"/>
            <w:hideMark/>
          </w:tcPr>
          <w:p w14:paraId="2D31E45E"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6E12BF7D" w14:textId="77777777" w:rsidR="00541659" w:rsidRPr="00301844" w:rsidRDefault="00541659" w:rsidP="00C73881">
            <w:pPr>
              <w:jc w:val="right"/>
              <w:rPr>
                <w:rFonts w:ascii="Arial" w:hAnsi="Arial" w:cs="Arial"/>
                <w:color w:val="000000"/>
              </w:rPr>
            </w:pPr>
            <w:r w:rsidRPr="00301844">
              <w:rPr>
                <w:rFonts w:ascii="Arial" w:hAnsi="Arial" w:cs="Arial"/>
                <w:color w:val="000000"/>
              </w:rPr>
              <w:t>3.4</w:t>
            </w:r>
          </w:p>
        </w:tc>
        <w:tc>
          <w:tcPr>
            <w:tcW w:w="1017" w:type="dxa"/>
            <w:tcBorders>
              <w:top w:val="nil"/>
              <w:left w:val="nil"/>
              <w:bottom w:val="nil"/>
              <w:right w:val="nil"/>
            </w:tcBorders>
            <w:shd w:val="clear" w:color="auto" w:fill="auto"/>
            <w:noWrap/>
            <w:vAlign w:val="bottom"/>
            <w:hideMark/>
          </w:tcPr>
          <w:p w14:paraId="60491A57" w14:textId="77777777" w:rsidR="00541659" w:rsidRPr="00301844" w:rsidRDefault="00541659" w:rsidP="00C73881">
            <w:pPr>
              <w:jc w:val="right"/>
              <w:rPr>
                <w:rFonts w:ascii="Arial" w:hAnsi="Arial" w:cs="Arial"/>
                <w:color w:val="000000"/>
              </w:rPr>
            </w:pPr>
            <w:r w:rsidRPr="00301844">
              <w:rPr>
                <w:rFonts w:ascii="Arial" w:hAnsi="Arial" w:cs="Arial"/>
                <w:color w:val="000000"/>
              </w:rPr>
              <w:t>1.9</w:t>
            </w:r>
          </w:p>
        </w:tc>
        <w:tc>
          <w:tcPr>
            <w:tcW w:w="828" w:type="dxa"/>
            <w:tcBorders>
              <w:top w:val="nil"/>
              <w:left w:val="nil"/>
              <w:bottom w:val="nil"/>
              <w:right w:val="nil"/>
            </w:tcBorders>
            <w:shd w:val="clear" w:color="auto" w:fill="auto"/>
            <w:noWrap/>
            <w:vAlign w:val="bottom"/>
            <w:hideMark/>
          </w:tcPr>
          <w:p w14:paraId="6F84663A" w14:textId="77777777" w:rsidR="00541659" w:rsidRPr="00301844" w:rsidRDefault="00541659" w:rsidP="00C73881">
            <w:pPr>
              <w:jc w:val="right"/>
              <w:rPr>
                <w:rFonts w:ascii="Arial" w:hAnsi="Arial" w:cs="Arial"/>
                <w:color w:val="000000"/>
              </w:rPr>
            </w:pPr>
            <w:r w:rsidRPr="00301844">
              <w:rPr>
                <w:rFonts w:ascii="Arial" w:hAnsi="Arial" w:cs="Arial"/>
                <w:color w:val="000000"/>
              </w:rPr>
              <w:t>1.2</w:t>
            </w:r>
          </w:p>
        </w:tc>
      </w:tr>
      <w:tr w:rsidR="00541659" w:rsidRPr="00301844" w14:paraId="6E5D3991" w14:textId="77777777" w:rsidTr="009B00E9">
        <w:trPr>
          <w:trHeight w:val="300"/>
        </w:trPr>
        <w:tc>
          <w:tcPr>
            <w:tcW w:w="3766" w:type="dxa"/>
            <w:gridSpan w:val="2"/>
            <w:tcBorders>
              <w:top w:val="nil"/>
              <w:left w:val="nil"/>
              <w:bottom w:val="nil"/>
              <w:right w:val="nil"/>
            </w:tcBorders>
            <w:shd w:val="clear" w:color="auto" w:fill="auto"/>
            <w:noWrap/>
            <w:vAlign w:val="bottom"/>
            <w:hideMark/>
          </w:tcPr>
          <w:p w14:paraId="0F7B750B" w14:textId="04403042" w:rsidR="00541659" w:rsidRPr="00301844" w:rsidRDefault="00541659" w:rsidP="00300688">
            <w:pPr>
              <w:rPr>
                <w:rFonts w:ascii="Arial" w:hAnsi="Arial" w:cs="Arial"/>
                <w:color w:val="000000"/>
              </w:rPr>
            </w:pPr>
            <w:r w:rsidRPr="00301844">
              <w:rPr>
                <w:rFonts w:ascii="Arial" w:hAnsi="Arial" w:cs="Arial"/>
                <w:color w:val="000000"/>
              </w:rPr>
              <w:t>Current Liabilities/Net Worth (%)</w:t>
            </w:r>
          </w:p>
        </w:tc>
        <w:tc>
          <w:tcPr>
            <w:tcW w:w="838" w:type="dxa"/>
            <w:tcBorders>
              <w:top w:val="nil"/>
              <w:left w:val="nil"/>
              <w:bottom w:val="nil"/>
              <w:right w:val="nil"/>
            </w:tcBorders>
            <w:shd w:val="clear" w:color="auto" w:fill="auto"/>
            <w:noWrap/>
            <w:vAlign w:val="bottom"/>
            <w:hideMark/>
          </w:tcPr>
          <w:p w14:paraId="0E45E3FE" w14:textId="77777777" w:rsidR="00541659" w:rsidRPr="00301844" w:rsidRDefault="00541659" w:rsidP="00C73881">
            <w:pPr>
              <w:jc w:val="right"/>
              <w:rPr>
                <w:rFonts w:ascii="Arial" w:hAnsi="Arial" w:cs="Arial"/>
                <w:color w:val="000000"/>
              </w:rPr>
            </w:pPr>
            <w:r w:rsidRPr="00301844">
              <w:rPr>
                <w:rFonts w:ascii="Arial" w:hAnsi="Arial" w:cs="Arial"/>
                <w:color w:val="000000"/>
              </w:rPr>
              <w:t>22.8</w:t>
            </w:r>
          </w:p>
        </w:tc>
        <w:tc>
          <w:tcPr>
            <w:tcW w:w="1017" w:type="dxa"/>
            <w:tcBorders>
              <w:top w:val="nil"/>
              <w:left w:val="nil"/>
              <w:bottom w:val="nil"/>
              <w:right w:val="nil"/>
            </w:tcBorders>
            <w:shd w:val="clear" w:color="auto" w:fill="auto"/>
            <w:noWrap/>
            <w:vAlign w:val="bottom"/>
            <w:hideMark/>
          </w:tcPr>
          <w:p w14:paraId="2A483535" w14:textId="77777777" w:rsidR="00541659" w:rsidRPr="00301844" w:rsidRDefault="00541659" w:rsidP="00C73881">
            <w:pPr>
              <w:jc w:val="right"/>
              <w:rPr>
                <w:rFonts w:ascii="Arial" w:hAnsi="Arial" w:cs="Arial"/>
                <w:color w:val="000000"/>
              </w:rPr>
            </w:pPr>
            <w:r w:rsidRPr="00301844">
              <w:rPr>
                <w:rFonts w:ascii="Arial" w:hAnsi="Arial" w:cs="Arial"/>
                <w:color w:val="000000"/>
              </w:rPr>
              <w:t>41.7</w:t>
            </w:r>
          </w:p>
        </w:tc>
        <w:tc>
          <w:tcPr>
            <w:tcW w:w="828" w:type="dxa"/>
            <w:tcBorders>
              <w:top w:val="nil"/>
              <w:left w:val="nil"/>
              <w:bottom w:val="nil"/>
              <w:right w:val="nil"/>
            </w:tcBorders>
            <w:shd w:val="clear" w:color="auto" w:fill="auto"/>
            <w:noWrap/>
            <w:vAlign w:val="bottom"/>
            <w:hideMark/>
          </w:tcPr>
          <w:p w14:paraId="2F2DF2FE" w14:textId="77777777" w:rsidR="00541659" w:rsidRPr="00301844" w:rsidRDefault="00541659" w:rsidP="00C73881">
            <w:pPr>
              <w:jc w:val="right"/>
              <w:rPr>
                <w:rFonts w:ascii="Arial" w:hAnsi="Arial" w:cs="Arial"/>
                <w:color w:val="000000"/>
              </w:rPr>
            </w:pPr>
            <w:r w:rsidRPr="00301844">
              <w:rPr>
                <w:rFonts w:ascii="Arial" w:hAnsi="Arial" w:cs="Arial"/>
                <w:color w:val="000000"/>
              </w:rPr>
              <w:t>98.5</w:t>
            </w:r>
          </w:p>
        </w:tc>
        <w:tc>
          <w:tcPr>
            <w:tcW w:w="222" w:type="dxa"/>
            <w:tcBorders>
              <w:top w:val="nil"/>
              <w:left w:val="nil"/>
              <w:bottom w:val="nil"/>
              <w:right w:val="nil"/>
            </w:tcBorders>
            <w:shd w:val="clear" w:color="auto" w:fill="auto"/>
            <w:noWrap/>
            <w:vAlign w:val="bottom"/>
            <w:hideMark/>
          </w:tcPr>
          <w:p w14:paraId="10CFD1B8"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0FAD3259" w14:textId="77777777" w:rsidR="00541659" w:rsidRPr="00301844" w:rsidRDefault="00541659" w:rsidP="00C73881">
            <w:pPr>
              <w:jc w:val="right"/>
              <w:rPr>
                <w:rFonts w:ascii="Arial" w:hAnsi="Arial" w:cs="Arial"/>
                <w:color w:val="000000"/>
              </w:rPr>
            </w:pPr>
            <w:r w:rsidRPr="00301844">
              <w:rPr>
                <w:rFonts w:ascii="Arial" w:hAnsi="Arial" w:cs="Arial"/>
                <w:color w:val="000000"/>
              </w:rPr>
              <w:t>20.5</w:t>
            </w:r>
          </w:p>
        </w:tc>
        <w:tc>
          <w:tcPr>
            <w:tcW w:w="1017" w:type="dxa"/>
            <w:tcBorders>
              <w:top w:val="nil"/>
              <w:left w:val="nil"/>
              <w:bottom w:val="nil"/>
              <w:right w:val="nil"/>
            </w:tcBorders>
            <w:shd w:val="clear" w:color="auto" w:fill="auto"/>
            <w:noWrap/>
            <w:vAlign w:val="bottom"/>
            <w:hideMark/>
          </w:tcPr>
          <w:p w14:paraId="02714425" w14:textId="77777777" w:rsidR="00541659" w:rsidRPr="00301844" w:rsidRDefault="00541659" w:rsidP="00C73881">
            <w:pPr>
              <w:jc w:val="right"/>
              <w:rPr>
                <w:rFonts w:ascii="Arial" w:hAnsi="Arial" w:cs="Arial"/>
                <w:color w:val="000000"/>
              </w:rPr>
            </w:pPr>
            <w:r w:rsidRPr="00301844">
              <w:rPr>
                <w:rFonts w:ascii="Arial" w:hAnsi="Arial" w:cs="Arial"/>
                <w:color w:val="000000"/>
              </w:rPr>
              <w:t>37.3</w:t>
            </w:r>
          </w:p>
        </w:tc>
        <w:tc>
          <w:tcPr>
            <w:tcW w:w="828" w:type="dxa"/>
            <w:tcBorders>
              <w:top w:val="nil"/>
              <w:left w:val="nil"/>
              <w:bottom w:val="nil"/>
              <w:right w:val="nil"/>
            </w:tcBorders>
            <w:shd w:val="clear" w:color="auto" w:fill="auto"/>
            <w:noWrap/>
            <w:vAlign w:val="bottom"/>
            <w:hideMark/>
          </w:tcPr>
          <w:p w14:paraId="4E5001AD" w14:textId="77777777" w:rsidR="00541659" w:rsidRPr="00301844" w:rsidRDefault="00541659" w:rsidP="00C73881">
            <w:pPr>
              <w:jc w:val="right"/>
              <w:rPr>
                <w:rFonts w:ascii="Arial" w:hAnsi="Arial" w:cs="Arial"/>
                <w:color w:val="000000"/>
              </w:rPr>
            </w:pPr>
            <w:r w:rsidRPr="00301844">
              <w:rPr>
                <w:rFonts w:ascii="Arial" w:hAnsi="Arial" w:cs="Arial"/>
                <w:color w:val="000000"/>
              </w:rPr>
              <w:t>87.9</w:t>
            </w:r>
          </w:p>
        </w:tc>
      </w:tr>
      <w:tr w:rsidR="00541659" w:rsidRPr="00301844" w14:paraId="3CB94EC1" w14:textId="77777777" w:rsidTr="009B00E9">
        <w:trPr>
          <w:trHeight w:val="300"/>
        </w:trPr>
        <w:tc>
          <w:tcPr>
            <w:tcW w:w="3766" w:type="dxa"/>
            <w:gridSpan w:val="2"/>
            <w:tcBorders>
              <w:top w:val="nil"/>
              <w:left w:val="nil"/>
              <w:bottom w:val="nil"/>
              <w:right w:val="nil"/>
            </w:tcBorders>
            <w:shd w:val="clear" w:color="auto" w:fill="auto"/>
            <w:noWrap/>
            <w:vAlign w:val="bottom"/>
            <w:hideMark/>
          </w:tcPr>
          <w:p w14:paraId="097659DA" w14:textId="56FA3A28" w:rsidR="00541659" w:rsidRPr="00301844" w:rsidRDefault="00541659" w:rsidP="00300688">
            <w:pPr>
              <w:rPr>
                <w:rFonts w:ascii="Arial" w:hAnsi="Arial" w:cs="Arial"/>
                <w:color w:val="000000"/>
              </w:rPr>
            </w:pPr>
            <w:r w:rsidRPr="00301844">
              <w:rPr>
                <w:rFonts w:ascii="Arial" w:hAnsi="Arial" w:cs="Arial"/>
                <w:color w:val="000000"/>
              </w:rPr>
              <w:t>Current Liabilities/Inventory (%)</w:t>
            </w:r>
          </w:p>
        </w:tc>
        <w:tc>
          <w:tcPr>
            <w:tcW w:w="838" w:type="dxa"/>
            <w:tcBorders>
              <w:top w:val="nil"/>
              <w:left w:val="nil"/>
              <w:bottom w:val="nil"/>
              <w:right w:val="nil"/>
            </w:tcBorders>
            <w:shd w:val="clear" w:color="auto" w:fill="auto"/>
            <w:noWrap/>
            <w:vAlign w:val="bottom"/>
            <w:hideMark/>
          </w:tcPr>
          <w:p w14:paraId="1C61C282" w14:textId="77777777" w:rsidR="00541659" w:rsidRPr="00301844" w:rsidRDefault="00541659" w:rsidP="00C73881">
            <w:pPr>
              <w:jc w:val="right"/>
              <w:rPr>
                <w:rFonts w:ascii="Arial" w:hAnsi="Arial" w:cs="Arial"/>
                <w:color w:val="000000"/>
              </w:rPr>
            </w:pPr>
            <w:r w:rsidRPr="00301844">
              <w:rPr>
                <w:rFonts w:ascii="Arial" w:hAnsi="Arial" w:cs="Arial"/>
                <w:color w:val="000000"/>
              </w:rPr>
              <w:t>77.1</w:t>
            </w:r>
          </w:p>
        </w:tc>
        <w:tc>
          <w:tcPr>
            <w:tcW w:w="1017" w:type="dxa"/>
            <w:tcBorders>
              <w:top w:val="nil"/>
              <w:left w:val="nil"/>
              <w:bottom w:val="nil"/>
              <w:right w:val="nil"/>
            </w:tcBorders>
            <w:shd w:val="clear" w:color="auto" w:fill="auto"/>
            <w:noWrap/>
            <w:vAlign w:val="bottom"/>
            <w:hideMark/>
          </w:tcPr>
          <w:p w14:paraId="6D6FC58C" w14:textId="77777777" w:rsidR="00541659" w:rsidRPr="00301844" w:rsidRDefault="00541659" w:rsidP="00C73881">
            <w:pPr>
              <w:jc w:val="right"/>
              <w:rPr>
                <w:rFonts w:ascii="Arial" w:hAnsi="Arial" w:cs="Arial"/>
                <w:color w:val="000000"/>
              </w:rPr>
            </w:pPr>
            <w:r w:rsidRPr="00301844">
              <w:rPr>
                <w:rFonts w:ascii="Arial" w:hAnsi="Arial" w:cs="Arial"/>
                <w:color w:val="000000"/>
              </w:rPr>
              <w:t>135</w:t>
            </w:r>
          </w:p>
        </w:tc>
        <w:tc>
          <w:tcPr>
            <w:tcW w:w="828" w:type="dxa"/>
            <w:tcBorders>
              <w:top w:val="nil"/>
              <w:left w:val="nil"/>
              <w:bottom w:val="nil"/>
              <w:right w:val="nil"/>
            </w:tcBorders>
            <w:shd w:val="clear" w:color="auto" w:fill="auto"/>
            <w:noWrap/>
            <w:vAlign w:val="bottom"/>
            <w:hideMark/>
          </w:tcPr>
          <w:p w14:paraId="73FA8145" w14:textId="77777777" w:rsidR="00541659" w:rsidRPr="00301844" w:rsidRDefault="00541659" w:rsidP="00C73881">
            <w:pPr>
              <w:jc w:val="right"/>
              <w:rPr>
                <w:rFonts w:ascii="Arial" w:hAnsi="Arial" w:cs="Arial"/>
                <w:color w:val="000000"/>
              </w:rPr>
            </w:pPr>
            <w:r w:rsidRPr="00301844">
              <w:rPr>
                <w:rFonts w:ascii="Arial" w:hAnsi="Arial" w:cs="Arial"/>
                <w:color w:val="000000"/>
              </w:rPr>
              <w:t>225.9</w:t>
            </w:r>
          </w:p>
        </w:tc>
        <w:tc>
          <w:tcPr>
            <w:tcW w:w="222" w:type="dxa"/>
            <w:tcBorders>
              <w:top w:val="nil"/>
              <w:left w:val="nil"/>
              <w:bottom w:val="nil"/>
              <w:right w:val="nil"/>
            </w:tcBorders>
            <w:shd w:val="clear" w:color="auto" w:fill="auto"/>
            <w:noWrap/>
            <w:vAlign w:val="bottom"/>
            <w:hideMark/>
          </w:tcPr>
          <w:p w14:paraId="6C3E262E"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74BA521" w14:textId="77777777" w:rsidR="00541659" w:rsidRPr="00301844" w:rsidRDefault="00541659" w:rsidP="00C73881">
            <w:pPr>
              <w:jc w:val="right"/>
              <w:rPr>
                <w:rFonts w:ascii="Arial" w:hAnsi="Arial" w:cs="Arial"/>
                <w:color w:val="000000"/>
              </w:rPr>
            </w:pPr>
            <w:r w:rsidRPr="00301844">
              <w:rPr>
                <w:rFonts w:ascii="Arial" w:hAnsi="Arial" w:cs="Arial"/>
                <w:color w:val="000000"/>
              </w:rPr>
              <w:t>73.9</w:t>
            </w:r>
          </w:p>
        </w:tc>
        <w:tc>
          <w:tcPr>
            <w:tcW w:w="1017" w:type="dxa"/>
            <w:tcBorders>
              <w:top w:val="nil"/>
              <w:left w:val="nil"/>
              <w:bottom w:val="nil"/>
              <w:right w:val="nil"/>
            </w:tcBorders>
            <w:shd w:val="clear" w:color="auto" w:fill="auto"/>
            <w:noWrap/>
            <w:vAlign w:val="bottom"/>
            <w:hideMark/>
          </w:tcPr>
          <w:p w14:paraId="1C0AA48E" w14:textId="77777777" w:rsidR="00541659" w:rsidRPr="00301844" w:rsidRDefault="00541659" w:rsidP="00C73881">
            <w:pPr>
              <w:jc w:val="right"/>
              <w:rPr>
                <w:rFonts w:ascii="Arial" w:hAnsi="Arial" w:cs="Arial"/>
                <w:color w:val="000000"/>
              </w:rPr>
            </w:pPr>
            <w:r w:rsidRPr="00301844">
              <w:rPr>
                <w:rFonts w:ascii="Arial" w:hAnsi="Arial" w:cs="Arial"/>
                <w:color w:val="000000"/>
              </w:rPr>
              <w:t>125.2</w:t>
            </w:r>
          </w:p>
        </w:tc>
        <w:tc>
          <w:tcPr>
            <w:tcW w:w="828" w:type="dxa"/>
            <w:tcBorders>
              <w:top w:val="nil"/>
              <w:left w:val="nil"/>
              <w:bottom w:val="nil"/>
              <w:right w:val="nil"/>
            </w:tcBorders>
            <w:shd w:val="clear" w:color="auto" w:fill="auto"/>
            <w:noWrap/>
            <w:vAlign w:val="bottom"/>
            <w:hideMark/>
          </w:tcPr>
          <w:p w14:paraId="5F578C96" w14:textId="77777777" w:rsidR="00541659" w:rsidRPr="00301844" w:rsidRDefault="00541659" w:rsidP="00C73881">
            <w:pPr>
              <w:jc w:val="right"/>
              <w:rPr>
                <w:rFonts w:ascii="Arial" w:hAnsi="Arial" w:cs="Arial"/>
                <w:color w:val="000000"/>
              </w:rPr>
            </w:pPr>
            <w:r w:rsidRPr="00301844">
              <w:rPr>
                <w:rFonts w:ascii="Arial" w:hAnsi="Arial" w:cs="Arial"/>
                <w:color w:val="000000"/>
              </w:rPr>
              <w:t>193.7</w:t>
            </w:r>
          </w:p>
        </w:tc>
      </w:tr>
      <w:tr w:rsidR="00541659" w:rsidRPr="00301844" w14:paraId="2E5FF532" w14:textId="77777777" w:rsidTr="009B00E9">
        <w:trPr>
          <w:trHeight w:val="300"/>
        </w:trPr>
        <w:tc>
          <w:tcPr>
            <w:tcW w:w="3544" w:type="dxa"/>
            <w:tcBorders>
              <w:top w:val="nil"/>
              <w:left w:val="nil"/>
              <w:bottom w:val="nil"/>
              <w:right w:val="nil"/>
            </w:tcBorders>
            <w:shd w:val="clear" w:color="auto" w:fill="auto"/>
            <w:noWrap/>
            <w:vAlign w:val="bottom"/>
            <w:hideMark/>
          </w:tcPr>
          <w:p w14:paraId="2C0F0A0C" w14:textId="0AFF482B" w:rsidR="00541659" w:rsidRPr="00301844" w:rsidRDefault="00541659" w:rsidP="00300688">
            <w:pPr>
              <w:rPr>
                <w:rFonts w:ascii="Arial" w:hAnsi="Arial" w:cs="Arial"/>
                <w:color w:val="000000"/>
              </w:rPr>
            </w:pPr>
            <w:r w:rsidRPr="00301844">
              <w:rPr>
                <w:rFonts w:ascii="Arial" w:hAnsi="Arial" w:cs="Arial"/>
                <w:color w:val="000000"/>
              </w:rPr>
              <w:t>Total Liabilities/Net Worth (%)</w:t>
            </w:r>
          </w:p>
        </w:tc>
        <w:tc>
          <w:tcPr>
            <w:tcW w:w="222" w:type="dxa"/>
            <w:tcBorders>
              <w:top w:val="nil"/>
              <w:left w:val="nil"/>
              <w:bottom w:val="nil"/>
              <w:right w:val="nil"/>
            </w:tcBorders>
            <w:shd w:val="clear" w:color="auto" w:fill="auto"/>
            <w:noWrap/>
            <w:vAlign w:val="bottom"/>
            <w:hideMark/>
          </w:tcPr>
          <w:p w14:paraId="58013038"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40A3C795" w14:textId="77777777" w:rsidR="00541659" w:rsidRPr="00301844" w:rsidRDefault="00541659" w:rsidP="00C73881">
            <w:pPr>
              <w:jc w:val="right"/>
              <w:rPr>
                <w:rFonts w:ascii="Arial" w:hAnsi="Arial" w:cs="Arial"/>
                <w:color w:val="000000"/>
              </w:rPr>
            </w:pPr>
            <w:r w:rsidRPr="00301844">
              <w:rPr>
                <w:rFonts w:ascii="Arial" w:hAnsi="Arial" w:cs="Arial"/>
                <w:color w:val="000000"/>
              </w:rPr>
              <w:t>31.6</w:t>
            </w:r>
          </w:p>
        </w:tc>
        <w:tc>
          <w:tcPr>
            <w:tcW w:w="1017" w:type="dxa"/>
            <w:tcBorders>
              <w:top w:val="nil"/>
              <w:left w:val="nil"/>
              <w:bottom w:val="nil"/>
              <w:right w:val="nil"/>
            </w:tcBorders>
            <w:shd w:val="clear" w:color="auto" w:fill="auto"/>
            <w:noWrap/>
            <w:vAlign w:val="bottom"/>
            <w:hideMark/>
          </w:tcPr>
          <w:p w14:paraId="662C86E7" w14:textId="77777777" w:rsidR="00541659" w:rsidRPr="00301844" w:rsidRDefault="00541659" w:rsidP="00C73881">
            <w:pPr>
              <w:jc w:val="right"/>
              <w:rPr>
                <w:rFonts w:ascii="Arial" w:hAnsi="Arial" w:cs="Arial"/>
                <w:color w:val="000000"/>
              </w:rPr>
            </w:pPr>
            <w:r w:rsidRPr="00301844">
              <w:rPr>
                <w:rFonts w:ascii="Arial" w:hAnsi="Arial" w:cs="Arial"/>
                <w:color w:val="000000"/>
              </w:rPr>
              <w:t>71.7</w:t>
            </w:r>
          </w:p>
        </w:tc>
        <w:tc>
          <w:tcPr>
            <w:tcW w:w="828" w:type="dxa"/>
            <w:tcBorders>
              <w:top w:val="nil"/>
              <w:left w:val="nil"/>
              <w:bottom w:val="nil"/>
              <w:right w:val="nil"/>
            </w:tcBorders>
            <w:shd w:val="clear" w:color="auto" w:fill="auto"/>
            <w:noWrap/>
            <w:vAlign w:val="bottom"/>
            <w:hideMark/>
          </w:tcPr>
          <w:p w14:paraId="55403BB6" w14:textId="77777777" w:rsidR="00541659" w:rsidRPr="00301844" w:rsidRDefault="00541659" w:rsidP="00C73881">
            <w:pPr>
              <w:jc w:val="right"/>
              <w:rPr>
                <w:rFonts w:ascii="Arial" w:hAnsi="Arial" w:cs="Arial"/>
                <w:color w:val="000000"/>
              </w:rPr>
            </w:pPr>
            <w:r w:rsidRPr="00301844">
              <w:rPr>
                <w:rFonts w:ascii="Arial" w:hAnsi="Arial" w:cs="Arial"/>
                <w:color w:val="000000"/>
              </w:rPr>
              <w:t>197.1</w:t>
            </w:r>
          </w:p>
        </w:tc>
        <w:tc>
          <w:tcPr>
            <w:tcW w:w="222" w:type="dxa"/>
            <w:tcBorders>
              <w:top w:val="nil"/>
              <w:left w:val="nil"/>
              <w:bottom w:val="nil"/>
              <w:right w:val="nil"/>
            </w:tcBorders>
            <w:shd w:val="clear" w:color="auto" w:fill="auto"/>
            <w:noWrap/>
            <w:vAlign w:val="bottom"/>
            <w:hideMark/>
          </w:tcPr>
          <w:p w14:paraId="1C3F8F42"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4D679E28" w14:textId="77777777" w:rsidR="00541659" w:rsidRPr="00301844" w:rsidRDefault="00541659" w:rsidP="00C73881">
            <w:pPr>
              <w:jc w:val="right"/>
              <w:rPr>
                <w:rFonts w:ascii="Arial" w:hAnsi="Arial" w:cs="Arial"/>
                <w:color w:val="000000"/>
              </w:rPr>
            </w:pPr>
            <w:r w:rsidRPr="00301844">
              <w:rPr>
                <w:rFonts w:ascii="Arial" w:hAnsi="Arial" w:cs="Arial"/>
                <w:color w:val="000000"/>
              </w:rPr>
              <w:t>29.7</w:t>
            </w:r>
          </w:p>
        </w:tc>
        <w:tc>
          <w:tcPr>
            <w:tcW w:w="1017" w:type="dxa"/>
            <w:tcBorders>
              <w:top w:val="nil"/>
              <w:left w:val="nil"/>
              <w:bottom w:val="nil"/>
              <w:right w:val="nil"/>
            </w:tcBorders>
            <w:shd w:val="clear" w:color="auto" w:fill="auto"/>
            <w:noWrap/>
            <w:vAlign w:val="bottom"/>
            <w:hideMark/>
          </w:tcPr>
          <w:p w14:paraId="1B2B53CD" w14:textId="77777777" w:rsidR="00541659" w:rsidRPr="00301844" w:rsidRDefault="00541659" w:rsidP="00C73881">
            <w:pPr>
              <w:jc w:val="right"/>
              <w:rPr>
                <w:rFonts w:ascii="Arial" w:hAnsi="Arial" w:cs="Arial"/>
                <w:color w:val="000000"/>
              </w:rPr>
            </w:pPr>
            <w:r w:rsidRPr="00301844">
              <w:rPr>
                <w:rFonts w:ascii="Arial" w:hAnsi="Arial" w:cs="Arial"/>
                <w:color w:val="000000"/>
              </w:rPr>
              <w:t>67.3</w:t>
            </w:r>
          </w:p>
        </w:tc>
        <w:tc>
          <w:tcPr>
            <w:tcW w:w="828" w:type="dxa"/>
            <w:tcBorders>
              <w:top w:val="nil"/>
              <w:left w:val="nil"/>
              <w:bottom w:val="nil"/>
              <w:right w:val="nil"/>
            </w:tcBorders>
            <w:shd w:val="clear" w:color="auto" w:fill="auto"/>
            <w:noWrap/>
            <w:vAlign w:val="bottom"/>
            <w:hideMark/>
          </w:tcPr>
          <w:p w14:paraId="683AAF32" w14:textId="77777777" w:rsidR="00541659" w:rsidRPr="00301844" w:rsidRDefault="00541659" w:rsidP="00C73881">
            <w:pPr>
              <w:jc w:val="right"/>
              <w:rPr>
                <w:rFonts w:ascii="Arial" w:hAnsi="Arial" w:cs="Arial"/>
                <w:color w:val="000000"/>
              </w:rPr>
            </w:pPr>
            <w:r w:rsidRPr="00301844">
              <w:rPr>
                <w:rFonts w:ascii="Arial" w:hAnsi="Arial" w:cs="Arial"/>
                <w:color w:val="000000"/>
              </w:rPr>
              <w:t>161</w:t>
            </w:r>
          </w:p>
        </w:tc>
      </w:tr>
      <w:tr w:rsidR="00541659" w:rsidRPr="00301844" w14:paraId="00EBEA16" w14:textId="77777777" w:rsidTr="009B00E9">
        <w:trPr>
          <w:trHeight w:val="300"/>
        </w:trPr>
        <w:tc>
          <w:tcPr>
            <w:tcW w:w="3544" w:type="dxa"/>
            <w:tcBorders>
              <w:top w:val="nil"/>
              <w:left w:val="nil"/>
              <w:bottom w:val="nil"/>
              <w:right w:val="nil"/>
            </w:tcBorders>
            <w:shd w:val="clear" w:color="auto" w:fill="auto"/>
            <w:noWrap/>
            <w:vAlign w:val="bottom"/>
            <w:hideMark/>
          </w:tcPr>
          <w:p w14:paraId="324E4573" w14:textId="1CFD7408" w:rsidR="00541659" w:rsidRPr="00301844" w:rsidRDefault="00541659" w:rsidP="00300688">
            <w:pPr>
              <w:rPr>
                <w:rFonts w:ascii="Arial" w:hAnsi="Arial" w:cs="Arial"/>
                <w:color w:val="000000"/>
              </w:rPr>
            </w:pPr>
            <w:r w:rsidRPr="00301844">
              <w:rPr>
                <w:rFonts w:ascii="Arial" w:hAnsi="Arial" w:cs="Arial"/>
                <w:color w:val="000000"/>
              </w:rPr>
              <w:t>Fixed Assets/Net Worth (%)</w:t>
            </w:r>
          </w:p>
        </w:tc>
        <w:tc>
          <w:tcPr>
            <w:tcW w:w="222" w:type="dxa"/>
            <w:tcBorders>
              <w:top w:val="nil"/>
              <w:left w:val="nil"/>
              <w:bottom w:val="nil"/>
              <w:right w:val="nil"/>
            </w:tcBorders>
            <w:shd w:val="clear" w:color="auto" w:fill="auto"/>
            <w:noWrap/>
            <w:vAlign w:val="bottom"/>
            <w:hideMark/>
          </w:tcPr>
          <w:p w14:paraId="7FCB0EC9"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C033633" w14:textId="77777777" w:rsidR="00541659" w:rsidRPr="00301844" w:rsidRDefault="00541659" w:rsidP="00C73881">
            <w:pPr>
              <w:jc w:val="right"/>
              <w:rPr>
                <w:rFonts w:ascii="Arial" w:hAnsi="Arial" w:cs="Arial"/>
                <w:color w:val="000000"/>
              </w:rPr>
            </w:pPr>
            <w:r w:rsidRPr="00301844">
              <w:rPr>
                <w:rFonts w:ascii="Arial" w:hAnsi="Arial" w:cs="Arial"/>
                <w:color w:val="000000"/>
              </w:rPr>
              <w:t>23.4</w:t>
            </w:r>
          </w:p>
        </w:tc>
        <w:tc>
          <w:tcPr>
            <w:tcW w:w="1017" w:type="dxa"/>
            <w:tcBorders>
              <w:top w:val="nil"/>
              <w:left w:val="nil"/>
              <w:bottom w:val="nil"/>
              <w:right w:val="nil"/>
            </w:tcBorders>
            <w:shd w:val="clear" w:color="auto" w:fill="auto"/>
            <w:noWrap/>
            <w:vAlign w:val="bottom"/>
            <w:hideMark/>
          </w:tcPr>
          <w:p w14:paraId="1242FBB3" w14:textId="77777777" w:rsidR="00541659" w:rsidRPr="00301844" w:rsidRDefault="00541659" w:rsidP="00C73881">
            <w:pPr>
              <w:jc w:val="right"/>
              <w:rPr>
                <w:rFonts w:ascii="Arial" w:hAnsi="Arial" w:cs="Arial"/>
                <w:color w:val="000000"/>
              </w:rPr>
            </w:pPr>
            <w:r w:rsidRPr="00301844">
              <w:rPr>
                <w:rFonts w:ascii="Arial" w:hAnsi="Arial" w:cs="Arial"/>
                <w:color w:val="000000"/>
              </w:rPr>
              <w:t>51.9</w:t>
            </w:r>
          </w:p>
        </w:tc>
        <w:tc>
          <w:tcPr>
            <w:tcW w:w="828" w:type="dxa"/>
            <w:tcBorders>
              <w:top w:val="nil"/>
              <w:left w:val="nil"/>
              <w:bottom w:val="nil"/>
              <w:right w:val="nil"/>
            </w:tcBorders>
            <w:shd w:val="clear" w:color="auto" w:fill="auto"/>
            <w:noWrap/>
            <w:vAlign w:val="bottom"/>
            <w:hideMark/>
          </w:tcPr>
          <w:p w14:paraId="2EBECC35" w14:textId="77777777" w:rsidR="00541659" w:rsidRPr="00301844" w:rsidRDefault="00541659" w:rsidP="00C73881">
            <w:pPr>
              <w:jc w:val="right"/>
              <w:rPr>
                <w:rFonts w:ascii="Arial" w:hAnsi="Arial" w:cs="Arial"/>
                <w:color w:val="000000"/>
              </w:rPr>
            </w:pPr>
            <w:r w:rsidRPr="00301844">
              <w:rPr>
                <w:rFonts w:ascii="Arial" w:hAnsi="Arial" w:cs="Arial"/>
                <w:color w:val="000000"/>
              </w:rPr>
              <w:t>126.7</w:t>
            </w:r>
          </w:p>
        </w:tc>
        <w:tc>
          <w:tcPr>
            <w:tcW w:w="222" w:type="dxa"/>
            <w:tcBorders>
              <w:top w:val="nil"/>
              <w:left w:val="nil"/>
              <w:bottom w:val="nil"/>
              <w:right w:val="nil"/>
            </w:tcBorders>
            <w:shd w:val="clear" w:color="auto" w:fill="auto"/>
            <w:noWrap/>
            <w:vAlign w:val="bottom"/>
            <w:hideMark/>
          </w:tcPr>
          <w:p w14:paraId="68ACE059"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4B27A108" w14:textId="77777777" w:rsidR="00541659" w:rsidRPr="00301844" w:rsidRDefault="00541659" w:rsidP="00C73881">
            <w:pPr>
              <w:jc w:val="right"/>
              <w:rPr>
                <w:rFonts w:ascii="Arial" w:hAnsi="Arial" w:cs="Arial"/>
                <w:color w:val="000000"/>
              </w:rPr>
            </w:pPr>
            <w:r w:rsidRPr="00301844">
              <w:rPr>
                <w:rFonts w:ascii="Arial" w:hAnsi="Arial" w:cs="Arial"/>
                <w:color w:val="000000"/>
              </w:rPr>
              <w:t>24.6</w:t>
            </w:r>
          </w:p>
        </w:tc>
        <w:tc>
          <w:tcPr>
            <w:tcW w:w="1017" w:type="dxa"/>
            <w:tcBorders>
              <w:top w:val="nil"/>
              <w:left w:val="nil"/>
              <w:bottom w:val="nil"/>
              <w:right w:val="nil"/>
            </w:tcBorders>
            <w:shd w:val="clear" w:color="auto" w:fill="auto"/>
            <w:noWrap/>
            <w:vAlign w:val="bottom"/>
            <w:hideMark/>
          </w:tcPr>
          <w:p w14:paraId="4A597C8F" w14:textId="77777777" w:rsidR="00541659" w:rsidRPr="00301844" w:rsidRDefault="00541659" w:rsidP="00C73881">
            <w:pPr>
              <w:jc w:val="right"/>
              <w:rPr>
                <w:rFonts w:ascii="Arial" w:hAnsi="Arial" w:cs="Arial"/>
                <w:color w:val="000000"/>
              </w:rPr>
            </w:pPr>
            <w:r w:rsidRPr="00301844">
              <w:rPr>
                <w:rFonts w:ascii="Arial" w:hAnsi="Arial" w:cs="Arial"/>
                <w:color w:val="000000"/>
              </w:rPr>
              <w:t>62.5</w:t>
            </w:r>
          </w:p>
        </w:tc>
        <w:tc>
          <w:tcPr>
            <w:tcW w:w="828" w:type="dxa"/>
            <w:tcBorders>
              <w:top w:val="nil"/>
              <w:left w:val="nil"/>
              <w:bottom w:val="nil"/>
              <w:right w:val="nil"/>
            </w:tcBorders>
            <w:shd w:val="clear" w:color="auto" w:fill="auto"/>
            <w:noWrap/>
            <w:vAlign w:val="bottom"/>
            <w:hideMark/>
          </w:tcPr>
          <w:p w14:paraId="660C4CD1" w14:textId="77777777" w:rsidR="00541659" w:rsidRPr="00301844" w:rsidRDefault="00541659" w:rsidP="00C73881">
            <w:pPr>
              <w:jc w:val="right"/>
              <w:rPr>
                <w:rFonts w:ascii="Arial" w:hAnsi="Arial" w:cs="Arial"/>
                <w:color w:val="000000"/>
              </w:rPr>
            </w:pPr>
            <w:r w:rsidRPr="00301844">
              <w:rPr>
                <w:rFonts w:ascii="Arial" w:hAnsi="Arial" w:cs="Arial"/>
                <w:color w:val="000000"/>
              </w:rPr>
              <w:t>138.8</w:t>
            </w:r>
          </w:p>
        </w:tc>
      </w:tr>
      <w:tr w:rsidR="00541659" w:rsidRPr="00301844" w14:paraId="5ADA1D4A" w14:textId="77777777" w:rsidTr="009B00E9">
        <w:trPr>
          <w:trHeight w:val="300"/>
        </w:trPr>
        <w:tc>
          <w:tcPr>
            <w:tcW w:w="3544" w:type="dxa"/>
            <w:tcBorders>
              <w:top w:val="nil"/>
              <w:left w:val="nil"/>
              <w:bottom w:val="nil"/>
              <w:right w:val="nil"/>
            </w:tcBorders>
            <w:shd w:val="clear" w:color="auto" w:fill="auto"/>
            <w:noWrap/>
            <w:vAlign w:val="bottom"/>
            <w:hideMark/>
          </w:tcPr>
          <w:p w14:paraId="758000A4" w14:textId="77777777" w:rsidR="00541659" w:rsidRPr="00301844" w:rsidRDefault="00541659" w:rsidP="00541659">
            <w:pPr>
              <w:jc w:val="center"/>
              <w:rPr>
                <w:rFonts w:ascii="Arial" w:hAnsi="Arial" w:cs="Arial"/>
                <w:color w:val="000000"/>
              </w:rPr>
            </w:pPr>
          </w:p>
        </w:tc>
        <w:tc>
          <w:tcPr>
            <w:tcW w:w="222" w:type="dxa"/>
            <w:tcBorders>
              <w:top w:val="nil"/>
              <w:left w:val="nil"/>
              <w:bottom w:val="nil"/>
              <w:right w:val="nil"/>
            </w:tcBorders>
            <w:shd w:val="clear" w:color="auto" w:fill="auto"/>
            <w:noWrap/>
            <w:vAlign w:val="bottom"/>
            <w:hideMark/>
          </w:tcPr>
          <w:p w14:paraId="4AA58BB0" w14:textId="77777777" w:rsidR="00541659" w:rsidRPr="00301844" w:rsidRDefault="00541659" w:rsidP="00541659">
            <w:pPr>
              <w:rPr>
                <w:rFonts w:ascii="Arial" w:hAnsi="Arial" w:cs="Arial"/>
              </w:rPr>
            </w:pPr>
          </w:p>
        </w:tc>
        <w:tc>
          <w:tcPr>
            <w:tcW w:w="838" w:type="dxa"/>
            <w:tcBorders>
              <w:top w:val="nil"/>
              <w:left w:val="nil"/>
              <w:bottom w:val="nil"/>
              <w:right w:val="nil"/>
            </w:tcBorders>
            <w:shd w:val="clear" w:color="auto" w:fill="auto"/>
            <w:noWrap/>
            <w:vAlign w:val="bottom"/>
            <w:hideMark/>
          </w:tcPr>
          <w:p w14:paraId="4BECCAE9"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56311CAB" w14:textId="77777777" w:rsidR="00541659" w:rsidRPr="00301844" w:rsidRDefault="00541659" w:rsidP="00541659">
            <w:pPr>
              <w:jc w:val="center"/>
              <w:rPr>
                <w:rFonts w:ascii="Arial" w:hAnsi="Arial" w:cs="Arial"/>
              </w:rPr>
            </w:pPr>
          </w:p>
        </w:tc>
        <w:tc>
          <w:tcPr>
            <w:tcW w:w="828" w:type="dxa"/>
            <w:tcBorders>
              <w:top w:val="nil"/>
              <w:left w:val="nil"/>
              <w:bottom w:val="nil"/>
              <w:right w:val="nil"/>
            </w:tcBorders>
            <w:shd w:val="clear" w:color="auto" w:fill="auto"/>
            <w:noWrap/>
            <w:vAlign w:val="bottom"/>
            <w:hideMark/>
          </w:tcPr>
          <w:p w14:paraId="3525A5A9" w14:textId="77777777" w:rsidR="00541659" w:rsidRPr="00301844" w:rsidRDefault="00541659" w:rsidP="00541659">
            <w:pPr>
              <w:jc w:val="center"/>
              <w:rPr>
                <w:rFonts w:ascii="Arial" w:hAnsi="Arial" w:cs="Arial"/>
              </w:rPr>
            </w:pPr>
          </w:p>
        </w:tc>
        <w:tc>
          <w:tcPr>
            <w:tcW w:w="222" w:type="dxa"/>
            <w:tcBorders>
              <w:top w:val="nil"/>
              <w:left w:val="nil"/>
              <w:bottom w:val="nil"/>
              <w:right w:val="nil"/>
            </w:tcBorders>
            <w:shd w:val="clear" w:color="auto" w:fill="auto"/>
            <w:noWrap/>
            <w:vAlign w:val="bottom"/>
            <w:hideMark/>
          </w:tcPr>
          <w:p w14:paraId="0051208F" w14:textId="77777777" w:rsidR="00541659" w:rsidRPr="00301844" w:rsidRDefault="00541659" w:rsidP="00541659">
            <w:pPr>
              <w:jc w:val="center"/>
              <w:rPr>
                <w:rFonts w:ascii="Arial" w:hAnsi="Arial" w:cs="Arial"/>
              </w:rPr>
            </w:pPr>
          </w:p>
        </w:tc>
        <w:tc>
          <w:tcPr>
            <w:tcW w:w="838" w:type="dxa"/>
            <w:tcBorders>
              <w:top w:val="nil"/>
              <w:left w:val="nil"/>
              <w:bottom w:val="nil"/>
              <w:right w:val="nil"/>
            </w:tcBorders>
            <w:shd w:val="clear" w:color="auto" w:fill="auto"/>
            <w:noWrap/>
            <w:vAlign w:val="bottom"/>
            <w:hideMark/>
          </w:tcPr>
          <w:p w14:paraId="435AD176" w14:textId="77777777" w:rsidR="00541659" w:rsidRPr="00301844" w:rsidRDefault="00541659" w:rsidP="00541659">
            <w:pPr>
              <w:jc w:val="center"/>
              <w:rPr>
                <w:rFonts w:ascii="Arial" w:hAnsi="Arial" w:cs="Arial"/>
              </w:rPr>
            </w:pPr>
          </w:p>
        </w:tc>
        <w:tc>
          <w:tcPr>
            <w:tcW w:w="1017" w:type="dxa"/>
            <w:tcBorders>
              <w:top w:val="nil"/>
              <w:left w:val="nil"/>
              <w:bottom w:val="nil"/>
              <w:right w:val="nil"/>
            </w:tcBorders>
            <w:shd w:val="clear" w:color="auto" w:fill="auto"/>
            <w:noWrap/>
            <w:vAlign w:val="bottom"/>
            <w:hideMark/>
          </w:tcPr>
          <w:p w14:paraId="0E226899" w14:textId="77777777" w:rsidR="00541659" w:rsidRPr="00301844" w:rsidRDefault="00541659" w:rsidP="00541659">
            <w:pPr>
              <w:jc w:val="center"/>
              <w:rPr>
                <w:rFonts w:ascii="Arial" w:hAnsi="Arial" w:cs="Arial"/>
              </w:rPr>
            </w:pPr>
          </w:p>
        </w:tc>
        <w:tc>
          <w:tcPr>
            <w:tcW w:w="828" w:type="dxa"/>
            <w:tcBorders>
              <w:top w:val="nil"/>
              <w:left w:val="nil"/>
              <w:bottom w:val="nil"/>
              <w:right w:val="nil"/>
            </w:tcBorders>
            <w:shd w:val="clear" w:color="auto" w:fill="auto"/>
            <w:noWrap/>
            <w:vAlign w:val="bottom"/>
            <w:hideMark/>
          </w:tcPr>
          <w:p w14:paraId="59137771" w14:textId="77777777" w:rsidR="00541659" w:rsidRPr="00301844" w:rsidRDefault="00541659" w:rsidP="00541659">
            <w:pPr>
              <w:jc w:val="center"/>
              <w:rPr>
                <w:rFonts w:ascii="Arial" w:hAnsi="Arial" w:cs="Arial"/>
              </w:rPr>
            </w:pPr>
          </w:p>
        </w:tc>
      </w:tr>
      <w:tr w:rsidR="00541659" w:rsidRPr="00301844" w14:paraId="1C0DB8EB" w14:textId="77777777" w:rsidTr="009B00E9">
        <w:trPr>
          <w:trHeight w:val="300"/>
        </w:trPr>
        <w:tc>
          <w:tcPr>
            <w:tcW w:w="3544" w:type="dxa"/>
            <w:tcBorders>
              <w:top w:val="nil"/>
              <w:left w:val="nil"/>
              <w:bottom w:val="nil"/>
              <w:right w:val="nil"/>
            </w:tcBorders>
            <w:shd w:val="clear" w:color="auto" w:fill="auto"/>
            <w:noWrap/>
            <w:vAlign w:val="bottom"/>
            <w:hideMark/>
          </w:tcPr>
          <w:p w14:paraId="7CA287A8" w14:textId="41671B72" w:rsidR="00541659" w:rsidRPr="00301844" w:rsidRDefault="00541659" w:rsidP="00541659">
            <w:pPr>
              <w:rPr>
                <w:rFonts w:ascii="Arial" w:hAnsi="Arial" w:cs="Arial"/>
                <w:b/>
                <w:bCs/>
                <w:color w:val="000000"/>
              </w:rPr>
            </w:pPr>
            <w:r w:rsidRPr="00301844">
              <w:rPr>
                <w:rFonts w:ascii="Arial" w:hAnsi="Arial" w:cs="Arial"/>
                <w:b/>
                <w:bCs/>
                <w:color w:val="000000"/>
              </w:rPr>
              <w:t xml:space="preserve">Efficiency </w:t>
            </w:r>
          </w:p>
        </w:tc>
        <w:tc>
          <w:tcPr>
            <w:tcW w:w="222" w:type="dxa"/>
            <w:tcBorders>
              <w:top w:val="nil"/>
              <w:left w:val="nil"/>
              <w:bottom w:val="nil"/>
              <w:right w:val="nil"/>
            </w:tcBorders>
            <w:shd w:val="clear" w:color="auto" w:fill="auto"/>
            <w:noWrap/>
            <w:vAlign w:val="bottom"/>
            <w:hideMark/>
          </w:tcPr>
          <w:p w14:paraId="023B27D4" w14:textId="77777777" w:rsidR="00541659" w:rsidRPr="00301844" w:rsidRDefault="00541659" w:rsidP="00541659">
            <w:pPr>
              <w:rPr>
                <w:rFonts w:ascii="Arial" w:hAnsi="Arial" w:cs="Arial"/>
                <w:b/>
                <w:bCs/>
                <w:color w:val="000000"/>
              </w:rPr>
            </w:pPr>
          </w:p>
        </w:tc>
        <w:tc>
          <w:tcPr>
            <w:tcW w:w="838" w:type="dxa"/>
            <w:tcBorders>
              <w:top w:val="nil"/>
              <w:left w:val="nil"/>
              <w:bottom w:val="nil"/>
              <w:right w:val="nil"/>
            </w:tcBorders>
            <w:shd w:val="clear" w:color="auto" w:fill="auto"/>
            <w:noWrap/>
            <w:vAlign w:val="bottom"/>
            <w:hideMark/>
          </w:tcPr>
          <w:p w14:paraId="3273A3CB" w14:textId="77777777" w:rsidR="00541659" w:rsidRPr="00301844" w:rsidRDefault="00541659" w:rsidP="00541659">
            <w:pPr>
              <w:jc w:val="center"/>
              <w:rPr>
                <w:rFonts w:ascii="Arial" w:hAnsi="Arial" w:cs="Arial"/>
                <w:color w:val="000000"/>
              </w:rPr>
            </w:pPr>
            <w:r w:rsidRPr="00301844">
              <w:rPr>
                <w:rFonts w:ascii="Arial" w:hAnsi="Arial" w:cs="Arial"/>
                <w:color w:val="000000"/>
              </w:rPr>
              <w:t>Upper</w:t>
            </w:r>
          </w:p>
        </w:tc>
        <w:tc>
          <w:tcPr>
            <w:tcW w:w="1017" w:type="dxa"/>
            <w:tcBorders>
              <w:top w:val="nil"/>
              <w:left w:val="nil"/>
              <w:bottom w:val="nil"/>
              <w:right w:val="nil"/>
            </w:tcBorders>
            <w:shd w:val="clear" w:color="auto" w:fill="auto"/>
            <w:noWrap/>
            <w:vAlign w:val="bottom"/>
            <w:hideMark/>
          </w:tcPr>
          <w:p w14:paraId="195F69EF" w14:textId="77777777" w:rsidR="00541659" w:rsidRPr="00301844" w:rsidRDefault="00541659" w:rsidP="00541659">
            <w:pPr>
              <w:jc w:val="center"/>
              <w:rPr>
                <w:rFonts w:ascii="Arial" w:hAnsi="Arial" w:cs="Arial"/>
                <w:color w:val="000000"/>
              </w:rPr>
            </w:pPr>
            <w:r w:rsidRPr="00301844">
              <w:rPr>
                <w:rFonts w:ascii="Arial" w:hAnsi="Arial" w:cs="Arial"/>
                <w:color w:val="000000"/>
              </w:rPr>
              <w:t>Median</w:t>
            </w:r>
          </w:p>
        </w:tc>
        <w:tc>
          <w:tcPr>
            <w:tcW w:w="828" w:type="dxa"/>
            <w:tcBorders>
              <w:top w:val="nil"/>
              <w:left w:val="nil"/>
              <w:bottom w:val="nil"/>
              <w:right w:val="nil"/>
            </w:tcBorders>
            <w:shd w:val="clear" w:color="auto" w:fill="auto"/>
            <w:noWrap/>
            <w:vAlign w:val="bottom"/>
            <w:hideMark/>
          </w:tcPr>
          <w:p w14:paraId="7C6FAF5E" w14:textId="77777777" w:rsidR="00541659" w:rsidRPr="00301844" w:rsidRDefault="00541659" w:rsidP="00541659">
            <w:pPr>
              <w:jc w:val="center"/>
              <w:rPr>
                <w:rFonts w:ascii="Arial" w:hAnsi="Arial" w:cs="Arial"/>
                <w:color w:val="000000"/>
              </w:rPr>
            </w:pPr>
            <w:r w:rsidRPr="00301844">
              <w:rPr>
                <w:rFonts w:ascii="Arial" w:hAnsi="Arial" w:cs="Arial"/>
                <w:color w:val="000000"/>
              </w:rPr>
              <w:t>Lower</w:t>
            </w:r>
          </w:p>
        </w:tc>
        <w:tc>
          <w:tcPr>
            <w:tcW w:w="222" w:type="dxa"/>
            <w:tcBorders>
              <w:top w:val="nil"/>
              <w:left w:val="nil"/>
              <w:bottom w:val="nil"/>
              <w:right w:val="nil"/>
            </w:tcBorders>
            <w:shd w:val="clear" w:color="auto" w:fill="auto"/>
            <w:noWrap/>
            <w:vAlign w:val="bottom"/>
            <w:hideMark/>
          </w:tcPr>
          <w:p w14:paraId="63A7962B" w14:textId="77777777" w:rsidR="00541659" w:rsidRPr="00301844" w:rsidRDefault="00541659" w:rsidP="00541659">
            <w:pPr>
              <w:jc w:val="cente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F38D48D" w14:textId="77777777" w:rsidR="00541659" w:rsidRPr="00301844" w:rsidRDefault="00541659" w:rsidP="00541659">
            <w:pPr>
              <w:jc w:val="center"/>
              <w:rPr>
                <w:rFonts w:ascii="Arial" w:hAnsi="Arial" w:cs="Arial"/>
                <w:color w:val="000000"/>
              </w:rPr>
            </w:pPr>
            <w:r w:rsidRPr="00301844">
              <w:rPr>
                <w:rFonts w:ascii="Arial" w:hAnsi="Arial" w:cs="Arial"/>
                <w:color w:val="000000"/>
              </w:rPr>
              <w:t>Upper</w:t>
            </w:r>
          </w:p>
        </w:tc>
        <w:tc>
          <w:tcPr>
            <w:tcW w:w="1017" w:type="dxa"/>
            <w:tcBorders>
              <w:top w:val="nil"/>
              <w:left w:val="nil"/>
              <w:bottom w:val="nil"/>
              <w:right w:val="nil"/>
            </w:tcBorders>
            <w:shd w:val="clear" w:color="auto" w:fill="auto"/>
            <w:noWrap/>
            <w:vAlign w:val="bottom"/>
            <w:hideMark/>
          </w:tcPr>
          <w:p w14:paraId="323EF266" w14:textId="77777777" w:rsidR="00541659" w:rsidRPr="00301844" w:rsidRDefault="00541659" w:rsidP="00541659">
            <w:pPr>
              <w:jc w:val="center"/>
              <w:rPr>
                <w:rFonts w:ascii="Arial" w:hAnsi="Arial" w:cs="Arial"/>
                <w:color w:val="000000"/>
              </w:rPr>
            </w:pPr>
            <w:r w:rsidRPr="00301844">
              <w:rPr>
                <w:rFonts w:ascii="Arial" w:hAnsi="Arial" w:cs="Arial"/>
                <w:color w:val="000000"/>
              </w:rPr>
              <w:t>Median</w:t>
            </w:r>
          </w:p>
        </w:tc>
        <w:tc>
          <w:tcPr>
            <w:tcW w:w="828" w:type="dxa"/>
            <w:tcBorders>
              <w:top w:val="nil"/>
              <w:left w:val="nil"/>
              <w:bottom w:val="nil"/>
              <w:right w:val="nil"/>
            </w:tcBorders>
            <w:shd w:val="clear" w:color="auto" w:fill="auto"/>
            <w:noWrap/>
            <w:vAlign w:val="bottom"/>
            <w:hideMark/>
          </w:tcPr>
          <w:p w14:paraId="33E61057" w14:textId="77777777" w:rsidR="00541659" w:rsidRPr="00301844" w:rsidRDefault="00541659" w:rsidP="00541659">
            <w:pPr>
              <w:jc w:val="center"/>
              <w:rPr>
                <w:rFonts w:ascii="Arial" w:hAnsi="Arial" w:cs="Arial"/>
                <w:color w:val="000000"/>
              </w:rPr>
            </w:pPr>
            <w:r w:rsidRPr="00301844">
              <w:rPr>
                <w:rFonts w:ascii="Arial" w:hAnsi="Arial" w:cs="Arial"/>
                <w:color w:val="000000"/>
              </w:rPr>
              <w:t>Lower</w:t>
            </w:r>
          </w:p>
        </w:tc>
      </w:tr>
      <w:tr w:rsidR="00541659" w:rsidRPr="00301844" w14:paraId="1D841C73" w14:textId="77777777" w:rsidTr="009B00E9">
        <w:trPr>
          <w:trHeight w:val="300"/>
        </w:trPr>
        <w:tc>
          <w:tcPr>
            <w:tcW w:w="3544" w:type="dxa"/>
            <w:tcBorders>
              <w:top w:val="nil"/>
              <w:left w:val="nil"/>
              <w:bottom w:val="nil"/>
              <w:right w:val="nil"/>
            </w:tcBorders>
            <w:shd w:val="clear" w:color="auto" w:fill="auto"/>
            <w:noWrap/>
            <w:vAlign w:val="bottom"/>
            <w:hideMark/>
          </w:tcPr>
          <w:p w14:paraId="557BC4A5" w14:textId="77777777" w:rsidR="00541659" w:rsidRPr="00301844" w:rsidRDefault="00541659" w:rsidP="00541659">
            <w:pPr>
              <w:rPr>
                <w:rFonts w:ascii="Arial" w:hAnsi="Arial" w:cs="Arial"/>
                <w:color w:val="000000"/>
              </w:rPr>
            </w:pPr>
            <w:r w:rsidRPr="00301844">
              <w:rPr>
                <w:rFonts w:ascii="Arial" w:hAnsi="Arial" w:cs="Arial"/>
                <w:color w:val="000000"/>
              </w:rPr>
              <w:t>Collection Period (days)</w:t>
            </w:r>
          </w:p>
        </w:tc>
        <w:tc>
          <w:tcPr>
            <w:tcW w:w="222" w:type="dxa"/>
            <w:tcBorders>
              <w:top w:val="nil"/>
              <w:left w:val="nil"/>
              <w:bottom w:val="nil"/>
              <w:right w:val="nil"/>
            </w:tcBorders>
            <w:shd w:val="clear" w:color="auto" w:fill="auto"/>
            <w:noWrap/>
            <w:vAlign w:val="bottom"/>
            <w:hideMark/>
          </w:tcPr>
          <w:p w14:paraId="0833CD67"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465BABA1" w14:textId="77777777" w:rsidR="00541659" w:rsidRPr="00301844" w:rsidRDefault="00541659" w:rsidP="00C73881">
            <w:pPr>
              <w:jc w:val="right"/>
              <w:rPr>
                <w:rFonts w:ascii="Arial" w:hAnsi="Arial" w:cs="Arial"/>
                <w:color w:val="000000"/>
              </w:rPr>
            </w:pPr>
            <w:r w:rsidRPr="00301844">
              <w:rPr>
                <w:rFonts w:ascii="Arial" w:hAnsi="Arial" w:cs="Arial"/>
                <w:color w:val="000000"/>
              </w:rPr>
              <w:t>1.5</w:t>
            </w:r>
          </w:p>
        </w:tc>
        <w:tc>
          <w:tcPr>
            <w:tcW w:w="1017" w:type="dxa"/>
            <w:tcBorders>
              <w:top w:val="nil"/>
              <w:left w:val="nil"/>
              <w:bottom w:val="nil"/>
              <w:right w:val="nil"/>
            </w:tcBorders>
            <w:shd w:val="clear" w:color="auto" w:fill="auto"/>
            <w:noWrap/>
            <w:vAlign w:val="bottom"/>
            <w:hideMark/>
          </w:tcPr>
          <w:p w14:paraId="45D416B4" w14:textId="77777777" w:rsidR="00541659" w:rsidRPr="00301844" w:rsidRDefault="00541659" w:rsidP="00C73881">
            <w:pPr>
              <w:jc w:val="right"/>
              <w:rPr>
                <w:rFonts w:ascii="Arial" w:hAnsi="Arial" w:cs="Arial"/>
                <w:color w:val="000000"/>
              </w:rPr>
            </w:pPr>
            <w:r w:rsidRPr="00301844">
              <w:rPr>
                <w:rFonts w:ascii="Arial" w:hAnsi="Arial" w:cs="Arial"/>
                <w:color w:val="000000"/>
              </w:rPr>
              <w:t>3.7</w:t>
            </w:r>
          </w:p>
        </w:tc>
        <w:tc>
          <w:tcPr>
            <w:tcW w:w="828" w:type="dxa"/>
            <w:tcBorders>
              <w:top w:val="nil"/>
              <w:left w:val="nil"/>
              <w:bottom w:val="nil"/>
              <w:right w:val="nil"/>
            </w:tcBorders>
            <w:shd w:val="clear" w:color="auto" w:fill="auto"/>
            <w:noWrap/>
            <w:vAlign w:val="bottom"/>
            <w:hideMark/>
          </w:tcPr>
          <w:p w14:paraId="7477E1B6" w14:textId="77777777" w:rsidR="00541659" w:rsidRPr="00301844" w:rsidRDefault="00541659" w:rsidP="00C73881">
            <w:pPr>
              <w:jc w:val="right"/>
              <w:rPr>
                <w:rFonts w:ascii="Arial" w:hAnsi="Arial" w:cs="Arial"/>
                <w:color w:val="000000"/>
              </w:rPr>
            </w:pPr>
            <w:r w:rsidRPr="00301844">
              <w:rPr>
                <w:rFonts w:ascii="Arial" w:hAnsi="Arial" w:cs="Arial"/>
                <w:color w:val="000000"/>
              </w:rPr>
              <w:t>8.8</w:t>
            </w:r>
          </w:p>
        </w:tc>
        <w:tc>
          <w:tcPr>
            <w:tcW w:w="222" w:type="dxa"/>
            <w:tcBorders>
              <w:top w:val="nil"/>
              <w:left w:val="nil"/>
              <w:bottom w:val="nil"/>
              <w:right w:val="nil"/>
            </w:tcBorders>
            <w:shd w:val="clear" w:color="auto" w:fill="auto"/>
            <w:noWrap/>
            <w:vAlign w:val="bottom"/>
            <w:hideMark/>
          </w:tcPr>
          <w:p w14:paraId="361AF9A8"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43E8634B" w14:textId="77777777" w:rsidR="00541659" w:rsidRPr="00301844" w:rsidRDefault="00541659" w:rsidP="00C73881">
            <w:pPr>
              <w:jc w:val="right"/>
              <w:rPr>
                <w:rFonts w:ascii="Arial" w:hAnsi="Arial" w:cs="Arial"/>
                <w:color w:val="000000"/>
              </w:rPr>
            </w:pPr>
            <w:r w:rsidRPr="00301844">
              <w:rPr>
                <w:rFonts w:ascii="Arial" w:hAnsi="Arial" w:cs="Arial"/>
                <w:color w:val="000000"/>
              </w:rPr>
              <w:t>1.1</w:t>
            </w:r>
          </w:p>
        </w:tc>
        <w:tc>
          <w:tcPr>
            <w:tcW w:w="1017" w:type="dxa"/>
            <w:tcBorders>
              <w:top w:val="nil"/>
              <w:left w:val="nil"/>
              <w:bottom w:val="nil"/>
              <w:right w:val="nil"/>
            </w:tcBorders>
            <w:shd w:val="clear" w:color="auto" w:fill="auto"/>
            <w:noWrap/>
            <w:vAlign w:val="bottom"/>
            <w:hideMark/>
          </w:tcPr>
          <w:p w14:paraId="4536161A" w14:textId="77777777" w:rsidR="00541659" w:rsidRPr="00301844" w:rsidRDefault="00541659" w:rsidP="00C73881">
            <w:pPr>
              <w:jc w:val="right"/>
              <w:rPr>
                <w:rFonts w:ascii="Arial" w:hAnsi="Arial" w:cs="Arial"/>
                <w:color w:val="000000"/>
              </w:rPr>
            </w:pPr>
            <w:r w:rsidRPr="00301844">
              <w:rPr>
                <w:rFonts w:ascii="Arial" w:hAnsi="Arial" w:cs="Arial"/>
                <w:color w:val="000000"/>
              </w:rPr>
              <w:t>2.9</w:t>
            </w:r>
          </w:p>
        </w:tc>
        <w:tc>
          <w:tcPr>
            <w:tcW w:w="828" w:type="dxa"/>
            <w:tcBorders>
              <w:top w:val="nil"/>
              <w:left w:val="nil"/>
              <w:bottom w:val="nil"/>
              <w:right w:val="nil"/>
            </w:tcBorders>
            <w:shd w:val="clear" w:color="auto" w:fill="auto"/>
            <w:noWrap/>
            <w:vAlign w:val="bottom"/>
            <w:hideMark/>
          </w:tcPr>
          <w:p w14:paraId="46FAC5D3" w14:textId="77777777" w:rsidR="00541659" w:rsidRPr="00301844" w:rsidRDefault="00541659" w:rsidP="00C73881">
            <w:pPr>
              <w:jc w:val="right"/>
              <w:rPr>
                <w:rFonts w:ascii="Arial" w:hAnsi="Arial" w:cs="Arial"/>
                <w:color w:val="000000"/>
              </w:rPr>
            </w:pPr>
            <w:r w:rsidRPr="00301844">
              <w:rPr>
                <w:rFonts w:ascii="Arial" w:hAnsi="Arial" w:cs="Arial"/>
                <w:color w:val="000000"/>
              </w:rPr>
              <w:t>7.9</w:t>
            </w:r>
          </w:p>
        </w:tc>
      </w:tr>
      <w:tr w:rsidR="00541659" w:rsidRPr="00301844" w14:paraId="13ED165A" w14:textId="77777777" w:rsidTr="009B00E9">
        <w:trPr>
          <w:trHeight w:val="300"/>
        </w:trPr>
        <w:tc>
          <w:tcPr>
            <w:tcW w:w="3544" w:type="dxa"/>
            <w:tcBorders>
              <w:top w:val="nil"/>
              <w:left w:val="nil"/>
              <w:bottom w:val="nil"/>
              <w:right w:val="nil"/>
            </w:tcBorders>
            <w:shd w:val="clear" w:color="auto" w:fill="auto"/>
            <w:noWrap/>
            <w:vAlign w:val="bottom"/>
            <w:hideMark/>
          </w:tcPr>
          <w:p w14:paraId="704437B9" w14:textId="6C99E727" w:rsidR="00541659" w:rsidRPr="00301844" w:rsidRDefault="00541659" w:rsidP="00300688">
            <w:pPr>
              <w:rPr>
                <w:rFonts w:ascii="Arial" w:hAnsi="Arial" w:cs="Arial"/>
                <w:color w:val="000000"/>
              </w:rPr>
            </w:pPr>
            <w:r w:rsidRPr="00301844">
              <w:rPr>
                <w:rFonts w:ascii="Arial" w:hAnsi="Arial" w:cs="Arial"/>
                <w:color w:val="000000"/>
              </w:rPr>
              <w:t>Sales/Inventory (times)</w:t>
            </w:r>
          </w:p>
        </w:tc>
        <w:tc>
          <w:tcPr>
            <w:tcW w:w="222" w:type="dxa"/>
            <w:tcBorders>
              <w:top w:val="nil"/>
              <w:left w:val="nil"/>
              <w:bottom w:val="nil"/>
              <w:right w:val="nil"/>
            </w:tcBorders>
            <w:shd w:val="clear" w:color="auto" w:fill="auto"/>
            <w:noWrap/>
            <w:vAlign w:val="bottom"/>
            <w:hideMark/>
          </w:tcPr>
          <w:p w14:paraId="041AAD25"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0E711E84" w14:textId="77777777" w:rsidR="00541659" w:rsidRPr="00301844" w:rsidRDefault="00541659" w:rsidP="00C73881">
            <w:pPr>
              <w:jc w:val="right"/>
              <w:rPr>
                <w:rFonts w:ascii="Arial" w:hAnsi="Arial" w:cs="Arial"/>
                <w:color w:val="000000"/>
              </w:rPr>
            </w:pPr>
            <w:r w:rsidRPr="00301844">
              <w:rPr>
                <w:rFonts w:ascii="Arial" w:hAnsi="Arial" w:cs="Arial"/>
                <w:color w:val="000000"/>
              </w:rPr>
              <w:t>33.6</w:t>
            </w:r>
          </w:p>
        </w:tc>
        <w:tc>
          <w:tcPr>
            <w:tcW w:w="1017" w:type="dxa"/>
            <w:tcBorders>
              <w:top w:val="nil"/>
              <w:left w:val="nil"/>
              <w:bottom w:val="nil"/>
              <w:right w:val="nil"/>
            </w:tcBorders>
            <w:shd w:val="clear" w:color="auto" w:fill="auto"/>
            <w:noWrap/>
            <w:vAlign w:val="bottom"/>
            <w:hideMark/>
          </w:tcPr>
          <w:p w14:paraId="24AC58AA" w14:textId="77777777" w:rsidR="00541659" w:rsidRPr="00301844" w:rsidRDefault="00541659" w:rsidP="00C73881">
            <w:pPr>
              <w:jc w:val="right"/>
              <w:rPr>
                <w:rFonts w:ascii="Arial" w:hAnsi="Arial" w:cs="Arial"/>
                <w:color w:val="000000"/>
              </w:rPr>
            </w:pPr>
            <w:r w:rsidRPr="00301844">
              <w:rPr>
                <w:rFonts w:ascii="Arial" w:hAnsi="Arial" w:cs="Arial"/>
                <w:color w:val="000000"/>
              </w:rPr>
              <w:t>22</w:t>
            </w:r>
          </w:p>
        </w:tc>
        <w:tc>
          <w:tcPr>
            <w:tcW w:w="828" w:type="dxa"/>
            <w:tcBorders>
              <w:top w:val="nil"/>
              <w:left w:val="nil"/>
              <w:bottom w:val="nil"/>
              <w:right w:val="nil"/>
            </w:tcBorders>
            <w:shd w:val="clear" w:color="auto" w:fill="auto"/>
            <w:noWrap/>
            <w:vAlign w:val="bottom"/>
            <w:hideMark/>
          </w:tcPr>
          <w:p w14:paraId="02D239C5" w14:textId="77777777" w:rsidR="00541659" w:rsidRPr="00301844" w:rsidRDefault="00541659" w:rsidP="00C73881">
            <w:pPr>
              <w:jc w:val="right"/>
              <w:rPr>
                <w:rFonts w:ascii="Arial" w:hAnsi="Arial" w:cs="Arial"/>
                <w:color w:val="000000"/>
              </w:rPr>
            </w:pPr>
            <w:r w:rsidRPr="00301844">
              <w:rPr>
                <w:rFonts w:ascii="Arial" w:hAnsi="Arial" w:cs="Arial"/>
                <w:color w:val="000000"/>
              </w:rPr>
              <w:t>13.2</w:t>
            </w:r>
          </w:p>
        </w:tc>
        <w:tc>
          <w:tcPr>
            <w:tcW w:w="222" w:type="dxa"/>
            <w:tcBorders>
              <w:top w:val="nil"/>
              <w:left w:val="nil"/>
              <w:bottom w:val="nil"/>
              <w:right w:val="nil"/>
            </w:tcBorders>
            <w:shd w:val="clear" w:color="auto" w:fill="auto"/>
            <w:noWrap/>
            <w:vAlign w:val="bottom"/>
            <w:hideMark/>
          </w:tcPr>
          <w:p w14:paraId="55FEDD08"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D726B07" w14:textId="77777777" w:rsidR="00541659" w:rsidRPr="00301844" w:rsidRDefault="00541659" w:rsidP="00C73881">
            <w:pPr>
              <w:jc w:val="right"/>
              <w:rPr>
                <w:rFonts w:ascii="Arial" w:hAnsi="Arial" w:cs="Arial"/>
                <w:color w:val="000000"/>
              </w:rPr>
            </w:pPr>
            <w:r w:rsidRPr="00301844">
              <w:rPr>
                <w:rFonts w:ascii="Arial" w:hAnsi="Arial" w:cs="Arial"/>
                <w:color w:val="000000"/>
              </w:rPr>
              <w:t>29.4</w:t>
            </w:r>
          </w:p>
        </w:tc>
        <w:tc>
          <w:tcPr>
            <w:tcW w:w="1017" w:type="dxa"/>
            <w:tcBorders>
              <w:top w:val="nil"/>
              <w:left w:val="nil"/>
              <w:bottom w:val="nil"/>
              <w:right w:val="nil"/>
            </w:tcBorders>
            <w:shd w:val="clear" w:color="auto" w:fill="auto"/>
            <w:noWrap/>
            <w:vAlign w:val="bottom"/>
            <w:hideMark/>
          </w:tcPr>
          <w:p w14:paraId="1980C456" w14:textId="77777777" w:rsidR="00541659" w:rsidRPr="00301844" w:rsidRDefault="00541659" w:rsidP="00C73881">
            <w:pPr>
              <w:jc w:val="right"/>
              <w:rPr>
                <w:rFonts w:ascii="Arial" w:hAnsi="Arial" w:cs="Arial"/>
                <w:color w:val="000000"/>
              </w:rPr>
            </w:pPr>
            <w:r w:rsidRPr="00301844">
              <w:rPr>
                <w:rFonts w:ascii="Arial" w:hAnsi="Arial" w:cs="Arial"/>
                <w:color w:val="000000"/>
              </w:rPr>
              <w:t>18.8</w:t>
            </w:r>
          </w:p>
        </w:tc>
        <w:tc>
          <w:tcPr>
            <w:tcW w:w="828" w:type="dxa"/>
            <w:tcBorders>
              <w:top w:val="nil"/>
              <w:left w:val="nil"/>
              <w:bottom w:val="nil"/>
              <w:right w:val="nil"/>
            </w:tcBorders>
            <w:shd w:val="clear" w:color="auto" w:fill="auto"/>
            <w:noWrap/>
            <w:vAlign w:val="bottom"/>
            <w:hideMark/>
          </w:tcPr>
          <w:p w14:paraId="7BF8D415" w14:textId="77777777" w:rsidR="00541659" w:rsidRPr="00301844" w:rsidRDefault="00541659" w:rsidP="00C73881">
            <w:pPr>
              <w:jc w:val="right"/>
              <w:rPr>
                <w:rFonts w:ascii="Arial" w:hAnsi="Arial" w:cs="Arial"/>
                <w:color w:val="000000"/>
              </w:rPr>
            </w:pPr>
            <w:r w:rsidRPr="00301844">
              <w:rPr>
                <w:rFonts w:ascii="Arial" w:hAnsi="Arial" w:cs="Arial"/>
                <w:color w:val="000000"/>
              </w:rPr>
              <w:t>13.7</w:t>
            </w:r>
          </w:p>
        </w:tc>
      </w:tr>
      <w:tr w:rsidR="00541659" w:rsidRPr="00301844" w14:paraId="01766347" w14:textId="77777777" w:rsidTr="009B00E9">
        <w:trPr>
          <w:trHeight w:val="300"/>
        </w:trPr>
        <w:tc>
          <w:tcPr>
            <w:tcW w:w="3544" w:type="dxa"/>
            <w:tcBorders>
              <w:top w:val="nil"/>
              <w:left w:val="nil"/>
              <w:bottom w:val="nil"/>
              <w:right w:val="nil"/>
            </w:tcBorders>
            <w:shd w:val="clear" w:color="auto" w:fill="auto"/>
            <w:noWrap/>
            <w:vAlign w:val="bottom"/>
            <w:hideMark/>
          </w:tcPr>
          <w:p w14:paraId="097F43C1" w14:textId="75DB9981" w:rsidR="00541659" w:rsidRPr="00301844" w:rsidRDefault="00541659" w:rsidP="00300688">
            <w:pPr>
              <w:rPr>
                <w:rFonts w:ascii="Arial" w:hAnsi="Arial" w:cs="Arial"/>
                <w:color w:val="000000"/>
              </w:rPr>
            </w:pPr>
            <w:r w:rsidRPr="00301844">
              <w:rPr>
                <w:rFonts w:ascii="Arial" w:hAnsi="Arial" w:cs="Arial"/>
                <w:color w:val="000000"/>
              </w:rPr>
              <w:t>Assets/Sales (%)</w:t>
            </w:r>
          </w:p>
        </w:tc>
        <w:tc>
          <w:tcPr>
            <w:tcW w:w="222" w:type="dxa"/>
            <w:tcBorders>
              <w:top w:val="nil"/>
              <w:left w:val="nil"/>
              <w:bottom w:val="nil"/>
              <w:right w:val="nil"/>
            </w:tcBorders>
            <w:shd w:val="clear" w:color="auto" w:fill="auto"/>
            <w:noWrap/>
            <w:vAlign w:val="bottom"/>
            <w:hideMark/>
          </w:tcPr>
          <w:p w14:paraId="7256FA68"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0DD169EF" w14:textId="77777777" w:rsidR="00541659" w:rsidRPr="00301844" w:rsidRDefault="00541659" w:rsidP="00C73881">
            <w:pPr>
              <w:jc w:val="right"/>
              <w:rPr>
                <w:rFonts w:ascii="Arial" w:hAnsi="Arial" w:cs="Arial"/>
                <w:color w:val="000000"/>
              </w:rPr>
            </w:pPr>
            <w:r w:rsidRPr="00301844">
              <w:rPr>
                <w:rFonts w:ascii="Arial" w:hAnsi="Arial" w:cs="Arial"/>
                <w:color w:val="000000"/>
              </w:rPr>
              <w:t>15.9</w:t>
            </w:r>
          </w:p>
        </w:tc>
        <w:tc>
          <w:tcPr>
            <w:tcW w:w="1017" w:type="dxa"/>
            <w:tcBorders>
              <w:top w:val="nil"/>
              <w:left w:val="nil"/>
              <w:bottom w:val="nil"/>
              <w:right w:val="nil"/>
            </w:tcBorders>
            <w:shd w:val="clear" w:color="auto" w:fill="auto"/>
            <w:noWrap/>
            <w:vAlign w:val="bottom"/>
            <w:hideMark/>
          </w:tcPr>
          <w:p w14:paraId="35D9BCEF" w14:textId="77777777" w:rsidR="00541659" w:rsidRPr="00301844" w:rsidRDefault="00541659" w:rsidP="00C73881">
            <w:pPr>
              <w:jc w:val="right"/>
              <w:rPr>
                <w:rFonts w:ascii="Arial" w:hAnsi="Arial" w:cs="Arial"/>
                <w:color w:val="000000"/>
              </w:rPr>
            </w:pPr>
            <w:r w:rsidRPr="00301844">
              <w:rPr>
                <w:rFonts w:ascii="Arial" w:hAnsi="Arial" w:cs="Arial"/>
                <w:color w:val="000000"/>
              </w:rPr>
              <w:t>24.4</w:t>
            </w:r>
          </w:p>
        </w:tc>
        <w:tc>
          <w:tcPr>
            <w:tcW w:w="828" w:type="dxa"/>
            <w:tcBorders>
              <w:top w:val="nil"/>
              <w:left w:val="nil"/>
              <w:bottom w:val="nil"/>
              <w:right w:val="nil"/>
            </w:tcBorders>
            <w:shd w:val="clear" w:color="auto" w:fill="auto"/>
            <w:noWrap/>
            <w:vAlign w:val="bottom"/>
            <w:hideMark/>
          </w:tcPr>
          <w:p w14:paraId="7D31DEC2" w14:textId="77777777" w:rsidR="00541659" w:rsidRPr="00301844" w:rsidRDefault="00541659" w:rsidP="00C73881">
            <w:pPr>
              <w:jc w:val="right"/>
              <w:rPr>
                <w:rFonts w:ascii="Arial" w:hAnsi="Arial" w:cs="Arial"/>
                <w:color w:val="000000"/>
              </w:rPr>
            </w:pPr>
            <w:r w:rsidRPr="00301844">
              <w:rPr>
                <w:rFonts w:ascii="Arial" w:hAnsi="Arial" w:cs="Arial"/>
                <w:color w:val="000000"/>
              </w:rPr>
              <w:t>41.5</w:t>
            </w:r>
          </w:p>
        </w:tc>
        <w:tc>
          <w:tcPr>
            <w:tcW w:w="222" w:type="dxa"/>
            <w:tcBorders>
              <w:top w:val="nil"/>
              <w:left w:val="nil"/>
              <w:bottom w:val="nil"/>
              <w:right w:val="nil"/>
            </w:tcBorders>
            <w:shd w:val="clear" w:color="auto" w:fill="auto"/>
            <w:noWrap/>
            <w:vAlign w:val="bottom"/>
            <w:hideMark/>
          </w:tcPr>
          <w:p w14:paraId="7D3BB2AE"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7642C74D" w14:textId="77777777" w:rsidR="00541659" w:rsidRPr="00301844" w:rsidRDefault="00541659" w:rsidP="00C73881">
            <w:pPr>
              <w:jc w:val="right"/>
              <w:rPr>
                <w:rFonts w:ascii="Arial" w:hAnsi="Arial" w:cs="Arial"/>
                <w:color w:val="000000"/>
              </w:rPr>
            </w:pPr>
            <w:r w:rsidRPr="00301844">
              <w:rPr>
                <w:rFonts w:ascii="Arial" w:hAnsi="Arial" w:cs="Arial"/>
                <w:color w:val="000000"/>
              </w:rPr>
              <w:t>16.9</w:t>
            </w:r>
          </w:p>
        </w:tc>
        <w:tc>
          <w:tcPr>
            <w:tcW w:w="1017" w:type="dxa"/>
            <w:tcBorders>
              <w:top w:val="nil"/>
              <w:left w:val="nil"/>
              <w:bottom w:val="nil"/>
              <w:right w:val="nil"/>
            </w:tcBorders>
            <w:shd w:val="clear" w:color="auto" w:fill="auto"/>
            <w:noWrap/>
            <w:vAlign w:val="bottom"/>
            <w:hideMark/>
          </w:tcPr>
          <w:p w14:paraId="7AE4CC2E" w14:textId="77777777" w:rsidR="00541659" w:rsidRPr="00301844" w:rsidRDefault="00541659" w:rsidP="00C73881">
            <w:pPr>
              <w:jc w:val="right"/>
              <w:rPr>
                <w:rFonts w:ascii="Arial" w:hAnsi="Arial" w:cs="Arial"/>
                <w:color w:val="000000"/>
              </w:rPr>
            </w:pPr>
            <w:r w:rsidRPr="00301844">
              <w:rPr>
                <w:rFonts w:ascii="Arial" w:hAnsi="Arial" w:cs="Arial"/>
                <w:color w:val="000000"/>
              </w:rPr>
              <w:t>24.2</w:t>
            </w:r>
          </w:p>
        </w:tc>
        <w:tc>
          <w:tcPr>
            <w:tcW w:w="828" w:type="dxa"/>
            <w:tcBorders>
              <w:top w:val="nil"/>
              <w:left w:val="nil"/>
              <w:bottom w:val="nil"/>
              <w:right w:val="nil"/>
            </w:tcBorders>
            <w:shd w:val="clear" w:color="auto" w:fill="auto"/>
            <w:noWrap/>
            <w:vAlign w:val="bottom"/>
            <w:hideMark/>
          </w:tcPr>
          <w:p w14:paraId="367A009D" w14:textId="77777777" w:rsidR="00541659" w:rsidRPr="00301844" w:rsidRDefault="00541659" w:rsidP="00C73881">
            <w:pPr>
              <w:jc w:val="right"/>
              <w:rPr>
                <w:rFonts w:ascii="Arial" w:hAnsi="Arial" w:cs="Arial"/>
                <w:color w:val="000000"/>
              </w:rPr>
            </w:pPr>
            <w:r w:rsidRPr="00301844">
              <w:rPr>
                <w:rFonts w:ascii="Arial" w:hAnsi="Arial" w:cs="Arial"/>
                <w:color w:val="000000"/>
              </w:rPr>
              <w:t>41</w:t>
            </w:r>
          </w:p>
        </w:tc>
      </w:tr>
      <w:tr w:rsidR="00541659" w:rsidRPr="00301844" w14:paraId="6AF108E5" w14:textId="77777777" w:rsidTr="009B00E9">
        <w:trPr>
          <w:trHeight w:val="300"/>
        </w:trPr>
        <w:tc>
          <w:tcPr>
            <w:tcW w:w="3766" w:type="dxa"/>
            <w:gridSpan w:val="2"/>
            <w:tcBorders>
              <w:top w:val="nil"/>
              <w:left w:val="nil"/>
              <w:bottom w:val="nil"/>
              <w:right w:val="nil"/>
            </w:tcBorders>
            <w:shd w:val="clear" w:color="auto" w:fill="auto"/>
            <w:noWrap/>
            <w:vAlign w:val="bottom"/>
            <w:hideMark/>
          </w:tcPr>
          <w:p w14:paraId="35CB3EE9" w14:textId="10511C6F" w:rsidR="00541659" w:rsidRPr="00301844" w:rsidRDefault="00541659" w:rsidP="00300688">
            <w:pPr>
              <w:rPr>
                <w:rFonts w:ascii="Arial" w:hAnsi="Arial" w:cs="Arial"/>
                <w:color w:val="000000"/>
              </w:rPr>
            </w:pPr>
            <w:r w:rsidRPr="00301844">
              <w:rPr>
                <w:rFonts w:ascii="Arial" w:hAnsi="Arial" w:cs="Arial"/>
                <w:color w:val="000000"/>
              </w:rPr>
              <w:t>Sales/Net Working Capital (times)</w:t>
            </w:r>
          </w:p>
        </w:tc>
        <w:tc>
          <w:tcPr>
            <w:tcW w:w="838" w:type="dxa"/>
            <w:tcBorders>
              <w:top w:val="nil"/>
              <w:left w:val="nil"/>
              <w:bottom w:val="nil"/>
              <w:right w:val="nil"/>
            </w:tcBorders>
            <w:shd w:val="clear" w:color="auto" w:fill="auto"/>
            <w:noWrap/>
            <w:vAlign w:val="bottom"/>
            <w:hideMark/>
          </w:tcPr>
          <w:p w14:paraId="51393940" w14:textId="77777777" w:rsidR="00541659" w:rsidRPr="00301844" w:rsidRDefault="00541659" w:rsidP="00C73881">
            <w:pPr>
              <w:jc w:val="right"/>
              <w:rPr>
                <w:rFonts w:ascii="Arial" w:hAnsi="Arial" w:cs="Arial"/>
                <w:color w:val="000000"/>
              </w:rPr>
            </w:pPr>
            <w:r w:rsidRPr="00301844">
              <w:rPr>
                <w:rFonts w:ascii="Arial" w:hAnsi="Arial" w:cs="Arial"/>
                <w:color w:val="000000"/>
              </w:rPr>
              <w:t>24</w:t>
            </w:r>
          </w:p>
        </w:tc>
        <w:tc>
          <w:tcPr>
            <w:tcW w:w="1017" w:type="dxa"/>
            <w:tcBorders>
              <w:top w:val="nil"/>
              <w:left w:val="nil"/>
              <w:bottom w:val="nil"/>
              <w:right w:val="nil"/>
            </w:tcBorders>
            <w:shd w:val="clear" w:color="auto" w:fill="auto"/>
            <w:noWrap/>
            <w:vAlign w:val="bottom"/>
            <w:hideMark/>
          </w:tcPr>
          <w:p w14:paraId="1B5631EE" w14:textId="77777777" w:rsidR="00541659" w:rsidRPr="00301844" w:rsidRDefault="00541659" w:rsidP="00C73881">
            <w:pPr>
              <w:jc w:val="right"/>
              <w:rPr>
                <w:rFonts w:ascii="Arial" w:hAnsi="Arial" w:cs="Arial"/>
                <w:color w:val="000000"/>
              </w:rPr>
            </w:pPr>
            <w:r w:rsidRPr="00301844">
              <w:rPr>
                <w:rFonts w:ascii="Arial" w:hAnsi="Arial" w:cs="Arial"/>
                <w:color w:val="000000"/>
              </w:rPr>
              <w:t>14.7</w:t>
            </w:r>
          </w:p>
        </w:tc>
        <w:tc>
          <w:tcPr>
            <w:tcW w:w="828" w:type="dxa"/>
            <w:tcBorders>
              <w:top w:val="nil"/>
              <w:left w:val="nil"/>
              <w:bottom w:val="nil"/>
              <w:right w:val="nil"/>
            </w:tcBorders>
            <w:shd w:val="clear" w:color="auto" w:fill="auto"/>
            <w:noWrap/>
            <w:vAlign w:val="bottom"/>
            <w:hideMark/>
          </w:tcPr>
          <w:p w14:paraId="54C63D98" w14:textId="77777777" w:rsidR="00541659" w:rsidRPr="00301844" w:rsidRDefault="00541659" w:rsidP="00C73881">
            <w:pPr>
              <w:jc w:val="right"/>
              <w:rPr>
                <w:rFonts w:ascii="Arial" w:hAnsi="Arial" w:cs="Arial"/>
                <w:color w:val="000000"/>
              </w:rPr>
            </w:pPr>
            <w:r w:rsidRPr="00301844">
              <w:rPr>
                <w:rFonts w:ascii="Arial" w:hAnsi="Arial" w:cs="Arial"/>
                <w:color w:val="000000"/>
              </w:rPr>
              <w:t>7.7</w:t>
            </w:r>
          </w:p>
        </w:tc>
        <w:tc>
          <w:tcPr>
            <w:tcW w:w="222" w:type="dxa"/>
            <w:tcBorders>
              <w:top w:val="nil"/>
              <w:left w:val="nil"/>
              <w:bottom w:val="nil"/>
              <w:right w:val="nil"/>
            </w:tcBorders>
            <w:shd w:val="clear" w:color="auto" w:fill="auto"/>
            <w:noWrap/>
            <w:vAlign w:val="bottom"/>
            <w:hideMark/>
          </w:tcPr>
          <w:p w14:paraId="5435CAA8"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EAC7216" w14:textId="77777777" w:rsidR="00541659" w:rsidRPr="00301844" w:rsidRDefault="00541659" w:rsidP="00C73881">
            <w:pPr>
              <w:jc w:val="right"/>
              <w:rPr>
                <w:rFonts w:ascii="Arial" w:hAnsi="Arial" w:cs="Arial"/>
                <w:color w:val="000000"/>
              </w:rPr>
            </w:pPr>
            <w:r w:rsidRPr="00301844">
              <w:rPr>
                <w:rFonts w:ascii="Arial" w:hAnsi="Arial" w:cs="Arial"/>
                <w:color w:val="000000"/>
              </w:rPr>
              <w:t>31.3</w:t>
            </w:r>
          </w:p>
        </w:tc>
        <w:tc>
          <w:tcPr>
            <w:tcW w:w="1017" w:type="dxa"/>
            <w:tcBorders>
              <w:top w:val="nil"/>
              <w:left w:val="nil"/>
              <w:bottom w:val="nil"/>
              <w:right w:val="nil"/>
            </w:tcBorders>
            <w:shd w:val="clear" w:color="auto" w:fill="auto"/>
            <w:noWrap/>
            <w:vAlign w:val="bottom"/>
            <w:hideMark/>
          </w:tcPr>
          <w:p w14:paraId="28A194C7" w14:textId="77777777" w:rsidR="00541659" w:rsidRPr="00301844" w:rsidRDefault="00541659" w:rsidP="00C73881">
            <w:pPr>
              <w:jc w:val="right"/>
              <w:rPr>
                <w:rFonts w:ascii="Arial" w:hAnsi="Arial" w:cs="Arial"/>
                <w:color w:val="000000"/>
              </w:rPr>
            </w:pPr>
            <w:r w:rsidRPr="00301844">
              <w:rPr>
                <w:rFonts w:ascii="Arial" w:hAnsi="Arial" w:cs="Arial"/>
                <w:color w:val="000000"/>
              </w:rPr>
              <w:t>15.5</w:t>
            </w:r>
          </w:p>
        </w:tc>
        <w:tc>
          <w:tcPr>
            <w:tcW w:w="828" w:type="dxa"/>
            <w:tcBorders>
              <w:top w:val="nil"/>
              <w:left w:val="nil"/>
              <w:bottom w:val="nil"/>
              <w:right w:val="nil"/>
            </w:tcBorders>
            <w:shd w:val="clear" w:color="auto" w:fill="auto"/>
            <w:noWrap/>
            <w:vAlign w:val="bottom"/>
            <w:hideMark/>
          </w:tcPr>
          <w:p w14:paraId="59D56784" w14:textId="77777777" w:rsidR="00541659" w:rsidRPr="00301844" w:rsidRDefault="00541659" w:rsidP="00C73881">
            <w:pPr>
              <w:jc w:val="right"/>
              <w:rPr>
                <w:rFonts w:ascii="Arial" w:hAnsi="Arial" w:cs="Arial"/>
                <w:color w:val="000000"/>
              </w:rPr>
            </w:pPr>
            <w:r w:rsidRPr="00301844">
              <w:rPr>
                <w:rFonts w:ascii="Arial" w:hAnsi="Arial" w:cs="Arial"/>
                <w:color w:val="000000"/>
              </w:rPr>
              <w:t>8.4</w:t>
            </w:r>
          </w:p>
        </w:tc>
      </w:tr>
      <w:tr w:rsidR="00541659" w:rsidRPr="00301844" w14:paraId="6A0CAC77" w14:textId="77777777" w:rsidTr="009B00E9">
        <w:trPr>
          <w:trHeight w:val="300"/>
        </w:trPr>
        <w:tc>
          <w:tcPr>
            <w:tcW w:w="3544" w:type="dxa"/>
            <w:tcBorders>
              <w:top w:val="nil"/>
              <w:left w:val="nil"/>
              <w:bottom w:val="nil"/>
              <w:right w:val="nil"/>
            </w:tcBorders>
            <w:shd w:val="clear" w:color="auto" w:fill="auto"/>
            <w:noWrap/>
            <w:vAlign w:val="bottom"/>
            <w:hideMark/>
          </w:tcPr>
          <w:p w14:paraId="3BEF2025" w14:textId="633CD91E" w:rsidR="00541659" w:rsidRPr="00301844" w:rsidRDefault="00541659" w:rsidP="00300688">
            <w:pPr>
              <w:rPr>
                <w:rFonts w:ascii="Arial" w:hAnsi="Arial" w:cs="Arial"/>
                <w:color w:val="000000"/>
              </w:rPr>
            </w:pPr>
            <w:r w:rsidRPr="00301844">
              <w:rPr>
                <w:rFonts w:ascii="Arial" w:hAnsi="Arial" w:cs="Arial"/>
                <w:color w:val="000000"/>
              </w:rPr>
              <w:t>Accounts Payable/Sales (%)</w:t>
            </w:r>
          </w:p>
        </w:tc>
        <w:tc>
          <w:tcPr>
            <w:tcW w:w="222" w:type="dxa"/>
            <w:tcBorders>
              <w:top w:val="nil"/>
              <w:left w:val="nil"/>
              <w:bottom w:val="nil"/>
              <w:right w:val="nil"/>
            </w:tcBorders>
            <w:shd w:val="clear" w:color="auto" w:fill="auto"/>
            <w:noWrap/>
            <w:vAlign w:val="bottom"/>
            <w:hideMark/>
          </w:tcPr>
          <w:p w14:paraId="5FB0F518"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2B788C4" w14:textId="77777777" w:rsidR="00541659" w:rsidRPr="00301844" w:rsidRDefault="00541659" w:rsidP="00C73881">
            <w:pPr>
              <w:jc w:val="right"/>
              <w:rPr>
                <w:rFonts w:ascii="Arial" w:hAnsi="Arial" w:cs="Arial"/>
                <w:color w:val="000000"/>
              </w:rPr>
            </w:pPr>
            <w:r w:rsidRPr="00301844">
              <w:rPr>
                <w:rFonts w:ascii="Arial" w:hAnsi="Arial" w:cs="Arial"/>
                <w:color w:val="000000"/>
              </w:rPr>
              <w:t>2</w:t>
            </w:r>
          </w:p>
        </w:tc>
        <w:tc>
          <w:tcPr>
            <w:tcW w:w="1017" w:type="dxa"/>
            <w:tcBorders>
              <w:top w:val="nil"/>
              <w:left w:val="nil"/>
              <w:bottom w:val="nil"/>
              <w:right w:val="nil"/>
            </w:tcBorders>
            <w:shd w:val="clear" w:color="auto" w:fill="auto"/>
            <w:noWrap/>
            <w:vAlign w:val="bottom"/>
            <w:hideMark/>
          </w:tcPr>
          <w:p w14:paraId="76068205" w14:textId="77777777" w:rsidR="00541659" w:rsidRPr="00301844" w:rsidRDefault="00541659" w:rsidP="00C73881">
            <w:pPr>
              <w:jc w:val="right"/>
              <w:rPr>
                <w:rFonts w:ascii="Arial" w:hAnsi="Arial" w:cs="Arial"/>
                <w:color w:val="000000"/>
              </w:rPr>
            </w:pPr>
            <w:r w:rsidRPr="00301844">
              <w:rPr>
                <w:rFonts w:ascii="Arial" w:hAnsi="Arial" w:cs="Arial"/>
                <w:color w:val="000000"/>
              </w:rPr>
              <w:t>2.9</w:t>
            </w:r>
          </w:p>
        </w:tc>
        <w:tc>
          <w:tcPr>
            <w:tcW w:w="828" w:type="dxa"/>
            <w:tcBorders>
              <w:top w:val="nil"/>
              <w:left w:val="nil"/>
              <w:bottom w:val="nil"/>
              <w:right w:val="nil"/>
            </w:tcBorders>
            <w:shd w:val="clear" w:color="auto" w:fill="auto"/>
            <w:noWrap/>
            <w:vAlign w:val="bottom"/>
            <w:hideMark/>
          </w:tcPr>
          <w:p w14:paraId="72B6EA35" w14:textId="77777777" w:rsidR="00541659" w:rsidRPr="00301844" w:rsidRDefault="00541659" w:rsidP="00C73881">
            <w:pPr>
              <w:jc w:val="right"/>
              <w:rPr>
                <w:rFonts w:ascii="Arial" w:hAnsi="Arial" w:cs="Arial"/>
                <w:color w:val="000000"/>
              </w:rPr>
            </w:pPr>
            <w:r w:rsidRPr="00301844">
              <w:rPr>
                <w:rFonts w:ascii="Arial" w:hAnsi="Arial" w:cs="Arial"/>
                <w:color w:val="000000"/>
              </w:rPr>
              <w:t>4.3</w:t>
            </w:r>
          </w:p>
        </w:tc>
        <w:tc>
          <w:tcPr>
            <w:tcW w:w="222" w:type="dxa"/>
            <w:tcBorders>
              <w:top w:val="nil"/>
              <w:left w:val="nil"/>
              <w:bottom w:val="nil"/>
              <w:right w:val="nil"/>
            </w:tcBorders>
            <w:shd w:val="clear" w:color="auto" w:fill="auto"/>
            <w:noWrap/>
            <w:vAlign w:val="bottom"/>
            <w:hideMark/>
          </w:tcPr>
          <w:p w14:paraId="6E43DEC6"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3CC644F2" w14:textId="77777777" w:rsidR="00541659" w:rsidRPr="00301844" w:rsidRDefault="00541659" w:rsidP="00C73881">
            <w:pPr>
              <w:jc w:val="right"/>
              <w:rPr>
                <w:rFonts w:ascii="Arial" w:hAnsi="Arial" w:cs="Arial"/>
                <w:color w:val="000000"/>
              </w:rPr>
            </w:pPr>
            <w:r w:rsidRPr="00301844">
              <w:rPr>
                <w:rFonts w:ascii="Arial" w:hAnsi="Arial" w:cs="Arial"/>
                <w:color w:val="000000"/>
              </w:rPr>
              <w:t>2.2</w:t>
            </w:r>
          </w:p>
        </w:tc>
        <w:tc>
          <w:tcPr>
            <w:tcW w:w="1017" w:type="dxa"/>
            <w:tcBorders>
              <w:top w:val="nil"/>
              <w:left w:val="nil"/>
              <w:bottom w:val="nil"/>
              <w:right w:val="nil"/>
            </w:tcBorders>
            <w:shd w:val="clear" w:color="auto" w:fill="auto"/>
            <w:noWrap/>
            <w:vAlign w:val="bottom"/>
            <w:hideMark/>
          </w:tcPr>
          <w:p w14:paraId="1D4FCADD" w14:textId="77777777" w:rsidR="00541659" w:rsidRPr="00301844" w:rsidRDefault="00541659" w:rsidP="00C73881">
            <w:pPr>
              <w:jc w:val="right"/>
              <w:rPr>
                <w:rFonts w:ascii="Arial" w:hAnsi="Arial" w:cs="Arial"/>
                <w:color w:val="000000"/>
              </w:rPr>
            </w:pPr>
            <w:r w:rsidRPr="00301844">
              <w:rPr>
                <w:rFonts w:ascii="Arial" w:hAnsi="Arial" w:cs="Arial"/>
                <w:color w:val="000000"/>
              </w:rPr>
              <w:t>3.2</w:t>
            </w:r>
          </w:p>
        </w:tc>
        <w:tc>
          <w:tcPr>
            <w:tcW w:w="828" w:type="dxa"/>
            <w:tcBorders>
              <w:top w:val="nil"/>
              <w:left w:val="nil"/>
              <w:bottom w:val="nil"/>
              <w:right w:val="nil"/>
            </w:tcBorders>
            <w:shd w:val="clear" w:color="auto" w:fill="auto"/>
            <w:noWrap/>
            <w:vAlign w:val="bottom"/>
            <w:hideMark/>
          </w:tcPr>
          <w:p w14:paraId="192636B0" w14:textId="77777777" w:rsidR="00541659" w:rsidRPr="00301844" w:rsidRDefault="00541659" w:rsidP="00C73881">
            <w:pPr>
              <w:jc w:val="right"/>
              <w:rPr>
                <w:rFonts w:ascii="Arial" w:hAnsi="Arial" w:cs="Arial"/>
                <w:color w:val="000000"/>
              </w:rPr>
            </w:pPr>
            <w:r w:rsidRPr="00301844">
              <w:rPr>
                <w:rFonts w:ascii="Arial" w:hAnsi="Arial" w:cs="Arial"/>
                <w:color w:val="000000"/>
              </w:rPr>
              <w:t>4.3</w:t>
            </w:r>
          </w:p>
        </w:tc>
      </w:tr>
      <w:tr w:rsidR="00541659" w:rsidRPr="00301844" w14:paraId="5B76BE43" w14:textId="77777777" w:rsidTr="009B00E9">
        <w:trPr>
          <w:trHeight w:val="300"/>
        </w:trPr>
        <w:tc>
          <w:tcPr>
            <w:tcW w:w="3544" w:type="dxa"/>
            <w:tcBorders>
              <w:top w:val="nil"/>
              <w:left w:val="nil"/>
              <w:bottom w:val="nil"/>
              <w:right w:val="nil"/>
            </w:tcBorders>
            <w:shd w:val="clear" w:color="auto" w:fill="auto"/>
            <w:noWrap/>
            <w:vAlign w:val="bottom"/>
            <w:hideMark/>
          </w:tcPr>
          <w:p w14:paraId="034149B8" w14:textId="77777777" w:rsidR="00541659" w:rsidRPr="00301844" w:rsidRDefault="00541659" w:rsidP="00541659">
            <w:pPr>
              <w:jc w:val="center"/>
              <w:rPr>
                <w:rFonts w:ascii="Arial" w:hAnsi="Arial" w:cs="Arial"/>
                <w:color w:val="000000"/>
              </w:rPr>
            </w:pPr>
          </w:p>
        </w:tc>
        <w:tc>
          <w:tcPr>
            <w:tcW w:w="222" w:type="dxa"/>
            <w:tcBorders>
              <w:top w:val="nil"/>
              <w:left w:val="nil"/>
              <w:bottom w:val="nil"/>
              <w:right w:val="nil"/>
            </w:tcBorders>
            <w:shd w:val="clear" w:color="auto" w:fill="auto"/>
            <w:noWrap/>
            <w:vAlign w:val="bottom"/>
            <w:hideMark/>
          </w:tcPr>
          <w:p w14:paraId="7AB5CE50" w14:textId="77777777" w:rsidR="00541659" w:rsidRPr="00301844" w:rsidRDefault="00541659" w:rsidP="00541659">
            <w:pPr>
              <w:rPr>
                <w:rFonts w:ascii="Arial" w:hAnsi="Arial" w:cs="Arial"/>
              </w:rPr>
            </w:pPr>
          </w:p>
        </w:tc>
        <w:tc>
          <w:tcPr>
            <w:tcW w:w="838" w:type="dxa"/>
            <w:tcBorders>
              <w:top w:val="nil"/>
              <w:left w:val="nil"/>
              <w:bottom w:val="nil"/>
              <w:right w:val="nil"/>
            </w:tcBorders>
            <w:shd w:val="clear" w:color="auto" w:fill="auto"/>
            <w:noWrap/>
            <w:vAlign w:val="bottom"/>
            <w:hideMark/>
          </w:tcPr>
          <w:p w14:paraId="2BB8D54B"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6CDB5CF5" w14:textId="77777777" w:rsidR="00541659" w:rsidRPr="00301844" w:rsidRDefault="00541659" w:rsidP="00541659">
            <w:pPr>
              <w:jc w:val="center"/>
              <w:rPr>
                <w:rFonts w:ascii="Arial" w:hAnsi="Arial" w:cs="Arial"/>
              </w:rPr>
            </w:pPr>
          </w:p>
        </w:tc>
        <w:tc>
          <w:tcPr>
            <w:tcW w:w="828" w:type="dxa"/>
            <w:tcBorders>
              <w:top w:val="nil"/>
              <w:left w:val="nil"/>
              <w:bottom w:val="nil"/>
              <w:right w:val="nil"/>
            </w:tcBorders>
            <w:shd w:val="clear" w:color="auto" w:fill="auto"/>
            <w:noWrap/>
            <w:vAlign w:val="bottom"/>
            <w:hideMark/>
          </w:tcPr>
          <w:p w14:paraId="368A247B" w14:textId="77777777" w:rsidR="00541659" w:rsidRPr="00301844" w:rsidRDefault="00541659" w:rsidP="00541659">
            <w:pPr>
              <w:jc w:val="center"/>
              <w:rPr>
                <w:rFonts w:ascii="Arial" w:hAnsi="Arial" w:cs="Arial"/>
              </w:rPr>
            </w:pPr>
          </w:p>
        </w:tc>
        <w:tc>
          <w:tcPr>
            <w:tcW w:w="222" w:type="dxa"/>
            <w:tcBorders>
              <w:top w:val="nil"/>
              <w:left w:val="nil"/>
              <w:bottom w:val="nil"/>
              <w:right w:val="nil"/>
            </w:tcBorders>
            <w:shd w:val="clear" w:color="auto" w:fill="auto"/>
            <w:noWrap/>
            <w:vAlign w:val="bottom"/>
            <w:hideMark/>
          </w:tcPr>
          <w:p w14:paraId="6CA657BA" w14:textId="77777777" w:rsidR="00541659" w:rsidRPr="00301844" w:rsidRDefault="00541659" w:rsidP="00541659">
            <w:pPr>
              <w:jc w:val="center"/>
              <w:rPr>
                <w:rFonts w:ascii="Arial" w:hAnsi="Arial" w:cs="Arial"/>
              </w:rPr>
            </w:pPr>
          </w:p>
        </w:tc>
        <w:tc>
          <w:tcPr>
            <w:tcW w:w="838" w:type="dxa"/>
            <w:tcBorders>
              <w:top w:val="nil"/>
              <w:left w:val="nil"/>
              <w:bottom w:val="nil"/>
              <w:right w:val="nil"/>
            </w:tcBorders>
            <w:shd w:val="clear" w:color="auto" w:fill="auto"/>
            <w:noWrap/>
            <w:vAlign w:val="bottom"/>
            <w:hideMark/>
          </w:tcPr>
          <w:p w14:paraId="44805AA1" w14:textId="77777777" w:rsidR="00541659" w:rsidRPr="00301844" w:rsidRDefault="00541659" w:rsidP="00541659">
            <w:pPr>
              <w:jc w:val="center"/>
              <w:rPr>
                <w:rFonts w:ascii="Arial" w:hAnsi="Arial" w:cs="Arial"/>
              </w:rPr>
            </w:pPr>
          </w:p>
        </w:tc>
        <w:tc>
          <w:tcPr>
            <w:tcW w:w="1017" w:type="dxa"/>
            <w:tcBorders>
              <w:top w:val="nil"/>
              <w:left w:val="nil"/>
              <w:bottom w:val="nil"/>
              <w:right w:val="nil"/>
            </w:tcBorders>
            <w:shd w:val="clear" w:color="auto" w:fill="auto"/>
            <w:noWrap/>
            <w:vAlign w:val="bottom"/>
            <w:hideMark/>
          </w:tcPr>
          <w:p w14:paraId="0B21A73C" w14:textId="77777777" w:rsidR="00541659" w:rsidRPr="00301844" w:rsidRDefault="00541659" w:rsidP="00541659">
            <w:pPr>
              <w:jc w:val="center"/>
              <w:rPr>
                <w:rFonts w:ascii="Arial" w:hAnsi="Arial" w:cs="Arial"/>
              </w:rPr>
            </w:pPr>
          </w:p>
        </w:tc>
        <w:tc>
          <w:tcPr>
            <w:tcW w:w="828" w:type="dxa"/>
            <w:tcBorders>
              <w:top w:val="nil"/>
              <w:left w:val="nil"/>
              <w:bottom w:val="nil"/>
              <w:right w:val="nil"/>
            </w:tcBorders>
            <w:shd w:val="clear" w:color="auto" w:fill="auto"/>
            <w:noWrap/>
            <w:vAlign w:val="bottom"/>
            <w:hideMark/>
          </w:tcPr>
          <w:p w14:paraId="25196CFC" w14:textId="77777777" w:rsidR="00541659" w:rsidRPr="00301844" w:rsidRDefault="00541659" w:rsidP="00541659">
            <w:pPr>
              <w:jc w:val="center"/>
              <w:rPr>
                <w:rFonts w:ascii="Arial" w:hAnsi="Arial" w:cs="Arial"/>
              </w:rPr>
            </w:pPr>
          </w:p>
        </w:tc>
      </w:tr>
      <w:tr w:rsidR="00541659" w:rsidRPr="00301844" w14:paraId="534087E7" w14:textId="77777777" w:rsidTr="009B00E9">
        <w:trPr>
          <w:trHeight w:val="300"/>
        </w:trPr>
        <w:tc>
          <w:tcPr>
            <w:tcW w:w="3544" w:type="dxa"/>
            <w:tcBorders>
              <w:top w:val="nil"/>
              <w:left w:val="nil"/>
              <w:bottom w:val="nil"/>
              <w:right w:val="nil"/>
            </w:tcBorders>
            <w:shd w:val="clear" w:color="auto" w:fill="auto"/>
            <w:noWrap/>
            <w:vAlign w:val="bottom"/>
            <w:hideMark/>
          </w:tcPr>
          <w:p w14:paraId="756DEB73" w14:textId="2B94BD35" w:rsidR="00541659" w:rsidRPr="00301844" w:rsidRDefault="00541659" w:rsidP="00541659">
            <w:pPr>
              <w:rPr>
                <w:rFonts w:ascii="Arial" w:hAnsi="Arial" w:cs="Arial"/>
                <w:b/>
                <w:bCs/>
                <w:color w:val="000000"/>
              </w:rPr>
            </w:pPr>
            <w:r w:rsidRPr="00301844">
              <w:rPr>
                <w:rFonts w:ascii="Arial" w:hAnsi="Arial" w:cs="Arial"/>
                <w:b/>
                <w:bCs/>
                <w:color w:val="000000"/>
              </w:rPr>
              <w:t xml:space="preserve">Profitability </w:t>
            </w:r>
          </w:p>
        </w:tc>
        <w:tc>
          <w:tcPr>
            <w:tcW w:w="222" w:type="dxa"/>
            <w:tcBorders>
              <w:top w:val="nil"/>
              <w:left w:val="nil"/>
              <w:bottom w:val="nil"/>
              <w:right w:val="nil"/>
            </w:tcBorders>
            <w:shd w:val="clear" w:color="auto" w:fill="auto"/>
            <w:noWrap/>
            <w:vAlign w:val="bottom"/>
            <w:hideMark/>
          </w:tcPr>
          <w:p w14:paraId="14EE9630" w14:textId="77777777" w:rsidR="00541659" w:rsidRPr="00301844" w:rsidRDefault="00541659" w:rsidP="00541659">
            <w:pPr>
              <w:rPr>
                <w:rFonts w:ascii="Arial" w:hAnsi="Arial" w:cs="Arial"/>
                <w:b/>
                <w:bCs/>
                <w:color w:val="000000"/>
              </w:rPr>
            </w:pPr>
          </w:p>
        </w:tc>
        <w:tc>
          <w:tcPr>
            <w:tcW w:w="838" w:type="dxa"/>
            <w:tcBorders>
              <w:top w:val="nil"/>
              <w:left w:val="nil"/>
              <w:bottom w:val="nil"/>
              <w:right w:val="nil"/>
            </w:tcBorders>
            <w:shd w:val="clear" w:color="auto" w:fill="auto"/>
            <w:noWrap/>
            <w:vAlign w:val="bottom"/>
            <w:hideMark/>
          </w:tcPr>
          <w:p w14:paraId="20046936" w14:textId="77777777" w:rsidR="00541659" w:rsidRPr="00301844" w:rsidRDefault="00541659" w:rsidP="00541659">
            <w:pPr>
              <w:jc w:val="center"/>
              <w:rPr>
                <w:rFonts w:ascii="Arial" w:hAnsi="Arial" w:cs="Arial"/>
                <w:color w:val="000000"/>
              </w:rPr>
            </w:pPr>
            <w:r w:rsidRPr="00301844">
              <w:rPr>
                <w:rFonts w:ascii="Arial" w:hAnsi="Arial" w:cs="Arial"/>
                <w:color w:val="000000"/>
              </w:rPr>
              <w:t>Upper</w:t>
            </w:r>
          </w:p>
        </w:tc>
        <w:tc>
          <w:tcPr>
            <w:tcW w:w="1017" w:type="dxa"/>
            <w:tcBorders>
              <w:top w:val="nil"/>
              <w:left w:val="nil"/>
              <w:bottom w:val="nil"/>
              <w:right w:val="nil"/>
            </w:tcBorders>
            <w:shd w:val="clear" w:color="auto" w:fill="auto"/>
            <w:noWrap/>
            <w:vAlign w:val="bottom"/>
            <w:hideMark/>
          </w:tcPr>
          <w:p w14:paraId="6444F1D0" w14:textId="77777777" w:rsidR="00541659" w:rsidRPr="00301844" w:rsidRDefault="00541659" w:rsidP="00541659">
            <w:pPr>
              <w:jc w:val="center"/>
              <w:rPr>
                <w:rFonts w:ascii="Arial" w:hAnsi="Arial" w:cs="Arial"/>
                <w:color w:val="000000"/>
              </w:rPr>
            </w:pPr>
            <w:r w:rsidRPr="00301844">
              <w:rPr>
                <w:rFonts w:ascii="Arial" w:hAnsi="Arial" w:cs="Arial"/>
                <w:color w:val="000000"/>
              </w:rPr>
              <w:t>Median</w:t>
            </w:r>
          </w:p>
        </w:tc>
        <w:tc>
          <w:tcPr>
            <w:tcW w:w="828" w:type="dxa"/>
            <w:tcBorders>
              <w:top w:val="nil"/>
              <w:left w:val="nil"/>
              <w:bottom w:val="nil"/>
              <w:right w:val="nil"/>
            </w:tcBorders>
            <w:shd w:val="clear" w:color="auto" w:fill="auto"/>
            <w:noWrap/>
            <w:vAlign w:val="bottom"/>
            <w:hideMark/>
          </w:tcPr>
          <w:p w14:paraId="43FDB76B" w14:textId="77777777" w:rsidR="00541659" w:rsidRPr="00301844" w:rsidRDefault="00541659" w:rsidP="00541659">
            <w:pPr>
              <w:jc w:val="center"/>
              <w:rPr>
                <w:rFonts w:ascii="Arial" w:hAnsi="Arial" w:cs="Arial"/>
                <w:color w:val="000000"/>
              </w:rPr>
            </w:pPr>
            <w:r w:rsidRPr="00301844">
              <w:rPr>
                <w:rFonts w:ascii="Arial" w:hAnsi="Arial" w:cs="Arial"/>
                <w:color w:val="000000"/>
              </w:rPr>
              <w:t>Lower</w:t>
            </w:r>
          </w:p>
        </w:tc>
        <w:tc>
          <w:tcPr>
            <w:tcW w:w="222" w:type="dxa"/>
            <w:tcBorders>
              <w:top w:val="nil"/>
              <w:left w:val="nil"/>
              <w:bottom w:val="nil"/>
              <w:right w:val="nil"/>
            </w:tcBorders>
            <w:shd w:val="clear" w:color="auto" w:fill="auto"/>
            <w:noWrap/>
            <w:vAlign w:val="bottom"/>
            <w:hideMark/>
          </w:tcPr>
          <w:p w14:paraId="77724B33" w14:textId="77777777" w:rsidR="00541659" w:rsidRPr="00301844" w:rsidRDefault="00541659" w:rsidP="00541659">
            <w:pPr>
              <w:jc w:val="cente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76BBE0BB" w14:textId="77777777" w:rsidR="00541659" w:rsidRPr="00301844" w:rsidRDefault="00541659" w:rsidP="00541659">
            <w:pPr>
              <w:jc w:val="center"/>
              <w:rPr>
                <w:rFonts w:ascii="Arial" w:hAnsi="Arial" w:cs="Arial"/>
                <w:color w:val="000000"/>
              </w:rPr>
            </w:pPr>
            <w:r w:rsidRPr="00301844">
              <w:rPr>
                <w:rFonts w:ascii="Arial" w:hAnsi="Arial" w:cs="Arial"/>
                <w:color w:val="000000"/>
              </w:rPr>
              <w:t>Upper</w:t>
            </w:r>
          </w:p>
        </w:tc>
        <w:tc>
          <w:tcPr>
            <w:tcW w:w="1017" w:type="dxa"/>
            <w:tcBorders>
              <w:top w:val="nil"/>
              <w:left w:val="nil"/>
              <w:bottom w:val="nil"/>
              <w:right w:val="nil"/>
            </w:tcBorders>
            <w:shd w:val="clear" w:color="auto" w:fill="auto"/>
            <w:noWrap/>
            <w:vAlign w:val="bottom"/>
            <w:hideMark/>
          </w:tcPr>
          <w:p w14:paraId="20A953DB" w14:textId="77777777" w:rsidR="00541659" w:rsidRPr="00301844" w:rsidRDefault="00541659" w:rsidP="00541659">
            <w:pPr>
              <w:jc w:val="center"/>
              <w:rPr>
                <w:rFonts w:ascii="Arial" w:hAnsi="Arial" w:cs="Arial"/>
                <w:color w:val="000000"/>
              </w:rPr>
            </w:pPr>
            <w:r w:rsidRPr="00301844">
              <w:rPr>
                <w:rFonts w:ascii="Arial" w:hAnsi="Arial" w:cs="Arial"/>
                <w:color w:val="000000"/>
              </w:rPr>
              <w:t>Median</w:t>
            </w:r>
          </w:p>
        </w:tc>
        <w:tc>
          <w:tcPr>
            <w:tcW w:w="828" w:type="dxa"/>
            <w:tcBorders>
              <w:top w:val="nil"/>
              <w:left w:val="nil"/>
              <w:bottom w:val="nil"/>
              <w:right w:val="nil"/>
            </w:tcBorders>
            <w:shd w:val="clear" w:color="auto" w:fill="auto"/>
            <w:noWrap/>
            <w:vAlign w:val="bottom"/>
            <w:hideMark/>
          </w:tcPr>
          <w:p w14:paraId="1B02BE05" w14:textId="77777777" w:rsidR="00541659" w:rsidRPr="00301844" w:rsidRDefault="00541659" w:rsidP="00541659">
            <w:pPr>
              <w:jc w:val="center"/>
              <w:rPr>
                <w:rFonts w:ascii="Arial" w:hAnsi="Arial" w:cs="Arial"/>
                <w:color w:val="000000"/>
              </w:rPr>
            </w:pPr>
            <w:r w:rsidRPr="00301844">
              <w:rPr>
                <w:rFonts w:ascii="Arial" w:hAnsi="Arial" w:cs="Arial"/>
                <w:color w:val="000000"/>
              </w:rPr>
              <w:t>Lower</w:t>
            </w:r>
          </w:p>
        </w:tc>
      </w:tr>
      <w:tr w:rsidR="00541659" w:rsidRPr="00301844" w14:paraId="3CC92F71" w14:textId="77777777" w:rsidTr="009B00E9">
        <w:trPr>
          <w:trHeight w:val="300"/>
        </w:trPr>
        <w:tc>
          <w:tcPr>
            <w:tcW w:w="3544" w:type="dxa"/>
            <w:tcBorders>
              <w:top w:val="nil"/>
              <w:left w:val="nil"/>
              <w:bottom w:val="nil"/>
              <w:right w:val="nil"/>
            </w:tcBorders>
            <w:shd w:val="clear" w:color="auto" w:fill="auto"/>
            <w:noWrap/>
            <w:vAlign w:val="bottom"/>
            <w:hideMark/>
          </w:tcPr>
          <w:p w14:paraId="6DAA8AB2" w14:textId="77777777" w:rsidR="00541659" w:rsidRPr="00301844" w:rsidRDefault="00541659" w:rsidP="00541659">
            <w:pPr>
              <w:rPr>
                <w:rFonts w:ascii="Arial" w:hAnsi="Arial" w:cs="Arial"/>
                <w:color w:val="000000"/>
              </w:rPr>
            </w:pPr>
            <w:r w:rsidRPr="00301844">
              <w:rPr>
                <w:rFonts w:ascii="Arial" w:hAnsi="Arial" w:cs="Arial"/>
                <w:color w:val="000000"/>
              </w:rPr>
              <w:t>Return on Sales (%)</w:t>
            </w:r>
          </w:p>
        </w:tc>
        <w:tc>
          <w:tcPr>
            <w:tcW w:w="222" w:type="dxa"/>
            <w:tcBorders>
              <w:top w:val="nil"/>
              <w:left w:val="nil"/>
              <w:bottom w:val="nil"/>
              <w:right w:val="nil"/>
            </w:tcBorders>
            <w:shd w:val="clear" w:color="auto" w:fill="auto"/>
            <w:noWrap/>
            <w:vAlign w:val="bottom"/>
            <w:hideMark/>
          </w:tcPr>
          <w:p w14:paraId="4297D071"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5524499A" w14:textId="77777777" w:rsidR="00541659" w:rsidRPr="00301844" w:rsidRDefault="00541659" w:rsidP="00C73881">
            <w:pPr>
              <w:jc w:val="right"/>
              <w:rPr>
                <w:rFonts w:ascii="Arial" w:hAnsi="Arial" w:cs="Arial"/>
                <w:color w:val="000000"/>
              </w:rPr>
            </w:pPr>
            <w:r w:rsidRPr="00301844">
              <w:rPr>
                <w:rFonts w:ascii="Arial" w:hAnsi="Arial" w:cs="Arial"/>
                <w:color w:val="000000"/>
              </w:rPr>
              <w:t>2.6</w:t>
            </w:r>
          </w:p>
        </w:tc>
        <w:tc>
          <w:tcPr>
            <w:tcW w:w="1017" w:type="dxa"/>
            <w:tcBorders>
              <w:top w:val="nil"/>
              <w:left w:val="nil"/>
              <w:bottom w:val="nil"/>
              <w:right w:val="nil"/>
            </w:tcBorders>
            <w:shd w:val="clear" w:color="auto" w:fill="auto"/>
            <w:noWrap/>
            <w:vAlign w:val="bottom"/>
            <w:hideMark/>
          </w:tcPr>
          <w:p w14:paraId="6C288EE1" w14:textId="77777777" w:rsidR="00541659" w:rsidRPr="00301844" w:rsidRDefault="00541659" w:rsidP="00C73881">
            <w:pPr>
              <w:jc w:val="right"/>
              <w:rPr>
                <w:rFonts w:ascii="Arial" w:hAnsi="Arial" w:cs="Arial"/>
                <w:color w:val="000000"/>
              </w:rPr>
            </w:pPr>
            <w:r w:rsidRPr="00301844">
              <w:rPr>
                <w:rFonts w:ascii="Arial" w:hAnsi="Arial" w:cs="Arial"/>
                <w:color w:val="000000"/>
              </w:rPr>
              <w:t>1.4</w:t>
            </w:r>
          </w:p>
        </w:tc>
        <w:tc>
          <w:tcPr>
            <w:tcW w:w="828" w:type="dxa"/>
            <w:tcBorders>
              <w:top w:val="nil"/>
              <w:left w:val="nil"/>
              <w:bottom w:val="nil"/>
              <w:right w:val="nil"/>
            </w:tcBorders>
            <w:shd w:val="clear" w:color="auto" w:fill="auto"/>
            <w:noWrap/>
            <w:vAlign w:val="bottom"/>
            <w:hideMark/>
          </w:tcPr>
          <w:p w14:paraId="6AFE4A31" w14:textId="77777777" w:rsidR="00541659" w:rsidRPr="00301844" w:rsidRDefault="00541659" w:rsidP="00C73881">
            <w:pPr>
              <w:jc w:val="right"/>
              <w:rPr>
                <w:rFonts w:ascii="Arial" w:hAnsi="Arial" w:cs="Arial"/>
                <w:color w:val="000000"/>
              </w:rPr>
            </w:pPr>
            <w:r w:rsidRPr="00301844">
              <w:rPr>
                <w:rFonts w:ascii="Arial" w:hAnsi="Arial" w:cs="Arial"/>
                <w:color w:val="000000"/>
              </w:rPr>
              <w:t>0.6</w:t>
            </w:r>
          </w:p>
        </w:tc>
        <w:tc>
          <w:tcPr>
            <w:tcW w:w="222" w:type="dxa"/>
            <w:tcBorders>
              <w:top w:val="nil"/>
              <w:left w:val="nil"/>
              <w:bottom w:val="nil"/>
              <w:right w:val="nil"/>
            </w:tcBorders>
            <w:shd w:val="clear" w:color="auto" w:fill="auto"/>
            <w:noWrap/>
            <w:vAlign w:val="bottom"/>
            <w:hideMark/>
          </w:tcPr>
          <w:p w14:paraId="38712EC4"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691BDD82" w14:textId="77777777" w:rsidR="00541659" w:rsidRPr="00301844" w:rsidRDefault="00541659" w:rsidP="00C73881">
            <w:pPr>
              <w:jc w:val="right"/>
              <w:rPr>
                <w:rFonts w:ascii="Arial" w:hAnsi="Arial" w:cs="Arial"/>
                <w:color w:val="000000"/>
              </w:rPr>
            </w:pPr>
            <w:r w:rsidRPr="00301844">
              <w:rPr>
                <w:rFonts w:ascii="Arial" w:hAnsi="Arial" w:cs="Arial"/>
                <w:color w:val="000000"/>
              </w:rPr>
              <w:t>3.1</w:t>
            </w:r>
          </w:p>
        </w:tc>
        <w:tc>
          <w:tcPr>
            <w:tcW w:w="1017" w:type="dxa"/>
            <w:tcBorders>
              <w:top w:val="nil"/>
              <w:left w:val="nil"/>
              <w:bottom w:val="nil"/>
              <w:right w:val="nil"/>
            </w:tcBorders>
            <w:shd w:val="clear" w:color="auto" w:fill="auto"/>
            <w:noWrap/>
            <w:vAlign w:val="bottom"/>
            <w:hideMark/>
          </w:tcPr>
          <w:p w14:paraId="6D0DA8EE" w14:textId="77777777" w:rsidR="00541659" w:rsidRPr="00301844" w:rsidRDefault="00541659" w:rsidP="00C73881">
            <w:pPr>
              <w:jc w:val="right"/>
              <w:rPr>
                <w:rFonts w:ascii="Arial" w:hAnsi="Arial" w:cs="Arial"/>
                <w:color w:val="000000"/>
              </w:rPr>
            </w:pPr>
            <w:r w:rsidRPr="00301844">
              <w:rPr>
                <w:rFonts w:ascii="Arial" w:hAnsi="Arial" w:cs="Arial"/>
                <w:color w:val="000000"/>
              </w:rPr>
              <w:t>1.3</w:t>
            </w:r>
          </w:p>
        </w:tc>
        <w:tc>
          <w:tcPr>
            <w:tcW w:w="828" w:type="dxa"/>
            <w:tcBorders>
              <w:top w:val="nil"/>
              <w:left w:val="nil"/>
              <w:bottom w:val="nil"/>
              <w:right w:val="nil"/>
            </w:tcBorders>
            <w:shd w:val="clear" w:color="auto" w:fill="auto"/>
            <w:noWrap/>
            <w:vAlign w:val="bottom"/>
            <w:hideMark/>
          </w:tcPr>
          <w:p w14:paraId="40169118" w14:textId="77777777" w:rsidR="00541659" w:rsidRPr="00301844" w:rsidRDefault="00541659" w:rsidP="00C73881">
            <w:pPr>
              <w:jc w:val="right"/>
              <w:rPr>
                <w:rFonts w:ascii="Arial" w:hAnsi="Arial" w:cs="Arial"/>
                <w:color w:val="000000"/>
              </w:rPr>
            </w:pPr>
            <w:r w:rsidRPr="00301844">
              <w:rPr>
                <w:rFonts w:ascii="Arial" w:hAnsi="Arial" w:cs="Arial"/>
                <w:color w:val="000000"/>
              </w:rPr>
              <w:t>0.3</w:t>
            </w:r>
          </w:p>
        </w:tc>
      </w:tr>
      <w:tr w:rsidR="00541659" w:rsidRPr="00301844" w14:paraId="2083AECB" w14:textId="77777777" w:rsidTr="009B00E9">
        <w:trPr>
          <w:trHeight w:val="300"/>
        </w:trPr>
        <w:tc>
          <w:tcPr>
            <w:tcW w:w="3544" w:type="dxa"/>
            <w:tcBorders>
              <w:top w:val="nil"/>
              <w:left w:val="nil"/>
              <w:bottom w:val="nil"/>
              <w:right w:val="nil"/>
            </w:tcBorders>
            <w:shd w:val="clear" w:color="auto" w:fill="auto"/>
            <w:noWrap/>
            <w:vAlign w:val="bottom"/>
            <w:hideMark/>
          </w:tcPr>
          <w:p w14:paraId="0D2DE735" w14:textId="77777777" w:rsidR="00541659" w:rsidRPr="00301844" w:rsidRDefault="00541659" w:rsidP="00541659">
            <w:pPr>
              <w:rPr>
                <w:rFonts w:ascii="Arial" w:hAnsi="Arial" w:cs="Arial"/>
                <w:color w:val="000000"/>
              </w:rPr>
            </w:pPr>
            <w:r w:rsidRPr="00301844">
              <w:rPr>
                <w:rFonts w:ascii="Arial" w:hAnsi="Arial" w:cs="Arial"/>
                <w:color w:val="000000"/>
              </w:rPr>
              <w:t>Return on Assets (%)</w:t>
            </w:r>
          </w:p>
        </w:tc>
        <w:tc>
          <w:tcPr>
            <w:tcW w:w="222" w:type="dxa"/>
            <w:tcBorders>
              <w:top w:val="nil"/>
              <w:left w:val="nil"/>
              <w:bottom w:val="nil"/>
              <w:right w:val="nil"/>
            </w:tcBorders>
            <w:shd w:val="clear" w:color="auto" w:fill="auto"/>
            <w:noWrap/>
            <w:vAlign w:val="bottom"/>
            <w:hideMark/>
          </w:tcPr>
          <w:p w14:paraId="350B97F9"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18D1FC62" w14:textId="77777777" w:rsidR="00541659" w:rsidRPr="00301844" w:rsidRDefault="00541659" w:rsidP="00C73881">
            <w:pPr>
              <w:jc w:val="right"/>
              <w:rPr>
                <w:rFonts w:ascii="Arial" w:hAnsi="Arial" w:cs="Arial"/>
                <w:color w:val="000000"/>
              </w:rPr>
            </w:pPr>
            <w:r w:rsidRPr="00301844">
              <w:rPr>
                <w:rFonts w:ascii="Arial" w:hAnsi="Arial" w:cs="Arial"/>
                <w:color w:val="000000"/>
              </w:rPr>
              <w:t>11.9</w:t>
            </w:r>
          </w:p>
        </w:tc>
        <w:tc>
          <w:tcPr>
            <w:tcW w:w="1017" w:type="dxa"/>
            <w:tcBorders>
              <w:top w:val="nil"/>
              <w:left w:val="nil"/>
              <w:bottom w:val="nil"/>
              <w:right w:val="nil"/>
            </w:tcBorders>
            <w:shd w:val="clear" w:color="auto" w:fill="auto"/>
            <w:noWrap/>
            <w:vAlign w:val="bottom"/>
            <w:hideMark/>
          </w:tcPr>
          <w:p w14:paraId="4ACBF5AC" w14:textId="77777777" w:rsidR="00541659" w:rsidRPr="00301844" w:rsidRDefault="00541659" w:rsidP="00C73881">
            <w:pPr>
              <w:jc w:val="right"/>
              <w:rPr>
                <w:rFonts w:ascii="Arial" w:hAnsi="Arial" w:cs="Arial"/>
                <w:color w:val="000000"/>
              </w:rPr>
            </w:pPr>
            <w:r w:rsidRPr="00301844">
              <w:rPr>
                <w:rFonts w:ascii="Arial" w:hAnsi="Arial" w:cs="Arial"/>
                <w:color w:val="000000"/>
              </w:rPr>
              <w:t>5.2</w:t>
            </w:r>
          </w:p>
        </w:tc>
        <w:tc>
          <w:tcPr>
            <w:tcW w:w="828" w:type="dxa"/>
            <w:tcBorders>
              <w:top w:val="nil"/>
              <w:left w:val="nil"/>
              <w:bottom w:val="nil"/>
              <w:right w:val="nil"/>
            </w:tcBorders>
            <w:shd w:val="clear" w:color="auto" w:fill="auto"/>
            <w:noWrap/>
            <w:vAlign w:val="bottom"/>
            <w:hideMark/>
          </w:tcPr>
          <w:p w14:paraId="0D9C988F" w14:textId="77777777" w:rsidR="00541659" w:rsidRPr="00301844" w:rsidRDefault="00541659" w:rsidP="00C73881">
            <w:pPr>
              <w:jc w:val="right"/>
              <w:rPr>
                <w:rFonts w:ascii="Arial" w:hAnsi="Arial" w:cs="Arial"/>
                <w:color w:val="000000"/>
              </w:rPr>
            </w:pPr>
            <w:r w:rsidRPr="00301844">
              <w:rPr>
                <w:rFonts w:ascii="Arial" w:hAnsi="Arial" w:cs="Arial"/>
                <w:color w:val="000000"/>
              </w:rPr>
              <w:t>2.1</w:t>
            </w:r>
          </w:p>
        </w:tc>
        <w:tc>
          <w:tcPr>
            <w:tcW w:w="222" w:type="dxa"/>
            <w:tcBorders>
              <w:top w:val="nil"/>
              <w:left w:val="nil"/>
              <w:bottom w:val="nil"/>
              <w:right w:val="nil"/>
            </w:tcBorders>
            <w:shd w:val="clear" w:color="auto" w:fill="auto"/>
            <w:noWrap/>
            <w:vAlign w:val="bottom"/>
            <w:hideMark/>
          </w:tcPr>
          <w:p w14:paraId="4B956DF4"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3EA818D6" w14:textId="77777777" w:rsidR="00541659" w:rsidRPr="00301844" w:rsidRDefault="00541659" w:rsidP="00C73881">
            <w:pPr>
              <w:jc w:val="right"/>
              <w:rPr>
                <w:rFonts w:ascii="Arial" w:hAnsi="Arial" w:cs="Arial"/>
                <w:color w:val="000000"/>
              </w:rPr>
            </w:pPr>
            <w:r w:rsidRPr="00301844">
              <w:rPr>
                <w:rFonts w:ascii="Arial" w:hAnsi="Arial" w:cs="Arial"/>
                <w:color w:val="000000"/>
              </w:rPr>
              <w:t>9.4</w:t>
            </w:r>
          </w:p>
        </w:tc>
        <w:tc>
          <w:tcPr>
            <w:tcW w:w="1017" w:type="dxa"/>
            <w:tcBorders>
              <w:top w:val="nil"/>
              <w:left w:val="nil"/>
              <w:bottom w:val="nil"/>
              <w:right w:val="nil"/>
            </w:tcBorders>
            <w:shd w:val="clear" w:color="auto" w:fill="auto"/>
            <w:noWrap/>
            <w:vAlign w:val="bottom"/>
            <w:hideMark/>
          </w:tcPr>
          <w:p w14:paraId="51CD927F" w14:textId="77777777" w:rsidR="00541659" w:rsidRPr="00301844" w:rsidRDefault="00541659" w:rsidP="00C73881">
            <w:pPr>
              <w:jc w:val="right"/>
              <w:rPr>
                <w:rFonts w:ascii="Arial" w:hAnsi="Arial" w:cs="Arial"/>
                <w:color w:val="000000"/>
              </w:rPr>
            </w:pPr>
            <w:r w:rsidRPr="00301844">
              <w:rPr>
                <w:rFonts w:ascii="Arial" w:hAnsi="Arial" w:cs="Arial"/>
                <w:color w:val="000000"/>
              </w:rPr>
              <w:t>4.5</w:t>
            </w:r>
          </w:p>
        </w:tc>
        <w:tc>
          <w:tcPr>
            <w:tcW w:w="828" w:type="dxa"/>
            <w:tcBorders>
              <w:top w:val="nil"/>
              <w:left w:val="nil"/>
              <w:bottom w:val="nil"/>
              <w:right w:val="nil"/>
            </w:tcBorders>
            <w:shd w:val="clear" w:color="auto" w:fill="auto"/>
            <w:noWrap/>
            <w:vAlign w:val="bottom"/>
            <w:hideMark/>
          </w:tcPr>
          <w:p w14:paraId="5679FA49" w14:textId="77777777" w:rsidR="00541659" w:rsidRPr="00301844" w:rsidRDefault="00541659" w:rsidP="00C73881">
            <w:pPr>
              <w:jc w:val="right"/>
              <w:rPr>
                <w:rFonts w:ascii="Arial" w:hAnsi="Arial" w:cs="Arial"/>
                <w:color w:val="000000"/>
              </w:rPr>
            </w:pPr>
            <w:r w:rsidRPr="00301844">
              <w:rPr>
                <w:rFonts w:ascii="Arial" w:hAnsi="Arial" w:cs="Arial"/>
                <w:color w:val="000000"/>
              </w:rPr>
              <w:t>0.7</w:t>
            </w:r>
          </w:p>
        </w:tc>
      </w:tr>
      <w:tr w:rsidR="00541659" w:rsidRPr="00301844" w14:paraId="2C25B529" w14:textId="77777777" w:rsidTr="009B00E9">
        <w:trPr>
          <w:trHeight w:val="300"/>
        </w:trPr>
        <w:tc>
          <w:tcPr>
            <w:tcW w:w="3544" w:type="dxa"/>
            <w:tcBorders>
              <w:top w:val="nil"/>
              <w:left w:val="nil"/>
              <w:bottom w:val="nil"/>
              <w:right w:val="nil"/>
            </w:tcBorders>
            <w:shd w:val="clear" w:color="auto" w:fill="auto"/>
            <w:noWrap/>
            <w:vAlign w:val="bottom"/>
            <w:hideMark/>
          </w:tcPr>
          <w:p w14:paraId="76D56747" w14:textId="77777777" w:rsidR="00541659" w:rsidRPr="00301844" w:rsidRDefault="00541659" w:rsidP="00541659">
            <w:pPr>
              <w:rPr>
                <w:rFonts w:ascii="Arial" w:hAnsi="Arial" w:cs="Arial"/>
                <w:color w:val="000000"/>
              </w:rPr>
            </w:pPr>
            <w:r w:rsidRPr="00301844">
              <w:rPr>
                <w:rFonts w:ascii="Arial" w:hAnsi="Arial" w:cs="Arial"/>
                <w:color w:val="000000"/>
              </w:rPr>
              <w:t>Return on Net Worth (%)</w:t>
            </w:r>
          </w:p>
        </w:tc>
        <w:tc>
          <w:tcPr>
            <w:tcW w:w="222" w:type="dxa"/>
            <w:tcBorders>
              <w:top w:val="nil"/>
              <w:left w:val="nil"/>
              <w:bottom w:val="nil"/>
              <w:right w:val="nil"/>
            </w:tcBorders>
            <w:shd w:val="clear" w:color="auto" w:fill="auto"/>
            <w:noWrap/>
            <w:vAlign w:val="bottom"/>
            <w:hideMark/>
          </w:tcPr>
          <w:p w14:paraId="73E7FE35" w14:textId="77777777" w:rsidR="00541659" w:rsidRPr="00301844" w:rsidRDefault="00541659" w:rsidP="00541659">
            <w:pPr>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26103B5B" w14:textId="77777777" w:rsidR="00541659" w:rsidRPr="00301844" w:rsidRDefault="00541659" w:rsidP="00C73881">
            <w:pPr>
              <w:jc w:val="right"/>
              <w:rPr>
                <w:rFonts w:ascii="Arial" w:hAnsi="Arial" w:cs="Arial"/>
                <w:color w:val="000000"/>
              </w:rPr>
            </w:pPr>
            <w:r w:rsidRPr="00301844">
              <w:rPr>
                <w:rFonts w:ascii="Arial" w:hAnsi="Arial" w:cs="Arial"/>
                <w:color w:val="000000"/>
              </w:rPr>
              <w:t>23.4</w:t>
            </w:r>
          </w:p>
        </w:tc>
        <w:tc>
          <w:tcPr>
            <w:tcW w:w="1017" w:type="dxa"/>
            <w:tcBorders>
              <w:top w:val="nil"/>
              <w:left w:val="nil"/>
              <w:bottom w:val="nil"/>
              <w:right w:val="nil"/>
            </w:tcBorders>
            <w:shd w:val="clear" w:color="auto" w:fill="auto"/>
            <w:noWrap/>
            <w:vAlign w:val="bottom"/>
            <w:hideMark/>
          </w:tcPr>
          <w:p w14:paraId="57C1CE86" w14:textId="77777777" w:rsidR="00541659" w:rsidRPr="00301844" w:rsidRDefault="00541659" w:rsidP="00C73881">
            <w:pPr>
              <w:jc w:val="right"/>
              <w:rPr>
                <w:rFonts w:ascii="Arial" w:hAnsi="Arial" w:cs="Arial"/>
                <w:color w:val="000000"/>
              </w:rPr>
            </w:pPr>
            <w:r w:rsidRPr="00301844">
              <w:rPr>
                <w:rFonts w:ascii="Arial" w:hAnsi="Arial" w:cs="Arial"/>
                <w:color w:val="000000"/>
              </w:rPr>
              <w:t>11.3</w:t>
            </w:r>
          </w:p>
        </w:tc>
        <w:tc>
          <w:tcPr>
            <w:tcW w:w="828" w:type="dxa"/>
            <w:tcBorders>
              <w:top w:val="nil"/>
              <w:left w:val="nil"/>
              <w:bottom w:val="nil"/>
              <w:right w:val="nil"/>
            </w:tcBorders>
            <w:shd w:val="clear" w:color="auto" w:fill="auto"/>
            <w:noWrap/>
            <w:vAlign w:val="bottom"/>
            <w:hideMark/>
          </w:tcPr>
          <w:p w14:paraId="411CDAEC" w14:textId="77777777" w:rsidR="00541659" w:rsidRPr="00301844" w:rsidRDefault="00541659" w:rsidP="00C73881">
            <w:pPr>
              <w:jc w:val="right"/>
              <w:rPr>
                <w:rFonts w:ascii="Arial" w:hAnsi="Arial" w:cs="Arial"/>
                <w:color w:val="000000"/>
              </w:rPr>
            </w:pPr>
            <w:r w:rsidRPr="00301844">
              <w:rPr>
                <w:rFonts w:ascii="Arial" w:hAnsi="Arial" w:cs="Arial"/>
                <w:color w:val="000000"/>
              </w:rPr>
              <w:t>4.1</w:t>
            </w:r>
          </w:p>
        </w:tc>
        <w:tc>
          <w:tcPr>
            <w:tcW w:w="222" w:type="dxa"/>
            <w:tcBorders>
              <w:top w:val="nil"/>
              <w:left w:val="nil"/>
              <w:bottom w:val="nil"/>
              <w:right w:val="nil"/>
            </w:tcBorders>
            <w:shd w:val="clear" w:color="auto" w:fill="auto"/>
            <w:noWrap/>
            <w:vAlign w:val="bottom"/>
            <w:hideMark/>
          </w:tcPr>
          <w:p w14:paraId="0B076D53" w14:textId="77777777" w:rsidR="00541659" w:rsidRPr="00301844" w:rsidRDefault="00541659" w:rsidP="00C73881">
            <w:pPr>
              <w:jc w:val="right"/>
              <w:rPr>
                <w:rFonts w:ascii="Arial" w:hAnsi="Arial" w:cs="Arial"/>
                <w:color w:val="000000"/>
              </w:rPr>
            </w:pPr>
          </w:p>
        </w:tc>
        <w:tc>
          <w:tcPr>
            <w:tcW w:w="838" w:type="dxa"/>
            <w:tcBorders>
              <w:top w:val="nil"/>
              <w:left w:val="nil"/>
              <w:bottom w:val="nil"/>
              <w:right w:val="nil"/>
            </w:tcBorders>
            <w:shd w:val="clear" w:color="auto" w:fill="auto"/>
            <w:noWrap/>
            <w:vAlign w:val="bottom"/>
            <w:hideMark/>
          </w:tcPr>
          <w:p w14:paraId="36F9B79C" w14:textId="77777777" w:rsidR="00541659" w:rsidRPr="00301844" w:rsidRDefault="00541659" w:rsidP="00C73881">
            <w:pPr>
              <w:jc w:val="right"/>
              <w:rPr>
                <w:rFonts w:ascii="Arial" w:hAnsi="Arial" w:cs="Arial"/>
                <w:color w:val="000000"/>
              </w:rPr>
            </w:pPr>
            <w:r w:rsidRPr="00301844">
              <w:rPr>
                <w:rFonts w:ascii="Arial" w:hAnsi="Arial" w:cs="Arial"/>
                <w:color w:val="000000"/>
              </w:rPr>
              <w:t>16.1</w:t>
            </w:r>
          </w:p>
        </w:tc>
        <w:tc>
          <w:tcPr>
            <w:tcW w:w="1017" w:type="dxa"/>
            <w:tcBorders>
              <w:top w:val="nil"/>
              <w:left w:val="nil"/>
              <w:bottom w:val="nil"/>
              <w:right w:val="nil"/>
            </w:tcBorders>
            <w:shd w:val="clear" w:color="auto" w:fill="auto"/>
            <w:noWrap/>
            <w:vAlign w:val="bottom"/>
            <w:hideMark/>
          </w:tcPr>
          <w:p w14:paraId="2505A6D4" w14:textId="77777777" w:rsidR="00541659" w:rsidRPr="00301844" w:rsidRDefault="00541659" w:rsidP="00C73881">
            <w:pPr>
              <w:jc w:val="right"/>
              <w:rPr>
                <w:rFonts w:ascii="Arial" w:hAnsi="Arial" w:cs="Arial"/>
                <w:color w:val="000000"/>
              </w:rPr>
            </w:pPr>
            <w:r w:rsidRPr="00301844">
              <w:rPr>
                <w:rFonts w:ascii="Arial" w:hAnsi="Arial" w:cs="Arial"/>
                <w:color w:val="000000"/>
              </w:rPr>
              <w:t>9.2</w:t>
            </w:r>
          </w:p>
        </w:tc>
        <w:tc>
          <w:tcPr>
            <w:tcW w:w="828" w:type="dxa"/>
            <w:tcBorders>
              <w:top w:val="nil"/>
              <w:left w:val="nil"/>
              <w:bottom w:val="nil"/>
              <w:right w:val="nil"/>
            </w:tcBorders>
            <w:shd w:val="clear" w:color="auto" w:fill="auto"/>
            <w:noWrap/>
            <w:vAlign w:val="bottom"/>
            <w:hideMark/>
          </w:tcPr>
          <w:p w14:paraId="64DDCD9C" w14:textId="77777777" w:rsidR="00541659" w:rsidRPr="00301844" w:rsidRDefault="00541659" w:rsidP="00C73881">
            <w:pPr>
              <w:jc w:val="right"/>
              <w:rPr>
                <w:rFonts w:ascii="Arial" w:hAnsi="Arial" w:cs="Arial"/>
                <w:color w:val="000000"/>
              </w:rPr>
            </w:pPr>
            <w:r w:rsidRPr="00301844">
              <w:rPr>
                <w:rFonts w:ascii="Arial" w:hAnsi="Arial" w:cs="Arial"/>
                <w:color w:val="000000"/>
              </w:rPr>
              <w:t>1</w:t>
            </w:r>
          </w:p>
        </w:tc>
      </w:tr>
      <w:tr w:rsidR="00541659" w:rsidRPr="00301844" w14:paraId="5DFD3AE7" w14:textId="77777777" w:rsidTr="009B00E9">
        <w:trPr>
          <w:trHeight w:val="300"/>
        </w:trPr>
        <w:tc>
          <w:tcPr>
            <w:tcW w:w="3544" w:type="dxa"/>
            <w:tcBorders>
              <w:top w:val="nil"/>
              <w:left w:val="nil"/>
              <w:bottom w:val="nil"/>
              <w:right w:val="nil"/>
            </w:tcBorders>
            <w:shd w:val="clear" w:color="auto" w:fill="auto"/>
            <w:noWrap/>
            <w:vAlign w:val="bottom"/>
            <w:hideMark/>
          </w:tcPr>
          <w:p w14:paraId="3DA3B76B" w14:textId="77777777" w:rsidR="00541659" w:rsidRPr="00301844" w:rsidRDefault="00541659" w:rsidP="00541659">
            <w:pPr>
              <w:jc w:val="center"/>
              <w:rPr>
                <w:rFonts w:ascii="Arial" w:hAnsi="Arial" w:cs="Arial"/>
                <w:color w:val="000000"/>
              </w:rPr>
            </w:pPr>
          </w:p>
        </w:tc>
        <w:tc>
          <w:tcPr>
            <w:tcW w:w="222" w:type="dxa"/>
            <w:tcBorders>
              <w:top w:val="nil"/>
              <w:left w:val="nil"/>
              <w:bottom w:val="nil"/>
              <w:right w:val="nil"/>
            </w:tcBorders>
            <w:shd w:val="clear" w:color="auto" w:fill="auto"/>
            <w:noWrap/>
            <w:vAlign w:val="bottom"/>
            <w:hideMark/>
          </w:tcPr>
          <w:p w14:paraId="4CC04F53" w14:textId="77777777" w:rsidR="00541659" w:rsidRPr="00301844" w:rsidRDefault="00541659" w:rsidP="00541659">
            <w:pPr>
              <w:rPr>
                <w:rFonts w:ascii="Arial" w:hAnsi="Arial" w:cs="Arial"/>
              </w:rPr>
            </w:pPr>
          </w:p>
        </w:tc>
        <w:tc>
          <w:tcPr>
            <w:tcW w:w="838" w:type="dxa"/>
            <w:tcBorders>
              <w:top w:val="nil"/>
              <w:left w:val="nil"/>
              <w:bottom w:val="nil"/>
              <w:right w:val="nil"/>
            </w:tcBorders>
            <w:shd w:val="clear" w:color="auto" w:fill="auto"/>
            <w:noWrap/>
            <w:vAlign w:val="bottom"/>
            <w:hideMark/>
          </w:tcPr>
          <w:p w14:paraId="08AFF9A0"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620813C3" w14:textId="77777777" w:rsidR="00541659" w:rsidRPr="00301844" w:rsidRDefault="00541659" w:rsidP="00541659">
            <w:pPr>
              <w:rPr>
                <w:rFonts w:ascii="Arial" w:hAnsi="Arial" w:cs="Arial"/>
              </w:rPr>
            </w:pPr>
          </w:p>
        </w:tc>
        <w:tc>
          <w:tcPr>
            <w:tcW w:w="828" w:type="dxa"/>
            <w:tcBorders>
              <w:top w:val="nil"/>
              <w:left w:val="nil"/>
              <w:bottom w:val="nil"/>
              <w:right w:val="nil"/>
            </w:tcBorders>
            <w:shd w:val="clear" w:color="auto" w:fill="auto"/>
            <w:noWrap/>
            <w:vAlign w:val="bottom"/>
            <w:hideMark/>
          </w:tcPr>
          <w:p w14:paraId="6AEB1939" w14:textId="77777777" w:rsidR="00541659" w:rsidRPr="00301844" w:rsidRDefault="00541659" w:rsidP="00541659">
            <w:pPr>
              <w:rPr>
                <w:rFonts w:ascii="Arial" w:hAnsi="Arial" w:cs="Arial"/>
              </w:rPr>
            </w:pPr>
          </w:p>
        </w:tc>
        <w:tc>
          <w:tcPr>
            <w:tcW w:w="222" w:type="dxa"/>
            <w:tcBorders>
              <w:top w:val="nil"/>
              <w:left w:val="nil"/>
              <w:bottom w:val="nil"/>
              <w:right w:val="nil"/>
            </w:tcBorders>
            <w:shd w:val="clear" w:color="auto" w:fill="auto"/>
            <w:noWrap/>
            <w:vAlign w:val="bottom"/>
            <w:hideMark/>
          </w:tcPr>
          <w:p w14:paraId="5833836F" w14:textId="77777777" w:rsidR="00541659" w:rsidRPr="00301844" w:rsidRDefault="00541659" w:rsidP="00541659">
            <w:pPr>
              <w:rPr>
                <w:rFonts w:ascii="Arial" w:hAnsi="Arial" w:cs="Arial"/>
              </w:rPr>
            </w:pPr>
          </w:p>
        </w:tc>
        <w:tc>
          <w:tcPr>
            <w:tcW w:w="838" w:type="dxa"/>
            <w:tcBorders>
              <w:top w:val="nil"/>
              <w:left w:val="nil"/>
              <w:bottom w:val="nil"/>
              <w:right w:val="nil"/>
            </w:tcBorders>
            <w:shd w:val="clear" w:color="auto" w:fill="auto"/>
            <w:noWrap/>
            <w:vAlign w:val="bottom"/>
            <w:hideMark/>
          </w:tcPr>
          <w:p w14:paraId="4B463089" w14:textId="77777777" w:rsidR="00541659" w:rsidRPr="00301844" w:rsidRDefault="00541659" w:rsidP="00541659">
            <w:pPr>
              <w:rPr>
                <w:rFonts w:ascii="Arial" w:hAnsi="Arial" w:cs="Arial"/>
              </w:rPr>
            </w:pPr>
          </w:p>
        </w:tc>
        <w:tc>
          <w:tcPr>
            <w:tcW w:w="1017" w:type="dxa"/>
            <w:tcBorders>
              <w:top w:val="nil"/>
              <w:left w:val="nil"/>
              <w:bottom w:val="nil"/>
              <w:right w:val="nil"/>
            </w:tcBorders>
            <w:shd w:val="clear" w:color="auto" w:fill="auto"/>
            <w:noWrap/>
            <w:vAlign w:val="bottom"/>
            <w:hideMark/>
          </w:tcPr>
          <w:p w14:paraId="5EC0D13B" w14:textId="77777777" w:rsidR="00541659" w:rsidRPr="00301844" w:rsidRDefault="00541659" w:rsidP="00541659">
            <w:pPr>
              <w:rPr>
                <w:rFonts w:ascii="Arial" w:hAnsi="Arial" w:cs="Arial"/>
              </w:rPr>
            </w:pPr>
          </w:p>
        </w:tc>
        <w:tc>
          <w:tcPr>
            <w:tcW w:w="828" w:type="dxa"/>
            <w:tcBorders>
              <w:top w:val="nil"/>
              <w:left w:val="nil"/>
              <w:bottom w:val="nil"/>
              <w:right w:val="nil"/>
            </w:tcBorders>
            <w:shd w:val="clear" w:color="auto" w:fill="auto"/>
            <w:noWrap/>
            <w:vAlign w:val="bottom"/>
            <w:hideMark/>
          </w:tcPr>
          <w:p w14:paraId="2627BFFE" w14:textId="77777777" w:rsidR="00541659" w:rsidRPr="00301844" w:rsidRDefault="00541659" w:rsidP="00541659">
            <w:pPr>
              <w:rPr>
                <w:rFonts w:ascii="Arial" w:hAnsi="Arial" w:cs="Arial"/>
              </w:rPr>
            </w:pPr>
          </w:p>
        </w:tc>
      </w:tr>
    </w:tbl>
    <w:p w14:paraId="465BF50B" w14:textId="77777777" w:rsidR="00301844" w:rsidRDefault="00301844" w:rsidP="00301844">
      <w:pPr>
        <w:pStyle w:val="FootnoteText1"/>
      </w:pPr>
    </w:p>
    <w:p w14:paraId="327B1A51" w14:textId="2A61E175" w:rsidR="00C73881" w:rsidRDefault="00301844" w:rsidP="00301844">
      <w:pPr>
        <w:pStyle w:val="FootnoteText1"/>
        <w:rPr>
          <w:spacing w:val="-2"/>
        </w:rPr>
      </w:pPr>
      <w:r w:rsidRPr="00C73881">
        <w:rPr>
          <w:spacing w:val="-2"/>
        </w:rPr>
        <w:t>Source: Dun &amp; Bradstreet SIC: 5411</w:t>
      </w:r>
      <w:r w:rsidR="00A65DC1" w:rsidRPr="00C73881">
        <w:rPr>
          <w:spacing w:val="-2"/>
        </w:rPr>
        <w:t>,</w:t>
      </w:r>
      <w:r w:rsidR="00BB0BA1" w:rsidRPr="00C73881">
        <w:rPr>
          <w:spacing w:val="-2"/>
        </w:rPr>
        <w:t xml:space="preserve"> </w:t>
      </w:r>
      <w:r w:rsidR="00C73881" w:rsidRPr="00C73881">
        <w:rPr>
          <w:spacing w:val="-2"/>
        </w:rPr>
        <w:t>accessed February 5, 2018, http://www.mergentkbr.com.proxy1.lib.uwo.ca/index.php/</w:t>
      </w:r>
    </w:p>
    <w:p w14:paraId="092D51FF" w14:textId="37AD6C91" w:rsidR="00301844" w:rsidRPr="00C73881" w:rsidRDefault="00BB0BA1" w:rsidP="00301844">
      <w:pPr>
        <w:pStyle w:val="FootnoteText1"/>
        <w:rPr>
          <w:spacing w:val="-2"/>
        </w:rPr>
      </w:pPr>
      <w:proofErr w:type="gramStart"/>
      <w:r w:rsidRPr="00C73881">
        <w:rPr>
          <w:spacing w:val="-2"/>
        </w:rPr>
        <w:t>reports/industry</w:t>
      </w:r>
      <w:proofErr w:type="gramEnd"/>
      <w:r w:rsidR="00DF2F2D" w:rsidRPr="00C73881">
        <w:rPr>
          <w:spacing w:val="-2"/>
        </w:rPr>
        <w:t>.</w:t>
      </w:r>
      <w:bookmarkStart w:id="0" w:name="_GoBack"/>
      <w:bookmarkEnd w:id="0"/>
    </w:p>
    <w:sectPr w:rsidR="00301844" w:rsidRPr="00C73881" w:rsidSect="000E44A0">
      <w:headerReference w:type="default" r:id="rId12"/>
      <w:pgSz w:w="12240" w:h="15840" w:code="1"/>
      <w:pgMar w:top="1080" w:right="1440" w:bottom="1276"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CE1CA" w14:textId="77777777" w:rsidR="00CA7FE4" w:rsidRDefault="00CA7FE4" w:rsidP="00D75295">
      <w:r>
        <w:separator/>
      </w:r>
    </w:p>
  </w:endnote>
  <w:endnote w:type="continuationSeparator" w:id="0">
    <w:p w14:paraId="598B401A" w14:textId="77777777" w:rsidR="00CA7FE4" w:rsidRDefault="00CA7FE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18B63" w14:textId="77777777" w:rsidR="00CA7FE4" w:rsidRDefault="00CA7FE4" w:rsidP="00D75295">
      <w:r>
        <w:separator/>
      </w:r>
    </w:p>
  </w:footnote>
  <w:footnote w:type="continuationSeparator" w:id="0">
    <w:p w14:paraId="0F15DEC0" w14:textId="77777777" w:rsidR="00CA7FE4" w:rsidRDefault="00CA7FE4" w:rsidP="00D75295">
      <w:r>
        <w:continuationSeparator/>
      </w:r>
    </w:p>
  </w:footnote>
  <w:footnote w:id="1">
    <w:p w14:paraId="7675BDC4" w14:textId="4D3FC6E9" w:rsidR="009F7EC4" w:rsidRPr="006E0ECC" w:rsidRDefault="009F7EC4" w:rsidP="007D42F8">
      <w:pPr>
        <w:pStyle w:val="FootnoteText1"/>
        <w:rPr>
          <w:lang w:val="en-CA"/>
        </w:rPr>
      </w:pPr>
      <w:r>
        <w:rPr>
          <w:rStyle w:val="FootnoteReference"/>
        </w:rPr>
        <w:footnoteRef/>
      </w:r>
      <w:r>
        <w:t xml:space="preserve"> IBIS World, </w:t>
      </w:r>
      <w:r w:rsidRPr="009F7EC4">
        <w:rPr>
          <w:i/>
          <w:lang w:val="en-CA"/>
        </w:rPr>
        <w:t>IBIS World Industry Report 445</w:t>
      </w:r>
      <w:r w:rsidR="00FE604A">
        <w:rPr>
          <w:i/>
          <w:lang w:val="en-CA"/>
        </w:rPr>
        <w:t>1</w:t>
      </w:r>
      <w:r w:rsidRPr="009F7EC4">
        <w:rPr>
          <w:i/>
          <w:lang w:val="en-CA"/>
        </w:rPr>
        <w:t>1</w:t>
      </w:r>
      <w:r>
        <w:rPr>
          <w:i/>
          <w:lang w:val="en-CA"/>
        </w:rPr>
        <w:t>:</w:t>
      </w:r>
      <w:r w:rsidRPr="009F7EC4">
        <w:rPr>
          <w:i/>
          <w:lang w:val="en-CA"/>
        </w:rPr>
        <w:t xml:space="preserve"> Supermarkets &amp; Grocery Stores in the US</w:t>
      </w:r>
      <w:r>
        <w:rPr>
          <w:lang w:val="en-CA"/>
        </w:rPr>
        <w:t>, January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DAA16" w14:textId="723F2AB0" w:rsidR="009F7EC4" w:rsidRDefault="009F7EC4"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73881">
      <w:rPr>
        <w:rFonts w:ascii="Arial" w:hAnsi="Arial"/>
        <w:b/>
        <w:noProof/>
      </w:rPr>
      <w:t>3</w:t>
    </w:r>
    <w:r>
      <w:rPr>
        <w:rFonts w:ascii="Arial" w:hAnsi="Arial"/>
        <w:b/>
      </w:rPr>
      <w:fldChar w:fldCharType="end"/>
    </w:r>
    <w:r>
      <w:rPr>
        <w:rFonts w:ascii="Arial" w:hAnsi="Arial"/>
        <w:b/>
      </w:rPr>
      <w:tab/>
    </w:r>
    <w:r w:rsidR="002B45E5">
      <w:rPr>
        <w:rFonts w:ascii="Arial" w:hAnsi="Arial"/>
        <w:b/>
      </w:rPr>
      <w:t>9B18D011</w:t>
    </w:r>
  </w:p>
  <w:p w14:paraId="2002DDF1" w14:textId="77777777" w:rsidR="009F7EC4" w:rsidRPr="00C92CC4" w:rsidRDefault="009F7EC4" w:rsidP="00D13667">
    <w:pPr>
      <w:pStyle w:val="Header"/>
      <w:tabs>
        <w:tab w:val="clear" w:pos="4680"/>
      </w:tabs>
      <w:rPr>
        <w:sz w:val="18"/>
        <w:szCs w:val="18"/>
      </w:rPr>
    </w:pPr>
  </w:p>
  <w:p w14:paraId="29093920" w14:textId="77777777" w:rsidR="009F7EC4" w:rsidRPr="00C92CC4" w:rsidRDefault="009F7EC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3E608A"/>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D178A9F0"/>
    <w:lvl w:ilvl="0">
      <w:start w:val="1"/>
      <w:numFmt w:val="decimal"/>
      <w:lvlText w:val="%1."/>
      <w:lvlJc w:val="left"/>
      <w:pPr>
        <w:tabs>
          <w:tab w:val="num" w:pos="1800"/>
        </w:tabs>
        <w:ind w:left="1800" w:hanging="360"/>
      </w:pPr>
    </w:lvl>
  </w:abstractNum>
  <w:abstractNum w:abstractNumId="2">
    <w:nsid w:val="FFFFFF7D"/>
    <w:multiLevelType w:val="singleLevel"/>
    <w:tmpl w:val="28023C86"/>
    <w:lvl w:ilvl="0">
      <w:start w:val="1"/>
      <w:numFmt w:val="decimal"/>
      <w:lvlText w:val="%1."/>
      <w:lvlJc w:val="left"/>
      <w:pPr>
        <w:tabs>
          <w:tab w:val="num" w:pos="1440"/>
        </w:tabs>
        <w:ind w:left="1440" w:hanging="360"/>
      </w:pPr>
    </w:lvl>
  </w:abstractNum>
  <w:abstractNum w:abstractNumId="3">
    <w:nsid w:val="FFFFFF7E"/>
    <w:multiLevelType w:val="singleLevel"/>
    <w:tmpl w:val="1C400C1C"/>
    <w:lvl w:ilvl="0">
      <w:start w:val="1"/>
      <w:numFmt w:val="decimal"/>
      <w:lvlText w:val="%1."/>
      <w:lvlJc w:val="left"/>
      <w:pPr>
        <w:tabs>
          <w:tab w:val="num" w:pos="1080"/>
        </w:tabs>
        <w:ind w:left="1080" w:hanging="360"/>
      </w:pPr>
    </w:lvl>
  </w:abstractNum>
  <w:abstractNum w:abstractNumId="4">
    <w:nsid w:val="FFFFFF7F"/>
    <w:multiLevelType w:val="singleLevel"/>
    <w:tmpl w:val="B942A02A"/>
    <w:lvl w:ilvl="0">
      <w:start w:val="1"/>
      <w:numFmt w:val="decimal"/>
      <w:lvlText w:val="%1."/>
      <w:lvlJc w:val="left"/>
      <w:pPr>
        <w:tabs>
          <w:tab w:val="num" w:pos="720"/>
        </w:tabs>
        <w:ind w:left="720" w:hanging="360"/>
      </w:pPr>
    </w:lvl>
  </w:abstractNum>
  <w:abstractNum w:abstractNumId="5">
    <w:nsid w:val="FFFFFF80"/>
    <w:multiLevelType w:val="singleLevel"/>
    <w:tmpl w:val="97505F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73E20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6AC4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4B6B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A5009C6"/>
    <w:lvl w:ilvl="0">
      <w:start w:val="1"/>
      <w:numFmt w:val="decimal"/>
      <w:lvlText w:val="%1."/>
      <w:lvlJc w:val="left"/>
      <w:pPr>
        <w:tabs>
          <w:tab w:val="num" w:pos="360"/>
        </w:tabs>
        <w:ind w:left="360" w:hanging="360"/>
      </w:pPr>
    </w:lvl>
  </w:abstractNum>
  <w:abstractNum w:abstractNumId="10">
    <w:nsid w:val="FFFFFF89"/>
    <w:multiLevelType w:val="singleLevel"/>
    <w:tmpl w:val="03F669B6"/>
    <w:lvl w:ilvl="0">
      <w:start w:val="1"/>
      <w:numFmt w:val="bullet"/>
      <w:lvlText w:val=""/>
      <w:lvlJc w:val="left"/>
      <w:pPr>
        <w:tabs>
          <w:tab w:val="num" w:pos="360"/>
        </w:tabs>
        <w:ind w:left="360" w:hanging="360"/>
      </w:pPr>
      <w:rPr>
        <w:rFonts w:ascii="Symbol" w:hAnsi="Symbol" w:hint="default"/>
      </w:rPr>
    </w:lvl>
  </w:abstractNum>
  <w:abstractNum w:abstractNumId="11">
    <w:nsid w:val="01373F48"/>
    <w:multiLevelType w:val="hybridMultilevel"/>
    <w:tmpl w:val="E8CC6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6C60D13"/>
    <w:multiLevelType w:val="hybridMultilevel"/>
    <w:tmpl w:val="7E248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D4724F"/>
    <w:multiLevelType w:val="hybridMultilevel"/>
    <w:tmpl w:val="D3284EB0"/>
    <w:lvl w:ilvl="0" w:tplc="283014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8222559"/>
    <w:multiLevelType w:val="hybridMultilevel"/>
    <w:tmpl w:val="0F1AD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093A2DAA"/>
    <w:multiLevelType w:val="hybridMultilevel"/>
    <w:tmpl w:val="267E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9F19D8"/>
    <w:multiLevelType w:val="hybridMultilevel"/>
    <w:tmpl w:val="583A1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E2ED7"/>
    <w:multiLevelType w:val="hybridMultilevel"/>
    <w:tmpl w:val="76807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6941EC"/>
    <w:multiLevelType w:val="hybridMultilevel"/>
    <w:tmpl w:val="7402D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2">
    <w:nsid w:val="4AB84746"/>
    <w:multiLevelType w:val="hybridMultilevel"/>
    <w:tmpl w:val="0316C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7D6586"/>
    <w:multiLevelType w:val="hybridMultilevel"/>
    <w:tmpl w:val="18AE4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6166E7"/>
    <w:multiLevelType w:val="hybridMultilevel"/>
    <w:tmpl w:val="E3F02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EB2758"/>
    <w:multiLevelType w:val="hybridMultilevel"/>
    <w:tmpl w:val="46CEA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5"/>
  </w:num>
  <w:num w:numId="3">
    <w:abstractNumId w:val="23"/>
  </w:num>
  <w:num w:numId="4">
    <w:abstractNumId w:val="17"/>
  </w:num>
  <w:num w:numId="5">
    <w:abstractNumId w:val="21"/>
  </w:num>
  <w:num w:numId="6">
    <w:abstractNumId w:val="0"/>
  </w:num>
  <w:num w:numId="7">
    <w:abstractNumId w:val="14"/>
  </w:num>
  <w:num w:numId="8">
    <w:abstractNumId w:val="11"/>
  </w:num>
  <w:num w:numId="9">
    <w:abstractNumId w:val="18"/>
  </w:num>
  <w:num w:numId="10">
    <w:abstractNumId w:val="27"/>
  </w:num>
  <w:num w:numId="11">
    <w:abstractNumId w:val="12"/>
  </w:num>
  <w:num w:numId="12">
    <w:abstractNumId w:val="16"/>
  </w:num>
  <w:num w:numId="13">
    <w:abstractNumId w:val="15"/>
  </w:num>
  <w:num w:numId="14">
    <w:abstractNumId w:val="22"/>
  </w:num>
  <w:num w:numId="15">
    <w:abstractNumId w:val="26"/>
  </w:num>
  <w:num w:numId="16">
    <w:abstractNumId w:val="24"/>
  </w:num>
  <w:num w:numId="17">
    <w:abstractNumId w:val="20"/>
  </w:num>
  <w:num w:numId="18">
    <w:abstractNumId w:val="1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7555"/>
    <w:rsid w:val="00013360"/>
    <w:rsid w:val="00013AF1"/>
    <w:rsid w:val="00015F92"/>
    <w:rsid w:val="00016759"/>
    <w:rsid w:val="000216CE"/>
    <w:rsid w:val="00024C48"/>
    <w:rsid w:val="00025DC7"/>
    <w:rsid w:val="000334C4"/>
    <w:rsid w:val="00044ECC"/>
    <w:rsid w:val="00045039"/>
    <w:rsid w:val="0004662D"/>
    <w:rsid w:val="00052116"/>
    <w:rsid w:val="000531D3"/>
    <w:rsid w:val="0005646B"/>
    <w:rsid w:val="00064899"/>
    <w:rsid w:val="0007321C"/>
    <w:rsid w:val="00076FFF"/>
    <w:rsid w:val="0008102D"/>
    <w:rsid w:val="00091610"/>
    <w:rsid w:val="00094C0E"/>
    <w:rsid w:val="000B2612"/>
    <w:rsid w:val="000B510A"/>
    <w:rsid w:val="000D1713"/>
    <w:rsid w:val="000D74D9"/>
    <w:rsid w:val="000D757A"/>
    <w:rsid w:val="000E44A0"/>
    <w:rsid w:val="000E7EBF"/>
    <w:rsid w:val="000F0C22"/>
    <w:rsid w:val="000F6B09"/>
    <w:rsid w:val="000F6FDC"/>
    <w:rsid w:val="00104567"/>
    <w:rsid w:val="00104916"/>
    <w:rsid w:val="00104AA7"/>
    <w:rsid w:val="00113754"/>
    <w:rsid w:val="0011378A"/>
    <w:rsid w:val="00116370"/>
    <w:rsid w:val="00116A36"/>
    <w:rsid w:val="0012732D"/>
    <w:rsid w:val="00143F25"/>
    <w:rsid w:val="00150653"/>
    <w:rsid w:val="00151512"/>
    <w:rsid w:val="00152682"/>
    <w:rsid w:val="00154FC9"/>
    <w:rsid w:val="0019241A"/>
    <w:rsid w:val="001A64DA"/>
    <w:rsid w:val="001A752D"/>
    <w:rsid w:val="001A757E"/>
    <w:rsid w:val="001B3017"/>
    <w:rsid w:val="001B5032"/>
    <w:rsid w:val="001E3321"/>
    <w:rsid w:val="001E364F"/>
    <w:rsid w:val="001F1903"/>
    <w:rsid w:val="001F39D5"/>
    <w:rsid w:val="001F68C1"/>
    <w:rsid w:val="00203AA1"/>
    <w:rsid w:val="00205D37"/>
    <w:rsid w:val="0020786A"/>
    <w:rsid w:val="00213E98"/>
    <w:rsid w:val="00216C95"/>
    <w:rsid w:val="00260995"/>
    <w:rsid w:val="00262C49"/>
    <w:rsid w:val="00267241"/>
    <w:rsid w:val="0027546B"/>
    <w:rsid w:val="00277336"/>
    <w:rsid w:val="00295E13"/>
    <w:rsid w:val="002A7AAF"/>
    <w:rsid w:val="002B1695"/>
    <w:rsid w:val="002B45E5"/>
    <w:rsid w:val="002E084B"/>
    <w:rsid w:val="002F460C"/>
    <w:rsid w:val="002F48D6"/>
    <w:rsid w:val="00300688"/>
    <w:rsid w:val="00300C55"/>
    <w:rsid w:val="00301844"/>
    <w:rsid w:val="00302E49"/>
    <w:rsid w:val="00317391"/>
    <w:rsid w:val="00320323"/>
    <w:rsid w:val="00326216"/>
    <w:rsid w:val="00336580"/>
    <w:rsid w:val="00343EE1"/>
    <w:rsid w:val="00345C2E"/>
    <w:rsid w:val="00354899"/>
    <w:rsid w:val="00355FD6"/>
    <w:rsid w:val="00364A5C"/>
    <w:rsid w:val="00371790"/>
    <w:rsid w:val="00373FB1"/>
    <w:rsid w:val="003814D7"/>
    <w:rsid w:val="00387B00"/>
    <w:rsid w:val="00396C76"/>
    <w:rsid w:val="003A248B"/>
    <w:rsid w:val="003B30D8"/>
    <w:rsid w:val="003B7EF2"/>
    <w:rsid w:val="003C3FA4"/>
    <w:rsid w:val="003D23D1"/>
    <w:rsid w:val="003F2B0C"/>
    <w:rsid w:val="003F3AB6"/>
    <w:rsid w:val="00403086"/>
    <w:rsid w:val="00407921"/>
    <w:rsid w:val="00415C9D"/>
    <w:rsid w:val="004221E4"/>
    <w:rsid w:val="004273F8"/>
    <w:rsid w:val="004355A3"/>
    <w:rsid w:val="00446546"/>
    <w:rsid w:val="004500A8"/>
    <w:rsid w:val="00452769"/>
    <w:rsid w:val="0045605F"/>
    <w:rsid w:val="00462727"/>
    <w:rsid w:val="00466B39"/>
    <w:rsid w:val="0049005E"/>
    <w:rsid w:val="004A66B1"/>
    <w:rsid w:val="004B1CCB"/>
    <w:rsid w:val="004B632F"/>
    <w:rsid w:val="004C295B"/>
    <w:rsid w:val="004C57D0"/>
    <w:rsid w:val="004D3FB1"/>
    <w:rsid w:val="004D6F21"/>
    <w:rsid w:val="004D73A5"/>
    <w:rsid w:val="004F15D5"/>
    <w:rsid w:val="005160F1"/>
    <w:rsid w:val="0052237B"/>
    <w:rsid w:val="00524F2F"/>
    <w:rsid w:val="00527E5C"/>
    <w:rsid w:val="00532CF5"/>
    <w:rsid w:val="00534A1F"/>
    <w:rsid w:val="00537B6B"/>
    <w:rsid w:val="00541659"/>
    <w:rsid w:val="00543357"/>
    <w:rsid w:val="005528CB"/>
    <w:rsid w:val="00555E60"/>
    <w:rsid w:val="00566771"/>
    <w:rsid w:val="00576FDC"/>
    <w:rsid w:val="00581E2E"/>
    <w:rsid w:val="00584F15"/>
    <w:rsid w:val="005903D1"/>
    <w:rsid w:val="0059514B"/>
    <w:rsid w:val="005B14F4"/>
    <w:rsid w:val="005C210C"/>
    <w:rsid w:val="005C31DC"/>
    <w:rsid w:val="005C70DA"/>
    <w:rsid w:val="005D247C"/>
    <w:rsid w:val="005E51FE"/>
    <w:rsid w:val="005E7629"/>
    <w:rsid w:val="005F5151"/>
    <w:rsid w:val="006163F7"/>
    <w:rsid w:val="00627C63"/>
    <w:rsid w:val="0063350B"/>
    <w:rsid w:val="00652606"/>
    <w:rsid w:val="0066338D"/>
    <w:rsid w:val="00665809"/>
    <w:rsid w:val="006946EE"/>
    <w:rsid w:val="006A58A9"/>
    <w:rsid w:val="006A606D"/>
    <w:rsid w:val="006B2399"/>
    <w:rsid w:val="006B776D"/>
    <w:rsid w:val="006C0371"/>
    <w:rsid w:val="006C08B6"/>
    <w:rsid w:val="006C0A12"/>
    <w:rsid w:val="006C0B1A"/>
    <w:rsid w:val="006C3DC8"/>
    <w:rsid w:val="006C6065"/>
    <w:rsid w:val="006C76B0"/>
    <w:rsid w:val="006C7F9F"/>
    <w:rsid w:val="006D5C6A"/>
    <w:rsid w:val="006E0ECC"/>
    <w:rsid w:val="006E107F"/>
    <w:rsid w:val="006E238B"/>
    <w:rsid w:val="006E2F6D"/>
    <w:rsid w:val="006E58F6"/>
    <w:rsid w:val="006E77E1"/>
    <w:rsid w:val="006F0B4A"/>
    <w:rsid w:val="006F131D"/>
    <w:rsid w:val="006F6739"/>
    <w:rsid w:val="007002B8"/>
    <w:rsid w:val="00706362"/>
    <w:rsid w:val="00711642"/>
    <w:rsid w:val="00721F2B"/>
    <w:rsid w:val="00732348"/>
    <w:rsid w:val="007507C6"/>
    <w:rsid w:val="00750C19"/>
    <w:rsid w:val="00751E0B"/>
    <w:rsid w:val="00752BCD"/>
    <w:rsid w:val="00760883"/>
    <w:rsid w:val="00766DA1"/>
    <w:rsid w:val="007866A6"/>
    <w:rsid w:val="00787559"/>
    <w:rsid w:val="007A130D"/>
    <w:rsid w:val="007B5D40"/>
    <w:rsid w:val="007C0B2A"/>
    <w:rsid w:val="007D1A2D"/>
    <w:rsid w:val="007D4102"/>
    <w:rsid w:val="007D42F8"/>
    <w:rsid w:val="007F43B7"/>
    <w:rsid w:val="00804D13"/>
    <w:rsid w:val="00816E73"/>
    <w:rsid w:val="00821FFC"/>
    <w:rsid w:val="00824118"/>
    <w:rsid w:val="008271CA"/>
    <w:rsid w:val="008467D5"/>
    <w:rsid w:val="00850DED"/>
    <w:rsid w:val="00863579"/>
    <w:rsid w:val="008A496A"/>
    <w:rsid w:val="008A4DC4"/>
    <w:rsid w:val="008B438C"/>
    <w:rsid w:val="008D3A46"/>
    <w:rsid w:val="008E0874"/>
    <w:rsid w:val="008E5171"/>
    <w:rsid w:val="00901FF5"/>
    <w:rsid w:val="0090641D"/>
    <w:rsid w:val="009067A4"/>
    <w:rsid w:val="00923035"/>
    <w:rsid w:val="00933D68"/>
    <w:rsid w:val="009340DB"/>
    <w:rsid w:val="00941515"/>
    <w:rsid w:val="0094618C"/>
    <w:rsid w:val="0095684B"/>
    <w:rsid w:val="00960F52"/>
    <w:rsid w:val="00972498"/>
    <w:rsid w:val="0097481F"/>
    <w:rsid w:val="00974CC6"/>
    <w:rsid w:val="00976AD4"/>
    <w:rsid w:val="00983B5B"/>
    <w:rsid w:val="009947AA"/>
    <w:rsid w:val="00995547"/>
    <w:rsid w:val="009A312F"/>
    <w:rsid w:val="009A5348"/>
    <w:rsid w:val="009B00E9"/>
    <w:rsid w:val="009B0AB7"/>
    <w:rsid w:val="009B5F36"/>
    <w:rsid w:val="009B7B31"/>
    <w:rsid w:val="009C76D5"/>
    <w:rsid w:val="009D4F34"/>
    <w:rsid w:val="009F4CD0"/>
    <w:rsid w:val="009F7AA4"/>
    <w:rsid w:val="009F7EC4"/>
    <w:rsid w:val="00A10AD7"/>
    <w:rsid w:val="00A12020"/>
    <w:rsid w:val="00A16C83"/>
    <w:rsid w:val="00A22E75"/>
    <w:rsid w:val="00A37A24"/>
    <w:rsid w:val="00A5257F"/>
    <w:rsid w:val="00A559DB"/>
    <w:rsid w:val="00A61658"/>
    <w:rsid w:val="00A65DC1"/>
    <w:rsid w:val="00A77575"/>
    <w:rsid w:val="00AD4816"/>
    <w:rsid w:val="00AF0110"/>
    <w:rsid w:val="00AF35FC"/>
    <w:rsid w:val="00AF5556"/>
    <w:rsid w:val="00B03639"/>
    <w:rsid w:val="00B0652A"/>
    <w:rsid w:val="00B40937"/>
    <w:rsid w:val="00B423EF"/>
    <w:rsid w:val="00B453DE"/>
    <w:rsid w:val="00B57958"/>
    <w:rsid w:val="00B6054B"/>
    <w:rsid w:val="00B727AF"/>
    <w:rsid w:val="00B901F9"/>
    <w:rsid w:val="00B90227"/>
    <w:rsid w:val="00B91524"/>
    <w:rsid w:val="00B94543"/>
    <w:rsid w:val="00BB0BA1"/>
    <w:rsid w:val="00BC3A6B"/>
    <w:rsid w:val="00BD6EFB"/>
    <w:rsid w:val="00BE136F"/>
    <w:rsid w:val="00BF475B"/>
    <w:rsid w:val="00C03889"/>
    <w:rsid w:val="00C05ABD"/>
    <w:rsid w:val="00C11091"/>
    <w:rsid w:val="00C148B2"/>
    <w:rsid w:val="00C1584D"/>
    <w:rsid w:val="00C15BE2"/>
    <w:rsid w:val="00C3447F"/>
    <w:rsid w:val="00C71028"/>
    <w:rsid w:val="00C73881"/>
    <w:rsid w:val="00C77005"/>
    <w:rsid w:val="00C81491"/>
    <w:rsid w:val="00C81676"/>
    <w:rsid w:val="00C85C5D"/>
    <w:rsid w:val="00C92CC4"/>
    <w:rsid w:val="00CA0AFB"/>
    <w:rsid w:val="00CA2CE1"/>
    <w:rsid w:val="00CA3976"/>
    <w:rsid w:val="00CA50E3"/>
    <w:rsid w:val="00CA757B"/>
    <w:rsid w:val="00CA7FE4"/>
    <w:rsid w:val="00CC1787"/>
    <w:rsid w:val="00CC182C"/>
    <w:rsid w:val="00CD00BE"/>
    <w:rsid w:val="00CD0824"/>
    <w:rsid w:val="00CD2908"/>
    <w:rsid w:val="00CD2A83"/>
    <w:rsid w:val="00D03A82"/>
    <w:rsid w:val="00D059B4"/>
    <w:rsid w:val="00D07D1B"/>
    <w:rsid w:val="00D13667"/>
    <w:rsid w:val="00D15344"/>
    <w:rsid w:val="00D23E9A"/>
    <w:rsid w:val="00D23F57"/>
    <w:rsid w:val="00D31BEC"/>
    <w:rsid w:val="00D32547"/>
    <w:rsid w:val="00D63150"/>
    <w:rsid w:val="00D636BA"/>
    <w:rsid w:val="00D64A32"/>
    <w:rsid w:val="00D64EFC"/>
    <w:rsid w:val="00D66D84"/>
    <w:rsid w:val="00D75295"/>
    <w:rsid w:val="00D76CE9"/>
    <w:rsid w:val="00D97F12"/>
    <w:rsid w:val="00DA6095"/>
    <w:rsid w:val="00DB42E7"/>
    <w:rsid w:val="00DB6D2C"/>
    <w:rsid w:val="00DC516C"/>
    <w:rsid w:val="00DE01A6"/>
    <w:rsid w:val="00DE7A98"/>
    <w:rsid w:val="00DF2F2D"/>
    <w:rsid w:val="00DF32C2"/>
    <w:rsid w:val="00DF6EAE"/>
    <w:rsid w:val="00E114B0"/>
    <w:rsid w:val="00E366D8"/>
    <w:rsid w:val="00E471A7"/>
    <w:rsid w:val="00E51D0D"/>
    <w:rsid w:val="00E635CF"/>
    <w:rsid w:val="00E8054D"/>
    <w:rsid w:val="00E841FA"/>
    <w:rsid w:val="00E90790"/>
    <w:rsid w:val="00EC6DAF"/>
    <w:rsid w:val="00EC6E0A"/>
    <w:rsid w:val="00ED4E18"/>
    <w:rsid w:val="00ED5770"/>
    <w:rsid w:val="00EE1F37"/>
    <w:rsid w:val="00EF5DF8"/>
    <w:rsid w:val="00F0159C"/>
    <w:rsid w:val="00F06E1D"/>
    <w:rsid w:val="00F105B7"/>
    <w:rsid w:val="00F13220"/>
    <w:rsid w:val="00F17A21"/>
    <w:rsid w:val="00F219D1"/>
    <w:rsid w:val="00F27AC6"/>
    <w:rsid w:val="00F37B27"/>
    <w:rsid w:val="00F461FB"/>
    <w:rsid w:val="00F46556"/>
    <w:rsid w:val="00F471CD"/>
    <w:rsid w:val="00F50E91"/>
    <w:rsid w:val="00F57D29"/>
    <w:rsid w:val="00F96201"/>
    <w:rsid w:val="00FA39F6"/>
    <w:rsid w:val="00FB3470"/>
    <w:rsid w:val="00FD0B18"/>
    <w:rsid w:val="00FD2FAD"/>
    <w:rsid w:val="00FE604A"/>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2CF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0184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NoteLevel11">
    <w:name w:val="Note Level 11"/>
    <w:basedOn w:val="Normal"/>
    <w:uiPriority w:val="99"/>
    <w:unhideWhenUsed/>
    <w:rsid w:val="00407921"/>
    <w:pPr>
      <w:keepNext/>
      <w:numPr>
        <w:numId w:val="6"/>
      </w:numPr>
      <w:contextualSpacing/>
      <w:outlineLvl w:val="0"/>
    </w:pPr>
    <w:rPr>
      <w:rFonts w:ascii="Verdana" w:eastAsiaTheme="minorEastAsia" w:hAnsi="Verdana" w:cstheme="minorBidi"/>
      <w:sz w:val="24"/>
      <w:szCs w:val="24"/>
    </w:rPr>
  </w:style>
  <w:style w:type="paragraph" w:customStyle="1" w:styleId="NoteLevel21">
    <w:name w:val="Note Level 21"/>
    <w:basedOn w:val="Normal"/>
    <w:uiPriority w:val="99"/>
    <w:semiHidden/>
    <w:unhideWhenUsed/>
    <w:rsid w:val="00407921"/>
    <w:pPr>
      <w:keepNext/>
      <w:numPr>
        <w:ilvl w:val="1"/>
        <w:numId w:val="6"/>
      </w:numPr>
      <w:contextualSpacing/>
      <w:outlineLvl w:val="1"/>
    </w:pPr>
    <w:rPr>
      <w:rFonts w:ascii="Verdana" w:eastAsiaTheme="minorEastAsia" w:hAnsi="Verdana" w:cstheme="minorBidi"/>
      <w:sz w:val="24"/>
      <w:szCs w:val="24"/>
    </w:rPr>
  </w:style>
  <w:style w:type="paragraph" w:customStyle="1" w:styleId="NoteLevel31">
    <w:name w:val="Note Level 31"/>
    <w:basedOn w:val="Normal"/>
    <w:uiPriority w:val="99"/>
    <w:semiHidden/>
    <w:unhideWhenUsed/>
    <w:rsid w:val="00407921"/>
    <w:pPr>
      <w:keepNext/>
      <w:numPr>
        <w:ilvl w:val="2"/>
        <w:numId w:val="6"/>
      </w:numPr>
      <w:contextualSpacing/>
      <w:outlineLvl w:val="2"/>
    </w:pPr>
    <w:rPr>
      <w:rFonts w:ascii="Verdana" w:eastAsiaTheme="minorEastAsia" w:hAnsi="Verdana" w:cstheme="minorBidi"/>
      <w:sz w:val="24"/>
      <w:szCs w:val="24"/>
    </w:rPr>
  </w:style>
  <w:style w:type="paragraph" w:customStyle="1" w:styleId="NoteLevel41">
    <w:name w:val="Note Level 41"/>
    <w:basedOn w:val="Normal"/>
    <w:uiPriority w:val="99"/>
    <w:semiHidden/>
    <w:unhideWhenUsed/>
    <w:rsid w:val="00407921"/>
    <w:pPr>
      <w:keepNext/>
      <w:numPr>
        <w:ilvl w:val="3"/>
        <w:numId w:val="6"/>
      </w:numPr>
      <w:contextualSpacing/>
      <w:outlineLvl w:val="3"/>
    </w:pPr>
    <w:rPr>
      <w:rFonts w:ascii="Verdana" w:eastAsiaTheme="minorEastAsia" w:hAnsi="Verdana" w:cstheme="minorBidi"/>
      <w:sz w:val="24"/>
      <w:szCs w:val="24"/>
    </w:rPr>
  </w:style>
  <w:style w:type="paragraph" w:customStyle="1" w:styleId="NoteLevel51">
    <w:name w:val="Note Level 51"/>
    <w:basedOn w:val="Normal"/>
    <w:uiPriority w:val="99"/>
    <w:semiHidden/>
    <w:unhideWhenUsed/>
    <w:rsid w:val="00407921"/>
    <w:pPr>
      <w:keepNext/>
      <w:numPr>
        <w:ilvl w:val="4"/>
        <w:numId w:val="6"/>
      </w:numPr>
      <w:contextualSpacing/>
      <w:outlineLvl w:val="4"/>
    </w:pPr>
    <w:rPr>
      <w:rFonts w:ascii="Verdana" w:eastAsiaTheme="minorEastAsia" w:hAnsi="Verdana" w:cstheme="minorBidi"/>
      <w:sz w:val="24"/>
      <w:szCs w:val="24"/>
    </w:rPr>
  </w:style>
  <w:style w:type="paragraph" w:customStyle="1" w:styleId="NoteLevel61">
    <w:name w:val="Note Level 61"/>
    <w:basedOn w:val="Normal"/>
    <w:uiPriority w:val="99"/>
    <w:semiHidden/>
    <w:unhideWhenUsed/>
    <w:rsid w:val="00407921"/>
    <w:pPr>
      <w:keepNext/>
      <w:numPr>
        <w:ilvl w:val="5"/>
        <w:numId w:val="6"/>
      </w:numPr>
      <w:contextualSpacing/>
      <w:outlineLvl w:val="5"/>
    </w:pPr>
    <w:rPr>
      <w:rFonts w:ascii="Verdana" w:eastAsiaTheme="minorEastAsia" w:hAnsi="Verdana" w:cstheme="minorBidi"/>
      <w:sz w:val="24"/>
      <w:szCs w:val="24"/>
    </w:rPr>
  </w:style>
  <w:style w:type="paragraph" w:customStyle="1" w:styleId="NoteLevel71">
    <w:name w:val="Note Level 71"/>
    <w:basedOn w:val="Normal"/>
    <w:uiPriority w:val="99"/>
    <w:semiHidden/>
    <w:unhideWhenUsed/>
    <w:rsid w:val="00407921"/>
    <w:pPr>
      <w:keepNext/>
      <w:numPr>
        <w:ilvl w:val="6"/>
        <w:numId w:val="6"/>
      </w:numPr>
      <w:contextualSpacing/>
      <w:outlineLvl w:val="6"/>
    </w:pPr>
    <w:rPr>
      <w:rFonts w:ascii="Verdana" w:eastAsiaTheme="minorEastAsia" w:hAnsi="Verdana" w:cstheme="minorBidi"/>
      <w:sz w:val="24"/>
      <w:szCs w:val="24"/>
    </w:rPr>
  </w:style>
  <w:style w:type="paragraph" w:customStyle="1" w:styleId="NoteLevel81">
    <w:name w:val="Note Level 81"/>
    <w:basedOn w:val="Normal"/>
    <w:uiPriority w:val="99"/>
    <w:semiHidden/>
    <w:unhideWhenUsed/>
    <w:rsid w:val="00407921"/>
    <w:pPr>
      <w:keepNext/>
      <w:numPr>
        <w:ilvl w:val="7"/>
        <w:numId w:val="6"/>
      </w:numPr>
      <w:contextualSpacing/>
      <w:outlineLvl w:val="7"/>
    </w:pPr>
    <w:rPr>
      <w:rFonts w:ascii="Verdana" w:eastAsiaTheme="minorEastAsia" w:hAnsi="Verdana" w:cstheme="minorBidi"/>
      <w:sz w:val="24"/>
      <w:szCs w:val="24"/>
    </w:rPr>
  </w:style>
  <w:style w:type="paragraph" w:customStyle="1" w:styleId="NoteLevel91">
    <w:name w:val="Note Level 91"/>
    <w:basedOn w:val="Normal"/>
    <w:uiPriority w:val="99"/>
    <w:semiHidden/>
    <w:unhideWhenUsed/>
    <w:rsid w:val="00407921"/>
    <w:pPr>
      <w:keepNext/>
      <w:numPr>
        <w:ilvl w:val="8"/>
        <w:numId w:val="6"/>
      </w:numPr>
      <w:contextualSpacing/>
      <w:outlineLvl w:val="8"/>
    </w:pPr>
    <w:rPr>
      <w:rFonts w:ascii="Verdana" w:eastAsiaTheme="minorEastAsia" w:hAnsi="Verdana" w:cstheme="minorBidi"/>
      <w:sz w:val="24"/>
      <w:szCs w:val="24"/>
    </w:rPr>
  </w:style>
  <w:style w:type="paragraph" w:customStyle="1" w:styleId="NoteLevel12">
    <w:name w:val="Note Level 12"/>
    <w:basedOn w:val="Normal"/>
    <w:uiPriority w:val="99"/>
    <w:unhideWhenUsed/>
    <w:rsid w:val="00267241"/>
    <w:pPr>
      <w:keepNext/>
      <w:tabs>
        <w:tab w:val="num" w:pos="0"/>
      </w:tabs>
      <w:contextualSpacing/>
      <w:outlineLvl w:val="0"/>
    </w:pPr>
    <w:rPr>
      <w:rFonts w:ascii="Verdana" w:eastAsiaTheme="minorEastAsia" w:hAnsi="Verdana" w:cstheme="minorBidi"/>
      <w:sz w:val="24"/>
      <w:szCs w:val="24"/>
    </w:rPr>
  </w:style>
  <w:style w:type="paragraph" w:styleId="Revision">
    <w:name w:val="Revision"/>
    <w:hidden/>
    <w:uiPriority w:val="99"/>
    <w:semiHidden/>
    <w:rsid w:val="00534A1F"/>
    <w:pPr>
      <w:spacing w:after="0" w:line="240" w:lineRule="auto"/>
    </w:pPr>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0184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customStyle="1" w:styleId="NoteLevel11">
    <w:name w:val="Note Level 11"/>
    <w:basedOn w:val="Normal"/>
    <w:uiPriority w:val="99"/>
    <w:unhideWhenUsed/>
    <w:rsid w:val="00407921"/>
    <w:pPr>
      <w:keepNext/>
      <w:numPr>
        <w:numId w:val="6"/>
      </w:numPr>
      <w:contextualSpacing/>
      <w:outlineLvl w:val="0"/>
    </w:pPr>
    <w:rPr>
      <w:rFonts w:ascii="Verdana" w:eastAsiaTheme="minorEastAsia" w:hAnsi="Verdana" w:cstheme="minorBidi"/>
      <w:sz w:val="24"/>
      <w:szCs w:val="24"/>
    </w:rPr>
  </w:style>
  <w:style w:type="paragraph" w:customStyle="1" w:styleId="NoteLevel21">
    <w:name w:val="Note Level 21"/>
    <w:basedOn w:val="Normal"/>
    <w:uiPriority w:val="99"/>
    <w:semiHidden/>
    <w:unhideWhenUsed/>
    <w:rsid w:val="00407921"/>
    <w:pPr>
      <w:keepNext/>
      <w:numPr>
        <w:ilvl w:val="1"/>
        <w:numId w:val="6"/>
      </w:numPr>
      <w:contextualSpacing/>
      <w:outlineLvl w:val="1"/>
    </w:pPr>
    <w:rPr>
      <w:rFonts w:ascii="Verdana" w:eastAsiaTheme="minorEastAsia" w:hAnsi="Verdana" w:cstheme="minorBidi"/>
      <w:sz w:val="24"/>
      <w:szCs w:val="24"/>
    </w:rPr>
  </w:style>
  <w:style w:type="paragraph" w:customStyle="1" w:styleId="NoteLevel31">
    <w:name w:val="Note Level 31"/>
    <w:basedOn w:val="Normal"/>
    <w:uiPriority w:val="99"/>
    <w:semiHidden/>
    <w:unhideWhenUsed/>
    <w:rsid w:val="00407921"/>
    <w:pPr>
      <w:keepNext/>
      <w:numPr>
        <w:ilvl w:val="2"/>
        <w:numId w:val="6"/>
      </w:numPr>
      <w:contextualSpacing/>
      <w:outlineLvl w:val="2"/>
    </w:pPr>
    <w:rPr>
      <w:rFonts w:ascii="Verdana" w:eastAsiaTheme="minorEastAsia" w:hAnsi="Verdana" w:cstheme="minorBidi"/>
      <w:sz w:val="24"/>
      <w:szCs w:val="24"/>
    </w:rPr>
  </w:style>
  <w:style w:type="paragraph" w:customStyle="1" w:styleId="NoteLevel41">
    <w:name w:val="Note Level 41"/>
    <w:basedOn w:val="Normal"/>
    <w:uiPriority w:val="99"/>
    <w:semiHidden/>
    <w:unhideWhenUsed/>
    <w:rsid w:val="00407921"/>
    <w:pPr>
      <w:keepNext/>
      <w:numPr>
        <w:ilvl w:val="3"/>
        <w:numId w:val="6"/>
      </w:numPr>
      <w:contextualSpacing/>
      <w:outlineLvl w:val="3"/>
    </w:pPr>
    <w:rPr>
      <w:rFonts w:ascii="Verdana" w:eastAsiaTheme="minorEastAsia" w:hAnsi="Verdana" w:cstheme="minorBidi"/>
      <w:sz w:val="24"/>
      <w:szCs w:val="24"/>
    </w:rPr>
  </w:style>
  <w:style w:type="paragraph" w:customStyle="1" w:styleId="NoteLevel51">
    <w:name w:val="Note Level 51"/>
    <w:basedOn w:val="Normal"/>
    <w:uiPriority w:val="99"/>
    <w:semiHidden/>
    <w:unhideWhenUsed/>
    <w:rsid w:val="00407921"/>
    <w:pPr>
      <w:keepNext/>
      <w:numPr>
        <w:ilvl w:val="4"/>
        <w:numId w:val="6"/>
      </w:numPr>
      <w:contextualSpacing/>
      <w:outlineLvl w:val="4"/>
    </w:pPr>
    <w:rPr>
      <w:rFonts w:ascii="Verdana" w:eastAsiaTheme="minorEastAsia" w:hAnsi="Verdana" w:cstheme="minorBidi"/>
      <w:sz w:val="24"/>
      <w:szCs w:val="24"/>
    </w:rPr>
  </w:style>
  <w:style w:type="paragraph" w:customStyle="1" w:styleId="NoteLevel61">
    <w:name w:val="Note Level 61"/>
    <w:basedOn w:val="Normal"/>
    <w:uiPriority w:val="99"/>
    <w:semiHidden/>
    <w:unhideWhenUsed/>
    <w:rsid w:val="00407921"/>
    <w:pPr>
      <w:keepNext/>
      <w:numPr>
        <w:ilvl w:val="5"/>
        <w:numId w:val="6"/>
      </w:numPr>
      <w:contextualSpacing/>
      <w:outlineLvl w:val="5"/>
    </w:pPr>
    <w:rPr>
      <w:rFonts w:ascii="Verdana" w:eastAsiaTheme="minorEastAsia" w:hAnsi="Verdana" w:cstheme="minorBidi"/>
      <w:sz w:val="24"/>
      <w:szCs w:val="24"/>
    </w:rPr>
  </w:style>
  <w:style w:type="paragraph" w:customStyle="1" w:styleId="NoteLevel71">
    <w:name w:val="Note Level 71"/>
    <w:basedOn w:val="Normal"/>
    <w:uiPriority w:val="99"/>
    <w:semiHidden/>
    <w:unhideWhenUsed/>
    <w:rsid w:val="00407921"/>
    <w:pPr>
      <w:keepNext/>
      <w:numPr>
        <w:ilvl w:val="6"/>
        <w:numId w:val="6"/>
      </w:numPr>
      <w:contextualSpacing/>
      <w:outlineLvl w:val="6"/>
    </w:pPr>
    <w:rPr>
      <w:rFonts w:ascii="Verdana" w:eastAsiaTheme="minorEastAsia" w:hAnsi="Verdana" w:cstheme="minorBidi"/>
      <w:sz w:val="24"/>
      <w:szCs w:val="24"/>
    </w:rPr>
  </w:style>
  <w:style w:type="paragraph" w:customStyle="1" w:styleId="NoteLevel81">
    <w:name w:val="Note Level 81"/>
    <w:basedOn w:val="Normal"/>
    <w:uiPriority w:val="99"/>
    <w:semiHidden/>
    <w:unhideWhenUsed/>
    <w:rsid w:val="00407921"/>
    <w:pPr>
      <w:keepNext/>
      <w:numPr>
        <w:ilvl w:val="7"/>
        <w:numId w:val="6"/>
      </w:numPr>
      <w:contextualSpacing/>
      <w:outlineLvl w:val="7"/>
    </w:pPr>
    <w:rPr>
      <w:rFonts w:ascii="Verdana" w:eastAsiaTheme="minorEastAsia" w:hAnsi="Verdana" w:cstheme="minorBidi"/>
      <w:sz w:val="24"/>
      <w:szCs w:val="24"/>
    </w:rPr>
  </w:style>
  <w:style w:type="paragraph" w:customStyle="1" w:styleId="NoteLevel91">
    <w:name w:val="Note Level 91"/>
    <w:basedOn w:val="Normal"/>
    <w:uiPriority w:val="99"/>
    <w:semiHidden/>
    <w:unhideWhenUsed/>
    <w:rsid w:val="00407921"/>
    <w:pPr>
      <w:keepNext/>
      <w:numPr>
        <w:ilvl w:val="8"/>
        <w:numId w:val="6"/>
      </w:numPr>
      <w:contextualSpacing/>
      <w:outlineLvl w:val="8"/>
    </w:pPr>
    <w:rPr>
      <w:rFonts w:ascii="Verdana" w:eastAsiaTheme="minorEastAsia" w:hAnsi="Verdana" w:cstheme="minorBidi"/>
      <w:sz w:val="24"/>
      <w:szCs w:val="24"/>
    </w:rPr>
  </w:style>
  <w:style w:type="paragraph" w:customStyle="1" w:styleId="NoteLevel12">
    <w:name w:val="Note Level 12"/>
    <w:basedOn w:val="Normal"/>
    <w:uiPriority w:val="99"/>
    <w:unhideWhenUsed/>
    <w:rsid w:val="00267241"/>
    <w:pPr>
      <w:keepNext/>
      <w:tabs>
        <w:tab w:val="num" w:pos="0"/>
      </w:tabs>
      <w:contextualSpacing/>
      <w:outlineLvl w:val="0"/>
    </w:pPr>
    <w:rPr>
      <w:rFonts w:ascii="Verdana" w:eastAsiaTheme="minorEastAsia" w:hAnsi="Verdana" w:cstheme="minorBidi"/>
      <w:sz w:val="24"/>
      <w:szCs w:val="24"/>
    </w:rPr>
  </w:style>
  <w:style w:type="paragraph" w:styleId="Revision">
    <w:name w:val="Revision"/>
    <w:hidden/>
    <w:uiPriority w:val="99"/>
    <w:semiHidden/>
    <w:rsid w:val="00534A1F"/>
    <w:pPr>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46974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10952045">
      <w:bodyDiv w:val="1"/>
      <w:marLeft w:val="0"/>
      <w:marRight w:val="0"/>
      <w:marTop w:val="0"/>
      <w:marBottom w:val="0"/>
      <w:divBdr>
        <w:top w:val="none" w:sz="0" w:space="0" w:color="auto"/>
        <w:left w:val="none" w:sz="0" w:space="0" w:color="auto"/>
        <w:bottom w:val="none" w:sz="0" w:space="0" w:color="auto"/>
        <w:right w:val="none" w:sz="0" w:space="0" w:color="auto"/>
      </w:divBdr>
    </w:div>
    <w:div w:id="1748260879">
      <w:bodyDiv w:val="1"/>
      <w:marLeft w:val="0"/>
      <w:marRight w:val="0"/>
      <w:marTop w:val="0"/>
      <w:marBottom w:val="0"/>
      <w:divBdr>
        <w:top w:val="none" w:sz="0" w:space="0" w:color="auto"/>
        <w:left w:val="none" w:sz="0" w:space="0" w:color="auto"/>
        <w:bottom w:val="none" w:sz="0" w:space="0" w:color="auto"/>
        <w:right w:val="none" w:sz="0" w:space="0" w:color="auto"/>
      </w:divBdr>
    </w:div>
    <w:div w:id="1776975328">
      <w:bodyDiv w:val="1"/>
      <w:marLeft w:val="0"/>
      <w:marRight w:val="0"/>
      <w:marTop w:val="0"/>
      <w:marBottom w:val="0"/>
      <w:divBdr>
        <w:top w:val="none" w:sz="0" w:space="0" w:color="auto"/>
        <w:left w:val="none" w:sz="0" w:space="0" w:color="auto"/>
        <w:bottom w:val="none" w:sz="0" w:space="0" w:color="auto"/>
        <w:right w:val="none" w:sz="0" w:space="0" w:color="auto"/>
      </w:divBdr>
    </w:div>
    <w:div w:id="185619253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0E7D2-3383-4A49-A14D-C71C6B64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2017-10-30T20:56:00Z</cp:lastPrinted>
  <dcterms:created xsi:type="dcterms:W3CDTF">2018-05-25T14:47:00Z</dcterms:created>
  <dcterms:modified xsi:type="dcterms:W3CDTF">2018-05-31T14:16:00Z</dcterms:modified>
</cp:coreProperties>
</file>