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EB2A8F" w14:textId="022F9B1A" w:rsidR="00577B76" w:rsidRPr="009C23DE" w:rsidRDefault="00231EE9" w:rsidP="008467D5">
      <w:pPr>
        <w:pBdr>
          <w:bottom w:val="single" w:sz="18" w:space="1" w:color="auto"/>
        </w:pBdr>
        <w:tabs>
          <w:tab w:val="left" w:pos="-1440"/>
          <w:tab w:val="left" w:pos="-720"/>
          <w:tab w:val="left" w:pos="1"/>
        </w:tabs>
        <w:jc w:val="both"/>
        <w:rPr>
          <w:rFonts w:ascii="Arial" w:hAnsi="Arial"/>
          <w:b/>
          <w:sz w:val="24"/>
          <w:lang w:val="en-GB"/>
        </w:rPr>
      </w:pPr>
      <w:r w:rsidRPr="009C23DE">
        <w:rPr>
          <w:rFonts w:ascii="Arial" w:hAnsi="Arial"/>
          <w:b/>
          <w:noProof/>
          <w:sz w:val="24"/>
        </w:rPr>
        <w:drawing>
          <wp:inline distT="0" distB="0" distL="0" distR="0" wp14:anchorId="6D382BD8" wp14:editId="1EF6EEB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9CC81EC" w14:textId="1F3E3AFA" w:rsidR="00D75295" w:rsidRPr="009C23DE" w:rsidRDefault="00074A8F" w:rsidP="00F105B7">
      <w:pPr>
        <w:pStyle w:val="ProductNumber"/>
        <w:rPr>
          <w:lang w:val="en-GB"/>
        </w:rPr>
      </w:pPr>
      <w:r>
        <w:rPr>
          <w:lang w:val="en-GB"/>
        </w:rPr>
        <w:t>9B18D015</w:t>
      </w:r>
    </w:p>
    <w:p w14:paraId="55A109A2" w14:textId="77777777" w:rsidR="00D75295" w:rsidRPr="009C23DE" w:rsidRDefault="00D75295" w:rsidP="00D75295">
      <w:pPr>
        <w:jc w:val="right"/>
        <w:rPr>
          <w:rFonts w:ascii="Arial" w:hAnsi="Arial"/>
          <w:b/>
          <w:sz w:val="28"/>
          <w:szCs w:val="28"/>
          <w:lang w:val="en-GB"/>
        </w:rPr>
      </w:pPr>
    </w:p>
    <w:p w14:paraId="1DFB6FF5" w14:textId="77777777" w:rsidR="00013360" w:rsidRPr="009C23DE" w:rsidRDefault="00013360" w:rsidP="00D75295">
      <w:pPr>
        <w:jc w:val="right"/>
        <w:rPr>
          <w:rFonts w:ascii="Arial" w:hAnsi="Arial"/>
          <w:b/>
          <w:sz w:val="28"/>
          <w:szCs w:val="28"/>
          <w:lang w:val="en-GB"/>
        </w:rPr>
      </w:pPr>
    </w:p>
    <w:p w14:paraId="5202D741" w14:textId="28453EC5" w:rsidR="00013360" w:rsidRPr="009C23DE" w:rsidRDefault="00577B76" w:rsidP="00013360">
      <w:pPr>
        <w:pStyle w:val="CaseTitle"/>
        <w:spacing w:after="0" w:line="240" w:lineRule="auto"/>
        <w:rPr>
          <w:color w:val="auto"/>
          <w:sz w:val="20"/>
          <w:szCs w:val="20"/>
          <w:lang w:val="en-GB"/>
        </w:rPr>
      </w:pPr>
      <w:r w:rsidRPr="009C23DE">
        <w:rPr>
          <w:rFonts w:eastAsia="Times New Roman"/>
          <w:color w:val="auto"/>
          <w:szCs w:val="20"/>
          <w:lang w:val="en-GB"/>
        </w:rPr>
        <w:t>Equuleus Car Sharing Inc.: Revenue Management</w:t>
      </w:r>
    </w:p>
    <w:p w14:paraId="5208BCDE" w14:textId="77777777" w:rsidR="00CA3976" w:rsidRPr="009C23DE" w:rsidRDefault="00CA3976" w:rsidP="00013360">
      <w:pPr>
        <w:pStyle w:val="CaseTitle"/>
        <w:spacing w:after="0" w:line="240" w:lineRule="auto"/>
        <w:rPr>
          <w:color w:val="auto"/>
          <w:sz w:val="20"/>
          <w:szCs w:val="20"/>
          <w:lang w:val="en-GB"/>
        </w:rPr>
      </w:pPr>
    </w:p>
    <w:p w14:paraId="34426BD6" w14:textId="77777777" w:rsidR="00013360" w:rsidRPr="009C23DE" w:rsidRDefault="00013360" w:rsidP="00013360">
      <w:pPr>
        <w:pStyle w:val="CaseTitle"/>
        <w:spacing w:after="0" w:line="240" w:lineRule="auto"/>
        <w:rPr>
          <w:color w:val="auto"/>
          <w:sz w:val="20"/>
          <w:szCs w:val="20"/>
          <w:lang w:val="en-GB"/>
        </w:rPr>
      </w:pPr>
    </w:p>
    <w:p w14:paraId="732FCCC0" w14:textId="325AB736" w:rsidR="00627C63" w:rsidRPr="009C23DE" w:rsidRDefault="00DE2BB1" w:rsidP="00627C63">
      <w:pPr>
        <w:pStyle w:val="StyleCopyrightStatementAfter0ptBottomSinglesolidline1"/>
        <w:rPr>
          <w:color w:val="auto"/>
          <w:lang w:val="en-GB"/>
        </w:rPr>
      </w:pPr>
      <w:hyperlink r:id="rId9" w:history="1">
        <w:r w:rsidR="00D32C78">
          <w:rPr>
            <w:rStyle w:val="Hyperlink"/>
            <w:color w:val="auto"/>
            <w:u w:val="none"/>
            <w:lang w:val="en-GB"/>
          </w:rPr>
          <w:t>Owen</w:t>
        </w:r>
        <w:r w:rsidR="00577B76" w:rsidRPr="009C23DE">
          <w:rPr>
            <w:rStyle w:val="Hyperlink"/>
            <w:color w:val="auto"/>
            <w:u w:val="none"/>
            <w:lang w:val="en-GB"/>
          </w:rPr>
          <w:t xml:space="preserve"> Hall, Jr.</w:t>
        </w:r>
      </w:hyperlink>
      <w:r w:rsidR="00577B76" w:rsidRPr="009C23DE">
        <w:rPr>
          <w:color w:val="auto"/>
          <w:lang w:val="en-GB"/>
        </w:rPr>
        <w:t xml:space="preserve"> and </w:t>
      </w:r>
      <w:hyperlink r:id="rId10" w:history="1">
        <w:r w:rsidR="00577B76" w:rsidRPr="009C23DE">
          <w:rPr>
            <w:rStyle w:val="Hyperlink"/>
            <w:color w:val="auto"/>
            <w:u w:val="none"/>
            <w:lang w:val="en-GB"/>
          </w:rPr>
          <w:t xml:space="preserve">Kenneth </w:t>
        </w:r>
        <w:proofErr w:type="gramStart"/>
        <w:r w:rsidR="00577B76" w:rsidRPr="009C23DE">
          <w:rPr>
            <w:rStyle w:val="Hyperlink"/>
            <w:color w:val="auto"/>
            <w:u w:val="none"/>
            <w:lang w:val="en-GB"/>
          </w:rPr>
          <w:t>Ko</w:t>
        </w:r>
        <w:proofErr w:type="gramEnd"/>
      </w:hyperlink>
      <w:r w:rsidR="00577B76" w:rsidRPr="009C23DE">
        <w:rPr>
          <w:color w:val="auto"/>
          <w:lang w:val="en-GB"/>
        </w:rPr>
        <w:t xml:space="preserve"> </w:t>
      </w:r>
      <w:r w:rsidR="004B632F" w:rsidRPr="009C23DE">
        <w:rPr>
          <w:color w:val="auto"/>
          <w:lang w:val="en-GB"/>
        </w:rPr>
        <w:t xml:space="preserve">wrote this </w:t>
      </w:r>
      <w:r w:rsidR="00152682" w:rsidRPr="009C23DE">
        <w:rPr>
          <w:color w:val="auto"/>
          <w:lang w:val="en-GB"/>
        </w:rPr>
        <w:t>case</w:t>
      </w:r>
      <w:r w:rsidR="004B632F" w:rsidRPr="009C23DE">
        <w:rPr>
          <w:color w:val="auto"/>
          <w:lang w:val="en-GB"/>
        </w:rPr>
        <w:t xml:space="preserve"> </w:t>
      </w:r>
      <w:r w:rsidR="00152682" w:rsidRPr="009C23DE">
        <w:rPr>
          <w:color w:val="auto"/>
          <w:lang w:val="en-GB"/>
        </w:rPr>
        <w:t>solely to provide material for class discussion. The</w:t>
      </w:r>
      <w:r w:rsidR="001C7777" w:rsidRPr="009C23DE">
        <w:rPr>
          <w:color w:val="auto"/>
          <w:lang w:val="en-GB"/>
        </w:rPr>
        <w:t xml:space="preserve"> author</w:t>
      </w:r>
      <w:r w:rsidR="001A22D1" w:rsidRPr="009C23DE">
        <w:rPr>
          <w:color w:val="auto"/>
          <w:lang w:val="en-GB"/>
        </w:rPr>
        <w:t>s</w:t>
      </w:r>
      <w:r w:rsidR="00152682" w:rsidRPr="009C23DE">
        <w:rPr>
          <w:color w:val="auto"/>
          <w:lang w:val="en-GB"/>
        </w:rPr>
        <w:t xml:space="preserve"> do not intend to illustrate either effective or ineffective handling of a managerial situation. The author</w:t>
      </w:r>
      <w:r w:rsidR="001A22D1" w:rsidRPr="009C23DE">
        <w:rPr>
          <w:color w:val="auto"/>
          <w:lang w:val="en-GB"/>
        </w:rPr>
        <w:t>s</w:t>
      </w:r>
      <w:r w:rsidR="00152682" w:rsidRPr="009C23DE">
        <w:rPr>
          <w:color w:val="auto"/>
          <w:lang w:val="en-GB"/>
        </w:rPr>
        <w:t xml:space="preserve"> may have disguised certain names and other identifying information to protect confidentiality.</w:t>
      </w:r>
    </w:p>
    <w:p w14:paraId="0BCEE40E" w14:textId="77777777" w:rsidR="00751E0B" w:rsidRPr="009C23DE" w:rsidRDefault="00751E0B" w:rsidP="00751E0B">
      <w:pPr>
        <w:pStyle w:val="StyleCopyrightStatementAfter0ptBottomSinglesolidline1"/>
        <w:rPr>
          <w:color w:val="auto"/>
          <w:lang w:val="en-GB"/>
        </w:rPr>
      </w:pPr>
    </w:p>
    <w:p w14:paraId="492DC187" w14:textId="77777777" w:rsidR="00231EE9" w:rsidRPr="009C23DE" w:rsidRDefault="00231EE9"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9C23DE">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1" w:history="1">
        <w:r w:rsidRPr="009C23DE">
          <w:rPr>
            <w:rFonts w:ascii="Arial" w:hAnsi="Arial"/>
            <w:i/>
            <w:iCs/>
            <w:color w:val="000000"/>
            <w:sz w:val="16"/>
            <w:lang w:val="en-GB"/>
          </w:rPr>
          <w:t>cases@ivey.ca</w:t>
        </w:r>
      </w:hyperlink>
      <w:r w:rsidRPr="009C23DE">
        <w:rPr>
          <w:rFonts w:ascii="Arial" w:hAnsi="Arial"/>
          <w:i/>
          <w:iCs/>
          <w:color w:val="000000"/>
          <w:sz w:val="16"/>
          <w:lang w:val="en-GB"/>
        </w:rPr>
        <w:t xml:space="preserve">; </w:t>
      </w:r>
      <w:hyperlink r:id="rId12" w:history="1">
        <w:r w:rsidRPr="009C23DE">
          <w:rPr>
            <w:rFonts w:ascii="Arial" w:hAnsi="Arial"/>
            <w:i/>
            <w:iCs/>
            <w:color w:val="000000"/>
            <w:sz w:val="16"/>
            <w:lang w:val="en-GB"/>
          </w:rPr>
          <w:t>www.iveycases.com</w:t>
        </w:r>
      </w:hyperlink>
      <w:r w:rsidRPr="009C23DE">
        <w:rPr>
          <w:rFonts w:ascii="Arial" w:hAnsi="Arial"/>
          <w:i/>
          <w:iCs/>
          <w:color w:val="000000"/>
          <w:sz w:val="16"/>
          <w:lang w:val="en-GB"/>
        </w:rPr>
        <w:t>.</w:t>
      </w:r>
    </w:p>
    <w:p w14:paraId="1B0F9BC5" w14:textId="3C481E8B" w:rsidR="00577B76" w:rsidRPr="009C23DE" w:rsidRDefault="00577B76" w:rsidP="00751E0B">
      <w:pPr>
        <w:pStyle w:val="StyleCopyrightStatementAfter0ptBottomSinglesolidline1"/>
        <w:rPr>
          <w:color w:val="auto"/>
          <w:lang w:val="en-GB"/>
        </w:rPr>
      </w:pPr>
    </w:p>
    <w:p w14:paraId="7D0CA04D" w14:textId="06187AB9" w:rsidR="00751E0B" w:rsidRPr="009C23DE" w:rsidRDefault="00231EE9" w:rsidP="00751E0B">
      <w:pPr>
        <w:pStyle w:val="StyleStyleCopyrightStatementAfter0ptBottomSinglesolid"/>
        <w:rPr>
          <w:color w:val="auto"/>
          <w:lang w:val="en-GB"/>
        </w:rPr>
      </w:pPr>
      <w:r w:rsidRPr="009C23DE">
        <w:rPr>
          <w:rFonts w:cs="Arial"/>
          <w:color w:val="auto"/>
          <w:szCs w:val="16"/>
          <w:lang w:val="en-GB"/>
        </w:rPr>
        <w:t>Copyright © 2018, Ivey Business School Foundation</w:t>
      </w:r>
      <w:r w:rsidR="00A569EA" w:rsidRPr="009C23DE">
        <w:rPr>
          <w:rFonts w:cs="Arial"/>
          <w:color w:val="auto"/>
          <w:szCs w:val="16"/>
          <w:lang w:val="en-GB"/>
        </w:rPr>
        <w:tab/>
      </w:r>
      <w:r w:rsidR="00751E0B" w:rsidRPr="009C23DE">
        <w:rPr>
          <w:color w:val="auto"/>
          <w:lang w:val="en-GB"/>
        </w:rPr>
        <w:t xml:space="preserve">Version: </w:t>
      </w:r>
      <w:r w:rsidR="003D0BA1" w:rsidRPr="009C23DE">
        <w:rPr>
          <w:color w:val="auto"/>
          <w:lang w:val="en-GB"/>
        </w:rPr>
        <w:t>20</w:t>
      </w:r>
      <w:r w:rsidR="00577B76" w:rsidRPr="009C23DE">
        <w:rPr>
          <w:color w:val="auto"/>
          <w:lang w:val="en-GB"/>
        </w:rPr>
        <w:t>18</w:t>
      </w:r>
      <w:r w:rsidR="001C7777" w:rsidRPr="009C23DE">
        <w:rPr>
          <w:color w:val="auto"/>
          <w:lang w:val="en-GB"/>
        </w:rPr>
        <w:t>-</w:t>
      </w:r>
      <w:r w:rsidR="00577B76" w:rsidRPr="009C23DE">
        <w:rPr>
          <w:color w:val="auto"/>
          <w:lang w:val="en-GB"/>
        </w:rPr>
        <w:t>0</w:t>
      </w:r>
      <w:r w:rsidR="00074A8F">
        <w:rPr>
          <w:color w:val="auto"/>
          <w:lang w:val="en-GB"/>
        </w:rPr>
        <w:t>7</w:t>
      </w:r>
      <w:r w:rsidR="00751E0B" w:rsidRPr="009C23DE">
        <w:rPr>
          <w:color w:val="auto"/>
          <w:lang w:val="en-GB"/>
        </w:rPr>
        <w:t>-</w:t>
      </w:r>
      <w:r w:rsidR="00DE2BB1">
        <w:rPr>
          <w:color w:val="auto"/>
          <w:lang w:val="en-GB"/>
        </w:rPr>
        <w:t>05</w:t>
      </w:r>
      <w:bookmarkStart w:id="0" w:name="_GoBack"/>
      <w:bookmarkEnd w:id="0"/>
    </w:p>
    <w:p w14:paraId="686EAC6C" w14:textId="77777777" w:rsidR="00751E0B" w:rsidRPr="009C23DE" w:rsidRDefault="00751E0B" w:rsidP="00751E0B">
      <w:pPr>
        <w:pStyle w:val="StyleCopyrightStatementAfter0ptBottomSinglesolidline1"/>
        <w:rPr>
          <w:rFonts w:ascii="Times New Roman" w:hAnsi="Times New Roman"/>
          <w:color w:val="auto"/>
          <w:sz w:val="20"/>
          <w:lang w:val="en-GB"/>
        </w:rPr>
      </w:pPr>
    </w:p>
    <w:p w14:paraId="78D98E36" w14:textId="77777777" w:rsidR="004B632F" w:rsidRPr="009C23DE" w:rsidRDefault="004B632F" w:rsidP="004B632F">
      <w:pPr>
        <w:pStyle w:val="StyleCopyrightStatementAfter0ptBottomSinglesolidline1"/>
        <w:rPr>
          <w:rFonts w:ascii="Times New Roman" w:hAnsi="Times New Roman"/>
          <w:color w:val="auto"/>
          <w:sz w:val="20"/>
          <w:lang w:val="en-GB"/>
        </w:rPr>
      </w:pPr>
    </w:p>
    <w:p w14:paraId="4D31ABCC" w14:textId="3842EEB8" w:rsidR="000F1CE5" w:rsidRPr="009C23DE" w:rsidRDefault="00577B76" w:rsidP="00577B76">
      <w:pPr>
        <w:pStyle w:val="BodyTextMain"/>
        <w:rPr>
          <w:lang w:val="en-GB"/>
        </w:rPr>
      </w:pPr>
      <w:r w:rsidRPr="009C23DE">
        <w:rPr>
          <w:lang w:val="en-GB"/>
        </w:rPr>
        <w:t xml:space="preserve">At </w:t>
      </w:r>
      <w:r w:rsidR="00075259" w:rsidRPr="009C23DE">
        <w:rPr>
          <w:lang w:val="en-GB"/>
        </w:rPr>
        <w:t xml:space="preserve">the August 2017 board meeting of </w:t>
      </w:r>
      <w:r w:rsidRPr="009C23DE">
        <w:rPr>
          <w:lang w:val="en-GB"/>
        </w:rPr>
        <w:t xml:space="preserve">Equuleus Car Sharing Inc. (ECS), the primary focus was to establish ground rules for the firm’s annual fleet purchasing schedule and to approve the planned expansion into new markets. ECS currently operated in three American cities (Seattle, Denver, and San Francisco). However, ECS’s business model called for expanding into three much larger markets (New York, Boston, and Toronto) </w:t>
      </w:r>
      <w:r w:rsidR="00075259" w:rsidRPr="009C23DE">
        <w:rPr>
          <w:lang w:val="en-GB"/>
        </w:rPr>
        <w:t xml:space="preserve">in the coming months. </w:t>
      </w:r>
      <w:r w:rsidRPr="009C23DE">
        <w:rPr>
          <w:lang w:val="en-GB"/>
        </w:rPr>
        <w:t xml:space="preserve">Typically, ECS replaced approximately half of its rental car fleet on an annual basis. This replacement cycle was consistent with ECS’s mission of offering </w:t>
      </w:r>
      <w:r w:rsidR="00BA61B1" w:rsidRPr="009C23DE">
        <w:rPr>
          <w:lang w:val="en-GB"/>
        </w:rPr>
        <w:t xml:space="preserve">its </w:t>
      </w:r>
      <w:r w:rsidRPr="009C23DE">
        <w:rPr>
          <w:lang w:val="en-GB"/>
        </w:rPr>
        <w:t xml:space="preserve">customers </w:t>
      </w:r>
      <w:r w:rsidR="00075259" w:rsidRPr="009C23DE">
        <w:rPr>
          <w:lang w:val="en-GB"/>
        </w:rPr>
        <w:t>up-</w:t>
      </w:r>
      <w:r w:rsidRPr="009C23DE">
        <w:rPr>
          <w:lang w:val="en-GB"/>
        </w:rPr>
        <w:t>to-date vehicles at competitive prices. ECS’s m</w:t>
      </w:r>
      <w:r w:rsidR="00B15D75" w:rsidRPr="009C23DE">
        <w:rPr>
          <w:lang w:val="en-GB"/>
        </w:rPr>
        <w:t xml:space="preserve">anagement team, headed by </w:t>
      </w:r>
      <w:r w:rsidR="00075259" w:rsidRPr="009C23DE">
        <w:rPr>
          <w:lang w:val="en-GB"/>
        </w:rPr>
        <w:t>the c</w:t>
      </w:r>
      <w:r w:rsidR="00B15D75" w:rsidRPr="009C23DE">
        <w:rPr>
          <w:lang w:val="en-GB"/>
        </w:rPr>
        <w:t xml:space="preserve">hief </w:t>
      </w:r>
      <w:r w:rsidR="00075259" w:rsidRPr="009C23DE">
        <w:rPr>
          <w:lang w:val="en-GB"/>
        </w:rPr>
        <w:t xml:space="preserve">executive officer, </w:t>
      </w:r>
      <w:r w:rsidRPr="009C23DE">
        <w:rPr>
          <w:lang w:val="en-GB"/>
        </w:rPr>
        <w:t>Doris Johnson, ha</w:t>
      </w:r>
      <w:r w:rsidR="000F1CE5" w:rsidRPr="009C23DE">
        <w:rPr>
          <w:lang w:val="en-GB"/>
        </w:rPr>
        <w:t>d</w:t>
      </w:r>
      <w:r w:rsidRPr="009C23DE">
        <w:rPr>
          <w:lang w:val="en-GB"/>
        </w:rPr>
        <w:t xml:space="preserve"> established a budget of </w:t>
      </w:r>
      <w:r w:rsidR="00B15D75" w:rsidRPr="009C23DE">
        <w:rPr>
          <w:lang w:val="en-GB"/>
        </w:rPr>
        <w:t>US</w:t>
      </w:r>
      <w:r w:rsidRPr="009C23DE">
        <w:rPr>
          <w:lang w:val="en-GB"/>
        </w:rPr>
        <w:t>$10 million</w:t>
      </w:r>
      <w:r w:rsidR="00B15D75" w:rsidRPr="009C23DE">
        <w:rPr>
          <w:rStyle w:val="FootnoteReference"/>
          <w:lang w:val="en-GB"/>
        </w:rPr>
        <w:footnoteReference w:id="1"/>
      </w:r>
      <w:r w:rsidRPr="009C23DE">
        <w:rPr>
          <w:lang w:val="en-GB"/>
        </w:rPr>
        <w:t xml:space="preserve"> for funding the vehicle purchases th</w:t>
      </w:r>
      <w:r w:rsidR="000F1CE5" w:rsidRPr="009C23DE">
        <w:rPr>
          <w:lang w:val="en-GB"/>
        </w:rPr>
        <w:t>at</w:t>
      </w:r>
      <w:r w:rsidRPr="009C23DE">
        <w:rPr>
          <w:lang w:val="en-GB"/>
        </w:rPr>
        <w:t xml:space="preserve"> year. </w:t>
      </w:r>
    </w:p>
    <w:p w14:paraId="05988675" w14:textId="77777777" w:rsidR="000F1CE5" w:rsidRPr="009C23DE" w:rsidRDefault="000F1CE5" w:rsidP="00577B76">
      <w:pPr>
        <w:pStyle w:val="BodyTextMain"/>
        <w:rPr>
          <w:lang w:val="en-GB"/>
        </w:rPr>
      </w:pPr>
    </w:p>
    <w:p w14:paraId="476AE5B5" w14:textId="086F07AC" w:rsidR="00577B76" w:rsidRPr="009C23DE" w:rsidRDefault="00577B76" w:rsidP="00577B76">
      <w:pPr>
        <w:pStyle w:val="BodyTextMain"/>
        <w:rPr>
          <w:lang w:val="en-GB"/>
        </w:rPr>
      </w:pPr>
      <w:r w:rsidRPr="009C23DE">
        <w:rPr>
          <w:lang w:val="en-GB"/>
        </w:rPr>
        <w:t>Traditionally, the firm paid cash when purchasing new cars</w:t>
      </w:r>
      <w:r w:rsidR="000F1CE5" w:rsidRPr="009C23DE">
        <w:rPr>
          <w:lang w:val="en-GB"/>
        </w:rPr>
        <w:t>;</w:t>
      </w:r>
      <w:r w:rsidRPr="009C23DE">
        <w:rPr>
          <w:lang w:val="en-GB"/>
        </w:rPr>
        <w:t xml:space="preserve"> however, the current very low interest</w:t>
      </w:r>
      <w:r w:rsidR="00B15D75" w:rsidRPr="009C23DE">
        <w:rPr>
          <w:lang w:val="en-GB"/>
        </w:rPr>
        <w:t xml:space="preserve"> rates had caught the eye of</w:t>
      </w:r>
      <w:r w:rsidR="000F1CE5" w:rsidRPr="009C23DE">
        <w:rPr>
          <w:lang w:val="en-GB"/>
        </w:rPr>
        <w:t xml:space="preserve"> the</w:t>
      </w:r>
      <w:r w:rsidR="00B15D75" w:rsidRPr="009C23DE">
        <w:rPr>
          <w:lang w:val="en-GB"/>
        </w:rPr>
        <w:t xml:space="preserve"> chief financial officer</w:t>
      </w:r>
      <w:r w:rsidR="000F1CE5" w:rsidRPr="009C23DE">
        <w:rPr>
          <w:lang w:val="en-GB"/>
        </w:rPr>
        <w:t>,</w:t>
      </w:r>
      <w:r w:rsidRPr="009C23DE">
        <w:rPr>
          <w:lang w:val="en-GB"/>
        </w:rPr>
        <w:t xml:space="preserve"> Johnny Debonair. </w:t>
      </w:r>
      <w:r w:rsidR="000F1CE5" w:rsidRPr="009C23DE">
        <w:rPr>
          <w:lang w:val="en-GB"/>
        </w:rPr>
        <w:t>According to Debonair,</w:t>
      </w:r>
      <w:r w:rsidRPr="009C23DE">
        <w:rPr>
          <w:lang w:val="en-GB"/>
        </w:rPr>
        <w:t xml:space="preserve"> preliminary discussions with a local finance company </w:t>
      </w:r>
      <w:r w:rsidR="000F1CE5" w:rsidRPr="009C23DE">
        <w:rPr>
          <w:lang w:val="en-GB"/>
        </w:rPr>
        <w:t xml:space="preserve">had </w:t>
      </w:r>
      <w:r w:rsidRPr="009C23DE">
        <w:rPr>
          <w:lang w:val="en-GB"/>
        </w:rPr>
        <w:t xml:space="preserve">revealed that ECS could make a down payment </w:t>
      </w:r>
      <w:r w:rsidR="000F1CE5" w:rsidRPr="009C23DE">
        <w:rPr>
          <w:lang w:val="en-GB"/>
        </w:rPr>
        <w:t xml:space="preserve">for the cars </w:t>
      </w:r>
      <w:r w:rsidRPr="009C23DE">
        <w:rPr>
          <w:lang w:val="en-GB"/>
        </w:rPr>
        <w:t xml:space="preserve">and </w:t>
      </w:r>
      <w:r w:rsidR="000F1CE5" w:rsidRPr="009C23DE">
        <w:rPr>
          <w:lang w:val="en-GB"/>
        </w:rPr>
        <w:t xml:space="preserve">then </w:t>
      </w:r>
      <w:r w:rsidRPr="009C23DE">
        <w:rPr>
          <w:lang w:val="en-GB"/>
        </w:rPr>
        <w:t xml:space="preserve">pay the remaining balance over a two-year period. </w:t>
      </w:r>
      <w:r w:rsidR="008826F9" w:rsidRPr="009C23DE">
        <w:rPr>
          <w:lang w:val="en-GB"/>
        </w:rPr>
        <w:t xml:space="preserve">In response to this, </w:t>
      </w:r>
      <w:r w:rsidR="00075259" w:rsidRPr="009C23DE">
        <w:rPr>
          <w:lang w:val="en-GB"/>
        </w:rPr>
        <w:t>the v</w:t>
      </w:r>
      <w:r w:rsidRPr="009C23DE">
        <w:rPr>
          <w:lang w:val="en-GB"/>
        </w:rPr>
        <w:t>ice</w:t>
      </w:r>
      <w:r w:rsidR="000F1CE5" w:rsidRPr="009C23DE">
        <w:rPr>
          <w:lang w:val="en-GB"/>
        </w:rPr>
        <w:t>-c</w:t>
      </w:r>
      <w:r w:rsidRPr="009C23DE">
        <w:rPr>
          <w:lang w:val="en-GB"/>
        </w:rPr>
        <w:t>hair</w:t>
      </w:r>
      <w:r w:rsidR="00075259" w:rsidRPr="009C23DE">
        <w:rPr>
          <w:lang w:val="en-GB"/>
        </w:rPr>
        <w:t>,</w:t>
      </w:r>
      <w:r w:rsidRPr="009C23DE">
        <w:rPr>
          <w:lang w:val="en-GB"/>
        </w:rPr>
        <w:t xml:space="preserve"> Ben Johnston </w:t>
      </w:r>
      <w:r w:rsidR="006A0CAD" w:rsidRPr="009C23DE">
        <w:rPr>
          <w:lang w:val="en-GB"/>
        </w:rPr>
        <w:t>asked</w:t>
      </w:r>
      <w:r w:rsidRPr="009C23DE">
        <w:rPr>
          <w:lang w:val="en-GB"/>
        </w:rPr>
        <w:t>, “Why would we wish to pay interest when we can pay cash?” Debonair respond</w:t>
      </w:r>
      <w:r w:rsidR="000F1CE5" w:rsidRPr="009C23DE">
        <w:rPr>
          <w:lang w:val="en-GB"/>
        </w:rPr>
        <w:t xml:space="preserve"> adroitly</w:t>
      </w:r>
      <w:r w:rsidRPr="009C23DE">
        <w:rPr>
          <w:lang w:val="en-GB"/>
        </w:rPr>
        <w:t xml:space="preserve"> by saying, “By buying on time we can purchase many more vehicles, which should more than offset the paid interest based on maximizing net present income.” </w:t>
      </w:r>
      <w:r w:rsidR="008826F9" w:rsidRPr="009C23DE">
        <w:rPr>
          <w:lang w:val="en-GB"/>
        </w:rPr>
        <w:t>He added</w:t>
      </w:r>
      <w:r w:rsidR="006A0CAD" w:rsidRPr="009C23DE">
        <w:rPr>
          <w:lang w:val="en-GB"/>
        </w:rPr>
        <w:t>,</w:t>
      </w:r>
      <w:r w:rsidRPr="009C23DE">
        <w:rPr>
          <w:lang w:val="en-GB"/>
        </w:rPr>
        <w:t xml:space="preserve"> “</w:t>
      </w:r>
      <w:r w:rsidR="006A0CAD" w:rsidRPr="009C23DE">
        <w:rPr>
          <w:lang w:val="en-GB"/>
        </w:rPr>
        <w:t>T</w:t>
      </w:r>
      <w:r w:rsidRPr="009C23DE">
        <w:rPr>
          <w:lang w:val="en-GB"/>
        </w:rPr>
        <w:t xml:space="preserve">he number of vehicles available at our planned three new locations would be severely limited under the cash </w:t>
      </w:r>
      <w:r w:rsidR="00B15D75" w:rsidRPr="009C23DE">
        <w:rPr>
          <w:lang w:val="en-GB"/>
        </w:rPr>
        <w:t xml:space="preserve">model.” </w:t>
      </w:r>
      <w:r w:rsidRPr="009C23DE">
        <w:rPr>
          <w:lang w:val="en-GB"/>
        </w:rPr>
        <w:t xml:space="preserve">As the meeting concluded, Johnson directed </w:t>
      </w:r>
      <w:bookmarkStart w:id="1" w:name="_Hlk499818292"/>
      <w:r w:rsidRPr="009C23DE">
        <w:rPr>
          <w:lang w:val="en-GB"/>
        </w:rPr>
        <w:t>Debonair</w:t>
      </w:r>
      <w:bookmarkEnd w:id="1"/>
      <w:r w:rsidRPr="009C23DE">
        <w:rPr>
          <w:lang w:val="en-GB"/>
        </w:rPr>
        <w:t xml:space="preserve"> to conduct an analysis of both options, cash versus finance, using ECS’s new analytics-based resource management system</w:t>
      </w:r>
      <w:r w:rsidR="006A0CAD" w:rsidRPr="009C23DE">
        <w:rPr>
          <w:lang w:val="en-GB"/>
        </w:rPr>
        <w:t>,</w:t>
      </w:r>
      <w:r w:rsidRPr="009C23DE">
        <w:rPr>
          <w:lang w:val="en-GB"/>
        </w:rPr>
        <w:t xml:space="preserve"> and </w:t>
      </w:r>
      <w:r w:rsidR="006A0CAD" w:rsidRPr="009C23DE">
        <w:rPr>
          <w:lang w:val="en-GB"/>
        </w:rPr>
        <w:t xml:space="preserve">to </w:t>
      </w:r>
      <w:r w:rsidRPr="009C23DE">
        <w:rPr>
          <w:lang w:val="en-GB"/>
        </w:rPr>
        <w:t xml:space="preserve">report back within </w:t>
      </w:r>
      <w:r w:rsidR="006A0CAD" w:rsidRPr="009C23DE">
        <w:rPr>
          <w:lang w:val="en-GB"/>
        </w:rPr>
        <w:t>two weeks</w:t>
      </w:r>
      <w:r w:rsidRPr="009C23DE">
        <w:rPr>
          <w:lang w:val="en-GB"/>
        </w:rPr>
        <w:t xml:space="preserve">. </w:t>
      </w:r>
    </w:p>
    <w:p w14:paraId="6AFB3B3A" w14:textId="77777777" w:rsidR="00577B76" w:rsidRPr="009C23DE" w:rsidRDefault="00577B76" w:rsidP="00577B76">
      <w:pPr>
        <w:pStyle w:val="BodyTextMain"/>
        <w:rPr>
          <w:lang w:val="en-GB"/>
        </w:rPr>
      </w:pPr>
    </w:p>
    <w:p w14:paraId="431BFE2E" w14:textId="77777777" w:rsidR="00577B76" w:rsidRPr="009C23DE" w:rsidRDefault="00577B76" w:rsidP="00577B76">
      <w:pPr>
        <w:pStyle w:val="BodyTextMain"/>
        <w:rPr>
          <w:lang w:val="en-GB"/>
        </w:rPr>
      </w:pPr>
    </w:p>
    <w:p w14:paraId="23F309F2" w14:textId="77777777" w:rsidR="00577B76" w:rsidRPr="009C23DE" w:rsidRDefault="00577B76" w:rsidP="00577B76">
      <w:pPr>
        <w:pStyle w:val="Casehead1"/>
        <w:rPr>
          <w:lang w:val="en-GB"/>
        </w:rPr>
      </w:pPr>
      <w:r w:rsidRPr="009C23DE">
        <w:rPr>
          <w:lang w:val="en-GB"/>
        </w:rPr>
        <w:t>RENTAL CAR INDUSTRY</w:t>
      </w:r>
    </w:p>
    <w:p w14:paraId="3DD15D95" w14:textId="77777777" w:rsidR="00577B76" w:rsidRPr="009C23DE" w:rsidRDefault="00577B76" w:rsidP="00577B76">
      <w:pPr>
        <w:pStyle w:val="BodyTextMain"/>
        <w:rPr>
          <w:lang w:val="en-GB"/>
        </w:rPr>
      </w:pPr>
    </w:p>
    <w:p w14:paraId="240000B6" w14:textId="59083419" w:rsidR="00577B76" w:rsidRPr="009C23DE" w:rsidRDefault="00577B76" w:rsidP="00577B76">
      <w:pPr>
        <w:pStyle w:val="BodyTextMain"/>
        <w:rPr>
          <w:lang w:val="en-GB"/>
        </w:rPr>
      </w:pPr>
      <w:r w:rsidRPr="009C23DE">
        <w:rPr>
          <w:lang w:val="en-GB"/>
        </w:rPr>
        <w:t>The global rental car industry was estimated to reach approximately $125 billion in revenues by 2022, which represent</w:t>
      </w:r>
      <w:r w:rsidR="006A0CAD" w:rsidRPr="009C23DE">
        <w:rPr>
          <w:lang w:val="en-GB"/>
        </w:rPr>
        <w:t>ed</w:t>
      </w:r>
      <w:r w:rsidRPr="009C23DE">
        <w:rPr>
          <w:lang w:val="en-GB"/>
        </w:rPr>
        <w:t xml:space="preserve"> a compoun</w:t>
      </w:r>
      <w:r w:rsidR="00B15D75" w:rsidRPr="009C23DE">
        <w:rPr>
          <w:lang w:val="en-GB"/>
        </w:rPr>
        <w:t>ded annual growth rate of 13.5 per cent</w:t>
      </w:r>
      <w:r w:rsidRPr="009C23DE">
        <w:rPr>
          <w:lang w:val="en-GB"/>
        </w:rPr>
        <w:t xml:space="preserve"> from 2017 to 2022.</w:t>
      </w:r>
      <w:r w:rsidRPr="009C23DE">
        <w:rPr>
          <w:rStyle w:val="FootnoteReference"/>
          <w:lang w:val="en-GB"/>
        </w:rPr>
        <w:footnoteReference w:id="2"/>
      </w:r>
      <w:r w:rsidRPr="009C23DE">
        <w:rPr>
          <w:lang w:val="en-GB"/>
        </w:rPr>
        <w:t xml:space="preserve"> Typically, the rental car industry was segmented into four broad sectors: rental, lease, purchase</w:t>
      </w:r>
      <w:r w:rsidR="006A0CAD" w:rsidRPr="009C23DE">
        <w:rPr>
          <w:lang w:val="en-GB"/>
        </w:rPr>
        <w:t>,</w:t>
      </w:r>
      <w:r w:rsidRPr="009C23DE">
        <w:rPr>
          <w:lang w:val="en-GB"/>
        </w:rPr>
        <w:t xml:space="preserve"> and sharing. The </w:t>
      </w:r>
      <w:r w:rsidR="00075259" w:rsidRPr="009C23DE">
        <w:rPr>
          <w:lang w:val="en-GB"/>
        </w:rPr>
        <w:t>car-</w:t>
      </w:r>
      <w:r w:rsidRPr="009C23DE">
        <w:rPr>
          <w:lang w:val="en-GB"/>
        </w:rPr>
        <w:t xml:space="preserve">sharing business represented a small but growing component of this market. Basically, the </w:t>
      </w:r>
      <w:r w:rsidR="007B1CEA" w:rsidRPr="009C23DE">
        <w:rPr>
          <w:lang w:val="en-GB"/>
        </w:rPr>
        <w:t>car-</w:t>
      </w:r>
      <w:r w:rsidRPr="009C23DE">
        <w:rPr>
          <w:lang w:val="en-GB"/>
        </w:rPr>
        <w:t>sharing model focused</w:t>
      </w:r>
      <w:r w:rsidR="00B15D75" w:rsidRPr="009C23DE">
        <w:rPr>
          <w:lang w:val="en-GB"/>
        </w:rPr>
        <w:t xml:space="preserve"> on customers </w:t>
      </w:r>
      <w:r w:rsidR="007B1CEA" w:rsidRPr="009C23DE">
        <w:rPr>
          <w:lang w:val="en-GB"/>
        </w:rPr>
        <w:t xml:space="preserve">who </w:t>
      </w:r>
      <w:r w:rsidR="00B15D75" w:rsidRPr="009C23DE">
        <w:rPr>
          <w:lang w:val="en-GB"/>
        </w:rPr>
        <w:t>wish</w:t>
      </w:r>
      <w:r w:rsidR="006A0CAD" w:rsidRPr="009C23DE">
        <w:rPr>
          <w:lang w:val="en-GB"/>
        </w:rPr>
        <w:t>ed</w:t>
      </w:r>
      <w:r w:rsidR="00B15D75" w:rsidRPr="009C23DE">
        <w:rPr>
          <w:lang w:val="en-GB"/>
        </w:rPr>
        <w:t xml:space="preserve"> to </w:t>
      </w:r>
      <w:r w:rsidR="006A0CAD" w:rsidRPr="009C23DE">
        <w:rPr>
          <w:lang w:val="en-GB"/>
        </w:rPr>
        <w:t>(</w:t>
      </w:r>
      <w:r w:rsidR="00B15D75" w:rsidRPr="009C23DE">
        <w:rPr>
          <w:lang w:val="en-GB"/>
        </w:rPr>
        <w:t>1) u</w:t>
      </w:r>
      <w:r w:rsidRPr="009C23DE">
        <w:rPr>
          <w:lang w:val="en-GB"/>
        </w:rPr>
        <w:t>tilize a vehicle for short per</w:t>
      </w:r>
      <w:r w:rsidR="00B15D75" w:rsidRPr="009C23DE">
        <w:rPr>
          <w:lang w:val="en-GB"/>
        </w:rPr>
        <w:t xml:space="preserve">iods of time, often by the hour; </w:t>
      </w:r>
      <w:r w:rsidR="006A0CAD" w:rsidRPr="009C23DE">
        <w:rPr>
          <w:lang w:val="en-GB"/>
        </w:rPr>
        <w:lastRenderedPageBreak/>
        <w:t>(</w:t>
      </w:r>
      <w:r w:rsidR="00B15D75" w:rsidRPr="009C23DE">
        <w:rPr>
          <w:lang w:val="en-GB"/>
        </w:rPr>
        <w:t>2) r</w:t>
      </w:r>
      <w:r w:rsidRPr="009C23DE">
        <w:rPr>
          <w:lang w:val="en-GB"/>
        </w:rPr>
        <w:t>eplace corpo</w:t>
      </w:r>
      <w:r w:rsidR="00B15D75" w:rsidRPr="009C23DE">
        <w:rPr>
          <w:lang w:val="en-GB"/>
        </w:rPr>
        <w:t xml:space="preserve">rate fleets; and </w:t>
      </w:r>
      <w:r w:rsidR="006A0CAD" w:rsidRPr="009C23DE">
        <w:rPr>
          <w:lang w:val="en-GB"/>
        </w:rPr>
        <w:t>(</w:t>
      </w:r>
      <w:r w:rsidR="00B15D75" w:rsidRPr="009C23DE">
        <w:rPr>
          <w:lang w:val="en-GB"/>
        </w:rPr>
        <w:t>3) e</w:t>
      </w:r>
      <w:r w:rsidRPr="009C23DE">
        <w:rPr>
          <w:lang w:val="en-GB"/>
        </w:rPr>
        <w:t xml:space="preserve">mploy different types of vehicles for specific functions (e.g., </w:t>
      </w:r>
      <w:r w:rsidR="006A0CAD" w:rsidRPr="009C23DE">
        <w:rPr>
          <w:lang w:val="en-GB"/>
        </w:rPr>
        <w:t>m</w:t>
      </w:r>
      <w:r w:rsidRPr="009C23DE">
        <w:rPr>
          <w:lang w:val="en-GB"/>
        </w:rPr>
        <w:t xml:space="preserve">inivan for a sporting event). </w:t>
      </w:r>
    </w:p>
    <w:p w14:paraId="2F2808F4" w14:textId="77777777" w:rsidR="00577B76" w:rsidRPr="009C23DE" w:rsidRDefault="00577B76" w:rsidP="00577B76">
      <w:pPr>
        <w:pStyle w:val="BodyTextMain"/>
        <w:rPr>
          <w:lang w:val="en-GB"/>
        </w:rPr>
      </w:pPr>
    </w:p>
    <w:p w14:paraId="2DEC5361" w14:textId="47219253" w:rsidR="00577B76" w:rsidRPr="009C23DE" w:rsidRDefault="00577B76" w:rsidP="00577B76">
      <w:pPr>
        <w:pStyle w:val="BodyTextMain"/>
        <w:rPr>
          <w:lang w:val="en-GB"/>
        </w:rPr>
      </w:pPr>
      <w:r w:rsidRPr="009C23DE">
        <w:rPr>
          <w:lang w:val="en-GB"/>
        </w:rPr>
        <w:t xml:space="preserve">Some of the major players in the global rental car industry included Enterprise </w:t>
      </w:r>
      <w:r w:rsidR="006A0CAD" w:rsidRPr="009C23DE">
        <w:rPr>
          <w:lang w:val="en-GB"/>
        </w:rPr>
        <w:t xml:space="preserve">Holdings, Inc.; </w:t>
      </w:r>
      <w:r w:rsidRPr="009C23DE">
        <w:rPr>
          <w:lang w:val="en-GB"/>
        </w:rPr>
        <w:t>Hertz Global Holdings, Inc.</w:t>
      </w:r>
      <w:r w:rsidR="006A0CAD" w:rsidRPr="009C23DE">
        <w:rPr>
          <w:lang w:val="en-GB"/>
        </w:rPr>
        <w:t>;</w:t>
      </w:r>
      <w:r w:rsidR="00D32C78">
        <w:rPr>
          <w:lang w:val="en-GB"/>
        </w:rPr>
        <w:t xml:space="preserve"> Avis Rent a Car System, LLC</w:t>
      </w:r>
      <w:r w:rsidR="006A0CAD" w:rsidRPr="009C23DE">
        <w:rPr>
          <w:lang w:val="en-GB"/>
        </w:rPr>
        <w:t xml:space="preserve">; </w:t>
      </w:r>
      <w:proofErr w:type="spellStart"/>
      <w:r w:rsidRPr="009C23DE">
        <w:rPr>
          <w:lang w:val="en-GB"/>
        </w:rPr>
        <w:t>Europcar</w:t>
      </w:r>
      <w:proofErr w:type="spellEnd"/>
      <w:r w:rsidRPr="009C23DE">
        <w:rPr>
          <w:lang w:val="en-GB"/>
        </w:rPr>
        <w:t xml:space="preserve"> </w:t>
      </w:r>
      <w:proofErr w:type="spellStart"/>
      <w:r w:rsidRPr="009C23DE">
        <w:rPr>
          <w:lang w:val="en-GB"/>
        </w:rPr>
        <w:t>Groupe</w:t>
      </w:r>
      <w:proofErr w:type="spellEnd"/>
      <w:r w:rsidRPr="009C23DE">
        <w:rPr>
          <w:lang w:val="en-GB"/>
        </w:rPr>
        <w:t xml:space="preserve"> SA (France)</w:t>
      </w:r>
      <w:r w:rsidR="00EE3EF5" w:rsidRPr="009C23DE">
        <w:rPr>
          <w:lang w:val="en-GB"/>
        </w:rPr>
        <w:t>;</w:t>
      </w:r>
      <w:r w:rsidRPr="009C23DE">
        <w:rPr>
          <w:lang w:val="en-GB"/>
        </w:rPr>
        <w:t xml:space="preserve"> and Sixt AG (Germany). Enterprise</w:t>
      </w:r>
      <w:r w:rsidR="006F720A" w:rsidRPr="009C23DE">
        <w:rPr>
          <w:lang w:val="en-GB"/>
        </w:rPr>
        <w:t xml:space="preserve"> Holdings, Inc.</w:t>
      </w:r>
      <w:r w:rsidRPr="009C23DE">
        <w:rPr>
          <w:lang w:val="en-GB"/>
        </w:rPr>
        <w:t>, the world’s largest rental car firm,</w:t>
      </w:r>
      <w:r w:rsidR="006A0CAD" w:rsidRPr="009C23DE">
        <w:rPr>
          <w:lang w:val="en-GB"/>
        </w:rPr>
        <w:t xml:space="preserve"> alone</w:t>
      </w:r>
      <w:r w:rsidRPr="009C23DE">
        <w:rPr>
          <w:lang w:val="en-GB"/>
        </w:rPr>
        <w:t xml:space="preserve"> employ</w:t>
      </w:r>
      <w:r w:rsidR="006A0CAD" w:rsidRPr="009C23DE">
        <w:rPr>
          <w:lang w:val="en-GB"/>
        </w:rPr>
        <w:t>ed</w:t>
      </w:r>
      <w:r w:rsidRPr="009C23DE">
        <w:rPr>
          <w:lang w:val="en-GB"/>
        </w:rPr>
        <w:t xml:space="preserve"> approximately 1.5 million cars. Additionally, most industrial nations ha</w:t>
      </w:r>
      <w:r w:rsidR="006F720A" w:rsidRPr="009C23DE">
        <w:rPr>
          <w:lang w:val="en-GB"/>
        </w:rPr>
        <w:t>d</w:t>
      </w:r>
      <w:r w:rsidRPr="009C23DE">
        <w:rPr>
          <w:lang w:val="en-GB"/>
        </w:rPr>
        <w:t xml:space="preserve"> local car rental firm</w:t>
      </w:r>
      <w:r w:rsidR="007B1CEA" w:rsidRPr="009C23DE">
        <w:rPr>
          <w:lang w:val="en-GB"/>
        </w:rPr>
        <w:t>s</w:t>
      </w:r>
      <w:r w:rsidRPr="009C23DE">
        <w:rPr>
          <w:lang w:val="en-GB"/>
        </w:rPr>
        <w:t xml:space="preserve"> (e.g., Park24</w:t>
      </w:r>
      <w:r w:rsidR="006F720A" w:rsidRPr="009C23DE">
        <w:rPr>
          <w:lang w:val="en-GB"/>
        </w:rPr>
        <w:t xml:space="preserve"> Co., Ltd.,</w:t>
      </w:r>
      <w:r w:rsidRPr="009C23DE">
        <w:rPr>
          <w:lang w:val="en-GB"/>
        </w:rPr>
        <w:t xml:space="preserve"> </w:t>
      </w:r>
      <w:r w:rsidR="007B1CEA" w:rsidRPr="009C23DE">
        <w:rPr>
          <w:lang w:val="en-GB"/>
        </w:rPr>
        <w:t xml:space="preserve">in </w:t>
      </w:r>
      <w:r w:rsidRPr="009C23DE">
        <w:rPr>
          <w:lang w:val="en-GB"/>
        </w:rPr>
        <w:t xml:space="preserve">Japan) that primarily concentrated on the domestic market. The continued expansion of the car rental industry was driven primarily </w:t>
      </w:r>
      <w:r w:rsidR="006F720A" w:rsidRPr="009C23DE">
        <w:rPr>
          <w:lang w:val="en-GB"/>
        </w:rPr>
        <w:t xml:space="preserve">by </w:t>
      </w:r>
      <w:r w:rsidRPr="009C23DE">
        <w:rPr>
          <w:lang w:val="en-GB"/>
        </w:rPr>
        <w:t xml:space="preserve">growth in tourism on a global basis. However, there was growing concern </w:t>
      </w:r>
      <w:r w:rsidR="008826F9" w:rsidRPr="009C23DE">
        <w:rPr>
          <w:lang w:val="en-GB"/>
        </w:rPr>
        <w:t>in</w:t>
      </w:r>
      <w:r w:rsidRPr="009C23DE">
        <w:rPr>
          <w:lang w:val="en-GB"/>
        </w:rPr>
        <w:t xml:space="preserve"> the environmental community regarding the impact of carbon dioxide emissions associated with the car rental industry. As a result, many of the major car rental firms were looking to go green, which involved increase</w:t>
      </w:r>
      <w:r w:rsidR="006F720A" w:rsidRPr="009C23DE">
        <w:rPr>
          <w:lang w:val="en-GB"/>
        </w:rPr>
        <w:t>d</w:t>
      </w:r>
      <w:r w:rsidRPr="009C23DE">
        <w:rPr>
          <w:lang w:val="en-GB"/>
        </w:rPr>
        <w:t xml:space="preserve"> use of all electric and hybrid vehicles. Another major challenge facing the rental car industry was the growing role of ridesharing firms like Uber</w:t>
      </w:r>
      <w:r w:rsidR="006F720A" w:rsidRPr="009C23DE">
        <w:rPr>
          <w:lang w:val="en-GB"/>
        </w:rPr>
        <w:t xml:space="preserve"> Technologies Inc.</w:t>
      </w:r>
      <w:r w:rsidRPr="009C23DE">
        <w:rPr>
          <w:lang w:val="en-GB"/>
        </w:rPr>
        <w:t xml:space="preserve"> </w:t>
      </w:r>
      <w:r w:rsidR="006F720A" w:rsidRPr="009C23DE">
        <w:rPr>
          <w:lang w:val="en-GB"/>
        </w:rPr>
        <w:t xml:space="preserve">(Uber) </w:t>
      </w:r>
      <w:r w:rsidRPr="009C23DE">
        <w:rPr>
          <w:lang w:val="en-GB"/>
        </w:rPr>
        <w:t>and Lyft</w:t>
      </w:r>
      <w:r w:rsidR="006F720A" w:rsidRPr="009C23DE">
        <w:rPr>
          <w:lang w:val="en-GB"/>
        </w:rPr>
        <w:t>, Inc</w:t>
      </w:r>
      <w:r w:rsidRPr="009C23DE">
        <w:rPr>
          <w:lang w:val="en-GB"/>
        </w:rPr>
        <w:t>.</w:t>
      </w:r>
      <w:r w:rsidR="006F720A" w:rsidRPr="009C23DE">
        <w:rPr>
          <w:lang w:val="en-GB"/>
        </w:rPr>
        <w:t xml:space="preserve"> (Lyft).</w:t>
      </w:r>
      <w:r w:rsidRPr="009C23DE">
        <w:rPr>
          <w:lang w:val="en-GB"/>
        </w:rPr>
        <w:t xml:space="preserve"> </w:t>
      </w:r>
      <w:r w:rsidR="006F720A" w:rsidRPr="009C23DE">
        <w:rPr>
          <w:lang w:val="en-GB"/>
        </w:rPr>
        <w:t>T</w:t>
      </w:r>
      <w:r w:rsidRPr="009C23DE">
        <w:rPr>
          <w:lang w:val="en-GB"/>
        </w:rPr>
        <w:t xml:space="preserve">heir market share </w:t>
      </w:r>
      <w:r w:rsidR="006F720A" w:rsidRPr="009C23DE">
        <w:rPr>
          <w:lang w:val="en-GB"/>
        </w:rPr>
        <w:t xml:space="preserve">was </w:t>
      </w:r>
      <w:r w:rsidRPr="009C23DE">
        <w:rPr>
          <w:lang w:val="en-GB"/>
        </w:rPr>
        <w:t>continu</w:t>
      </w:r>
      <w:r w:rsidR="006F720A" w:rsidRPr="009C23DE">
        <w:rPr>
          <w:lang w:val="en-GB"/>
        </w:rPr>
        <w:t>ing</w:t>
      </w:r>
      <w:r w:rsidRPr="009C23DE">
        <w:rPr>
          <w:lang w:val="en-GB"/>
        </w:rPr>
        <w:t xml:space="preserve"> to grow as customers shift</w:t>
      </w:r>
      <w:r w:rsidR="006F720A" w:rsidRPr="009C23DE">
        <w:rPr>
          <w:lang w:val="en-GB"/>
        </w:rPr>
        <w:t>ed</w:t>
      </w:r>
      <w:r w:rsidRPr="009C23DE">
        <w:rPr>
          <w:lang w:val="en-GB"/>
        </w:rPr>
        <w:t xml:space="preserve"> from traditional car rental in the metropolitan areas to ridesharing, which eliminate</w:t>
      </w:r>
      <w:r w:rsidR="006F720A" w:rsidRPr="009C23DE">
        <w:rPr>
          <w:lang w:val="en-GB"/>
        </w:rPr>
        <w:t>d</w:t>
      </w:r>
      <w:r w:rsidRPr="009C23DE">
        <w:rPr>
          <w:lang w:val="en-GB"/>
        </w:rPr>
        <w:t xml:space="preserve"> the need for parking and driving in unfamiliar environs. The car rental firms ha</w:t>
      </w:r>
      <w:r w:rsidR="006F720A" w:rsidRPr="009C23DE">
        <w:rPr>
          <w:lang w:val="en-GB"/>
        </w:rPr>
        <w:t>d</w:t>
      </w:r>
      <w:r w:rsidRPr="009C23DE">
        <w:rPr>
          <w:lang w:val="en-GB"/>
        </w:rPr>
        <w:t xml:space="preserve"> respond</w:t>
      </w:r>
      <w:r w:rsidR="008826F9" w:rsidRPr="009C23DE">
        <w:rPr>
          <w:lang w:val="en-GB"/>
        </w:rPr>
        <w:t>ed</w:t>
      </w:r>
      <w:r w:rsidRPr="009C23DE">
        <w:rPr>
          <w:lang w:val="en-GB"/>
        </w:rPr>
        <w:t xml:space="preserve"> to this new threat by downsizing their car fleets. The dawn of </w:t>
      </w:r>
      <w:r w:rsidR="006F720A" w:rsidRPr="009C23DE">
        <w:rPr>
          <w:lang w:val="en-GB"/>
        </w:rPr>
        <w:t xml:space="preserve">the </w:t>
      </w:r>
      <w:r w:rsidR="007B1CEA" w:rsidRPr="009C23DE">
        <w:rPr>
          <w:lang w:val="en-GB"/>
        </w:rPr>
        <w:t xml:space="preserve">age of </w:t>
      </w:r>
      <w:r w:rsidRPr="009C23DE">
        <w:rPr>
          <w:lang w:val="en-GB"/>
        </w:rPr>
        <w:t>autonomous vehicle</w:t>
      </w:r>
      <w:r w:rsidR="007B1CEA" w:rsidRPr="009C23DE">
        <w:rPr>
          <w:lang w:val="en-GB"/>
        </w:rPr>
        <w:t>s</w:t>
      </w:r>
      <w:r w:rsidRPr="009C23DE">
        <w:rPr>
          <w:lang w:val="en-GB"/>
        </w:rPr>
        <w:t xml:space="preserve"> (i.e., self-driving cars) represent</w:t>
      </w:r>
      <w:r w:rsidR="006F720A" w:rsidRPr="009C23DE">
        <w:rPr>
          <w:lang w:val="en-GB"/>
        </w:rPr>
        <w:t>ed</w:t>
      </w:r>
      <w:r w:rsidRPr="009C23DE">
        <w:rPr>
          <w:lang w:val="en-GB"/>
        </w:rPr>
        <w:t xml:space="preserve"> an even more serious threat to the establish</w:t>
      </w:r>
      <w:r w:rsidR="006F720A" w:rsidRPr="009C23DE">
        <w:rPr>
          <w:lang w:val="en-GB"/>
        </w:rPr>
        <w:t>ed</w:t>
      </w:r>
      <w:r w:rsidRPr="009C23DE">
        <w:rPr>
          <w:lang w:val="en-GB"/>
        </w:rPr>
        <w:t xml:space="preserve"> rental car business model. To that end, some of the larger rental car firms were in the process of inking agreements with Apple</w:t>
      </w:r>
      <w:r w:rsidR="006F720A" w:rsidRPr="009C23DE">
        <w:rPr>
          <w:lang w:val="en-GB"/>
        </w:rPr>
        <w:t xml:space="preserve"> Inc.</w:t>
      </w:r>
      <w:r w:rsidRPr="009C23DE">
        <w:rPr>
          <w:lang w:val="en-GB"/>
        </w:rPr>
        <w:t xml:space="preserve"> and Google, two of the current autonomous vehicle powerhouses, as well as </w:t>
      </w:r>
      <w:r w:rsidR="008826F9" w:rsidRPr="009C23DE">
        <w:rPr>
          <w:lang w:val="en-GB"/>
        </w:rPr>
        <w:t xml:space="preserve">with </w:t>
      </w:r>
      <w:r w:rsidRPr="009C23DE">
        <w:rPr>
          <w:lang w:val="en-GB"/>
        </w:rPr>
        <w:t>Uber and Lyft.</w:t>
      </w:r>
      <w:r w:rsidRPr="009C23DE">
        <w:rPr>
          <w:rStyle w:val="FootnoteReference"/>
          <w:lang w:val="en-GB"/>
        </w:rPr>
        <w:footnoteReference w:id="3"/>
      </w:r>
    </w:p>
    <w:p w14:paraId="5E4788CD" w14:textId="77777777" w:rsidR="00577B76" w:rsidRPr="009C23DE" w:rsidRDefault="00577B76" w:rsidP="00DC4408">
      <w:pPr>
        <w:pStyle w:val="BodyTextMain"/>
        <w:rPr>
          <w:lang w:val="en-GB"/>
        </w:rPr>
      </w:pPr>
    </w:p>
    <w:p w14:paraId="79581522" w14:textId="77777777" w:rsidR="00577B76" w:rsidRPr="009C23DE" w:rsidRDefault="00577B76" w:rsidP="00DC4408">
      <w:pPr>
        <w:pStyle w:val="BodyTextMain"/>
        <w:rPr>
          <w:lang w:val="en-GB"/>
        </w:rPr>
      </w:pPr>
    </w:p>
    <w:p w14:paraId="432FB270" w14:textId="77777777" w:rsidR="00577B76" w:rsidRPr="009C23DE" w:rsidRDefault="00577B76" w:rsidP="00DC4408">
      <w:pPr>
        <w:pStyle w:val="Casehead1"/>
        <w:rPr>
          <w:lang w:val="en-GB"/>
        </w:rPr>
      </w:pPr>
      <w:r w:rsidRPr="009C23DE">
        <w:rPr>
          <w:lang w:val="en-GB"/>
        </w:rPr>
        <w:t>COMPANY BACKGROUND</w:t>
      </w:r>
    </w:p>
    <w:p w14:paraId="17DD3A8C" w14:textId="77777777" w:rsidR="00577B76" w:rsidRPr="009C23DE" w:rsidRDefault="00577B76" w:rsidP="00DC4408">
      <w:pPr>
        <w:pStyle w:val="BodyTextMain"/>
        <w:rPr>
          <w:lang w:val="en-GB"/>
        </w:rPr>
      </w:pPr>
    </w:p>
    <w:p w14:paraId="1D1BC7C1" w14:textId="3A8E58C9" w:rsidR="00577B76" w:rsidRPr="009C23DE" w:rsidRDefault="00577B76" w:rsidP="00DC4408">
      <w:pPr>
        <w:pStyle w:val="BodyTextMain"/>
        <w:rPr>
          <w:spacing w:val="-2"/>
          <w:kern w:val="22"/>
          <w:lang w:val="en-GB"/>
        </w:rPr>
      </w:pPr>
      <w:r w:rsidRPr="009C23DE">
        <w:rPr>
          <w:spacing w:val="-2"/>
          <w:kern w:val="22"/>
          <w:lang w:val="en-GB"/>
        </w:rPr>
        <w:t>ECS, which was founded in 2014, offer</w:t>
      </w:r>
      <w:r w:rsidR="006F720A" w:rsidRPr="009C23DE">
        <w:rPr>
          <w:spacing w:val="-2"/>
          <w:kern w:val="22"/>
          <w:lang w:val="en-GB"/>
        </w:rPr>
        <w:t>ed</w:t>
      </w:r>
      <w:r w:rsidRPr="009C23DE">
        <w:rPr>
          <w:spacing w:val="-2"/>
          <w:kern w:val="22"/>
          <w:lang w:val="en-GB"/>
        </w:rPr>
        <w:t xml:space="preserve"> several </w:t>
      </w:r>
      <w:r w:rsidR="007B1CEA" w:rsidRPr="009C23DE">
        <w:rPr>
          <w:spacing w:val="-2"/>
          <w:kern w:val="22"/>
          <w:lang w:val="en-GB"/>
        </w:rPr>
        <w:t>car-</w:t>
      </w:r>
      <w:r w:rsidRPr="009C23DE">
        <w:rPr>
          <w:spacing w:val="-2"/>
          <w:kern w:val="22"/>
          <w:lang w:val="en-GB"/>
        </w:rPr>
        <w:t>sharing options in three metropolitan areas</w:t>
      </w:r>
      <w:r w:rsidR="008826F9" w:rsidRPr="009C23DE">
        <w:rPr>
          <w:spacing w:val="-2"/>
          <w:kern w:val="22"/>
          <w:lang w:val="en-GB"/>
        </w:rPr>
        <w:t>—</w:t>
      </w:r>
      <w:r w:rsidRPr="009C23DE">
        <w:rPr>
          <w:spacing w:val="-2"/>
          <w:kern w:val="22"/>
          <w:lang w:val="en-GB"/>
        </w:rPr>
        <w:t xml:space="preserve">Seattle, Denver, and San Francisco. Specifically, </w:t>
      </w:r>
      <w:r w:rsidR="006F720A" w:rsidRPr="009C23DE">
        <w:rPr>
          <w:spacing w:val="-2"/>
          <w:kern w:val="22"/>
          <w:lang w:val="en-GB"/>
        </w:rPr>
        <w:t xml:space="preserve">it </w:t>
      </w:r>
      <w:r w:rsidR="00C95A45" w:rsidRPr="009C23DE">
        <w:rPr>
          <w:spacing w:val="-2"/>
          <w:kern w:val="22"/>
          <w:lang w:val="en-GB"/>
        </w:rPr>
        <w:t>offered</w:t>
      </w:r>
      <w:r w:rsidR="006F720A" w:rsidRPr="009C23DE">
        <w:rPr>
          <w:spacing w:val="-2"/>
          <w:kern w:val="22"/>
          <w:lang w:val="en-GB"/>
        </w:rPr>
        <w:t xml:space="preserve"> </w:t>
      </w:r>
      <w:r w:rsidRPr="009C23DE">
        <w:rPr>
          <w:spacing w:val="-2"/>
          <w:kern w:val="22"/>
          <w:lang w:val="en-GB"/>
        </w:rPr>
        <w:t>a city-wide service that rent</w:t>
      </w:r>
      <w:r w:rsidR="006F720A" w:rsidRPr="009C23DE">
        <w:rPr>
          <w:spacing w:val="-2"/>
          <w:kern w:val="22"/>
          <w:lang w:val="en-GB"/>
        </w:rPr>
        <w:t>ed</w:t>
      </w:r>
      <w:r w:rsidRPr="009C23DE">
        <w:rPr>
          <w:spacing w:val="-2"/>
          <w:kern w:val="22"/>
          <w:lang w:val="en-GB"/>
        </w:rPr>
        <w:t xml:space="preserve"> vehicles by the hour, and a program that provide</w:t>
      </w:r>
      <w:r w:rsidR="006F720A" w:rsidRPr="009C23DE">
        <w:rPr>
          <w:spacing w:val="-2"/>
          <w:kern w:val="22"/>
          <w:lang w:val="en-GB"/>
        </w:rPr>
        <w:t>d</w:t>
      </w:r>
      <w:r w:rsidRPr="009C23DE">
        <w:rPr>
          <w:spacing w:val="-2"/>
          <w:kern w:val="22"/>
          <w:lang w:val="en-GB"/>
        </w:rPr>
        <w:t xml:space="preserve"> residents of large apartment complexes and universities access to vehicles</w:t>
      </w:r>
      <w:r w:rsidR="00C95A45" w:rsidRPr="009C23DE">
        <w:rPr>
          <w:spacing w:val="-2"/>
          <w:kern w:val="22"/>
          <w:lang w:val="en-GB"/>
        </w:rPr>
        <w:t xml:space="preserve"> on demand</w:t>
      </w:r>
      <w:r w:rsidRPr="009C23DE">
        <w:rPr>
          <w:spacing w:val="-2"/>
          <w:kern w:val="22"/>
          <w:lang w:val="en-GB"/>
        </w:rPr>
        <w:t xml:space="preserve">. </w:t>
      </w:r>
      <w:r w:rsidRPr="009C23DE">
        <w:rPr>
          <w:rFonts w:eastAsia="Arial Unicode MS"/>
          <w:spacing w:val="-2"/>
          <w:kern w:val="22"/>
          <w:lang w:val="en-GB"/>
        </w:rPr>
        <w:t>Currently, customers c</w:t>
      </w:r>
      <w:r w:rsidR="006F720A" w:rsidRPr="009C23DE">
        <w:rPr>
          <w:rFonts w:eastAsia="Arial Unicode MS"/>
          <w:spacing w:val="-2"/>
          <w:kern w:val="22"/>
          <w:lang w:val="en-GB"/>
        </w:rPr>
        <w:t>ould</w:t>
      </w:r>
      <w:r w:rsidRPr="009C23DE">
        <w:rPr>
          <w:rFonts w:eastAsia="Arial Unicode MS"/>
          <w:spacing w:val="-2"/>
          <w:kern w:val="22"/>
          <w:lang w:val="en-GB"/>
        </w:rPr>
        <w:t xml:space="preserve"> choose from four different vehicle types: </w:t>
      </w:r>
      <w:r w:rsidR="006F720A" w:rsidRPr="009C23DE">
        <w:rPr>
          <w:rFonts w:eastAsia="Arial Unicode MS"/>
          <w:spacing w:val="-2"/>
          <w:kern w:val="22"/>
          <w:lang w:val="en-GB"/>
        </w:rPr>
        <w:t>m</w:t>
      </w:r>
      <w:r w:rsidRPr="009C23DE">
        <w:rPr>
          <w:rFonts w:eastAsia="Arial Unicode MS"/>
          <w:spacing w:val="-2"/>
          <w:kern w:val="22"/>
          <w:lang w:val="en-GB"/>
        </w:rPr>
        <w:t xml:space="preserve">inivan, </w:t>
      </w:r>
      <w:r w:rsidR="006F720A" w:rsidRPr="009C23DE">
        <w:rPr>
          <w:rFonts w:eastAsia="Arial Unicode MS"/>
          <w:spacing w:val="-2"/>
          <w:kern w:val="22"/>
          <w:lang w:val="en-GB"/>
        </w:rPr>
        <w:t>sport utility vehicle</w:t>
      </w:r>
      <w:r w:rsidRPr="009C23DE">
        <w:rPr>
          <w:rFonts w:eastAsia="Arial Unicode MS"/>
          <w:spacing w:val="-2"/>
          <w:kern w:val="22"/>
          <w:lang w:val="en-GB"/>
        </w:rPr>
        <w:t xml:space="preserve">, </w:t>
      </w:r>
      <w:r w:rsidR="006F720A" w:rsidRPr="009C23DE">
        <w:rPr>
          <w:rFonts w:eastAsia="Arial Unicode MS"/>
          <w:spacing w:val="-2"/>
          <w:kern w:val="22"/>
          <w:lang w:val="en-GB"/>
        </w:rPr>
        <w:t>s</w:t>
      </w:r>
      <w:r w:rsidRPr="009C23DE">
        <w:rPr>
          <w:rFonts w:eastAsia="Arial Unicode MS"/>
          <w:spacing w:val="-2"/>
          <w:kern w:val="22"/>
          <w:lang w:val="en-GB"/>
        </w:rPr>
        <w:t xml:space="preserve">edan, and </w:t>
      </w:r>
      <w:r w:rsidR="006F720A" w:rsidRPr="009C23DE">
        <w:rPr>
          <w:rFonts w:eastAsia="Arial Unicode MS"/>
          <w:spacing w:val="-2"/>
          <w:kern w:val="22"/>
          <w:lang w:val="en-GB"/>
        </w:rPr>
        <w:t>e</w:t>
      </w:r>
      <w:r w:rsidRPr="009C23DE">
        <w:rPr>
          <w:rFonts w:eastAsia="Arial Unicode MS"/>
          <w:spacing w:val="-2"/>
          <w:kern w:val="22"/>
          <w:lang w:val="en-GB"/>
        </w:rPr>
        <w:t>conomy</w:t>
      </w:r>
      <w:r w:rsidRPr="009C23DE">
        <w:rPr>
          <w:spacing w:val="-2"/>
          <w:kern w:val="22"/>
          <w:lang w:val="en-GB"/>
        </w:rPr>
        <w:t>. ECS ha</w:t>
      </w:r>
      <w:r w:rsidR="006F720A" w:rsidRPr="009C23DE">
        <w:rPr>
          <w:spacing w:val="-2"/>
          <w:kern w:val="22"/>
          <w:lang w:val="en-GB"/>
        </w:rPr>
        <w:t>d</w:t>
      </w:r>
      <w:r w:rsidRPr="009C23DE">
        <w:rPr>
          <w:spacing w:val="-2"/>
          <w:kern w:val="22"/>
          <w:lang w:val="en-GB"/>
        </w:rPr>
        <w:t xml:space="preserve"> experienced significant growth over the past few years</w:t>
      </w:r>
      <w:r w:rsidR="006F720A" w:rsidRPr="009C23DE">
        <w:rPr>
          <w:spacing w:val="-2"/>
          <w:kern w:val="22"/>
          <w:lang w:val="en-GB"/>
        </w:rPr>
        <w:t>, with sales approaching $40 million annually</w:t>
      </w:r>
      <w:r w:rsidRPr="009C23DE">
        <w:rPr>
          <w:spacing w:val="-2"/>
          <w:kern w:val="22"/>
          <w:lang w:val="en-GB"/>
        </w:rPr>
        <w:t>. As a result, ECS plan</w:t>
      </w:r>
      <w:r w:rsidR="006F720A" w:rsidRPr="009C23DE">
        <w:rPr>
          <w:spacing w:val="-2"/>
          <w:kern w:val="22"/>
          <w:lang w:val="en-GB"/>
        </w:rPr>
        <w:t>ned</w:t>
      </w:r>
      <w:r w:rsidRPr="009C23DE">
        <w:rPr>
          <w:spacing w:val="-2"/>
          <w:kern w:val="22"/>
          <w:lang w:val="en-GB"/>
        </w:rPr>
        <w:t xml:space="preserve"> to expand in </w:t>
      </w:r>
      <w:r w:rsidR="006F720A" w:rsidRPr="009C23DE">
        <w:rPr>
          <w:spacing w:val="-2"/>
          <w:kern w:val="22"/>
          <w:lang w:val="en-GB"/>
        </w:rPr>
        <w:t xml:space="preserve">the </w:t>
      </w:r>
      <w:r w:rsidRPr="009C23DE">
        <w:rPr>
          <w:spacing w:val="-2"/>
          <w:kern w:val="22"/>
          <w:lang w:val="en-GB"/>
        </w:rPr>
        <w:t>New York, Boston, and Toronto markets in the coming months. ECS’s management believe</w:t>
      </w:r>
      <w:r w:rsidR="006F720A" w:rsidRPr="009C23DE">
        <w:rPr>
          <w:spacing w:val="-2"/>
          <w:kern w:val="22"/>
          <w:lang w:val="en-GB"/>
        </w:rPr>
        <w:t>d</w:t>
      </w:r>
      <w:r w:rsidRPr="009C23DE">
        <w:rPr>
          <w:spacing w:val="-2"/>
          <w:kern w:val="22"/>
          <w:lang w:val="en-GB"/>
        </w:rPr>
        <w:t xml:space="preserve"> that ridesharing represented </w:t>
      </w:r>
      <w:r w:rsidR="00C95A45" w:rsidRPr="009C23DE">
        <w:rPr>
          <w:spacing w:val="-2"/>
          <w:kern w:val="22"/>
          <w:lang w:val="en-GB"/>
        </w:rPr>
        <w:t>a</w:t>
      </w:r>
      <w:r w:rsidRPr="009C23DE">
        <w:rPr>
          <w:spacing w:val="-2"/>
          <w:kern w:val="22"/>
          <w:lang w:val="en-GB"/>
        </w:rPr>
        <w:t xml:space="preserve"> new zeitgeist for the rental car industry</w:t>
      </w:r>
      <w:r w:rsidR="00C95A45" w:rsidRPr="009C23DE">
        <w:rPr>
          <w:spacing w:val="-2"/>
          <w:kern w:val="22"/>
          <w:lang w:val="en-GB"/>
        </w:rPr>
        <w:t>,</w:t>
      </w:r>
      <w:r w:rsidRPr="009C23DE">
        <w:rPr>
          <w:spacing w:val="-2"/>
          <w:kern w:val="22"/>
          <w:lang w:val="en-GB"/>
        </w:rPr>
        <w:t xml:space="preserve"> and that ECS w</w:t>
      </w:r>
      <w:r w:rsidR="00C95A45" w:rsidRPr="009C23DE">
        <w:rPr>
          <w:spacing w:val="-2"/>
          <w:kern w:val="22"/>
          <w:lang w:val="en-GB"/>
        </w:rPr>
        <w:t>ould</w:t>
      </w:r>
      <w:r w:rsidRPr="009C23DE">
        <w:rPr>
          <w:spacing w:val="-2"/>
          <w:kern w:val="22"/>
          <w:lang w:val="en-GB"/>
        </w:rPr>
        <w:t xml:space="preserve"> be well positioned to take advantage of these new trends. </w:t>
      </w:r>
    </w:p>
    <w:p w14:paraId="4DCB081C" w14:textId="77777777" w:rsidR="00577B76" w:rsidRPr="009C23DE" w:rsidRDefault="00577B76" w:rsidP="00DC4408">
      <w:pPr>
        <w:pStyle w:val="BodyTextMain"/>
        <w:rPr>
          <w:lang w:val="en-GB"/>
        </w:rPr>
      </w:pPr>
    </w:p>
    <w:p w14:paraId="01030194" w14:textId="663C8679" w:rsidR="00577B76" w:rsidRPr="009C23DE" w:rsidRDefault="00577B76" w:rsidP="00DC4408">
      <w:pPr>
        <w:pStyle w:val="BodyTextMain"/>
        <w:rPr>
          <w:lang w:val="en-GB"/>
        </w:rPr>
      </w:pPr>
      <w:r w:rsidRPr="009C23DE">
        <w:rPr>
          <w:lang w:val="en-GB"/>
        </w:rPr>
        <w:t>Debonair underst</w:t>
      </w:r>
      <w:r w:rsidR="00C95A45" w:rsidRPr="009C23DE">
        <w:rPr>
          <w:lang w:val="en-GB"/>
        </w:rPr>
        <w:t>ood</w:t>
      </w:r>
      <w:r w:rsidRPr="009C23DE">
        <w:rPr>
          <w:lang w:val="en-GB"/>
        </w:rPr>
        <w:t>, based on his preliminary investigation, that the finance</w:t>
      </w:r>
      <w:r w:rsidR="00B15D75" w:rsidRPr="009C23DE">
        <w:rPr>
          <w:lang w:val="en-GB"/>
        </w:rPr>
        <w:t xml:space="preserve"> company required at least a 20</w:t>
      </w:r>
      <w:r w:rsidR="007B1CEA" w:rsidRPr="009C23DE">
        <w:rPr>
          <w:lang w:val="en-GB"/>
        </w:rPr>
        <w:t> </w:t>
      </w:r>
      <w:r w:rsidR="00B15D75" w:rsidRPr="009C23DE">
        <w:rPr>
          <w:lang w:val="en-GB"/>
        </w:rPr>
        <w:t>per</w:t>
      </w:r>
      <w:r w:rsidR="007B1CEA" w:rsidRPr="009C23DE">
        <w:rPr>
          <w:lang w:val="en-GB"/>
        </w:rPr>
        <w:t> </w:t>
      </w:r>
      <w:r w:rsidR="00B15D75" w:rsidRPr="009C23DE">
        <w:rPr>
          <w:lang w:val="en-GB"/>
        </w:rPr>
        <w:t>cent</w:t>
      </w:r>
      <w:r w:rsidRPr="009C23DE">
        <w:rPr>
          <w:lang w:val="en-GB"/>
        </w:rPr>
        <w:t xml:space="preserve"> do</w:t>
      </w:r>
      <w:r w:rsidR="00B15D75" w:rsidRPr="009C23DE">
        <w:rPr>
          <w:lang w:val="en-GB"/>
        </w:rPr>
        <w:t>wn payment</w:t>
      </w:r>
      <w:r w:rsidR="00C95A45" w:rsidRPr="009C23DE">
        <w:rPr>
          <w:lang w:val="en-GB"/>
        </w:rPr>
        <w:t>,</w:t>
      </w:r>
      <w:r w:rsidR="00B15D75" w:rsidRPr="009C23DE">
        <w:rPr>
          <w:lang w:val="en-GB"/>
        </w:rPr>
        <w:t xml:space="preserve"> and that at least 50 per cent</w:t>
      </w:r>
      <w:r w:rsidRPr="009C23DE">
        <w:rPr>
          <w:lang w:val="en-GB"/>
        </w:rPr>
        <w:t xml:space="preserve"> of the purchase price plus interest </w:t>
      </w:r>
      <w:r w:rsidR="00C95A45" w:rsidRPr="009C23DE">
        <w:rPr>
          <w:lang w:val="en-GB"/>
        </w:rPr>
        <w:t>had to</w:t>
      </w:r>
      <w:r w:rsidRPr="009C23DE">
        <w:rPr>
          <w:lang w:val="en-GB"/>
        </w:rPr>
        <w:t xml:space="preserve"> be paid by the end of the first year. The financing c</w:t>
      </w:r>
      <w:r w:rsidR="00B15D75" w:rsidRPr="009C23DE">
        <w:rPr>
          <w:lang w:val="en-GB"/>
        </w:rPr>
        <w:t>ompany was currently charging 4 per cent</w:t>
      </w:r>
      <w:r w:rsidRPr="009C23DE">
        <w:rPr>
          <w:lang w:val="en-GB"/>
        </w:rPr>
        <w:t xml:space="preserve"> i</w:t>
      </w:r>
      <w:r w:rsidR="00B15D75" w:rsidRPr="009C23DE">
        <w:rPr>
          <w:lang w:val="en-GB"/>
        </w:rPr>
        <w:t>nterest. ECS used a 10</w:t>
      </w:r>
      <w:r w:rsidR="007B1CEA" w:rsidRPr="009C23DE">
        <w:rPr>
          <w:lang w:val="en-GB"/>
        </w:rPr>
        <w:t> </w:t>
      </w:r>
      <w:r w:rsidR="00B15D75" w:rsidRPr="009C23DE">
        <w:rPr>
          <w:lang w:val="en-GB"/>
        </w:rPr>
        <w:t>per</w:t>
      </w:r>
      <w:r w:rsidR="007B1CEA" w:rsidRPr="009C23DE">
        <w:rPr>
          <w:lang w:val="en-GB"/>
        </w:rPr>
        <w:t> </w:t>
      </w:r>
      <w:r w:rsidR="00B15D75" w:rsidRPr="009C23DE">
        <w:rPr>
          <w:lang w:val="en-GB"/>
        </w:rPr>
        <w:t>cent</w:t>
      </w:r>
      <w:r w:rsidRPr="009C23DE">
        <w:rPr>
          <w:lang w:val="en-GB"/>
        </w:rPr>
        <w:t xml:space="preserve"> discount rate for financial planning</w:t>
      </w:r>
      <w:r w:rsidR="00C95A45" w:rsidRPr="009C23DE">
        <w:rPr>
          <w:lang w:val="en-GB"/>
        </w:rPr>
        <w:t>,</w:t>
      </w:r>
      <w:r w:rsidRPr="009C23DE">
        <w:rPr>
          <w:lang w:val="en-GB"/>
        </w:rPr>
        <w:t xml:space="preserve"> and based on inputs from operations, Debonair believed that all of </w:t>
      </w:r>
      <w:r w:rsidR="00C95A45" w:rsidRPr="009C23DE">
        <w:rPr>
          <w:lang w:val="en-GB"/>
        </w:rPr>
        <w:t xml:space="preserve">the </w:t>
      </w:r>
      <w:r w:rsidRPr="009C23DE">
        <w:rPr>
          <w:lang w:val="en-GB"/>
        </w:rPr>
        <w:t xml:space="preserve">cars that </w:t>
      </w:r>
      <w:r w:rsidR="00C95A45" w:rsidRPr="009C23DE">
        <w:rPr>
          <w:lang w:val="en-GB"/>
        </w:rPr>
        <w:t>were</w:t>
      </w:r>
      <w:r w:rsidRPr="009C23DE">
        <w:rPr>
          <w:lang w:val="en-GB"/>
        </w:rPr>
        <w:t xml:space="preserve"> purchased c</w:t>
      </w:r>
      <w:r w:rsidR="00C95A45" w:rsidRPr="009C23DE">
        <w:rPr>
          <w:lang w:val="en-GB"/>
        </w:rPr>
        <w:t>ould</w:t>
      </w:r>
      <w:r w:rsidRPr="009C23DE">
        <w:rPr>
          <w:lang w:val="en-GB"/>
        </w:rPr>
        <w:t xml:space="preserve"> be rented. However, to meet overall market demand</w:t>
      </w:r>
      <w:r w:rsidR="00C95A45" w:rsidRPr="009C23DE">
        <w:rPr>
          <w:lang w:val="en-GB"/>
        </w:rPr>
        <w:t>,</w:t>
      </w:r>
      <w:r w:rsidRPr="009C23DE">
        <w:rPr>
          <w:lang w:val="en-GB"/>
        </w:rPr>
        <w:t xml:space="preserve"> Debonair w</w:t>
      </w:r>
      <w:r w:rsidR="00BA61B1" w:rsidRPr="009C23DE">
        <w:rPr>
          <w:lang w:val="en-GB"/>
        </w:rPr>
        <w:t>anted</w:t>
      </w:r>
      <w:r w:rsidRPr="009C23DE">
        <w:rPr>
          <w:lang w:val="en-GB"/>
        </w:rPr>
        <w:t xml:space="preserve"> each vehicle category represent at least 15 per</w:t>
      </w:r>
      <w:r w:rsidR="00B15D75" w:rsidRPr="009C23DE">
        <w:rPr>
          <w:lang w:val="en-GB"/>
        </w:rPr>
        <w:t xml:space="preserve"> </w:t>
      </w:r>
      <w:r w:rsidRPr="009C23DE">
        <w:rPr>
          <w:lang w:val="en-GB"/>
        </w:rPr>
        <w:t>cent and no more than 50 per</w:t>
      </w:r>
      <w:r w:rsidR="00B15D75" w:rsidRPr="009C23DE">
        <w:rPr>
          <w:lang w:val="en-GB"/>
        </w:rPr>
        <w:t xml:space="preserve"> </w:t>
      </w:r>
      <w:r w:rsidRPr="009C23DE">
        <w:rPr>
          <w:lang w:val="en-GB"/>
        </w:rPr>
        <w:t>cent of the total number of vehicles purchased. Cars purchased were depreciated and paid off for over a two-year period, after which they were sold in a secondary market</w:t>
      </w:r>
      <w:r w:rsidR="007E4D66" w:rsidRPr="009C23DE">
        <w:rPr>
          <w:lang w:val="en-GB"/>
        </w:rPr>
        <w:t xml:space="preserve"> (see Exhibit 1).</w:t>
      </w:r>
    </w:p>
    <w:p w14:paraId="6B60315A" w14:textId="77777777" w:rsidR="00577B76" w:rsidRPr="009C23DE" w:rsidRDefault="00577B76">
      <w:pPr>
        <w:spacing w:after="200" w:line="276" w:lineRule="auto"/>
        <w:rPr>
          <w:sz w:val="22"/>
          <w:szCs w:val="22"/>
          <w:lang w:val="en-GB"/>
        </w:rPr>
      </w:pPr>
      <w:r w:rsidRPr="009C23DE">
        <w:rPr>
          <w:lang w:val="en-GB"/>
        </w:rPr>
        <w:br w:type="page"/>
      </w:r>
    </w:p>
    <w:p w14:paraId="64523870" w14:textId="05F75112" w:rsidR="00577B76" w:rsidRPr="009C23DE" w:rsidRDefault="00577B76" w:rsidP="00DC4408">
      <w:pPr>
        <w:pStyle w:val="ExhibitHeading"/>
        <w:rPr>
          <w:lang w:val="en-GB"/>
        </w:rPr>
      </w:pPr>
      <w:r w:rsidRPr="009C23DE">
        <w:rPr>
          <w:lang w:val="en-GB"/>
        </w:rPr>
        <w:lastRenderedPageBreak/>
        <w:t>EXHIBIT 1</w:t>
      </w:r>
      <w:r w:rsidR="000F1CE5" w:rsidRPr="009C23DE">
        <w:rPr>
          <w:lang w:val="en-GB"/>
        </w:rPr>
        <w:t>:</w:t>
      </w:r>
      <w:r w:rsidRPr="009C23DE">
        <w:rPr>
          <w:lang w:val="en-GB"/>
        </w:rPr>
        <w:t xml:space="preserve"> Wholesale Purchase Price and Revenue Summary</w:t>
      </w:r>
      <w:r w:rsidR="000F1CE5" w:rsidRPr="009C23DE">
        <w:rPr>
          <w:lang w:val="en-GB"/>
        </w:rPr>
        <w:t xml:space="preserve"> (US$)</w:t>
      </w:r>
    </w:p>
    <w:p w14:paraId="414C17E6" w14:textId="77777777" w:rsidR="00577B76" w:rsidRPr="009C23DE" w:rsidRDefault="00577B76" w:rsidP="00DC4408">
      <w:pPr>
        <w:pStyle w:val="ExhibitText"/>
        <w:rPr>
          <w:lang w:val="en-GB"/>
        </w:rPr>
      </w:pPr>
    </w:p>
    <w:tbl>
      <w:tblPr>
        <w:tblW w:w="600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5" w:type="dxa"/>
          <w:left w:w="105" w:type="dxa"/>
          <w:bottom w:w="105" w:type="dxa"/>
          <w:right w:w="105" w:type="dxa"/>
        </w:tblCellMar>
        <w:tblLook w:val="0000" w:firstRow="0" w:lastRow="0" w:firstColumn="0" w:lastColumn="0" w:noHBand="0" w:noVBand="0"/>
      </w:tblPr>
      <w:tblGrid>
        <w:gridCol w:w="1917"/>
        <w:gridCol w:w="1200"/>
        <w:gridCol w:w="1434"/>
        <w:gridCol w:w="1449"/>
      </w:tblGrid>
      <w:tr w:rsidR="00231EE9" w:rsidRPr="009C23DE" w14:paraId="08067B50" w14:textId="77777777" w:rsidTr="00DC4408">
        <w:trPr>
          <w:tblCellSpacing w:w="15" w:type="dxa"/>
          <w:jc w:val="center"/>
        </w:trPr>
        <w:tc>
          <w:tcPr>
            <w:tcW w:w="1600" w:type="pct"/>
            <w:vAlign w:val="center"/>
          </w:tcPr>
          <w:p w14:paraId="1F3DAC05" w14:textId="77777777" w:rsidR="00577B76" w:rsidRPr="009C23DE" w:rsidRDefault="00577B76" w:rsidP="005608A1">
            <w:pPr>
              <w:pStyle w:val="ExhibitText"/>
              <w:jc w:val="center"/>
              <w:rPr>
                <w:b/>
                <w:lang w:val="en-GB"/>
              </w:rPr>
            </w:pPr>
            <w:r w:rsidRPr="009C23DE">
              <w:rPr>
                <w:b/>
                <w:lang w:val="en-GB"/>
              </w:rPr>
              <w:t>Car Type</w:t>
            </w:r>
          </w:p>
        </w:tc>
        <w:tc>
          <w:tcPr>
            <w:tcW w:w="1000" w:type="pct"/>
            <w:vAlign w:val="center"/>
          </w:tcPr>
          <w:p w14:paraId="1BFD1103" w14:textId="77777777" w:rsidR="00577B76" w:rsidRPr="009C23DE" w:rsidRDefault="00577B76" w:rsidP="000F1CE5">
            <w:pPr>
              <w:pStyle w:val="ExhibitText"/>
              <w:jc w:val="center"/>
              <w:rPr>
                <w:b/>
                <w:lang w:val="en-GB"/>
              </w:rPr>
            </w:pPr>
            <w:r w:rsidRPr="009C23DE">
              <w:rPr>
                <w:b/>
                <w:lang w:val="en-GB"/>
              </w:rPr>
              <w:t>Price ($)</w:t>
            </w:r>
          </w:p>
        </w:tc>
        <w:tc>
          <w:tcPr>
            <w:tcW w:w="1200" w:type="pct"/>
            <w:vAlign w:val="center"/>
          </w:tcPr>
          <w:p w14:paraId="568267B8" w14:textId="154CAF79" w:rsidR="00577B76" w:rsidRPr="009C23DE" w:rsidRDefault="00577B76" w:rsidP="007B1CEA">
            <w:pPr>
              <w:pStyle w:val="ExhibitText"/>
              <w:jc w:val="center"/>
              <w:rPr>
                <w:b/>
                <w:lang w:val="en-GB"/>
              </w:rPr>
            </w:pPr>
            <w:r w:rsidRPr="009C23DE">
              <w:rPr>
                <w:b/>
                <w:lang w:val="en-GB"/>
              </w:rPr>
              <w:t xml:space="preserve">1st </w:t>
            </w:r>
            <w:r w:rsidR="007B1CEA" w:rsidRPr="009C23DE">
              <w:rPr>
                <w:b/>
                <w:lang w:val="en-GB"/>
              </w:rPr>
              <w:t xml:space="preserve">Year </w:t>
            </w:r>
            <w:r w:rsidRPr="009C23DE">
              <w:rPr>
                <w:b/>
                <w:lang w:val="en-GB"/>
              </w:rPr>
              <w:t>($)</w:t>
            </w:r>
          </w:p>
        </w:tc>
        <w:tc>
          <w:tcPr>
            <w:tcW w:w="1200" w:type="pct"/>
            <w:vAlign w:val="center"/>
          </w:tcPr>
          <w:p w14:paraId="63D1F08F" w14:textId="6F03C54D" w:rsidR="00577B76" w:rsidRPr="009C23DE" w:rsidRDefault="00577B76" w:rsidP="00F34AFC">
            <w:pPr>
              <w:pStyle w:val="ExhibitText"/>
              <w:jc w:val="center"/>
              <w:rPr>
                <w:b/>
                <w:lang w:val="en-GB"/>
              </w:rPr>
            </w:pPr>
            <w:r w:rsidRPr="009C23DE">
              <w:rPr>
                <w:b/>
                <w:lang w:val="en-GB"/>
              </w:rPr>
              <w:t xml:space="preserve">2nd </w:t>
            </w:r>
            <w:r w:rsidR="007B1CEA" w:rsidRPr="009C23DE">
              <w:rPr>
                <w:b/>
                <w:lang w:val="en-GB"/>
              </w:rPr>
              <w:t xml:space="preserve">Year </w:t>
            </w:r>
            <w:r w:rsidRPr="009C23DE">
              <w:rPr>
                <w:b/>
                <w:lang w:val="en-GB"/>
              </w:rPr>
              <w:t>($)</w:t>
            </w:r>
          </w:p>
        </w:tc>
      </w:tr>
      <w:tr w:rsidR="00231EE9" w:rsidRPr="009C23DE" w14:paraId="0B665B7D" w14:textId="77777777" w:rsidTr="00DC4408">
        <w:trPr>
          <w:tblCellSpacing w:w="15" w:type="dxa"/>
          <w:jc w:val="center"/>
        </w:trPr>
        <w:tc>
          <w:tcPr>
            <w:tcW w:w="1600" w:type="pct"/>
            <w:vAlign w:val="center"/>
          </w:tcPr>
          <w:p w14:paraId="7BB56BF9" w14:textId="77777777" w:rsidR="00577B76" w:rsidRPr="009C23DE" w:rsidRDefault="00577B76" w:rsidP="00DC4408">
            <w:pPr>
              <w:pStyle w:val="ExhibitText"/>
              <w:jc w:val="left"/>
              <w:rPr>
                <w:lang w:val="en-GB"/>
              </w:rPr>
            </w:pPr>
            <w:r w:rsidRPr="009C23DE">
              <w:rPr>
                <w:lang w:val="en-GB"/>
              </w:rPr>
              <w:t>Minivan</w:t>
            </w:r>
          </w:p>
        </w:tc>
        <w:tc>
          <w:tcPr>
            <w:tcW w:w="1000" w:type="pct"/>
            <w:vAlign w:val="center"/>
          </w:tcPr>
          <w:p w14:paraId="79FC2D55" w14:textId="77777777" w:rsidR="00577B76" w:rsidRPr="009C23DE" w:rsidRDefault="00577B76" w:rsidP="00DC4408">
            <w:pPr>
              <w:pStyle w:val="ExhibitText"/>
              <w:jc w:val="right"/>
              <w:rPr>
                <w:lang w:val="en-GB"/>
              </w:rPr>
            </w:pPr>
            <w:r w:rsidRPr="009C23DE">
              <w:rPr>
                <w:lang w:val="en-GB"/>
              </w:rPr>
              <w:t>27,000</w:t>
            </w:r>
          </w:p>
        </w:tc>
        <w:tc>
          <w:tcPr>
            <w:tcW w:w="1200" w:type="pct"/>
            <w:vAlign w:val="center"/>
          </w:tcPr>
          <w:p w14:paraId="5A641C13" w14:textId="77777777" w:rsidR="00577B76" w:rsidRPr="009C23DE" w:rsidRDefault="00577B76" w:rsidP="00DC4408">
            <w:pPr>
              <w:pStyle w:val="ExhibitText"/>
              <w:jc w:val="right"/>
              <w:rPr>
                <w:lang w:val="en-GB"/>
              </w:rPr>
            </w:pPr>
            <w:r w:rsidRPr="009C23DE">
              <w:rPr>
                <w:lang w:val="en-GB"/>
              </w:rPr>
              <w:t>15,000</w:t>
            </w:r>
          </w:p>
        </w:tc>
        <w:tc>
          <w:tcPr>
            <w:tcW w:w="1200" w:type="pct"/>
            <w:vAlign w:val="center"/>
          </w:tcPr>
          <w:p w14:paraId="4D95EB07" w14:textId="77777777" w:rsidR="00577B76" w:rsidRPr="009C23DE" w:rsidRDefault="00577B76" w:rsidP="00DC4408">
            <w:pPr>
              <w:pStyle w:val="ExhibitText"/>
              <w:jc w:val="right"/>
              <w:rPr>
                <w:lang w:val="en-GB"/>
              </w:rPr>
            </w:pPr>
            <w:r w:rsidRPr="009C23DE">
              <w:rPr>
                <w:lang w:val="en-GB"/>
              </w:rPr>
              <w:t>28,000</w:t>
            </w:r>
          </w:p>
        </w:tc>
      </w:tr>
      <w:tr w:rsidR="00231EE9" w:rsidRPr="009C23DE" w14:paraId="7E714221" w14:textId="77777777" w:rsidTr="00DC4408">
        <w:trPr>
          <w:tblCellSpacing w:w="15" w:type="dxa"/>
          <w:jc w:val="center"/>
        </w:trPr>
        <w:tc>
          <w:tcPr>
            <w:tcW w:w="1600" w:type="pct"/>
            <w:vAlign w:val="center"/>
          </w:tcPr>
          <w:p w14:paraId="70D08C1F" w14:textId="77777777" w:rsidR="00577B76" w:rsidRPr="009C23DE" w:rsidRDefault="00577B76" w:rsidP="00DC4408">
            <w:pPr>
              <w:pStyle w:val="ExhibitText"/>
              <w:jc w:val="left"/>
              <w:rPr>
                <w:lang w:val="en-GB"/>
              </w:rPr>
            </w:pPr>
            <w:r w:rsidRPr="009C23DE">
              <w:rPr>
                <w:lang w:val="en-GB"/>
              </w:rPr>
              <w:t>SUV</w:t>
            </w:r>
          </w:p>
        </w:tc>
        <w:tc>
          <w:tcPr>
            <w:tcW w:w="1000" w:type="pct"/>
            <w:vAlign w:val="center"/>
          </w:tcPr>
          <w:p w14:paraId="0B9C6691" w14:textId="77777777" w:rsidR="00577B76" w:rsidRPr="009C23DE" w:rsidRDefault="00577B76" w:rsidP="00DC4408">
            <w:pPr>
              <w:pStyle w:val="ExhibitText"/>
              <w:jc w:val="right"/>
              <w:rPr>
                <w:lang w:val="en-GB"/>
              </w:rPr>
            </w:pPr>
            <w:r w:rsidRPr="009C23DE">
              <w:rPr>
                <w:lang w:val="en-GB"/>
              </w:rPr>
              <w:t>22,000</w:t>
            </w:r>
          </w:p>
        </w:tc>
        <w:tc>
          <w:tcPr>
            <w:tcW w:w="1200" w:type="pct"/>
            <w:vAlign w:val="center"/>
          </w:tcPr>
          <w:p w14:paraId="0A179255" w14:textId="77777777" w:rsidR="00577B76" w:rsidRPr="009C23DE" w:rsidRDefault="00577B76" w:rsidP="00DC4408">
            <w:pPr>
              <w:pStyle w:val="ExhibitText"/>
              <w:jc w:val="right"/>
              <w:rPr>
                <w:lang w:val="en-GB"/>
              </w:rPr>
            </w:pPr>
            <w:r w:rsidRPr="009C23DE">
              <w:rPr>
                <w:lang w:val="en-GB"/>
              </w:rPr>
              <w:t>10,000</w:t>
            </w:r>
          </w:p>
        </w:tc>
        <w:tc>
          <w:tcPr>
            <w:tcW w:w="1200" w:type="pct"/>
            <w:vAlign w:val="center"/>
          </w:tcPr>
          <w:p w14:paraId="45558F8F" w14:textId="77777777" w:rsidR="00577B76" w:rsidRPr="009C23DE" w:rsidRDefault="00577B76" w:rsidP="00DC4408">
            <w:pPr>
              <w:pStyle w:val="ExhibitText"/>
              <w:jc w:val="right"/>
              <w:rPr>
                <w:lang w:val="en-GB"/>
              </w:rPr>
            </w:pPr>
            <w:r w:rsidRPr="009C23DE">
              <w:rPr>
                <w:lang w:val="en-GB"/>
              </w:rPr>
              <w:t>19,000</w:t>
            </w:r>
          </w:p>
        </w:tc>
      </w:tr>
      <w:tr w:rsidR="00231EE9" w:rsidRPr="009C23DE" w14:paraId="09CD56EC" w14:textId="77777777" w:rsidTr="00DC4408">
        <w:trPr>
          <w:tblCellSpacing w:w="15" w:type="dxa"/>
          <w:jc w:val="center"/>
        </w:trPr>
        <w:tc>
          <w:tcPr>
            <w:tcW w:w="1600" w:type="pct"/>
            <w:vAlign w:val="center"/>
          </w:tcPr>
          <w:p w14:paraId="5A02DC61" w14:textId="77777777" w:rsidR="00577B76" w:rsidRPr="009C23DE" w:rsidRDefault="00577B76" w:rsidP="00DC4408">
            <w:pPr>
              <w:pStyle w:val="ExhibitText"/>
              <w:jc w:val="left"/>
              <w:rPr>
                <w:lang w:val="en-GB"/>
              </w:rPr>
            </w:pPr>
            <w:r w:rsidRPr="009C23DE">
              <w:rPr>
                <w:lang w:val="en-GB"/>
              </w:rPr>
              <w:t>Sedan</w:t>
            </w:r>
          </w:p>
        </w:tc>
        <w:tc>
          <w:tcPr>
            <w:tcW w:w="1000" w:type="pct"/>
            <w:vAlign w:val="center"/>
          </w:tcPr>
          <w:p w14:paraId="3ACD60C3" w14:textId="77777777" w:rsidR="00577B76" w:rsidRPr="009C23DE" w:rsidRDefault="00577B76" w:rsidP="00DC4408">
            <w:pPr>
              <w:pStyle w:val="ExhibitText"/>
              <w:jc w:val="right"/>
              <w:rPr>
                <w:lang w:val="en-GB"/>
              </w:rPr>
            </w:pPr>
            <w:r w:rsidRPr="009C23DE">
              <w:rPr>
                <w:lang w:val="en-GB"/>
              </w:rPr>
              <w:t>18,000</w:t>
            </w:r>
          </w:p>
        </w:tc>
        <w:tc>
          <w:tcPr>
            <w:tcW w:w="1200" w:type="pct"/>
            <w:vAlign w:val="center"/>
          </w:tcPr>
          <w:p w14:paraId="7405E56A" w14:textId="77777777" w:rsidR="00577B76" w:rsidRPr="009C23DE" w:rsidRDefault="00577B76" w:rsidP="00DC4408">
            <w:pPr>
              <w:pStyle w:val="ExhibitText"/>
              <w:jc w:val="right"/>
              <w:rPr>
                <w:lang w:val="en-GB"/>
              </w:rPr>
            </w:pPr>
            <w:r w:rsidRPr="009C23DE">
              <w:rPr>
                <w:lang w:val="en-GB"/>
              </w:rPr>
              <w:t>9,000</w:t>
            </w:r>
          </w:p>
        </w:tc>
        <w:tc>
          <w:tcPr>
            <w:tcW w:w="1200" w:type="pct"/>
            <w:vAlign w:val="center"/>
          </w:tcPr>
          <w:p w14:paraId="213F05C7" w14:textId="77777777" w:rsidR="00577B76" w:rsidRPr="009C23DE" w:rsidRDefault="00577B76" w:rsidP="00DC4408">
            <w:pPr>
              <w:pStyle w:val="ExhibitText"/>
              <w:jc w:val="right"/>
              <w:rPr>
                <w:lang w:val="en-GB"/>
              </w:rPr>
            </w:pPr>
            <w:r w:rsidRPr="009C23DE">
              <w:rPr>
                <w:lang w:val="en-GB"/>
              </w:rPr>
              <w:t>21,000</w:t>
            </w:r>
          </w:p>
        </w:tc>
      </w:tr>
      <w:tr w:rsidR="00577B76" w:rsidRPr="009C23DE" w14:paraId="4BE07B32" w14:textId="77777777" w:rsidTr="00DC4408">
        <w:trPr>
          <w:tblCellSpacing w:w="15" w:type="dxa"/>
          <w:jc w:val="center"/>
        </w:trPr>
        <w:tc>
          <w:tcPr>
            <w:tcW w:w="1600" w:type="pct"/>
            <w:vAlign w:val="center"/>
          </w:tcPr>
          <w:p w14:paraId="258C54FB" w14:textId="77777777" w:rsidR="00577B76" w:rsidRPr="009C23DE" w:rsidRDefault="00577B76" w:rsidP="00DC4408">
            <w:pPr>
              <w:pStyle w:val="ExhibitText"/>
              <w:jc w:val="left"/>
              <w:rPr>
                <w:lang w:val="en-GB"/>
              </w:rPr>
            </w:pPr>
            <w:r w:rsidRPr="009C23DE">
              <w:rPr>
                <w:lang w:val="en-GB"/>
              </w:rPr>
              <w:t>Economy</w:t>
            </w:r>
          </w:p>
        </w:tc>
        <w:tc>
          <w:tcPr>
            <w:tcW w:w="1000" w:type="pct"/>
            <w:vAlign w:val="center"/>
          </w:tcPr>
          <w:p w14:paraId="13A4F255" w14:textId="77777777" w:rsidR="00577B76" w:rsidRPr="009C23DE" w:rsidRDefault="00577B76" w:rsidP="00DC4408">
            <w:pPr>
              <w:pStyle w:val="ExhibitText"/>
              <w:jc w:val="right"/>
              <w:rPr>
                <w:lang w:val="en-GB"/>
              </w:rPr>
            </w:pPr>
            <w:r w:rsidRPr="009C23DE">
              <w:rPr>
                <w:lang w:val="en-GB"/>
              </w:rPr>
              <w:t>14,000</w:t>
            </w:r>
          </w:p>
        </w:tc>
        <w:tc>
          <w:tcPr>
            <w:tcW w:w="1200" w:type="pct"/>
            <w:vAlign w:val="center"/>
          </w:tcPr>
          <w:p w14:paraId="39F175DB" w14:textId="77777777" w:rsidR="00577B76" w:rsidRPr="009C23DE" w:rsidRDefault="00577B76" w:rsidP="00DC4408">
            <w:pPr>
              <w:pStyle w:val="ExhibitText"/>
              <w:jc w:val="right"/>
              <w:rPr>
                <w:lang w:val="en-GB"/>
              </w:rPr>
            </w:pPr>
            <w:r w:rsidRPr="009C23DE">
              <w:rPr>
                <w:lang w:val="en-GB"/>
              </w:rPr>
              <w:t>7,000</w:t>
            </w:r>
          </w:p>
        </w:tc>
        <w:tc>
          <w:tcPr>
            <w:tcW w:w="1200" w:type="pct"/>
            <w:vAlign w:val="center"/>
          </w:tcPr>
          <w:p w14:paraId="7F431744" w14:textId="77777777" w:rsidR="00577B76" w:rsidRPr="009C23DE" w:rsidRDefault="00577B76" w:rsidP="00DC4408">
            <w:pPr>
              <w:pStyle w:val="ExhibitText"/>
              <w:jc w:val="right"/>
              <w:rPr>
                <w:lang w:val="en-GB"/>
              </w:rPr>
            </w:pPr>
            <w:r w:rsidRPr="009C23DE">
              <w:rPr>
                <w:lang w:val="en-GB"/>
              </w:rPr>
              <w:t>15,000</w:t>
            </w:r>
          </w:p>
        </w:tc>
      </w:tr>
    </w:tbl>
    <w:p w14:paraId="7DE311CA" w14:textId="77777777" w:rsidR="00DC4408" w:rsidRPr="009C23DE" w:rsidRDefault="00DC4408" w:rsidP="00DC4408">
      <w:pPr>
        <w:pStyle w:val="ExhibitText"/>
        <w:rPr>
          <w:lang w:val="en-GB"/>
        </w:rPr>
      </w:pPr>
    </w:p>
    <w:p w14:paraId="0B2E706A" w14:textId="660A95F7" w:rsidR="000F1CE5" w:rsidRPr="009C23DE" w:rsidRDefault="000F1CE5" w:rsidP="00DC4408">
      <w:pPr>
        <w:pStyle w:val="Footnote"/>
        <w:rPr>
          <w:lang w:val="en-GB"/>
        </w:rPr>
      </w:pPr>
      <w:r w:rsidRPr="009C23DE">
        <w:rPr>
          <w:lang w:val="en-GB"/>
        </w:rPr>
        <w:t xml:space="preserve">Note: </w:t>
      </w:r>
      <w:r w:rsidR="008826F9" w:rsidRPr="009C23DE">
        <w:rPr>
          <w:lang w:val="en-GB"/>
        </w:rPr>
        <w:t xml:space="preserve">Second-year revenue estimates include the resale value; </w:t>
      </w:r>
      <w:r w:rsidRPr="009C23DE">
        <w:rPr>
          <w:lang w:val="en-GB"/>
        </w:rPr>
        <w:t>SUV = sport utility vehicle</w:t>
      </w:r>
      <w:r w:rsidR="007B1CEA" w:rsidRPr="009C23DE">
        <w:rPr>
          <w:lang w:val="en-GB"/>
        </w:rPr>
        <w:t>.</w:t>
      </w:r>
    </w:p>
    <w:p w14:paraId="0F9B5A11" w14:textId="77777777" w:rsidR="00577B76" w:rsidRPr="009C23DE" w:rsidRDefault="00577B76" w:rsidP="00DC4408">
      <w:pPr>
        <w:pStyle w:val="Footnote"/>
        <w:rPr>
          <w:lang w:val="en-GB"/>
        </w:rPr>
      </w:pPr>
      <w:r w:rsidRPr="009C23DE">
        <w:rPr>
          <w:lang w:val="en-GB"/>
        </w:rPr>
        <w:t>Source: Based on the authors’ calculations from information in the case.</w:t>
      </w:r>
    </w:p>
    <w:p w14:paraId="55DB038F" w14:textId="77777777" w:rsidR="00465348" w:rsidRPr="009C23DE" w:rsidRDefault="00465348" w:rsidP="000D7091">
      <w:pPr>
        <w:pStyle w:val="BodyTextMain"/>
        <w:rPr>
          <w:lang w:val="en-GB"/>
        </w:rPr>
      </w:pPr>
    </w:p>
    <w:sectPr w:rsidR="00465348" w:rsidRPr="009C23DE" w:rsidSect="00751E0B">
      <w:headerReference w:type="default" r:id="rId13"/>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CF570C" w16cid:durableId="1E9C3B48"/>
  <w16cid:commentId w16cid:paraId="2F4B6324" w16cid:durableId="1E9C3B49"/>
  <w16cid:commentId w16cid:paraId="76F062B9" w16cid:durableId="1E9C3B4A"/>
  <w16cid:commentId w16cid:paraId="742E15DF" w16cid:durableId="1E9C3D97"/>
  <w16cid:commentId w16cid:paraId="4956FCAF" w16cid:durableId="1E9C3B4B"/>
  <w16cid:commentId w16cid:paraId="46099B10" w16cid:durableId="1E9C3D3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29FBC" w14:textId="77777777" w:rsidR="00465A02" w:rsidRDefault="00465A02" w:rsidP="00D75295">
      <w:r>
        <w:separator/>
      </w:r>
    </w:p>
  </w:endnote>
  <w:endnote w:type="continuationSeparator" w:id="0">
    <w:p w14:paraId="2FC1BD85" w14:textId="77777777" w:rsidR="00465A02" w:rsidRDefault="00465A0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A27664" w14:textId="77777777" w:rsidR="00465A02" w:rsidRDefault="00465A02" w:rsidP="00D75295">
      <w:r>
        <w:separator/>
      </w:r>
    </w:p>
  </w:footnote>
  <w:footnote w:type="continuationSeparator" w:id="0">
    <w:p w14:paraId="510822A3" w14:textId="77777777" w:rsidR="00465A02" w:rsidRDefault="00465A02" w:rsidP="00D75295">
      <w:r>
        <w:continuationSeparator/>
      </w:r>
    </w:p>
  </w:footnote>
  <w:footnote w:id="1">
    <w:p w14:paraId="46A424E7" w14:textId="446D33D9" w:rsidR="00B15D75" w:rsidRDefault="00B15D75" w:rsidP="00B15D75">
      <w:pPr>
        <w:pStyle w:val="Footnote"/>
      </w:pPr>
      <w:r>
        <w:rPr>
          <w:rStyle w:val="FootnoteReference"/>
        </w:rPr>
        <w:footnoteRef/>
      </w:r>
      <w:r>
        <w:t xml:space="preserve"> All currency amounts are in U</w:t>
      </w:r>
      <w:r w:rsidR="000F1CE5">
        <w:t>.</w:t>
      </w:r>
      <w:r>
        <w:t>S</w:t>
      </w:r>
      <w:r w:rsidR="000F1CE5">
        <w:t>. dollars</w:t>
      </w:r>
      <w:r>
        <w:t>.</w:t>
      </w:r>
    </w:p>
  </w:footnote>
  <w:footnote w:id="2">
    <w:p w14:paraId="0A804C64" w14:textId="5B653E29" w:rsidR="00577B76" w:rsidRDefault="00577B76">
      <w:pPr>
        <w:pStyle w:val="Footnote"/>
      </w:pPr>
      <w:r>
        <w:rPr>
          <w:rStyle w:val="FootnoteReference"/>
        </w:rPr>
        <w:footnoteRef/>
      </w:r>
      <w:r>
        <w:t xml:space="preserve"> </w:t>
      </w:r>
      <w:r w:rsidRPr="005608A1">
        <w:t>Z</w:t>
      </w:r>
      <w:r w:rsidR="006A0CAD" w:rsidRPr="005608A1">
        <w:t>ion</w:t>
      </w:r>
      <w:r w:rsidRPr="005608A1">
        <w:t xml:space="preserve"> </w:t>
      </w:r>
      <w:r w:rsidRPr="00577B76">
        <w:t>Market Research</w:t>
      </w:r>
      <w:r w:rsidRPr="00577B76">
        <w:rPr>
          <w:caps/>
        </w:rPr>
        <w:t xml:space="preserve">, </w:t>
      </w:r>
      <w:r w:rsidR="006A0CAD">
        <w:rPr>
          <w:caps/>
        </w:rPr>
        <w:t>“</w:t>
      </w:r>
      <w:r w:rsidRPr="00577B76">
        <w:t xml:space="preserve">Car </w:t>
      </w:r>
      <w:r w:rsidR="006A0CAD">
        <w:t>R</w:t>
      </w:r>
      <w:r w:rsidRPr="00577B76">
        <w:t xml:space="preserve">ental </w:t>
      </w:r>
      <w:r w:rsidR="006A0CAD">
        <w:t>I</w:t>
      </w:r>
      <w:r w:rsidRPr="00577B76">
        <w:t xml:space="preserve">ndustry </w:t>
      </w:r>
      <w:r w:rsidR="006A0CAD">
        <w:t>S</w:t>
      </w:r>
      <w:r w:rsidRPr="00577B76">
        <w:t xml:space="preserve">hare &amp; </w:t>
      </w:r>
      <w:r w:rsidR="006A0CAD">
        <w:t>T</w:t>
      </w:r>
      <w:r w:rsidRPr="00577B76">
        <w:t xml:space="preserve">rends </w:t>
      </w:r>
      <w:r w:rsidR="00C95A45">
        <w:t>W</w:t>
      </w:r>
      <w:r w:rsidRPr="00577B76">
        <w:t xml:space="preserve">ill </w:t>
      </w:r>
      <w:r w:rsidR="006A0CAD">
        <w:t>R</w:t>
      </w:r>
      <w:r w:rsidRPr="00577B76">
        <w:t xml:space="preserve">each $124.56 </w:t>
      </w:r>
      <w:r w:rsidR="006A0CAD">
        <w:t>B</w:t>
      </w:r>
      <w:r w:rsidRPr="00577B76">
        <w:t xml:space="preserve">illion </w:t>
      </w:r>
      <w:r w:rsidR="006A0CAD">
        <w:t>M</w:t>
      </w:r>
      <w:r w:rsidRPr="00577B76">
        <w:t xml:space="preserve">arket by </w:t>
      </w:r>
      <w:r w:rsidRPr="00577B76">
        <w:rPr>
          <w:caps/>
        </w:rPr>
        <w:t>2022</w:t>
      </w:r>
      <w:r w:rsidR="006A0CAD">
        <w:rPr>
          <w:caps/>
        </w:rPr>
        <w:t xml:space="preserve">,” </w:t>
      </w:r>
      <w:r w:rsidR="006A0CAD" w:rsidRPr="005608A1">
        <w:t xml:space="preserve">Globe </w:t>
      </w:r>
      <w:r w:rsidR="006A0CAD">
        <w:t>N</w:t>
      </w:r>
      <w:r w:rsidR="006A0CAD" w:rsidRPr="005608A1">
        <w:t>ewswire,</w:t>
      </w:r>
      <w:r w:rsidR="006A0CAD">
        <w:rPr>
          <w:caps/>
        </w:rPr>
        <w:t xml:space="preserve"> </w:t>
      </w:r>
      <w:r w:rsidRPr="00577B76">
        <w:t>December</w:t>
      </w:r>
      <w:r w:rsidRPr="00577B76">
        <w:rPr>
          <w:caps/>
        </w:rPr>
        <w:t xml:space="preserve"> 20, 2017, </w:t>
      </w:r>
      <w:r w:rsidRPr="00577B76">
        <w:t>accessed</w:t>
      </w:r>
      <w:r w:rsidRPr="00577B76">
        <w:rPr>
          <w:caps/>
        </w:rPr>
        <w:t xml:space="preserve"> </w:t>
      </w:r>
      <w:r w:rsidRPr="00577B76">
        <w:t>April</w:t>
      </w:r>
      <w:r w:rsidRPr="00577B76">
        <w:rPr>
          <w:caps/>
        </w:rPr>
        <w:t xml:space="preserve"> 11, 2018,</w:t>
      </w:r>
      <w:r w:rsidR="006A0CAD">
        <w:rPr>
          <w:caps/>
        </w:rPr>
        <w:t xml:space="preserve"> </w:t>
      </w:r>
      <w:r w:rsidRPr="00577B76">
        <w:t>https://globenewswire.com/news-release/2017/12/20/1266919/0/en/car-rental-industry-share-trends-will-reach-124-56-billion-market-by-2022.html</w:t>
      </w:r>
      <w:r>
        <w:rPr>
          <w:caps/>
        </w:rPr>
        <w:t>.</w:t>
      </w:r>
    </w:p>
  </w:footnote>
  <w:footnote w:id="3">
    <w:p w14:paraId="3B84AA14" w14:textId="522055A6" w:rsidR="00577B76" w:rsidRDefault="00577B76" w:rsidP="005608A1">
      <w:pPr>
        <w:pStyle w:val="Footnote"/>
        <w:jc w:val="left"/>
      </w:pPr>
      <w:r>
        <w:rPr>
          <w:rStyle w:val="FootnoteReference"/>
        </w:rPr>
        <w:footnoteRef/>
      </w:r>
      <w:r>
        <w:t xml:space="preserve"> </w:t>
      </w:r>
      <w:r w:rsidR="00C95A45">
        <w:t xml:space="preserve">Alex </w:t>
      </w:r>
      <w:r w:rsidRPr="00577B76">
        <w:t xml:space="preserve">Moazed, </w:t>
      </w:r>
      <w:r w:rsidR="00C95A45">
        <w:t xml:space="preserve">“Autonomous Cars Will End the $75 Billion Rental Car Industry as We Know It: </w:t>
      </w:r>
      <w:r w:rsidRPr="00577B76">
        <w:t xml:space="preserve">When </w:t>
      </w:r>
      <w:r w:rsidR="00C95A45">
        <w:t>A</w:t>
      </w:r>
      <w:r w:rsidRPr="00577B76">
        <w:t xml:space="preserve">utonomous </w:t>
      </w:r>
      <w:r w:rsidR="00C95A45">
        <w:t>V</w:t>
      </w:r>
      <w:r w:rsidRPr="00577B76">
        <w:t xml:space="preserve">ehicles </w:t>
      </w:r>
      <w:r w:rsidR="00C95A45">
        <w:t>H</w:t>
      </w:r>
      <w:r w:rsidRPr="00577B76">
        <w:t xml:space="preserve">it the </w:t>
      </w:r>
      <w:r w:rsidR="00C95A45">
        <w:t>R</w:t>
      </w:r>
      <w:r w:rsidRPr="00577B76">
        <w:t xml:space="preserve">oad, </w:t>
      </w:r>
      <w:r w:rsidR="00C95A45">
        <w:t>R</w:t>
      </w:r>
      <w:r w:rsidRPr="00577B76">
        <w:t xml:space="preserve">enting a </w:t>
      </w:r>
      <w:r w:rsidR="00C95A45">
        <w:t>C</w:t>
      </w:r>
      <w:r w:rsidRPr="00577B76">
        <w:t xml:space="preserve">ar </w:t>
      </w:r>
      <w:r w:rsidR="00C95A45">
        <w:t>W</w:t>
      </w:r>
      <w:r w:rsidRPr="00577B76">
        <w:t xml:space="preserve">ill </w:t>
      </w:r>
      <w:r w:rsidR="00C95A45">
        <w:t>B</w:t>
      </w:r>
      <w:r w:rsidRPr="00577B76">
        <w:t xml:space="preserve">e an </w:t>
      </w:r>
      <w:r w:rsidR="00C95A45">
        <w:t>E</w:t>
      </w:r>
      <w:r w:rsidRPr="00577B76">
        <w:t xml:space="preserve">ntirely </w:t>
      </w:r>
      <w:r w:rsidR="00C95A45">
        <w:t>N</w:t>
      </w:r>
      <w:r w:rsidRPr="00577B76">
        <w:t xml:space="preserve">ew </w:t>
      </w:r>
      <w:r w:rsidR="00C95A45">
        <w:t>E</w:t>
      </w:r>
      <w:r w:rsidRPr="00577B76">
        <w:t>xperience,</w:t>
      </w:r>
      <w:r w:rsidR="00C95A45">
        <w:t>” Inc.,</w:t>
      </w:r>
      <w:r w:rsidRPr="00577B76">
        <w:t xml:space="preserve"> October 16, 2016, accessed</w:t>
      </w:r>
      <w:r w:rsidRPr="00577B76">
        <w:rPr>
          <w:caps/>
        </w:rPr>
        <w:t xml:space="preserve"> </w:t>
      </w:r>
      <w:r w:rsidRPr="00577B76">
        <w:t>April</w:t>
      </w:r>
      <w:r w:rsidRPr="00577B76">
        <w:rPr>
          <w:caps/>
        </w:rPr>
        <w:t xml:space="preserve"> 11, 2018,</w:t>
      </w:r>
      <w:r w:rsidR="00C95A45">
        <w:rPr>
          <w:caps/>
        </w:rPr>
        <w:t xml:space="preserve"> </w:t>
      </w:r>
      <w:r w:rsidRPr="00577B76">
        <w:t>https://www.inc.com/alex-moazed/autonomous-cars-will-end-the-75-billion-rental-car-industry-as-we-know-it.html</w:t>
      </w:r>
      <w:r>
        <w:rPr>
          <w:cap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84B62" w14:textId="428854C8"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E2BB1">
      <w:rPr>
        <w:rFonts w:ascii="Arial" w:hAnsi="Arial"/>
        <w:b/>
        <w:noProof/>
      </w:rPr>
      <w:t>3</w:t>
    </w:r>
    <w:r>
      <w:rPr>
        <w:rFonts w:ascii="Arial" w:hAnsi="Arial"/>
        <w:b/>
      </w:rPr>
      <w:fldChar w:fldCharType="end"/>
    </w:r>
    <w:r>
      <w:rPr>
        <w:rFonts w:ascii="Arial" w:hAnsi="Arial"/>
        <w:b/>
      </w:rPr>
      <w:tab/>
    </w:r>
    <w:r w:rsidR="00074A8F">
      <w:rPr>
        <w:rFonts w:ascii="Arial" w:hAnsi="Arial"/>
        <w:b/>
      </w:rPr>
      <w:t>9B18D015</w:t>
    </w:r>
  </w:p>
  <w:p w14:paraId="6360C90A" w14:textId="77777777" w:rsidR="00D13667" w:rsidRDefault="00D13667" w:rsidP="00D13667">
    <w:pPr>
      <w:pStyle w:val="Header"/>
      <w:tabs>
        <w:tab w:val="clear" w:pos="4680"/>
      </w:tabs>
      <w:rPr>
        <w:sz w:val="18"/>
        <w:szCs w:val="18"/>
      </w:rPr>
    </w:pPr>
  </w:p>
  <w:p w14:paraId="130D67B1"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74A8F"/>
    <w:rsid w:val="00075259"/>
    <w:rsid w:val="0008102D"/>
    <w:rsid w:val="00094C0E"/>
    <w:rsid w:val="000D3813"/>
    <w:rsid w:val="000D7091"/>
    <w:rsid w:val="000F0C22"/>
    <w:rsid w:val="000F1CE5"/>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226A"/>
    <w:rsid w:val="001C7777"/>
    <w:rsid w:val="001E364F"/>
    <w:rsid w:val="001F4222"/>
    <w:rsid w:val="00203AA1"/>
    <w:rsid w:val="00213E98"/>
    <w:rsid w:val="0023081A"/>
    <w:rsid w:val="00231EE9"/>
    <w:rsid w:val="00286E4D"/>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65A02"/>
    <w:rsid w:val="004B1CCB"/>
    <w:rsid w:val="004B632F"/>
    <w:rsid w:val="004D3FB1"/>
    <w:rsid w:val="004D6F21"/>
    <w:rsid w:val="004D73A5"/>
    <w:rsid w:val="005160F1"/>
    <w:rsid w:val="00524F2F"/>
    <w:rsid w:val="00527E5C"/>
    <w:rsid w:val="00532CF5"/>
    <w:rsid w:val="005528CB"/>
    <w:rsid w:val="005608A1"/>
    <w:rsid w:val="00564FCB"/>
    <w:rsid w:val="00566771"/>
    <w:rsid w:val="00577B76"/>
    <w:rsid w:val="00581E2E"/>
    <w:rsid w:val="00584F15"/>
    <w:rsid w:val="0059514B"/>
    <w:rsid w:val="005A1B0F"/>
    <w:rsid w:val="006139A4"/>
    <w:rsid w:val="0061401F"/>
    <w:rsid w:val="006163F7"/>
    <w:rsid w:val="00627C63"/>
    <w:rsid w:val="0063350B"/>
    <w:rsid w:val="00652606"/>
    <w:rsid w:val="006946EE"/>
    <w:rsid w:val="006A0CAD"/>
    <w:rsid w:val="006A58A9"/>
    <w:rsid w:val="006A606D"/>
    <w:rsid w:val="006C0371"/>
    <w:rsid w:val="006C08B6"/>
    <w:rsid w:val="006C0B1A"/>
    <w:rsid w:val="006C6065"/>
    <w:rsid w:val="006C7F9F"/>
    <w:rsid w:val="006E2F6D"/>
    <w:rsid w:val="006E58F6"/>
    <w:rsid w:val="006E77E1"/>
    <w:rsid w:val="006F131D"/>
    <w:rsid w:val="006F720A"/>
    <w:rsid w:val="00711642"/>
    <w:rsid w:val="007507C6"/>
    <w:rsid w:val="00751E0B"/>
    <w:rsid w:val="00752BCD"/>
    <w:rsid w:val="00766DA1"/>
    <w:rsid w:val="00780D94"/>
    <w:rsid w:val="007866A6"/>
    <w:rsid w:val="00787209"/>
    <w:rsid w:val="007A130D"/>
    <w:rsid w:val="007B1CEA"/>
    <w:rsid w:val="007D1A2D"/>
    <w:rsid w:val="007D4102"/>
    <w:rsid w:val="007E4D66"/>
    <w:rsid w:val="007F43B7"/>
    <w:rsid w:val="00821FFC"/>
    <w:rsid w:val="008271CA"/>
    <w:rsid w:val="008467D5"/>
    <w:rsid w:val="00854EA5"/>
    <w:rsid w:val="008826F9"/>
    <w:rsid w:val="008A4DC4"/>
    <w:rsid w:val="008B438C"/>
    <w:rsid w:val="008D06CA"/>
    <w:rsid w:val="008D3A46"/>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23DE"/>
    <w:rsid w:val="009C76D5"/>
    <w:rsid w:val="009F7AA4"/>
    <w:rsid w:val="00A10AD7"/>
    <w:rsid w:val="00A559DB"/>
    <w:rsid w:val="00A569EA"/>
    <w:rsid w:val="00AF35FC"/>
    <w:rsid w:val="00AF5556"/>
    <w:rsid w:val="00B03639"/>
    <w:rsid w:val="00B0652A"/>
    <w:rsid w:val="00B15D75"/>
    <w:rsid w:val="00B40937"/>
    <w:rsid w:val="00B423EF"/>
    <w:rsid w:val="00B453DE"/>
    <w:rsid w:val="00B72597"/>
    <w:rsid w:val="00B901F9"/>
    <w:rsid w:val="00BA61B1"/>
    <w:rsid w:val="00BD6EFB"/>
    <w:rsid w:val="00C1584D"/>
    <w:rsid w:val="00C15BE2"/>
    <w:rsid w:val="00C3447F"/>
    <w:rsid w:val="00C67102"/>
    <w:rsid w:val="00C81491"/>
    <w:rsid w:val="00C81676"/>
    <w:rsid w:val="00C85C5D"/>
    <w:rsid w:val="00C92CC4"/>
    <w:rsid w:val="00C95A45"/>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32C78"/>
    <w:rsid w:val="00D63150"/>
    <w:rsid w:val="00D636BA"/>
    <w:rsid w:val="00D64A32"/>
    <w:rsid w:val="00D64EFC"/>
    <w:rsid w:val="00D75295"/>
    <w:rsid w:val="00D76CE9"/>
    <w:rsid w:val="00D87C77"/>
    <w:rsid w:val="00D97F12"/>
    <w:rsid w:val="00DA6095"/>
    <w:rsid w:val="00DB42E7"/>
    <w:rsid w:val="00DC4408"/>
    <w:rsid w:val="00DE01A6"/>
    <w:rsid w:val="00DE2BB1"/>
    <w:rsid w:val="00DE7A98"/>
    <w:rsid w:val="00DF32C2"/>
    <w:rsid w:val="00E02886"/>
    <w:rsid w:val="00E471A7"/>
    <w:rsid w:val="00E635CF"/>
    <w:rsid w:val="00EC6E0A"/>
    <w:rsid w:val="00ED4E18"/>
    <w:rsid w:val="00EE1F37"/>
    <w:rsid w:val="00EE3EF5"/>
    <w:rsid w:val="00F0159C"/>
    <w:rsid w:val="00F105B7"/>
    <w:rsid w:val="00F13220"/>
    <w:rsid w:val="00F17A21"/>
    <w:rsid w:val="00F34AFC"/>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5329A1"/>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veycase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ses@ivey.c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veypubs.my.salesforce.com/003A000001Cqb2e"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iveypubs.my.salesforce.com/003A000001Cqb2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8799267-F03F-40D0-9401-0A61DDAFD08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D341FEA-B9C7-4BC3-94B4-A7F42D949CC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8EA64-0846-444C-A86D-AC23568B5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4</cp:revision>
  <cp:lastPrinted>2015-03-04T20:34:00Z</cp:lastPrinted>
  <dcterms:created xsi:type="dcterms:W3CDTF">2018-07-04T13:19:00Z</dcterms:created>
  <dcterms:modified xsi:type="dcterms:W3CDTF">2018-07-05T19:02:00Z</dcterms:modified>
</cp:coreProperties>
</file>