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43207" w14:textId="30B593E9" w:rsidR="00587EBF" w:rsidRPr="00D657E1" w:rsidRDefault="00465355" w:rsidP="008467D5">
      <w:pPr>
        <w:pBdr>
          <w:bottom w:val="single" w:sz="18" w:space="1" w:color="auto"/>
        </w:pBdr>
        <w:tabs>
          <w:tab w:val="left" w:pos="-1440"/>
          <w:tab w:val="left" w:pos="-720"/>
          <w:tab w:val="left" w:pos="1"/>
        </w:tabs>
        <w:jc w:val="both"/>
        <w:rPr>
          <w:rFonts w:ascii="Arial" w:hAnsi="Arial"/>
          <w:b/>
          <w:noProof/>
          <w:sz w:val="24"/>
          <w:lang w:val="en-GB"/>
        </w:rPr>
      </w:pPr>
      <w:r w:rsidRPr="00D657E1">
        <w:rPr>
          <w:rFonts w:ascii="Arial" w:hAnsi="Arial"/>
          <w:b/>
          <w:noProof/>
          <w:sz w:val="24"/>
        </w:rPr>
        <w:drawing>
          <wp:inline distT="0" distB="0" distL="0" distR="0" wp14:anchorId="3326EC54" wp14:editId="774517F9">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F1FE8AB" w14:textId="12766BA3" w:rsidR="00D75295" w:rsidRPr="00D657E1" w:rsidRDefault="00D700E0" w:rsidP="00F105B7">
      <w:pPr>
        <w:pStyle w:val="ProductNumber"/>
        <w:rPr>
          <w:lang w:val="en-GB"/>
        </w:rPr>
      </w:pPr>
      <w:r>
        <w:rPr>
          <w:lang w:val="en-GB"/>
        </w:rPr>
        <w:t>9B18D018</w:t>
      </w:r>
    </w:p>
    <w:p w14:paraId="362DD5D1" w14:textId="77777777" w:rsidR="00D75295" w:rsidRPr="00D657E1" w:rsidRDefault="00D75295" w:rsidP="00D75295">
      <w:pPr>
        <w:jc w:val="right"/>
        <w:rPr>
          <w:rFonts w:ascii="Arial" w:hAnsi="Arial"/>
          <w:b/>
          <w:sz w:val="28"/>
          <w:szCs w:val="28"/>
          <w:lang w:val="en-GB"/>
        </w:rPr>
      </w:pPr>
    </w:p>
    <w:p w14:paraId="177089C5" w14:textId="77777777" w:rsidR="00013360" w:rsidRPr="00D657E1" w:rsidRDefault="00013360" w:rsidP="00D75295">
      <w:pPr>
        <w:jc w:val="right"/>
        <w:rPr>
          <w:rFonts w:ascii="Arial" w:hAnsi="Arial"/>
          <w:b/>
          <w:sz w:val="28"/>
          <w:szCs w:val="28"/>
          <w:lang w:val="en-GB"/>
        </w:rPr>
      </w:pPr>
    </w:p>
    <w:p w14:paraId="5362120C" w14:textId="77777777" w:rsidR="00013360" w:rsidRPr="00D657E1" w:rsidRDefault="00587EBF" w:rsidP="00013360">
      <w:pPr>
        <w:pStyle w:val="CaseTitle"/>
        <w:spacing w:after="0" w:line="240" w:lineRule="auto"/>
        <w:rPr>
          <w:sz w:val="20"/>
          <w:szCs w:val="20"/>
          <w:lang w:val="en-GB"/>
        </w:rPr>
      </w:pPr>
      <w:r w:rsidRPr="00D657E1">
        <w:rPr>
          <w:rFonts w:eastAsia="Times New Roman"/>
          <w:szCs w:val="20"/>
          <w:lang w:val="en-GB"/>
        </w:rPr>
        <w:t>Fastjet: Strategy and Expansion</w:t>
      </w:r>
    </w:p>
    <w:p w14:paraId="745B3B23" w14:textId="77777777" w:rsidR="00CA3976" w:rsidRPr="00D657E1" w:rsidRDefault="00CA3976" w:rsidP="00013360">
      <w:pPr>
        <w:pStyle w:val="CaseTitle"/>
        <w:spacing w:after="0" w:line="240" w:lineRule="auto"/>
        <w:rPr>
          <w:sz w:val="20"/>
          <w:szCs w:val="20"/>
          <w:lang w:val="en-GB"/>
        </w:rPr>
      </w:pPr>
    </w:p>
    <w:p w14:paraId="6AF89351" w14:textId="77777777" w:rsidR="00013360" w:rsidRPr="00D657E1" w:rsidRDefault="00013360" w:rsidP="00013360">
      <w:pPr>
        <w:pStyle w:val="CaseTitle"/>
        <w:spacing w:after="0" w:line="240" w:lineRule="auto"/>
        <w:rPr>
          <w:sz w:val="20"/>
          <w:szCs w:val="20"/>
          <w:lang w:val="en-GB"/>
        </w:rPr>
      </w:pPr>
    </w:p>
    <w:p w14:paraId="5D386FF4" w14:textId="4F832774" w:rsidR="00627C63" w:rsidRPr="00D657E1" w:rsidRDefault="00244383" w:rsidP="00627C63">
      <w:pPr>
        <w:pStyle w:val="StyleCopyrightStatementAfter0ptBottomSinglesolidline1"/>
        <w:rPr>
          <w:lang w:val="en-GB"/>
        </w:rPr>
      </w:pPr>
      <w:hyperlink r:id="rId9" w:history="1">
        <w:r w:rsidR="00465355" w:rsidRPr="00D657E1">
          <w:rPr>
            <w:rStyle w:val="Hyperlink"/>
            <w:color w:val="auto"/>
            <w:u w:val="none"/>
            <w:lang w:val="en-GB"/>
          </w:rPr>
          <w:t xml:space="preserve">Jocelyn </w:t>
        </w:r>
        <w:proofErr w:type="spellStart"/>
        <w:r w:rsidR="00465355" w:rsidRPr="00D657E1">
          <w:rPr>
            <w:rStyle w:val="Hyperlink"/>
            <w:color w:val="auto"/>
            <w:u w:val="none"/>
            <w:lang w:val="en-GB"/>
          </w:rPr>
          <w:t>Carabott</w:t>
        </w:r>
        <w:proofErr w:type="spellEnd"/>
      </w:hyperlink>
      <w:r w:rsidR="00465355" w:rsidRPr="00D657E1">
        <w:rPr>
          <w:color w:val="auto"/>
          <w:lang w:val="en-GB"/>
        </w:rPr>
        <w:t xml:space="preserve">, </w:t>
      </w:r>
      <w:hyperlink r:id="rId10" w:history="1">
        <w:r w:rsidR="00465355" w:rsidRPr="00D657E1">
          <w:rPr>
            <w:rStyle w:val="Hyperlink"/>
            <w:color w:val="auto"/>
            <w:u w:val="none"/>
            <w:lang w:val="en-GB"/>
          </w:rPr>
          <w:t xml:space="preserve">Cheryl </w:t>
        </w:r>
        <w:proofErr w:type="spellStart"/>
        <w:r w:rsidR="00465355" w:rsidRPr="00D657E1">
          <w:rPr>
            <w:rStyle w:val="Hyperlink"/>
            <w:color w:val="auto"/>
            <w:u w:val="none"/>
            <w:lang w:val="en-GB"/>
          </w:rPr>
          <w:t>Mok</w:t>
        </w:r>
        <w:proofErr w:type="spellEnd"/>
      </w:hyperlink>
      <w:r w:rsidR="00465355" w:rsidRPr="00D657E1">
        <w:rPr>
          <w:color w:val="auto"/>
          <w:lang w:val="en-GB"/>
        </w:rPr>
        <w:t xml:space="preserve">, and </w:t>
      </w:r>
      <w:hyperlink r:id="rId11" w:history="1">
        <w:r w:rsidR="00465355" w:rsidRPr="00D657E1">
          <w:rPr>
            <w:rStyle w:val="Hyperlink"/>
            <w:color w:val="auto"/>
            <w:u w:val="none"/>
            <w:lang w:val="en-GB"/>
          </w:rPr>
          <w:t>Nicole Wiebe</w:t>
        </w:r>
      </w:hyperlink>
      <w:r w:rsidR="00587EBF" w:rsidRPr="00D657E1">
        <w:rPr>
          <w:color w:val="auto"/>
          <w:lang w:val="en-GB"/>
        </w:rPr>
        <w:t xml:space="preserve">, </w:t>
      </w:r>
      <w:r w:rsidR="00465355" w:rsidRPr="00D657E1">
        <w:rPr>
          <w:color w:val="auto"/>
          <w:lang w:val="en-GB"/>
        </w:rPr>
        <w:t xml:space="preserve">wrote this case under the supervision of </w:t>
      </w:r>
      <w:hyperlink r:id="rId12" w:history="1">
        <w:r w:rsidR="00465355" w:rsidRPr="00D657E1">
          <w:rPr>
            <w:rStyle w:val="Hyperlink"/>
            <w:color w:val="auto"/>
            <w:u w:val="none"/>
            <w:lang w:val="en-GB"/>
          </w:rPr>
          <w:t>Nicole Haggerty</w:t>
        </w:r>
      </w:hyperlink>
      <w:r w:rsidR="00465355" w:rsidRPr="00D657E1">
        <w:rPr>
          <w:rStyle w:val="Hyperlink"/>
          <w:color w:val="auto"/>
          <w:u w:val="none"/>
          <w:lang w:val="en-GB"/>
        </w:rPr>
        <w:t xml:space="preserve"> and </w:t>
      </w:r>
      <w:hyperlink r:id="rId13" w:history="1">
        <w:r w:rsidR="00587EBF" w:rsidRPr="00D657E1">
          <w:rPr>
            <w:rStyle w:val="Hyperlink"/>
            <w:color w:val="auto"/>
            <w:u w:val="none"/>
            <w:lang w:val="en-GB"/>
          </w:rPr>
          <w:t>James Spillane</w:t>
        </w:r>
      </w:hyperlink>
      <w:r w:rsidR="00465355" w:rsidRPr="00D657E1">
        <w:rPr>
          <w:color w:val="auto"/>
          <w:lang w:val="en-GB"/>
        </w:rPr>
        <w:t xml:space="preserve"> </w:t>
      </w:r>
      <w:r w:rsidR="00152682" w:rsidRPr="00D657E1">
        <w:rPr>
          <w:lang w:val="en-GB"/>
        </w:rPr>
        <w:t>solely to provide material for class discussion. The</w:t>
      </w:r>
      <w:r w:rsidR="001C7777" w:rsidRPr="00D657E1">
        <w:rPr>
          <w:lang w:val="en-GB"/>
        </w:rPr>
        <w:t xml:space="preserve"> author</w:t>
      </w:r>
      <w:r w:rsidR="001A22D1" w:rsidRPr="00D657E1">
        <w:rPr>
          <w:lang w:val="en-GB"/>
        </w:rPr>
        <w:t>s</w:t>
      </w:r>
      <w:r w:rsidR="00152682" w:rsidRPr="00D657E1">
        <w:rPr>
          <w:lang w:val="en-GB"/>
        </w:rPr>
        <w:t xml:space="preserve"> do not intend to illustrate either effective or ineffective handling of a managerial situation. The author</w:t>
      </w:r>
      <w:r w:rsidR="001A22D1" w:rsidRPr="00D657E1">
        <w:rPr>
          <w:lang w:val="en-GB"/>
        </w:rPr>
        <w:t>s</w:t>
      </w:r>
      <w:r w:rsidR="00152682" w:rsidRPr="00D657E1">
        <w:rPr>
          <w:lang w:val="en-GB"/>
        </w:rPr>
        <w:t xml:space="preserve"> may have disguised certain names and other identifying information to protect confidentiality.</w:t>
      </w:r>
    </w:p>
    <w:p w14:paraId="592BC246" w14:textId="77777777" w:rsidR="00751E0B" w:rsidRPr="00D657E1" w:rsidRDefault="00751E0B" w:rsidP="00751E0B">
      <w:pPr>
        <w:pStyle w:val="StyleCopyrightStatementAfter0ptBottomSinglesolidline1"/>
        <w:rPr>
          <w:lang w:val="en-GB"/>
        </w:rPr>
      </w:pPr>
    </w:p>
    <w:p w14:paraId="758D5EE2" w14:textId="77777777" w:rsidR="00465355" w:rsidRPr="00D657E1" w:rsidRDefault="00465355" w:rsidP="00D657E1">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D657E1">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4" w:history="1">
        <w:r w:rsidRPr="00D657E1">
          <w:rPr>
            <w:rFonts w:ascii="Arial" w:hAnsi="Arial"/>
            <w:i/>
            <w:iCs/>
            <w:color w:val="000000"/>
            <w:sz w:val="16"/>
            <w:lang w:val="en-GB"/>
          </w:rPr>
          <w:t>cases@ivey.ca</w:t>
        </w:r>
      </w:hyperlink>
      <w:r w:rsidRPr="00D657E1">
        <w:rPr>
          <w:rFonts w:ascii="Arial" w:hAnsi="Arial"/>
          <w:i/>
          <w:iCs/>
          <w:color w:val="000000"/>
          <w:sz w:val="16"/>
          <w:lang w:val="en-GB"/>
        </w:rPr>
        <w:t xml:space="preserve">; </w:t>
      </w:r>
      <w:hyperlink r:id="rId15" w:history="1">
        <w:r w:rsidRPr="00D657E1">
          <w:rPr>
            <w:rFonts w:ascii="Arial" w:hAnsi="Arial"/>
            <w:i/>
            <w:iCs/>
            <w:color w:val="000000"/>
            <w:sz w:val="16"/>
            <w:lang w:val="en-GB"/>
          </w:rPr>
          <w:t>www.iveycases.com</w:t>
        </w:r>
      </w:hyperlink>
      <w:r w:rsidRPr="00D657E1">
        <w:rPr>
          <w:rFonts w:ascii="Arial" w:hAnsi="Arial"/>
          <w:i/>
          <w:iCs/>
          <w:color w:val="000000"/>
          <w:sz w:val="16"/>
          <w:lang w:val="en-GB"/>
        </w:rPr>
        <w:t>.</w:t>
      </w:r>
    </w:p>
    <w:p w14:paraId="7EC8E113" w14:textId="3DF305E3" w:rsidR="00587EBF" w:rsidRPr="00D657E1" w:rsidRDefault="00587EBF" w:rsidP="00751E0B">
      <w:pPr>
        <w:pStyle w:val="StyleCopyrightStatementAfter0ptBottomSinglesolidline1"/>
        <w:rPr>
          <w:lang w:val="en-GB"/>
        </w:rPr>
      </w:pPr>
    </w:p>
    <w:p w14:paraId="16B63D3D" w14:textId="58435555" w:rsidR="00751E0B" w:rsidRPr="00D657E1" w:rsidRDefault="00465355" w:rsidP="00751E0B">
      <w:pPr>
        <w:pStyle w:val="StyleStyleCopyrightStatementAfter0ptBottomSinglesolid"/>
        <w:rPr>
          <w:lang w:val="en-GB"/>
        </w:rPr>
      </w:pPr>
      <w:r w:rsidRPr="00D657E1">
        <w:rPr>
          <w:rFonts w:cs="Arial"/>
          <w:szCs w:val="16"/>
          <w:lang w:val="en-GB"/>
        </w:rPr>
        <w:t>Copyright © 2018, Ivey Business School Foundation</w:t>
      </w:r>
      <w:r w:rsidR="00A569EA" w:rsidRPr="00D657E1">
        <w:rPr>
          <w:rFonts w:cs="Arial"/>
          <w:szCs w:val="16"/>
          <w:lang w:val="en-GB"/>
        </w:rPr>
        <w:tab/>
      </w:r>
      <w:r w:rsidR="00751E0B" w:rsidRPr="00D657E1">
        <w:rPr>
          <w:lang w:val="en-GB"/>
        </w:rPr>
        <w:t xml:space="preserve">Version: </w:t>
      </w:r>
      <w:r w:rsidR="003D0BA1" w:rsidRPr="00D657E1">
        <w:rPr>
          <w:lang w:val="en-GB"/>
        </w:rPr>
        <w:t>20</w:t>
      </w:r>
      <w:r w:rsidR="00587EBF" w:rsidRPr="00D657E1">
        <w:rPr>
          <w:lang w:val="en-GB"/>
        </w:rPr>
        <w:t>18</w:t>
      </w:r>
      <w:r w:rsidR="001C7777" w:rsidRPr="00D657E1">
        <w:rPr>
          <w:lang w:val="en-GB"/>
        </w:rPr>
        <w:t>-</w:t>
      </w:r>
      <w:r w:rsidR="00012359">
        <w:rPr>
          <w:lang w:val="en-GB"/>
        </w:rPr>
        <w:t>08</w:t>
      </w:r>
      <w:r w:rsidR="00751E0B" w:rsidRPr="00D657E1">
        <w:rPr>
          <w:lang w:val="en-GB"/>
        </w:rPr>
        <w:t>-</w:t>
      </w:r>
      <w:r w:rsidR="00244383">
        <w:rPr>
          <w:lang w:val="en-GB"/>
        </w:rPr>
        <w:t>23</w:t>
      </w:r>
    </w:p>
    <w:p w14:paraId="68581025" w14:textId="77777777" w:rsidR="00751E0B" w:rsidRPr="00D657E1" w:rsidRDefault="00751E0B" w:rsidP="00751E0B">
      <w:pPr>
        <w:pStyle w:val="StyleCopyrightStatementAfter0ptBottomSinglesolidline1"/>
        <w:rPr>
          <w:rFonts w:ascii="Times New Roman" w:hAnsi="Times New Roman"/>
          <w:sz w:val="20"/>
          <w:lang w:val="en-GB"/>
        </w:rPr>
      </w:pPr>
    </w:p>
    <w:p w14:paraId="1570441F" w14:textId="77777777" w:rsidR="004B632F" w:rsidRPr="00D657E1" w:rsidRDefault="004B632F" w:rsidP="004B632F">
      <w:pPr>
        <w:pStyle w:val="StyleCopyrightStatementAfter0ptBottomSinglesolidline1"/>
        <w:rPr>
          <w:rFonts w:ascii="Times New Roman" w:hAnsi="Times New Roman"/>
          <w:sz w:val="20"/>
          <w:lang w:val="en-GB"/>
        </w:rPr>
      </w:pPr>
    </w:p>
    <w:p w14:paraId="0EF2033A" w14:textId="5327D3F7" w:rsidR="00246014" w:rsidRPr="00D657E1" w:rsidRDefault="00246014" w:rsidP="00246014">
      <w:pPr>
        <w:pStyle w:val="BodyTextMain"/>
        <w:rPr>
          <w:rFonts w:eastAsia="MS Mincho"/>
          <w:lang w:val="en-GB"/>
        </w:rPr>
      </w:pPr>
      <w:r w:rsidRPr="00D657E1">
        <w:rPr>
          <w:rFonts w:eastAsia="MS Mincho"/>
          <w:lang w:val="en-GB"/>
        </w:rPr>
        <w:t>It was September 2014</w:t>
      </w:r>
      <w:r w:rsidR="00D657E1">
        <w:rPr>
          <w:rFonts w:eastAsia="MS Mincho"/>
          <w:lang w:val="en-GB"/>
        </w:rPr>
        <w:t>,</w:t>
      </w:r>
      <w:r w:rsidRPr="00D657E1">
        <w:rPr>
          <w:rFonts w:eastAsia="MS Mincho"/>
          <w:lang w:val="en-GB"/>
        </w:rPr>
        <w:t xml:space="preserve"> and Edward Winter was on his way back to London, England</w:t>
      </w:r>
      <w:r w:rsidR="00BA2F13" w:rsidRPr="00D657E1">
        <w:rPr>
          <w:rFonts w:eastAsia="MS Mincho"/>
          <w:lang w:val="en-GB"/>
        </w:rPr>
        <w:t>,</w:t>
      </w:r>
      <w:r w:rsidRPr="00D657E1">
        <w:rPr>
          <w:rFonts w:eastAsia="MS Mincho"/>
          <w:lang w:val="en-GB"/>
        </w:rPr>
        <w:t xml:space="preserve"> after a meeting in Dar </w:t>
      </w:r>
      <w:proofErr w:type="spellStart"/>
      <w:r w:rsidRPr="00D657E1">
        <w:rPr>
          <w:rFonts w:eastAsia="MS Mincho"/>
          <w:lang w:val="en-GB"/>
        </w:rPr>
        <w:t>es</w:t>
      </w:r>
      <w:proofErr w:type="spellEnd"/>
      <w:r w:rsidRPr="00D657E1">
        <w:rPr>
          <w:rFonts w:eastAsia="MS Mincho"/>
          <w:lang w:val="en-GB"/>
        </w:rPr>
        <w:t xml:space="preserve"> Salaam, Tanzania</w:t>
      </w:r>
      <w:r w:rsidR="00BA2F13" w:rsidRPr="00D657E1">
        <w:rPr>
          <w:rFonts w:eastAsia="MS Mincho"/>
          <w:lang w:val="en-GB"/>
        </w:rPr>
        <w:t>,</w:t>
      </w:r>
      <w:r w:rsidRPr="00D657E1">
        <w:rPr>
          <w:rFonts w:eastAsia="MS Mincho"/>
          <w:lang w:val="en-GB"/>
        </w:rPr>
        <w:t xml:space="preserve"> about a potential expansion plan for </w:t>
      </w:r>
      <w:proofErr w:type="spellStart"/>
      <w:r w:rsidRPr="00D657E1">
        <w:rPr>
          <w:rFonts w:eastAsia="MS Mincho"/>
          <w:lang w:val="en-GB"/>
        </w:rPr>
        <w:t>Fastjet</w:t>
      </w:r>
      <w:proofErr w:type="spellEnd"/>
      <w:r w:rsidR="006E72FA" w:rsidRPr="00D657E1">
        <w:rPr>
          <w:rFonts w:eastAsia="MS Mincho"/>
          <w:lang w:val="en-GB"/>
        </w:rPr>
        <w:t xml:space="preserve">, a low-cost airline serving East and </w:t>
      </w:r>
      <w:r w:rsidR="00D4027E" w:rsidRPr="00D657E1">
        <w:rPr>
          <w:rFonts w:eastAsia="MS Mincho"/>
          <w:lang w:val="en-GB"/>
        </w:rPr>
        <w:t>S</w:t>
      </w:r>
      <w:r w:rsidR="006E72FA" w:rsidRPr="00D657E1">
        <w:rPr>
          <w:rFonts w:eastAsia="MS Mincho"/>
          <w:lang w:val="en-GB"/>
        </w:rPr>
        <w:t>outhern Africa</w:t>
      </w:r>
      <w:r w:rsidRPr="00D657E1">
        <w:rPr>
          <w:rFonts w:eastAsia="MS Mincho"/>
          <w:lang w:val="en-GB"/>
        </w:rPr>
        <w:t xml:space="preserve">. Winter needed to prepare for an upcoming meeting with </w:t>
      </w:r>
      <w:proofErr w:type="spellStart"/>
      <w:r w:rsidRPr="00D657E1">
        <w:rPr>
          <w:rFonts w:eastAsia="MS Mincho"/>
          <w:lang w:val="en-GB"/>
        </w:rPr>
        <w:t>Fastjet’s</w:t>
      </w:r>
      <w:proofErr w:type="spellEnd"/>
      <w:r w:rsidRPr="00D657E1">
        <w:rPr>
          <w:rFonts w:eastAsia="MS Mincho"/>
          <w:lang w:val="en-GB"/>
        </w:rPr>
        <w:t xml:space="preserve"> board of directors to assess whether </w:t>
      </w:r>
      <w:proofErr w:type="spellStart"/>
      <w:r w:rsidRPr="00D657E1">
        <w:rPr>
          <w:rFonts w:eastAsia="MS Mincho"/>
          <w:lang w:val="en-GB"/>
        </w:rPr>
        <w:t>Fastjet’s</w:t>
      </w:r>
      <w:proofErr w:type="spellEnd"/>
      <w:r w:rsidRPr="00D657E1">
        <w:rPr>
          <w:rFonts w:eastAsia="MS Mincho"/>
          <w:lang w:val="en-GB"/>
        </w:rPr>
        <w:t xml:space="preserve"> past financial performance and the government regulations </w:t>
      </w:r>
      <w:r w:rsidR="00D4027E" w:rsidRPr="00D657E1">
        <w:rPr>
          <w:rFonts w:eastAsia="MS Mincho"/>
          <w:lang w:val="en-GB"/>
        </w:rPr>
        <w:t xml:space="preserve">in the industry </w:t>
      </w:r>
      <w:r w:rsidRPr="00D657E1">
        <w:rPr>
          <w:rFonts w:eastAsia="MS Mincho"/>
          <w:lang w:val="en-GB"/>
        </w:rPr>
        <w:t xml:space="preserve">would threaten his goal of establishing </w:t>
      </w:r>
      <w:proofErr w:type="spellStart"/>
      <w:r w:rsidRPr="00D657E1">
        <w:rPr>
          <w:rFonts w:eastAsia="MS Mincho"/>
          <w:lang w:val="en-GB"/>
        </w:rPr>
        <w:t>Fastjet</w:t>
      </w:r>
      <w:proofErr w:type="spellEnd"/>
      <w:r w:rsidRPr="00D657E1">
        <w:rPr>
          <w:rFonts w:eastAsia="MS Mincho"/>
          <w:lang w:val="en-GB"/>
        </w:rPr>
        <w:t xml:space="preserve"> as a successful pan-African low-cost airline carrier. </w:t>
      </w:r>
    </w:p>
    <w:p w14:paraId="757270C1" w14:textId="77777777" w:rsidR="00246014" w:rsidRPr="00D657E1" w:rsidRDefault="00246014" w:rsidP="00246014">
      <w:pPr>
        <w:rPr>
          <w:rFonts w:eastAsia="MS Mincho"/>
          <w:sz w:val="22"/>
          <w:szCs w:val="22"/>
          <w:lang w:val="en-GB"/>
        </w:rPr>
      </w:pPr>
    </w:p>
    <w:p w14:paraId="425C8E28" w14:textId="77777777" w:rsidR="00246014" w:rsidRPr="00D657E1" w:rsidRDefault="00246014" w:rsidP="00246014">
      <w:pPr>
        <w:rPr>
          <w:rFonts w:eastAsia="MS Mincho"/>
          <w:sz w:val="22"/>
          <w:szCs w:val="22"/>
          <w:lang w:val="en-GB"/>
        </w:rPr>
      </w:pPr>
    </w:p>
    <w:p w14:paraId="73C659B0" w14:textId="77777777" w:rsidR="00246014" w:rsidRPr="00D657E1" w:rsidRDefault="00246014" w:rsidP="00246014">
      <w:pPr>
        <w:rPr>
          <w:rFonts w:ascii="Arial" w:eastAsia="MS Mincho" w:hAnsi="Arial" w:cs="Arial"/>
          <w:b/>
          <w:lang w:val="en-GB"/>
        </w:rPr>
      </w:pPr>
      <w:r w:rsidRPr="00D657E1">
        <w:rPr>
          <w:rFonts w:ascii="Arial" w:eastAsia="MS Mincho" w:hAnsi="Arial" w:cs="Arial"/>
          <w:b/>
          <w:lang w:val="en-GB"/>
        </w:rPr>
        <w:t>GROWTH IN AFRICA</w:t>
      </w:r>
    </w:p>
    <w:p w14:paraId="1B6BA7E1" w14:textId="77777777" w:rsidR="00246014" w:rsidRPr="00D657E1" w:rsidRDefault="00246014" w:rsidP="00246014">
      <w:pPr>
        <w:rPr>
          <w:sz w:val="22"/>
          <w:szCs w:val="22"/>
          <w:lang w:val="en-GB"/>
        </w:rPr>
      </w:pPr>
    </w:p>
    <w:p w14:paraId="0C142ECB" w14:textId="4E503946" w:rsidR="00C26152" w:rsidRPr="00D657E1" w:rsidRDefault="00670ACB" w:rsidP="00246014">
      <w:pPr>
        <w:pStyle w:val="BodyTextMain"/>
        <w:rPr>
          <w:rFonts w:eastAsia="MS Mincho"/>
          <w:lang w:val="en-GB"/>
        </w:rPr>
      </w:pPr>
      <w:r w:rsidRPr="00D657E1">
        <w:rPr>
          <w:rFonts w:eastAsia="MS Mincho"/>
          <w:lang w:val="en-GB"/>
        </w:rPr>
        <w:t>Africa’s</w:t>
      </w:r>
      <w:r w:rsidR="00246014" w:rsidRPr="00D657E1">
        <w:rPr>
          <w:rFonts w:eastAsia="MS Mincho"/>
          <w:lang w:val="en-GB"/>
        </w:rPr>
        <w:t xml:space="preserve"> middle</w:t>
      </w:r>
      <w:r w:rsidR="00BA2F13" w:rsidRPr="00D657E1">
        <w:rPr>
          <w:rFonts w:eastAsia="MS Mincho"/>
          <w:lang w:val="en-GB"/>
        </w:rPr>
        <w:t>-</w:t>
      </w:r>
      <w:r w:rsidR="00246014" w:rsidRPr="00D657E1">
        <w:rPr>
          <w:rFonts w:eastAsia="MS Mincho"/>
          <w:lang w:val="en-GB"/>
        </w:rPr>
        <w:t>class</w:t>
      </w:r>
      <w:r w:rsidRPr="00D657E1">
        <w:rPr>
          <w:rFonts w:eastAsia="MS Mincho"/>
          <w:lang w:val="en-GB"/>
        </w:rPr>
        <w:t xml:space="preserve"> population</w:t>
      </w:r>
      <w:r w:rsidR="00246014" w:rsidRPr="00D657E1">
        <w:rPr>
          <w:rFonts w:eastAsia="MS Mincho"/>
          <w:lang w:val="en-GB"/>
        </w:rPr>
        <w:t xml:space="preserve"> </w:t>
      </w:r>
      <w:r w:rsidR="00EE787A" w:rsidRPr="00D657E1">
        <w:rPr>
          <w:rFonts w:eastAsia="MS Mincho"/>
          <w:lang w:val="en-GB"/>
        </w:rPr>
        <w:t xml:space="preserve">tripled from </w:t>
      </w:r>
      <w:r w:rsidR="00BF395C">
        <w:rPr>
          <w:rFonts w:eastAsia="MS Mincho"/>
          <w:lang w:val="en-GB"/>
        </w:rPr>
        <w:t xml:space="preserve">fewer than </w:t>
      </w:r>
      <w:r w:rsidR="00EE787A" w:rsidRPr="00D657E1">
        <w:rPr>
          <w:rFonts w:eastAsia="MS Mincho"/>
          <w:lang w:val="en-GB"/>
        </w:rPr>
        <w:t xml:space="preserve">5 million </w:t>
      </w:r>
      <w:r w:rsidR="00BF395C">
        <w:rPr>
          <w:rFonts w:eastAsia="MS Mincho"/>
          <w:lang w:val="en-GB"/>
        </w:rPr>
        <w:t xml:space="preserve">in 2000 </w:t>
      </w:r>
      <w:r w:rsidR="00EE787A" w:rsidRPr="00D657E1">
        <w:rPr>
          <w:rFonts w:eastAsia="MS Mincho"/>
          <w:lang w:val="en-GB"/>
        </w:rPr>
        <w:t>to 15 million</w:t>
      </w:r>
      <w:r w:rsidR="00246014" w:rsidRPr="00D657E1">
        <w:rPr>
          <w:rFonts w:eastAsia="MS Mincho"/>
          <w:lang w:val="en-GB"/>
        </w:rPr>
        <w:t xml:space="preserve"> in 2014, which contributed to a</w:t>
      </w:r>
      <w:r w:rsidR="00D4027E" w:rsidRPr="00D657E1">
        <w:rPr>
          <w:rFonts w:eastAsia="MS Mincho"/>
          <w:lang w:val="en-GB"/>
        </w:rPr>
        <w:t>n increase in</w:t>
      </w:r>
      <w:r w:rsidR="00246014" w:rsidRPr="00D657E1">
        <w:rPr>
          <w:rFonts w:eastAsia="MS Mincho"/>
          <w:lang w:val="en-GB"/>
        </w:rPr>
        <w:t xml:space="preserve"> disposable income.</w:t>
      </w:r>
      <w:r w:rsidR="00C26152" w:rsidRPr="00D657E1">
        <w:rPr>
          <w:rFonts w:eastAsia="MS Mincho"/>
          <w:vertAlign w:val="superscript"/>
          <w:lang w:val="en-GB"/>
        </w:rPr>
        <w:endnoteReference w:id="1"/>
      </w:r>
      <w:r w:rsidR="00C26152" w:rsidRPr="00D657E1">
        <w:rPr>
          <w:rFonts w:eastAsia="MS Mincho"/>
          <w:lang w:val="en-GB"/>
        </w:rPr>
        <w:t xml:space="preserve"> Economic growth in Sub-Saharan Africa was 5 per cent for 2013, compared </w:t>
      </w:r>
      <w:r w:rsidR="00C26152">
        <w:rPr>
          <w:rFonts w:eastAsia="MS Mincho"/>
          <w:lang w:val="en-GB"/>
        </w:rPr>
        <w:t>with</w:t>
      </w:r>
      <w:r w:rsidR="00C26152" w:rsidRPr="00D657E1">
        <w:rPr>
          <w:rFonts w:eastAsia="MS Mincho"/>
          <w:lang w:val="en-GB"/>
        </w:rPr>
        <w:t xml:space="preserve"> a 6</w:t>
      </w:r>
      <w:r w:rsidR="00C26152">
        <w:rPr>
          <w:rFonts w:eastAsia="MS Mincho"/>
          <w:lang w:val="en-GB"/>
        </w:rPr>
        <w:t xml:space="preserve"> </w:t>
      </w:r>
      <w:r w:rsidR="00C26152" w:rsidRPr="00D657E1">
        <w:rPr>
          <w:rFonts w:eastAsia="MS Mincho"/>
          <w:lang w:val="en-GB"/>
        </w:rPr>
        <w:t>per</w:t>
      </w:r>
      <w:r w:rsidR="00C26152">
        <w:rPr>
          <w:rFonts w:eastAsia="MS Mincho"/>
          <w:lang w:val="en-GB"/>
        </w:rPr>
        <w:t xml:space="preserve"> </w:t>
      </w:r>
      <w:r w:rsidR="00C26152" w:rsidRPr="00D657E1">
        <w:rPr>
          <w:rFonts w:eastAsia="MS Mincho"/>
          <w:lang w:val="en-GB"/>
        </w:rPr>
        <w:t>cent growth rate in East and West Africa, showing a promising economic outlook.</w:t>
      </w:r>
      <w:r w:rsidR="00C26152" w:rsidRPr="00D657E1">
        <w:rPr>
          <w:rFonts w:eastAsia="MS Mincho"/>
          <w:vertAlign w:val="superscript"/>
          <w:lang w:val="en-GB"/>
        </w:rPr>
        <w:endnoteReference w:id="2"/>
      </w:r>
      <w:r w:rsidR="00C26152" w:rsidRPr="00D657E1">
        <w:rPr>
          <w:rFonts w:eastAsia="MS Mincho"/>
          <w:lang w:val="en-GB"/>
        </w:rPr>
        <w:t xml:space="preserve"> The number of Internet users </w:t>
      </w:r>
      <w:r w:rsidR="00C26152">
        <w:rPr>
          <w:rFonts w:eastAsia="MS Mincho"/>
          <w:lang w:val="en-GB"/>
        </w:rPr>
        <w:t xml:space="preserve">in Africa </w:t>
      </w:r>
      <w:r w:rsidR="00C26152" w:rsidRPr="00D657E1">
        <w:rPr>
          <w:rFonts w:eastAsia="MS Mincho"/>
          <w:lang w:val="en-GB"/>
        </w:rPr>
        <w:t xml:space="preserve">had grown by 3,600 per cent from 2000 to 2012, and the </w:t>
      </w:r>
      <w:proofErr w:type="gramStart"/>
      <w:r w:rsidR="00C6203A">
        <w:rPr>
          <w:rFonts w:eastAsia="MS Mincho"/>
          <w:lang w:val="en-GB"/>
        </w:rPr>
        <w:t>penetration</w:t>
      </w:r>
      <w:proofErr w:type="gramEnd"/>
      <w:r w:rsidR="00C6203A">
        <w:rPr>
          <w:rFonts w:eastAsia="MS Mincho"/>
          <w:lang w:val="en-GB"/>
        </w:rPr>
        <w:t xml:space="preserve"> of mobile phones in</w:t>
      </w:r>
      <w:r w:rsidR="00C26152" w:rsidRPr="00D657E1">
        <w:rPr>
          <w:rFonts w:eastAsia="MS Mincho"/>
          <w:lang w:val="en-GB"/>
        </w:rPr>
        <w:t xml:space="preserve"> Africa increas</w:t>
      </w:r>
      <w:r w:rsidR="00C6203A">
        <w:rPr>
          <w:rFonts w:eastAsia="MS Mincho"/>
          <w:lang w:val="en-GB"/>
        </w:rPr>
        <w:t>ed from 1 per cent in 2000 to 54</w:t>
      </w:r>
      <w:r w:rsidR="00C26152" w:rsidRPr="00D657E1">
        <w:rPr>
          <w:rFonts w:eastAsia="MS Mincho"/>
          <w:lang w:val="en-GB"/>
        </w:rPr>
        <w:t xml:space="preserve"> per cent in 2014.</w:t>
      </w:r>
      <w:r w:rsidR="00C26152" w:rsidRPr="00D657E1">
        <w:rPr>
          <w:rFonts w:eastAsia="MS Mincho"/>
          <w:vertAlign w:val="superscript"/>
          <w:lang w:val="en-GB"/>
        </w:rPr>
        <w:endnoteReference w:id="3"/>
      </w:r>
    </w:p>
    <w:p w14:paraId="7D53E33B" w14:textId="77777777" w:rsidR="00C26152" w:rsidRPr="00D657E1" w:rsidRDefault="00C26152" w:rsidP="00246014">
      <w:pPr>
        <w:rPr>
          <w:sz w:val="22"/>
          <w:szCs w:val="22"/>
          <w:lang w:val="en-GB"/>
        </w:rPr>
      </w:pPr>
    </w:p>
    <w:p w14:paraId="16414533" w14:textId="77777777" w:rsidR="00C26152" w:rsidRPr="00D657E1" w:rsidRDefault="00C26152" w:rsidP="00246014">
      <w:pPr>
        <w:rPr>
          <w:sz w:val="22"/>
          <w:szCs w:val="22"/>
          <w:lang w:val="en-GB"/>
        </w:rPr>
      </w:pPr>
    </w:p>
    <w:p w14:paraId="61086541" w14:textId="77777777" w:rsidR="00C26152" w:rsidRPr="00D657E1" w:rsidRDefault="00C26152" w:rsidP="00246014">
      <w:pPr>
        <w:rPr>
          <w:rFonts w:ascii="Arial" w:eastAsia="MS Mincho" w:hAnsi="Arial" w:cs="Arial"/>
          <w:b/>
          <w:lang w:val="en-GB"/>
        </w:rPr>
      </w:pPr>
      <w:r w:rsidRPr="00D657E1">
        <w:rPr>
          <w:rFonts w:ascii="Arial" w:eastAsia="MS Mincho" w:hAnsi="Arial" w:cs="Arial"/>
          <w:b/>
          <w:lang w:val="en-GB"/>
        </w:rPr>
        <w:t>THE AIRLINE INDUSTRY IN AFRICA</w:t>
      </w:r>
    </w:p>
    <w:p w14:paraId="1A216381" w14:textId="77777777" w:rsidR="00C26152" w:rsidRPr="00D657E1" w:rsidRDefault="00C26152" w:rsidP="00246014">
      <w:pPr>
        <w:rPr>
          <w:rFonts w:eastAsia="MS Mincho"/>
          <w:sz w:val="22"/>
          <w:szCs w:val="22"/>
          <w:lang w:val="en-GB"/>
        </w:rPr>
      </w:pPr>
    </w:p>
    <w:p w14:paraId="0DF30D21" w14:textId="05EADECA" w:rsidR="00C26152" w:rsidRPr="00D657E1" w:rsidRDefault="00C26152" w:rsidP="00246014">
      <w:pPr>
        <w:pStyle w:val="BodyTextMain"/>
        <w:rPr>
          <w:rFonts w:eastAsia="MS Mincho"/>
          <w:lang w:val="en-GB"/>
        </w:rPr>
      </w:pPr>
      <w:r w:rsidRPr="00D657E1">
        <w:rPr>
          <w:rFonts w:eastAsia="MS Mincho"/>
          <w:lang w:val="en-GB"/>
        </w:rPr>
        <w:t xml:space="preserve">The </w:t>
      </w:r>
      <w:r w:rsidR="00335EA2">
        <w:rPr>
          <w:rFonts w:eastAsia="MS Mincho"/>
          <w:lang w:val="en-GB"/>
        </w:rPr>
        <w:t xml:space="preserve">African </w:t>
      </w:r>
      <w:r w:rsidRPr="00D657E1">
        <w:rPr>
          <w:rFonts w:eastAsia="MS Mincho"/>
          <w:lang w:val="en-GB"/>
        </w:rPr>
        <w:t xml:space="preserve">airline industry was highly regulated by the government, and companies </w:t>
      </w:r>
      <w:r>
        <w:rPr>
          <w:rFonts w:eastAsia="MS Mincho"/>
          <w:lang w:val="en-GB"/>
        </w:rPr>
        <w:t>needed</w:t>
      </w:r>
      <w:r w:rsidRPr="00D657E1">
        <w:rPr>
          <w:rFonts w:eastAsia="MS Mincho"/>
          <w:lang w:val="en-GB"/>
        </w:rPr>
        <w:t xml:space="preserve"> to follow the rules and regulations set by their home country. In addition, when airlines wanted to fly internationally, they </w:t>
      </w:r>
      <w:r>
        <w:rPr>
          <w:rFonts w:eastAsia="MS Mincho"/>
          <w:lang w:val="en-GB"/>
        </w:rPr>
        <w:t>needed</w:t>
      </w:r>
      <w:r w:rsidRPr="00D657E1">
        <w:rPr>
          <w:rFonts w:eastAsia="MS Mincho"/>
          <w:lang w:val="en-GB"/>
        </w:rPr>
        <w:t xml:space="preserve"> to adhere to the rules laid out in a bilateral air services agreement, which specified additional regulations that were unique to each pair of countries.</w:t>
      </w:r>
      <w:r w:rsidRPr="00D657E1">
        <w:rPr>
          <w:rFonts w:eastAsia="MS Mincho"/>
          <w:vertAlign w:val="superscript"/>
          <w:lang w:val="en-GB"/>
        </w:rPr>
        <w:endnoteReference w:id="4"/>
      </w:r>
    </w:p>
    <w:p w14:paraId="69B47C4F" w14:textId="77777777" w:rsidR="00442E12" w:rsidRDefault="00442E12" w:rsidP="00246014">
      <w:pPr>
        <w:pStyle w:val="BodyTextMain"/>
        <w:rPr>
          <w:rFonts w:eastAsia="MS Mincho"/>
          <w:lang w:val="en-GB"/>
        </w:rPr>
      </w:pPr>
    </w:p>
    <w:p w14:paraId="404B667B" w14:textId="0250890A" w:rsidR="00C26152" w:rsidRPr="00D657E1" w:rsidRDefault="00C26152" w:rsidP="00246014">
      <w:pPr>
        <w:pStyle w:val="BodyTextMain"/>
        <w:rPr>
          <w:rFonts w:eastAsia="MS Mincho"/>
          <w:lang w:val="en-GB"/>
        </w:rPr>
      </w:pPr>
      <w:r w:rsidRPr="00D657E1">
        <w:rPr>
          <w:rFonts w:eastAsia="MS Mincho"/>
          <w:lang w:val="en-GB"/>
        </w:rPr>
        <w:t xml:space="preserve">Since 2010, air transportation passenger traffic had grown at an average </w:t>
      </w:r>
      <w:r w:rsidR="0076262F">
        <w:rPr>
          <w:rFonts w:eastAsia="MS Mincho"/>
          <w:lang w:val="en-GB"/>
        </w:rPr>
        <w:t xml:space="preserve">annual </w:t>
      </w:r>
      <w:r w:rsidRPr="00D657E1">
        <w:rPr>
          <w:rFonts w:eastAsia="MS Mincho"/>
          <w:lang w:val="en-GB"/>
        </w:rPr>
        <w:t>growth rate of 5.7 per cent and was projected to continue to grow at this rate until 2030.</w:t>
      </w:r>
      <w:r w:rsidRPr="00D657E1">
        <w:rPr>
          <w:rFonts w:eastAsia="MS Mincho"/>
          <w:vertAlign w:val="superscript"/>
          <w:lang w:val="en-GB"/>
        </w:rPr>
        <w:endnoteReference w:id="5"/>
      </w:r>
      <w:r w:rsidRPr="00D657E1">
        <w:rPr>
          <w:rFonts w:eastAsia="MS Mincho"/>
          <w:lang w:val="en-GB"/>
        </w:rPr>
        <w:t xml:space="preserve"> This growth rate was slightly higher than the world</w:t>
      </w:r>
      <w:r w:rsidR="00BC4B27">
        <w:rPr>
          <w:rFonts w:eastAsia="MS Mincho"/>
          <w:lang w:val="en-GB"/>
        </w:rPr>
        <w:t>’s</w:t>
      </w:r>
      <w:r w:rsidRPr="00D657E1">
        <w:rPr>
          <w:rFonts w:eastAsia="MS Mincho"/>
          <w:lang w:val="en-GB"/>
        </w:rPr>
        <w:t xml:space="preserve"> average </w:t>
      </w:r>
      <w:r w:rsidR="0076262F">
        <w:rPr>
          <w:rFonts w:eastAsia="MS Mincho"/>
          <w:lang w:val="en-GB"/>
        </w:rPr>
        <w:t xml:space="preserve">annual </w:t>
      </w:r>
      <w:r w:rsidRPr="00D657E1">
        <w:rPr>
          <w:rFonts w:eastAsia="MS Mincho"/>
          <w:lang w:val="en-GB"/>
        </w:rPr>
        <w:t>growth rate of 4.8 per cent, revealing a significant level of consumer demand.</w:t>
      </w:r>
      <w:r w:rsidRPr="00D657E1">
        <w:rPr>
          <w:rFonts w:eastAsia="MS Mincho"/>
          <w:vertAlign w:val="superscript"/>
          <w:lang w:val="en-GB"/>
        </w:rPr>
        <w:endnoteReference w:id="6"/>
      </w:r>
      <w:r w:rsidRPr="00D657E1">
        <w:rPr>
          <w:rFonts w:eastAsia="MS Mincho"/>
          <w:lang w:val="en-GB"/>
        </w:rPr>
        <w:t xml:space="preserve"> Africa’s international traffic had grown rapidly, and the continent was </w:t>
      </w:r>
      <w:r>
        <w:rPr>
          <w:rFonts w:eastAsia="MS Mincho"/>
          <w:lang w:val="en-GB"/>
        </w:rPr>
        <w:t>predi</w:t>
      </w:r>
      <w:r w:rsidRPr="00D657E1">
        <w:rPr>
          <w:rFonts w:eastAsia="MS Mincho"/>
          <w:lang w:val="en-GB"/>
        </w:rPr>
        <w:t xml:space="preserve">cted to be the </w:t>
      </w:r>
      <w:r>
        <w:rPr>
          <w:rFonts w:eastAsia="MS Mincho"/>
          <w:lang w:val="en-GB"/>
        </w:rPr>
        <w:t>world</w:t>
      </w:r>
      <w:r w:rsidR="00BC4B27">
        <w:rPr>
          <w:rFonts w:eastAsia="MS Mincho"/>
          <w:lang w:val="en-GB"/>
        </w:rPr>
        <w:t>’s</w:t>
      </w:r>
      <w:r>
        <w:rPr>
          <w:rFonts w:eastAsia="MS Mincho"/>
          <w:lang w:val="en-GB"/>
        </w:rPr>
        <w:t xml:space="preserve"> </w:t>
      </w:r>
      <w:r w:rsidRPr="00D657E1">
        <w:rPr>
          <w:rFonts w:eastAsia="MS Mincho"/>
          <w:lang w:val="en-GB"/>
        </w:rPr>
        <w:t xml:space="preserve">third fastest-growing region in </w:t>
      </w:r>
      <w:r>
        <w:rPr>
          <w:rFonts w:eastAsia="MS Mincho"/>
          <w:lang w:val="en-GB"/>
        </w:rPr>
        <w:t>terms of international traffic by 2015</w:t>
      </w:r>
      <w:r w:rsidRPr="00D657E1">
        <w:rPr>
          <w:rFonts w:eastAsia="MS Mincho"/>
          <w:lang w:val="en-GB"/>
        </w:rPr>
        <w:t>.</w:t>
      </w:r>
      <w:r w:rsidRPr="00D657E1">
        <w:rPr>
          <w:rFonts w:eastAsia="MS Mincho"/>
          <w:vertAlign w:val="superscript"/>
          <w:lang w:val="en-GB"/>
        </w:rPr>
        <w:endnoteReference w:id="7"/>
      </w:r>
      <w:r w:rsidRPr="00D657E1">
        <w:rPr>
          <w:rFonts w:eastAsia="MS Mincho"/>
          <w:lang w:val="en-GB"/>
        </w:rPr>
        <w:t xml:space="preserve"> The expansion of the airline industry had contributed to the development of new market opportunities for local African entrepreneurs and businesses. It was predicted that </w:t>
      </w:r>
      <w:r>
        <w:rPr>
          <w:rFonts w:eastAsia="MS Mincho"/>
          <w:lang w:val="en-GB"/>
        </w:rPr>
        <w:t>from 2012 to 2032</w:t>
      </w:r>
      <w:r w:rsidRPr="00D657E1">
        <w:rPr>
          <w:rFonts w:eastAsia="MS Mincho"/>
          <w:lang w:val="en-GB"/>
        </w:rPr>
        <w:t>, 879,000 new jobs would be created throughout the airline industry value chain for the African population.</w:t>
      </w:r>
      <w:r w:rsidRPr="00D657E1">
        <w:rPr>
          <w:rFonts w:eastAsia="MS Mincho"/>
          <w:vertAlign w:val="superscript"/>
          <w:lang w:val="en-GB"/>
        </w:rPr>
        <w:endnoteReference w:id="8"/>
      </w:r>
    </w:p>
    <w:p w14:paraId="27A75F11" w14:textId="77777777" w:rsidR="00C26152" w:rsidRPr="00D657E1" w:rsidRDefault="00C26152" w:rsidP="00246014">
      <w:pPr>
        <w:rPr>
          <w:sz w:val="22"/>
          <w:szCs w:val="22"/>
          <w:lang w:val="en-GB"/>
        </w:rPr>
      </w:pPr>
    </w:p>
    <w:p w14:paraId="5AF6D59B" w14:textId="527A3B47" w:rsidR="00C26152" w:rsidRPr="00D657E1" w:rsidRDefault="00C26152" w:rsidP="00246014">
      <w:pPr>
        <w:pStyle w:val="BodyTextMain"/>
        <w:rPr>
          <w:rFonts w:eastAsia="MS Mincho"/>
          <w:lang w:val="en-GB"/>
        </w:rPr>
      </w:pPr>
      <w:r w:rsidRPr="00D657E1">
        <w:rPr>
          <w:rFonts w:eastAsia="MS Mincho"/>
          <w:lang w:val="en-GB"/>
        </w:rPr>
        <w:lastRenderedPageBreak/>
        <w:t>Despite increasing demand, the African airline industry still faced several challenges related to infrastructure development. General problems of poor infrastructure in the airline industry were related to a lack of quality human and physical resources, a low level of technological connectivity, and the absence of adequate transit facilities.</w:t>
      </w:r>
      <w:r w:rsidRPr="00D657E1">
        <w:rPr>
          <w:rFonts w:eastAsia="MS Mincho"/>
          <w:vertAlign w:val="superscript"/>
          <w:lang w:val="en-GB"/>
        </w:rPr>
        <w:endnoteReference w:id="9"/>
      </w:r>
    </w:p>
    <w:p w14:paraId="4A6D919F" w14:textId="77777777" w:rsidR="00C26152" w:rsidRPr="00D657E1" w:rsidRDefault="00C26152" w:rsidP="00246014">
      <w:pPr>
        <w:pStyle w:val="BodyTextMain"/>
        <w:rPr>
          <w:rFonts w:eastAsia="MS Mincho"/>
          <w:lang w:val="en-GB"/>
        </w:rPr>
      </w:pPr>
    </w:p>
    <w:p w14:paraId="68785355" w14:textId="279467F8" w:rsidR="00C26152" w:rsidRPr="00D657E1" w:rsidRDefault="00C26152" w:rsidP="00246014">
      <w:pPr>
        <w:pStyle w:val="BodyTextMain"/>
        <w:rPr>
          <w:rFonts w:eastAsia="MS Mincho"/>
          <w:lang w:val="en-GB"/>
        </w:rPr>
      </w:pPr>
      <w:r w:rsidRPr="00D657E1">
        <w:rPr>
          <w:rFonts w:eastAsia="MS Mincho"/>
          <w:lang w:val="en-GB"/>
        </w:rPr>
        <w:t>The high capital intensity in the airline industry contributed to a low average return on investment of 7.84 per cent.</w:t>
      </w:r>
      <w:r w:rsidRPr="00D657E1">
        <w:rPr>
          <w:rFonts w:eastAsia="MS Mincho"/>
          <w:vertAlign w:val="superscript"/>
          <w:lang w:val="en-GB"/>
        </w:rPr>
        <w:endnoteReference w:id="10"/>
      </w:r>
      <w:r w:rsidRPr="00D657E1">
        <w:rPr>
          <w:rFonts w:eastAsia="MS Mincho"/>
          <w:lang w:val="en-GB"/>
        </w:rPr>
        <w:t xml:space="preserve"> Furthermore, the global airline industry median values in 2013 for profit margin, return on equity, current ratio, and quick ratio were 3.10, 9.30, 1.50, and 0.90, respectively.</w:t>
      </w:r>
      <w:r w:rsidRPr="00D657E1">
        <w:rPr>
          <w:rFonts w:eastAsia="MS Mincho"/>
          <w:vertAlign w:val="superscript"/>
          <w:lang w:val="en-GB"/>
        </w:rPr>
        <w:endnoteReference w:id="11"/>
      </w:r>
    </w:p>
    <w:p w14:paraId="6B21C429" w14:textId="77777777" w:rsidR="00C26152" w:rsidRPr="00D657E1" w:rsidRDefault="00C26152" w:rsidP="00246014">
      <w:pPr>
        <w:rPr>
          <w:sz w:val="22"/>
          <w:szCs w:val="22"/>
          <w:lang w:val="en-GB"/>
        </w:rPr>
      </w:pPr>
    </w:p>
    <w:p w14:paraId="096F4266" w14:textId="056420D0" w:rsidR="00C26152" w:rsidRPr="00D657E1" w:rsidRDefault="00C26152" w:rsidP="00246014">
      <w:pPr>
        <w:rPr>
          <w:sz w:val="22"/>
          <w:szCs w:val="22"/>
          <w:lang w:val="en-GB"/>
        </w:rPr>
      </w:pPr>
    </w:p>
    <w:p w14:paraId="0C52ECF1" w14:textId="77777777" w:rsidR="00C26152" w:rsidRPr="00D657E1" w:rsidRDefault="00C26152" w:rsidP="00246014">
      <w:pPr>
        <w:rPr>
          <w:rFonts w:ascii="Arial" w:eastAsia="MS Mincho" w:hAnsi="Arial" w:cs="Arial"/>
          <w:b/>
          <w:lang w:val="en-GB"/>
        </w:rPr>
      </w:pPr>
      <w:r w:rsidRPr="00D657E1">
        <w:rPr>
          <w:rFonts w:ascii="Arial" w:eastAsia="MS Mincho" w:hAnsi="Arial" w:cs="Arial"/>
          <w:b/>
          <w:lang w:val="en-GB"/>
        </w:rPr>
        <w:t>COMPETITION</w:t>
      </w:r>
    </w:p>
    <w:p w14:paraId="6458A1A1" w14:textId="77777777" w:rsidR="00C26152" w:rsidRPr="00D657E1" w:rsidRDefault="00C26152" w:rsidP="00246014">
      <w:pPr>
        <w:rPr>
          <w:rFonts w:eastAsia="MS Mincho"/>
          <w:sz w:val="22"/>
          <w:szCs w:val="22"/>
          <w:lang w:val="en-GB"/>
        </w:rPr>
      </w:pPr>
      <w:r w:rsidRPr="00D657E1">
        <w:rPr>
          <w:rFonts w:eastAsia="MS Mincho"/>
          <w:sz w:val="22"/>
          <w:szCs w:val="22"/>
          <w:lang w:val="en-GB"/>
        </w:rPr>
        <w:t> </w:t>
      </w:r>
    </w:p>
    <w:p w14:paraId="373D93A7" w14:textId="77777777" w:rsidR="00C26152" w:rsidRPr="00D657E1" w:rsidRDefault="00C26152" w:rsidP="00246014">
      <w:pPr>
        <w:rPr>
          <w:rFonts w:ascii="Arial" w:eastAsia="MS Mincho" w:hAnsi="Arial" w:cs="Arial"/>
          <w:b/>
          <w:iCs/>
          <w:lang w:val="en-GB"/>
        </w:rPr>
      </w:pPr>
      <w:r w:rsidRPr="00D657E1">
        <w:rPr>
          <w:rFonts w:ascii="Arial" w:eastAsia="MS Mincho" w:hAnsi="Arial" w:cs="Arial"/>
          <w:b/>
          <w:iCs/>
          <w:lang w:val="en-GB"/>
        </w:rPr>
        <w:t>Precision Air</w:t>
      </w:r>
    </w:p>
    <w:p w14:paraId="5056324D" w14:textId="77777777" w:rsidR="00C26152" w:rsidRPr="00D657E1" w:rsidRDefault="00C26152" w:rsidP="00246014">
      <w:pPr>
        <w:rPr>
          <w:rFonts w:eastAsia="MS Mincho"/>
          <w:sz w:val="22"/>
          <w:szCs w:val="22"/>
          <w:lang w:val="en-GB"/>
        </w:rPr>
      </w:pPr>
    </w:p>
    <w:p w14:paraId="15D49C80" w14:textId="3C4FC637" w:rsidR="00C26152" w:rsidRPr="00D657E1" w:rsidRDefault="00C26152" w:rsidP="00246014">
      <w:pPr>
        <w:pStyle w:val="BodyTextMain"/>
        <w:rPr>
          <w:rFonts w:eastAsia="MS Mincho"/>
          <w:lang w:val="en-GB"/>
        </w:rPr>
      </w:pPr>
      <w:r w:rsidRPr="00D657E1">
        <w:rPr>
          <w:rFonts w:eastAsia="MS Mincho"/>
          <w:lang w:val="en-GB"/>
        </w:rPr>
        <w:t>Precision Air Services Plc (Precision Air), a standard airline company, offered its customers quick, comfortable, and reliable service through the application of a customer-focused approach. Precision Air aimed “to develop and provide superior air transport services that exceeds customer expectations” and wanted “to be the airline of choice.”</w:t>
      </w:r>
      <w:r w:rsidRPr="00D657E1">
        <w:rPr>
          <w:rFonts w:eastAsia="MS Mincho"/>
          <w:vertAlign w:val="superscript"/>
          <w:lang w:val="en-GB"/>
        </w:rPr>
        <w:endnoteReference w:id="12"/>
      </w:r>
      <w:r w:rsidRPr="00D657E1">
        <w:rPr>
          <w:rFonts w:eastAsia="MS Mincho"/>
          <w:lang w:val="en-GB"/>
        </w:rPr>
        <w:t xml:space="preserve"> Its main hub was located in Dar </w:t>
      </w:r>
      <w:proofErr w:type="spellStart"/>
      <w:r w:rsidRPr="00D657E1">
        <w:rPr>
          <w:rFonts w:eastAsia="MS Mincho"/>
          <w:lang w:val="en-GB"/>
        </w:rPr>
        <w:t>es</w:t>
      </w:r>
      <w:proofErr w:type="spellEnd"/>
      <w:r w:rsidRPr="00D657E1">
        <w:rPr>
          <w:rFonts w:eastAsia="MS Mincho"/>
          <w:lang w:val="en-GB"/>
        </w:rPr>
        <w:t xml:space="preserve"> Salaam, and it operated on a regional basis, with flights to 10 destinations within and outside Tanzania.</w:t>
      </w:r>
    </w:p>
    <w:p w14:paraId="18849CE4" w14:textId="77777777" w:rsidR="00C26152" w:rsidRPr="00D657E1" w:rsidRDefault="00C26152" w:rsidP="00246014">
      <w:pPr>
        <w:pStyle w:val="BodyTextMain"/>
        <w:rPr>
          <w:rFonts w:eastAsia="MS Mincho"/>
          <w:lang w:val="en-GB"/>
        </w:rPr>
      </w:pPr>
    </w:p>
    <w:p w14:paraId="328387C2" w14:textId="510765D1" w:rsidR="00C26152" w:rsidRPr="00D657E1" w:rsidRDefault="00C26152" w:rsidP="00246014">
      <w:pPr>
        <w:pStyle w:val="BodyTextMain"/>
        <w:rPr>
          <w:rFonts w:eastAsia="MS Mincho"/>
          <w:lang w:val="en-GB"/>
        </w:rPr>
      </w:pPr>
      <w:r w:rsidRPr="00D657E1">
        <w:rPr>
          <w:rFonts w:eastAsia="MS Mincho"/>
          <w:lang w:val="en-GB"/>
        </w:rPr>
        <w:t xml:space="preserve">Recently, Precision Air had been struggling financially and experiencing challenges in earning revenue because of </w:t>
      </w:r>
      <w:proofErr w:type="spellStart"/>
      <w:r w:rsidRPr="00D657E1">
        <w:rPr>
          <w:rFonts w:eastAsia="MS Mincho"/>
          <w:lang w:val="en-GB"/>
        </w:rPr>
        <w:t>Fastjet’s</w:t>
      </w:r>
      <w:proofErr w:type="spellEnd"/>
      <w:r w:rsidRPr="00D657E1">
        <w:rPr>
          <w:rFonts w:eastAsia="MS Mincho"/>
          <w:lang w:val="en-GB"/>
        </w:rPr>
        <w:t xml:space="preserve"> entrance into the industry. In 2013, Precision Air incurred a loss of TSh30 billion</w:t>
      </w:r>
      <w:r w:rsidRPr="00D657E1">
        <w:rPr>
          <w:rFonts w:eastAsia="MS Mincho"/>
          <w:vertAlign w:val="superscript"/>
          <w:lang w:val="en-GB"/>
        </w:rPr>
        <w:endnoteReference w:id="13"/>
      </w:r>
      <w:r w:rsidRPr="00D657E1">
        <w:rPr>
          <w:rFonts w:eastAsia="MS Mincho"/>
          <w:lang w:val="en-GB"/>
        </w:rPr>
        <w:t xml:space="preserve"> in revenue, with gross margins of 18 per cent. In 2014, the company reduced its deficit by 60 per cent, with a loss of TSh12 billion, and had an increase in gross margins to 28 per cent.</w:t>
      </w:r>
    </w:p>
    <w:p w14:paraId="7AFBE867" w14:textId="77777777" w:rsidR="00C26152" w:rsidRPr="00D657E1" w:rsidRDefault="00C26152" w:rsidP="00246014">
      <w:pPr>
        <w:pStyle w:val="BodyTextMain"/>
        <w:rPr>
          <w:lang w:val="en-GB"/>
        </w:rPr>
      </w:pPr>
    </w:p>
    <w:p w14:paraId="2D0FA9D6" w14:textId="6BB10562" w:rsidR="00C26152" w:rsidRPr="00D657E1" w:rsidRDefault="00C26152" w:rsidP="00246014">
      <w:pPr>
        <w:pStyle w:val="BodyTextMain"/>
        <w:rPr>
          <w:rFonts w:eastAsia="MS Mincho"/>
          <w:lang w:val="en-GB"/>
        </w:rPr>
      </w:pPr>
      <w:r w:rsidRPr="00D657E1">
        <w:rPr>
          <w:rFonts w:eastAsia="MS Mincho"/>
          <w:lang w:val="en-GB"/>
        </w:rPr>
        <w:t>Precision Air had recently decreased its fleet size from nine to six aircraft, and started suspending unprofitable flight routes. The company also began to offer additional training to staff who lacked the skills required to provide top</w:t>
      </w:r>
      <w:r>
        <w:rPr>
          <w:rFonts w:eastAsia="MS Mincho"/>
          <w:lang w:val="en-GB"/>
        </w:rPr>
        <w:t>-</w:t>
      </w:r>
      <w:r w:rsidRPr="00D657E1">
        <w:rPr>
          <w:rFonts w:eastAsia="MS Mincho"/>
          <w:lang w:val="en-GB"/>
        </w:rPr>
        <w:t>quality service. Precision Air also planned on forming more partnerships and joint ventures to increas</w:t>
      </w:r>
      <w:r>
        <w:rPr>
          <w:rFonts w:eastAsia="MS Mincho"/>
          <w:lang w:val="en-GB"/>
        </w:rPr>
        <w:t>e</w:t>
      </w:r>
      <w:r w:rsidRPr="00D657E1">
        <w:rPr>
          <w:rFonts w:eastAsia="MS Mincho"/>
          <w:lang w:val="en-GB"/>
        </w:rPr>
        <w:t xml:space="preserve"> revenues and improv</w:t>
      </w:r>
      <w:r>
        <w:rPr>
          <w:rFonts w:eastAsia="MS Mincho"/>
          <w:lang w:val="en-GB"/>
        </w:rPr>
        <w:t>e</w:t>
      </w:r>
      <w:r w:rsidRPr="00D657E1">
        <w:rPr>
          <w:rFonts w:eastAsia="MS Mincho"/>
          <w:lang w:val="en-GB"/>
        </w:rPr>
        <w:t xml:space="preserve"> its financial performance.</w:t>
      </w:r>
    </w:p>
    <w:p w14:paraId="4CF3384E" w14:textId="77777777" w:rsidR="00C26152" w:rsidRPr="00D657E1" w:rsidRDefault="00C26152" w:rsidP="00246014">
      <w:pPr>
        <w:rPr>
          <w:rFonts w:eastAsia="MS Mincho"/>
          <w:sz w:val="22"/>
          <w:szCs w:val="22"/>
          <w:lang w:val="en-GB"/>
        </w:rPr>
      </w:pPr>
    </w:p>
    <w:p w14:paraId="7969C897" w14:textId="77777777" w:rsidR="00C26152" w:rsidRPr="00D657E1" w:rsidRDefault="00C26152" w:rsidP="00246014">
      <w:pPr>
        <w:rPr>
          <w:rFonts w:eastAsia="MS Mincho"/>
          <w:sz w:val="22"/>
          <w:szCs w:val="22"/>
          <w:lang w:val="en-GB"/>
        </w:rPr>
      </w:pPr>
    </w:p>
    <w:p w14:paraId="29C3DFB4" w14:textId="77777777" w:rsidR="00C26152" w:rsidRPr="00D657E1" w:rsidRDefault="00C26152" w:rsidP="00EE787A">
      <w:pPr>
        <w:keepNext/>
        <w:rPr>
          <w:rFonts w:ascii="Arial" w:eastAsia="MS Mincho" w:hAnsi="Arial" w:cs="Arial"/>
          <w:b/>
          <w:lang w:val="en-GB"/>
        </w:rPr>
      </w:pPr>
      <w:r w:rsidRPr="00D657E1">
        <w:rPr>
          <w:rFonts w:ascii="Arial" w:eastAsia="MS Mincho" w:hAnsi="Arial" w:cs="Arial"/>
          <w:b/>
          <w:lang w:val="en-GB"/>
        </w:rPr>
        <w:t>FASTJET INTERNAL DISCUSSION</w:t>
      </w:r>
    </w:p>
    <w:p w14:paraId="5A69CE49" w14:textId="77777777" w:rsidR="00C26152" w:rsidRPr="00D657E1" w:rsidRDefault="00C26152" w:rsidP="00EE787A">
      <w:pPr>
        <w:keepNext/>
        <w:rPr>
          <w:rFonts w:eastAsia="MS Mincho"/>
          <w:sz w:val="22"/>
          <w:szCs w:val="22"/>
          <w:lang w:val="en-GB"/>
        </w:rPr>
      </w:pPr>
    </w:p>
    <w:p w14:paraId="281BB4D1" w14:textId="77777777" w:rsidR="00C26152" w:rsidRPr="00D657E1" w:rsidRDefault="00C26152" w:rsidP="00EE787A">
      <w:pPr>
        <w:keepNext/>
        <w:rPr>
          <w:rFonts w:ascii="Arial" w:eastAsia="MS Mincho" w:hAnsi="Arial" w:cs="Arial"/>
          <w:b/>
          <w:lang w:val="en-GB"/>
        </w:rPr>
      </w:pPr>
      <w:r w:rsidRPr="00D657E1">
        <w:rPr>
          <w:rFonts w:ascii="Arial" w:eastAsia="MS Mincho" w:hAnsi="Arial" w:cs="Arial"/>
          <w:b/>
          <w:lang w:val="en-GB"/>
        </w:rPr>
        <w:t>Company Background</w:t>
      </w:r>
    </w:p>
    <w:p w14:paraId="49F477CA" w14:textId="77777777" w:rsidR="00C26152" w:rsidRPr="00D657E1" w:rsidRDefault="00C26152" w:rsidP="00246014">
      <w:pPr>
        <w:rPr>
          <w:sz w:val="22"/>
          <w:szCs w:val="22"/>
          <w:lang w:val="en-GB"/>
        </w:rPr>
      </w:pPr>
    </w:p>
    <w:p w14:paraId="42A44D42" w14:textId="68D29E2A" w:rsidR="00C26152" w:rsidRPr="00D700E0" w:rsidRDefault="00C26152" w:rsidP="00246014">
      <w:pPr>
        <w:pStyle w:val="BodyTextMain"/>
        <w:rPr>
          <w:rFonts w:eastAsia="MS Mincho"/>
          <w:spacing w:val="-2"/>
          <w:kern w:val="22"/>
          <w:lang w:val="en-GB"/>
        </w:rPr>
      </w:pPr>
      <w:r w:rsidRPr="00D700E0">
        <w:rPr>
          <w:rFonts w:eastAsia="MS Mincho"/>
          <w:spacing w:val="-2"/>
          <w:kern w:val="22"/>
          <w:lang w:val="en-GB"/>
        </w:rPr>
        <w:t xml:space="preserve">On November 29, 2012, </w:t>
      </w:r>
      <w:proofErr w:type="spellStart"/>
      <w:r w:rsidRPr="00D700E0">
        <w:rPr>
          <w:rFonts w:eastAsia="MS Mincho"/>
          <w:spacing w:val="-2"/>
          <w:kern w:val="22"/>
          <w:lang w:val="en-GB"/>
        </w:rPr>
        <w:t>Fastjet</w:t>
      </w:r>
      <w:proofErr w:type="spellEnd"/>
      <w:r w:rsidRPr="00D700E0">
        <w:rPr>
          <w:rFonts w:eastAsia="MS Mincho"/>
          <w:spacing w:val="-2"/>
          <w:kern w:val="22"/>
          <w:lang w:val="en-GB"/>
        </w:rPr>
        <w:t xml:space="preserve"> launched its first flight from Dar </w:t>
      </w:r>
      <w:proofErr w:type="spellStart"/>
      <w:r w:rsidRPr="00D700E0">
        <w:rPr>
          <w:rFonts w:eastAsia="MS Mincho"/>
          <w:spacing w:val="-2"/>
          <w:kern w:val="22"/>
          <w:lang w:val="en-GB"/>
        </w:rPr>
        <w:t>es</w:t>
      </w:r>
      <w:proofErr w:type="spellEnd"/>
      <w:r w:rsidRPr="00D700E0">
        <w:rPr>
          <w:rFonts w:eastAsia="MS Mincho"/>
          <w:spacing w:val="-2"/>
          <w:kern w:val="22"/>
          <w:lang w:val="en-GB"/>
        </w:rPr>
        <w:t xml:space="preserve"> Salaam</w:t>
      </w:r>
      <w:r w:rsidR="00407689" w:rsidRPr="00D700E0">
        <w:rPr>
          <w:rFonts w:eastAsia="MS Mincho"/>
          <w:spacing w:val="-2"/>
          <w:kern w:val="22"/>
          <w:lang w:val="en-GB"/>
        </w:rPr>
        <w:t>, Tanzania,</w:t>
      </w:r>
      <w:r w:rsidRPr="00D700E0">
        <w:rPr>
          <w:rFonts w:eastAsia="MS Mincho"/>
          <w:spacing w:val="-2"/>
          <w:kern w:val="22"/>
          <w:lang w:val="en-GB"/>
        </w:rPr>
        <w:t xml:space="preserve"> to Mwanza, </w:t>
      </w:r>
      <w:r w:rsidR="00407689" w:rsidRPr="00D700E0">
        <w:rPr>
          <w:rFonts w:eastAsia="MS Mincho"/>
          <w:spacing w:val="-2"/>
          <w:kern w:val="22"/>
          <w:lang w:val="en-GB"/>
        </w:rPr>
        <w:t xml:space="preserve">Tanzania, </w:t>
      </w:r>
      <w:r w:rsidRPr="00D700E0">
        <w:rPr>
          <w:rFonts w:eastAsia="MS Mincho"/>
          <w:spacing w:val="-2"/>
          <w:kern w:val="22"/>
          <w:lang w:val="en-GB"/>
        </w:rPr>
        <w:t xml:space="preserve">after acquiring Fly540, a low-cost airline that operated in Tanzania, Kenya, Angola, and Ghana. Two months later, </w:t>
      </w:r>
      <w:proofErr w:type="gramStart"/>
      <w:r w:rsidRPr="00D700E0">
        <w:rPr>
          <w:rFonts w:eastAsia="MS Mincho"/>
          <w:spacing w:val="-2"/>
          <w:kern w:val="22"/>
          <w:lang w:val="en-GB"/>
        </w:rPr>
        <w:t>Winter</w:t>
      </w:r>
      <w:proofErr w:type="gramEnd"/>
      <w:r w:rsidRPr="00D700E0">
        <w:rPr>
          <w:rFonts w:eastAsia="MS Mincho"/>
          <w:spacing w:val="-2"/>
          <w:kern w:val="22"/>
          <w:lang w:val="en-GB"/>
        </w:rPr>
        <w:t xml:space="preserve"> was appointed chief executive officer, and headquarters were established in London, England. East Africa, specifically Kenya or Tanzania, was considered the best region to launch </w:t>
      </w:r>
      <w:proofErr w:type="spellStart"/>
      <w:r w:rsidRPr="00D700E0">
        <w:rPr>
          <w:rFonts w:eastAsia="MS Mincho"/>
          <w:spacing w:val="-2"/>
          <w:kern w:val="22"/>
          <w:lang w:val="en-GB"/>
        </w:rPr>
        <w:t>Fastjet</w:t>
      </w:r>
      <w:proofErr w:type="spellEnd"/>
      <w:r w:rsidRPr="00D700E0">
        <w:rPr>
          <w:rFonts w:eastAsia="MS Mincho"/>
          <w:spacing w:val="-2"/>
          <w:kern w:val="22"/>
          <w:lang w:val="en-GB"/>
        </w:rPr>
        <w:t xml:space="preserve">. Tanzania was chosen due to the relatively new Fly540 operations in the country and the </w:t>
      </w:r>
      <w:r w:rsidR="00407689" w:rsidRPr="00D700E0">
        <w:rPr>
          <w:rFonts w:eastAsia="MS Mincho"/>
          <w:spacing w:val="-2"/>
          <w:kern w:val="22"/>
          <w:lang w:val="en-GB"/>
        </w:rPr>
        <w:t xml:space="preserve">Tanzanian government’s </w:t>
      </w:r>
      <w:r w:rsidRPr="00D700E0">
        <w:rPr>
          <w:rFonts w:eastAsia="MS Mincho"/>
          <w:spacing w:val="-2"/>
          <w:kern w:val="22"/>
          <w:lang w:val="en-GB"/>
        </w:rPr>
        <w:t>welcoming and positive attitude.</w:t>
      </w:r>
      <w:r w:rsidRPr="00D700E0">
        <w:rPr>
          <w:rFonts w:eastAsia="MS Mincho"/>
          <w:spacing w:val="-2"/>
          <w:kern w:val="22"/>
          <w:vertAlign w:val="superscript"/>
          <w:lang w:val="en-GB"/>
        </w:rPr>
        <w:endnoteReference w:id="14"/>
      </w:r>
      <w:r w:rsidRPr="00D700E0">
        <w:rPr>
          <w:rFonts w:eastAsia="MS Mincho"/>
          <w:spacing w:val="-2"/>
          <w:kern w:val="22"/>
          <w:lang w:val="en-GB"/>
        </w:rPr>
        <w:t xml:space="preserve"> Kenya was deemed the riskier alternative due to Kenya Airways Ltd.’s considerable influence over the Kenyan government and </w:t>
      </w:r>
      <w:r w:rsidR="00407689" w:rsidRPr="00D700E0">
        <w:rPr>
          <w:rFonts w:eastAsia="MS Mincho"/>
          <w:spacing w:val="-2"/>
          <w:kern w:val="22"/>
          <w:lang w:val="en-GB"/>
        </w:rPr>
        <w:t xml:space="preserve">the </w:t>
      </w:r>
      <w:r w:rsidRPr="00D700E0">
        <w:rPr>
          <w:rFonts w:eastAsia="MS Mincho"/>
          <w:spacing w:val="-2"/>
          <w:kern w:val="22"/>
          <w:lang w:val="en-GB"/>
        </w:rPr>
        <w:t>associated Civil Aviation Authority.</w:t>
      </w:r>
    </w:p>
    <w:p w14:paraId="3434C4C1" w14:textId="77777777" w:rsidR="00C26152" w:rsidRPr="00D657E1" w:rsidRDefault="00C26152" w:rsidP="00246014">
      <w:pPr>
        <w:rPr>
          <w:sz w:val="22"/>
          <w:szCs w:val="22"/>
          <w:lang w:val="en-GB"/>
        </w:rPr>
      </w:pPr>
    </w:p>
    <w:p w14:paraId="676CE98A" w14:textId="77777777" w:rsidR="00C26152" w:rsidRPr="00D657E1" w:rsidRDefault="00C26152" w:rsidP="00246014">
      <w:pPr>
        <w:rPr>
          <w:sz w:val="22"/>
          <w:szCs w:val="22"/>
          <w:lang w:val="en-GB"/>
        </w:rPr>
      </w:pPr>
    </w:p>
    <w:p w14:paraId="584853A2" w14:textId="77777777" w:rsidR="00C26152" w:rsidRPr="00D657E1" w:rsidRDefault="00C26152" w:rsidP="00246014">
      <w:pPr>
        <w:rPr>
          <w:rFonts w:ascii="Arial" w:eastAsia="MS Mincho" w:hAnsi="Arial" w:cs="Arial"/>
          <w:b/>
          <w:lang w:val="en-GB"/>
        </w:rPr>
      </w:pPr>
      <w:r w:rsidRPr="00D657E1">
        <w:rPr>
          <w:rFonts w:ascii="Arial" w:eastAsia="MS Mincho" w:hAnsi="Arial" w:cs="Arial"/>
          <w:b/>
          <w:lang w:val="en-GB"/>
        </w:rPr>
        <w:t>Edward Winter</w:t>
      </w:r>
    </w:p>
    <w:p w14:paraId="69BD5B65" w14:textId="77777777" w:rsidR="00C26152" w:rsidRPr="00D657E1" w:rsidRDefault="00C26152" w:rsidP="00246014">
      <w:pPr>
        <w:rPr>
          <w:rFonts w:eastAsia="MS Mincho"/>
          <w:sz w:val="22"/>
          <w:szCs w:val="22"/>
          <w:lang w:val="en-GB"/>
        </w:rPr>
      </w:pPr>
    </w:p>
    <w:p w14:paraId="206820F6" w14:textId="771C8907" w:rsidR="00C26152" w:rsidRPr="00D657E1" w:rsidRDefault="00C26152" w:rsidP="00246014">
      <w:pPr>
        <w:pStyle w:val="BodyTextMain"/>
        <w:rPr>
          <w:rFonts w:eastAsia="MS Mincho"/>
          <w:lang w:val="en-GB"/>
        </w:rPr>
      </w:pPr>
      <w:r w:rsidRPr="00D657E1">
        <w:rPr>
          <w:rFonts w:eastAsia="MS Mincho"/>
          <w:lang w:val="en-GB"/>
        </w:rPr>
        <w:t>Winter had begun his career as a pilot with British Airways.</w:t>
      </w:r>
      <w:r w:rsidRPr="00D657E1">
        <w:rPr>
          <w:rFonts w:eastAsia="MS Mincho"/>
          <w:vertAlign w:val="superscript"/>
          <w:lang w:val="en-GB"/>
        </w:rPr>
        <w:endnoteReference w:id="15"/>
      </w:r>
      <w:r w:rsidRPr="00D657E1">
        <w:rPr>
          <w:rFonts w:eastAsia="MS Mincho"/>
          <w:lang w:val="en-GB"/>
        </w:rPr>
        <w:t xml:space="preserve"> Subsequently, he gained </w:t>
      </w:r>
      <w:r>
        <w:rPr>
          <w:rFonts w:eastAsia="MS Mincho"/>
          <w:lang w:val="en-GB"/>
        </w:rPr>
        <w:t>more than</w:t>
      </w:r>
      <w:r w:rsidRPr="00D657E1">
        <w:rPr>
          <w:rFonts w:eastAsia="MS Mincho"/>
          <w:lang w:val="en-GB"/>
        </w:rPr>
        <w:t xml:space="preserve"> 40 years of industry experience both in standard airline services and with the low-cost carrier airline model. He was both the chief operati</w:t>
      </w:r>
      <w:r>
        <w:rPr>
          <w:rFonts w:eastAsia="MS Mincho"/>
          <w:lang w:val="en-GB"/>
        </w:rPr>
        <w:t>ng</w:t>
      </w:r>
      <w:r w:rsidRPr="00D657E1">
        <w:rPr>
          <w:rFonts w:eastAsia="MS Mincho"/>
          <w:lang w:val="en-GB"/>
        </w:rPr>
        <w:t xml:space="preserve"> officer and a founding director of the low-cost airline Go, which quickly became profitable with 28 aircrafts. After the sale of Go, </w:t>
      </w:r>
      <w:proofErr w:type="gramStart"/>
      <w:r w:rsidRPr="00D657E1">
        <w:rPr>
          <w:rFonts w:eastAsia="MS Mincho"/>
          <w:lang w:val="en-GB"/>
        </w:rPr>
        <w:t>Winter</w:t>
      </w:r>
      <w:proofErr w:type="gramEnd"/>
      <w:r w:rsidRPr="00D657E1">
        <w:rPr>
          <w:rFonts w:eastAsia="MS Mincho"/>
          <w:lang w:val="en-GB"/>
        </w:rPr>
        <w:t xml:space="preserve"> became the chief operating officer of </w:t>
      </w:r>
      <w:proofErr w:type="spellStart"/>
      <w:r w:rsidRPr="00D657E1">
        <w:rPr>
          <w:rFonts w:eastAsia="MS Mincho"/>
          <w:lang w:val="en-GB"/>
        </w:rPr>
        <w:t>easyJet</w:t>
      </w:r>
      <w:proofErr w:type="spellEnd"/>
      <w:r w:rsidRPr="00D657E1">
        <w:rPr>
          <w:rFonts w:eastAsia="MS Mincho"/>
          <w:lang w:val="en-GB"/>
        </w:rPr>
        <w:t>,</w:t>
      </w:r>
      <w:r w:rsidRPr="00D657E1">
        <w:rPr>
          <w:rFonts w:eastAsia="MS Mincho"/>
          <w:vertAlign w:val="superscript"/>
          <w:lang w:val="en-GB"/>
        </w:rPr>
        <w:endnoteReference w:id="16"/>
      </w:r>
      <w:r w:rsidRPr="00D657E1">
        <w:rPr>
          <w:rFonts w:eastAsia="MS Mincho"/>
          <w:lang w:val="en-GB"/>
        </w:rPr>
        <w:t xml:space="preserve"> a </w:t>
      </w:r>
      <w:r w:rsidRPr="00D657E1">
        <w:rPr>
          <w:rFonts w:eastAsia="MS Mincho"/>
          <w:lang w:val="en-GB"/>
        </w:rPr>
        <w:lastRenderedPageBreak/>
        <w:t xml:space="preserve">U.K.-based low-cost carrier, and successfully expanded </w:t>
      </w:r>
      <w:proofErr w:type="spellStart"/>
      <w:r w:rsidRPr="00D657E1">
        <w:rPr>
          <w:rFonts w:eastAsia="MS Mincho"/>
          <w:lang w:val="en-GB"/>
        </w:rPr>
        <w:t>easyJet’s</w:t>
      </w:r>
      <w:proofErr w:type="spellEnd"/>
      <w:r w:rsidRPr="00D657E1">
        <w:rPr>
          <w:rFonts w:eastAsia="MS Mincho"/>
          <w:lang w:val="en-GB"/>
        </w:rPr>
        <w:t xml:space="preserve"> operations into Europe.</w:t>
      </w:r>
      <w:r w:rsidRPr="00D657E1">
        <w:rPr>
          <w:rFonts w:eastAsia="MS Mincho"/>
          <w:vertAlign w:val="superscript"/>
          <w:lang w:val="en-GB"/>
        </w:rPr>
        <w:endnoteReference w:id="17"/>
      </w:r>
      <w:r w:rsidRPr="00D657E1">
        <w:rPr>
          <w:rFonts w:eastAsia="MS Mincho"/>
          <w:sz w:val="24"/>
          <w:szCs w:val="24"/>
          <w:lang w:val="en-GB"/>
        </w:rPr>
        <w:t xml:space="preserve"> </w:t>
      </w:r>
      <w:r w:rsidRPr="00D657E1">
        <w:rPr>
          <w:rFonts w:eastAsia="MS Mincho"/>
          <w:lang w:val="en-GB"/>
        </w:rPr>
        <w:t xml:space="preserve">Winter </w:t>
      </w:r>
      <w:r w:rsidR="00407689">
        <w:rPr>
          <w:rFonts w:eastAsia="MS Mincho"/>
          <w:lang w:val="en-GB"/>
        </w:rPr>
        <w:t xml:space="preserve">had </w:t>
      </w:r>
      <w:r w:rsidRPr="00D657E1">
        <w:rPr>
          <w:rFonts w:eastAsia="MS Mincho"/>
          <w:lang w:val="en-GB"/>
        </w:rPr>
        <w:t>also served as the chief executive officer of the National Air Services in Saudi Arabia.</w:t>
      </w:r>
      <w:r w:rsidRPr="00D657E1">
        <w:rPr>
          <w:rFonts w:eastAsia="MS Mincho"/>
          <w:vertAlign w:val="superscript"/>
          <w:lang w:val="en-GB"/>
        </w:rPr>
        <w:endnoteReference w:id="18"/>
      </w:r>
    </w:p>
    <w:p w14:paraId="55C54D17" w14:textId="77777777" w:rsidR="00C26152" w:rsidRPr="00D700E0" w:rsidRDefault="00C26152" w:rsidP="00246014">
      <w:pPr>
        <w:pStyle w:val="BodyTextMain"/>
        <w:rPr>
          <w:sz w:val="18"/>
          <w:szCs w:val="18"/>
          <w:lang w:val="en-GB"/>
        </w:rPr>
      </w:pPr>
    </w:p>
    <w:p w14:paraId="0D2B4F63" w14:textId="1CC1BAF8" w:rsidR="00C26152" w:rsidRPr="00D657E1" w:rsidRDefault="00C26152" w:rsidP="00246014">
      <w:pPr>
        <w:pStyle w:val="BodyTextMain"/>
        <w:rPr>
          <w:rFonts w:eastAsia="MS Mincho"/>
          <w:lang w:val="en-GB"/>
        </w:rPr>
      </w:pPr>
      <w:r w:rsidRPr="00D657E1">
        <w:rPr>
          <w:rFonts w:eastAsia="MS Mincho"/>
          <w:lang w:val="en-GB"/>
        </w:rPr>
        <w:t xml:space="preserve">Upon launching </w:t>
      </w:r>
      <w:proofErr w:type="spellStart"/>
      <w:r w:rsidRPr="00D657E1">
        <w:rPr>
          <w:rFonts w:eastAsia="MS Mincho"/>
          <w:lang w:val="en-GB"/>
        </w:rPr>
        <w:t>Fastjet</w:t>
      </w:r>
      <w:proofErr w:type="spellEnd"/>
      <w:r w:rsidRPr="00D657E1">
        <w:rPr>
          <w:rFonts w:eastAsia="MS Mincho"/>
          <w:lang w:val="en-GB"/>
        </w:rPr>
        <w:t xml:space="preserve">, </w:t>
      </w:r>
      <w:proofErr w:type="gramStart"/>
      <w:r w:rsidRPr="00D657E1">
        <w:rPr>
          <w:rFonts w:eastAsia="MS Mincho"/>
          <w:lang w:val="en-GB"/>
        </w:rPr>
        <w:t>Winter</w:t>
      </w:r>
      <w:proofErr w:type="gramEnd"/>
      <w:r w:rsidRPr="00D657E1">
        <w:rPr>
          <w:rFonts w:eastAsia="MS Mincho"/>
          <w:lang w:val="en-GB"/>
        </w:rPr>
        <w:t xml:space="preserve"> had two overarching goals for the company: to become the most successful pan-African low-cost airline</w:t>
      </w:r>
      <w:r w:rsidR="00407689">
        <w:rPr>
          <w:rFonts w:eastAsia="MS Mincho"/>
          <w:lang w:val="en-GB"/>
        </w:rPr>
        <w:t>,</w:t>
      </w:r>
      <w:r w:rsidRPr="00D657E1">
        <w:rPr>
          <w:rFonts w:eastAsia="MS Mincho"/>
          <w:lang w:val="en-GB"/>
        </w:rPr>
        <w:t xml:space="preserve"> and to make reliable and safe air travel accessible to all.</w:t>
      </w:r>
      <w:r w:rsidRPr="00D657E1">
        <w:rPr>
          <w:rFonts w:eastAsia="MS Mincho"/>
          <w:vertAlign w:val="superscript"/>
          <w:lang w:val="en-GB"/>
        </w:rPr>
        <w:endnoteReference w:id="19"/>
      </w:r>
    </w:p>
    <w:p w14:paraId="51914F3F" w14:textId="77777777" w:rsidR="00C26152" w:rsidRPr="00D700E0" w:rsidRDefault="00C26152" w:rsidP="00246014">
      <w:pPr>
        <w:rPr>
          <w:sz w:val="18"/>
          <w:szCs w:val="18"/>
          <w:lang w:val="en-GB"/>
        </w:rPr>
      </w:pPr>
    </w:p>
    <w:p w14:paraId="4E9A0C43" w14:textId="77777777" w:rsidR="00C26152" w:rsidRPr="00D700E0" w:rsidRDefault="00C26152" w:rsidP="00246014">
      <w:pPr>
        <w:rPr>
          <w:sz w:val="18"/>
          <w:szCs w:val="18"/>
          <w:lang w:val="en-GB"/>
        </w:rPr>
      </w:pPr>
    </w:p>
    <w:p w14:paraId="06D54128" w14:textId="77777777" w:rsidR="00C26152" w:rsidRPr="00D657E1" w:rsidRDefault="00C26152" w:rsidP="00246014">
      <w:pPr>
        <w:rPr>
          <w:rFonts w:ascii="Arial" w:eastAsia="MS Mincho" w:hAnsi="Arial" w:cs="Arial"/>
          <w:b/>
          <w:lang w:val="en-GB"/>
        </w:rPr>
      </w:pPr>
      <w:r w:rsidRPr="00D657E1">
        <w:rPr>
          <w:rFonts w:ascii="Arial" w:eastAsia="MS Mincho" w:hAnsi="Arial" w:cs="Arial"/>
          <w:b/>
          <w:lang w:val="en-GB"/>
        </w:rPr>
        <w:t>The Low-Cost Carrier Model</w:t>
      </w:r>
    </w:p>
    <w:p w14:paraId="3E3154B4" w14:textId="77777777" w:rsidR="00C26152" w:rsidRPr="00D700E0" w:rsidRDefault="00C26152" w:rsidP="00246014">
      <w:pPr>
        <w:rPr>
          <w:rFonts w:eastAsia="MS Mincho"/>
          <w:sz w:val="18"/>
          <w:szCs w:val="18"/>
          <w:lang w:val="en-GB"/>
        </w:rPr>
      </w:pPr>
    </w:p>
    <w:p w14:paraId="058B4793" w14:textId="29E7B895" w:rsidR="00C26152" w:rsidRPr="00D657E1" w:rsidRDefault="00C26152" w:rsidP="00246014">
      <w:pPr>
        <w:pStyle w:val="BodyTextMain"/>
        <w:rPr>
          <w:rFonts w:eastAsia="MS Mincho"/>
          <w:lang w:val="en-GB"/>
        </w:rPr>
      </w:pPr>
      <w:r w:rsidRPr="00D657E1">
        <w:rPr>
          <w:rFonts w:eastAsia="MS Mincho"/>
          <w:lang w:val="en-GB"/>
        </w:rPr>
        <w:t xml:space="preserve">As a low-cost carrier, </w:t>
      </w:r>
      <w:proofErr w:type="spellStart"/>
      <w:r w:rsidRPr="00D657E1">
        <w:rPr>
          <w:rFonts w:eastAsia="MS Mincho"/>
          <w:lang w:val="en-GB"/>
        </w:rPr>
        <w:t>Fastjet</w:t>
      </w:r>
      <w:proofErr w:type="spellEnd"/>
      <w:r w:rsidRPr="00D657E1">
        <w:rPr>
          <w:rFonts w:eastAsia="MS Mincho"/>
          <w:lang w:val="en-GB"/>
        </w:rPr>
        <w:t xml:space="preserve"> offered low ticket prices to customers by minimizing expenses. The airline achieved major operational savings by purchasing one type of aircraft, used Airbus A319s, which reduced spending on spare parts and maintenance.</w:t>
      </w:r>
      <w:r w:rsidRPr="00D657E1">
        <w:rPr>
          <w:rFonts w:eastAsia="MS Mincho"/>
          <w:vertAlign w:val="superscript"/>
          <w:lang w:val="en-GB"/>
        </w:rPr>
        <w:endnoteReference w:id="20"/>
      </w:r>
      <w:r w:rsidRPr="00D657E1">
        <w:rPr>
          <w:rFonts w:eastAsia="MS Mincho"/>
          <w:lang w:val="en-GB"/>
        </w:rPr>
        <w:t xml:space="preserve"> Furthermore, </w:t>
      </w:r>
      <w:proofErr w:type="spellStart"/>
      <w:r w:rsidRPr="00D657E1">
        <w:rPr>
          <w:rFonts w:eastAsia="MS Mincho"/>
          <w:lang w:val="en-GB"/>
        </w:rPr>
        <w:t>Fastjet</w:t>
      </w:r>
      <w:proofErr w:type="spellEnd"/>
      <w:r w:rsidRPr="00D657E1">
        <w:rPr>
          <w:rFonts w:eastAsia="MS Mincho"/>
          <w:lang w:val="en-GB"/>
        </w:rPr>
        <w:t xml:space="preserve"> </w:t>
      </w:r>
      <w:proofErr w:type="spellStart"/>
      <w:r w:rsidRPr="00D657E1">
        <w:rPr>
          <w:rFonts w:eastAsia="MS Mincho"/>
          <w:lang w:val="en-GB"/>
        </w:rPr>
        <w:t>prepurchased</w:t>
      </w:r>
      <w:proofErr w:type="spellEnd"/>
      <w:r w:rsidRPr="00D657E1">
        <w:rPr>
          <w:rFonts w:eastAsia="MS Mincho"/>
          <w:lang w:val="en-GB"/>
        </w:rPr>
        <w:t xml:space="preserve"> currency and fuel to lower </w:t>
      </w:r>
      <w:r>
        <w:rPr>
          <w:rFonts w:eastAsia="MS Mincho"/>
          <w:lang w:val="en-GB"/>
        </w:rPr>
        <w:t xml:space="preserve">its </w:t>
      </w:r>
      <w:r w:rsidRPr="00D657E1">
        <w:rPr>
          <w:rFonts w:eastAsia="MS Mincho"/>
          <w:lang w:val="en-GB"/>
        </w:rPr>
        <w:t>operational expenses</w:t>
      </w:r>
      <w:r>
        <w:rPr>
          <w:rFonts w:eastAsia="MS Mincho"/>
          <w:lang w:val="en-GB"/>
        </w:rPr>
        <w:t>, and</w:t>
      </w:r>
      <w:r w:rsidRPr="00D657E1">
        <w:rPr>
          <w:rFonts w:eastAsia="MS Mincho"/>
          <w:lang w:val="en-GB"/>
        </w:rPr>
        <w:t xml:space="preserve"> outsourced engineering and airport passenger handling to provide expert services and to lower </w:t>
      </w:r>
      <w:r w:rsidR="00AC5F7B">
        <w:rPr>
          <w:rFonts w:eastAsia="MS Mincho"/>
          <w:lang w:val="en-GB"/>
        </w:rPr>
        <w:t xml:space="preserve">its </w:t>
      </w:r>
      <w:r w:rsidRPr="00D657E1">
        <w:rPr>
          <w:rFonts w:eastAsia="MS Mincho"/>
          <w:lang w:val="en-GB"/>
        </w:rPr>
        <w:t xml:space="preserve">start-up costs. The airline also followed strict hiring policies, ensuring that all staff were “clever people” so that exceptional customer service was offered in a responsive manner. </w:t>
      </w:r>
      <w:proofErr w:type="spellStart"/>
      <w:r w:rsidRPr="00D657E1">
        <w:rPr>
          <w:rFonts w:eastAsia="MS Mincho"/>
          <w:lang w:val="en-GB"/>
        </w:rPr>
        <w:t>Fastjet</w:t>
      </w:r>
      <w:proofErr w:type="spellEnd"/>
      <w:r w:rsidRPr="00D657E1">
        <w:rPr>
          <w:rFonts w:eastAsia="MS Mincho"/>
          <w:lang w:val="en-GB"/>
        </w:rPr>
        <w:t xml:space="preserve"> also cross-trained employees to maximize the company’s investment in its workforce.</w:t>
      </w:r>
    </w:p>
    <w:p w14:paraId="4B457F22" w14:textId="77777777" w:rsidR="00C26152" w:rsidRPr="00D700E0" w:rsidRDefault="00C26152" w:rsidP="00246014">
      <w:pPr>
        <w:pStyle w:val="BodyTextMain"/>
        <w:rPr>
          <w:rFonts w:eastAsia="MS Mincho"/>
          <w:sz w:val="18"/>
          <w:szCs w:val="18"/>
          <w:lang w:val="en-GB"/>
        </w:rPr>
      </w:pPr>
    </w:p>
    <w:p w14:paraId="442B260D" w14:textId="28FD97AE" w:rsidR="00C26152" w:rsidRPr="00D657E1" w:rsidRDefault="00C26152" w:rsidP="00246014">
      <w:pPr>
        <w:pStyle w:val="BodyTextMain"/>
        <w:rPr>
          <w:rFonts w:eastAsia="MS Mincho"/>
          <w:lang w:val="en-GB"/>
        </w:rPr>
      </w:pPr>
      <w:proofErr w:type="spellStart"/>
      <w:r w:rsidRPr="00D657E1">
        <w:rPr>
          <w:rFonts w:eastAsia="MS Mincho"/>
          <w:lang w:val="en-GB"/>
        </w:rPr>
        <w:t>Fastjet</w:t>
      </w:r>
      <w:proofErr w:type="spellEnd"/>
      <w:r w:rsidRPr="00D657E1">
        <w:rPr>
          <w:rFonts w:eastAsia="MS Mincho"/>
          <w:lang w:val="en-GB"/>
        </w:rPr>
        <w:t xml:space="preserve"> was a “no-frills” airline, with a ticket that included just one seat and one piece of hand luggage. Extra charges were applied to any additional items, such as food, drinks, and checked baggage. Despite this pricing scheme, 40 per cent of passengers still paid for additional services of some variety.</w:t>
      </w:r>
    </w:p>
    <w:p w14:paraId="0D717CB2" w14:textId="77777777" w:rsidR="00C26152" w:rsidRPr="00D700E0" w:rsidRDefault="00C26152" w:rsidP="00246014">
      <w:pPr>
        <w:pStyle w:val="BodyTextMain"/>
        <w:rPr>
          <w:rFonts w:eastAsia="MS Mincho"/>
          <w:sz w:val="18"/>
          <w:szCs w:val="18"/>
          <w:lang w:val="en-GB"/>
        </w:rPr>
      </w:pPr>
    </w:p>
    <w:p w14:paraId="465F8D60" w14:textId="5487BAC1" w:rsidR="00C26152" w:rsidRPr="00D657E1" w:rsidRDefault="00C26152" w:rsidP="00246014">
      <w:pPr>
        <w:pStyle w:val="BodyTextMain"/>
        <w:rPr>
          <w:rFonts w:eastAsia="MS Mincho"/>
          <w:lang w:val="en-GB"/>
        </w:rPr>
      </w:pPr>
      <w:r w:rsidRPr="00D657E1">
        <w:rPr>
          <w:rFonts w:eastAsia="MS Mincho"/>
          <w:lang w:val="en-GB"/>
        </w:rPr>
        <w:t xml:space="preserve">Ticket prices </w:t>
      </w:r>
      <w:r>
        <w:rPr>
          <w:rFonts w:eastAsia="MS Mincho"/>
          <w:lang w:val="en-GB"/>
        </w:rPr>
        <w:t>rang</w:t>
      </w:r>
      <w:r w:rsidRPr="00D657E1">
        <w:rPr>
          <w:rFonts w:eastAsia="MS Mincho"/>
          <w:lang w:val="en-GB"/>
        </w:rPr>
        <w:t xml:space="preserve">ed from US$20 to US$170. The </w:t>
      </w:r>
      <w:r>
        <w:rPr>
          <w:rFonts w:eastAsia="MS Mincho"/>
          <w:lang w:val="en-GB"/>
        </w:rPr>
        <w:t>earlier</w:t>
      </w:r>
      <w:r w:rsidRPr="00D657E1">
        <w:rPr>
          <w:rFonts w:eastAsia="MS Mincho"/>
          <w:lang w:val="en-GB"/>
        </w:rPr>
        <w:t xml:space="preserve"> a customer booked, the cheaper the ticket. This pricing structure allowed </w:t>
      </w:r>
      <w:proofErr w:type="spellStart"/>
      <w:r w:rsidRPr="00D657E1">
        <w:rPr>
          <w:rFonts w:eastAsia="MS Mincho"/>
          <w:lang w:val="en-GB"/>
        </w:rPr>
        <w:t>Fastjet</w:t>
      </w:r>
      <w:proofErr w:type="spellEnd"/>
      <w:r w:rsidRPr="00D657E1">
        <w:rPr>
          <w:rFonts w:eastAsia="MS Mincho"/>
          <w:lang w:val="en-GB"/>
        </w:rPr>
        <w:t xml:space="preserve"> to maximize the number of purchased seats per flight. This low-cost strategy attracted passengers who had never considered flying </w:t>
      </w:r>
      <w:r>
        <w:rPr>
          <w:rFonts w:eastAsia="MS Mincho"/>
          <w:lang w:val="en-GB"/>
        </w:rPr>
        <w:t xml:space="preserve">to be </w:t>
      </w:r>
      <w:r w:rsidRPr="00D657E1">
        <w:rPr>
          <w:rFonts w:eastAsia="MS Mincho"/>
          <w:lang w:val="en-GB"/>
        </w:rPr>
        <w:t xml:space="preserve">an affordable option. Approximately 38 per cent of </w:t>
      </w:r>
      <w:proofErr w:type="spellStart"/>
      <w:r w:rsidRPr="00D657E1">
        <w:rPr>
          <w:rFonts w:eastAsia="MS Mincho"/>
          <w:lang w:val="en-GB"/>
        </w:rPr>
        <w:t>Fastjet</w:t>
      </w:r>
      <w:proofErr w:type="spellEnd"/>
      <w:r w:rsidRPr="00D657E1">
        <w:rPr>
          <w:rFonts w:eastAsia="MS Mincho"/>
          <w:lang w:val="en-GB"/>
        </w:rPr>
        <w:t xml:space="preserve"> passengers had never flown before. In the past, they would have travelled far distances by bus, or might not have travelled at all.</w:t>
      </w:r>
    </w:p>
    <w:p w14:paraId="5ABF6EBF" w14:textId="77777777" w:rsidR="00C26152" w:rsidRPr="00D700E0" w:rsidRDefault="00C26152" w:rsidP="00246014">
      <w:pPr>
        <w:rPr>
          <w:sz w:val="18"/>
          <w:szCs w:val="18"/>
          <w:lang w:val="en-GB"/>
        </w:rPr>
      </w:pPr>
    </w:p>
    <w:p w14:paraId="7D086B2D" w14:textId="77777777" w:rsidR="00C26152" w:rsidRPr="00D700E0" w:rsidRDefault="00C26152" w:rsidP="00246014">
      <w:pPr>
        <w:rPr>
          <w:sz w:val="18"/>
          <w:szCs w:val="18"/>
          <w:lang w:val="en-GB"/>
        </w:rPr>
      </w:pPr>
    </w:p>
    <w:p w14:paraId="47049CBA" w14:textId="77777777" w:rsidR="00C26152" w:rsidRPr="00D657E1" w:rsidRDefault="00C26152" w:rsidP="00246014">
      <w:pPr>
        <w:rPr>
          <w:rFonts w:ascii="Arial" w:eastAsia="MS Mincho" w:hAnsi="Arial" w:cs="Arial"/>
          <w:b/>
          <w:lang w:val="en-GB"/>
        </w:rPr>
      </w:pPr>
      <w:r w:rsidRPr="00D657E1">
        <w:rPr>
          <w:rFonts w:ascii="Arial" w:eastAsia="MS Mincho" w:hAnsi="Arial" w:cs="Arial"/>
          <w:b/>
          <w:lang w:val="en-GB"/>
        </w:rPr>
        <w:t>Current Performance</w:t>
      </w:r>
    </w:p>
    <w:p w14:paraId="16FD5D52" w14:textId="77777777" w:rsidR="00C26152" w:rsidRPr="00D700E0" w:rsidRDefault="00C26152" w:rsidP="00246014">
      <w:pPr>
        <w:rPr>
          <w:sz w:val="18"/>
          <w:szCs w:val="18"/>
          <w:lang w:val="en-GB"/>
        </w:rPr>
      </w:pPr>
    </w:p>
    <w:p w14:paraId="10F1CCC9" w14:textId="77777777" w:rsidR="00C26152" w:rsidRPr="00D657E1" w:rsidRDefault="00C26152" w:rsidP="00246014">
      <w:pPr>
        <w:pStyle w:val="BodyTextMain"/>
        <w:rPr>
          <w:rFonts w:eastAsia="MS Mincho"/>
          <w:lang w:val="en-GB"/>
        </w:rPr>
      </w:pPr>
      <w:proofErr w:type="spellStart"/>
      <w:r w:rsidRPr="00D657E1">
        <w:rPr>
          <w:rFonts w:eastAsia="MS Mincho"/>
          <w:lang w:val="en-GB"/>
        </w:rPr>
        <w:t>Fastjet’s</w:t>
      </w:r>
      <w:proofErr w:type="spellEnd"/>
      <w:r w:rsidRPr="00D657E1">
        <w:rPr>
          <w:rFonts w:eastAsia="MS Mincho"/>
          <w:lang w:val="en-GB"/>
        </w:rPr>
        <w:t xml:space="preserve"> consistently full flights and high percentage of first-time flyers demonstrated strong market acceptance in Tanzania. In particular, </w:t>
      </w:r>
      <w:proofErr w:type="spellStart"/>
      <w:r w:rsidRPr="00D657E1">
        <w:rPr>
          <w:rFonts w:eastAsia="MS Mincho"/>
          <w:lang w:val="en-GB"/>
        </w:rPr>
        <w:t>Fastjet</w:t>
      </w:r>
      <w:proofErr w:type="spellEnd"/>
      <w:r w:rsidRPr="00D657E1">
        <w:rPr>
          <w:rFonts w:eastAsia="MS Mincho"/>
          <w:lang w:val="en-GB"/>
        </w:rPr>
        <w:t xml:space="preserve"> developed a reputation for reliability and punctuality, with cancellations at less than 1 per cent.</w:t>
      </w:r>
      <w:r w:rsidRPr="00D657E1">
        <w:rPr>
          <w:rFonts w:eastAsia="MS Mincho"/>
          <w:vertAlign w:val="superscript"/>
          <w:lang w:val="en-GB"/>
        </w:rPr>
        <w:endnoteReference w:id="21"/>
      </w:r>
      <w:r w:rsidRPr="00D657E1">
        <w:rPr>
          <w:rFonts w:eastAsia="MS Mincho"/>
          <w:lang w:val="en-GB"/>
        </w:rPr>
        <w:t xml:space="preserve"> </w:t>
      </w:r>
      <w:proofErr w:type="spellStart"/>
      <w:r w:rsidRPr="00D657E1">
        <w:rPr>
          <w:rFonts w:eastAsia="MS Mincho"/>
          <w:lang w:val="en-GB"/>
        </w:rPr>
        <w:t>Fastjet</w:t>
      </w:r>
      <w:proofErr w:type="spellEnd"/>
      <w:r w:rsidRPr="00D657E1">
        <w:rPr>
          <w:rFonts w:eastAsia="MS Mincho"/>
          <w:lang w:val="en-GB"/>
        </w:rPr>
        <w:t xml:space="preserve"> embraced technological trends by developing a highly successful m-commerce platform with M-</w:t>
      </w:r>
      <w:proofErr w:type="spellStart"/>
      <w:r w:rsidRPr="00D657E1">
        <w:rPr>
          <w:rFonts w:eastAsia="MS Mincho"/>
          <w:lang w:val="en-GB"/>
        </w:rPr>
        <w:t>pesa</w:t>
      </w:r>
      <w:proofErr w:type="spellEnd"/>
      <w:r w:rsidRPr="00D657E1">
        <w:rPr>
          <w:rFonts w:eastAsia="MS Mincho"/>
          <w:lang w:val="en-GB"/>
        </w:rPr>
        <w:t xml:space="preserve"> and </w:t>
      </w:r>
      <w:proofErr w:type="spellStart"/>
      <w:r w:rsidRPr="00D657E1">
        <w:rPr>
          <w:rFonts w:eastAsia="MS Mincho"/>
          <w:lang w:val="en-GB"/>
        </w:rPr>
        <w:t>Tigo</w:t>
      </w:r>
      <w:proofErr w:type="spellEnd"/>
      <w:r w:rsidRPr="00D657E1">
        <w:rPr>
          <w:rFonts w:eastAsia="MS Mincho"/>
          <w:lang w:val="en-GB"/>
        </w:rPr>
        <w:t>, and utilized social media platforms to effectively lower communication and marketing expenses.</w:t>
      </w:r>
      <w:r w:rsidRPr="00D657E1">
        <w:rPr>
          <w:rFonts w:eastAsia="MS Mincho"/>
          <w:vertAlign w:val="superscript"/>
          <w:lang w:val="en-GB"/>
        </w:rPr>
        <w:endnoteReference w:id="22"/>
      </w:r>
      <w:r w:rsidRPr="00D657E1">
        <w:rPr>
          <w:rFonts w:eastAsia="MS Mincho"/>
          <w:lang w:val="en-GB"/>
        </w:rPr>
        <w:t xml:space="preserve"> As a result, </w:t>
      </w:r>
      <w:proofErr w:type="spellStart"/>
      <w:r w:rsidRPr="00D657E1">
        <w:rPr>
          <w:rFonts w:eastAsia="MS Mincho"/>
          <w:lang w:val="en-GB"/>
        </w:rPr>
        <w:t>Fastjet’s</w:t>
      </w:r>
      <w:proofErr w:type="spellEnd"/>
      <w:r w:rsidRPr="00D657E1">
        <w:rPr>
          <w:rFonts w:eastAsia="MS Mincho"/>
          <w:lang w:val="en-GB"/>
        </w:rPr>
        <w:t xml:space="preserve"> African Grey Parrot logo gained significant brand equity.</w:t>
      </w:r>
    </w:p>
    <w:p w14:paraId="274A0520" w14:textId="77777777" w:rsidR="00C26152" w:rsidRPr="00D700E0" w:rsidRDefault="00C26152" w:rsidP="00246014">
      <w:pPr>
        <w:pStyle w:val="BodyTextMain"/>
        <w:rPr>
          <w:rFonts w:eastAsia="MS Mincho"/>
          <w:sz w:val="18"/>
          <w:szCs w:val="18"/>
          <w:lang w:val="en-GB"/>
        </w:rPr>
      </w:pPr>
    </w:p>
    <w:p w14:paraId="5DB368C0" w14:textId="0BE1FF11" w:rsidR="00C26152" w:rsidRPr="00D657E1" w:rsidRDefault="00C26152" w:rsidP="00246014">
      <w:pPr>
        <w:pStyle w:val="BodyTextMain"/>
        <w:rPr>
          <w:rFonts w:eastAsia="MS Mincho"/>
          <w:lang w:val="en-GB"/>
        </w:rPr>
      </w:pPr>
      <w:r w:rsidRPr="00D657E1">
        <w:rPr>
          <w:rFonts w:eastAsia="MS Mincho"/>
          <w:lang w:val="en-GB"/>
        </w:rPr>
        <w:t>In 2013, yield per passenger grew by 106 per cent from January to December, and capacity had increased by 68 per cent.</w:t>
      </w:r>
      <w:r w:rsidRPr="00D657E1">
        <w:rPr>
          <w:rFonts w:eastAsia="MS Mincho"/>
          <w:vertAlign w:val="superscript"/>
          <w:lang w:val="en-GB"/>
        </w:rPr>
        <w:endnoteReference w:id="23"/>
      </w:r>
      <w:r w:rsidRPr="00D657E1">
        <w:rPr>
          <w:rFonts w:eastAsia="MS Mincho"/>
          <w:lang w:val="en-GB"/>
        </w:rPr>
        <w:t xml:space="preserve"> However, despite positive feedback from customers, </w:t>
      </w:r>
      <w:proofErr w:type="spellStart"/>
      <w:r w:rsidRPr="00D657E1">
        <w:rPr>
          <w:rFonts w:eastAsia="MS Mincho"/>
          <w:lang w:val="en-GB"/>
        </w:rPr>
        <w:t>Fastjet</w:t>
      </w:r>
      <w:proofErr w:type="spellEnd"/>
      <w:r w:rsidRPr="00D657E1">
        <w:rPr>
          <w:rFonts w:eastAsia="MS Mincho"/>
          <w:lang w:val="en-GB"/>
        </w:rPr>
        <w:t xml:space="preserve"> had continually reported operating losses since its inception (see Exhibit 1). Winter and his management team attributed </w:t>
      </w:r>
      <w:proofErr w:type="spellStart"/>
      <w:r w:rsidRPr="00D657E1">
        <w:rPr>
          <w:rFonts w:eastAsia="MS Mincho"/>
          <w:lang w:val="en-GB"/>
        </w:rPr>
        <w:t>Fastjet’s</w:t>
      </w:r>
      <w:proofErr w:type="spellEnd"/>
      <w:r w:rsidRPr="00D657E1">
        <w:rPr>
          <w:rFonts w:eastAsia="MS Mincho"/>
          <w:lang w:val="en-GB"/>
        </w:rPr>
        <w:t xml:space="preserve"> losses to its operations in Kenya, Angola, and Ghana. To free up cash, </w:t>
      </w:r>
      <w:proofErr w:type="spellStart"/>
      <w:r w:rsidRPr="00D657E1">
        <w:rPr>
          <w:rFonts w:eastAsia="MS Mincho"/>
          <w:lang w:val="en-GB"/>
        </w:rPr>
        <w:t>Fastjet</w:t>
      </w:r>
      <w:proofErr w:type="spellEnd"/>
      <w:r w:rsidRPr="00D657E1">
        <w:rPr>
          <w:rFonts w:eastAsia="MS Mincho"/>
          <w:lang w:val="en-GB"/>
        </w:rPr>
        <w:t xml:space="preserve"> terminated operations in these countries on June 24, 2014, and began solely focusing on </w:t>
      </w:r>
      <w:proofErr w:type="spellStart"/>
      <w:r w:rsidRPr="00D657E1">
        <w:rPr>
          <w:rFonts w:eastAsia="MS Mincho"/>
          <w:lang w:val="en-GB"/>
        </w:rPr>
        <w:t>Fastjet</w:t>
      </w:r>
      <w:proofErr w:type="spellEnd"/>
      <w:r w:rsidRPr="00D657E1">
        <w:rPr>
          <w:rFonts w:eastAsia="MS Mincho"/>
          <w:lang w:val="en-GB"/>
        </w:rPr>
        <w:t xml:space="preserve"> Tanzania.</w:t>
      </w:r>
      <w:r w:rsidRPr="00D657E1">
        <w:rPr>
          <w:rFonts w:eastAsia="MS Mincho"/>
          <w:vertAlign w:val="superscript"/>
          <w:lang w:val="en-GB"/>
        </w:rPr>
        <w:endnoteReference w:id="24"/>
      </w:r>
    </w:p>
    <w:p w14:paraId="46C67C92" w14:textId="77777777" w:rsidR="00C26152" w:rsidRPr="00D700E0" w:rsidRDefault="00C26152" w:rsidP="00246014">
      <w:pPr>
        <w:pStyle w:val="BodyTextMain"/>
        <w:rPr>
          <w:sz w:val="18"/>
          <w:szCs w:val="18"/>
          <w:lang w:val="en-GB"/>
        </w:rPr>
      </w:pPr>
    </w:p>
    <w:p w14:paraId="47A5B951" w14:textId="260F272B" w:rsidR="00C26152" w:rsidRPr="00D657E1" w:rsidRDefault="00C26152" w:rsidP="00246014">
      <w:pPr>
        <w:pStyle w:val="BodyTextMain"/>
        <w:rPr>
          <w:rFonts w:eastAsia="MS Mincho"/>
          <w:lang w:val="en-GB"/>
        </w:rPr>
      </w:pPr>
      <w:r w:rsidRPr="00D657E1">
        <w:rPr>
          <w:rFonts w:eastAsia="MS Mincho"/>
          <w:lang w:val="en-GB"/>
        </w:rPr>
        <w:t xml:space="preserve">To </w:t>
      </w:r>
      <w:r w:rsidR="00A904A7" w:rsidRPr="00D657E1">
        <w:rPr>
          <w:rFonts w:eastAsia="MS Mincho"/>
          <w:lang w:val="en-GB"/>
        </w:rPr>
        <w:t>fulfil</w:t>
      </w:r>
      <w:r w:rsidRPr="00D657E1">
        <w:rPr>
          <w:rFonts w:eastAsia="MS Mincho"/>
          <w:lang w:val="en-GB"/>
        </w:rPr>
        <w:t xml:space="preserve"> his goal of </w:t>
      </w:r>
      <w:r>
        <w:rPr>
          <w:rFonts w:eastAsia="MS Mincho"/>
          <w:lang w:val="en-GB"/>
        </w:rPr>
        <w:t xml:space="preserve">having </w:t>
      </w:r>
      <w:proofErr w:type="spellStart"/>
      <w:r>
        <w:rPr>
          <w:rFonts w:eastAsia="MS Mincho"/>
          <w:lang w:val="en-GB"/>
        </w:rPr>
        <w:t>Fastjet</w:t>
      </w:r>
      <w:proofErr w:type="spellEnd"/>
      <w:r>
        <w:rPr>
          <w:rFonts w:eastAsia="MS Mincho"/>
          <w:lang w:val="en-GB"/>
        </w:rPr>
        <w:t xml:space="preserve"> </w:t>
      </w:r>
      <w:r w:rsidRPr="00D657E1">
        <w:rPr>
          <w:rFonts w:eastAsia="MS Mincho"/>
          <w:lang w:val="en-GB"/>
        </w:rPr>
        <w:t>becom</w:t>
      </w:r>
      <w:r>
        <w:rPr>
          <w:rFonts w:eastAsia="MS Mincho"/>
          <w:lang w:val="en-GB"/>
        </w:rPr>
        <w:t>e</w:t>
      </w:r>
      <w:r w:rsidRPr="00D657E1">
        <w:rPr>
          <w:rFonts w:eastAsia="MS Mincho"/>
          <w:lang w:val="en-GB"/>
        </w:rPr>
        <w:t xml:space="preserve"> the most successful pan-African low-cost airline, </w:t>
      </w:r>
      <w:proofErr w:type="gramStart"/>
      <w:r w:rsidRPr="00D657E1">
        <w:rPr>
          <w:rFonts w:eastAsia="MS Mincho"/>
          <w:lang w:val="en-GB"/>
        </w:rPr>
        <w:t>Winter</w:t>
      </w:r>
      <w:proofErr w:type="gramEnd"/>
      <w:r w:rsidRPr="00D657E1">
        <w:rPr>
          <w:rFonts w:eastAsia="MS Mincho"/>
          <w:lang w:val="en-GB"/>
        </w:rPr>
        <w:t xml:space="preserve"> wondered whether now was a good time to expand. Before </w:t>
      </w:r>
      <w:proofErr w:type="spellStart"/>
      <w:r w:rsidRPr="00D657E1">
        <w:rPr>
          <w:rFonts w:eastAsia="MS Mincho"/>
          <w:lang w:val="en-GB"/>
        </w:rPr>
        <w:t>analyzing</w:t>
      </w:r>
      <w:proofErr w:type="spellEnd"/>
      <w:r w:rsidRPr="00D657E1">
        <w:rPr>
          <w:rFonts w:eastAsia="MS Mincho"/>
          <w:lang w:val="en-GB"/>
        </w:rPr>
        <w:t xml:space="preserve"> his options, he wanted to determine </w:t>
      </w:r>
      <w:proofErr w:type="spellStart"/>
      <w:r w:rsidRPr="00D657E1">
        <w:rPr>
          <w:rFonts w:eastAsia="MS Mincho"/>
          <w:lang w:val="en-GB"/>
        </w:rPr>
        <w:t>Fastjet’s</w:t>
      </w:r>
      <w:proofErr w:type="spellEnd"/>
      <w:r w:rsidRPr="00D657E1">
        <w:rPr>
          <w:rFonts w:eastAsia="MS Mincho"/>
          <w:lang w:val="en-GB"/>
        </w:rPr>
        <w:t xml:space="preserve"> financial position (see Exhibits 1, 2, and 3).</w:t>
      </w:r>
    </w:p>
    <w:p w14:paraId="3BC32ED2" w14:textId="77777777" w:rsidR="00C26152" w:rsidRPr="00D700E0" w:rsidRDefault="00C26152" w:rsidP="00246014">
      <w:pPr>
        <w:pStyle w:val="BodyTextMain"/>
        <w:rPr>
          <w:rFonts w:eastAsia="MS Mincho"/>
          <w:sz w:val="18"/>
          <w:szCs w:val="18"/>
          <w:lang w:val="en-GB"/>
        </w:rPr>
      </w:pPr>
    </w:p>
    <w:p w14:paraId="49E7F253" w14:textId="77777777" w:rsidR="00C26152" w:rsidRPr="00D700E0" w:rsidRDefault="00C26152" w:rsidP="00246014">
      <w:pPr>
        <w:rPr>
          <w:rFonts w:eastAsia="MS Mincho"/>
          <w:sz w:val="18"/>
          <w:szCs w:val="18"/>
          <w:lang w:val="en-GB"/>
        </w:rPr>
      </w:pPr>
    </w:p>
    <w:p w14:paraId="6248314B" w14:textId="77777777" w:rsidR="00C26152" w:rsidRPr="00D657E1" w:rsidRDefault="00C26152" w:rsidP="00246014">
      <w:pPr>
        <w:rPr>
          <w:rFonts w:ascii="Arial" w:eastAsia="MS Mincho" w:hAnsi="Arial" w:cs="Arial"/>
          <w:b/>
          <w:lang w:val="en-GB"/>
        </w:rPr>
      </w:pPr>
      <w:r w:rsidRPr="00D657E1">
        <w:rPr>
          <w:rFonts w:ascii="Arial" w:eastAsia="MS Mincho" w:hAnsi="Arial" w:cs="Arial"/>
          <w:b/>
          <w:lang w:val="en-GB"/>
        </w:rPr>
        <w:t>PROPOSED SOLUTIONS</w:t>
      </w:r>
    </w:p>
    <w:p w14:paraId="0697ED9B" w14:textId="77777777" w:rsidR="00C26152" w:rsidRPr="00D700E0" w:rsidRDefault="00C26152" w:rsidP="00246014">
      <w:pPr>
        <w:rPr>
          <w:sz w:val="18"/>
          <w:szCs w:val="18"/>
          <w:lang w:val="en-GB"/>
        </w:rPr>
      </w:pPr>
    </w:p>
    <w:p w14:paraId="0D83013E" w14:textId="23878299" w:rsidR="00C26152" w:rsidRPr="00D657E1" w:rsidRDefault="00C26152" w:rsidP="00246014">
      <w:pPr>
        <w:pStyle w:val="BodyTextMain"/>
        <w:rPr>
          <w:rFonts w:eastAsia="MS Mincho"/>
          <w:lang w:val="en-GB"/>
        </w:rPr>
      </w:pPr>
      <w:r w:rsidRPr="00D657E1">
        <w:rPr>
          <w:rFonts w:eastAsia="MS Mincho"/>
          <w:lang w:val="en-GB"/>
        </w:rPr>
        <w:t xml:space="preserve">To overcome </w:t>
      </w:r>
      <w:proofErr w:type="spellStart"/>
      <w:r w:rsidRPr="00D657E1">
        <w:rPr>
          <w:rFonts w:eastAsia="MS Mincho"/>
          <w:lang w:val="en-GB"/>
        </w:rPr>
        <w:t>Fastjet’s</w:t>
      </w:r>
      <w:proofErr w:type="spellEnd"/>
      <w:r w:rsidRPr="00D657E1">
        <w:rPr>
          <w:rFonts w:eastAsia="MS Mincho"/>
          <w:lang w:val="en-GB"/>
        </w:rPr>
        <w:t xml:space="preserve"> recent expansion challenges and financial losses, </w:t>
      </w:r>
      <w:proofErr w:type="gramStart"/>
      <w:r w:rsidRPr="00D657E1">
        <w:rPr>
          <w:rFonts w:eastAsia="MS Mincho"/>
          <w:lang w:val="en-GB"/>
        </w:rPr>
        <w:t>Winter</w:t>
      </w:r>
      <w:proofErr w:type="gramEnd"/>
      <w:r w:rsidRPr="00D657E1">
        <w:rPr>
          <w:rFonts w:eastAsia="MS Mincho"/>
          <w:lang w:val="en-GB"/>
        </w:rPr>
        <w:t xml:space="preserve"> needed to decide whether to expand to Kenya, develop a </w:t>
      </w:r>
      <w:proofErr w:type="spellStart"/>
      <w:r w:rsidRPr="00D657E1">
        <w:rPr>
          <w:rFonts w:eastAsia="MS Mincho"/>
          <w:lang w:val="en-GB"/>
        </w:rPr>
        <w:t>Fastjet</w:t>
      </w:r>
      <w:proofErr w:type="spellEnd"/>
      <w:r w:rsidRPr="00D657E1">
        <w:rPr>
          <w:rFonts w:eastAsia="MS Mincho"/>
          <w:lang w:val="en-GB"/>
        </w:rPr>
        <w:t xml:space="preserve"> base in Zambia, or maintain the focus on domestic flights. When </w:t>
      </w:r>
      <w:r w:rsidRPr="00D657E1">
        <w:rPr>
          <w:rFonts w:eastAsia="MS Mincho"/>
          <w:lang w:val="en-GB"/>
        </w:rPr>
        <w:lastRenderedPageBreak/>
        <w:t xml:space="preserve">considering the options, </w:t>
      </w:r>
      <w:proofErr w:type="gramStart"/>
      <w:r w:rsidRPr="00D657E1">
        <w:rPr>
          <w:rFonts w:eastAsia="MS Mincho"/>
          <w:lang w:val="en-GB"/>
        </w:rPr>
        <w:t>Winter</w:t>
      </w:r>
      <w:proofErr w:type="gramEnd"/>
      <w:r w:rsidRPr="00D657E1">
        <w:rPr>
          <w:rFonts w:eastAsia="MS Mincho"/>
          <w:lang w:val="en-GB"/>
        </w:rPr>
        <w:t xml:space="preserve"> would </w:t>
      </w:r>
      <w:r>
        <w:rPr>
          <w:rFonts w:eastAsia="MS Mincho"/>
          <w:lang w:val="en-GB"/>
        </w:rPr>
        <w:t>need</w:t>
      </w:r>
      <w:r w:rsidRPr="00D657E1">
        <w:rPr>
          <w:rFonts w:eastAsia="MS Mincho"/>
          <w:lang w:val="en-GB"/>
        </w:rPr>
        <w:t xml:space="preserve"> to take into account how each </w:t>
      </w:r>
      <w:r>
        <w:rPr>
          <w:rFonts w:eastAsia="MS Mincho"/>
          <w:lang w:val="en-GB"/>
        </w:rPr>
        <w:t xml:space="preserve">option </w:t>
      </w:r>
      <w:r w:rsidRPr="00D657E1">
        <w:rPr>
          <w:rFonts w:eastAsia="MS Mincho"/>
          <w:lang w:val="en-GB"/>
        </w:rPr>
        <w:t xml:space="preserve">would align with </w:t>
      </w:r>
      <w:proofErr w:type="spellStart"/>
      <w:r w:rsidRPr="00D657E1">
        <w:rPr>
          <w:rFonts w:eastAsia="MS Mincho"/>
          <w:lang w:val="en-GB"/>
        </w:rPr>
        <w:t>Fastjet’s</w:t>
      </w:r>
      <w:proofErr w:type="spellEnd"/>
      <w:r w:rsidRPr="00D657E1">
        <w:rPr>
          <w:rFonts w:eastAsia="MS Mincho"/>
          <w:lang w:val="en-GB"/>
        </w:rPr>
        <w:t xml:space="preserve"> low-cost model and short-term goals, and would position the airline company for long-term success.</w:t>
      </w:r>
    </w:p>
    <w:p w14:paraId="75D36842" w14:textId="77777777" w:rsidR="00C26152" w:rsidRPr="00D657E1" w:rsidRDefault="00C26152" w:rsidP="00246014">
      <w:pPr>
        <w:rPr>
          <w:rFonts w:eastAsia="MS Mincho"/>
          <w:sz w:val="22"/>
          <w:szCs w:val="22"/>
          <w:lang w:val="en-GB"/>
        </w:rPr>
      </w:pPr>
    </w:p>
    <w:p w14:paraId="4A53A9C8" w14:textId="77777777" w:rsidR="00C26152" w:rsidRPr="00D657E1" w:rsidRDefault="00C26152" w:rsidP="00246014">
      <w:pPr>
        <w:rPr>
          <w:rFonts w:eastAsia="MS Mincho"/>
          <w:sz w:val="22"/>
          <w:szCs w:val="22"/>
          <w:lang w:val="en-GB"/>
        </w:rPr>
      </w:pPr>
    </w:p>
    <w:p w14:paraId="06A5369A" w14:textId="0899CF84" w:rsidR="00C26152" w:rsidRPr="00D657E1" w:rsidRDefault="00C26152" w:rsidP="00246014">
      <w:pPr>
        <w:rPr>
          <w:rFonts w:ascii="Arial" w:eastAsia="MS Mincho" w:hAnsi="Arial" w:cs="Arial"/>
          <w:b/>
          <w:lang w:val="en-GB"/>
        </w:rPr>
      </w:pPr>
      <w:r w:rsidRPr="00D657E1">
        <w:rPr>
          <w:rFonts w:ascii="Arial" w:eastAsia="MS Mincho" w:hAnsi="Arial" w:cs="Arial"/>
          <w:b/>
          <w:iCs/>
          <w:lang w:val="en-GB"/>
        </w:rPr>
        <w:t>Option 1: Partnership in Kenya</w:t>
      </w:r>
    </w:p>
    <w:p w14:paraId="0B2C565D" w14:textId="77777777" w:rsidR="00C26152" w:rsidRPr="00D657E1" w:rsidRDefault="00C26152" w:rsidP="00246014">
      <w:pPr>
        <w:rPr>
          <w:rFonts w:eastAsia="MS Mincho"/>
          <w:sz w:val="22"/>
          <w:szCs w:val="22"/>
          <w:lang w:val="en-GB"/>
        </w:rPr>
      </w:pPr>
    </w:p>
    <w:p w14:paraId="3EF9EBE7" w14:textId="65100F67" w:rsidR="00C26152" w:rsidRPr="00D657E1" w:rsidRDefault="00C26152" w:rsidP="00246014">
      <w:pPr>
        <w:pStyle w:val="BodyTextMain"/>
        <w:rPr>
          <w:rFonts w:eastAsia="MS Mincho"/>
          <w:lang w:val="en-GB"/>
        </w:rPr>
      </w:pPr>
      <w:r w:rsidRPr="00D657E1">
        <w:rPr>
          <w:rFonts w:eastAsia="MS Mincho"/>
          <w:lang w:val="en-GB"/>
        </w:rPr>
        <w:t xml:space="preserve">Kenya was located north of Tanzania and had a population of 45 million. Kenya was known as </w:t>
      </w:r>
      <w:r w:rsidRPr="00D657E1">
        <w:rPr>
          <w:rFonts w:eastAsia="MS Mincho"/>
          <w:shd w:val="clear" w:color="auto" w:fill="FFFFFF"/>
          <w:lang w:val="en-GB"/>
        </w:rPr>
        <w:t xml:space="preserve">Africa’s hub for financial, communication, and transportation services, and had positive economic prospects, with a gross domestic product of 4.7 per cent in 2013. </w:t>
      </w:r>
      <w:r w:rsidRPr="00D657E1">
        <w:rPr>
          <w:rFonts w:eastAsia="MS Mincho"/>
          <w:lang w:val="en-GB"/>
        </w:rPr>
        <w:t xml:space="preserve">As of 2014, 1.2 million Kenyan passengers flew annually, making Kenya the fifth-largest domestic market in Africa based on seat capacity. This </w:t>
      </w:r>
      <w:r>
        <w:rPr>
          <w:rFonts w:eastAsia="MS Mincho"/>
          <w:lang w:val="en-GB"/>
        </w:rPr>
        <w:t xml:space="preserve">information </w:t>
      </w:r>
      <w:r w:rsidRPr="00D657E1">
        <w:rPr>
          <w:rFonts w:eastAsia="MS Mincho"/>
          <w:lang w:val="en-GB"/>
        </w:rPr>
        <w:t xml:space="preserve">was promising for </w:t>
      </w:r>
      <w:proofErr w:type="spellStart"/>
      <w:r w:rsidRPr="00D657E1">
        <w:rPr>
          <w:rFonts w:eastAsia="MS Mincho"/>
          <w:lang w:val="en-GB"/>
        </w:rPr>
        <w:t>Fastjet</w:t>
      </w:r>
      <w:proofErr w:type="spellEnd"/>
      <w:r w:rsidRPr="00D657E1">
        <w:rPr>
          <w:rFonts w:eastAsia="MS Mincho"/>
          <w:lang w:val="en-GB"/>
        </w:rPr>
        <w:t>, wh</w:t>
      </w:r>
      <w:r>
        <w:rPr>
          <w:rFonts w:eastAsia="MS Mincho"/>
          <w:lang w:val="en-GB"/>
        </w:rPr>
        <w:t>ich</w:t>
      </w:r>
      <w:r w:rsidRPr="00D657E1">
        <w:rPr>
          <w:rFonts w:eastAsia="MS Mincho"/>
          <w:lang w:val="en-GB"/>
        </w:rPr>
        <w:t xml:space="preserve"> expected </w:t>
      </w:r>
      <w:r>
        <w:rPr>
          <w:rFonts w:eastAsia="MS Mincho"/>
          <w:lang w:val="en-GB"/>
        </w:rPr>
        <w:t>to</w:t>
      </w:r>
      <w:r w:rsidRPr="00D657E1">
        <w:rPr>
          <w:rFonts w:eastAsia="MS Mincho"/>
          <w:lang w:val="en-GB"/>
        </w:rPr>
        <w:t xml:space="preserve"> increase air traffic by offering low-cost plane tickets to those who currently travelled long distances by bus.</w:t>
      </w:r>
    </w:p>
    <w:p w14:paraId="14DBC6A6" w14:textId="77777777" w:rsidR="00C26152" w:rsidRPr="00D657E1" w:rsidRDefault="00C26152" w:rsidP="00246014">
      <w:pPr>
        <w:rPr>
          <w:sz w:val="22"/>
          <w:szCs w:val="22"/>
          <w:lang w:val="en-GB"/>
        </w:rPr>
      </w:pPr>
    </w:p>
    <w:p w14:paraId="4E609DF4" w14:textId="294B8DCA" w:rsidR="00C26152" w:rsidRPr="00244383" w:rsidRDefault="00C26152" w:rsidP="00246014">
      <w:pPr>
        <w:pStyle w:val="BodyTextMain"/>
        <w:rPr>
          <w:rFonts w:eastAsia="MS Mincho"/>
          <w:spacing w:val="-2"/>
          <w:kern w:val="22"/>
          <w:lang w:val="en-GB"/>
        </w:rPr>
      </w:pPr>
      <w:proofErr w:type="spellStart"/>
      <w:r w:rsidRPr="00244383">
        <w:rPr>
          <w:rFonts w:eastAsia="MS Mincho"/>
          <w:spacing w:val="-2"/>
          <w:kern w:val="22"/>
          <w:lang w:val="en-GB"/>
        </w:rPr>
        <w:t>Jambojet</w:t>
      </w:r>
      <w:proofErr w:type="spellEnd"/>
      <w:r w:rsidRPr="00244383">
        <w:rPr>
          <w:rFonts w:eastAsia="MS Mincho"/>
          <w:spacing w:val="-2"/>
          <w:kern w:val="22"/>
          <w:lang w:val="en-GB"/>
        </w:rPr>
        <w:t xml:space="preserve"> Ltd., a subsidiary of Kenya Airways Ltd., had recently entered Kenya as a low-cost carrier, and planned to focus solely on the domestic market.</w:t>
      </w:r>
      <w:r w:rsidRPr="00244383">
        <w:rPr>
          <w:rFonts w:eastAsia="MS Mincho"/>
          <w:spacing w:val="-2"/>
          <w:kern w:val="22"/>
          <w:vertAlign w:val="superscript"/>
          <w:lang w:val="en-GB"/>
        </w:rPr>
        <w:endnoteReference w:id="25"/>
      </w:r>
      <w:r w:rsidRPr="00244383">
        <w:rPr>
          <w:rFonts w:eastAsia="MS Mincho"/>
          <w:spacing w:val="-2"/>
          <w:kern w:val="22"/>
          <w:lang w:val="en-GB"/>
        </w:rPr>
        <w:t xml:space="preserve"> Winter saw this situation as an opportunity to access the Kenyan market by working with </w:t>
      </w:r>
      <w:proofErr w:type="spellStart"/>
      <w:r w:rsidRPr="00244383">
        <w:rPr>
          <w:rFonts w:eastAsia="MS Mincho"/>
          <w:spacing w:val="-2"/>
          <w:kern w:val="22"/>
          <w:lang w:val="en-GB"/>
        </w:rPr>
        <w:t>Jambojet</w:t>
      </w:r>
      <w:proofErr w:type="spellEnd"/>
      <w:r w:rsidRPr="00244383">
        <w:rPr>
          <w:rFonts w:eastAsia="MS Mincho"/>
          <w:spacing w:val="-2"/>
          <w:kern w:val="22"/>
          <w:lang w:val="en-GB"/>
        </w:rPr>
        <w:t xml:space="preserve"> Ltd. to offer connecting flights. Although this option meant </w:t>
      </w:r>
      <w:proofErr w:type="spellStart"/>
      <w:r w:rsidRPr="00244383">
        <w:rPr>
          <w:rFonts w:eastAsia="MS Mincho"/>
          <w:spacing w:val="-2"/>
          <w:kern w:val="22"/>
          <w:lang w:val="en-GB"/>
        </w:rPr>
        <w:t>Fastjet</w:t>
      </w:r>
      <w:proofErr w:type="spellEnd"/>
      <w:r w:rsidRPr="00244383">
        <w:rPr>
          <w:rFonts w:eastAsia="MS Mincho"/>
          <w:spacing w:val="-2"/>
          <w:kern w:val="22"/>
          <w:lang w:val="en-GB"/>
        </w:rPr>
        <w:t xml:space="preserve"> would not need to spend time developing the infrastructure for establishing a base, </w:t>
      </w:r>
      <w:proofErr w:type="gramStart"/>
      <w:r w:rsidRPr="00244383">
        <w:rPr>
          <w:rFonts w:eastAsia="MS Mincho"/>
          <w:spacing w:val="-2"/>
          <w:kern w:val="22"/>
          <w:lang w:val="en-GB"/>
        </w:rPr>
        <w:t>Winter</w:t>
      </w:r>
      <w:proofErr w:type="gramEnd"/>
      <w:r w:rsidRPr="00244383">
        <w:rPr>
          <w:rFonts w:eastAsia="MS Mincho"/>
          <w:spacing w:val="-2"/>
          <w:kern w:val="22"/>
          <w:lang w:val="en-GB"/>
        </w:rPr>
        <w:t xml:space="preserve"> was co</w:t>
      </w:r>
      <w:r w:rsidR="00A904A7" w:rsidRPr="00244383">
        <w:rPr>
          <w:rFonts w:eastAsia="MS Mincho"/>
          <w:spacing w:val="-2"/>
          <w:kern w:val="22"/>
          <w:lang w:val="en-GB"/>
        </w:rPr>
        <w:t>ncerned about the</w:t>
      </w:r>
      <w:r w:rsidRPr="00244383">
        <w:rPr>
          <w:spacing w:val="-2"/>
          <w:kern w:val="22"/>
          <w:lang w:val="en-GB"/>
        </w:rPr>
        <w:t xml:space="preserve"> Kenyan government’s strong regulations in the airline industry</w:t>
      </w:r>
      <w:r w:rsidRPr="00244383">
        <w:rPr>
          <w:rFonts w:eastAsia="MS Mincho"/>
          <w:spacing w:val="-2"/>
          <w:kern w:val="22"/>
          <w:lang w:val="en-GB"/>
        </w:rPr>
        <w:t xml:space="preserve"> and how </w:t>
      </w:r>
      <w:proofErr w:type="spellStart"/>
      <w:r w:rsidRPr="00244383">
        <w:rPr>
          <w:rFonts w:eastAsia="MS Mincho"/>
          <w:spacing w:val="-2"/>
          <w:kern w:val="22"/>
          <w:lang w:val="en-GB"/>
        </w:rPr>
        <w:t>Fastjet</w:t>
      </w:r>
      <w:proofErr w:type="spellEnd"/>
      <w:r w:rsidRPr="00244383">
        <w:rPr>
          <w:rFonts w:eastAsia="MS Mincho"/>
          <w:spacing w:val="-2"/>
          <w:kern w:val="22"/>
          <w:lang w:val="en-GB"/>
        </w:rPr>
        <w:t xml:space="preserve"> should respond.</w:t>
      </w:r>
    </w:p>
    <w:p w14:paraId="6B9876B3" w14:textId="77777777" w:rsidR="00C26152" w:rsidRPr="00D657E1" w:rsidRDefault="00C26152" w:rsidP="00246014">
      <w:pPr>
        <w:rPr>
          <w:rFonts w:eastAsia="MS Mincho"/>
          <w:sz w:val="22"/>
          <w:szCs w:val="22"/>
          <w:lang w:val="en-GB"/>
        </w:rPr>
      </w:pPr>
    </w:p>
    <w:p w14:paraId="530EA1CB" w14:textId="77777777" w:rsidR="00C26152" w:rsidRPr="00D657E1" w:rsidRDefault="00C26152" w:rsidP="00246014">
      <w:pPr>
        <w:rPr>
          <w:rFonts w:eastAsia="MS Mincho"/>
          <w:sz w:val="22"/>
          <w:szCs w:val="22"/>
          <w:lang w:val="en-GB"/>
        </w:rPr>
      </w:pPr>
    </w:p>
    <w:p w14:paraId="7361D0D2" w14:textId="193A0C70" w:rsidR="00C26152" w:rsidRPr="00D657E1" w:rsidRDefault="00C26152" w:rsidP="00246014">
      <w:pPr>
        <w:rPr>
          <w:rFonts w:ascii="Arial" w:eastAsia="MS Mincho" w:hAnsi="Arial" w:cs="Arial"/>
          <w:b/>
          <w:lang w:val="en-GB"/>
        </w:rPr>
      </w:pPr>
      <w:r w:rsidRPr="00D657E1">
        <w:rPr>
          <w:rFonts w:ascii="Arial" w:eastAsia="MS Mincho" w:hAnsi="Arial" w:cs="Arial"/>
          <w:b/>
          <w:iCs/>
          <w:lang w:val="en-GB"/>
        </w:rPr>
        <w:t xml:space="preserve">Option 2: </w:t>
      </w:r>
      <w:proofErr w:type="spellStart"/>
      <w:r w:rsidRPr="00D657E1">
        <w:rPr>
          <w:rFonts w:ascii="Arial" w:eastAsia="MS Mincho" w:hAnsi="Arial" w:cs="Arial"/>
          <w:b/>
          <w:iCs/>
          <w:lang w:val="en-GB"/>
        </w:rPr>
        <w:t>Fastjet</w:t>
      </w:r>
      <w:proofErr w:type="spellEnd"/>
      <w:r w:rsidRPr="00D657E1">
        <w:rPr>
          <w:rFonts w:ascii="Arial" w:eastAsia="MS Mincho" w:hAnsi="Arial" w:cs="Arial"/>
          <w:b/>
          <w:iCs/>
          <w:lang w:val="en-GB"/>
        </w:rPr>
        <w:t xml:space="preserve"> Zambia</w:t>
      </w:r>
    </w:p>
    <w:p w14:paraId="0A94ED98" w14:textId="77777777" w:rsidR="00C26152" w:rsidRPr="00D657E1" w:rsidRDefault="00C26152" w:rsidP="00246014">
      <w:pPr>
        <w:rPr>
          <w:rFonts w:eastAsia="MS Mincho"/>
          <w:sz w:val="22"/>
          <w:szCs w:val="22"/>
          <w:lang w:val="en-GB"/>
        </w:rPr>
      </w:pPr>
    </w:p>
    <w:p w14:paraId="0E6BA9E0" w14:textId="1BA25867" w:rsidR="00C26152" w:rsidRPr="00D657E1" w:rsidRDefault="00C26152" w:rsidP="00246014">
      <w:pPr>
        <w:pStyle w:val="BodyTextMain"/>
        <w:rPr>
          <w:rFonts w:eastAsia="MS Mincho"/>
          <w:lang w:val="en-GB"/>
        </w:rPr>
      </w:pPr>
      <w:r w:rsidRPr="00D657E1">
        <w:rPr>
          <w:rFonts w:eastAsia="MS Mincho"/>
          <w:lang w:val="en-GB"/>
        </w:rPr>
        <w:t>Zambia was located southwest of Tanzania and had a population of about 15 million.</w:t>
      </w:r>
      <w:r w:rsidRPr="00D657E1">
        <w:rPr>
          <w:rFonts w:eastAsia="MS Mincho"/>
          <w:vertAlign w:val="superscript"/>
          <w:lang w:val="en-GB"/>
        </w:rPr>
        <w:endnoteReference w:id="26"/>
      </w:r>
      <w:r w:rsidRPr="00D657E1">
        <w:rPr>
          <w:rFonts w:eastAsia="MS Mincho"/>
          <w:lang w:val="en-GB"/>
        </w:rPr>
        <w:t xml:space="preserve"> Compared </w:t>
      </w:r>
      <w:r>
        <w:rPr>
          <w:rFonts w:eastAsia="MS Mincho"/>
          <w:lang w:val="en-GB"/>
        </w:rPr>
        <w:t>with</w:t>
      </w:r>
      <w:r w:rsidRPr="00D657E1">
        <w:rPr>
          <w:rFonts w:eastAsia="MS Mincho"/>
          <w:lang w:val="en-GB"/>
        </w:rPr>
        <w:t xml:space="preserve"> other African countries, Zambia was economically and politically stable and </w:t>
      </w:r>
      <w:r>
        <w:rPr>
          <w:rFonts w:eastAsia="MS Mincho"/>
          <w:lang w:val="en-GB"/>
        </w:rPr>
        <w:t>imposed fewer</w:t>
      </w:r>
      <w:r w:rsidRPr="00D657E1">
        <w:rPr>
          <w:rFonts w:eastAsia="MS Mincho"/>
          <w:lang w:val="en-GB"/>
        </w:rPr>
        <w:t xml:space="preserve"> airline regulations. Although Zambia had a smaller customer base, </w:t>
      </w:r>
      <w:proofErr w:type="gramStart"/>
      <w:r w:rsidRPr="00D657E1">
        <w:rPr>
          <w:rFonts w:eastAsia="MS Mincho"/>
          <w:lang w:val="en-GB"/>
        </w:rPr>
        <w:t>Winter</w:t>
      </w:r>
      <w:proofErr w:type="gramEnd"/>
      <w:r w:rsidRPr="00D657E1">
        <w:rPr>
          <w:rFonts w:eastAsia="MS Mincho"/>
          <w:lang w:val="en-GB"/>
        </w:rPr>
        <w:t xml:space="preserve"> saw </w:t>
      </w:r>
      <w:r w:rsidR="00A854C2">
        <w:rPr>
          <w:rFonts w:eastAsia="MS Mincho"/>
          <w:lang w:val="en-GB"/>
        </w:rPr>
        <w:t>the country</w:t>
      </w:r>
      <w:r w:rsidR="00A854C2" w:rsidRPr="00D657E1">
        <w:rPr>
          <w:rFonts w:eastAsia="MS Mincho"/>
          <w:lang w:val="en-GB"/>
        </w:rPr>
        <w:t xml:space="preserve"> </w:t>
      </w:r>
      <w:r w:rsidRPr="00D657E1">
        <w:rPr>
          <w:rFonts w:eastAsia="MS Mincho"/>
          <w:lang w:val="en-GB"/>
        </w:rPr>
        <w:t xml:space="preserve">as </w:t>
      </w:r>
      <w:r w:rsidR="00A854C2">
        <w:rPr>
          <w:rFonts w:eastAsia="MS Mincho"/>
          <w:lang w:val="en-GB"/>
        </w:rPr>
        <w:t xml:space="preserve">offering </w:t>
      </w:r>
      <w:r w:rsidRPr="00D657E1">
        <w:rPr>
          <w:rFonts w:eastAsia="MS Mincho"/>
          <w:lang w:val="en-GB"/>
        </w:rPr>
        <w:t xml:space="preserve">a great opportunity for entering the market because it did not have a low-cost carrier. He had already been in discussions with the government, </w:t>
      </w:r>
      <w:r>
        <w:rPr>
          <w:rFonts w:eastAsia="MS Mincho"/>
          <w:lang w:val="en-GB"/>
        </w:rPr>
        <w:t>which</w:t>
      </w:r>
      <w:r w:rsidRPr="00D657E1">
        <w:rPr>
          <w:rFonts w:eastAsia="MS Mincho"/>
          <w:lang w:val="en-GB"/>
        </w:rPr>
        <w:t xml:space="preserve"> was supportive of </w:t>
      </w:r>
      <w:proofErr w:type="spellStart"/>
      <w:r w:rsidRPr="00D657E1">
        <w:rPr>
          <w:rFonts w:eastAsia="MS Mincho"/>
          <w:lang w:val="en-GB"/>
        </w:rPr>
        <w:t>Fastjet</w:t>
      </w:r>
      <w:proofErr w:type="spellEnd"/>
      <w:r w:rsidRPr="00D657E1">
        <w:rPr>
          <w:rFonts w:eastAsia="MS Mincho"/>
          <w:lang w:val="en-GB"/>
        </w:rPr>
        <w:t xml:space="preserve"> bringing low-cost flights to Zambia.</w:t>
      </w:r>
    </w:p>
    <w:p w14:paraId="5360BF0E" w14:textId="77777777" w:rsidR="00C26152" w:rsidRPr="00D657E1" w:rsidRDefault="00C26152" w:rsidP="00246014">
      <w:pPr>
        <w:pStyle w:val="BodyTextMain"/>
        <w:rPr>
          <w:rFonts w:eastAsia="MS Mincho"/>
          <w:lang w:val="en-GB"/>
        </w:rPr>
      </w:pPr>
    </w:p>
    <w:p w14:paraId="418E5D45" w14:textId="26E8070C" w:rsidR="00C26152" w:rsidRPr="00D657E1" w:rsidRDefault="00C26152" w:rsidP="00246014">
      <w:pPr>
        <w:pStyle w:val="BodyTextMain"/>
        <w:rPr>
          <w:rFonts w:eastAsia="MS Mincho"/>
          <w:lang w:val="en-GB"/>
        </w:rPr>
      </w:pPr>
      <w:bookmarkStart w:id="0" w:name="_GoBack"/>
      <w:r w:rsidRPr="00D657E1">
        <w:rPr>
          <w:rFonts w:eastAsia="MS Mincho"/>
          <w:lang w:val="en-GB"/>
        </w:rPr>
        <w:t xml:space="preserve">To pursue this option, </w:t>
      </w:r>
      <w:proofErr w:type="gramStart"/>
      <w:r w:rsidRPr="00D657E1">
        <w:rPr>
          <w:rFonts w:eastAsia="MS Mincho"/>
          <w:lang w:val="en-GB"/>
        </w:rPr>
        <w:t>Winter</w:t>
      </w:r>
      <w:proofErr w:type="gramEnd"/>
      <w:r w:rsidRPr="00D657E1">
        <w:rPr>
          <w:rFonts w:eastAsia="MS Mincho"/>
          <w:lang w:val="en-GB"/>
        </w:rPr>
        <w:t xml:space="preserve"> would </w:t>
      </w:r>
      <w:r>
        <w:rPr>
          <w:rFonts w:eastAsia="MS Mincho"/>
          <w:lang w:val="en-GB"/>
        </w:rPr>
        <w:t>need</w:t>
      </w:r>
      <w:r w:rsidRPr="00D657E1">
        <w:rPr>
          <w:rFonts w:eastAsia="MS Mincho"/>
          <w:lang w:val="en-GB"/>
        </w:rPr>
        <w:t xml:space="preserve"> to purchase new planes. He was looking to source two </w:t>
      </w:r>
      <w:r w:rsidRPr="00D657E1">
        <w:rPr>
          <w:rFonts w:eastAsia="MS Mincho"/>
          <w:color w:val="333333"/>
          <w:shd w:val="clear" w:color="auto" w:fill="FFFFFF"/>
          <w:lang w:val="en-GB"/>
        </w:rPr>
        <w:t xml:space="preserve">A319 models </w:t>
      </w:r>
      <w:r w:rsidRPr="00D657E1">
        <w:rPr>
          <w:rFonts w:eastAsia="MS Mincho"/>
          <w:lang w:val="en-GB"/>
        </w:rPr>
        <w:t xml:space="preserve">between seven and nine years old, which would cost US$40 million each. </w:t>
      </w:r>
      <w:r>
        <w:rPr>
          <w:rFonts w:eastAsia="MS Mincho"/>
          <w:lang w:val="en-GB"/>
        </w:rPr>
        <w:t>The Zambia hub</w:t>
      </w:r>
      <w:r w:rsidRPr="00D657E1">
        <w:rPr>
          <w:rFonts w:eastAsia="MS Mincho"/>
          <w:lang w:val="en-GB"/>
        </w:rPr>
        <w:t xml:space="preserve"> would </w:t>
      </w:r>
      <w:r>
        <w:rPr>
          <w:rFonts w:eastAsia="MS Mincho"/>
          <w:lang w:val="en-GB"/>
        </w:rPr>
        <w:t xml:space="preserve">also </w:t>
      </w:r>
      <w:r w:rsidRPr="00D657E1">
        <w:rPr>
          <w:rFonts w:eastAsia="MS Mincho"/>
          <w:lang w:val="en-GB"/>
        </w:rPr>
        <w:t xml:space="preserve">require </w:t>
      </w:r>
      <w:r>
        <w:rPr>
          <w:rFonts w:eastAsia="MS Mincho"/>
          <w:lang w:val="en-GB"/>
        </w:rPr>
        <w:t xml:space="preserve">a </w:t>
      </w:r>
      <w:r w:rsidRPr="00D657E1">
        <w:rPr>
          <w:rFonts w:eastAsia="MS Mincho"/>
          <w:lang w:val="en-GB"/>
        </w:rPr>
        <w:t>US$5 million</w:t>
      </w:r>
      <w:r>
        <w:rPr>
          <w:rFonts w:eastAsia="MS Mincho"/>
          <w:lang w:val="en-GB"/>
        </w:rPr>
        <w:t xml:space="preserve"> investment</w:t>
      </w:r>
      <w:r w:rsidRPr="00D657E1">
        <w:rPr>
          <w:rFonts w:eastAsia="MS Mincho"/>
          <w:lang w:val="en-GB"/>
        </w:rPr>
        <w:t xml:space="preserve"> </w:t>
      </w:r>
      <w:r>
        <w:rPr>
          <w:rFonts w:eastAsia="MS Mincho"/>
          <w:lang w:val="en-GB"/>
        </w:rPr>
        <w:t>for</w:t>
      </w:r>
      <w:r w:rsidRPr="00D657E1">
        <w:rPr>
          <w:rFonts w:eastAsia="MS Mincho"/>
          <w:lang w:val="en-GB"/>
        </w:rPr>
        <w:t xml:space="preserve"> marketing and development costs. The costs incurred during the first year would include salaries and wages of US$4.7 million and a fuel expense of US$1.5 million. Winter and his management team estimated that expanding to Zambia would bring in US$11.2 million in revenue </w:t>
      </w:r>
      <w:r>
        <w:rPr>
          <w:rFonts w:eastAsia="MS Mincho"/>
          <w:lang w:val="en-GB"/>
        </w:rPr>
        <w:t>in</w:t>
      </w:r>
      <w:r w:rsidRPr="00D657E1">
        <w:rPr>
          <w:rFonts w:eastAsia="MS Mincho"/>
          <w:lang w:val="en-GB"/>
        </w:rPr>
        <w:t xml:space="preserve"> the first year.</w:t>
      </w:r>
      <w:bookmarkEnd w:id="0"/>
    </w:p>
    <w:p w14:paraId="0D9CEA19" w14:textId="77777777" w:rsidR="00C26152" w:rsidRPr="00D657E1" w:rsidRDefault="00C26152" w:rsidP="00246014">
      <w:pPr>
        <w:pStyle w:val="BodyTextMain"/>
        <w:rPr>
          <w:rFonts w:eastAsia="MS Mincho"/>
          <w:lang w:val="en-GB"/>
        </w:rPr>
      </w:pPr>
    </w:p>
    <w:p w14:paraId="57CD863D" w14:textId="3A25A6C3" w:rsidR="00C26152" w:rsidRPr="00D657E1" w:rsidRDefault="00C26152" w:rsidP="00246014">
      <w:pPr>
        <w:pStyle w:val="BodyTextMain"/>
        <w:rPr>
          <w:rFonts w:eastAsia="MS Mincho"/>
          <w:lang w:val="en-GB"/>
        </w:rPr>
      </w:pPr>
      <w:r w:rsidRPr="00D657E1">
        <w:rPr>
          <w:rFonts w:eastAsia="MS Mincho"/>
          <w:lang w:val="en-GB"/>
        </w:rPr>
        <w:t>Expansion to Zambia would also require approval from South African authorities because South Africa was Zambia’s largest market, accounting for 37 per cent of total international seat capacity.</w:t>
      </w:r>
      <w:r w:rsidRPr="00D657E1">
        <w:rPr>
          <w:rFonts w:eastAsia="MS Mincho"/>
          <w:vertAlign w:val="superscript"/>
          <w:lang w:val="en-GB"/>
        </w:rPr>
        <w:endnoteReference w:id="27"/>
      </w:r>
      <w:r w:rsidRPr="00D657E1">
        <w:rPr>
          <w:rFonts w:eastAsia="MS Mincho"/>
          <w:lang w:val="en-GB"/>
        </w:rPr>
        <w:t xml:space="preserve"> Although </w:t>
      </w:r>
      <w:proofErr w:type="gramStart"/>
      <w:r w:rsidRPr="00D657E1">
        <w:rPr>
          <w:rFonts w:eastAsia="MS Mincho"/>
          <w:lang w:val="en-GB"/>
        </w:rPr>
        <w:t>Winter</w:t>
      </w:r>
      <w:proofErr w:type="gramEnd"/>
      <w:r w:rsidRPr="00D657E1">
        <w:rPr>
          <w:rFonts w:eastAsia="MS Mincho"/>
          <w:lang w:val="en-GB"/>
        </w:rPr>
        <w:t xml:space="preserve"> had experience working with South Africa—during </w:t>
      </w:r>
      <w:proofErr w:type="spellStart"/>
      <w:r w:rsidRPr="00D657E1">
        <w:rPr>
          <w:rFonts w:eastAsia="MS Mincho"/>
          <w:lang w:val="en-GB"/>
        </w:rPr>
        <w:t>Fastjet’s</w:t>
      </w:r>
      <w:proofErr w:type="spellEnd"/>
      <w:r w:rsidRPr="00D657E1">
        <w:rPr>
          <w:rFonts w:eastAsia="MS Mincho"/>
          <w:lang w:val="en-GB"/>
        </w:rPr>
        <w:t xml:space="preserve"> launch in Tanzania—it had been a long and tedious process. He wanted this expansion to happen quickly, and he feared he would encounter similar delays with </w:t>
      </w:r>
      <w:proofErr w:type="spellStart"/>
      <w:r w:rsidRPr="00D657E1">
        <w:rPr>
          <w:rFonts w:eastAsia="MS Mincho"/>
          <w:lang w:val="en-GB"/>
        </w:rPr>
        <w:t>Fastjet</w:t>
      </w:r>
      <w:proofErr w:type="spellEnd"/>
      <w:r w:rsidRPr="00D657E1">
        <w:rPr>
          <w:rFonts w:eastAsia="MS Mincho"/>
          <w:lang w:val="en-GB"/>
        </w:rPr>
        <w:t xml:space="preserve"> in Zambia. Winter wondered how he could leverage his existing relationships in South Africa to speed up the process. Winter was also concerned with the size of the market and whether it would offer enough demand to justify the costly investment in building a new base.</w:t>
      </w:r>
    </w:p>
    <w:p w14:paraId="02A3C51B" w14:textId="77777777" w:rsidR="00C26152" w:rsidRPr="00D657E1" w:rsidRDefault="00C26152" w:rsidP="00246014">
      <w:pPr>
        <w:pStyle w:val="BodyTextMain"/>
        <w:rPr>
          <w:lang w:val="en-GB"/>
        </w:rPr>
      </w:pPr>
    </w:p>
    <w:p w14:paraId="5FCD4259" w14:textId="77777777" w:rsidR="00C26152" w:rsidRPr="00D657E1" w:rsidRDefault="00C26152" w:rsidP="00246014">
      <w:pPr>
        <w:pStyle w:val="BodyTextMain"/>
        <w:rPr>
          <w:lang w:val="en-GB"/>
        </w:rPr>
      </w:pPr>
    </w:p>
    <w:p w14:paraId="60772A3F" w14:textId="2E63157A" w:rsidR="00C26152" w:rsidRPr="00D657E1" w:rsidRDefault="00C26152" w:rsidP="00465355">
      <w:pPr>
        <w:keepNext/>
        <w:rPr>
          <w:rFonts w:ascii="Arial" w:eastAsia="MS Mincho" w:hAnsi="Arial" w:cs="Arial"/>
          <w:b/>
          <w:lang w:val="en-GB"/>
        </w:rPr>
      </w:pPr>
      <w:r w:rsidRPr="00D657E1">
        <w:rPr>
          <w:rFonts w:ascii="Arial" w:eastAsia="MS Mincho" w:hAnsi="Arial" w:cs="Arial"/>
          <w:b/>
          <w:iCs/>
          <w:lang w:val="en-GB"/>
        </w:rPr>
        <w:t xml:space="preserve">Option 3: Focus on </w:t>
      </w:r>
      <w:r>
        <w:rPr>
          <w:rFonts w:ascii="Arial" w:eastAsia="MS Mincho" w:hAnsi="Arial" w:cs="Arial"/>
          <w:b/>
          <w:iCs/>
          <w:lang w:val="en-GB"/>
        </w:rPr>
        <w:t>G</w:t>
      </w:r>
      <w:r w:rsidRPr="00D657E1">
        <w:rPr>
          <w:rFonts w:ascii="Arial" w:eastAsia="MS Mincho" w:hAnsi="Arial" w:cs="Arial"/>
          <w:b/>
          <w:iCs/>
          <w:lang w:val="en-GB"/>
        </w:rPr>
        <w:t>rowth in Tanzania</w:t>
      </w:r>
    </w:p>
    <w:p w14:paraId="569CA287" w14:textId="77777777" w:rsidR="00C26152" w:rsidRPr="00D657E1" w:rsidRDefault="00C26152" w:rsidP="00465355">
      <w:pPr>
        <w:keepNext/>
        <w:rPr>
          <w:rFonts w:eastAsia="MS Mincho"/>
          <w:sz w:val="22"/>
          <w:szCs w:val="22"/>
          <w:lang w:val="en-GB"/>
        </w:rPr>
      </w:pPr>
    </w:p>
    <w:p w14:paraId="5214079C" w14:textId="694A1E92" w:rsidR="00246014" w:rsidRPr="00D657E1" w:rsidRDefault="00C26152" w:rsidP="00465355">
      <w:pPr>
        <w:pStyle w:val="BodyTextMain"/>
        <w:keepNext/>
        <w:rPr>
          <w:rFonts w:eastAsia="MS Mincho"/>
          <w:lang w:val="en-GB"/>
        </w:rPr>
      </w:pPr>
      <w:r w:rsidRPr="00D657E1">
        <w:rPr>
          <w:rFonts w:eastAsia="MS Mincho"/>
          <w:lang w:val="en-GB"/>
        </w:rPr>
        <w:t xml:space="preserve">Winter wondered </w:t>
      </w:r>
      <w:r>
        <w:rPr>
          <w:rFonts w:eastAsia="MS Mincho"/>
          <w:lang w:val="en-GB"/>
        </w:rPr>
        <w:t>whether</w:t>
      </w:r>
      <w:r w:rsidRPr="00D657E1">
        <w:rPr>
          <w:rFonts w:eastAsia="MS Mincho"/>
          <w:lang w:val="en-GB"/>
        </w:rPr>
        <w:t xml:space="preserve"> </w:t>
      </w:r>
      <w:r>
        <w:rPr>
          <w:rFonts w:eastAsia="MS Mincho"/>
          <w:lang w:val="en-GB"/>
        </w:rPr>
        <w:t xml:space="preserve">it </w:t>
      </w:r>
      <w:r w:rsidRPr="00D657E1">
        <w:rPr>
          <w:rFonts w:eastAsia="MS Mincho"/>
          <w:lang w:val="en-GB"/>
        </w:rPr>
        <w:t xml:space="preserve">was even a good time to expand to other countries. Although </w:t>
      </w:r>
      <w:proofErr w:type="spellStart"/>
      <w:r w:rsidRPr="00D657E1">
        <w:rPr>
          <w:rFonts w:eastAsia="MS Mincho"/>
          <w:lang w:val="en-GB"/>
        </w:rPr>
        <w:t>Fastjet</w:t>
      </w:r>
      <w:proofErr w:type="spellEnd"/>
      <w:r w:rsidRPr="00D657E1">
        <w:rPr>
          <w:rFonts w:eastAsia="MS Mincho"/>
          <w:lang w:val="en-GB"/>
        </w:rPr>
        <w:t xml:space="preserve"> had secured US$25 million from new investors, he recognized that the group would ultimately need more capital from both institutional investors and local African partnerships to finance the expansions. </w:t>
      </w:r>
      <w:r w:rsidRPr="00D657E1">
        <w:rPr>
          <w:rFonts w:eastAsia="MS Mincho"/>
          <w:lang w:val="en-GB"/>
        </w:rPr>
        <w:lastRenderedPageBreak/>
        <w:t xml:space="preserve">Considering the 2013 profit margin for </w:t>
      </w:r>
      <w:proofErr w:type="spellStart"/>
      <w:r w:rsidRPr="00D657E1">
        <w:rPr>
          <w:rFonts w:eastAsia="MS Mincho"/>
          <w:lang w:val="en-GB"/>
        </w:rPr>
        <w:t>Fastjet</w:t>
      </w:r>
      <w:proofErr w:type="spellEnd"/>
      <w:r w:rsidRPr="00D657E1">
        <w:rPr>
          <w:rFonts w:eastAsia="MS Mincho"/>
          <w:lang w:val="en-GB"/>
        </w:rPr>
        <w:t xml:space="preserve"> Tanzania was around −90 per cent, he wondered </w:t>
      </w:r>
      <w:r>
        <w:rPr>
          <w:rFonts w:eastAsia="MS Mincho"/>
          <w:lang w:val="en-GB"/>
        </w:rPr>
        <w:t xml:space="preserve">whether </w:t>
      </w:r>
      <w:r w:rsidRPr="00D657E1">
        <w:rPr>
          <w:rFonts w:eastAsia="MS Mincho"/>
          <w:lang w:val="en-GB"/>
        </w:rPr>
        <w:t xml:space="preserve">he should wait until </w:t>
      </w:r>
      <w:proofErr w:type="spellStart"/>
      <w:r w:rsidRPr="00D657E1">
        <w:rPr>
          <w:rFonts w:eastAsia="MS Mincho"/>
          <w:lang w:val="en-GB"/>
        </w:rPr>
        <w:t>Fastjet</w:t>
      </w:r>
      <w:proofErr w:type="spellEnd"/>
      <w:r w:rsidRPr="00D657E1">
        <w:rPr>
          <w:rFonts w:eastAsia="MS Mincho"/>
          <w:lang w:val="en-GB"/>
        </w:rPr>
        <w:t xml:space="preserve"> had positive returns before expanding elsewhere.</w:t>
      </w:r>
      <w:r w:rsidRPr="00D657E1">
        <w:rPr>
          <w:rFonts w:eastAsia="MS Mincho"/>
          <w:vertAlign w:val="superscript"/>
          <w:lang w:val="en-GB"/>
        </w:rPr>
        <w:endnoteReference w:id="28"/>
      </w:r>
      <w:r w:rsidRPr="00D657E1">
        <w:rPr>
          <w:rFonts w:eastAsia="MS Mincho"/>
          <w:lang w:val="en-GB"/>
        </w:rPr>
        <w:t xml:space="preserve"> </w:t>
      </w:r>
    </w:p>
    <w:p w14:paraId="6574BB18" w14:textId="77777777" w:rsidR="00246014" w:rsidRPr="00D657E1" w:rsidRDefault="00246014" w:rsidP="00246014">
      <w:pPr>
        <w:pStyle w:val="BodyTextMain"/>
        <w:rPr>
          <w:rFonts w:eastAsia="MS Mincho"/>
          <w:lang w:val="en-GB"/>
        </w:rPr>
      </w:pPr>
    </w:p>
    <w:p w14:paraId="4A3A763D" w14:textId="0C1A060B" w:rsidR="00246014" w:rsidRPr="00D657E1" w:rsidRDefault="00246014" w:rsidP="00246014">
      <w:pPr>
        <w:pStyle w:val="BodyTextMain"/>
        <w:rPr>
          <w:rFonts w:eastAsia="MS Mincho"/>
          <w:lang w:val="en-GB"/>
        </w:rPr>
      </w:pPr>
      <w:proofErr w:type="spellStart"/>
      <w:r w:rsidRPr="00D657E1">
        <w:rPr>
          <w:rFonts w:eastAsia="MS Mincho"/>
          <w:lang w:val="en-GB"/>
        </w:rPr>
        <w:t>Fastjet</w:t>
      </w:r>
      <w:proofErr w:type="spellEnd"/>
      <w:r w:rsidRPr="00D657E1">
        <w:rPr>
          <w:rFonts w:eastAsia="MS Mincho"/>
          <w:lang w:val="en-GB"/>
        </w:rPr>
        <w:t xml:space="preserve"> Tanzania had made great progress in gaining market share in Tanzania, and </w:t>
      </w:r>
      <w:proofErr w:type="gramStart"/>
      <w:r w:rsidRPr="00D657E1">
        <w:rPr>
          <w:rFonts w:eastAsia="MS Mincho"/>
          <w:lang w:val="en-GB"/>
        </w:rPr>
        <w:t>Winter</w:t>
      </w:r>
      <w:proofErr w:type="gramEnd"/>
      <w:r w:rsidRPr="00D657E1">
        <w:rPr>
          <w:rFonts w:eastAsia="MS Mincho"/>
          <w:lang w:val="en-GB"/>
        </w:rPr>
        <w:t xml:space="preserve"> wanted to continue this growth. </w:t>
      </w:r>
      <w:r w:rsidR="00B6619E" w:rsidRPr="00D657E1">
        <w:rPr>
          <w:rFonts w:eastAsia="MS Mincho"/>
          <w:lang w:val="en-GB"/>
        </w:rPr>
        <w:t>T</w:t>
      </w:r>
      <w:r w:rsidRPr="00D657E1">
        <w:rPr>
          <w:rFonts w:eastAsia="MS Mincho"/>
          <w:lang w:val="en-GB"/>
        </w:rPr>
        <w:t xml:space="preserve">o stay ahead of </w:t>
      </w:r>
      <w:r w:rsidR="00B6619E" w:rsidRPr="00D657E1">
        <w:rPr>
          <w:rFonts w:eastAsia="MS Mincho"/>
          <w:lang w:val="en-GB"/>
        </w:rPr>
        <w:t>its</w:t>
      </w:r>
      <w:r w:rsidRPr="00D657E1">
        <w:rPr>
          <w:rFonts w:eastAsia="MS Mincho"/>
          <w:lang w:val="en-GB"/>
        </w:rPr>
        <w:t xml:space="preserve"> largest domestic competitor, Precision Air, </w:t>
      </w:r>
      <w:proofErr w:type="gramStart"/>
      <w:r w:rsidRPr="00D657E1">
        <w:rPr>
          <w:rFonts w:eastAsia="MS Mincho"/>
          <w:lang w:val="en-GB"/>
        </w:rPr>
        <w:t>Winter</w:t>
      </w:r>
      <w:proofErr w:type="gramEnd"/>
      <w:r w:rsidRPr="00D657E1">
        <w:rPr>
          <w:rFonts w:eastAsia="MS Mincho"/>
          <w:lang w:val="en-GB"/>
        </w:rPr>
        <w:t xml:space="preserve"> </w:t>
      </w:r>
      <w:r w:rsidR="00FB061A">
        <w:rPr>
          <w:rFonts w:eastAsia="MS Mincho"/>
          <w:lang w:val="en-GB"/>
        </w:rPr>
        <w:t>aim</w:t>
      </w:r>
      <w:r w:rsidR="00FB061A" w:rsidRPr="00D657E1">
        <w:rPr>
          <w:rFonts w:eastAsia="MS Mincho"/>
          <w:lang w:val="en-GB"/>
        </w:rPr>
        <w:t xml:space="preserve">ed </w:t>
      </w:r>
      <w:r w:rsidRPr="00D657E1">
        <w:rPr>
          <w:rFonts w:eastAsia="MS Mincho"/>
          <w:lang w:val="en-GB"/>
        </w:rPr>
        <w:t xml:space="preserve">to attract more first-time flyers and expand </w:t>
      </w:r>
      <w:r w:rsidR="00703453" w:rsidRPr="00D657E1">
        <w:rPr>
          <w:rFonts w:eastAsia="MS Mincho"/>
          <w:lang w:val="en-GB"/>
        </w:rPr>
        <w:t>the airline’s</w:t>
      </w:r>
      <w:r w:rsidRPr="00D657E1">
        <w:rPr>
          <w:rFonts w:eastAsia="MS Mincho"/>
          <w:lang w:val="en-GB"/>
        </w:rPr>
        <w:t xml:space="preserve"> market. This plan would include increasing the frequency of domestic flights and expanding domestic flight destinations. In addition, he planned to improve domestic infrastructure by working with governments, beginning with the </w:t>
      </w:r>
      <w:proofErr w:type="spellStart"/>
      <w:r w:rsidRPr="00D657E1">
        <w:rPr>
          <w:rFonts w:eastAsia="MS Mincho"/>
          <w:lang w:val="en-GB"/>
        </w:rPr>
        <w:t>Mtwara</w:t>
      </w:r>
      <w:proofErr w:type="spellEnd"/>
      <w:r w:rsidRPr="00D657E1">
        <w:rPr>
          <w:rFonts w:eastAsia="MS Mincho"/>
          <w:lang w:val="en-GB"/>
        </w:rPr>
        <w:t xml:space="preserve"> Airport in </w:t>
      </w:r>
      <w:r w:rsidR="00964CFC" w:rsidRPr="00D657E1">
        <w:rPr>
          <w:rFonts w:eastAsia="MS Mincho"/>
          <w:lang w:val="en-GB"/>
        </w:rPr>
        <w:t>s</w:t>
      </w:r>
      <w:r w:rsidRPr="00D657E1">
        <w:rPr>
          <w:rFonts w:eastAsia="MS Mincho"/>
          <w:lang w:val="en-GB"/>
        </w:rPr>
        <w:t>outh</w:t>
      </w:r>
      <w:r w:rsidR="00964CFC" w:rsidRPr="00D657E1">
        <w:rPr>
          <w:rFonts w:eastAsia="MS Mincho"/>
          <w:lang w:val="en-GB"/>
        </w:rPr>
        <w:t>w</w:t>
      </w:r>
      <w:r w:rsidRPr="00D657E1">
        <w:rPr>
          <w:rFonts w:eastAsia="MS Mincho"/>
          <w:lang w:val="en-GB"/>
        </w:rPr>
        <w:t xml:space="preserve">estern Tanzania. Investing back into the Tanzanian community would showcase strong corporate social responsibility and help </w:t>
      </w:r>
      <w:proofErr w:type="spellStart"/>
      <w:r w:rsidRPr="00D657E1">
        <w:rPr>
          <w:rFonts w:eastAsia="MS Mincho"/>
          <w:lang w:val="en-GB"/>
        </w:rPr>
        <w:t>Fastjet</w:t>
      </w:r>
      <w:proofErr w:type="spellEnd"/>
      <w:r w:rsidRPr="00D657E1">
        <w:rPr>
          <w:rFonts w:eastAsia="MS Mincho"/>
          <w:lang w:val="en-GB"/>
        </w:rPr>
        <w:t xml:space="preserve"> gain access to parts of Tanzania </w:t>
      </w:r>
      <w:r w:rsidR="00964CFC" w:rsidRPr="00D657E1">
        <w:rPr>
          <w:rFonts w:eastAsia="MS Mincho"/>
          <w:lang w:val="en-GB"/>
        </w:rPr>
        <w:t xml:space="preserve">not </w:t>
      </w:r>
      <w:r w:rsidRPr="00D657E1">
        <w:rPr>
          <w:rFonts w:eastAsia="MS Mincho"/>
          <w:lang w:val="en-GB"/>
        </w:rPr>
        <w:t xml:space="preserve">currently serviced by air travel. </w:t>
      </w:r>
    </w:p>
    <w:p w14:paraId="3FD6D8ED" w14:textId="77777777" w:rsidR="00246014" w:rsidRPr="00D657E1" w:rsidRDefault="00246014" w:rsidP="00246014">
      <w:pPr>
        <w:rPr>
          <w:sz w:val="22"/>
          <w:szCs w:val="22"/>
          <w:lang w:val="en-GB"/>
        </w:rPr>
      </w:pPr>
    </w:p>
    <w:p w14:paraId="304CE2FA" w14:textId="77777777" w:rsidR="00246014" w:rsidRPr="00D657E1" w:rsidRDefault="00246014" w:rsidP="00246014">
      <w:pPr>
        <w:rPr>
          <w:sz w:val="22"/>
          <w:szCs w:val="22"/>
          <w:lang w:val="en-GB"/>
        </w:rPr>
      </w:pPr>
    </w:p>
    <w:p w14:paraId="10AC535C" w14:textId="77777777" w:rsidR="00246014" w:rsidRPr="00D657E1" w:rsidRDefault="00246014" w:rsidP="00246014">
      <w:pPr>
        <w:rPr>
          <w:rFonts w:ascii="Arial" w:eastAsia="MS Mincho" w:hAnsi="Arial" w:cs="Arial"/>
          <w:b/>
          <w:lang w:val="en-GB"/>
        </w:rPr>
      </w:pPr>
      <w:r w:rsidRPr="00D657E1">
        <w:rPr>
          <w:rFonts w:ascii="Arial" w:eastAsia="MS Mincho" w:hAnsi="Arial" w:cs="Arial"/>
          <w:b/>
          <w:lang w:val="en-GB"/>
        </w:rPr>
        <w:t>DECISION</w:t>
      </w:r>
    </w:p>
    <w:p w14:paraId="3E06AF4A" w14:textId="77777777" w:rsidR="00246014" w:rsidRPr="00D657E1" w:rsidRDefault="00246014" w:rsidP="00246014">
      <w:pPr>
        <w:rPr>
          <w:rFonts w:eastAsia="MS Mincho"/>
          <w:sz w:val="22"/>
          <w:szCs w:val="22"/>
          <w:lang w:val="en-GB"/>
        </w:rPr>
      </w:pPr>
    </w:p>
    <w:p w14:paraId="217F6C92" w14:textId="738F9C9D" w:rsidR="00246014" w:rsidRPr="00D657E1" w:rsidRDefault="00246014" w:rsidP="00246014">
      <w:pPr>
        <w:pStyle w:val="BodyTextMain"/>
        <w:rPr>
          <w:rFonts w:eastAsia="MS Mincho"/>
          <w:lang w:val="en-GB"/>
        </w:rPr>
      </w:pPr>
      <w:r w:rsidRPr="00D657E1">
        <w:rPr>
          <w:rFonts w:eastAsia="MS Mincho"/>
          <w:lang w:val="en-GB"/>
        </w:rPr>
        <w:t xml:space="preserve">After </w:t>
      </w:r>
      <w:proofErr w:type="spellStart"/>
      <w:r w:rsidRPr="00D657E1">
        <w:rPr>
          <w:rFonts w:eastAsia="MS Mincho"/>
          <w:lang w:val="en-GB"/>
        </w:rPr>
        <w:t>analyzing</w:t>
      </w:r>
      <w:proofErr w:type="spellEnd"/>
      <w:r w:rsidRPr="00D657E1">
        <w:rPr>
          <w:rFonts w:eastAsia="MS Mincho"/>
          <w:lang w:val="en-GB"/>
        </w:rPr>
        <w:t xml:space="preserve"> </w:t>
      </w:r>
      <w:proofErr w:type="spellStart"/>
      <w:r w:rsidRPr="00D657E1">
        <w:rPr>
          <w:rFonts w:eastAsia="MS Mincho"/>
          <w:lang w:val="en-GB"/>
        </w:rPr>
        <w:t>Fastjet’s</w:t>
      </w:r>
      <w:proofErr w:type="spellEnd"/>
      <w:r w:rsidRPr="00D657E1">
        <w:rPr>
          <w:rFonts w:eastAsia="MS Mincho"/>
          <w:lang w:val="en-GB"/>
        </w:rPr>
        <w:t xml:space="preserve"> current position in the airline industry, its recent financial performance, and </w:t>
      </w:r>
      <w:r w:rsidR="00964CFC" w:rsidRPr="00D657E1">
        <w:rPr>
          <w:rFonts w:eastAsia="MS Mincho"/>
          <w:lang w:val="en-GB"/>
        </w:rPr>
        <w:t>the</w:t>
      </w:r>
      <w:r w:rsidRPr="00D657E1">
        <w:rPr>
          <w:rFonts w:eastAsia="MS Mincho"/>
          <w:lang w:val="en-GB"/>
        </w:rPr>
        <w:t xml:space="preserve"> alternatives, </w:t>
      </w:r>
      <w:proofErr w:type="gramStart"/>
      <w:r w:rsidRPr="00D657E1">
        <w:rPr>
          <w:rFonts w:eastAsia="MS Mincho"/>
          <w:lang w:val="en-GB"/>
        </w:rPr>
        <w:t>Winter</w:t>
      </w:r>
      <w:proofErr w:type="gramEnd"/>
      <w:r w:rsidRPr="00D657E1">
        <w:rPr>
          <w:rFonts w:eastAsia="MS Mincho"/>
          <w:lang w:val="en-GB"/>
        </w:rPr>
        <w:t xml:space="preserve"> needed to determine whether he would be able to </w:t>
      </w:r>
      <w:r w:rsidR="00A904A7" w:rsidRPr="00D657E1">
        <w:rPr>
          <w:rFonts w:eastAsia="MS Mincho"/>
          <w:lang w:val="en-GB"/>
        </w:rPr>
        <w:t>fulfil</w:t>
      </w:r>
      <w:r w:rsidRPr="00D657E1">
        <w:rPr>
          <w:rFonts w:eastAsia="MS Mincho"/>
          <w:lang w:val="en-GB"/>
        </w:rPr>
        <w:t xml:space="preserve"> </w:t>
      </w:r>
      <w:proofErr w:type="spellStart"/>
      <w:r w:rsidRPr="00D657E1">
        <w:rPr>
          <w:rFonts w:eastAsia="MS Mincho"/>
          <w:lang w:val="en-GB"/>
        </w:rPr>
        <w:t>Fastjet’s</w:t>
      </w:r>
      <w:proofErr w:type="spellEnd"/>
      <w:r w:rsidRPr="00D657E1">
        <w:rPr>
          <w:rFonts w:eastAsia="MS Mincho"/>
          <w:lang w:val="en-GB"/>
        </w:rPr>
        <w:t xml:space="preserve"> goals. Was </w:t>
      </w:r>
      <w:proofErr w:type="spellStart"/>
      <w:r w:rsidRPr="00D657E1">
        <w:rPr>
          <w:rFonts w:eastAsia="MS Mincho"/>
          <w:lang w:val="en-GB"/>
        </w:rPr>
        <w:t>Fastjet</w:t>
      </w:r>
      <w:proofErr w:type="spellEnd"/>
      <w:r w:rsidRPr="00D657E1">
        <w:rPr>
          <w:rFonts w:eastAsia="MS Mincho"/>
          <w:lang w:val="en-GB"/>
        </w:rPr>
        <w:t xml:space="preserve"> ready for the next frontier?</w:t>
      </w:r>
    </w:p>
    <w:p w14:paraId="3074E9D8" w14:textId="77777777" w:rsidR="00246014" w:rsidRPr="00D657E1" w:rsidRDefault="00246014">
      <w:pPr>
        <w:spacing w:after="200" w:line="276" w:lineRule="auto"/>
        <w:rPr>
          <w:sz w:val="22"/>
          <w:szCs w:val="22"/>
          <w:lang w:val="en-GB"/>
        </w:rPr>
      </w:pPr>
      <w:r w:rsidRPr="00D657E1">
        <w:rPr>
          <w:lang w:val="en-GB"/>
        </w:rPr>
        <w:br w:type="page"/>
      </w:r>
    </w:p>
    <w:p w14:paraId="5BAD7A15" w14:textId="77777777" w:rsidR="00FB061A" w:rsidRDefault="00246014" w:rsidP="00246014">
      <w:pPr>
        <w:pStyle w:val="ExhibitHeading"/>
        <w:rPr>
          <w:rFonts w:eastAsia="MS Mincho"/>
          <w:lang w:val="en-GB"/>
        </w:rPr>
      </w:pPr>
      <w:r w:rsidRPr="00D657E1">
        <w:rPr>
          <w:rFonts w:eastAsia="MS Mincho"/>
          <w:lang w:val="en-GB"/>
        </w:rPr>
        <w:lastRenderedPageBreak/>
        <w:t xml:space="preserve">EXHIBIT 1: </w:t>
      </w:r>
      <w:r w:rsidR="00964CFC" w:rsidRPr="00D657E1">
        <w:rPr>
          <w:rFonts w:eastAsia="MS Mincho"/>
          <w:lang w:val="en-GB"/>
        </w:rPr>
        <w:t>fastjet</w:t>
      </w:r>
      <w:r w:rsidR="00FB061A">
        <w:rPr>
          <w:rFonts w:eastAsia="MS Mincho"/>
          <w:lang w:val="en-GB"/>
        </w:rPr>
        <w:t>’s six-month</w:t>
      </w:r>
      <w:r w:rsidR="00964CFC" w:rsidRPr="00D657E1">
        <w:rPr>
          <w:rFonts w:eastAsia="MS Mincho"/>
          <w:lang w:val="en-GB"/>
        </w:rPr>
        <w:t xml:space="preserve"> </w:t>
      </w:r>
      <w:r w:rsidRPr="00D657E1">
        <w:rPr>
          <w:rFonts w:eastAsia="MS Mincho"/>
          <w:lang w:val="en-GB"/>
        </w:rPr>
        <w:t>INCOME STATEMENT</w:t>
      </w:r>
      <w:r w:rsidR="00FB061A">
        <w:rPr>
          <w:rFonts w:eastAsia="MS Mincho"/>
          <w:lang w:val="en-GB"/>
        </w:rPr>
        <w:t>s, December 2013 to June 2014</w:t>
      </w:r>
      <w:r w:rsidR="002459E0" w:rsidRPr="00D657E1">
        <w:rPr>
          <w:rFonts w:eastAsia="MS Mincho"/>
          <w:lang w:val="en-GB"/>
        </w:rPr>
        <w:t xml:space="preserve"> </w:t>
      </w:r>
    </w:p>
    <w:p w14:paraId="103BBDEB" w14:textId="2CC6E5FC" w:rsidR="00246014" w:rsidRPr="00D657E1" w:rsidRDefault="002459E0" w:rsidP="00246014">
      <w:pPr>
        <w:pStyle w:val="ExhibitHeading"/>
        <w:rPr>
          <w:rFonts w:eastAsia="MS Mincho"/>
          <w:lang w:val="en-GB"/>
        </w:rPr>
      </w:pPr>
      <w:r w:rsidRPr="00D657E1">
        <w:rPr>
          <w:rFonts w:eastAsia="MS Mincho"/>
          <w:lang w:val="en-GB"/>
        </w:rPr>
        <w:t>(</w:t>
      </w:r>
      <w:r w:rsidR="00832BDD" w:rsidRPr="00D657E1">
        <w:rPr>
          <w:rFonts w:eastAsia="MS Mincho"/>
          <w:lang w:val="en-GB"/>
        </w:rPr>
        <w:t xml:space="preserve">in </w:t>
      </w:r>
      <w:r w:rsidRPr="00D657E1">
        <w:rPr>
          <w:rFonts w:eastAsia="MS Mincho"/>
          <w:lang w:val="en-GB"/>
        </w:rPr>
        <w:t>US</w:t>
      </w:r>
      <w:r w:rsidR="00244383">
        <w:rPr>
          <w:rFonts w:eastAsia="MS Mincho"/>
          <w:lang w:val="en-GB"/>
        </w:rPr>
        <w:t>$</w:t>
      </w:r>
      <w:r w:rsidR="00FB061A">
        <w:rPr>
          <w:rFonts w:eastAsia="MS Mincho"/>
          <w:lang w:val="en-GB"/>
        </w:rPr>
        <w:t xml:space="preserve"> thousands</w:t>
      </w:r>
      <w:r w:rsidRPr="00D657E1">
        <w:rPr>
          <w:rFonts w:eastAsia="MS Mincho"/>
          <w:lang w:val="en-GB"/>
        </w:rPr>
        <w:t>)</w:t>
      </w:r>
    </w:p>
    <w:p w14:paraId="5EF1878F" w14:textId="77777777" w:rsidR="00246014" w:rsidRPr="00D657E1" w:rsidRDefault="00246014" w:rsidP="00EA0AF9">
      <w:pPr>
        <w:pStyle w:val="ExhibitText"/>
        <w:rPr>
          <w:rFonts w:eastAsia="MS Mincho"/>
          <w:lang w:val="en-GB"/>
        </w:rPr>
      </w:pPr>
    </w:p>
    <w:tbl>
      <w:tblPr>
        <w:tblpPr w:leftFromText="180" w:rightFromText="180" w:vertAnchor="page" w:horzAnchor="page" w:tblpX="1562" w:tblpY="2521"/>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1980"/>
        <w:gridCol w:w="1980"/>
        <w:gridCol w:w="2070"/>
      </w:tblGrid>
      <w:tr w:rsidR="00246014" w:rsidRPr="00D657E1" w14:paraId="4ED6BE22" w14:textId="77777777" w:rsidTr="00246014">
        <w:trPr>
          <w:trHeight w:val="1120"/>
        </w:trPr>
        <w:tc>
          <w:tcPr>
            <w:tcW w:w="3145" w:type="dxa"/>
            <w:shd w:val="clear" w:color="000000" w:fill="FFFFFF"/>
            <w:noWrap/>
            <w:vAlign w:val="bottom"/>
            <w:hideMark/>
          </w:tcPr>
          <w:p w14:paraId="72EA52B6" w14:textId="77777777" w:rsidR="00246014" w:rsidRPr="00D657E1" w:rsidRDefault="00246014" w:rsidP="00246014">
            <w:pPr>
              <w:pStyle w:val="ExhibitText"/>
              <w:rPr>
                <w:lang w:val="en-GB"/>
              </w:rPr>
            </w:pPr>
            <w:r w:rsidRPr="00D657E1">
              <w:rPr>
                <w:lang w:val="en-GB"/>
              </w:rPr>
              <w:t> </w:t>
            </w:r>
          </w:p>
        </w:tc>
        <w:tc>
          <w:tcPr>
            <w:tcW w:w="1980" w:type="dxa"/>
            <w:shd w:val="clear" w:color="000000" w:fill="FFFFFF"/>
            <w:vAlign w:val="center"/>
            <w:hideMark/>
          </w:tcPr>
          <w:p w14:paraId="22740130" w14:textId="6339DE1B" w:rsidR="00246014" w:rsidRPr="00D657E1" w:rsidRDefault="00246014" w:rsidP="00076D4A">
            <w:pPr>
              <w:pStyle w:val="ExhibitText"/>
              <w:jc w:val="center"/>
              <w:rPr>
                <w:bCs/>
                <w:lang w:val="en-GB"/>
              </w:rPr>
            </w:pPr>
            <w:r w:rsidRPr="00D657E1">
              <w:rPr>
                <w:bCs/>
                <w:lang w:val="en-GB"/>
              </w:rPr>
              <w:t>6 months ended June</w:t>
            </w:r>
            <w:r w:rsidR="002459E0" w:rsidRPr="00D657E1">
              <w:rPr>
                <w:bCs/>
                <w:lang w:val="en-GB"/>
              </w:rPr>
              <w:t xml:space="preserve"> 30,</w:t>
            </w:r>
            <w:r w:rsidRPr="00D657E1">
              <w:rPr>
                <w:bCs/>
                <w:lang w:val="en-GB"/>
              </w:rPr>
              <w:t xml:space="preserve"> 2014 (Unaudited)</w:t>
            </w:r>
          </w:p>
        </w:tc>
        <w:tc>
          <w:tcPr>
            <w:tcW w:w="1980" w:type="dxa"/>
            <w:shd w:val="clear" w:color="000000" w:fill="FFFFFF"/>
            <w:vAlign w:val="center"/>
            <w:hideMark/>
          </w:tcPr>
          <w:p w14:paraId="575E45A9" w14:textId="35C74F0A" w:rsidR="00246014" w:rsidRPr="00D657E1" w:rsidRDefault="00246014" w:rsidP="00B74EDB">
            <w:pPr>
              <w:pStyle w:val="ExhibitText"/>
              <w:jc w:val="center"/>
              <w:rPr>
                <w:lang w:val="en-GB"/>
              </w:rPr>
            </w:pPr>
            <w:r w:rsidRPr="00D657E1">
              <w:rPr>
                <w:lang w:val="en-GB"/>
              </w:rPr>
              <w:t xml:space="preserve">6 months ended June </w:t>
            </w:r>
            <w:r w:rsidR="002459E0" w:rsidRPr="00D657E1">
              <w:rPr>
                <w:lang w:val="en-GB"/>
              </w:rPr>
              <w:t xml:space="preserve">30, </w:t>
            </w:r>
            <w:r w:rsidRPr="00D657E1">
              <w:rPr>
                <w:lang w:val="en-GB"/>
              </w:rPr>
              <w:t>2013 (Unaudited)</w:t>
            </w:r>
          </w:p>
        </w:tc>
        <w:tc>
          <w:tcPr>
            <w:tcW w:w="2070" w:type="dxa"/>
            <w:shd w:val="clear" w:color="000000" w:fill="FFFFFF"/>
            <w:vAlign w:val="center"/>
            <w:hideMark/>
          </w:tcPr>
          <w:p w14:paraId="56A33936" w14:textId="404CB9C2" w:rsidR="00246014" w:rsidRPr="00D657E1" w:rsidRDefault="00246014" w:rsidP="005351E7">
            <w:pPr>
              <w:pStyle w:val="ExhibitText"/>
              <w:jc w:val="center"/>
              <w:rPr>
                <w:lang w:val="en-GB"/>
              </w:rPr>
            </w:pPr>
            <w:r w:rsidRPr="00D657E1">
              <w:rPr>
                <w:lang w:val="en-GB"/>
              </w:rPr>
              <w:t>6 months ended December</w:t>
            </w:r>
            <w:r w:rsidR="002459E0" w:rsidRPr="00D657E1">
              <w:rPr>
                <w:lang w:val="en-GB"/>
              </w:rPr>
              <w:t xml:space="preserve"> 31,</w:t>
            </w:r>
            <w:r w:rsidRPr="00D657E1">
              <w:rPr>
                <w:lang w:val="en-GB"/>
              </w:rPr>
              <w:t xml:space="preserve"> 2013 (Unaudited)</w:t>
            </w:r>
          </w:p>
        </w:tc>
      </w:tr>
      <w:tr w:rsidR="00246014" w:rsidRPr="00D657E1" w14:paraId="331291C2" w14:textId="77777777" w:rsidTr="00246014">
        <w:trPr>
          <w:trHeight w:val="300"/>
        </w:trPr>
        <w:tc>
          <w:tcPr>
            <w:tcW w:w="3145" w:type="dxa"/>
            <w:shd w:val="clear" w:color="000000" w:fill="FFFFFF"/>
            <w:vAlign w:val="center"/>
            <w:hideMark/>
          </w:tcPr>
          <w:p w14:paraId="1F48FF50" w14:textId="77777777" w:rsidR="00246014" w:rsidRPr="00D657E1" w:rsidRDefault="00246014" w:rsidP="00246014">
            <w:pPr>
              <w:pStyle w:val="ExhibitText"/>
              <w:jc w:val="left"/>
              <w:rPr>
                <w:b/>
                <w:bCs/>
                <w:lang w:val="en-GB"/>
              </w:rPr>
            </w:pPr>
            <w:r w:rsidRPr="00D657E1">
              <w:rPr>
                <w:b/>
                <w:bCs/>
                <w:lang w:val="en-GB"/>
              </w:rPr>
              <w:t>Revenue</w:t>
            </w:r>
          </w:p>
        </w:tc>
        <w:tc>
          <w:tcPr>
            <w:tcW w:w="1980" w:type="dxa"/>
            <w:shd w:val="clear" w:color="000000" w:fill="FFFFFF"/>
            <w:noWrap/>
            <w:vAlign w:val="center"/>
            <w:hideMark/>
          </w:tcPr>
          <w:p w14:paraId="4E775530" w14:textId="77777777" w:rsidR="00246014" w:rsidRPr="00D657E1" w:rsidRDefault="00246014" w:rsidP="00246014">
            <w:pPr>
              <w:pStyle w:val="ExhibitText"/>
              <w:jc w:val="right"/>
              <w:rPr>
                <w:b/>
                <w:bCs/>
                <w:lang w:val="en-GB"/>
              </w:rPr>
            </w:pPr>
            <w:r w:rsidRPr="00D657E1">
              <w:rPr>
                <w:b/>
                <w:bCs/>
                <w:lang w:val="en-GB"/>
              </w:rPr>
              <w:t>23,291</w:t>
            </w:r>
          </w:p>
        </w:tc>
        <w:tc>
          <w:tcPr>
            <w:tcW w:w="1980" w:type="dxa"/>
            <w:shd w:val="clear" w:color="000000" w:fill="FFFFFF"/>
            <w:noWrap/>
            <w:vAlign w:val="center"/>
            <w:hideMark/>
          </w:tcPr>
          <w:p w14:paraId="530BE3F5" w14:textId="77777777" w:rsidR="00246014" w:rsidRPr="00D657E1" w:rsidRDefault="00246014" w:rsidP="00246014">
            <w:pPr>
              <w:pStyle w:val="ExhibitText"/>
              <w:jc w:val="right"/>
              <w:rPr>
                <w:lang w:val="en-GB"/>
              </w:rPr>
            </w:pPr>
            <w:r w:rsidRPr="00D657E1">
              <w:rPr>
                <w:lang w:val="en-GB"/>
              </w:rPr>
              <w:t>25,457</w:t>
            </w:r>
          </w:p>
        </w:tc>
        <w:tc>
          <w:tcPr>
            <w:tcW w:w="2070" w:type="dxa"/>
            <w:shd w:val="clear" w:color="000000" w:fill="FFFFFF"/>
            <w:noWrap/>
            <w:vAlign w:val="center"/>
            <w:hideMark/>
          </w:tcPr>
          <w:p w14:paraId="0A351FD3" w14:textId="77777777" w:rsidR="00246014" w:rsidRPr="00D657E1" w:rsidRDefault="00246014" w:rsidP="00246014">
            <w:pPr>
              <w:pStyle w:val="ExhibitText"/>
              <w:jc w:val="right"/>
              <w:rPr>
                <w:lang w:val="en-GB"/>
              </w:rPr>
            </w:pPr>
            <w:r w:rsidRPr="00D657E1">
              <w:rPr>
                <w:lang w:val="en-GB"/>
              </w:rPr>
              <w:t>53,442</w:t>
            </w:r>
          </w:p>
        </w:tc>
      </w:tr>
      <w:tr w:rsidR="00246014" w:rsidRPr="00D657E1" w14:paraId="4E887DC4" w14:textId="77777777" w:rsidTr="00246014">
        <w:trPr>
          <w:trHeight w:val="300"/>
        </w:trPr>
        <w:tc>
          <w:tcPr>
            <w:tcW w:w="3145" w:type="dxa"/>
            <w:shd w:val="clear" w:color="000000" w:fill="FFFFFF"/>
            <w:vAlign w:val="center"/>
            <w:hideMark/>
          </w:tcPr>
          <w:p w14:paraId="6A6E8A7A" w14:textId="77777777" w:rsidR="00246014" w:rsidRPr="00D657E1" w:rsidRDefault="00246014" w:rsidP="00246014">
            <w:pPr>
              <w:pStyle w:val="ExhibitText"/>
              <w:jc w:val="left"/>
              <w:rPr>
                <w:lang w:val="en-GB"/>
              </w:rPr>
            </w:pPr>
            <w:r w:rsidRPr="00D657E1">
              <w:rPr>
                <w:lang w:val="en-GB"/>
              </w:rPr>
              <w:t>Operating charges</w:t>
            </w:r>
          </w:p>
        </w:tc>
        <w:tc>
          <w:tcPr>
            <w:tcW w:w="1980" w:type="dxa"/>
            <w:shd w:val="clear" w:color="000000" w:fill="FFFFFF"/>
            <w:noWrap/>
            <w:vAlign w:val="center"/>
            <w:hideMark/>
          </w:tcPr>
          <w:p w14:paraId="2DC363B5" w14:textId="5A7F1148"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56,293</w:t>
            </w:r>
          </w:p>
        </w:tc>
        <w:tc>
          <w:tcPr>
            <w:tcW w:w="1980" w:type="dxa"/>
            <w:shd w:val="clear" w:color="000000" w:fill="FFFFFF"/>
            <w:noWrap/>
            <w:vAlign w:val="center"/>
            <w:hideMark/>
          </w:tcPr>
          <w:p w14:paraId="3BD4D41F" w14:textId="57C6CDC6" w:rsidR="00246014" w:rsidRPr="00D657E1" w:rsidRDefault="002459E0" w:rsidP="00246014">
            <w:pPr>
              <w:pStyle w:val="ExhibitText"/>
              <w:jc w:val="right"/>
              <w:rPr>
                <w:lang w:val="en-GB"/>
              </w:rPr>
            </w:pPr>
            <w:r w:rsidRPr="00D657E1">
              <w:rPr>
                <w:lang w:val="en-GB"/>
              </w:rPr>
              <w:t>−</w:t>
            </w:r>
            <w:r w:rsidR="00246014" w:rsidRPr="00D657E1">
              <w:rPr>
                <w:lang w:val="en-GB"/>
              </w:rPr>
              <w:t>64,921</w:t>
            </w:r>
          </w:p>
        </w:tc>
        <w:tc>
          <w:tcPr>
            <w:tcW w:w="2070" w:type="dxa"/>
            <w:shd w:val="clear" w:color="000000" w:fill="FFFFFF"/>
            <w:noWrap/>
            <w:vAlign w:val="center"/>
            <w:hideMark/>
          </w:tcPr>
          <w:p w14:paraId="6EDA7A08" w14:textId="00D0FDE0" w:rsidR="00246014" w:rsidRPr="00D657E1" w:rsidRDefault="002459E0" w:rsidP="00246014">
            <w:pPr>
              <w:pStyle w:val="ExhibitText"/>
              <w:jc w:val="right"/>
              <w:rPr>
                <w:lang w:val="en-GB"/>
              </w:rPr>
            </w:pPr>
            <w:r w:rsidRPr="00D657E1">
              <w:rPr>
                <w:lang w:val="en-GB"/>
              </w:rPr>
              <w:t>−</w:t>
            </w:r>
            <w:r w:rsidR="00246014" w:rsidRPr="00D657E1">
              <w:rPr>
                <w:lang w:val="en-GB"/>
              </w:rPr>
              <w:t>132,501</w:t>
            </w:r>
          </w:p>
        </w:tc>
      </w:tr>
      <w:tr w:rsidR="00246014" w:rsidRPr="00D657E1" w14:paraId="3805DA56" w14:textId="77777777" w:rsidTr="00246014">
        <w:trPr>
          <w:trHeight w:val="300"/>
        </w:trPr>
        <w:tc>
          <w:tcPr>
            <w:tcW w:w="3145" w:type="dxa"/>
            <w:shd w:val="clear" w:color="000000" w:fill="FFFFFF"/>
            <w:vAlign w:val="center"/>
            <w:hideMark/>
          </w:tcPr>
          <w:p w14:paraId="654DA197" w14:textId="77777777" w:rsidR="00246014" w:rsidRPr="00D657E1" w:rsidRDefault="00246014" w:rsidP="00246014">
            <w:pPr>
              <w:pStyle w:val="ExhibitText"/>
              <w:jc w:val="left"/>
              <w:rPr>
                <w:lang w:val="en-GB"/>
              </w:rPr>
            </w:pPr>
            <w:r w:rsidRPr="00D657E1">
              <w:rPr>
                <w:lang w:val="en-GB"/>
              </w:rPr>
              <w:t>Operating loss</w:t>
            </w:r>
          </w:p>
        </w:tc>
        <w:tc>
          <w:tcPr>
            <w:tcW w:w="1980" w:type="dxa"/>
            <w:shd w:val="clear" w:color="000000" w:fill="FFFFFF"/>
            <w:noWrap/>
            <w:vAlign w:val="center"/>
            <w:hideMark/>
          </w:tcPr>
          <w:p w14:paraId="6E3D1271" w14:textId="6CA81ECA"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33,002</w:t>
            </w:r>
          </w:p>
        </w:tc>
        <w:tc>
          <w:tcPr>
            <w:tcW w:w="1980" w:type="dxa"/>
            <w:shd w:val="clear" w:color="000000" w:fill="FFFFFF"/>
            <w:noWrap/>
            <w:vAlign w:val="center"/>
            <w:hideMark/>
          </w:tcPr>
          <w:p w14:paraId="37F96B2B" w14:textId="08B20FDE" w:rsidR="00246014" w:rsidRPr="00D657E1" w:rsidRDefault="002459E0" w:rsidP="00246014">
            <w:pPr>
              <w:pStyle w:val="ExhibitText"/>
              <w:jc w:val="right"/>
              <w:rPr>
                <w:lang w:val="en-GB"/>
              </w:rPr>
            </w:pPr>
            <w:r w:rsidRPr="00D657E1">
              <w:rPr>
                <w:lang w:val="en-GB"/>
              </w:rPr>
              <w:t>−</w:t>
            </w:r>
            <w:r w:rsidR="00246014" w:rsidRPr="00D657E1">
              <w:rPr>
                <w:lang w:val="en-GB"/>
              </w:rPr>
              <w:t>39,464</w:t>
            </w:r>
          </w:p>
        </w:tc>
        <w:tc>
          <w:tcPr>
            <w:tcW w:w="2070" w:type="dxa"/>
            <w:shd w:val="clear" w:color="000000" w:fill="FFFFFF"/>
            <w:noWrap/>
            <w:vAlign w:val="center"/>
            <w:hideMark/>
          </w:tcPr>
          <w:p w14:paraId="76911CAC" w14:textId="321766A1" w:rsidR="00246014" w:rsidRPr="00D657E1" w:rsidRDefault="002459E0" w:rsidP="00246014">
            <w:pPr>
              <w:pStyle w:val="ExhibitText"/>
              <w:jc w:val="right"/>
              <w:rPr>
                <w:lang w:val="en-GB"/>
              </w:rPr>
            </w:pPr>
            <w:r w:rsidRPr="00D657E1">
              <w:rPr>
                <w:lang w:val="en-GB"/>
              </w:rPr>
              <w:t>−</w:t>
            </w:r>
            <w:r w:rsidR="00246014" w:rsidRPr="00D657E1">
              <w:rPr>
                <w:lang w:val="en-GB"/>
              </w:rPr>
              <w:t>79,079</w:t>
            </w:r>
          </w:p>
        </w:tc>
      </w:tr>
      <w:tr w:rsidR="00246014" w:rsidRPr="00D657E1" w14:paraId="6025A016" w14:textId="77777777" w:rsidTr="00246014">
        <w:trPr>
          <w:trHeight w:val="560"/>
        </w:trPr>
        <w:tc>
          <w:tcPr>
            <w:tcW w:w="3145" w:type="dxa"/>
            <w:shd w:val="clear" w:color="000000" w:fill="FFFFFF"/>
            <w:vAlign w:val="center"/>
            <w:hideMark/>
          </w:tcPr>
          <w:p w14:paraId="5395E5CA" w14:textId="4DEEA95E" w:rsidR="00246014" w:rsidRPr="00D657E1" w:rsidRDefault="00246014" w:rsidP="00246014">
            <w:pPr>
              <w:pStyle w:val="ExhibitText"/>
              <w:jc w:val="left"/>
              <w:rPr>
                <w:lang w:val="en-GB"/>
              </w:rPr>
            </w:pPr>
            <w:r w:rsidRPr="00D657E1">
              <w:rPr>
                <w:lang w:val="en-GB"/>
              </w:rPr>
              <w:t xml:space="preserve">Operating loss before </w:t>
            </w:r>
            <w:proofErr w:type="spellStart"/>
            <w:r w:rsidRPr="00D657E1">
              <w:rPr>
                <w:lang w:val="en-GB"/>
              </w:rPr>
              <w:t>ex</w:t>
            </w:r>
            <w:r w:rsidR="007D41B1" w:rsidRPr="00D657E1">
              <w:rPr>
                <w:lang w:val="en-GB"/>
              </w:rPr>
              <w:t>c</w:t>
            </w:r>
            <w:r w:rsidRPr="00D657E1">
              <w:rPr>
                <w:lang w:val="en-GB"/>
              </w:rPr>
              <w:t>eptionals</w:t>
            </w:r>
            <w:proofErr w:type="spellEnd"/>
          </w:p>
        </w:tc>
        <w:tc>
          <w:tcPr>
            <w:tcW w:w="1980" w:type="dxa"/>
            <w:shd w:val="clear" w:color="000000" w:fill="FFFFFF"/>
            <w:noWrap/>
            <w:vAlign w:val="center"/>
            <w:hideMark/>
          </w:tcPr>
          <w:p w14:paraId="389D5A57" w14:textId="46C9040E"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30,498</w:t>
            </w:r>
          </w:p>
        </w:tc>
        <w:tc>
          <w:tcPr>
            <w:tcW w:w="1980" w:type="dxa"/>
            <w:shd w:val="clear" w:color="000000" w:fill="FFFFFF"/>
            <w:noWrap/>
            <w:vAlign w:val="center"/>
            <w:hideMark/>
          </w:tcPr>
          <w:p w14:paraId="079F7AEC" w14:textId="28AD7790" w:rsidR="00246014" w:rsidRPr="00D657E1" w:rsidRDefault="002459E0" w:rsidP="00246014">
            <w:pPr>
              <w:pStyle w:val="ExhibitText"/>
              <w:jc w:val="right"/>
              <w:rPr>
                <w:lang w:val="en-GB"/>
              </w:rPr>
            </w:pPr>
            <w:r w:rsidRPr="00D657E1">
              <w:rPr>
                <w:lang w:val="en-GB"/>
              </w:rPr>
              <w:t>−</w:t>
            </w:r>
            <w:r w:rsidR="00246014" w:rsidRPr="00D657E1">
              <w:rPr>
                <w:lang w:val="en-GB"/>
              </w:rPr>
              <w:t>24,993</w:t>
            </w:r>
          </w:p>
        </w:tc>
        <w:tc>
          <w:tcPr>
            <w:tcW w:w="2070" w:type="dxa"/>
            <w:shd w:val="clear" w:color="000000" w:fill="FFFFFF"/>
            <w:noWrap/>
            <w:vAlign w:val="center"/>
            <w:hideMark/>
          </w:tcPr>
          <w:p w14:paraId="0C3B75DF" w14:textId="21D08710" w:rsidR="00246014" w:rsidRPr="00D657E1" w:rsidRDefault="002459E0" w:rsidP="00246014">
            <w:pPr>
              <w:pStyle w:val="ExhibitText"/>
              <w:jc w:val="right"/>
              <w:rPr>
                <w:lang w:val="en-GB"/>
              </w:rPr>
            </w:pPr>
            <w:r w:rsidRPr="00D657E1">
              <w:rPr>
                <w:lang w:val="en-GB"/>
              </w:rPr>
              <w:t>−</w:t>
            </w:r>
            <w:r w:rsidR="00246014" w:rsidRPr="00D657E1">
              <w:rPr>
                <w:lang w:val="en-GB"/>
              </w:rPr>
              <w:t>47,567</w:t>
            </w:r>
          </w:p>
        </w:tc>
      </w:tr>
      <w:tr w:rsidR="00246014" w:rsidRPr="00D657E1" w14:paraId="68787EFA" w14:textId="77777777" w:rsidTr="00246014">
        <w:trPr>
          <w:trHeight w:val="300"/>
        </w:trPr>
        <w:tc>
          <w:tcPr>
            <w:tcW w:w="3145" w:type="dxa"/>
            <w:shd w:val="clear" w:color="000000" w:fill="FFFFFF"/>
            <w:vAlign w:val="center"/>
            <w:hideMark/>
          </w:tcPr>
          <w:p w14:paraId="1E7B4F0D" w14:textId="77777777" w:rsidR="00246014" w:rsidRPr="00D657E1" w:rsidRDefault="00246014" w:rsidP="00246014">
            <w:pPr>
              <w:pStyle w:val="ExhibitText"/>
              <w:jc w:val="left"/>
              <w:rPr>
                <w:lang w:val="en-GB"/>
              </w:rPr>
            </w:pPr>
            <w:r w:rsidRPr="00D657E1">
              <w:rPr>
                <w:lang w:val="en-GB"/>
              </w:rPr>
              <w:t>Impairment of goodwill</w:t>
            </w:r>
          </w:p>
        </w:tc>
        <w:tc>
          <w:tcPr>
            <w:tcW w:w="1980" w:type="dxa"/>
            <w:shd w:val="clear" w:color="000000" w:fill="FFFFFF"/>
            <w:noWrap/>
            <w:vAlign w:val="center"/>
            <w:hideMark/>
          </w:tcPr>
          <w:p w14:paraId="7B945E24" w14:textId="0E173D7C" w:rsidR="00246014" w:rsidRPr="00D657E1" w:rsidRDefault="00FB061A" w:rsidP="00246014">
            <w:pPr>
              <w:pStyle w:val="ExhibitText"/>
              <w:jc w:val="right"/>
              <w:rPr>
                <w:b/>
                <w:bCs/>
                <w:lang w:val="en-GB"/>
              </w:rPr>
            </w:pPr>
            <w:r>
              <w:rPr>
                <w:b/>
                <w:bCs/>
                <w:lang w:val="en-GB"/>
              </w:rPr>
              <w:t>–</w:t>
            </w:r>
          </w:p>
        </w:tc>
        <w:tc>
          <w:tcPr>
            <w:tcW w:w="1980" w:type="dxa"/>
            <w:shd w:val="clear" w:color="000000" w:fill="FFFFFF"/>
            <w:noWrap/>
            <w:vAlign w:val="center"/>
            <w:hideMark/>
          </w:tcPr>
          <w:p w14:paraId="05EC82AB" w14:textId="57DA29AF" w:rsidR="00246014" w:rsidRPr="00D657E1" w:rsidRDefault="002459E0" w:rsidP="00246014">
            <w:pPr>
              <w:pStyle w:val="ExhibitText"/>
              <w:jc w:val="right"/>
              <w:rPr>
                <w:lang w:val="en-GB"/>
              </w:rPr>
            </w:pPr>
            <w:r w:rsidRPr="00D657E1">
              <w:rPr>
                <w:lang w:val="en-GB"/>
              </w:rPr>
              <w:t>−</w:t>
            </w:r>
            <w:r w:rsidR="00246014" w:rsidRPr="00D657E1">
              <w:rPr>
                <w:lang w:val="en-GB"/>
              </w:rPr>
              <w:t>3,758</w:t>
            </w:r>
          </w:p>
        </w:tc>
        <w:tc>
          <w:tcPr>
            <w:tcW w:w="2070" w:type="dxa"/>
            <w:shd w:val="clear" w:color="000000" w:fill="FFFFFF"/>
            <w:noWrap/>
            <w:vAlign w:val="center"/>
            <w:hideMark/>
          </w:tcPr>
          <w:p w14:paraId="5D5D89B3" w14:textId="677DF33E" w:rsidR="00246014" w:rsidRPr="00D657E1" w:rsidRDefault="002459E0" w:rsidP="00246014">
            <w:pPr>
              <w:pStyle w:val="ExhibitText"/>
              <w:jc w:val="right"/>
              <w:rPr>
                <w:lang w:val="en-GB"/>
              </w:rPr>
            </w:pPr>
            <w:r w:rsidRPr="00D657E1">
              <w:rPr>
                <w:lang w:val="en-GB"/>
              </w:rPr>
              <w:t>−</w:t>
            </w:r>
            <w:r w:rsidR="00246014" w:rsidRPr="00D657E1">
              <w:rPr>
                <w:lang w:val="en-GB"/>
              </w:rPr>
              <w:t>7,235</w:t>
            </w:r>
          </w:p>
        </w:tc>
      </w:tr>
      <w:tr w:rsidR="00246014" w:rsidRPr="00D657E1" w14:paraId="494B041A" w14:textId="77777777" w:rsidTr="00246014">
        <w:trPr>
          <w:trHeight w:val="300"/>
        </w:trPr>
        <w:tc>
          <w:tcPr>
            <w:tcW w:w="3145" w:type="dxa"/>
            <w:shd w:val="clear" w:color="000000" w:fill="FFFFFF"/>
            <w:vAlign w:val="center"/>
            <w:hideMark/>
          </w:tcPr>
          <w:p w14:paraId="71AC2CAF" w14:textId="77777777" w:rsidR="00246014" w:rsidRPr="00D657E1" w:rsidRDefault="00246014" w:rsidP="00246014">
            <w:pPr>
              <w:pStyle w:val="ExhibitText"/>
              <w:jc w:val="left"/>
              <w:rPr>
                <w:lang w:val="en-GB"/>
              </w:rPr>
            </w:pPr>
            <w:r w:rsidRPr="00D657E1">
              <w:rPr>
                <w:lang w:val="en-GB"/>
              </w:rPr>
              <w:t>Impairment of intangibles</w:t>
            </w:r>
          </w:p>
        </w:tc>
        <w:tc>
          <w:tcPr>
            <w:tcW w:w="1980" w:type="dxa"/>
            <w:shd w:val="clear" w:color="000000" w:fill="FFFFFF"/>
            <w:noWrap/>
            <w:vAlign w:val="center"/>
            <w:hideMark/>
          </w:tcPr>
          <w:p w14:paraId="753B3D0B" w14:textId="2C9E8156" w:rsidR="00246014" w:rsidRPr="00D657E1" w:rsidRDefault="00FB061A" w:rsidP="00246014">
            <w:pPr>
              <w:pStyle w:val="ExhibitText"/>
              <w:jc w:val="right"/>
              <w:rPr>
                <w:b/>
                <w:bCs/>
                <w:lang w:val="en-GB"/>
              </w:rPr>
            </w:pPr>
            <w:r>
              <w:rPr>
                <w:b/>
                <w:bCs/>
                <w:lang w:val="en-GB"/>
              </w:rPr>
              <w:t>–</w:t>
            </w:r>
          </w:p>
        </w:tc>
        <w:tc>
          <w:tcPr>
            <w:tcW w:w="1980" w:type="dxa"/>
            <w:shd w:val="clear" w:color="000000" w:fill="FFFFFF"/>
            <w:noWrap/>
            <w:vAlign w:val="center"/>
            <w:hideMark/>
          </w:tcPr>
          <w:p w14:paraId="7CA1B86B" w14:textId="65E9751A" w:rsidR="00246014" w:rsidRPr="00D657E1" w:rsidRDefault="002459E0" w:rsidP="00246014">
            <w:pPr>
              <w:pStyle w:val="ExhibitText"/>
              <w:jc w:val="right"/>
              <w:rPr>
                <w:lang w:val="en-GB"/>
              </w:rPr>
            </w:pPr>
            <w:r w:rsidRPr="00D657E1">
              <w:rPr>
                <w:lang w:val="en-GB"/>
              </w:rPr>
              <w:t>−</w:t>
            </w:r>
            <w:r w:rsidR="00246014" w:rsidRPr="00D657E1">
              <w:rPr>
                <w:lang w:val="en-GB"/>
              </w:rPr>
              <w:t>1,935</w:t>
            </w:r>
          </w:p>
        </w:tc>
        <w:tc>
          <w:tcPr>
            <w:tcW w:w="2070" w:type="dxa"/>
            <w:shd w:val="clear" w:color="000000" w:fill="FFFFFF"/>
            <w:noWrap/>
            <w:vAlign w:val="center"/>
            <w:hideMark/>
          </w:tcPr>
          <w:p w14:paraId="632CD096" w14:textId="483E4FA5" w:rsidR="00246014" w:rsidRPr="00D657E1" w:rsidRDefault="002459E0" w:rsidP="00246014">
            <w:pPr>
              <w:pStyle w:val="ExhibitText"/>
              <w:jc w:val="right"/>
              <w:rPr>
                <w:lang w:val="en-GB"/>
              </w:rPr>
            </w:pPr>
            <w:r w:rsidRPr="00D657E1">
              <w:rPr>
                <w:lang w:val="en-GB"/>
              </w:rPr>
              <w:t>−</w:t>
            </w:r>
            <w:r w:rsidR="00246014" w:rsidRPr="00D657E1">
              <w:rPr>
                <w:lang w:val="en-GB"/>
              </w:rPr>
              <w:t>8,081</w:t>
            </w:r>
          </w:p>
        </w:tc>
      </w:tr>
      <w:tr w:rsidR="00246014" w:rsidRPr="00D657E1" w14:paraId="6784941A" w14:textId="77777777" w:rsidTr="00246014">
        <w:trPr>
          <w:trHeight w:val="300"/>
        </w:trPr>
        <w:tc>
          <w:tcPr>
            <w:tcW w:w="3145" w:type="dxa"/>
            <w:shd w:val="clear" w:color="000000" w:fill="FFFFFF"/>
            <w:vAlign w:val="center"/>
            <w:hideMark/>
          </w:tcPr>
          <w:p w14:paraId="5DE92BB7" w14:textId="77777777" w:rsidR="00246014" w:rsidRPr="00D657E1" w:rsidRDefault="00246014" w:rsidP="00246014">
            <w:pPr>
              <w:pStyle w:val="ExhibitText"/>
              <w:jc w:val="left"/>
              <w:rPr>
                <w:lang w:val="en-GB"/>
              </w:rPr>
            </w:pPr>
            <w:r w:rsidRPr="00D657E1">
              <w:rPr>
                <w:lang w:val="en-GB"/>
              </w:rPr>
              <w:t>Impairment of aircraft</w:t>
            </w:r>
          </w:p>
        </w:tc>
        <w:tc>
          <w:tcPr>
            <w:tcW w:w="1980" w:type="dxa"/>
            <w:shd w:val="clear" w:color="000000" w:fill="FFFFFF"/>
            <w:noWrap/>
            <w:vAlign w:val="center"/>
            <w:hideMark/>
          </w:tcPr>
          <w:p w14:paraId="553EF641" w14:textId="57D47810" w:rsidR="00246014" w:rsidRPr="00D657E1" w:rsidRDefault="00FB061A" w:rsidP="00246014">
            <w:pPr>
              <w:pStyle w:val="ExhibitText"/>
              <w:jc w:val="right"/>
              <w:rPr>
                <w:b/>
                <w:bCs/>
                <w:lang w:val="en-GB"/>
              </w:rPr>
            </w:pPr>
            <w:r>
              <w:rPr>
                <w:b/>
                <w:bCs/>
                <w:lang w:val="en-GB"/>
              </w:rPr>
              <w:t>–</w:t>
            </w:r>
          </w:p>
        </w:tc>
        <w:tc>
          <w:tcPr>
            <w:tcW w:w="1980" w:type="dxa"/>
            <w:shd w:val="clear" w:color="000000" w:fill="FFFFFF"/>
            <w:noWrap/>
            <w:vAlign w:val="center"/>
            <w:hideMark/>
          </w:tcPr>
          <w:p w14:paraId="6B79EF3B" w14:textId="0D0EE405" w:rsidR="00246014" w:rsidRPr="00D657E1" w:rsidRDefault="00FB061A" w:rsidP="00246014">
            <w:pPr>
              <w:pStyle w:val="ExhibitText"/>
              <w:jc w:val="right"/>
              <w:rPr>
                <w:lang w:val="en-GB"/>
              </w:rPr>
            </w:pPr>
            <w:r>
              <w:rPr>
                <w:lang w:val="en-GB"/>
              </w:rPr>
              <w:t>–</w:t>
            </w:r>
          </w:p>
        </w:tc>
        <w:tc>
          <w:tcPr>
            <w:tcW w:w="2070" w:type="dxa"/>
            <w:shd w:val="clear" w:color="000000" w:fill="FFFFFF"/>
            <w:noWrap/>
            <w:vAlign w:val="center"/>
            <w:hideMark/>
          </w:tcPr>
          <w:p w14:paraId="3FDB9F8C" w14:textId="198247AF" w:rsidR="00246014" w:rsidRPr="00D657E1" w:rsidRDefault="002459E0" w:rsidP="00246014">
            <w:pPr>
              <w:pStyle w:val="ExhibitText"/>
              <w:jc w:val="right"/>
              <w:rPr>
                <w:lang w:val="en-GB"/>
              </w:rPr>
            </w:pPr>
            <w:r w:rsidRPr="00D657E1">
              <w:rPr>
                <w:lang w:val="en-GB"/>
              </w:rPr>
              <w:t>−</w:t>
            </w:r>
            <w:r w:rsidR="00246014" w:rsidRPr="00D657E1">
              <w:rPr>
                <w:lang w:val="en-GB"/>
              </w:rPr>
              <w:t>4,259</w:t>
            </w:r>
          </w:p>
        </w:tc>
      </w:tr>
      <w:tr w:rsidR="00246014" w:rsidRPr="00D657E1" w14:paraId="0E0159AD" w14:textId="77777777" w:rsidTr="00246014">
        <w:trPr>
          <w:trHeight w:val="300"/>
        </w:trPr>
        <w:tc>
          <w:tcPr>
            <w:tcW w:w="3145" w:type="dxa"/>
            <w:shd w:val="clear" w:color="000000" w:fill="FFFFFF"/>
            <w:vAlign w:val="center"/>
            <w:hideMark/>
          </w:tcPr>
          <w:p w14:paraId="643285E8" w14:textId="77777777" w:rsidR="00246014" w:rsidRPr="00D657E1" w:rsidRDefault="00246014" w:rsidP="00246014">
            <w:pPr>
              <w:pStyle w:val="ExhibitText"/>
              <w:jc w:val="left"/>
              <w:rPr>
                <w:lang w:val="en-GB"/>
              </w:rPr>
            </w:pPr>
            <w:r w:rsidRPr="00D657E1">
              <w:rPr>
                <w:lang w:val="en-GB"/>
              </w:rPr>
              <w:t>Impairment of investments</w:t>
            </w:r>
          </w:p>
        </w:tc>
        <w:tc>
          <w:tcPr>
            <w:tcW w:w="1980" w:type="dxa"/>
            <w:shd w:val="clear" w:color="000000" w:fill="FFFFFF"/>
            <w:noWrap/>
            <w:vAlign w:val="center"/>
            <w:hideMark/>
          </w:tcPr>
          <w:p w14:paraId="0147F4AB" w14:textId="0F4E3E01" w:rsidR="00246014" w:rsidRPr="00D657E1" w:rsidRDefault="00FB061A" w:rsidP="00246014">
            <w:pPr>
              <w:pStyle w:val="ExhibitText"/>
              <w:jc w:val="right"/>
              <w:rPr>
                <w:b/>
                <w:bCs/>
                <w:lang w:val="en-GB"/>
              </w:rPr>
            </w:pPr>
            <w:r>
              <w:rPr>
                <w:b/>
                <w:bCs/>
                <w:lang w:val="en-GB"/>
              </w:rPr>
              <w:t>–</w:t>
            </w:r>
          </w:p>
        </w:tc>
        <w:tc>
          <w:tcPr>
            <w:tcW w:w="1980" w:type="dxa"/>
            <w:shd w:val="clear" w:color="000000" w:fill="FFFFFF"/>
            <w:noWrap/>
            <w:vAlign w:val="center"/>
            <w:hideMark/>
          </w:tcPr>
          <w:p w14:paraId="4082005D" w14:textId="3604B6C7" w:rsidR="00246014" w:rsidRPr="00D657E1" w:rsidRDefault="002459E0" w:rsidP="00246014">
            <w:pPr>
              <w:pStyle w:val="ExhibitText"/>
              <w:jc w:val="right"/>
              <w:rPr>
                <w:lang w:val="en-GB"/>
              </w:rPr>
            </w:pPr>
            <w:r w:rsidRPr="00D657E1">
              <w:rPr>
                <w:lang w:val="en-GB"/>
              </w:rPr>
              <w:t>−</w:t>
            </w:r>
            <w:r w:rsidR="00246014" w:rsidRPr="00D657E1">
              <w:rPr>
                <w:lang w:val="en-GB"/>
              </w:rPr>
              <w:t>8,772</w:t>
            </w:r>
          </w:p>
        </w:tc>
        <w:tc>
          <w:tcPr>
            <w:tcW w:w="2070" w:type="dxa"/>
            <w:shd w:val="clear" w:color="000000" w:fill="FFFFFF"/>
            <w:noWrap/>
            <w:vAlign w:val="center"/>
            <w:hideMark/>
          </w:tcPr>
          <w:p w14:paraId="5654CB1F" w14:textId="6DE4BE97" w:rsidR="00246014" w:rsidRPr="00D657E1" w:rsidRDefault="002459E0" w:rsidP="00246014">
            <w:pPr>
              <w:pStyle w:val="ExhibitText"/>
              <w:jc w:val="right"/>
              <w:rPr>
                <w:lang w:val="en-GB"/>
              </w:rPr>
            </w:pPr>
            <w:r w:rsidRPr="00D657E1">
              <w:rPr>
                <w:lang w:val="en-GB"/>
              </w:rPr>
              <w:t>−</w:t>
            </w:r>
            <w:r w:rsidR="00246014" w:rsidRPr="00D657E1">
              <w:rPr>
                <w:lang w:val="en-GB"/>
              </w:rPr>
              <w:t>19,248</w:t>
            </w:r>
          </w:p>
        </w:tc>
      </w:tr>
      <w:tr w:rsidR="00246014" w:rsidRPr="00D657E1" w14:paraId="20C9B8A6" w14:textId="77777777" w:rsidTr="00246014">
        <w:trPr>
          <w:trHeight w:val="560"/>
        </w:trPr>
        <w:tc>
          <w:tcPr>
            <w:tcW w:w="3145" w:type="dxa"/>
            <w:shd w:val="clear" w:color="000000" w:fill="FFFFFF"/>
            <w:vAlign w:val="center"/>
            <w:hideMark/>
          </w:tcPr>
          <w:p w14:paraId="64DA0D86" w14:textId="77777777" w:rsidR="00246014" w:rsidRPr="00D657E1" w:rsidRDefault="00246014" w:rsidP="00246014">
            <w:pPr>
              <w:pStyle w:val="ExhibitText"/>
              <w:jc w:val="left"/>
              <w:rPr>
                <w:lang w:val="en-GB"/>
              </w:rPr>
            </w:pPr>
            <w:r w:rsidRPr="00D657E1">
              <w:rPr>
                <w:lang w:val="en-GB"/>
              </w:rPr>
              <w:t>Termination of management agreement</w:t>
            </w:r>
          </w:p>
        </w:tc>
        <w:tc>
          <w:tcPr>
            <w:tcW w:w="1980" w:type="dxa"/>
            <w:shd w:val="clear" w:color="000000" w:fill="FFFFFF"/>
            <w:noWrap/>
            <w:vAlign w:val="center"/>
            <w:hideMark/>
          </w:tcPr>
          <w:p w14:paraId="1C45B90E" w14:textId="7B709FF0"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2,504</w:t>
            </w:r>
          </w:p>
        </w:tc>
        <w:tc>
          <w:tcPr>
            <w:tcW w:w="1980" w:type="dxa"/>
            <w:shd w:val="clear" w:color="000000" w:fill="FFFFFF"/>
            <w:noWrap/>
            <w:vAlign w:val="center"/>
            <w:hideMark/>
          </w:tcPr>
          <w:p w14:paraId="39D90CBA" w14:textId="47AD69F4" w:rsidR="00246014" w:rsidRPr="00D657E1" w:rsidRDefault="00FB061A" w:rsidP="00246014">
            <w:pPr>
              <w:pStyle w:val="ExhibitText"/>
              <w:jc w:val="right"/>
              <w:rPr>
                <w:lang w:val="en-GB"/>
              </w:rPr>
            </w:pPr>
            <w:r>
              <w:rPr>
                <w:lang w:val="en-GB"/>
              </w:rPr>
              <w:t>–</w:t>
            </w:r>
          </w:p>
        </w:tc>
        <w:tc>
          <w:tcPr>
            <w:tcW w:w="2070" w:type="dxa"/>
            <w:shd w:val="clear" w:color="000000" w:fill="FFFFFF"/>
            <w:noWrap/>
            <w:vAlign w:val="center"/>
            <w:hideMark/>
          </w:tcPr>
          <w:p w14:paraId="56CA0FB7" w14:textId="62C69B51" w:rsidR="00246014" w:rsidRPr="00D657E1" w:rsidRDefault="00FB061A" w:rsidP="00246014">
            <w:pPr>
              <w:pStyle w:val="ExhibitText"/>
              <w:jc w:val="right"/>
              <w:rPr>
                <w:lang w:val="en-GB"/>
              </w:rPr>
            </w:pPr>
            <w:r>
              <w:rPr>
                <w:lang w:val="en-GB"/>
              </w:rPr>
              <w:t>–</w:t>
            </w:r>
          </w:p>
        </w:tc>
      </w:tr>
      <w:tr w:rsidR="00246014" w:rsidRPr="00D657E1" w14:paraId="185B43A2" w14:textId="77777777" w:rsidTr="00246014">
        <w:trPr>
          <w:trHeight w:val="840"/>
        </w:trPr>
        <w:tc>
          <w:tcPr>
            <w:tcW w:w="3145" w:type="dxa"/>
            <w:shd w:val="clear" w:color="000000" w:fill="FFFFFF"/>
            <w:vAlign w:val="center"/>
            <w:hideMark/>
          </w:tcPr>
          <w:p w14:paraId="75BD719F" w14:textId="2AB4A869" w:rsidR="00246014" w:rsidRPr="00D657E1" w:rsidRDefault="00246014" w:rsidP="005351E7">
            <w:pPr>
              <w:pStyle w:val="ExhibitText"/>
              <w:jc w:val="left"/>
              <w:rPr>
                <w:lang w:val="en-GB"/>
              </w:rPr>
            </w:pPr>
            <w:r w:rsidRPr="00D657E1">
              <w:rPr>
                <w:lang w:val="en-GB"/>
              </w:rPr>
              <w:t>Reversal of impairment (</w:t>
            </w:r>
            <w:r w:rsidR="005E72D5" w:rsidRPr="00D657E1">
              <w:rPr>
                <w:lang w:val="en-GB"/>
              </w:rPr>
              <w:t>i</w:t>
            </w:r>
            <w:r w:rsidRPr="00D657E1">
              <w:rPr>
                <w:lang w:val="en-GB"/>
              </w:rPr>
              <w:t>mpairment) of receivables from related parties</w:t>
            </w:r>
          </w:p>
        </w:tc>
        <w:tc>
          <w:tcPr>
            <w:tcW w:w="1980" w:type="dxa"/>
            <w:shd w:val="clear" w:color="000000" w:fill="FFFFFF"/>
            <w:noWrap/>
            <w:vAlign w:val="center"/>
            <w:hideMark/>
          </w:tcPr>
          <w:p w14:paraId="7FBCDF3D" w14:textId="78415EEB" w:rsidR="00246014" w:rsidRPr="00D657E1" w:rsidRDefault="00FB061A" w:rsidP="00246014">
            <w:pPr>
              <w:pStyle w:val="ExhibitText"/>
              <w:jc w:val="right"/>
              <w:rPr>
                <w:b/>
                <w:bCs/>
                <w:lang w:val="en-GB"/>
              </w:rPr>
            </w:pPr>
            <w:r>
              <w:rPr>
                <w:b/>
                <w:bCs/>
                <w:lang w:val="en-GB"/>
              </w:rPr>
              <w:t>–</w:t>
            </w:r>
          </w:p>
        </w:tc>
        <w:tc>
          <w:tcPr>
            <w:tcW w:w="1980" w:type="dxa"/>
            <w:shd w:val="clear" w:color="000000" w:fill="FFFFFF"/>
            <w:noWrap/>
            <w:vAlign w:val="center"/>
            <w:hideMark/>
          </w:tcPr>
          <w:p w14:paraId="0BCD1861" w14:textId="6FAD7F1C" w:rsidR="00246014" w:rsidRPr="00D657E1" w:rsidRDefault="00FE14FE" w:rsidP="00246014">
            <w:pPr>
              <w:pStyle w:val="ExhibitText"/>
              <w:jc w:val="right"/>
              <w:rPr>
                <w:lang w:val="en-GB"/>
              </w:rPr>
            </w:pPr>
            <w:r w:rsidRPr="00D657E1">
              <w:rPr>
                <w:lang w:val="en-GB"/>
              </w:rPr>
              <w:t>−</w:t>
            </w:r>
            <w:r w:rsidR="00246014" w:rsidRPr="00D657E1">
              <w:rPr>
                <w:lang w:val="en-GB"/>
              </w:rPr>
              <w:t>6</w:t>
            </w:r>
          </w:p>
        </w:tc>
        <w:tc>
          <w:tcPr>
            <w:tcW w:w="2070" w:type="dxa"/>
            <w:shd w:val="clear" w:color="000000" w:fill="FFFFFF"/>
            <w:noWrap/>
            <w:vAlign w:val="center"/>
            <w:hideMark/>
          </w:tcPr>
          <w:p w14:paraId="562D0665" w14:textId="77777777" w:rsidR="00246014" w:rsidRPr="00D657E1" w:rsidRDefault="00246014" w:rsidP="00246014">
            <w:pPr>
              <w:pStyle w:val="ExhibitText"/>
              <w:jc w:val="right"/>
              <w:rPr>
                <w:lang w:val="en-GB"/>
              </w:rPr>
            </w:pPr>
            <w:r w:rsidRPr="00D657E1">
              <w:rPr>
                <w:lang w:val="en-GB"/>
              </w:rPr>
              <w:t>7,311</w:t>
            </w:r>
          </w:p>
        </w:tc>
      </w:tr>
      <w:tr w:rsidR="00246014" w:rsidRPr="00D657E1" w14:paraId="0D6A899D" w14:textId="77777777" w:rsidTr="00246014">
        <w:trPr>
          <w:trHeight w:val="560"/>
        </w:trPr>
        <w:tc>
          <w:tcPr>
            <w:tcW w:w="3145" w:type="dxa"/>
            <w:shd w:val="clear" w:color="000000" w:fill="FFFFFF"/>
            <w:vAlign w:val="center"/>
            <w:hideMark/>
          </w:tcPr>
          <w:p w14:paraId="003E69C2" w14:textId="77777777" w:rsidR="00246014" w:rsidRPr="00D657E1" w:rsidRDefault="00246014" w:rsidP="00246014">
            <w:pPr>
              <w:pStyle w:val="ExhibitText"/>
              <w:jc w:val="left"/>
              <w:rPr>
                <w:lang w:val="en-GB"/>
              </w:rPr>
            </w:pPr>
            <w:r w:rsidRPr="00D657E1">
              <w:rPr>
                <w:lang w:val="en-GB"/>
              </w:rPr>
              <w:t xml:space="preserve">Operating loss after </w:t>
            </w:r>
            <w:proofErr w:type="spellStart"/>
            <w:r w:rsidRPr="00D657E1">
              <w:rPr>
                <w:lang w:val="en-GB"/>
              </w:rPr>
              <w:t>exceptionals</w:t>
            </w:r>
            <w:proofErr w:type="spellEnd"/>
          </w:p>
        </w:tc>
        <w:tc>
          <w:tcPr>
            <w:tcW w:w="1980" w:type="dxa"/>
            <w:shd w:val="clear" w:color="000000" w:fill="FFFFFF"/>
            <w:noWrap/>
            <w:vAlign w:val="center"/>
            <w:hideMark/>
          </w:tcPr>
          <w:p w14:paraId="756BEB06" w14:textId="6DF25380"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33,002</w:t>
            </w:r>
          </w:p>
        </w:tc>
        <w:tc>
          <w:tcPr>
            <w:tcW w:w="1980" w:type="dxa"/>
            <w:shd w:val="clear" w:color="000000" w:fill="FFFFFF"/>
            <w:noWrap/>
            <w:vAlign w:val="center"/>
            <w:hideMark/>
          </w:tcPr>
          <w:p w14:paraId="4824442F" w14:textId="047A38EF" w:rsidR="00246014" w:rsidRPr="00D657E1" w:rsidRDefault="002459E0" w:rsidP="00246014">
            <w:pPr>
              <w:pStyle w:val="ExhibitText"/>
              <w:jc w:val="right"/>
              <w:rPr>
                <w:lang w:val="en-GB"/>
              </w:rPr>
            </w:pPr>
            <w:r w:rsidRPr="00D657E1">
              <w:rPr>
                <w:lang w:val="en-GB"/>
              </w:rPr>
              <w:t>−</w:t>
            </w:r>
            <w:r w:rsidR="00246014" w:rsidRPr="00D657E1">
              <w:rPr>
                <w:lang w:val="en-GB"/>
              </w:rPr>
              <w:t>39,464</w:t>
            </w:r>
          </w:p>
        </w:tc>
        <w:tc>
          <w:tcPr>
            <w:tcW w:w="2070" w:type="dxa"/>
            <w:shd w:val="clear" w:color="000000" w:fill="FFFFFF"/>
            <w:noWrap/>
            <w:vAlign w:val="center"/>
            <w:hideMark/>
          </w:tcPr>
          <w:p w14:paraId="3258A2CE" w14:textId="5FE6DDCC" w:rsidR="00246014" w:rsidRPr="00D657E1" w:rsidRDefault="002459E0" w:rsidP="00246014">
            <w:pPr>
              <w:pStyle w:val="ExhibitText"/>
              <w:jc w:val="right"/>
              <w:rPr>
                <w:lang w:val="en-GB"/>
              </w:rPr>
            </w:pPr>
            <w:r w:rsidRPr="00D657E1">
              <w:rPr>
                <w:lang w:val="en-GB"/>
              </w:rPr>
              <w:t>−</w:t>
            </w:r>
            <w:r w:rsidR="00246014" w:rsidRPr="00D657E1">
              <w:rPr>
                <w:lang w:val="en-GB"/>
              </w:rPr>
              <w:t>79,079</w:t>
            </w:r>
          </w:p>
        </w:tc>
      </w:tr>
      <w:tr w:rsidR="00246014" w:rsidRPr="00D657E1" w14:paraId="72FD2B7C" w14:textId="77777777" w:rsidTr="00246014">
        <w:trPr>
          <w:trHeight w:val="300"/>
        </w:trPr>
        <w:tc>
          <w:tcPr>
            <w:tcW w:w="3145" w:type="dxa"/>
            <w:shd w:val="clear" w:color="000000" w:fill="FFFFFF"/>
            <w:vAlign w:val="center"/>
            <w:hideMark/>
          </w:tcPr>
          <w:p w14:paraId="4B2DF82B" w14:textId="77777777" w:rsidR="00246014" w:rsidRPr="00D657E1" w:rsidRDefault="00246014" w:rsidP="00246014">
            <w:pPr>
              <w:pStyle w:val="ExhibitText"/>
              <w:jc w:val="left"/>
              <w:rPr>
                <w:lang w:val="en-GB"/>
              </w:rPr>
            </w:pPr>
            <w:r w:rsidRPr="00D657E1">
              <w:rPr>
                <w:lang w:val="en-GB"/>
              </w:rPr>
              <w:t>Finance charges</w:t>
            </w:r>
          </w:p>
        </w:tc>
        <w:tc>
          <w:tcPr>
            <w:tcW w:w="1980" w:type="dxa"/>
            <w:shd w:val="clear" w:color="000000" w:fill="FFFFFF"/>
            <w:noWrap/>
            <w:vAlign w:val="center"/>
            <w:hideMark/>
          </w:tcPr>
          <w:p w14:paraId="3D9662F0" w14:textId="36D7C50F"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1,471</w:t>
            </w:r>
          </w:p>
        </w:tc>
        <w:tc>
          <w:tcPr>
            <w:tcW w:w="1980" w:type="dxa"/>
            <w:shd w:val="clear" w:color="000000" w:fill="FFFFFF"/>
            <w:noWrap/>
            <w:vAlign w:val="center"/>
            <w:hideMark/>
          </w:tcPr>
          <w:p w14:paraId="4D5E5872" w14:textId="0EAFA426" w:rsidR="00246014" w:rsidRPr="00D657E1" w:rsidRDefault="002459E0" w:rsidP="00246014">
            <w:pPr>
              <w:pStyle w:val="ExhibitText"/>
              <w:jc w:val="right"/>
              <w:rPr>
                <w:lang w:val="en-GB"/>
              </w:rPr>
            </w:pPr>
            <w:r w:rsidRPr="00D657E1">
              <w:rPr>
                <w:lang w:val="en-GB"/>
              </w:rPr>
              <w:t>−</w:t>
            </w:r>
            <w:r w:rsidR="00246014" w:rsidRPr="00D657E1">
              <w:rPr>
                <w:lang w:val="en-GB"/>
              </w:rPr>
              <w:t>2,456</w:t>
            </w:r>
          </w:p>
        </w:tc>
        <w:tc>
          <w:tcPr>
            <w:tcW w:w="2070" w:type="dxa"/>
            <w:shd w:val="clear" w:color="000000" w:fill="FFFFFF"/>
            <w:noWrap/>
            <w:vAlign w:val="center"/>
            <w:hideMark/>
          </w:tcPr>
          <w:p w14:paraId="3773DD4A" w14:textId="0338F52A" w:rsidR="00246014" w:rsidRPr="00D657E1" w:rsidRDefault="002459E0" w:rsidP="00246014">
            <w:pPr>
              <w:pStyle w:val="ExhibitText"/>
              <w:jc w:val="right"/>
              <w:rPr>
                <w:lang w:val="en-GB"/>
              </w:rPr>
            </w:pPr>
            <w:r w:rsidRPr="00D657E1">
              <w:rPr>
                <w:lang w:val="en-GB"/>
              </w:rPr>
              <w:t>−</w:t>
            </w:r>
            <w:r w:rsidR="00246014" w:rsidRPr="00D657E1">
              <w:rPr>
                <w:lang w:val="en-GB"/>
              </w:rPr>
              <w:t>3,272</w:t>
            </w:r>
          </w:p>
        </w:tc>
      </w:tr>
      <w:tr w:rsidR="00246014" w:rsidRPr="00D657E1" w14:paraId="2F4D02F1" w14:textId="77777777" w:rsidTr="00246014">
        <w:trPr>
          <w:trHeight w:val="300"/>
        </w:trPr>
        <w:tc>
          <w:tcPr>
            <w:tcW w:w="3145" w:type="dxa"/>
            <w:shd w:val="clear" w:color="000000" w:fill="FFFFFF"/>
            <w:vAlign w:val="center"/>
            <w:hideMark/>
          </w:tcPr>
          <w:p w14:paraId="757A1873" w14:textId="77777777" w:rsidR="00246014" w:rsidRPr="00D657E1" w:rsidRDefault="00246014" w:rsidP="00246014">
            <w:pPr>
              <w:pStyle w:val="ExhibitText"/>
              <w:jc w:val="left"/>
              <w:rPr>
                <w:lang w:val="en-GB"/>
              </w:rPr>
            </w:pPr>
            <w:r w:rsidRPr="00D657E1">
              <w:rPr>
                <w:lang w:val="en-GB"/>
              </w:rPr>
              <w:t>Loss for the period before tax</w:t>
            </w:r>
          </w:p>
        </w:tc>
        <w:tc>
          <w:tcPr>
            <w:tcW w:w="1980" w:type="dxa"/>
            <w:shd w:val="clear" w:color="000000" w:fill="FFFFFF"/>
            <w:noWrap/>
            <w:vAlign w:val="center"/>
            <w:hideMark/>
          </w:tcPr>
          <w:p w14:paraId="6808DCE6" w14:textId="3B21F7F1"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34,473</w:t>
            </w:r>
          </w:p>
        </w:tc>
        <w:tc>
          <w:tcPr>
            <w:tcW w:w="1980" w:type="dxa"/>
            <w:shd w:val="clear" w:color="000000" w:fill="FFFFFF"/>
            <w:noWrap/>
            <w:vAlign w:val="center"/>
            <w:hideMark/>
          </w:tcPr>
          <w:p w14:paraId="370F5DC3" w14:textId="2131AE6C" w:rsidR="00246014" w:rsidRPr="00D657E1" w:rsidRDefault="002459E0" w:rsidP="00246014">
            <w:pPr>
              <w:pStyle w:val="ExhibitText"/>
              <w:jc w:val="right"/>
              <w:rPr>
                <w:lang w:val="en-GB"/>
              </w:rPr>
            </w:pPr>
            <w:r w:rsidRPr="00D657E1">
              <w:rPr>
                <w:lang w:val="en-GB"/>
              </w:rPr>
              <w:t>−</w:t>
            </w:r>
            <w:r w:rsidR="00246014" w:rsidRPr="00D657E1">
              <w:rPr>
                <w:lang w:val="en-GB"/>
              </w:rPr>
              <w:t>41,920</w:t>
            </w:r>
          </w:p>
        </w:tc>
        <w:tc>
          <w:tcPr>
            <w:tcW w:w="2070" w:type="dxa"/>
            <w:shd w:val="clear" w:color="000000" w:fill="FFFFFF"/>
            <w:noWrap/>
            <w:vAlign w:val="center"/>
            <w:hideMark/>
          </w:tcPr>
          <w:p w14:paraId="638CE57E" w14:textId="09FD35DC" w:rsidR="00246014" w:rsidRPr="00D657E1" w:rsidRDefault="002459E0" w:rsidP="00246014">
            <w:pPr>
              <w:pStyle w:val="ExhibitText"/>
              <w:jc w:val="right"/>
              <w:rPr>
                <w:lang w:val="en-GB"/>
              </w:rPr>
            </w:pPr>
            <w:r w:rsidRPr="00D657E1">
              <w:rPr>
                <w:lang w:val="en-GB"/>
              </w:rPr>
              <w:t>−</w:t>
            </w:r>
            <w:r w:rsidR="00246014" w:rsidRPr="00D657E1">
              <w:rPr>
                <w:lang w:val="en-GB"/>
              </w:rPr>
              <w:t>82,351</w:t>
            </w:r>
          </w:p>
        </w:tc>
      </w:tr>
      <w:tr w:rsidR="00246014" w:rsidRPr="00D657E1" w14:paraId="1C163079" w14:textId="77777777" w:rsidTr="00246014">
        <w:trPr>
          <w:trHeight w:val="300"/>
        </w:trPr>
        <w:tc>
          <w:tcPr>
            <w:tcW w:w="3145" w:type="dxa"/>
            <w:shd w:val="clear" w:color="000000" w:fill="FFFFFF"/>
            <w:vAlign w:val="center"/>
            <w:hideMark/>
          </w:tcPr>
          <w:p w14:paraId="3876AE2B" w14:textId="77777777" w:rsidR="00246014" w:rsidRPr="00D657E1" w:rsidRDefault="00246014" w:rsidP="00246014">
            <w:pPr>
              <w:pStyle w:val="ExhibitText"/>
              <w:jc w:val="left"/>
              <w:rPr>
                <w:lang w:val="en-GB"/>
              </w:rPr>
            </w:pPr>
            <w:r w:rsidRPr="00D657E1">
              <w:rPr>
                <w:lang w:val="en-GB"/>
              </w:rPr>
              <w:t>Tax credit</w:t>
            </w:r>
          </w:p>
        </w:tc>
        <w:tc>
          <w:tcPr>
            <w:tcW w:w="1980" w:type="dxa"/>
            <w:shd w:val="clear" w:color="000000" w:fill="FFFFFF"/>
            <w:noWrap/>
            <w:vAlign w:val="center"/>
            <w:hideMark/>
          </w:tcPr>
          <w:p w14:paraId="3C048090" w14:textId="7EE35E2B" w:rsidR="00246014" w:rsidRPr="00D657E1" w:rsidRDefault="00FB061A" w:rsidP="00246014">
            <w:pPr>
              <w:pStyle w:val="ExhibitText"/>
              <w:jc w:val="right"/>
              <w:rPr>
                <w:b/>
                <w:bCs/>
                <w:lang w:val="en-GB"/>
              </w:rPr>
            </w:pPr>
            <w:r>
              <w:rPr>
                <w:b/>
                <w:bCs/>
                <w:lang w:val="en-GB"/>
              </w:rPr>
              <w:t>–</w:t>
            </w:r>
          </w:p>
        </w:tc>
        <w:tc>
          <w:tcPr>
            <w:tcW w:w="1980" w:type="dxa"/>
            <w:shd w:val="clear" w:color="000000" w:fill="FFFFFF"/>
            <w:noWrap/>
            <w:vAlign w:val="center"/>
            <w:hideMark/>
          </w:tcPr>
          <w:p w14:paraId="13C4DF18" w14:textId="73A0A11D" w:rsidR="00246014" w:rsidRPr="00D657E1" w:rsidRDefault="00FB061A" w:rsidP="00246014">
            <w:pPr>
              <w:pStyle w:val="ExhibitText"/>
              <w:jc w:val="right"/>
              <w:rPr>
                <w:lang w:val="en-GB"/>
              </w:rPr>
            </w:pPr>
            <w:r>
              <w:rPr>
                <w:lang w:val="en-GB"/>
              </w:rPr>
              <w:t>–</w:t>
            </w:r>
          </w:p>
        </w:tc>
        <w:tc>
          <w:tcPr>
            <w:tcW w:w="2070" w:type="dxa"/>
            <w:shd w:val="clear" w:color="000000" w:fill="FFFFFF"/>
            <w:noWrap/>
            <w:vAlign w:val="center"/>
            <w:hideMark/>
          </w:tcPr>
          <w:p w14:paraId="02AF59D7" w14:textId="77777777" w:rsidR="00246014" w:rsidRPr="00D657E1" w:rsidRDefault="00246014" w:rsidP="00246014">
            <w:pPr>
              <w:pStyle w:val="ExhibitText"/>
              <w:jc w:val="right"/>
              <w:rPr>
                <w:lang w:val="en-GB"/>
              </w:rPr>
            </w:pPr>
            <w:r w:rsidRPr="00D657E1">
              <w:rPr>
                <w:lang w:val="en-GB"/>
              </w:rPr>
              <w:t>1,467</w:t>
            </w:r>
          </w:p>
        </w:tc>
      </w:tr>
      <w:tr w:rsidR="00246014" w:rsidRPr="00D657E1" w14:paraId="164B2850" w14:textId="77777777" w:rsidTr="00246014">
        <w:trPr>
          <w:trHeight w:val="300"/>
        </w:trPr>
        <w:tc>
          <w:tcPr>
            <w:tcW w:w="3145" w:type="dxa"/>
            <w:shd w:val="clear" w:color="000000" w:fill="FFFFFF"/>
            <w:vAlign w:val="center"/>
            <w:hideMark/>
          </w:tcPr>
          <w:p w14:paraId="1A4E619C" w14:textId="77777777" w:rsidR="00246014" w:rsidRPr="00D657E1" w:rsidRDefault="00246014" w:rsidP="00246014">
            <w:pPr>
              <w:pStyle w:val="ExhibitText"/>
              <w:jc w:val="left"/>
              <w:rPr>
                <w:b/>
                <w:bCs/>
                <w:lang w:val="en-GB"/>
              </w:rPr>
            </w:pPr>
            <w:r w:rsidRPr="00D657E1">
              <w:rPr>
                <w:b/>
                <w:bCs/>
                <w:lang w:val="en-GB"/>
              </w:rPr>
              <w:t>Loss for the period</w:t>
            </w:r>
          </w:p>
        </w:tc>
        <w:tc>
          <w:tcPr>
            <w:tcW w:w="1980" w:type="dxa"/>
            <w:shd w:val="clear" w:color="000000" w:fill="FFFFFF"/>
            <w:noWrap/>
            <w:vAlign w:val="center"/>
            <w:hideMark/>
          </w:tcPr>
          <w:p w14:paraId="4C036B5F" w14:textId="5207FD7B"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34,473</w:t>
            </w:r>
          </w:p>
        </w:tc>
        <w:tc>
          <w:tcPr>
            <w:tcW w:w="1980" w:type="dxa"/>
            <w:shd w:val="clear" w:color="000000" w:fill="FFFFFF"/>
            <w:noWrap/>
            <w:vAlign w:val="center"/>
            <w:hideMark/>
          </w:tcPr>
          <w:p w14:paraId="3A3B0337" w14:textId="1794393E" w:rsidR="00246014" w:rsidRPr="00D657E1" w:rsidRDefault="002459E0" w:rsidP="00246014">
            <w:pPr>
              <w:pStyle w:val="ExhibitText"/>
              <w:jc w:val="right"/>
              <w:rPr>
                <w:lang w:val="en-GB"/>
              </w:rPr>
            </w:pPr>
            <w:r w:rsidRPr="00D657E1">
              <w:rPr>
                <w:lang w:val="en-GB"/>
              </w:rPr>
              <w:t>−</w:t>
            </w:r>
            <w:r w:rsidR="00246014" w:rsidRPr="00D657E1">
              <w:rPr>
                <w:lang w:val="en-GB"/>
              </w:rPr>
              <w:t>41,920</w:t>
            </w:r>
          </w:p>
        </w:tc>
        <w:tc>
          <w:tcPr>
            <w:tcW w:w="2070" w:type="dxa"/>
            <w:shd w:val="clear" w:color="000000" w:fill="FFFFFF"/>
            <w:noWrap/>
            <w:vAlign w:val="center"/>
            <w:hideMark/>
          </w:tcPr>
          <w:p w14:paraId="04F71772" w14:textId="2C64C608" w:rsidR="00246014" w:rsidRPr="00D657E1" w:rsidRDefault="002459E0" w:rsidP="00246014">
            <w:pPr>
              <w:pStyle w:val="ExhibitText"/>
              <w:jc w:val="right"/>
              <w:rPr>
                <w:lang w:val="en-GB"/>
              </w:rPr>
            </w:pPr>
            <w:r w:rsidRPr="00D657E1">
              <w:rPr>
                <w:lang w:val="en-GB"/>
              </w:rPr>
              <w:t>−</w:t>
            </w:r>
            <w:r w:rsidR="00246014" w:rsidRPr="00D657E1">
              <w:rPr>
                <w:lang w:val="en-GB"/>
              </w:rPr>
              <w:t>80,884</w:t>
            </w:r>
          </w:p>
        </w:tc>
      </w:tr>
      <w:tr w:rsidR="00246014" w:rsidRPr="00D657E1" w14:paraId="27D3EA70" w14:textId="77777777" w:rsidTr="00246014">
        <w:trPr>
          <w:trHeight w:val="300"/>
        </w:trPr>
        <w:tc>
          <w:tcPr>
            <w:tcW w:w="3145" w:type="dxa"/>
            <w:shd w:val="clear" w:color="000000" w:fill="FFFFFF"/>
            <w:vAlign w:val="center"/>
            <w:hideMark/>
          </w:tcPr>
          <w:p w14:paraId="5C564BDE" w14:textId="77777777" w:rsidR="00246014" w:rsidRPr="00D657E1" w:rsidRDefault="00246014" w:rsidP="00246014">
            <w:pPr>
              <w:pStyle w:val="ExhibitText"/>
              <w:jc w:val="left"/>
              <w:rPr>
                <w:lang w:val="en-GB"/>
              </w:rPr>
            </w:pPr>
            <w:r w:rsidRPr="00D657E1">
              <w:rPr>
                <w:lang w:val="en-GB"/>
              </w:rPr>
              <w:t>Attributable to:</w:t>
            </w:r>
          </w:p>
        </w:tc>
        <w:tc>
          <w:tcPr>
            <w:tcW w:w="1980" w:type="dxa"/>
            <w:shd w:val="clear" w:color="000000" w:fill="FFFFFF"/>
            <w:noWrap/>
            <w:vAlign w:val="center"/>
            <w:hideMark/>
          </w:tcPr>
          <w:p w14:paraId="75A97670" w14:textId="77777777" w:rsidR="00246014" w:rsidRPr="00D657E1" w:rsidRDefault="00246014" w:rsidP="00246014">
            <w:pPr>
              <w:pStyle w:val="ExhibitText"/>
              <w:jc w:val="right"/>
              <w:rPr>
                <w:b/>
                <w:bCs/>
                <w:lang w:val="en-GB"/>
              </w:rPr>
            </w:pPr>
            <w:r w:rsidRPr="00D657E1">
              <w:rPr>
                <w:b/>
                <w:bCs/>
                <w:lang w:val="en-GB"/>
              </w:rPr>
              <w:t> </w:t>
            </w:r>
          </w:p>
        </w:tc>
        <w:tc>
          <w:tcPr>
            <w:tcW w:w="1980" w:type="dxa"/>
            <w:shd w:val="clear" w:color="000000" w:fill="FFFFFF"/>
            <w:noWrap/>
            <w:vAlign w:val="center"/>
            <w:hideMark/>
          </w:tcPr>
          <w:p w14:paraId="01318B05" w14:textId="77777777" w:rsidR="00246014" w:rsidRPr="00D657E1" w:rsidRDefault="00246014" w:rsidP="00246014">
            <w:pPr>
              <w:pStyle w:val="ExhibitText"/>
              <w:jc w:val="right"/>
              <w:rPr>
                <w:lang w:val="en-GB"/>
              </w:rPr>
            </w:pPr>
            <w:r w:rsidRPr="00D657E1">
              <w:rPr>
                <w:lang w:val="en-GB"/>
              </w:rPr>
              <w:t> </w:t>
            </w:r>
          </w:p>
        </w:tc>
        <w:tc>
          <w:tcPr>
            <w:tcW w:w="2070" w:type="dxa"/>
            <w:shd w:val="clear" w:color="000000" w:fill="FFFFFF"/>
            <w:noWrap/>
            <w:vAlign w:val="center"/>
            <w:hideMark/>
          </w:tcPr>
          <w:p w14:paraId="64AEFAAF" w14:textId="77777777" w:rsidR="00246014" w:rsidRPr="00D657E1" w:rsidRDefault="00246014" w:rsidP="00246014">
            <w:pPr>
              <w:pStyle w:val="ExhibitText"/>
              <w:jc w:val="right"/>
              <w:rPr>
                <w:lang w:val="en-GB"/>
              </w:rPr>
            </w:pPr>
            <w:r w:rsidRPr="00D657E1">
              <w:rPr>
                <w:lang w:val="en-GB"/>
              </w:rPr>
              <w:t> </w:t>
            </w:r>
          </w:p>
        </w:tc>
      </w:tr>
      <w:tr w:rsidR="00246014" w:rsidRPr="00D657E1" w14:paraId="19F16A67" w14:textId="77777777" w:rsidTr="00246014">
        <w:trPr>
          <w:trHeight w:val="560"/>
        </w:trPr>
        <w:tc>
          <w:tcPr>
            <w:tcW w:w="3145" w:type="dxa"/>
            <w:shd w:val="clear" w:color="000000" w:fill="FFFFFF"/>
            <w:vAlign w:val="center"/>
            <w:hideMark/>
          </w:tcPr>
          <w:p w14:paraId="07D587FC" w14:textId="77777777" w:rsidR="00246014" w:rsidRPr="00D657E1" w:rsidRDefault="00246014" w:rsidP="00246014">
            <w:pPr>
              <w:pStyle w:val="ExhibitText"/>
              <w:jc w:val="left"/>
              <w:rPr>
                <w:lang w:val="en-GB"/>
              </w:rPr>
            </w:pPr>
            <w:r w:rsidRPr="00D657E1">
              <w:rPr>
                <w:lang w:val="en-GB"/>
              </w:rPr>
              <w:t>Shareholders of the parent company</w:t>
            </w:r>
          </w:p>
        </w:tc>
        <w:tc>
          <w:tcPr>
            <w:tcW w:w="1980" w:type="dxa"/>
            <w:shd w:val="clear" w:color="000000" w:fill="FFFFFF"/>
            <w:noWrap/>
            <w:vAlign w:val="center"/>
            <w:hideMark/>
          </w:tcPr>
          <w:p w14:paraId="25CE71FD" w14:textId="310DF7D3"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30,834</w:t>
            </w:r>
          </w:p>
        </w:tc>
        <w:tc>
          <w:tcPr>
            <w:tcW w:w="1980" w:type="dxa"/>
            <w:shd w:val="clear" w:color="000000" w:fill="FFFFFF"/>
            <w:noWrap/>
            <w:vAlign w:val="center"/>
            <w:hideMark/>
          </w:tcPr>
          <w:p w14:paraId="7BF7CD86" w14:textId="7FE92819" w:rsidR="00246014" w:rsidRPr="00D657E1" w:rsidRDefault="002459E0" w:rsidP="00246014">
            <w:pPr>
              <w:pStyle w:val="ExhibitText"/>
              <w:jc w:val="right"/>
              <w:rPr>
                <w:lang w:val="en-GB"/>
              </w:rPr>
            </w:pPr>
            <w:r w:rsidRPr="00D657E1">
              <w:rPr>
                <w:lang w:val="en-GB"/>
              </w:rPr>
              <w:t>−</w:t>
            </w:r>
            <w:r w:rsidR="00246014" w:rsidRPr="00D657E1">
              <w:rPr>
                <w:lang w:val="en-GB"/>
              </w:rPr>
              <w:t>38,998</w:t>
            </w:r>
          </w:p>
        </w:tc>
        <w:tc>
          <w:tcPr>
            <w:tcW w:w="2070" w:type="dxa"/>
            <w:shd w:val="clear" w:color="000000" w:fill="FFFFFF"/>
            <w:noWrap/>
            <w:vAlign w:val="center"/>
            <w:hideMark/>
          </w:tcPr>
          <w:p w14:paraId="6C948CFB" w14:textId="2EB44E1B" w:rsidR="00246014" w:rsidRPr="00D657E1" w:rsidRDefault="002459E0" w:rsidP="00246014">
            <w:pPr>
              <w:pStyle w:val="ExhibitText"/>
              <w:jc w:val="right"/>
              <w:rPr>
                <w:lang w:val="en-GB"/>
              </w:rPr>
            </w:pPr>
            <w:r w:rsidRPr="00D657E1">
              <w:rPr>
                <w:lang w:val="en-GB"/>
              </w:rPr>
              <w:t>−</w:t>
            </w:r>
            <w:r w:rsidR="00246014" w:rsidRPr="00D657E1">
              <w:rPr>
                <w:lang w:val="en-GB"/>
              </w:rPr>
              <w:t>74,372</w:t>
            </w:r>
          </w:p>
        </w:tc>
      </w:tr>
      <w:tr w:rsidR="00246014" w:rsidRPr="00D657E1" w14:paraId="52149BBD" w14:textId="77777777" w:rsidTr="00246014">
        <w:trPr>
          <w:trHeight w:val="300"/>
        </w:trPr>
        <w:tc>
          <w:tcPr>
            <w:tcW w:w="3145" w:type="dxa"/>
            <w:shd w:val="clear" w:color="000000" w:fill="FFFFFF"/>
            <w:vAlign w:val="center"/>
            <w:hideMark/>
          </w:tcPr>
          <w:p w14:paraId="5D8BB693" w14:textId="77777777" w:rsidR="00246014" w:rsidRPr="00D657E1" w:rsidRDefault="00246014" w:rsidP="00246014">
            <w:pPr>
              <w:pStyle w:val="ExhibitText"/>
              <w:jc w:val="left"/>
              <w:rPr>
                <w:lang w:val="en-GB"/>
              </w:rPr>
            </w:pPr>
            <w:r w:rsidRPr="00D657E1">
              <w:rPr>
                <w:lang w:val="en-GB"/>
              </w:rPr>
              <w:t>Non-controlling interests</w:t>
            </w:r>
          </w:p>
        </w:tc>
        <w:tc>
          <w:tcPr>
            <w:tcW w:w="1980" w:type="dxa"/>
            <w:shd w:val="clear" w:color="000000" w:fill="FFFFFF"/>
            <w:noWrap/>
            <w:vAlign w:val="center"/>
            <w:hideMark/>
          </w:tcPr>
          <w:p w14:paraId="53E81857" w14:textId="56252192"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3,639</w:t>
            </w:r>
          </w:p>
        </w:tc>
        <w:tc>
          <w:tcPr>
            <w:tcW w:w="1980" w:type="dxa"/>
            <w:shd w:val="clear" w:color="000000" w:fill="FFFFFF"/>
            <w:noWrap/>
            <w:vAlign w:val="center"/>
            <w:hideMark/>
          </w:tcPr>
          <w:p w14:paraId="09FAB3E0" w14:textId="6985CDFB" w:rsidR="00246014" w:rsidRPr="00D657E1" w:rsidRDefault="002459E0" w:rsidP="00246014">
            <w:pPr>
              <w:pStyle w:val="ExhibitText"/>
              <w:jc w:val="right"/>
              <w:rPr>
                <w:lang w:val="en-GB"/>
              </w:rPr>
            </w:pPr>
            <w:r w:rsidRPr="00D657E1">
              <w:rPr>
                <w:lang w:val="en-GB"/>
              </w:rPr>
              <w:t>−</w:t>
            </w:r>
            <w:r w:rsidR="00246014" w:rsidRPr="00D657E1">
              <w:rPr>
                <w:lang w:val="en-GB"/>
              </w:rPr>
              <w:t>2,932</w:t>
            </w:r>
          </w:p>
        </w:tc>
        <w:tc>
          <w:tcPr>
            <w:tcW w:w="2070" w:type="dxa"/>
            <w:shd w:val="clear" w:color="000000" w:fill="FFFFFF"/>
            <w:noWrap/>
            <w:vAlign w:val="center"/>
            <w:hideMark/>
          </w:tcPr>
          <w:p w14:paraId="71D34BEC" w14:textId="4D3BFE42" w:rsidR="00246014" w:rsidRPr="00D657E1" w:rsidRDefault="002459E0" w:rsidP="00246014">
            <w:pPr>
              <w:pStyle w:val="ExhibitText"/>
              <w:jc w:val="right"/>
              <w:rPr>
                <w:lang w:val="en-GB"/>
              </w:rPr>
            </w:pPr>
            <w:r w:rsidRPr="00D657E1">
              <w:rPr>
                <w:lang w:val="en-GB"/>
              </w:rPr>
              <w:t>−</w:t>
            </w:r>
            <w:r w:rsidR="00246014" w:rsidRPr="00D657E1">
              <w:rPr>
                <w:lang w:val="en-GB"/>
              </w:rPr>
              <w:t>6,512</w:t>
            </w:r>
          </w:p>
        </w:tc>
      </w:tr>
      <w:tr w:rsidR="00246014" w:rsidRPr="00D657E1" w14:paraId="759AFBD6" w14:textId="77777777" w:rsidTr="00246014">
        <w:trPr>
          <w:trHeight w:val="300"/>
        </w:trPr>
        <w:tc>
          <w:tcPr>
            <w:tcW w:w="3145" w:type="dxa"/>
            <w:shd w:val="clear" w:color="000000" w:fill="FFFFFF"/>
            <w:vAlign w:val="center"/>
            <w:hideMark/>
          </w:tcPr>
          <w:p w14:paraId="7BA77700" w14:textId="77777777" w:rsidR="00246014" w:rsidRPr="00D657E1" w:rsidRDefault="00246014" w:rsidP="00246014">
            <w:pPr>
              <w:pStyle w:val="ExhibitText"/>
              <w:jc w:val="left"/>
              <w:rPr>
                <w:b/>
                <w:bCs/>
                <w:lang w:val="en-GB"/>
              </w:rPr>
            </w:pPr>
            <w:r w:rsidRPr="00D657E1">
              <w:rPr>
                <w:b/>
                <w:bCs/>
                <w:lang w:val="en-GB"/>
              </w:rPr>
              <w:t>Total</w:t>
            </w:r>
          </w:p>
        </w:tc>
        <w:tc>
          <w:tcPr>
            <w:tcW w:w="1980" w:type="dxa"/>
            <w:shd w:val="clear" w:color="000000" w:fill="FFFFFF"/>
            <w:noWrap/>
            <w:vAlign w:val="center"/>
            <w:hideMark/>
          </w:tcPr>
          <w:p w14:paraId="628D36EE" w14:textId="11960F48" w:rsidR="00246014" w:rsidRPr="00D657E1" w:rsidRDefault="002459E0" w:rsidP="00246014">
            <w:pPr>
              <w:pStyle w:val="ExhibitText"/>
              <w:jc w:val="right"/>
              <w:rPr>
                <w:b/>
                <w:bCs/>
                <w:lang w:val="en-GB"/>
              </w:rPr>
            </w:pPr>
            <w:r w:rsidRPr="00D657E1">
              <w:rPr>
                <w:b/>
                <w:bCs/>
                <w:lang w:val="en-GB"/>
              </w:rPr>
              <w:t>−</w:t>
            </w:r>
            <w:r w:rsidR="00246014" w:rsidRPr="00D657E1">
              <w:rPr>
                <w:b/>
                <w:bCs/>
                <w:lang w:val="en-GB"/>
              </w:rPr>
              <w:t>34,473</w:t>
            </w:r>
          </w:p>
        </w:tc>
        <w:tc>
          <w:tcPr>
            <w:tcW w:w="1980" w:type="dxa"/>
            <w:shd w:val="clear" w:color="000000" w:fill="FFFFFF"/>
            <w:noWrap/>
            <w:vAlign w:val="center"/>
            <w:hideMark/>
          </w:tcPr>
          <w:p w14:paraId="5E813315" w14:textId="44D506D0" w:rsidR="00246014" w:rsidRPr="00D657E1" w:rsidRDefault="002459E0" w:rsidP="00246014">
            <w:pPr>
              <w:pStyle w:val="ExhibitText"/>
              <w:jc w:val="right"/>
              <w:rPr>
                <w:lang w:val="en-GB"/>
              </w:rPr>
            </w:pPr>
            <w:r w:rsidRPr="00D657E1">
              <w:rPr>
                <w:lang w:val="en-GB"/>
              </w:rPr>
              <w:t>−</w:t>
            </w:r>
            <w:r w:rsidR="00246014" w:rsidRPr="00D657E1">
              <w:rPr>
                <w:lang w:val="en-GB"/>
              </w:rPr>
              <w:t>41,920</w:t>
            </w:r>
          </w:p>
        </w:tc>
        <w:tc>
          <w:tcPr>
            <w:tcW w:w="2070" w:type="dxa"/>
            <w:shd w:val="clear" w:color="000000" w:fill="FFFFFF"/>
            <w:noWrap/>
            <w:vAlign w:val="center"/>
            <w:hideMark/>
          </w:tcPr>
          <w:p w14:paraId="1D9198AE" w14:textId="3B73223E" w:rsidR="00246014" w:rsidRPr="00D657E1" w:rsidRDefault="002459E0" w:rsidP="00246014">
            <w:pPr>
              <w:pStyle w:val="ExhibitText"/>
              <w:jc w:val="right"/>
              <w:rPr>
                <w:lang w:val="en-GB"/>
              </w:rPr>
            </w:pPr>
            <w:r w:rsidRPr="00D657E1">
              <w:rPr>
                <w:lang w:val="en-GB"/>
              </w:rPr>
              <w:t>−</w:t>
            </w:r>
            <w:r w:rsidR="00246014" w:rsidRPr="00D657E1">
              <w:rPr>
                <w:lang w:val="en-GB"/>
              </w:rPr>
              <w:t>80,884</w:t>
            </w:r>
          </w:p>
        </w:tc>
      </w:tr>
    </w:tbl>
    <w:p w14:paraId="316ABD38" w14:textId="77777777" w:rsidR="00246014" w:rsidRPr="00D657E1" w:rsidRDefault="00246014" w:rsidP="00244383">
      <w:pPr>
        <w:pStyle w:val="ExhibitText"/>
        <w:rPr>
          <w:rFonts w:eastAsia="MS Mincho"/>
          <w:lang w:val="en-GB"/>
        </w:rPr>
      </w:pPr>
    </w:p>
    <w:p w14:paraId="66E9CD55" w14:textId="4AF585B5" w:rsidR="00246014" w:rsidRPr="00D657E1" w:rsidRDefault="00246014" w:rsidP="00246014">
      <w:pPr>
        <w:pStyle w:val="Footnote"/>
        <w:rPr>
          <w:rFonts w:eastAsia="MS Mincho"/>
          <w:lang w:val="en-GB"/>
        </w:rPr>
      </w:pPr>
      <w:r w:rsidRPr="00D657E1">
        <w:rPr>
          <w:rFonts w:eastAsia="MS Mincho"/>
          <w:lang w:val="en-GB"/>
        </w:rPr>
        <w:t xml:space="preserve">Source: </w:t>
      </w:r>
      <w:r w:rsidR="000B2A3A" w:rsidRPr="00D657E1">
        <w:rPr>
          <w:rFonts w:eastAsia="MS Mincho"/>
          <w:lang w:val="en-GB"/>
        </w:rPr>
        <w:t xml:space="preserve">Company </w:t>
      </w:r>
      <w:r w:rsidR="002459E0" w:rsidRPr="00D657E1">
        <w:rPr>
          <w:rFonts w:eastAsia="MS Mincho"/>
          <w:lang w:val="en-GB"/>
        </w:rPr>
        <w:t>d</w:t>
      </w:r>
      <w:r w:rsidR="000B2A3A" w:rsidRPr="00D657E1">
        <w:rPr>
          <w:rFonts w:eastAsia="MS Mincho"/>
          <w:lang w:val="en-GB"/>
        </w:rPr>
        <w:t>ocuments.</w:t>
      </w:r>
    </w:p>
    <w:p w14:paraId="3277145D" w14:textId="77777777" w:rsidR="00246014" w:rsidRPr="00D657E1" w:rsidRDefault="00246014">
      <w:pPr>
        <w:spacing w:after="200" w:line="276" w:lineRule="auto"/>
        <w:rPr>
          <w:rFonts w:eastAsia="MS Mincho"/>
          <w:sz w:val="24"/>
          <w:szCs w:val="24"/>
          <w:lang w:val="en-GB"/>
        </w:rPr>
      </w:pPr>
      <w:r w:rsidRPr="00D657E1">
        <w:rPr>
          <w:rFonts w:eastAsia="MS Mincho"/>
          <w:sz w:val="24"/>
          <w:szCs w:val="24"/>
          <w:lang w:val="en-GB"/>
        </w:rPr>
        <w:br w:type="page"/>
      </w:r>
    </w:p>
    <w:p w14:paraId="1D550F80" w14:textId="0AA77B9F" w:rsidR="00246014" w:rsidRPr="00D657E1" w:rsidRDefault="00246014" w:rsidP="00246014">
      <w:pPr>
        <w:pStyle w:val="ExhibitHeading"/>
        <w:rPr>
          <w:rFonts w:eastAsia="MS Mincho"/>
          <w:lang w:val="en-GB"/>
        </w:rPr>
      </w:pPr>
      <w:r w:rsidRPr="00D657E1">
        <w:rPr>
          <w:rFonts w:eastAsia="MS Mincho"/>
          <w:lang w:val="en-GB"/>
        </w:rPr>
        <w:lastRenderedPageBreak/>
        <w:t xml:space="preserve">EXHIBIT 2: </w:t>
      </w:r>
      <w:r w:rsidR="00832BDD" w:rsidRPr="00D657E1">
        <w:rPr>
          <w:rFonts w:eastAsia="MS Mincho"/>
          <w:lang w:val="en-GB"/>
        </w:rPr>
        <w:t xml:space="preserve">fastjet </w:t>
      </w:r>
      <w:r w:rsidR="00B95C1C" w:rsidRPr="00B95C1C">
        <w:rPr>
          <w:rFonts w:eastAsia="MS Mincho"/>
          <w:lang w:val="en-GB"/>
        </w:rPr>
        <w:t>SIX-MONTH</w:t>
      </w:r>
      <w:r w:rsidR="00B95C1C">
        <w:rPr>
          <w:rFonts w:eastAsia="MS Mincho"/>
          <w:b w:val="0"/>
          <w:lang w:val="en-GB"/>
        </w:rPr>
        <w:t xml:space="preserve"> </w:t>
      </w:r>
      <w:r w:rsidRPr="00D657E1">
        <w:rPr>
          <w:rFonts w:eastAsia="MS Mincho"/>
          <w:lang w:val="en-GB"/>
        </w:rPr>
        <w:t>BALANCE SHEET</w:t>
      </w:r>
      <w:r w:rsidR="00FB061A">
        <w:rPr>
          <w:rFonts w:eastAsia="MS Mincho"/>
          <w:lang w:val="en-GB"/>
        </w:rPr>
        <w:t>s, December 2013 to June 2014</w:t>
      </w:r>
      <w:r w:rsidR="00832BDD" w:rsidRPr="00D657E1">
        <w:rPr>
          <w:rFonts w:eastAsia="MS Mincho"/>
          <w:lang w:val="en-GB"/>
        </w:rPr>
        <w:t xml:space="preserve"> (in US$</w:t>
      </w:r>
      <w:r w:rsidR="00FB061A">
        <w:rPr>
          <w:rFonts w:eastAsia="MS Mincho"/>
          <w:lang w:val="en-GB"/>
        </w:rPr>
        <w:t xml:space="preserve"> thousands</w:t>
      </w:r>
      <w:r w:rsidR="00832BDD" w:rsidRPr="00D657E1">
        <w:rPr>
          <w:rFonts w:eastAsia="MS Mincho"/>
          <w:lang w:val="en-GB"/>
        </w:rPr>
        <w:t>)</w:t>
      </w:r>
    </w:p>
    <w:tbl>
      <w:tblPr>
        <w:tblpPr w:leftFromText="180" w:rightFromText="180" w:vertAnchor="page" w:horzAnchor="margin" w:tblpXSpec="center" w:tblpY="2410"/>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05"/>
        <w:gridCol w:w="1507"/>
        <w:gridCol w:w="1507"/>
        <w:gridCol w:w="1507"/>
      </w:tblGrid>
      <w:tr w:rsidR="00B34F0B" w:rsidRPr="00D657E1" w14:paraId="45A96E8E" w14:textId="77777777" w:rsidTr="00012359">
        <w:trPr>
          <w:trHeight w:val="265"/>
        </w:trPr>
        <w:tc>
          <w:tcPr>
            <w:tcW w:w="4405" w:type="dxa"/>
            <w:shd w:val="clear" w:color="000000" w:fill="FFFFFF"/>
            <w:noWrap/>
            <w:vAlign w:val="center"/>
            <w:hideMark/>
          </w:tcPr>
          <w:p w14:paraId="63406190" w14:textId="48173AC8" w:rsidR="00B34F0B" w:rsidRPr="00D657E1" w:rsidRDefault="00B34F0B" w:rsidP="00B34F0B">
            <w:pPr>
              <w:pStyle w:val="ExhibitText"/>
              <w:jc w:val="left"/>
              <w:rPr>
                <w:lang w:val="en-GB"/>
              </w:rPr>
            </w:pPr>
          </w:p>
        </w:tc>
        <w:tc>
          <w:tcPr>
            <w:tcW w:w="1507" w:type="dxa"/>
            <w:shd w:val="clear" w:color="000000" w:fill="FFFFFF"/>
            <w:noWrap/>
            <w:vAlign w:val="center"/>
            <w:hideMark/>
          </w:tcPr>
          <w:p w14:paraId="37EBB6C4" w14:textId="4965B027" w:rsidR="00B34F0B" w:rsidRPr="00D657E1" w:rsidRDefault="00B34F0B" w:rsidP="00B34F0B">
            <w:pPr>
              <w:pStyle w:val="ExhibitText"/>
              <w:jc w:val="center"/>
              <w:rPr>
                <w:b/>
                <w:bCs/>
                <w:lang w:val="en-GB"/>
              </w:rPr>
            </w:pPr>
            <w:r w:rsidRPr="00D657E1">
              <w:rPr>
                <w:b/>
                <w:bCs/>
                <w:lang w:val="en-GB"/>
              </w:rPr>
              <w:t>Jun</w:t>
            </w:r>
            <w:r w:rsidR="00A854C2">
              <w:rPr>
                <w:b/>
                <w:bCs/>
                <w:lang w:val="en-GB"/>
              </w:rPr>
              <w:t>e</w:t>
            </w:r>
            <w:r w:rsidR="00832BDD" w:rsidRPr="00D657E1">
              <w:rPr>
                <w:b/>
                <w:bCs/>
                <w:lang w:val="en-GB"/>
              </w:rPr>
              <w:t xml:space="preserve"> 30,</w:t>
            </w:r>
            <w:r w:rsidRPr="00D657E1">
              <w:rPr>
                <w:b/>
                <w:bCs/>
                <w:lang w:val="en-GB"/>
              </w:rPr>
              <w:t xml:space="preserve"> </w:t>
            </w:r>
            <w:r w:rsidR="00832BDD" w:rsidRPr="00D657E1">
              <w:rPr>
                <w:b/>
                <w:bCs/>
                <w:lang w:val="en-GB"/>
              </w:rPr>
              <w:t>20</w:t>
            </w:r>
            <w:r w:rsidRPr="00D657E1">
              <w:rPr>
                <w:b/>
                <w:bCs/>
                <w:lang w:val="en-GB"/>
              </w:rPr>
              <w:t>14</w:t>
            </w:r>
          </w:p>
          <w:p w14:paraId="68CF54CB" w14:textId="77777777" w:rsidR="00B34F0B" w:rsidRPr="00D657E1" w:rsidRDefault="00B34F0B" w:rsidP="00B34F0B">
            <w:pPr>
              <w:pStyle w:val="ExhibitText"/>
              <w:jc w:val="center"/>
              <w:rPr>
                <w:b/>
                <w:bCs/>
                <w:lang w:val="en-GB"/>
              </w:rPr>
            </w:pPr>
            <w:r w:rsidRPr="00D657E1">
              <w:rPr>
                <w:b/>
                <w:bCs/>
                <w:lang w:val="en-GB"/>
              </w:rPr>
              <w:t>Unaudited</w:t>
            </w:r>
          </w:p>
        </w:tc>
        <w:tc>
          <w:tcPr>
            <w:tcW w:w="1507" w:type="dxa"/>
            <w:shd w:val="clear" w:color="000000" w:fill="FFFFFF"/>
            <w:noWrap/>
            <w:vAlign w:val="center"/>
            <w:hideMark/>
          </w:tcPr>
          <w:p w14:paraId="74F4D68B" w14:textId="09E63302" w:rsidR="00B34F0B" w:rsidRPr="00D657E1" w:rsidRDefault="00B34F0B" w:rsidP="00B34F0B">
            <w:pPr>
              <w:pStyle w:val="ExhibitText"/>
              <w:jc w:val="center"/>
              <w:rPr>
                <w:b/>
                <w:bCs/>
                <w:lang w:val="en-GB"/>
              </w:rPr>
            </w:pPr>
            <w:r w:rsidRPr="00D657E1">
              <w:rPr>
                <w:b/>
                <w:bCs/>
                <w:lang w:val="en-GB"/>
              </w:rPr>
              <w:t>Jun</w:t>
            </w:r>
            <w:r w:rsidR="00A854C2">
              <w:rPr>
                <w:b/>
                <w:bCs/>
                <w:lang w:val="en-GB"/>
              </w:rPr>
              <w:t>e</w:t>
            </w:r>
            <w:r w:rsidR="00832BDD" w:rsidRPr="00D657E1">
              <w:rPr>
                <w:b/>
                <w:bCs/>
                <w:lang w:val="en-GB"/>
              </w:rPr>
              <w:t xml:space="preserve"> 30, 20</w:t>
            </w:r>
            <w:r w:rsidRPr="00D657E1">
              <w:rPr>
                <w:b/>
                <w:bCs/>
                <w:lang w:val="en-GB"/>
              </w:rPr>
              <w:t>13</w:t>
            </w:r>
          </w:p>
          <w:p w14:paraId="6FD79ACA" w14:textId="77777777" w:rsidR="00B34F0B" w:rsidRPr="00D657E1" w:rsidRDefault="00B34F0B" w:rsidP="00B34F0B">
            <w:pPr>
              <w:pStyle w:val="ExhibitText"/>
              <w:jc w:val="center"/>
              <w:rPr>
                <w:b/>
                <w:bCs/>
                <w:lang w:val="en-GB"/>
              </w:rPr>
            </w:pPr>
            <w:r w:rsidRPr="00D657E1">
              <w:rPr>
                <w:b/>
                <w:bCs/>
                <w:lang w:val="en-GB"/>
              </w:rPr>
              <w:t>Unaudited</w:t>
            </w:r>
          </w:p>
        </w:tc>
        <w:tc>
          <w:tcPr>
            <w:tcW w:w="1507" w:type="dxa"/>
            <w:shd w:val="clear" w:color="000000" w:fill="FFFFFF"/>
            <w:noWrap/>
            <w:vAlign w:val="center"/>
            <w:hideMark/>
          </w:tcPr>
          <w:p w14:paraId="3D5A20CF" w14:textId="26D2C4CF" w:rsidR="00B34F0B" w:rsidRPr="00D657E1" w:rsidRDefault="00B34F0B" w:rsidP="00076D4A">
            <w:pPr>
              <w:pStyle w:val="ExhibitText"/>
              <w:jc w:val="center"/>
              <w:rPr>
                <w:b/>
                <w:bCs/>
                <w:lang w:val="en-GB"/>
              </w:rPr>
            </w:pPr>
            <w:r w:rsidRPr="00D657E1">
              <w:rPr>
                <w:b/>
                <w:bCs/>
                <w:lang w:val="en-GB"/>
              </w:rPr>
              <w:t>Dec</w:t>
            </w:r>
            <w:r w:rsidR="00A854C2">
              <w:rPr>
                <w:b/>
                <w:bCs/>
                <w:lang w:val="en-GB"/>
              </w:rPr>
              <w:t>ember</w:t>
            </w:r>
            <w:r w:rsidR="00832BDD" w:rsidRPr="00D657E1">
              <w:rPr>
                <w:b/>
                <w:bCs/>
                <w:lang w:val="en-GB"/>
              </w:rPr>
              <w:t xml:space="preserve"> 31, 20</w:t>
            </w:r>
            <w:r w:rsidRPr="00D657E1">
              <w:rPr>
                <w:b/>
                <w:bCs/>
                <w:lang w:val="en-GB"/>
              </w:rPr>
              <w:t>13 Audited</w:t>
            </w:r>
          </w:p>
        </w:tc>
      </w:tr>
      <w:tr w:rsidR="00B34F0B" w:rsidRPr="00D657E1" w14:paraId="60A6ADC7" w14:textId="77777777" w:rsidTr="00D359BC">
        <w:trPr>
          <w:trHeight w:val="265"/>
        </w:trPr>
        <w:tc>
          <w:tcPr>
            <w:tcW w:w="8926" w:type="dxa"/>
            <w:gridSpan w:val="4"/>
            <w:shd w:val="clear" w:color="000000" w:fill="FFFFFF"/>
            <w:noWrap/>
            <w:vAlign w:val="center"/>
            <w:hideMark/>
          </w:tcPr>
          <w:p w14:paraId="100310C2" w14:textId="77777777" w:rsidR="00B34F0B" w:rsidRPr="00D657E1" w:rsidRDefault="00B34F0B" w:rsidP="00B34F0B">
            <w:pPr>
              <w:pStyle w:val="ExhibitText"/>
              <w:jc w:val="left"/>
              <w:rPr>
                <w:b/>
                <w:bCs/>
                <w:lang w:val="en-GB"/>
              </w:rPr>
            </w:pPr>
            <w:r w:rsidRPr="00D657E1">
              <w:rPr>
                <w:b/>
                <w:bCs/>
                <w:lang w:val="en-GB"/>
              </w:rPr>
              <w:t>Non-Current Assets</w:t>
            </w:r>
          </w:p>
        </w:tc>
      </w:tr>
      <w:tr w:rsidR="00B34F0B" w:rsidRPr="00D657E1" w14:paraId="6AD97E2F" w14:textId="77777777" w:rsidTr="00012359">
        <w:trPr>
          <w:trHeight w:val="265"/>
        </w:trPr>
        <w:tc>
          <w:tcPr>
            <w:tcW w:w="4405" w:type="dxa"/>
            <w:shd w:val="clear" w:color="000000" w:fill="FFFFFF"/>
            <w:noWrap/>
            <w:vAlign w:val="center"/>
            <w:hideMark/>
          </w:tcPr>
          <w:p w14:paraId="75659A2F" w14:textId="77777777" w:rsidR="00B34F0B" w:rsidRPr="00D657E1" w:rsidRDefault="00B34F0B" w:rsidP="00B34F0B">
            <w:pPr>
              <w:pStyle w:val="ExhibitText"/>
              <w:jc w:val="left"/>
              <w:rPr>
                <w:lang w:val="en-GB"/>
              </w:rPr>
            </w:pPr>
            <w:r w:rsidRPr="00D657E1">
              <w:rPr>
                <w:lang w:val="en-GB"/>
              </w:rPr>
              <w:t>Goodwill</w:t>
            </w:r>
          </w:p>
        </w:tc>
        <w:tc>
          <w:tcPr>
            <w:tcW w:w="1507" w:type="dxa"/>
            <w:shd w:val="clear" w:color="000000" w:fill="FFFFFF"/>
            <w:noWrap/>
            <w:vAlign w:val="center"/>
            <w:hideMark/>
          </w:tcPr>
          <w:p w14:paraId="55D8F6AF" w14:textId="39F2AD1A" w:rsidR="00B34F0B" w:rsidRPr="00D657E1" w:rsidRDefault="00B34F0B" w:rsidP="00076D4A">
            <w:pPr>
              <w:pStyle w:val="ExhibitText"/>
              <w:jc w:val="right"/>
              <w:rPr>
                <w:lang w:val="en-GB"/>
              </w:rPr>
            </w:pPr>
            <w:r w:rsidRPr="00D657E1">
              <w:rPr>
                <w:lang w:val="en-GB"/>
              </w:rPr>
              <w:t xml:space="preserve"> 11,324 </w:t>
            </w:r>
          </w:p>
        </w:tc>
        <w:tc>
          <w:tcPr>
            <w:tcW w:w="1507" w:type="dxa"/>
            <w:shd w:val="clear" w:color="000000" w:fill="FFFFFF"/>
            <w:noWrap/>
            <w:vAlign w:val="center"/>
            <w:hideMark/>
          </w:tcPr>
          <w:p w14:paraId="7F7C69EB" w14:textId="2DE786AD" w:rsidR="00B34F0B" w:rsidRPr="00D657E1" w:rsidRDefault="00B34F0B" w:rsidP="00B74EDB">
            <w:pPr>
              <w:pStyle w:val="ExhibitText"/>
              <w:jc w:val="right"/>
              <w:rPr>
                <w:lang w:val="en-GB"/>
              </w:rPr>
            </w:pPr>
            <w:r w:rsidRPr="00D657E1">
              <w:rPr>
                <w:lang w:val="en-GB"/>
              </w:rPr>
              <w:t xml:space="preserve">14,828 </w:t>
            </w:r>
          </w:p>
        </w:tc>
        <w:tc>
          <w:tcPr>
            <w:tcW w:w="1507" w:type="dxa"/>
            <w:shd w:val="clear" w:color="000000" w:fill="FFFFFF"/>
            <w:noWrap/>
            <w:vAlign w:val="center"/>
            <w:hideMark/>
          </w:tcPr>
          <w:p w14:paraId="62F84E1C" w14:textId="26267896" w:rsidR="00B34F0B" w:rsidRPr="00D657E1" w:rsidRDefault="00B34F0B" w:rsidP="005351E7">
            <w:pPr>
              <w:pStyle w:val="ExhibitText"/>
              <w:jc w:val="right"/>
              <w:rPr>
                <w:lang w:val="en-GB"/>
              </w:rPr>
            </w:pPr>
            <w:r w:rsidRPr="00D657E1">
              <w:rPr>
                <w:lang w:val="en-GB"/>
              </w:rPr>
              <w:t xml:space="preserve"> 11,324 </w:t>
            </w:r>
          </w:p>
        </w:tc>
      </w:tr>
      <w:tr w:rsidR="00B34F0B" w:rsidRPr="00D657E1" w14:paraId="2A6ACB03" w14:textId="77777777" w:rsidTr="00012359">
        <w:trPr>
          <w:trHeight w:val="265"/>
        </w:trPr>
        <w:tc>
          <w:tcPr>
            <w:tcW w:w="4405" w:type="dxa"/>
            <w:shd w:val="clear" w:color="000000" w:fill="FFFFFF"/>
            <w:noWrap/>
            <w:vAlign w:val="center"/>
            <w:hideMark/>
          </w:tcPr>
          <w:p w14:paraId="34CAAE23" w14:textId="13C99D61" w:rsidR="00B34F0B" w:rsidRPr="00D657E1" w:rsidRDefault="00B34F0B" w:rsidP="00076D4A">
            <w:pPr>
              <w:pStyle w:val="ExhibitText"/>
              <w:jc w:val="left"/>
              <w:rPr>
                <w:lang w:val="en-GB"/>
              </w:rPr>
            </w:pPr>
            <w:r w:rsidRPr="00D657E1">
              <w:rPr>
                <w:lang w:val="en-GB"/>
              </w:rPr>
              <w:t xml:space="preserve">Other </w:t>
            </w:r>
            <w:r w:rsidR="00076D4A" w:rsidRPr="00D657E1">
              <w:rPr>
                <w:lang w:val="en-GB"/>
              </w:rPr>
              <w:t>i</w:t>
            </w:r>
            <w:r w:rsidRPr="00D657E1">
              <w:rPr>
                <w:lang w:val="en-GB"/>
              </w:rPr>
              <w:t xml:space="preserve">ntangible </w:t>
            </w:r>
            <w:r w:rsidR="00076D4A" w:rsidRPr="00D657E1">
              <w:rPr>
                <w:lang w:val="en-GB"/>
              </w:rPr>
              <w:t>a</w:t>
            </w:r>
            <w:r w:rsidRPr="00D657E1">
              <w:rPr>
                <w:lang w:val="en-GB"/>
              </w:rPr>
              <w:t>ssets</w:t>
            </w:r>
          </w:p>
        </w:tc>
        <w:tc>
          <w:tcPr>
            <w:tcW w:w="1507" w:type="dxa"/>
            <w:shd w:val="clear" w:color="000000" w:fill="FFFFFF"/>
            <w:noWrap/>
            <w:vAlign w:val="center"/>
            <w:hideMark/>
          </w:tcPr>
          <w:p w14:paraId="5E873F44" w14:textId="38A74D95" w:rsidR="00B34F0B" w:rsidRPr="00D657E1" w:rsidRDefault="00B34F0B" w:rsidP="00B34F0B">
            <w:pPr>
              <w:pStyle w:val="ExhibitText"/>
              <w:jc w:val="right"/>
              <w:rPr>
                <w:lang w:val="en-GB"/>
              </w:rPr>
            </w:pPr>
            <w:r w:rsidRPr="00D657E1">
              <w:rPr>
                <w:lang w:val="en-GB"/>
              </w:rPr>
              <w:t xml:space="preserve"> 11,760 </w:t>
            </w:r>
          </w:p>
        </w:tc>
        <w:tc>
          <w:tcPr>
            <w:tcW w:w="1507" w:type="dxa"/>
            <w:shd w:val="clear" w:color="000000" w:fill="FFFFFF"/>
            <w:noWrap/>
            <w:vAlign w:val="center"/>
            <w:hideMark/>
          </w:tcPr>
          <w:p w14:paraId="059309A5" w14:textId="05582194" w:rsidR="00B34F0B" w:rsidRPr="00D657E1" w:rsidRDefault="00B34F0B" w:rsidP="00076D4A">
            <w:pPr>
              <w:pStyle w:val="ExhibitText"/>
              <w:jc w:val="right"/>
              <w:rPr>
                <w:lang w:val="en-GB"/>
              </w:rPr>
            </w:pPr>
            <w:r w:rsidRPr="00D657E1">
              <w:rPr>
                <w:lang w:val="en-GB"/>
              </w:rPr>
              <w:t xml:space="preserve"> 19,975 </w:t>
            </w:r>
          </w:p>
        </w:tc>
        <w:tc>
          <w:tcPr>
            <w:tcW w:w="1507" w:type="dxa"/>
            <w:shd w:val="clear" w:color="000000" w:fill="FFFFFF"/>
            <w:noWrap/>
            <w:vAlign w:val="center"/>
            <w:hideMark/>
          </w:tcPr>
          <w:p w14:paraId="74E5AEAB" w14:textId="210CD314" w:rsidR="00B34F0B" w:rsidRPr="00D657E1" w:rsidRDefault="00B34F0B" w:rsidP="00B74EDB">
            <w:pPr>
              <w:pStyle w:val="ExhibitText"/>
              <w:jc w:val="right"/>
              <w:rPr>
                <w:lang w:val="en-GB"/>
              </w:rPr>
            </w:pPr>
            <w:r w:rsidRPr="00D657E1">
              <w:rPr>
                <w:lang w:val="en-GB"/>
              </w:rPr>
              <w:t xml:space="preserve">12,515 </w:t>
            </w:r>
          </w:p>
        </w:tc>
      </w:tr>
      <w:tr w:rsidR="00B34F0B" w:rsidRPr="00D657E1" w14:paraId="22C4BCD8" w14:textId="77777777" w:rsidTr="00012359">
        <w:trPr>
          <w:trHeight w:val="265"/>
        </w:trPr>
        <w:tc>
          <w:tcPr>
            <w:tcW w:w="4405" w:type="dxa"/>
            <w:shd w:val="clear" w:color="000000" w:fill="FFFFFF"/>
            <w:noWrap/>
            <w:vAlign w:val="center"/>
            <w:hideMark/>
          </w:tcPr>
          <w:p w14:paraId="5DFAF35A" w14:textId="20492FD9" w:rsidR="00B34F0B" w:rsidRPr="00D657E1" w:rsidRDefault="00B34F0B" w:rsidP="00076D4A">
            <w:pPr>
              <w:pStyle w:val="ExhibitText"/>
              <w:jc w:val="left"/>
              <w:rPr>
                <w:lang w:val="en-GB"/>
              </w:rPr>
            </w:pPr>
            <w:r w:rsidRPr="00D657E1">
              <w:rPr>
                <w:lang w:val="en-GB"/>
              </w:rPr>
              <w:t xml:space="preserve">Property, </w:t>
            </w:r>
            <w:r w:rsidR="00076D4A" w:rsidRPr="00D657E1">
              <w:rPr>
                <w:lang w:val="en-GB"/>
              </w:rPr>
              <w:t>p</w:t>
            </w:r>
            <w:r w:rsidRPr="00D657E1">
              <w:rPr>
                <w:lang w:val="en-GB"/>
              </w:rPr>
              <w:t>lant</w:t>
            </w:r>
            <w:r w:rsidR="00076D4A" w:rsidRPr="00D657E1">
              <w:rPr>
                <w:lang w:val="en-GB"/>
              </w:rPr>
              <w:t>,</w:t>
            </w:r>
            <w:r w:rsidRPr="00D657E1">
              <w:rPr>
                <w:lang w:val="en-GB"/>
              </w:rPr>
              <w:t xml:space="preserve"> and </w:t>
            </w:r>
            <w:r w:rsidR="00076D4A" w:rsidRPr="00D657E1">
              <w:rPr>
                <w:lang w:val="en-GB"/>
              </w:rPr>
              <w:t>e</w:t>
            </w:r>
            <w:r w:rsidRPr="00D657E1">
              <w:rPr>
                <w:lang w:val="en-GB"/>
              </w:rPr>
              <w:t>quipment</w:t>
            </w:r>
          </w:p>
        </w:tc>
        <w:tc>
          <w:tcPr>
            <w:tcW w:w="1507" w:type="dxa"/>
            <w:shd w:val="clear" w:color="000000" w:fill="FFFFFF"/>
            <w:noWrap/>
            <w:vAlign w:val="center"/>
            <w:hideMark/>
          </w:tcPr>
          <w:p w14:paraId="7F56A58C" w14:textId="32BD549A" w:rsidR="00B34F0B" w:rsidRPr="00D657E1" w:rsidRDefault="00B34F0B" w:rsidP="00B74EDB">
            <w:pPr>
              <w:pStyle w:val="ExhibitText"/>
              <w:jc w:val="right"/>
              <w:rPr>
                <w:lang w:val="en-GB"/>
              </w:rPr>
            </w:pPr>
            <w:r w:rsidRPr="00D657E1">
              <w:rPr>
                <w:lang w:val="en-GB"/>
              </w:rPr>
              <w:t xml:space="preserve"> 1,458 </w:t>
            </w:r>
          </w:p>
        </w:tc>
        <w:tc>
          <w:tcPr>
            <w:tcW w:w="1507" w:type="dxa"/>
            <w:shd w:val="clear" w:color="000000" w:fill="FFFFFF"/>
            <w:noWrap/>
            <w:vAlign w:val="center"/>
            <w:hideMark/>
          </w:tcPr>
          <w:p w14:paraId="3A19F49B" w14:textId="0F5A9DFA" w:rsidR="00B34F0B" w:rsidRPr="00D657E1" w:rsidRDefault="0044602A" w:rsidP="00B34F0B">
            <w:pPr>
              <w:pStyle w:val="ExhibitText"/>
              <w:jc w:val="right"/>
              <w:rPr>
                <w:lang w:val="en-GB"/>
              </w:rPr>
            </w:pPr>
            <w:r>
              <w:rPr>
                <w:lang w:val="en-GB"/>
              </w:rPr>
              <w:t xml:space="preserve"> 36,394</w:t>
            </w:r>
            <w:r w:rsidR="00B34F0B" w:rsidRPr="00D657E1">
              <w:rPr>
                <w:lang w:val="en-GB"/>
              </w:rPr>
              <w:t xml:space="preserve"> </w:t>
            </w:r>
          </w:p>
        </w:tc>
        <w:tc>
          <w:tcPr>
            <w:tcW w:w="1507" w:type="dxa"/>
            <w:shd w:val="clear" w:color="000000" w:fill="FFFFFF"/>
            <w:noWrap/>
            <w:vAlign w:val="center"/>
            <w:hideMark/>
          </w:tcPr>
          <w:p w14:paraId="10C9A4D2" w14:textId="121A4B59" w:rsidR="00B34F0B" w:rsidRPr="00D657E1" w:rsidRDefault="00B34F0B" w:rsidP="00076D4A">
            <w:pPr>
              <w:pStyle w:val="ExhibitText"/>
              <w:jc w:val="right"/>
              <w:rPr>
                <w:lang w:val="en-GB"/>
              </w:rPr>
            </w:pPr>
            <w:r w:rsidRPr="00D657E1">
              <w:rPr>
                <w:lang w:val="en-GB"/>
              </w:rPr>
              <w:t xml:space="preserve"> 30,246 </w:t>
            </w:r>
          </w:p>
        </w:tc>
      </w:tr>
      <w:tr w:rsidR="00B34F0B" w:rsidRPr="00D657E1" w14:paraId="7A88EFD5" w14:textId="77777777" w:rsidTr="00012359">
        <w:trPr>
          <w:trHeight w:val="265"/>
        </w:trPr>
        <w:tc>
          <w:tcPr>
            <w:tcW w:w="4405" w:type="dxa"/>
            <w:shd w:val="clear" w:color="000000" w:fill="FFFFFF"/>
            <w:noWrap/>
            <w:vAlign w:val="center"/>
            <w:hideMark/>
          </w:tcPr>
          <w:p w14:paraId="708D78EB" w14:textId="77777777" w:rsidR="00B34F0B" w:rsidRPr="00D657E1" w:rsidRDefault="00B34F0B" w:rsidP="00B34F0B">
            <w:pPr>
              <w:pStyle w:val="ExhibitText"/>
              <w:jc w:val="left"/>
              <w:rPr>
                <w:lang w:val="en-GB"/>
              </w:rPr>
            </w:pPr>
            <w:r w:rsidRPr="00D657E1">
              <w:rPr>
                <w:lang w:val="en-GB"/>
              </w:rPr>
              <w:t>Other Investments</w:t>
            </w:r>
          </w:p>
        </w:tc>
        <w:tc>
          <w:tcPr>
            <w:tcW w:w="1507" w:type="dxa"/>
            <w:shd w:val="clear" w:color="000000" w:fill="FFFFFF"/>
            <w:noWrap/>
            <w:vAlign w:val="center"/>
            <w:hideMark/>
          </w:tcPr>
          <w:p w14:paraId="7E64B006" w14:textId="7E8DB2ED" w:rsidR="00B34F0B" w:rsidRPr="00D657E1" w:rsidRDefault="00B34F0B" w:rsidP="00076D4A">
            <w:pPr>
              <w:pStyle w:val="ExhibitText"/>
              <w:jc w:val="right"/>
              <w:rPr>
                <w:lang w:val="en-GB"/>
              </w:rPr>
            </w:pPr>
            <w:r w:rsidRPr="00D657E1">
              <w:rPr>
                <w:lang w:val="en-GB"/>
              </w:rPr>
              <w:t xml:space="preserve"> </w:t>
            </w:r>
            <w:r w:rsidR="00FB061A">
              <w:rPr>
                <w:lang w:val="en-GB"/>
              </w:rPr>
              <w:t>–</w:t>
            </w:r>
            <w:r w:rsidR="00EE787A" w:rsidRPr="00D657E1">
              <w:rPr>
                <w:lang w:val="en-GB"/>
              </w:rPr>
              <w:t xml:space="preserve"> </w:t>
            </w:r>
          </w:p>
        </w:tc>
        <w:tc>
          <w:tcPr>
            <w:tcW w:w="1507" w:type="dxa"/>
            <w:shd w:val="clear" w:color="000000" w:fill="FFFFFF"/>
            <w:noWrap/>
            <w:vAlign w:val="center"/>
            <w:hideMark/>
          </w:tcPr>
          <w:p w14:paraId="77C1E2AB" w14:textId="681DE88F" w:rsidR="00B34F0B" w:rsidRPr="00D657E1" w:rsidRDefault="0044602A" w:rsidP="00B74EDB">
            <w:pPr>
              <w:pStyle w:val="ExhibitText"/>
              <w:jc w:val="right"/>
              <w:rPr>
                <w:lang w:val="en-GB"/>
              </w:rPr>
            </w:pPr>
            <w:r>
              <w:rPr>
                <w:lang w:val="en-GB"/>
              </w:rPr>
              <w:t>10,476</w:t>
            </w:r>
            <w:r w:rsidR="00B34F0B" w:rsidRPr="00D657E1">
              <w:rPr>
                <w:lang w:val="en-GB"/>
              </w:rPr>
              <w:t xml:space="preserve"> </w:t>
            </w:r>
          </w:p>
        </w:tc>
        <w:tc>
          <w:tcPr>
            <w:tcW w:w="1507" w:type="dxa"/>
            <w:shd w:val="clear" w:color="000000" w:fill="FFFFFF"/>
            <w:noWrap/>
            <w:vAlign w:val="center"/>
            <w:hideMark/>
          </w:tcPr>
          <w:p w14:paraId="6421AA23" w14:textId="1D162DB4" w:rsidR="00B34F0B" w:rsidRPr="00D657E1" w:rsidRDefault="00FB061A" w:rsidP="005351E7">
            <w:pPr>
              <w:pStyle w:val="ExhibitText"/>
              <w:jc w:val="right"/>
              <w:rPr>
                <w:lang w:val="en-GB"/>
              </w:rPr>
            </w:pPr>
            <w:r>
              <w:rPr>
                <w:lang w:val="en-GB"/>
              </w:rPr>
              <w:t>–</w:t>
            </w:r>
            <w:r w:rsidR="00EE787A" w:rsidRPr="00D657E1">
              <w:rPr>
                <w:lang w:val="en-GB"/>
              </w:rPr>
              <w:t xml:space="preserve"> </w:t>
            </w:r>
          </w:p>
        </w:tc>
      </w:tr>
      <w:tr w:rsidR="00B34F0B" w:rsidRPr="00D657E1" w14:paraId="2F63D631" w14:textId="77777777" w:rsidTr="00012359">
        <w:trPr>
          <w:trHeight w:val="265"/>
        </w:trPr>
        <w:tc>
          <w:tcPr>
            <w:tcW w:w="4405" w:type="dxa"/>
            <w:shd w:val="clear" w:color="000000" w:fill="FFFFFF"/>
            <w:noWrap/>
            <w:vAlign w:val="center"/>
            <w:hideMark/>
          </w:tcPr>
          <w:p w14:paraId="7265A687" w14:textId="54F12EEF" w:rsidR="00B34F0B" w:rsidRPr="00D657E1" w:rsidRDefault="00B34F0B" w:rsidP="00076D4A">
            <w:pPr>
              <w:pStyle w:val="ExhibitText"/>
              <w:jc w:val="left"/>
              <w:rPr>
                <w:lang w:val="en-GB"/>
              </w:rPr>
            </w:pPr>
            <w:r w:rsidRPr="00D657E1">
              <w:rPr>
                <w:lang w:val="en-GB"/>
              </w:rPr>
              <w:t>Other non-current trade and other receivables</w:t>
            </w:r>
          </w:p>
        </w:tc>
        <w:tc>
          <w:tcPr>
            <w:tcW w:w="1507" w:type="dxa"/>
            <w:shd w:val="clear" w:color="000000" w:fill="FFFFFF"/>
            <w:noWrap/>
            <w:vAlign w:val="center"/>
            <w:hideMark/>
          </w:tcPr>
          <w:p w14:paraId="40B27577" w14:textId="17CC7E5B" w:rsidR="00B34F0B" w:rsidRPr="00D657E1" w:rsidRDefault="00B34F0B" w:rsidP="00076D4A">
            <w:pPr>
              <w:pStyle w:val="ExhibitText"/>
              <w:jc w:val="right"/>
              <w:rPr>
                <w:lang w:val="en-GB"/>
              </w:rPr>
            </w:pPr>
            <w:r w:rsidRPr="00D657E1">
              <w:rPr>
                <w:lang w:val="en-GB"/>
              </w:rPr>
              <w:t xml:space="preserve"> 2,030 </w:t>
            </w:r>
          </w:p>
        </w:tc>
        <w:tc>
          <w:tcPr>
            <w:tcW w:w="1507" w:type="dxa"/>
            <w:shd w:val="clear" w:color="000000" w:fill="FFFFFF"/>
            <w:noWrap/>
            <w:vAlign w:val="center"/>
            <w:hideMark/>
          </w:tcPr>
          <w:p w14:paraId="195129C7" w14:textId="064389AF" w:rsidR="00B34F0B" w:rsidRPr="00D657E1" w:rsidRDefault="0044602A" w:rsidP="00B34F0B">
            <w:pPr>
              <w:pStyle w:val="ExhibitText"/>
              <w:jc w:val="right"/>
              <w:rPr>
                <w:lang w:val="en-GB"/>
              </w:rPr>
            </w:pPr>
            <w:r>
              <w:rPr>
                <w:lang w:val="en-GB"/>
              </w:rPr>
              <w:t>4,932</w:t>
            </w:r>
          </w:p>
        </w:tc>
        <w:tc>
          <w:tcPr>
            <w:tcW w:w="1507" w:type="dxa"/>
            <w:shd w:val="clear" w:color="000000" w:fill="FFFFFF"/>
            <w:noWrap/>
            <w:vAlign w:val="center"/>
            <w:hideMark/>
          </w:tcPr>
          <w:p w14:paraId="59BC7F13" w14:textId="1B18180B" w:rsidR="00B34F0B" w:rsidRPr="00D657E1" w:rsidRDefault="00B34F0B" w:rsidP="00076D4A">
            <w:pPr>
              <w:pStyle w:val="ExhibitText"/>
              <w:jc w:val="right"/>
              <w:rPr>
                <w:lang w:val="en-GB"/>
              </w:rPr>
            </w:pPr>
            <w:r w:rsidRPr="00D657E1">
              <w:rPr>
                <w:lang w:val="en-GB"/>
              </w:rPr>
              <w:t xml:space="preserve"> 10,981 </w:t>
            </w:r>
          </w:p>
        </w:tc>
      </w:tr>
      <w:tr w:rsidR="00B34F0B" w:rsidRPr="00D657E1" w14:paraId="4549EF57" w14:textId="77777777" w:rsidTr="00012359">
        <w:trPr>
          <w:trHeight w:val="265"/>
        </w:trPr>
        <w:tc>
          <w:tcPr>
            <w:tcW w:w="4405" w:type="dxa"/>
            <w:shd w:val="clear" w:color="000000" w:fill="FFFFFF"/>
            <w:noWrap/>
            <w:vAlign w:val="center"/>
            <w:hideMark/>
          </w:tcPr>
          <w:p w14:paraId="241CEAEC" w14:textId="77777777" w:rsidR="00B34F0B" w:rsidRPr="00D657E1" w:rsidRDefault="00B34F0B" w:rsidP="00B34F0B">
            <w:pPr>
              <w:pStyle w:val="ExhibitText"/>
              <w:jc w:val="left"/>
              <w:rPr>
                <w:lang w:val="en-GB"/>
              </w:rPr>
            </w:pPr>
            <w:r w:rsidRPr="00D657E1">
              <w:rPr>
                <w:lang w:val="en-GB"/>
              </w:rPr>
              <w:t> </w:t>
            </w:r>
          </w:p>
        </w:tc>
        <w:tc>
          <w:tcPr>
            <w:tcW w:w="1507" w:type="dxa"/>
            <w:shd w:val="clear" w:color="000000" w:fill="FFFFFF"/>
            <w:noWrap/>
            <w:vAlign w:val="center"/>
            <w:hideMark/>
          </w:tcPr>
          <w:p w14:paraId="046D2067" w14:textId="065F0D34" w:rsidR="00B34F0B" w:rsidRPr="00D657E1" w:rsidRDefault="00B34F0B" w:rsidP="00076D4A">
            <w:pPr>
              <w:pStyle w:val="ExhibitText"/>
              <w:jc w:val="right"/>
              <w:rPr>
                <w:lang w:val="en-GB"/>
              </w:rPr>
            </w:pPr>
            <w:r w:rsidRPr="00D657E1">
              <w:rPr>
                <w:lang w:val="en-GB"/>
              </w:rPr>
              <w:t xml:space="preserve"> 26,572 </w:t>
            </w:r>
          </w:p>
        </w:tc>
        <w:tc>
          <w:tcPr>
            <w:tcW w:w="1507" w:type="dxa"/>
            <w:shd w:val="clear" w:color="000000" w:fill="FFFFFF"/>
            <w:noWrap/>
            <w:vAlign w:val="center"/>
            <w:hideMark/>
          </w:tcPr>
          <w:p w14:paraId="6980B987" w14:textId="078A4801" w:rsidR="00B34F0B" w:rsidRPr="00D657E1" w:rsidRDefault="00B34F0B" w:rsidP="00B34F0B">
            <w:pPr>
              <w:pStyle w:val="ExhibitText"/>
              <w:jc w:val="right"/>
              <w:rPr>
                <w:lang w:val="en-GB"/>
              </w:rPr>
            </w:pPr>
            <w:r w:rsidRPr="00D657E1">
              <w:rPr>
                <w:lang w:val="en-GB"/>
              </w:rPr>
              <w:t xml:space="preserve">86,605 </w:t>
            </w:r>
          </w:p>
        </w:tc>
        <w:tc>
          <w:tcPr>
            <w:tcW w:w="1507" w:type="dxa"/>
            <w:shd w:val="clear" w:color="000000" w:fill="FFFFFF"/>
            <w:noWrap/>
            <w:vAlign w:val="center"/>
            <w:hideMark/>
          </w:tcPr>
          <w:p w14:paraId="0A5A4D08" w14:textId="5EF9061C" w:rsidR="00B34F0B" w:rsidRPr="00D657E1" w:rsidRDefault="00B34F0B" w:rsidP="00076D4A">
            <w:pPr>
              <w:pStyle w:val="ExhibitText"/>
              <w:jc w:val="right"/>
              <w:rPr>
                <w:lang w:val="en-GB"/>
              </w:rPr>
            </w:pPr>
            <w:r w:rsidRPr="00D657E1">
              <w:rPr>
                <w:lang w:val="en-GB"/>
              </w:rPr>
              <w:t xml:space="preserve">65,066 </w:t>
            </w:r>
          </w:p>
        </w:tc>
      </w:tr>
      <w:tr w:rsidR="00B34F0B" w:rsidRPr="00D657E1" w14:paraId="1B746588" w14:textId="77777777" w:rsidTr="00D359BC">
        <w:trPr>
          <w:trHeight w:val="265"/>
        </w:trPr>
        <w:tc>
          <w:tcPr>
            <w:tcW w:w="8926" w:type="dxa"/>
            <w:gridSpan w:val="4"/>
            <w:shd w:val="clear" w:color="000000" w:fill="FFFFFF"/>
            <w:noWrap/>
            <w:vAlign w:val="center"/>
            <w:hideMark/>
          </w:tcPr>
          <w:p w14:paraId="406FC8BA" w14:textId="77777777" w:rsidR="00B34F0B" w:rsidRPr="00D657E1" w:rsidRDefault="00B34F0B" w:rsidP="00B34F0B">
            <w:pPr>
              <w:pStyle w:val="ExhibitText"/>
              <w:jc w:val="left"/>
              <w:rPr>
                <w:b/>
                <w:bCs/>
                <w:lang w:val="en-GB"/>
              </w:rPr>
            </w:pPr>
            <w:r w:rsidRPr="00D657E1">
              <w:rPr>
                <w:b/>
                <w:bCs/>
                <w:lang w:val="en-GB"/>
              </w:rPr>
              <w:t>Current Assets</w:t>
            </w:r>
          </w:p>
        </w:tc>
      </w:tr>
      <w:tr w:rsidR="00B34F0B" w:rsidRPr="00D657E1" w14:paraId="2BF99F11" w14:textId="77777777" w:rsidTr="00012359">
        <w:trPr>
          <w:trHeight w:val="265"/>
        </w:trPr>
        <w:tc>
          <w:tcPr>
            <w:tcW w:w="4405" w:type="dxa"/>
            <w:shd w:val="clear" w:color="000000" w:fill="FFFFFF"/>
            <w:noWrap/>
            <w:vAlign w:val="center"/>
            <w:hideMark/>
          </w:tcPr>
          <w:p w14:paraId="5B67E3B4" w14:textId="77777777" w:rsidR="00B34F0B" w:rsidRPr="00D657E1" w:rsidRDefault="00B34F0B" w:rsidP="00B34F0B">
            <w:pPr>
              <w:pStyle w:val="ExhibitText"/>
              <w:jc w:val="left"/>
              <w:rPr>
                <w:lang w:val="en-GB"/>
              </w:rPr>
            </w:pPr>
            <w:r w:rsidRPr="00D657E1">
              <w:rPr>
                <w:lang w:val="en-GB"/>
              </w:rPr>
              <w:t>Inventories</w:t>
            </w:r>
          </w:p>
        </w:tc>
        <w:tc>
          <w:tcPr>
            <w:tcW w:w="1507" w:type="dxa"/>
            <w:shd w:val="clear" w:color="000000" w:fill="FFFFFF"/>
            <w:noWrap/>
            <w:vAlign w:val="center"/>
            <w:hideMark/>
          </w:tcPr>
          <w:p w14:paraId="3B974D4D" w14:textId="126C3F69" w:rsidR="00B34F0B" w:rsidRPr="00D657E1" w:rsidRDefault="00B34F0B" w:rsidP="00B74EDB">
            <w:pPr>
              <w:pStyle w:val="ExhibitText"/>
              <w:jc w:val="right"/>
              <w:rPr>
                <w:lang w:val="en-GB"/>
              </w:rPr>
            </w:pPr>
            <w:r w:rsidRPr="00D657E1">
              <w:rPr>
                <w:lang w:val="en-GB"/>
              </w:rPr>
              <w:t xml:space="preserve"> 898 </w:t>
            </w:r>
          </w:p>
        </w:tc>
        <w:tc>
          <w:tcPr>
            <w:tcW w:w="1507" w:type="dxa"/>
            <w:shd w:val="clear" w:color="000000" w:fill="FFFFFF"/>
            <w:noWrap/>
            <w:vAlign w:val="center"/>
            <w:hideMark/>
          </w:tcPr>
          <w:p w14:paraId="367D65CE" w14:textId="5DC94D73" w:rsidR="00B34F0B" w:rsidRPr="00D657E1" w:rsidRDefault="00B34F0B" w:rsidP="00076D4A">
            <w:pPr>
              <w:pStyle w:val="ExhibitText"/>
              <w:jc w:val="right"/>
              <w:rPr>
                <w:lang w:val="en-GB"/>
              </w:rPr>
            </w:pPr>
            <w:r w:rsidRPr="00D657E1">
              <w:rPr>
                <w:lang w:val="en-GB"/>
              </w:rPr>
              <w:t xml:space="preserve"> 802 </w:t>
            </w:r>
          </w:p>
        </w:tc>
        <w:tc>
          <w:tcPr>
            <w:tcW w:w="1507" w:type="dxa"/>
            <w:shd w:val="clear" w:color="000000" w:fill="FFFFFF"/>
            <w:noWrap/>
            <w:vAlign w:val="center"/>
            <w:hideMark/>
          </w:tcPr>
          <w:p w14:paraId="03B759B8" w14:textId="0EAD185C" w:rsidR="00B34F0B" w:rsidRPr="00D657E1" w:rsidRDefault="00B34F0B" w:rsidP="00076D4A">
            <w:pPr>
              <w:pStyle w:val="ExhibitText"/>
              <w:jc w:val="right"/>
              <w:rPr>
                <w:lang w:val="en-GB"/>
              </w:rPr>
            </w:pPr>
            <w:r w:rsidRPr="00D657E1">
              <w:rPr>
                <w:lang w:val="en-GB"/>
              </w:rPr>
              <w:t xml:space="preserve">931 </w:t>
            </w:r>
          </w:p>
        </w:tc>
      </w:tr>
      <w:tr w:rsidR="00B34F0B" w:rsidRPr="00D657E1" w14:paraId="6936093D" w14:textId="77777777" w:rsidTr="00012359">
        <w:trPr>
          <w:trHeight w:val="265"/>
        </w:trPr>
        <w:tc>
          <w:tcPr>
            <w:tcW w:w="4405" w:type="dxa"/>
            <w:shd w:val="clear" w:color="000000" w:fill="FFFFFF"/>
            <w:noWrap/>
            <w:vAlign w:val="center"/>
            <w:hideMark/>
          </w:tcPr>
          <w:p w14:paraId="225823FF" w14:textId="218C4443" w:rsidR="00B34F0B" w:rsidRPr="00D657E1" w:rsidRDefault="00B34F0B" w:rsidP="00076D4A">
            <w:pPr>
              <w:pStyle w:val="ExhibitText"/>
              <w:jc w:val="left"/>
              <w:rPr>
                <w:lang w:val="en-GB"/>
              </w:rPr>
            </w:pPr>
            <w:r w:rsidRPr="00D657E1">
              <w:rPr>
                <w:lang w:val="en-GB"/>
              </w:rPr>
              <w:t xml:space="preserve">Cash </w:t>
            </w:r>
            <w:r w:rsidR="00076D4A" w:rsidRPr="00D657E1">
              <w:rPr>
                <w:lang w:val="en-GB"/>
              </w:rPr>
              <w:t>and</w:t>
            </w:r>
            <w:r w:rsidRPr="00D657E1">
              <w:rPr>
                <w:lang w:val="en-GB"/>
              </w:rPr>
              <w:t xml:space="preserve"> cash equivalents</w:t>
            </w:r>
          </w:p>
        </w:tc>
        <w:tc>
          <w:tcPr>
            <w:tcW w:w="1507" w:type="dxa"/>
            <w:shd w:val="clear" w:color="000000" w:fill="FFFFFF"/>
            <w:noWrap/>
            <w:vAlign w:val="center"/>
            <w:hideMark/>
          </w:tcPr>
          <w:p w14:paraId="2A69B8CB" w14:textId="1D2372B8" w:rsidR="00B34F0B" w:rsidRPr="00D657E1" w:rsidRDefault="00B34F0B" w:rsidP="00076D4A">
            <w:pPr>
              <w:pStyle w:val="ExhibitText"/>
              <w:jc w:val="right"/>
              <w:rPr>
                <w:lang w:val="en-GB"/>
              </w:rPr>
            </w:pPr>
            <w:r w:rsidRPr="00D657E1">
              <w:rPr>
                <w:lang w:val="en-GB"/>
              </w:rPr>
              <w:t xml:space="preserve">17,954 </w:t>
            </w:r>
          </w:p>
        </w:tc>
        <w:tc>
          <w:tcPr>
            <w:tcW w:w="1507" w:type="dxa"/>
            <w:shd w:val="clear" w:color="000000" w:fill="FFFFFF"/>
            <w:noWrap/>
            <w:vAlign w:val="center"/>
            <w:hideMark/>
          </w:tcPr>
          <w:p w14:paraId="34E2FE57" w14:textId="73F4AF0B" w:rsidR="00B34F0B" w:rsidRPr="00D657E1" w:rsidRDefault="00B34F0B" w:rsidP="00B74EDB">
            <w:pPr>
              <w:pStyle w:val="ExhibitText"/>
              <w:jc w:val="right"/>
              <w:rPr>
                <w:lang w:val="en-GB"/>
              </w:rPr>
            </w:pPr>
            <w:r w:rsidRPr="00D657E1">
              <w:rPr>
                <w:lang w:val="en-GB"/>
              </w:rPr>
              <w:t xml:space="preserve"> 6,437 </w:t>
            </w:r>
          </w:p>
        </w:tc>
        <w:tc>
          <w:tcPr>
            <w:tcW w:w="1507" w:type="dxa"/>
            <w:shd w:val="clear" w:color="000000" w:fill="FFFFFF"/>
            <w:noWrap/>
            <w:vAlign w:val="center"/>
            <w:hideMark/>
          </w:tcPr>
          <w:p w14:paraId="03442B19" w14:textId="0CEC2DAA" w:rsidR="00B34F0B" w:rsidRPr="00D657E1" w:rsidRDefault="00B34F0B" w:rsidP="005351E7">
            <w:pPr>
              <w:pStyle w:val="ExhibitText"/>
              <w:jc w:val="right"/>
              <w:rPr>
                <w:lang w:val="en-GB"/>
              </w:rPr>
            </w:pPr>
            <w:r w:rsidRPr="00D657E1">
              <w:rPr>
                <w:lang w:val="en-GB"/>
              </w:rPr>
              <w:t xml:space="preserve"> 7,580 </w:t>
            </w:r>
          </w:p>
        </w:tc>
      </w:tr>
      <w:tr w:rsidR="00B34F0B" w:rsidRPr="00D657E1" w14:paraId="47AE6607" w14:textId="77777777" w:rsidTr="00012359">
        <w:trPr>
          <w:trHeight w:val="265"/>
        </w:trPr>
        <w:tc>
          <w:tcPr>
            <w:tcW w:w="4405" w:type="dxa"/>
            <w:shd w:val="clear" w:color="000000" w:fill="FFFFFF"/>
            <w:noWrap/>
            <w:vAlign w:val="center"/>
            <w:hideMark/>
          </w:tcPr>
          <w:p w14:paraId="590D5AFA" w14:textId="77777777" w:rsidR="00B34F0B" w:rsidRPr="00D657E1" w:rsidRDefault="00B34F0B" w:rsidP="00B34F0B">
            <w:pPr>
              <w:pStyle w:val="ExhibitText"/>
              <w:jc w:val="left"/>
              <w:rPr>
                <w:lang w:val="en-GB"/>
              </w:rPr>
            </w:pPr>
            <w:r w:rsidRPr="00D657E1">
              <w:rPr>
                <w:lang w:val="en-GB"/>
              </w:rPr>
              <w:t>Trade and other receivables</w:t>
            </w:r>
          </w:p>
        </w:tc>
        <w:tc>
          <w:tcPr>
            <w:tcW w:w="1507" w:type="dxa"/>
            <w:shd w:val="clear" w:color="000000" w:fill="FFFFFF"/>
            <w:noWrap/>
            <w:vAlign w:val="center"/>
            <w:hideMark/>
          </w:tcPr>
          <w:p w14:paraId="7068164A" w14:textId="5BA07F30" w:rsidR="00B34F0B" w:rsidRPr="00D657E1" w:rsidRDefault="00B34F0B" w:rsidP="00076D4A">
            <w:pPr>
              <w:pStyle w:val="ExhibitText"/>
              <w:jc w:val="right"/>
              <w:rPr>
                <w:lang w:val="en-GB"/>
              </w:rPr>
            </w:pPr>
            <w:r w:rsidRPr="00D657E1">
              <w:rPr>
                <w:lang w:val="en-GB"/>
              </w:rPr>
              <w:t xml:space="preserve"> 7,878 </w:t>
            </w:r>
          </w:p>
        </w:tc>
        <w:tc>
          <w:tcPr>
            <w:tcW w:w="1507" w:type="dxa"/>
            <w:shd w:val="clear" w:color="000000" w:fill="FFFFFF"/>
            <w:noWrap/>
            <w:vAlign w:val="center"/>
            <w:hideMark/>
          </w:tcPr>
          <w:p w14:paraId="642BFD2E" w14:textId="373C49A0" w:rsidR="00B34F0B" w:rsidRPr="00D657E1" w:rsidRDefault="00B34F0B" w:rsidP="00B74EDB">
            <w:pPr>
              <w:pStyle w:val="ExhibitText"/>
              <w:jc w:val="right"/>
              <w:rPr>
                <w:lang w:val="en-GB"/>
              </w:rPr>
            </w:pPr>
            <w:r w:rsidRPr="00D657E1">
              <w:rPr>
                <w:lang w:val="en-GB"/>
              </w:rPr>
              <w:t xml:space="preserve"> 7,885 </w:t>
            </w:r>
          </w:p>
        </w:tc>
        <w:tc>
          <w:tcPr>
            <w:tcW w:w="1507" w:type="dxa"/>
            <w:shd w:val="clear" w:color="000000" w:fill="FFFFFF"/>
            <w:noWrap/>
            <w:vAlign w:val="center"/>
            <w:hideMark/>
          </w:tcPr>
          <w:p w14:paraId="069CC7EC" w14:textId="1EE15C43" w:rsidR="00B34F0B" w:rsidRPr="00D657E1" w:rsidRDefault="00B34F0B" w:rsidP="005351E7">
            <w:pPr>
              <w:pStyle w:val="ExhibitText"/>
              <w:jc w:val="right"/>
              <w:rPr>
                <w:lang w:val="en-GB"/>
              </w:rPr>
            </w:pPr>
            <w:r w:rsidRPr="00D657E1">
              <w:rPr>
                <w:lang w:val="en-GB"/>
              </w:rPr>
              <w:t xml:space="preserve">5,768 </w:t>
            </w:r>
          </w:p>
        </w:tc>
      </w:tr>
      <w:tr w:rsidR="00B34F0B" w:rsidRPr="00D657E1" w14:paraId="348737BE" w14:textId="77777777" w:rsidTr="00012359">
        <w:trPr>
          <w:trHeight w:val="265"/>
        </w:trPr>
        <w:tc>
          <w:tcPr>
            <w:tcW w:w="4405" w:type="dxa"/>
            <w:shd w:val="clear" w:color="000000" w:fill="FFFFFF"/>
            <w:noWrap/>
            <w:vAlign w:val="center"/>
            <w:hideMark/>
          </w:tcPr>
          <w:p w14:paraId="088CE45A" w14:textId="77777777" w:rsidR="00B34F0B" w:rsidRPr="00D657E1" w:rsidRDefault="00B34F0B" w:rsidP="00B34F0B">
            <w:pPr>
              <w:pStyle w:val="ExhibitText"/>
              <w:jc w:val="left"/>
              <w:rPr>
                <w:lang w:val="en-GB"/>
              </w:rPr>
            </w:pPr>
            <w:r w:rsidRPr="00D657E1">
              <w:rPr>
                <w:lang w:val="en-GB"/>
              </w:rPr>
              <w:t>Assets held for sale</w:t>
            </w:r>
          </w:p>
        </w:tc>
        <w:tc>
          <w:tcPr>
            <w:tcW w:w="1507" w:type="dxa"/>
            <w:shd w:val="clear" w:color="000000" w:fill="FFFFFF"/>
            <w:noWrap/>
            <w:vAlign w:val="center"/>
            <w:hideMark/>
          </w:tcPr>
          <w:p w14:paraId="202100F4" w14:textId="469D47B6" w:rsidR="00B34F0B" w:rsidRPr="00D657E1" w:rsidRDefault="00B34F0B" w:rsidP="00076D4A">
            <w:pPr>
              <w:pStyle w:val="ExhibitText"/>
              <w:jc w:val="right"/>
              <w:rPr>
                <w:lang w:val="en-GB"/>
              </w:rPr>
            </w:pPr>
            <w:r w:rsidRPr="00D657E1">
              <w:rPr>
                <w:lang w:val="en-GB"/>
              </w:rPr>
              <w:t xml:space="preserve">20,691 </w:t>
            </w:r>
          </w:p>
        </w:tc>
        <w:tc>
          <w:tcPr>
            <w:tcW w:w="1507" w:type="dxa"/>
            <w:shd w:val="clear" w:color="000000" w:fill="FFFFFF"/>
            <w:noWrap/>
            <w:vAlign w:val="center"/>
            <w:hideMark/>
          </w:tcPr>
          <w:p w14:paraId="2D2E4338" w14:textId="76E412C0" w:rsidR="00B34F0B" w:rsidRPr="00D657E1" w:rsidRDefault="00FB061A" w:rsidP="00B74EDB">
            <w:pPr>
              <w:pStyle w:val="ExhibitText"/>
              <w:jc w:val="right"/>
              <w:rPr>
                <w:lang w:val="en-GB"/>
              </w:rPr>
            </w:pPr>
            <w:r>
              <w:rPr>
                <w:lang w:val="en-GB"/>
              </w:rPr>
              <w:t>–</w:t>
            </w:r>
            <w:r w:rsidR="00EE787A" w:rsidRPr="00D657E1">
              <w:rPr>
                <w:lang w:val="en-GB"/>
              </w:rPr>
              <w:t xml:space="preserve"> </w:t>
            </w:r>
          </w:p>
        </w:tc>
        <w:tc>
          <w:tcPr>
            <w:tcW w:w="1507" w:type="dxa"/>
            <w:shd w:val="clear" w:color="000000" w:fill="FFFFFF"/>
            <w:noWrap/>
            <w:vAlign w:val="center"/>
            <w:hideMark/>
          </w:tcPr>
          <w:p w14:paraId="62D5861F" w14:textId="26B05114" w:rsidR="00B34F0B" w:rsidRPr="00D657E1" w:rsidRDefault="00FB061A" w:rsidP="005351E7">
            <w:pPr>
              <w:pStyle w:val="ExhibitText"/>
              <w:jc w:val="right"/>
              <w:rPr>
                <w:lang w:val="en-GB"/>
              </w:rPr>
            </w:pPr>
            <w:r>
              <w:rPr>
                <w:lang w:val="en-GB"/>
              </w:rPr>
              <w:t>–</w:t>
            </w:r>
            <w:r w:rsidR="00EE787A" w:rsidRPr="00D657E1">
              <w:rPr>
                <w:lang w:val="en-GB"/>
              </w:rPr>
              <w:t xml:space="preserve"> </w:t>
            </w:r>
          </w:p>
        </w:tc>
      </w:tr>
      <w:tr w:rsidR="00B34F0B" w:rsidRPr="00D657E1" w14:paraId="2E04EACA" w14:textId="77777777" w:rsidTr="00012359">
        <w:trPr>
          <w:trHeight w:val="265"/>
        </w:trPr>
        <w:tc>
          <w:tcPr>
            <w:tcW w:w="4405" w:type="dxa"/>
            <w:shd w:val="clear" w:color="000000" w:fill="FFFFFF"/>
            <w:noWrap/>
            <w:vAlign w:val="center"/>
            <w:hideMark/>
          </w:tcPr>
          <w:p w14:paraId="42723DC1" w14:textId="77777777" w:rsidR="00B34F0B" w:rsidRPr="00D657E1" w:rsidRDefault="00B34F0B" w:rsidP="00B34F0B">
            <w:pPr>
              <w:pStyle w:val="ExhibitText"/>
              <w:jc w:val="left"/>
              <w:rPr>
                <w:lang w:val="en-GB"/>
              </w:rPr>
            </w:pPr>
            <w:r w:rsidRPr="00D657E1">
              <w:rPr>
                <w:lang w:val="en-GB"/>
              </w:rPr>
              <w:t> </w:t>
            </w:r>
          </w:p>
        </w:tc>
        <w:tc>
          <w:tcPr>
            <w:tcW w:w="1507" w:type="dxa"/>
            <w:shd w:val="clear" w:color="000000" w:fill="FFFFFF"/>
            <w:noWrap/>
            <w:vAlign w:val="center"/>
            <w:hideMark/>
          </w:tcPr>
          <w:p w14:paraId="33B7E4C3" w14:textId="11C635A2" w:rsidR="00B34F0B" w:rsidRPr="00D657E1" w:rsidRDefault="00B34F0B" w:rsidP="00076D4A">
            <w:pPr>
              <w:pStyle w:val="ExhibitText"/>
              <w:jc w:val="right"/>
              <w:rPr>
                <w:lang w:val="en-GB"/>
              </w:rPr>
            </w:pPr>
            <w:r w:rsidRPr="00D657E1">
              <w:rPr>
                <w:lang w:val="en-GB"/>
              </w:rPr>
              <w:t xml:space="preserve"> 47,421 </w:t>
            </w:r>
          </w:p>
        </w:tc>
        <w:tc>
          <w:tcPr>
            <w:tcW w:w="1507" w:type="dxa"/>
            <w:shd w:val="clear" w:color="000000" w:fill="FFFFFF"/>
            <w:noWrap/>
            <w:vAlign w:val="center"/>
            <w:hideMark/>
          </w:tcPr>
          <w:p w14:paraId="30CFE9E7" w14:textId="7C044F08" w:rsidR="00B34F0B" w:rsidRPr="00D657E1" w:rsidRDefault="00B34F0B" w:rsidP="00B74EDB">
            <w:pPr>
              <w:pStyle w:val="ExhibitText"/>
              <w:jc w:val="right"/>
              <w:rPr>
                <w:lang w:val="en-GB"/>
              </w:rPr>
            </w:pPr>
            <w:r w:rsidRPr="00D657E1">
              <w:rPr>
                <w:lang w:val="en-GB"/>
              </w:rPr>
              <w:t xml:space="preserve"> 15,124 </w:t>
            </w:r>
          </w:p>
        </w:tc>
        <w:tc>
          <w:tcPr>
            <w:tcW w:w="1507" w:type="dxa"/>
            <w:shd w:val="clear" w:color="000000" w:fill="FFFFFF"/>
            <w:noWrap/>
            <w:vAlign w:val="center"/>
            <w:hideMark/>
          </w:tcPr>
          <w:p w14:paraId="334D0D53" w14:textId="4C58D52D" w:rsidR="00B34F0B" w:rsidRPr="00D657E1" w:rsidRDefault="00B34F0B" w:rsidP="005351E7">
            <w:pPr>
              <w:pStyle w:val="ExhibitText"/>
              <w:jc w:val="right"/>
              <w:rPr>
                <w:lang w:val="en-GB"/>
              </w:rPr>
            </w:pPr>
            <w:r w:rsidRPr="00D657E1">
              <w:rPr>
                <w:lang w:val="en-GB"/>
              </w:rPr>
              <w:t xml:space="preserve"> 14,279 </w:t>
            </w:r>
          </w:p>
        </w:tc>
      </w:tr>
      <w:tr w:rsidR="00B34F0B" w:rsidRPr="00D657E1" w14:paraId="53CFD75F" w14:textId="77777777" w:rsidTr="00012359">
        <w:trPr>
          <w:trHeight w:val="282"/>
        </w:trPr>
        <w:tc>
          <w:tcPr>
            <w:tcW w:w="4405" w:type="dxa"/>
            <w:shd w:val="clear" w:color="000000" w:fill="FFFFFF"/>
            <w:noWrap/>
            <w:vAlign w:val="center"/>
            <w:hideMark/>
          </w:tcPr>
          <w:p w14:paraId="0DB025B9" w14:textId="77777777" w:rsidR="00B34F0B" w:rsidRPr="00D657E1" w:rsidRDefault="00B34F0B" w:rsidP="00B34F0B">
            <w:pPr>
              <w:pStyle w:val="ExhibitText"/>
              <w:jc w:val="left"/>
              <w:rPr>
                <w:b/>
                <w:bCs/>
                <w:lang w:val="en-GB"/>
              </w:rPr>
            </w:pPr>
            <w:r w:rsidRPr="00D657E1">
              <w:rPr>
                <w:b/>
                <w:bCs/>
                <w:lang w:val="en-GB"/>
              </w:rPr>
              <w:t>Total Assets</w:t>
            </w:r>
          </w:p>
        </w:tc>
        <w:tc>
          <w:tcPr>
            <w:tcW w:w="1507" w:type="dxa"/>
            <w:shd w:val="clear" w:color="000000" w:fill="FFFFFF"/>
            <w:noWrap/>
            <w:vAlign w:val="center"/>
            <w:hideMark/>
          </w:tcPr>
          <w:p w14:paraId="39A3D19F" w14:textId="06F6EF26" w:rsidR="00B34F0B" w:rsidRPr="00D657E1" w:rsidRDefault="00B34F0B" w:rsidP="00076D4A">
            <w:pPr>
              <w:pStyle w:val="ExhibitText"/>
              <w:jc w:val="right"/>
              <w:rPr>
                <w:lang w:val="en-GB"/>
              </w:rPr>
            </w:pPr>
            <w:r w:rsidRPr="00D657E1">
              <w:rPr>
                <w:lang w:val="en-GB"/>
              </w:rPr>
              <w:t xml:space="preserve">73,993 </w:t>
            </w:r>
          </w:p>
        </w:tc>
        <w:tc>
          <w:tcPr>
            <w:tcW w:w="1507" w:type="dxa"/>
            <w:shd w:val="clear" w:color="000000" w:fill="FFFFFF"/>
            <w:noWrap/>
            <w:vAlign w:val="center"/>
            <w:hideMark/>
          </w:tcPr>
          <w:p w14:paraId="5CAD8911" w14:textId="4A414970" w:rsidR="00B34F0B" w:rsidRPr="00D657E1" w:rsidRDefault="00B34F0B" w:rsidP="00B74EDB">
            <w:pPr>
              <w:pStyle w:val="ExhibitText"/>
              <w:jc w:val="right"/>
              <w:rPr>
                <w:lang w:val="en-GB"/>
              </w:rPr>
            </w:pPr>
            <w:r w:rsidRPr="00D657E1">
              <w:rPr>
                <w:lang w:val="en-GB"/>
              </w:rPr>
              <w:t xml:space="preserve"> 101,729 </w:t>
            </w:r>
          </w:p>
        </w:tc>
        <w:tc>
          <w:tcPr>
            <w:tcW w:w="1507" w:type="dxa"/>
            <w:shd w:val="clear" w:color="000000" w:fill="FFFFFF"/>
            <w:noWrap/>
            <w:vAlign w:val="center"/>
            <w:hideMark/>
          </w:tcPr>
          <w:p w14:paraId="087035E2" w14:textId="45AB3636" w:rsidR="00B34F0B" w:rsidRPr="00D657E1" w:rsidRDefault="00B34F0B" w:rsidP="005351E7">
            <w:pPr>
              <w:pStyle w:val="ExhibitText"/>
              <w:jc w:val="right"/>
              <w:rPr>
                <w:lang w:val="en-GB"/>
              </w:rPr>
            </w:pPr>
            <w:r w:rsidRPr="00D657E1">
              <w:rPr>
                <w:lang w:val="en-GB"/>
              </w:rPr>
              <w:t xml:space="preserve"> 79,345 </w:t>
            </w:r>
          </w:p>
        </w:tc>
      </w:tr>
      <w:tr w:rsidR="00B34F0B" w:rsidRPr="00D657E1" w14:paraId="247EA015" w14:textId="77777777" w:rsidTr="00D359BC">
        <w:trPr>
          <w:trHeight w:val="265"/>
        </w:trPr>
        <w:tc>
          <w:tcPr>
            <w:tcW w:w="8926" w:type="dxa"/>
            <w:gridSpan w:val="4"/>
            <w:shd w:val="clear" w:color="000000" w:fill="FFFFFF"/>
            <w:noWrap/>
            <w:vAlign w:val="center"/>
            <w:hideMark/>
          </w:tcPr>
          <w:p w14:paraId="67864129" w14:textId="77777777" w:rsidR="00B34F0B" w:rsidRPr="00D657E1" w:rsidRDefault="00B34F0B" w:rsidP="00B34F0B">
            <w:pPr>
              <w:pStyle w:val="ExhibitText"/>
              <w:jc w:val="left"/>
              <w:rPr>
                <w:b/>
                <w:bCs/>
                <w:lang w:val="en-GB"/>
              </w:rPr>
            </w:pPr>
            <w:r w:rsidRPr="00D657E1">
              <w:rPr>
                <w:b/>
                <w:bCs/>
                <w:lang w:val="en-GB"/>
              </w:rPr>
              <w:t>Equity</w:t>
            </w:r>
          </w:p>
        </w:tc>
      </w:tr>
      <w:tr w:rsidR="00B34F0B" w:rsidRPr="00D657E1" w14:paraId="1DE35AA1" w14:textId="77777777" w:rsidTr="00012359">
        <w:trPr>
          <w:trHeight w:val="265"/>
        </w:trPr>
        <w:tc>
          <w:tcPr>
            <w:tcW w:w="4405" w:type="dxa"/>
            <w:shd w:val="clear" w:color="000000" w:fill="FFFFFF"/>
            <w:noWrap/>
            <w:vAlign w:val="center"/>
            <w:hideMark/>
          </w:tcPr>
          <w:p w14:paraId="28D00578" w14:textId="77777777" w:rsidR="00B34F0B" w:rsidRPr="00D657E1" w:rsidRDefault="00B34F0B" w:rsidP="00B34F0B">
            <w:pPr>
              <w:pStyle w:val="ExhibitText"/>
              <w:jc w:val="left"/>
              <w:rPr>
                <w:lang w:val="en-GB"/>
              </w:rPr>
            </w:pPr>
            <w:r w:rsidRPr="00D657E1">
              <w:rPr>
                <w:lang w:val="en-GB"/>
              </w:rPr>
              <w:t>Called up equity share capital</w:t>
            </w:r>
          </w:p>
        </w:tc>
        <w:tc>
          <w:tcPr>
            <w:tcW w:w="1507" w:type="dxa"/>
            <w:shd w:val="clear" w:color="000000" w:fill="FFFFFF"/>
            <w:noWrap/>
            <w:vAlign w:val="center"/>
            <w:hideMark/>
          </w:tcPr>
          <w:p w14:paraId="4F6E9D24" w14:textId="544B9E5E" w:rsidR="00B34F0B" w:rsidRPr="00D657E1" w:rsidRDefault="00B34F0B" w:rsidP="00076D4A">
            <w:pPr>
              <w:pStyle w:val="ExhibitText"/>
              <w:jc w:val="right"/>
              <w:rPr>
                <w:lang w:val="en-GB"/>
              </w:rPr>
            </w:pPr>
            <w:r w:rsidRPr="00D657E1">
              <w:rPr>
                <w:lang w:val="en-GB"/>
              </w:rPr>
              <w:t xml:space="preserve"> 69,850 </w:t>
            </w:r>
          </w:p>
        </w:tc>
        <w:tc>
          <w:tcPr>
            <w:tcW w:w="1507" w:type="dxa"/>
            <w:shd w:val="clear" w:color="000000" w:fill="FFFFFF"/>
            <w:noWrap/>
            <w:vAlign w:val="center"/>
            <w:hideMark/>
          </w:tcPr>
          <w:p w14:paraId="618F5208" w14:textId="5818E0FA" w:rsidR="00B34F0B" w:rsidRPr="00D657E1" w:rsidRDefault="00B34F0B" w:rsidP="00B74EDB">
            <w:pPr>
              <w:pStyle w:val="ExhibitText"/>
              <w:jc w:val="right"/>
              <w:rPr>
                <w:lang w:val="en-GB"/>
              </w:rPr>
            </w:pPr>
            <w:r w:rsidRPr="00D657E1">
              <w:rPr>
                <w:lang w:val="en-GB"/>
              </w:rPr>
              <w:t xml:space="preserve">43,916 </w:t>
            </w:r>
          </w:p>
        </w:tc>
        <w:tc>
          <w:tcPr>
            <w:tcW w:w="1507" w:type="dxa"/>
            <w:shd w:val="clear" w:color="000000" w:fill="FFFFFF"/>
            <w:noWrap/>
            <w:vAlign w:val="center"/>
            <w:hideMark/>
          </w:tcPr>
          <w:p w14:paraId="524AE295" w14:textId="4D7BC93C" w:rsidR="00B34F0B" w:rsidRPr="00D657E1" w:rsidRDefault="00B34F0B" w:rsidP="005351E7">
            <w:pPr>
              <w:pStyle w:val="ExhibitText"/>
              <w:jc w:val="right"/>
              <w:rPr>
                <w:lang w:val="en-GB"/>
              </w:rPr>
            </w:pPr>
            <w:r w:rsidRPr="00D657E1">
              <w:rPr>
                <w:lang w:val="en-GB"/>
              </w:rPr>
              <w:t xml:space="preserve">51,097 </w:t>
            </w:r>
          </w:p>
        </w:tc>
      </w:tr>
      <w:tr w:rsidR="00B34F0B" w:rsidRPr="00D657E1" w14:paraId="3FA6C94D" w14:textId="77777777" w:rsidTr="00012359">
        <w:trPr>
          <w:trHeight w:val="265"/>
        </w:trPr>
        <w:tc>
          <w:tcPr>
            <w:tcW w:w="4405" w:type="dxa"/>
            <w:shd w:val="clear" w:color="000000" w:fill="FFFFFF"/>
            <w:noWrap/>
            <w:vAlign w:val="center"/>
            <w:hideMark/>
          </w:tcPr>
          <w:p w14:paraId="36188690" w14:textId="77777777" w:rsidR="00B34F0B" w:rsidRPr="00D657E1" w:rsidRDefault="00B34F0B" w:rsidP="00B34F0B">
            <w:pPr>
              <w:pStyle w:val="ExhibitText"/>
              <w:jc w:val="left"/>
              <w:rPr>
                <w:lang w:val="en-GB"/>
              </w:rPr>
            </w:pPr>
            <w:r w:rsidRPr="00D657E1">
              <w:rPr>
                <w:lang w:val="en-GB"/>
              </w:rPr>
              <w:t>Share premium account</w:t>
            </w:r>
          </w:p>
        </w:tc>
        <w:tc>
          <w:tcPr>
            <w:tcW w:w="1507" w:type="dxa"/>
            <w:shd w:val="clear" w:color="000000" w:fill="FFFFFF"/>
            <w:noWrap/>
            <w:vAlign w:val="center"/>
            <w:hideMark/>
          </w:tcPr>
          <w:p w14:paraId="65EF255E" w14:textId="20E3EAA6" w:rsidR="00B34F0B" w:rsidRPr="00D657E1" w:rsidRDefault="00B34F0B" w:rsidP="00076D4A">
            <w:pPr>
              <w:pStyle w:val="ExhibitText"/>
              <w:jc w:val="right"/>
              <w:rPr>
                <w:lang w:val="en-GB"/>
              </w:rPr>
            </w:pPr>
            <w:r w:rsidRPr="00D657E1">
              <w:rPr>
                <w:lang w:val="en-GB"/>
              </w:rPr>
              <w:t xml:space="preserve">108,366 </w:t>
            </w:r>
          </w:p>
        </w:tc>
        <w:tc>
          <w:tcPr>
            <w:tcW w:w="1507" w:type="dxa"/>
            <w:shd w:val="clear" w:color="000000" w:fill="FFFFFF"/>
            <w:noWrap/>
            <w:vAlign w:val="center"/>
            <w:hideMark/>
          </w:tcPr>
          <w:p w14:paraId="227965EF" w14:textId="62ADB2B3" w:rsidR="00B34F0B" w:rsidRPr="00D657E1" w:rsidRDefault="00B34F0B" w:rsidP="00B74EDB">
            <w:pPr>
              <w:pStyle w:val="ExhibitText"/>
              <w:jc w:val="right"/>
              <w:rPr>
                <w:lang w:val="en-GB"/>
              </w:rPr>
            </w:pPr>
            <w:r w:rsidRPr="00D657E1">
              <w:rPr>
                <w:lang w:val="en-GB"/>
              </w:rPr>
              <w:t xml:space="preserve"> 87,377 </w:t>
            </w:r>
          </w:p>
        </w:tc>
        <w:tc>
          <w:tcPr>
            <w:tcW w:w="1507" w:type="dxa"/>
            <w:shd w:val="clear" w:color="000000" w:fill="FFFFFF"/>
            <w:noWrap/>
            <w:vAlign w:val="center"/>
            <w:hideMark/>
          </w:tcPr>
          <w:p w14:paraId="2648530C" w14:textId="3CAD7969" w:rsidR="00B34F0B" w:rsidRPr="00D657E1" w:rsidRDefault="00B34F0B" w:rsidP="005351E7">
            <w:pPr>
              <w:pStyle w:val="ExhibitText"/>
              <w:jc w:val="right"/>
              <w:rPr>
                <w:lang w:val="en-GB"/>
              </w:rPr>
            </w:pPr>
            <w:r w:rsidRPr="00D657E1">
              <w:rPr>
                <w:lang w:val="en-GB"/>
              </w:rPr>
              <w:t xml:space="preserve"> 97,392 </w:t>
            </w:r>
          </w:p>
        </w:tc>
      </w:tr>
      <w:tr w:rsidR="00B34F0B" w:rsidRPr="00D657E1" w14:paraId="6EA433F9" w14:textId="77777777" w:rsidTr="00012359">
        <w:trPr>
          <w:trHeight w:val="265"/>
        </w:trPr>
        <w:tc>
          <w:tcPr>
            <w:tcW w:w="4405" w:type="dxa"/>
            <w:shd w:val="clear" w:color="000000" w:fill="FFFFFF"/>
            <w:noWrap/>
            <w:vAlign w:val="center"/>
            <w:hideMark/>
          </w:tcPr>
          <w:p w14:paraId="7C8575EC" w14:textId="77777777" w:rsidR="00B34F0B" w:rsidRPr="00D657E1" w:rsidRDefault="00B34F0B" w:rsidP="00B34F0B">
            <w:pPr>
              <w:pStyle w:val="ExhibitText"/>
              <w:jc w:val="left"/>
              <w:rPr>
                <w:lang w:val="en-GB"/>
              </w:rPr>
            </w:pPr>
            <w:r w:rsidRPr="00D657E1">
              <w:rPr>
                <w:lang w:val="en-GB"/>
              </w:rPr>
              <w:t>Retained earnings</w:t>
            </w:r>
          </w:p>
        </w:tc>
        <w:tc>
          <w:tcPr>
            <w:tcW w:w="1507" w:type="dxa"/>
            <w:shd w:val="clear" w:color="000000" w:fill="FFFFFF"/>
            <w:noWrap/>
            <w:vAlign w:val="center"/>
            <w:hideMark/>
          </w:tcPr>
          <w:p w14:paraId="2709CE9B" w14:textId="661778B3" w:rsidR="00B34F0B" w:rsidRPr="00D657E1" w:rsidRDefault="00B34F0B" w:rsidP="00076D4A">
            <w:pPr>
              <w:pStyle w:val="ExhibitText"/>
              <w:jc w:val="right"/>
              <w:rPr>
                <w:lang w:val="en-GB"/>
              </w:rPr>
            </w:pPr>
            <w:r w:rsidRPr="00D657E1">
              <w:rPr>
                <w:lang w:val="en-GB"/>
              </w:rPr>
              <w:t>(162,324)</w:t>
            </w:r>
          </w:p>
        </w:tc>
        <w:tc>
          <w:tcPr>
            <w:tcW w:w="1507" w:type="dxa"/>
            <w:shd w:val="clear" w:color="000000" w:fill="FFFFFF"/>
            <w:noWrap/>
            <w:vAlign w:val="center"/>
            <w:hideMark/>
          </w:tcPr>
          <w:p w14:paraId="3E47CB21" w14:textId="62D3CB69" w:rsidR="00B34F0B" w:rsidRPr="00D657E1" w:rsidRDefault="00B34F0B" w:rsidP="00B74EDB">
            <w:pPr>
              <w:pStyle w:val="ExhibitText"/>
              <w:jc w:val="right"/>
              <w:rPr>
                <w:lang w:val="en-GB"/>
              </w:rPr>
            </w:pPr>
            <w:r w:rsidRPr="00D657E1">
              <w:rPr>
                <w:lang w:val="en-GB"/>
              </w:rPr>
              <w:t>(88,857)</w:t>
            </w:r>
          </w:p>
        </w:tc>
        <w:tc>
          <w:tcPr>
            <w:tcW w:w="1507" w:type="dxa"/>
            <w:shd w:val="clear" w:color="000000" w:fill="FFFFFF"/>
            <w:noWrap/>
            <w:vAlign w:val="center"/>
            <w:hideMark/>
          </w:tcPr>
          <w:p w14:paraId="63487B04" w14:textId="722F610B" w:rsidR="00B34F0B" w:rsidRPr="00D657E1" w:rsidRDefault="00B34F0B" w:rsidP="005351E7">
            <w:pPr>
              <w:pStyle w:val="ExhibitText"/>
              <w:jc w:val="right"/>
              <w:rPr>
                <w:lang w:val="en-GB"/>
              </w:rPr>
            </w:pPr>
            <w:r w:rsidRPr="00D657E1">
              <w:rPr>
                <w:lang w:val="en-GB"/>
              </w:rPr>
              <w:t>(123,962)</w:t>
            </w:r>
          </w:p>
        </w:tc>
      </w:tr>
      <w:tr w:rsidR="00B34F0B" w:rsidRPr="00D657E1" w14:paraId="735716C3" w14:textId="77777777" w:rsidTr="00012359">
        <w:trPr>
          <w:trHeight w:val="265"/>
        </w:trPr>
        <w:tc>
          <w:tcPr>
            <w:tcW w:w="4405" w:type="dxa"/>
            <w:shd w:val="clear" w:color="000000" w:fill="FFFFFF"/>
            <w:noWrap/>
            <w:vAlign w:val="center"/>
            <w:hideMark/>
          </w:tcPr>
          <w:p w14:paraId="2C6ACA66" w14:textId="1EAAE466" w:rsidR="00B34F0B" w:rsidRPr="00D657E1" w:rsidRDefault="00B34F0B" w:rsidP="00B74EDB">
            <w:pPr>
              <w:pStyle w:val="ExhibitText"/>
              <w:jc w:val="left"/>
              <w:rPr>
                <w:lang w:val="en-GB"/>
              </w:rPr>
            </w:pPr>
            <w:r w:rsidRPr="00D657E1">
              <w:rPr>
                <w:lang w:val="en-GB"/>
              </w:rPr>
              <w:t xml:space="preserve">Translation </w:t>
            </w:r>
            <w:r w:rsidR="00076D4A" w:rsidRPr="00D657E1">
              <w:rPr>
                <w:lang w:val="en-GB"/>
              </w:rPr>
              <w:t>r</w:t>
            </w:r>
            <w:r w:rsidRPr="00D657E1">
              <w:rPr>
                <w:lang w:val="en-GB"/>
              </w:rPr>
              <w:t>eserve</w:t>
            </w:r>
          </w:p>
        </w:tc>
        <w:tc>
          <w:tcPr>
            <w:tcW w:w="1507" w:type="dxa"/>
            <w:shd w:val="clear" w:color="000000" w:fill="FFFFFF"/>
            <w:noWrap/>
            <w:vAlign w:val="center"/>
            <w:hideMark/>
          </w:tcPr>
          <w:p w14:paraId="17E3771C" w14:textId="1D08EB35" w:rsidR="00B34F0B" w:rsidRPr="00D657E1" w:rsidRDefault="00B34F0B" w:rsidP="00076D4A">
            <w:pPr>
              <w:pStyle w:val="ExhibitText"/>
              <w:jc w:val="right"/>
              <w:rPr>
                <w:lang w:val="en-GB"/>
              </w:rPr>
            </w:pPr>
            <w:r w:rsidRPr="00D657E1">
              <w:rPr>
                <w:lang w:val="en-GB"/>
              </w:rPr>
              <w:t xml:space="preserve"> 9,354 </w:t>
            </w:r>
          </w:p>
        </w:tc>
        <w:tc>
          <w:tcPr>
            <w:tcW w:w="1507" w:type="dxa"/>
            <w:shd w:val="clear" w:color="000000" w:fill="FFFFFF"/>
            <w:noWrap/>
            <w:vAlign w:val="center"/>
            <w:hideMark/>
          </w:tcPr>
          <w:p w14:paraId="0C5D2EAA" w14:textId="7A341509" w:rsidR="00B34F0B" w:rsidRPr="00D657E1" w:rsidRDefault="00B34F0B" w:rsidP="00B74EDB">
            <w:pPr>
              <w:pStyle w:val="ExhibitText"/>
              <w:jc w:val="right"/>
              <w:rPr>
                <w:lang w:val="en-GB"/>
              </w:rPr>
            </w:pPr>
            <w:r w:rsidRPr="00D657E1">
              <w:rPr>
                <w:lang w:val="en-GB"/>
              </w:rPr>
              <w:t xml:space="preserve"> 1,839 </w:t>
            </w:r>
          </w:p>
        </w:tc>
        <w:tc>
          <w:tcPr>
            <w:tcW w:w="1507" w:type="dxa"/>
            <w:shd w:val="clear" w:color="000000" w:fill="FFFFFF"/>
            <w:noWrap/>
            <w:vAlign w:val="center"/>
            <w:hideMark/>
          </w:tcPr>
          <w:p w14:paraId="6DD3D9CA" w14:textId="3B17F0BB" w:rsidR="00B34F0B" w:rsidRPr="00D657E1" w:rsidRDefault="00B34F0B" w:rsidP="005351E7">
            <w:pPr>
              <w:pStyle w:val="ExhibitText"/>
              <w:jc w:val="right"/>
              <w:rPr>
                <w:lang w:val="en-GB"/>
              </w:rPr>
            </w:pPr>
            <w:r w:rsidRPr="00D657E1">
              <w:rPr>
                <w:lang w:val="en-GB"/>
              </w:rPr>
              <w:t xml:space="preserve">2,674 </w:t>
            </w:r>
          </w:p>
        </w:tc>
      </w:tr>
      <w:tr w:rsidR="00B34F0B" w:rsidRPr="00D657E1" w14:paraId="49AFFFAF" w14:textId="77777777" w:rsidTr="00012359">
        <w:trPr>
          <w:trHeight w:val="265"/>
        </w:trPr>
        <w:tc>
          <w:tcPr>
            <w:tcW w:w="4405" w:type="dxa"/>
            <w:shd w:val="clear" w:color="000000" w:fill="FFFFFF"/>
            <w:noWrap/>
            <w:vAlign w:val="center"/>
            <w:hideMark/>
          </w:tcPr>
          <w:p w14:paraId="6F1124C2" w14:textId="2D1BA4F7" w:rsidR="00B34F0B" w:rsidRPr="00D657E1" w:rsidRDefault="00B34F0B" w:rsidP="00B74EDB">
            <w:pPr>
              <w:pStyle w:val="ExhibitText"/>
              <w:jc w:val="left"/>
              <w:rPr>
                <w:lang w:val="en-GB"/>
              </w:rPr>
            </w:pPr>
            <w:r w:rsidRPr="00D657E1">
              <w:rPr>
                <w:lang w:val="en-GB"/>
              </w:rPr>
              <w:t xml:space="preserve">Equity attributable to shareholders of the </w:t>
            </w:r>
            <w:r w:rsidR="00076D4A" w:rsidRPr="00D657E1">
              <w:rPr>
                <w:lang w:val="en-GB"/>
              </w:rPr>
              <w:t>p</w:t>
            </w:r>
            <w:r w:rsidRPr="00D657E1">
              <w:rPr>
                <w:lang w:val="en-GB"/>
              </w:rPr>
              <w:t xml:space="preserve">arent </w:t>
            </w:r>
            <w:r w:rsidR="00076D4A" w:rsidRPr="00D657E1">
              <w:rPr>
                <w:lang w:val="en-GB"/>
              </w:rPr>
              <w:t>c</w:t>
            </w:r>
            <w:r w:rsidRPr="00D657E1">
              <w:rPr>
                <w:lang w:val="en-GB"/>
              </w:rPr>
              <w:t>ompany</w:t>
            </w:r>
          </w:p>
        </w:tc>
        <w:tc>
          <w:tcPr>
            <w:tcW w:w="1507" w:type="dxa"/>
            <w:shd w:val="clear" w:color="000000" w:fill="FFFFFF"/>
            <w:noWrap/>
            <w:vAlign w:val="center"/>
            <w:hideMark/>
          </w:tcPr>
          <w:p w14:paraId="7FBC124B" w14:textId="1894577F" w:rsidR="00B34F0B" w:rsidRPr="00D657E1" w:rsidRDefault="00B34F0B" w:rsidP="00076D4A">
            <w:pPr>
              <w:pStyle w:val="ExhibitText"/>
              <w:jc w:val="right"/>
              <w:rPr>
                <w:lang w:val="en-GB"/>
              </w:rPr>
            </w:pPr>
            <w:r w:rsidRPr="00D657E1">
              <w:rPr>
                <w:lang w:val="en-GB"/>
              </w:rPr>
              <w:t xml:space="preserve"> 25,246 </w:t>
            </w:r>
          </w:p>
        </w:tc>
        <w:tc>
          <w:tcPr>
            <w:tcW w:w="1507" w:type="dxa"/>
            <w:shd w:val="clear" w:color="000000" w:fill="FFFFFF"/>
            <w:noWrap/>
            <w:vAlign w:val="center"/>
            <w:hideMark/>
          </w:tcPr>
          <w:p w14:paraId="6D16D622" w14:textId="6870908E" w:rsidR="00B34F0B" w:rsidRPr="00D657E1" w:rsidRDefault="00B34F0B" w:rsidP="00B74EDB">
            <w:pPr>
              <w:pStyle w:val="ExhibitText"/>
              <w:jc w:val="right"/>
              <w:rPr>
                <w:lang w:val="en-GB"/>
              </w:rPr>
            </w:pPr>
            <w:r w:rsidRPr="00D657E1">
              <w:rPr>
                <w:lang w:val="en-GB"/>
              </w:rPr>
              <w:t xml:space="preserve">44,275 </w:t>
            </w:r>
          </w:p>
        </w:tc>
        <w:tc>
          <w:tcPr>
            <w:tcW w:w="1507" w:type="dxa"/>
            <w:shd w:val="clear" w:color="000000" w:fill="FFFFFF"/>
            <w:noWrap/>
            <w:vAlign w:val="center"/>
            <w:hideMark/>
          </w:tcPr>
          <w:p w14:paraId="2021BF2E" w14:textId="41667CE4" w:rsidR="00B34F0B" w:rsidRPr="00D657E1" w:rsidRDefault="00B34F0B" w:rsidP="005351E7">
            <w:pPr>
              <w:pStyle w:val="ExhibitText"/>
              <w:jc w:val="right"/>
              <w:rPr>
                <w:lang w:val="en-GB"/>
              </w:rPr>
            </w:pPr>
            <w:r w:rsidRPr="00D657E1">
              <w:rPr>
                <w:lang w:val="en-GB"/>
              </w:rPr>
              <w:t xml:space="preserve">27,201 </w:t>
            </w:r>
          </w:p>
        </w:tc>
      </w:tr>
      <w:tr w:rsidR="00B34F0B" w:rsidRPr="00D657E1" w14:paraId="229CD8B9" w14:textId="77777777" w:rsidTr="00012359">
        <w:trPr>
          <w:trHeight w:val="265"/>
        </w:trPr>
        <w:tc>
          <w:tcPr>
            <w:tcW w:w="4405" w:type="dxa"/>
            <w:shd w:val="clear" w:color="000000" w:fill="FFFFFF"/>
            <w:noWrap/>
            <w:vAlign w:val="center"/>
            <w:hideMark/>
          </w:tcPr>
          <w:p w14:paraId="7FF0AA59" w14:textId="13D2007C" w:rsidR="00B34F0B" w:rsidRPr="00D657E1" w:rsidRDefault="00076D4A" w:rsidP="00B34F0B">
            <w:pPr>
              <w:pStyle w:val="ExhibitText"/>
              <w:jc w:val="left"/>
              <w:rPr>
                <w:lang w:val="en-GB"/>
              </w:rPr>
            </w:pPr>
            <w:r w:rsidRPr="00D657E1">
              <w:rPr>
                <w:lang w:val="en-GB"/>
              </w:rPr>
              <w:t>N</w:t>
            </w:r>
            <w:r w:rsidR="00B34F0B" w:rsidRPr="00D657E1">
              <w:rPr>
                <w:lang w:val="en-GB"/>
              </w:rPr>
              <w:t>on-controlling interests</w:t>
            </w:r>
          </w:p>
        </w:tc>
        <w:tc>
          <w:tcPr>
            <w:tcW w:w="1507" w:type="dxa"/>
            <w:shd w:val="clear" w:color="000000" w:fill="FFFFFF"/>
            <w:noWrap/>
            <w:vAlign w:val="center"/>
            <w:hideMark/>
          </w:tcPr>
          <w:p w14:paraId="4EC40700" w14:textId="7A695DB9" w:rsidR="00B34F0B" w:rsidRPr="00D657E1" w:rsidRDefault="00B34F0B" w:rsidP="00076D4A">
            <w:pPr>
              <w:pStyle w:val="ExhibitText"/>
              <w:jc w:val="right"/>
              <w:rPr>
                <w:lang w:val="en-GB"/>
              </w:rPr>
            </w:pPr>
            <w:r w:rsidRPr="00D657E1">
              <w:rPr>
                <w:lang w:val="en-GB"/>
              </w:rPr>
              <w:t xml:space="preserve"> (20,463)</w:t>
            </w:r>
          </w:p>
        </w:tc>
        <w:tc>
          <w:tcPr>
            <w:tcW w:w="1507" w:type="dxa"/>
            <w:shd w:val="clear" w:color="000000" w:fill="FFFFFF"/>
            <w:noWrap/>
            <w:vAlign w:val="center"/>
            <w:hideMark/>
          </w:tcPr>
          <w:p w14:paraId="514D6FC7" w14:textId="373D89C1" w:rsidR="00B34F0B" w:rsidRPr="00D657E1" w:rsidRDefault="00B34F0B" w:rsidP="00B74EDB">
            <w:pPr>
              <w:pStyle w:val="ExhibitText"/>
              <w:jc w:val="right"/>
              <w:rPr>
                <w:lang w:val="en-GB"/>
              </w:rPr>
            </w:pPr>
            <w:r w:rsidRPr="00D657E1">
              <w:rPr>
                <w:lang w:val="en-GB"/>
              </w:rPr>
              <w:t>(18,923)</w:t>
            </w:r>
          </w:p>
        </w:tc>
        <w:tc>
          <w:tcPr>
            <w:tcW w:w="1507" w:type="dxa"/>
            <w:shd w:val="clear" w:color="000000" w:fill="FFFFFF"/>
            <w:noWrap/>
            <w:vAlign w:val="center"/>
            <w:hideMark/>
          </w:tcPr>
          <w:p w14:paraId="22C60AE6" w14:textId="4EDA7B37" w:rsidR="00B34F0B" w:rsidRPr="00D657E1" w:rsidRDefault="00B34F0B" w:rsidP="005351E7">
            <w:pPr>
              <w:pStyle w:val="ExhibitText"/>
              <w:jc w:val="right"/>
              <w:rPr>
                <w:lang w:val="en-GB"/>
              </w:rPr>
            </w:pPr>
            <w:r w:rsidRPr="00D657E1">
              <w:rPr>
                <w:lang w:val="en-GB"/>
              </w:rPr>
              <w:t xml:space="preserve"> (22,503)</w:t>
            </w:r>
          </w:p>
        </w:tc>
      </w:tr>
      <w:tr w:rsidR="00B34F0B" w:rsidRPr="00D657E1" w14:paraId="7F1ED4B4" w14:textId="77777777" w:rsidTr="00012359">
        <w:trPr>
          <w:trHeight w:val="265"/>
        </w:trPr>
        <w:tc>
          <w:tcPr>
            <w:tcW w:w="4405" w:type="dxa"/>
            <w:shd w:val="clear" w:color="000000" w:fill="FFFFFF"/>
            <w:noWrap/>
            <w:vAlign w:val="center"/>
            <w:hideMark/>
          </w:tcPr>
          <w:p w14:paraId="7632E966" w14:textId="77777777" w:rsidR="00B34F0B" w:rsidRPr="00D657E1" w:rsidRDefault="00B34F0B" w:rsidP="00B34F0B">
            <w:pPr>
              <w:pStyle w:val="ExhibitText"/>
              <w:jc w:val="left"/>
              <w:rPr>
                <w:lang w:val="en-GB"/>
              </w:rPr>
            </w:pPr>
            <w:r w:rsidRPr="00D657E1">
              <w:rPr>
                <w:lang w:val="en-GB"/>
              </w:rPr>
              <w:t>Total equity</w:t>
            </w:r>
          </w:p>
        </w:tc>
        <w:tc>
          <w:tcPr>
            <w:tcW w:w="1507" w:type="dxa"/>
            <w:shd w:val="clear" w:color="000000" w:fill="FFFFFF"/>
            <w:noWrap/>
            <w:vAlign w:val="center"/>
            <w:hideMark/>
          </w:tcPr>
          <w:p w14:paraId="1A30F71A" w14:textId="2EB5DF79" w:rsidR="00B34F0B" w:rsidRPr="00D657E1" w:rsidRDefault="00B34F0B" w:rsidP="00076D4A">
            <w:pPr>
              <w:pStyle w:val="ExhibitText"/>
              <w:jc w:val="right"/>
              <w:rPr>
                <w:lang w:val="en-GB"/>
              </w:rPr>
            </w:pPr>
            <w:r w:rsidRPr="00D657E1">
              <w:rPr>
                <w:lang w:val="en-GB"/>
              </w:rPr>
              <w:t xml:space="preserve">4,783 </w:t>
            </w:r>
          </w:p>
        </w:tc>
        <w:tc>
          <w:tcPr>
            <w:tcW w:w="1507" w:type="dxa"/>
            <w:shd w:val="clear" w:color="000000" w:fill="FFFFFF"/>
            <w:noWrap/>
            <w:vAlign w:val="center"/>
            <w:hideMark/>
          </w:tcPr>
          <w:p w14:paraId="63845C76" w14:textId="124AED6A" w:rsidR="00B34F0B" w:rsidRPr="00D657E1" w:rsidRDefault="00B34F0B" w:rsidP="00B74EDB">
            <w:pPr>
              <w:pStyle w:val="ExhibitText"/>
              <w:jc w:val="right"/>
              <w:rPr>
                <w:lang w:val="en-GB"/>
              </w:rPr>
            </w:pPr>
            <w:r w:rsidRPr="00D657E1">
              <w:rPr>
                <w:lang w:val="en-GB"/>
              </w:rPr>
              <w:t xml:space="preserve"> 25,352 </w:t>
            </w:r>
          </w:p>
        </w:tc>
        <w:tc>
          <w:tcPr>
            <w:tcW w:w="1507" w:type="dxa"/>
            <w:shd w:val="clear" w:color="000000" w:fill="FFFFFF"/>
            <w:noWrap/>
            <w:vAlign w:val="center"/>
            <w:hideMark/>
          </w:tcPr>
          <w:p w14:paraId="67DC07A9" w14:textId="5F82C7C9" w:rsidR="00B34F0B" w:rsidRPr="00D657E1" w:rsidRDefault="00B34F0B" w:rsidP="005351E7">
            <w:pPr>
              <w:pStyle w:val="ExhibitText"/>
              <w:jc w:val="right"/>
              <w:rPr>
                <w:lang w:val="en-GB"/>
              </w:rPr>
            </w:pPr>
            <w:r w:rsidRPr="00D657E1">
              <w:rPr>
                <w:lang w:val="en-GB"/>
              </w:rPr>
              <w:t xml:space="preserve"> 4,698 </w:t>
            </w:r>
          </w:p>
        </w:tc>
      </w:tr>
      <w:tr w:rsidR="00B34F0B" w:rsidRPr="00D657E1" w14:paraId="2440AE96" w14:textId="77777777" w:rsidTr="00D359BC">
        <w:trPr>
          <w:trHeight w:val="265"/>
        </w:trPr>
        <w:tc>
          <w:tcPr>
            <w:tcW w:w="8926" w:type="dxa"/>
            <w:gridSpan w:val="4"/>
            <w:shd w:val="clear" w:color="000000" w:fill="FFFFFF"/>
            <w:noWrap/>
            <w:vAlign w:val="center"/>
            <w:hideMark/>
          </w:tcPr>
          <w:p w14:paraId="5CD2F653" w14:textId="77777777" w:rsidR="00B34F0B" w:rsidRPr="00D657E1" w:rsidRDefault="00B34F0B" w:rsidP="00B34F0B">
            <w:pPr>
              <w:pStyle w:val="ExhibitText"/>
              <w:jc w:val="left"/>
              <w:rPr>
                <w:b/>
                <w:bCs/>
                <w:lang w:val="en-GB"/>
              </w:rPr>
            </w:pPr>
            <w:r w:rsidRPr="00D657E1">
              <w:rPr>
                <w:b/>
                <w:bCs/>
                <w:lang w:val="en-GB"/>
              </w:rPr>
              <w:t>Liabilities</w:t>
            </w:r>
          </w:p>
        </w:tc>
      </w:tr>
      <w:tr w:rsidR="00B34F0B" w:rsidRPr="00D657E1" w14:paraId="786102EB" w14:textId="77777777" w:rsidTr="00012359">
        <w:trPr>
          <w:trHeight w:val="265"/>
        </w:trPr>
        <w:tc>
          <w:tcPr>
            <w:tcW w:w="4405" w:type="dxa"/>
            <w:shd w:val="clear" w:color="000000" w:fill="FFFFFF"/>
            <w:noWrap/>
            <w:vAlign w:val="center"/>
            <w:hideMark/>
          </w:tcPr>
          <w:p w14:paraId="60768190" w14:textId="77777777" w:rsidR="00B34F0B" w:rsidRPr="00D657E1" w:rsidRDefault="00B34F0B" w:rsidP="00B34F0B">
            <w:pPr>
              <w:pStyle w:val="ExhibitText"/>
              <w:jc w:val="left"/>
              <w:rPr>
                <w:lang w:val="en-GB"/>
              </w:rPr>
            </w:pPr>
            <w:r w:rsidRPr="00D657E1">
              <w:rPr>
                <w:lang w:val="en-GB"/>
              </w:rPr>
              <w:t>Non-current liabilities</w:t>
            </w:r>
          </w:p>
        </w:tc>
        <w:tc>
          <w:tcPr>
            <w:tcW w:w="1507" w:type="dxa"/>
            <w:shd w:val="clear" w:color="000000" w:fill="FFFFFF"/>
            <w:noWrap/>
            <w:vAlign w:val="center"/>
            <w:hideMark/>
          </w:tcPr>
          <w:p w14:paraId="3D555FAF" w14:textId="55233385" w:rsidR="00B34F0B" w:rsidRPr="00D657E1" w:rsidRDefault="00B34F0B" w:rsidP="00076D4A">
            <w:pPr>
              <w:pStyle w:val="ExhibitText"/>
              <w:jc w:val="right"/>
              <w:rPr>
                <w:lang w:val="en-GB"/>
              </w:rPr>
            </w:pPr>
            <w:r w:rsidRPr="00D657E1">
              <w:rPr>
                <w:lang w:val="en-GB"/>
              </w:rPr>
              <w:t xml:space="preserve"> </w:t>
            </w:r>
            <w:r w:rsidR="00FB061A">
              <w:rPr>
                <w:lang w:val="en-GB"/>
              </w:rPr>
              <w:t>–</w:t>
            </w:r>
            <w:r w:rsidR="00EE787A" w:rsidRPr="00D657E1">
              <w:rPr>
                <w:lang w:val="en-GB"/>
              </w:rPr>
              <w:t xml:space="preserve"> </w:t>
            </w:r>
          </w:p>
        </w:tc>
        <w:tc>
          <w:tcPr>
            <w:tcW w:w="1507" w:type="dxa"/>
            <w:shd w:val="clear" w:color="000000" w:fill="FFFFFF"/>
            <w:noWrap/>
            <w:vAlign w:val="center"/>
            <w:hideMark/>
          </w:tcPr>
          <w:p w14:paraId="0F448568" w14:textId="5DAEE68B" w:rsidR="00B34F0B" w:rsidRPr="00D657E1" w:rsidRDefault="00B34F0B" w:rsidP="00B74EDB">
            <w:pPr>
              <w:pStyle w:val="ExhibitText"/>
              <w:jc w:val="right"/>
              <w:rPr>
                <w:lang w:val="en-GB"/>
              </w:rPr>
            </w:pPr>
            <w:r w:rsidRPr="00D657E1">
              <w:rPr>
                <w:lang w:val="en-GB"/>
              </w:rPr>
              <w:t xml:space="preserve">22,503 </w:t>
            </w:r>
          </w:p>
        </w:tc>
        <w:tc>
          <w:tcPr>
            <w:tcW w:w="1507" w:type="dxa"/>
            <w:shd w:val="clear" w:color="000000" w:fill="FFFFFF"/>
            <w:noWrap/>
            <w:vAlign w:val="center"/>
            <w:hideMark/>
          </w:tcPr>
          <w:p w14:paraId="52BEAF89" w14:textId="19CF39A4" w:rsidR="00B34F0B" w:rsidRPr="00D657E1" w:rsidRDefault="00B34F0B" w:rsidP="005351E7">
            <w:pPr>
              <w:pStyle w:val="ExhibitText"/>
              <w:jc w:val="right"/>
              <w:rPr>
                <w:lang w:val="en-GB"/>
              </w:rPr>
            </w:pPr>
            <w:r w:rsidRPr="00D657E1">
              <w:rPr>
                <w:lang w:val="en-GB"/>
              </w:rPr>
              <w:t xml:space="preserve">21,291 </w:t>
            </w:r>
          </w:p>
        </w:tc>
      </w:tr>
      <w:tr w:rsidR="00B34F0B" w:rsidRPr="00D657E1" w14:paraId="686134C2" w14:textId="77777777" w:rsidTr="00012359">
        <w:trPr>
          <w:trHeight w:val="265"/>
        </w:trPr>
        <w:tc>
          <w:tcPr>
            <w:tcW w:w="4405" w:type="dxa"/>
            <w:shd w:val="clear" w:color="000000" w:fill="FFFFFF"/>
            <w:noWrap/>
            <w:vAlign w:val="center"/>
            <w:hideMark/>
          </w:tcPr>
          <w:p w14:paraId="3CB9DDA5" w14:textId="77777777" w:rsidR="00B34F0B" w:rsidRPr="00D657E1" w:rsidRDefault="00B34F0B" w:rsidP="00B34F0B">
            <w:pPr>
              <w:pStyle w:val="ExhibitText"/>
              <w:jc w:val="left"/>
              <w:rPr>
                <w:lang w:val="en-GB"/>
              </w:rPr>
            </w:pPr>
            <w:r w:rsidRPr="00D657E1">
              <w:rPr>
                <w:lang w:val="en-GB"/>
              </w:rPr>
              <w:t>Obligations under finance leases</w:t>
            </w:r>
          </w:p>
        </w:tc>
        <w:tc>
          <w:tcPr>
            <w:tcW w:w="1507" w:type="dxa"/>
            <w:shd w:val="clear" w:color="000000" w:fill="FFFFFF"/>
            <w:noWrap/>
            <w:vAlign w:val="center"/>
            <w:hideMark/>
          </w:tcPr>
          <w:p w14:paraId="4178C88D" w14:textId="3DE30592" w:rsidR="00B34F0B" w:rsidRPr="00D657E1" w:rsidRDefault="00B34F0B" w:rsidP="00076D4A">
            <w:pPr>
              <w:pStyle w:val="ExhibitText"/>
              <w:jc w:val="right"/>
              <w:rPr>
                <w:lang w:val="en-GB"/>
              </w:rPr>
            </w:pPr>
            <w:r w:rsidRPr="00D657E1">
              <w:rPr>
                <w:lang w:val="en-GB"/>
              </w:rPr>
              <w:t xml:space="preserve">80 </w:t>
            </w:r>
          </w:p>
        </w:tc>
        <w:tc>
          <w:tcPr>
            <w:tcW w:w="1507" w:type="dxa"/>
            <w:shd w:val="clear" w:color="000000" w:fill="FFFFFF"/>
            <w:noWrap/>
            <w:vAlign w:val="center"/>
            <w:hideMark/>
          </w:tcPr>
          <w:p w14:paraId="51B2993F" w14:textId="49598655" w:rsidR="00B34F0B" w:rsidRPr="00D657E1" w:rsidRDefault="00B34F0B" w:rsidP="00B74EDB">
            <w:pPr>
              <w:pStyle w:val="ExhibitText"/>
              <w:jc w:val="right"/>
              <w:rPr>
                <w:lang w:val="en-GB"/>
              </w:rPr>
            </w:pPr>
            <w:r w:rsidRPr="00D657E1">
              <w:rPr>
                <w:lang w:val="en-GB"/>
              </w:rPr>
              <w:t xml:space="preserve"> 1,547 </w:t>
            </w:r>
          </w:p>
        </w:tc>
        <w:tc>
          <w:tcPr>
            <w:tcW w:w="1507" w:type="dxa"/>
            <w:shd w:val="clear" w:color="000000" w:fill="FFFFFF"/>
            <w:noWrap/>
            <w:vAlign w:val="center"/>
            <w:hideMark/>
          </w:tcPr>
          <w:p w14:paraId="4BADDF6D" w14:textId="0A8351FC" w:rsidR="00B34F0B" w:rsidRPr="00D657E1" w:rsidRDefault="00B34F0B" w:rsidP="005351E7">
            <w:pPr>
              <w:pStyle w:val="ExhibitText"/>
              <w:jc w:val="right"/>
              <w:rPr>
                <w:lang w:val="en-GB"/>
              </w:rPr>
            </w:pPr>
            <w:r w:rsidRPr="00D657E1">
              <w:rPr>
                <w:lang w:val="en-GB"/>
              </w:rPr>
              <w:t xml:space="preserve">80 </w:t>
            </w:r>
          </w:p>
        </w:tc>
      </w:tr>
      <w:tr w:rsidR="00B34F0B" w:rsidRPr="00D657E1" w14:paraId="5CE400CA" w14:textId="77777777" w:rsidTr="00012359">
        <w:trPr>
          <w:trHeight w:val="265"/>
        </w:trPr>
        <w:tc>
          <w:tcPr>
            <w:tcW w:w="4405" w:type="dxa"/>
            <w:shd w:val="clear" w:color="000000" w:fill="FFFFFF"/>
            <w:noWrap/>
            <w:vAlign w:val="center"/>
            <w:hideMark/>
          </w:tcPr>
          <w:p w14:paraId="7431E059" w14:textId="77777777" w:rsidR="00B34F0B" w:rsidRPr="00D657E1" w:rsidRDefault="00B34F0B" w:rsidP="00B34F0B">
            <w:pPr>
              <w:pStyle w:val="ExhibitText"/>
              <w:jc w:val="left"/>
              <w:rPr>
                <w:lang w:val="en-GB"/>
              </w:rPr>
            </w:pPr>
            <w:r w:rsidRPr="00D657E1">
              <w:rPr>
                <w:lang w:val="en-GB"/>
              </w:rPr>
              <w:t>Deferred tax</w:t>
            </w:r>
          </w:p>
        </w:tc>
        <w:tc>
          <w:tcPr>
            <w:tcW w:w="1507" w:type="dxa"/>
            <w:shd w:val="clear" w:color="000000" w:fill="FFFFFF"/>
            <w:noWrap/>
            <w:vAlign w:val="center"/>
            <w:hideMark/>
          </w:tcPr>
          <w:p w14:paraId="3878A96C" w14:textId="6AECE19F" w:rsidR="00B34F0B" w:rsidRPr="00D657E1" w:rsidRDefault="00B34F0B" w:rsidP="00076D4A">
            <w:pPr>
              <w:pStyle w:val="ExhibitText"/>
              <w:jc w:val="right"/>
              <w:rPr>
                <w:lang w:val="en-GB"/>
              </w:rPr>
            </w:pPr>
            <w:r w:rsidRPr="00D657E1">
              <w:rPr>
                <w:lang w:val="en-GB"/>
              </w:rPr>
              <w:t xml:space="preserve">2,104 </w:t>
            </w:r>
          </w:p>
        </w:tc>
        <w:tc>
          <w:tcPr>
            <w:tcW w:w="1507" w:type="dxa"/>
            <w:shd w:val="clear" w:color="000000" w:fill="FFFFFF"/>
            <w:noWrap/>
            <w:vAlign w:val="center"/>
            <w:hideMark/>
          </w:tcPr>
          <w:p w14:paraId="08086E14" w14:textId="1C988FFE" w:rsidR="00B34F0B" w:rsidRPr="00D657E1" w:rsidRDefault="00B34F0B" w:rsidP="00B74EDB">
            <w:pPr>
              <w:pStyle w:val="ExhibitText"/>
              <w:jc w:val="right"/>
              <w:rPr>
                <w:lang w:val="en-GB"/>
              </w:rPr>
            </w:pPr>
            <w:r w:rsidRPr="00D657E1">
              <w:rPr>
                <w:lang w:val="en-GB"/>
              </w:rPr>
              <w:t xml:space="preserve"> 10,088 </w:t>
            </w:r>
          </w:p>
        </w:tc>
        <w:tc>
          <w:tcPr>
            <w:tcW w:w="1507" w:type="dxa"/>
            <w:shd w:val="clear" w:color="000000" w:fill="FFFFFF"/>
            <w:noWrap/>
            <w:vAlign w:val="center"/>
            <w:hideMark/>
          </w:tcPr>
          <w:p w14:paraId="4673A093" w14:textId="23D8C73C" w:rsidR="00B34F0B" w:rsidRPr="00D657E1" w:rsidRDefault="00B34F0B" w:rsidP="005351E7">
            <w:pPr>
              <w:pStyle w:val="ExhibitText"/>
              <w:jc w:val="right"/>
              <w:rPr>
                <w:lang w:val="en-GB"/>
              </w:rPr>
            </w:pPr>
            <w:r w:rsidRPr="00D657E1">
              <w:rPr>
                <w:lang w:val="en-GB"/>
              </w:rPr>
              <w:t xml:space="preserve">10,152 </w:t>
            </w:r>
          </w:p>
        </w:tc>
      </w:tr>
      <w:tr w:rsidR="00B34F0B" w:rsidRPr="00D657E1" w14:paraId="311911F7" w14:textId="77777777" w:rsidTr="00012359">
        <w:trPr>
          <w:trHeight w:val="265"/>
        </w:trPr>
        <w:tc>
          <w:tcPr>
            <w:tcW w:w="4405" w:type="dxa"/>
            <w:shd w:val="clear" w:color="000000" w:fill="FFFFFF"/>
            <w:noWrap/>
            <w:vAlign w:val="center"/>
            <w:hideMark/>
          </w:tcPr>
          <w:p w14:paraId="31FF39F9" w14:textId="77777777" w:rsidR="00B34F0B" w:rsidRPr="00D657E1" w:rsidRDefault="00B34F0B" w:rsidP="00B34F0B">
            <w:pPr>
              <w:pStyle w:val="ExhibitText"/>
              <w:jc w:val="left"/>
              <w:rPr>
                <w:lang w:val="en-GB"/>
              </w:rPr>
            </w:pPr>
            <w:r w:rsidRPr="00D657E1">
              <w:rPr>
                <w:lang w:val="en-GB"/>
              </w:rPr>
              <w:t>Trade and other payables</w:t>
            </w:r>
          </w:p>
        </w:tc>
        <w:tc>
          <w:tcPr>
            <w:tcW w:w="1507" w:type="dxa"/>
            <w:shd w:val="clear" w:color="000000" w:fill="FFFFFF"/>
            <w:noWrap/>
            <w:vAlign w:val="center"/>
            <w:hideMark/>
          </w:tcPr>
          <w:p w14:paraId="275FD136" w14:textId="4E6018F8" w:rsidR="00B34F0B" w:rsidRPr="00D657E1" w:rsidRDefault="00B34F0B" w:rsidP="00076D4A">
            <w:pPr>
              <w:pStyle w:val="ExhibitText"/>
              <w:jc w:val="right"/>
              <w:rPr>
                <w:lang w:val="en-GB"/>
              </w:rPr>
            </w:pPr>
            <w:r w:rsidRPr="00D657E1">
              <w:rPr>
                <w:lang w:val="en-GB"/>
              </w:rPr>
              <w:t xml:space="preserve"> 2,184 </w:t>
            </w:r>
          </w:p>
        </w:tc>
        <w:tc>
          <w:tcPr>
            <w:tcW w:w="1507" w:type="dxa"/>
            <w:shd w:val="clear" w:color="000000" w:fill="FFFFFF"/>
            <w:noWrap/>
            <w:vAlign w:val="center"/>
            <w:hideMark/>
          </w:tcPr>
          <w:p w14:paraId="21E9D099" w14:textId="57AAC992" w:rsidR="00B34F0B" w:rsidRPr="00D657E1" w:rsidRDefault="00B34F0B" w:rsidP="00B74EDB">
            <w:pPr>
              <w:pStyle w:val="ExhibitText"/>
              <w:jc w:val="right"/>
              <w:rPr>
                <w:lang w:val="en-GB"/>
              </w:rPr>
            </w:pPr>
            <w:r w:rsidRPr="00D657E1">
              <w:rPr>
                <w:lang w:val="en-GB"/>
              </w:rPr>
              <w:t xml:space="preserve"> 34,138 </w:t>
            </w:r>
          </w:p>
        </w:tc>
        <w:tc>
          <w:tcPr>
            <w:tcW w:w="1507" w:type="dxa"/>
            <w:shd w:val="clear" w:color="000000" w:fill="FFFFFF"/>
            <w:noWrap/>
            <w:vAlign w:val="center"/>
            <w:hideMark/>
          </w:tcPr>
          <w:p w14:paraId="21F4381A" w14:textId="4E03B9F5" w:rsidR="00B34F0B" w:rsidRPr="00D657E1" w:rsidRDefault="00B34F0B" w:rsidP="005351E7">
            <w:pPr>
              <w:pStyle w:val="ExhibitText"/>
              <w:jc w:val="right"/>
              <w:rPr>
                <w:lang w:val="en-GB"/>
              </w:rPr>
            </w:pPr>
            <w:r w:rsidRPr="00D657E1">
              <w:rPr>
                <w:lang w:val="en-GB"/>
              </w:rPr>
              <w:t xml:space="preserve">31,523 </w:t>
            </w:r>
          </w:p>
        </w:tc>
      </w:tr>
      <w:tr w:rsidR="00B34F0B" w:rsidRPr="00D657E1" w14:paraId="1FA85BF5" w14:textId="77777777" w:rsidTr="00D359BC">
        <w:trPr>
          <w:trHeight w:val="265"/>
        </w:trPr>
        <w:tc>
          <w:tcPr>
            <w:tcW w:w="8926" w:type="dxa"/>
            <w:gridSpan w:val="4"/>
            <w:shd w:val="clear" w:color="000000" w:fill="FFFFFF"/>
            <w:noWrap/>
            <w:vAlign w:val="center"/>
            <w:hideMark/>
          </w:tcPr>
          <w:p w14:paraId="29D30660" w14:textId="77777777" w:rsidR="00B34F0B" w:rsidRPr="00D657E1" w:rsidRDefault="00B34F0B" w:rsidP="00B34F0B">
            <w:pPr>
              <w:pStyle w:val="ExhibitText"/>
              <w:jc w:val="left"/>
              <w:rPr>
                <w:b/>
                <w:bCs/>
                <w:lang w:val="en-GB"/>
              </w:rPr>
            </w:pPr>
            <w:r w:rsidRPr="00D657E1">
              <w:rPr>
                <w:b/>
                <w:bCs/>
                <w:lang w:val="en-GB"/>
              </w:rPr>
              <w:t>Current Liabilities</w:t>
            </w:r>
          </w:p>
        </w:tc>
      </w:tr>
      <w:tr w:rsidR="00B34F0B" w:rsidRPr="00D657E1" w14:paraId="2355A7DB" w14:textId="77777777" w:rsidTr="00012359">
        <w:trPr>
          <w:trHeight w:val="265"/>
        </w:trPr>
        <w:tc>
          <w:tcPr>
            <w:tcW w:w="4405" w:type="dxa"/>
            <w:shd w:val="clear" w:color="000000" w:fill="FFFFFF"/>
            <w:noWrap/>
            <w:vAlign w:val="center"/>
            <w:hideMark/>
          </w:tcPr>
          <w:p w14:paraId="18DC79A2" w14:textId="77777777" w:rsidR="00B34F0B" w:rsidRPr="00D657E1" w:rsidRDefault="00B34F0B" w:rsidP="00B34F0B">
            <w:pPr>
              <w:pStyle w:val="ExhibitText"/>
              <w:jc w:val="left"/>
              <w:rPr>
                <w:lang w:val="en-GB"/>
              </w:rPr>
            </w:pPr>
            <w:r w:rsidRPr="00D657E1">
              <w:rPr>
                <w:lang w:val="en-GB"/>
              </w:rPr>
              <w:t>Bank overdrafts</w:t>
            </w:r>
          </w:p>
        </w:tc>
        <w:tc>
          <w:tcPr>
            <w:tcW w:w="1507" w:type="dxa"/>
            <w:shd w:val="clear" w:color="000000" w:fill="FFFFFF"/>
            <w:noWrap/>
            <w:vAlign w:val="center"/>
            <w:hideMark/>
          </w:tcPr>
          <w:p w14:paraId="5D32F518" w14:textId="0001D6A2" w:rsidR="00B34F0B" w:rsidRPr="00D657E1" w:rsidRDefault="00B34F0B" w:rsidP="00076D4A">
            <w:pPr>
              <w:pStyle w:val="ExhibitText"/>
              <w:jc w:val="right"/>
              <w:rPr>
                <w:lang w:val="en-GB"/>
              </w:rPr>
            </w:pPr>
            <w:r w:rsidRPr="00D657E1">
              <w:rPr>
                <w:lang w:val="en-GB"/>
              </w:rPr>
              <w:t xml:space="preserve"> 5,146 </w:t>
            </w:r>
          </w:p>
        </w:tc>
        <w:tc>
          <w:tcPr>
            <w:tcW w:w="1507" w:type="dxa"/>
            <w:shd w:val="clear" w:color="000000" w:fill="FFFFFF"/>
            <w:noWrap/>
            <w:vAlign w:val="center"/>
            <w:hideMark/>
          </w:tcPr>
          <w:p w14:paraId="06F1913C" w14:textId="6193A42B" w:rsidR="00B34F0B" w:rsidRPr="00D657E1" w:rsidRDefault="00B34F0B" w:rsidP="00B34F0B">
            <w:pPr>
              <w:pStyle w:val="ExhibitText"/>
              <w:jc w:val="right"/>
              <w:rPr>
                <w:lang w:val="en-GB"/>
              </w:rPr>
            </w:pPr>
            <w:r w:rsidRPr="00D657E1">
              <w:rPr>
                <w:lang w:val="en-GB"/>
              </w:rPr>
              <w:t xml:space="preserve"> 2,020 </w:t>
            </w:r>
          </w:p>
        </w:tc>
        <w:tc>
          <w:tcPr>
            <w:tcW w:w="1507" w:type="dxa"/>
            <w:shd w:val="clear" w:color="000000" w:fill="FFFFFF"/>
            <w:noWrap/>
            <w:vAlign w:val="center"/>
            <w:hideMark/>
          </w:tcPr>
          <w:p w14:paraId="7C5D5368" w14:textId="780E02F9" w:rsidR="00B34F0B" w:rsidRPr="00D657E1" w:rsidRDefault="00B34F0B" w:rsidP="00076D4A">
            <w:pPr>
              <w:pStyle w:val="ExhibitText"/>
              <w:jc w:val="right"/>
              <w:rPr>
                <w:lang w:val="en-GB"/>
              </w:rPr>
            </w:pPr>
            <w:r w:rsidRPr="00D657E1">
              <w:rPr>
                <w:lang w:val="en-GB"/>
              </w:rPr>
              <w:t xml:space="preserve"> 3,870 </w:t>
            </w:r>
          </w:p>
        </w:tc>
      </w:tr>
      <w:tr w:rsidR="00B34F0B" w:rsidRPr="00D657E1" w14:paraId="3FC81E0E" w14:textId="77777777" w:rsidTr="00012359">
        <w:trPr>
          <w:trHeight w:val="265"/>
        </w:trPr>
        <w:tc>
          <w:tcPr>
            <w:tcW w:w="4405" w:type="dxa"/>
            <w:shd w:val="clear" w:color="000000" w:fill="FFFFFF"/>
            <w:noWrap/>
            <w:vAlign w:val="center"/>
            <w:hideMark/>
          </w:tcPr>
          <w:p w14:paraId="281545C4" w14:textId="77777777" w:rsidR="00B34F0B" w:rsidRPr="00D657E1" w:rsidRDefault="00B34F0B" w:rsidP="00B34F0B">
            <w:pPr>
              <w:pStyle w:val="ExhibitText"/>
              <w:jc w:val="left"/>
              <w:rPr>
                <w:lang w:val="en-GB"/>
              </w:rPr>
            </w:pPr>
            <w:r w:rsidRPr="00D657E1">
              <w:rPr>
                <w:lang w:val="en-GB"/>
              </w:rPr>
              <w:t>Loans and borrowings</w:t>
            </w:r>
          </w:p>
        </w:tc>
        <w:tc>
          <w:tcPr>
            <w:tcW w:w="1507" w:type="dxa"/>
            <w:shd w:val="clear" w:color="000000" w:fill="FFFFFF"/>
            <w:noWrap/>
            <w:vAlign w:val="center"/>
            <w:hideMark/>
          </w:tcPr>
          <w:p w14:paraId="53223570" w14:textId="427C6B8E" w:rsidR="00B34F0B" w:rsidRPr="00D657E1" w:rsidRDefault="00B34F0B" w:rsidP="00076D4A">
            <w:pPr>
              <w:pStyle w:val="ExhibitText"/>
              <w:jc w:val="right"/>
              <w:rPr>
                <w:lang w:val="en-GB"/>
              </w:rPr>
            </w:pPr>
            <w:r w:rsidRPr="00D657E1">
              <w:rPr>
                <w:lang w:val="en-GB"/>
              </w:rPr>
              <w:t xml:space="preserve"> </w:t>
            </w:r>
            <w:r w:rsidR="00FB061A">
              <w:rPr>
                <w:lang w:val="en-GB"/>
              </w:rPr>
              <w:t>–</w:t>
            </w:r>
            <w:r w:rsidR="00EE787A" w:rsidRPr="00D657E1">
              <w:rPr>
                <w:lang w:val="en-GB"/>
              </w:rPr>
              <w:t xml:space="preserve"> </w:t>
            </w:r>
          </w:p>
        </w:tc>
        <w:tc>
          <w:tcPr>
            <w:tcW w:w="1507" w:type="dxa"/>
            <w:shd w:val="clear" w:color="000000" w:fill="FFFFFF"/>
            <w:noWrap/>
            <w:vAlign w:val="center"/>
            <w:hideMark/>
          </w:tcPr>
          <w:p w14:paraId="6268DD3B" w14:textId="0E30F6D9" w:rsidR="00B34F0B" w:rsidRPr="00D657E1" w:rsidRDefault="00B34F0B" w:rsidP="00B74EDB">
            <w:pPr>
              <w:pStyle w:val="ExhibitText"/>
              <w:jc w:val="right"/>
              <w:rPr>
                <w:lang w:val="en-GB"/>
              </w:rPr>
            </w:pPr>
            <w:r w:rsidRPr="00D657E1">
              <w:rPr>
                <w:lang w:val="en-GB"/>
              </w:rPr>
              <w:t xml:space="preserve"> 1,999 </w:t>
            </w:r>
          </w:p>
        </w:tc>
        <w:tc>
          <w:tcPr>
            <w:tcW w:w="1507" w:type="dxa"/>
            <w:shd w:val="clear" w:color="000000" w:fill="FFFFFF"/>
            <w:noWrap/>
            <w:vAlign w:val="center"/>
            <w:hideMark/>
          </w:tcPr>
          <w:p w14:paraId="6BFC0E93" w14:textId="3A36F230" w:rsidR="00B34F0B" w:rsidRPr="00D657E1" w:rsidRDefault="00FB061A" w:rsidP="005351E7">
            <w:pPr>
              <w:pStyle w:val="ExhibitText"/>
              <w:jc w:val="right"/>
              <w:rPr>
                <w:lang w:val="en-GB"/>
              </w:rPr>
            </w:pPr>
            <w:r>
              <w:rPr>
                <w:lang w:val="en-GB"/>
              </w:rPr>
              <w:t>–</w:t>
            </w:r>
            <w:r w:rsidR="00EE787A" w:rsidRPr="00D657E1">
              <w:rPr>
                <w:lang w:val="en-GB"/>
              </w:rPr>
              <w:t xml:space="preserve"> </w:t>
            </w:r>
          </w:p>
        </w:tc>
      </w:tr>
      <w:tr w:rsidR="00B34F0B" w:rsidRPr="00D657E1" w14:paraId="12BD9A50" w14:textId="77777777" w:rsidTr="00012359">
        <w:trPr>
          <w:trHeight w:val="265"/>
        </w:trPr>
        <w:tc>
          <w:tcPr>
            <w:tcW w:w="4405" w:type="dxa"/>
            <w:shd w:val="clear" w:color="000000" w:fill="FFFFFF"/>
            <w:noWrap/>
            <w:vAlign w:val="center"/>
            <w:hideMark/>
          </w:tcPr>
          <w:p w14:paraId="7B35D447" w14:textId="77777777" w:rsidR="00B34F0B" w:rsidRPr="00D657E1" w:rsidRDefault="00B34F0B" w:rsidP="00B34F0B">
            <w:pPr>
              <w:pStyle w:val="ExhibitText"/>
              <w:jc w:val="left"/>
              <w:rPr>
                <w:lang w:val="en-GB"/>
              </w:rPr>
            </w:pPr>
            <w:r w:rsidRPr="00D657E1">
              <w:rPr>
                <w:lang w:val="en-GB"/>
              </w:rPr>
              <w:t>Obligations under finance leases</w:t>
            </w:r>
          </w:p>
        </w:tc>
        <w:tc>
          <w:tcPr>
            <w:tcW w:w="1507" w:type="dxa"/>
            <w:shd w:val="clear" w:color="000000" w:fill="FFFFFF"/>
            <w:noWrap/>
            <w:vAlign w:val="center"/>
            <w:hideMark/>
          </w:tcPr>
          <w:p w14:paraId="5B1D95C9" w14:textId="088B5C58" w:rsidR="00B34F0B" w:rsidRPr="00D657E1" w:rsidRDefault="00B34F0B" w:rsidP="00076D4A">
            <w:pPr>
              <w:pStyle w:val="ExhibitText"/>
              <w:jc w:val="right"/>
              <w:rPr>
                <w:lang w:val="en-GB"/>
              </w:rPr>
            </w:pPr>
            <w:r w:rsidRPr="00D657E1">
              <w:rPr>
                <w:lang w:val="en-GB"/>
              </w:rPr>
              <w:t xml:space="preserve"> 23,540 </w:t>
            </w:r>
          </w:p>
        </w:tc>
        <w:tc>
          <w:tcPr>
            <w:tcW w:w="1507" w:type="dxa"/>
            <w:shd w:val="clear" w:color="000000" w:fill="FFFFFF"/>
            <w:noWrap/>
            <w:vAlign w:val="center"/>
            <w:hideMark/>
          </w:tcPr>
          <w:p w14:paraId="190832BD" w14:textId="6562525D" w:rsidR="00B34F0B" w:rsidRPr="00D657E1" w:rsidRDefault="00B34F0B" w:rsidP="00B74EDB">
            <w:pPr>
              <w:pStyle w:val="ExhibitText"/>
              <w:jc w:val="right"/>
              <w:rPr>
                <w:lang w:val="en-GB"/>
              </w:rPr>
            </w:pPr>
            <w:r w:rsidRPr="00D657E1">
              <w:rPr>
                <w:lang w:val="en-GB"/>
              </w:rPr>
              <w:t xml:space="preserve">2,236 </w:t>
            </w:r>
          </w:p>
        </w:tc>
        <w:tc>
          <w:tcPr>
            <w:tcW w:w="1507" w:type="dxa"/>
            <w:shd w:val="clear" w:color="000000" w:fill="FFFFFF"/>
            <w:noWrap/>
            <w:vAlign w:val="center"/>
            <w:hideMark/>
          </w:tcPr>
          <w:p w14:paraId="6A8F33A8" w14:textId="07FEB50C" w:rsidR="00B34F0B" w:rsidRPr="00D657E1" w:rsidRDefault="00B34F0B" w:rsidP="005351E7">
            <w:pPr>
              <w:pStyle w:val="ExhibitText"/>
              <w:jc w:val="right"/>
              <w:rPr>
                <w:lang w:val="en-GB"/>
              </w:rPr>
            </w:pPr>
            <w:r w:rsidRPr="00D657E1">
              <w:rPr>
                <w:lang w:val="en-GB"/>
              </w:rPr>
              <w:t xml:space="preserve">3,529 </w:t>
            </w:r>
          </w:p>
        </w:tc>
      </w:tr>
      <w:tr w:rsidR="00B34F0B" w:rsidRPr="00D657E1" w14:paraId="69E972EC" w14:textId="77777777" w:rsidTr="00012359">
        <w:trPr>
          <w:trHeight w:val="265"/>
        </w:trPr>
        <w:tc>
          <w:tcPr>
            <w:tcW w:w="4405" w:type="dxa"/>
            <w:shd w:val="clear" w:color="000000" w:fill="FFFFFF"/>
            <w:noWrap/>
            <w:vAlign w:val="center"/>
            <w:hideMark/>
          </w:tcPr>
          <w:p w14:paraId="0ED5A038" w14:textId="77777777" w:rsidR="00B34F0B" w:rsidRPr="00D657E1" w:rsidRDefault="00B34F0B" w:rsidP="00B34F0B">
            <w:pPr>
              <w:pStyle w:val="ExhibitText"/>
              <w:jc w:val="left"/>
              <w:rPr>
                <w:lang w:val="en-GB"/>
              </w:rPr>
            </w:pPr>
            <w:r w:rsidRPr="00D657E1">
              <w:rPr>
                <w:lang w:val="en-GB"/>
              </w:rPr>
              <w:t>Trade and other payables</w:t>
            </w:r>
          </w:p>
        </w:tc>
        <w:tc>
          <w:tcPr>
            <w:tcW w:w="1507" w:type="dxa"/>
            <w:shd w:val="clear" w:color="000000" w:fill="FFFFFF"/>
            <w:noWrap/>
            <w:vAlign w:val="center"/>
            <w:hideMark/>
          </w:tcPr>
          <w:p w14:paraId="34703DD1" w14:textId="5174391E" w:rsidR="00B34F0B" w:rsidRPr="00D657E1" w:rsidRDefault="00B34F0B" w:rsidP="00076D4A">
            <w:pPr>
              <w:pStyle w:val="ExhibitText"/>
              <w:jc w:val="right"/>
              <w:rPr>
                <w:lang w:val="en-GB"/>
              </w:rPr>
            </w:pPr>
            <w:r w:rsidRPr="00D657E1">
              <w:rPr>
                <w:lang w:val="en-GB"/>
              </w:rPr>
              <w:t xml:space="preserve"> 38,340 </w:t>
            </w:r>
          </w:p>
        </w:tc>
        <w:tc>
          <w:tcPr>
            <w:tcW w:w="1507" w:type="dxa"/>
            <w:shd w:val="clear" w:color="000000" w:fill="FFFFFF"/>
            <w:noWrap/>
            <w:vAlign w:val="center"/>
            <w:hideMark/>
          </w:tcPr>
          <w:p w14:paraId="51003A9D" w14:textId="72C010BB" w:rsidR="00B34F0B" w:rsidRPr="00D657E1" w:rsidRDefault="00B34F0B" w:rsidP="00B74EDB">
            <w:pPr>
              <w:pStyle w:val="ExhibitText"/>
              <w:jc w:val="right"/>
              <w:rPr>
                <w:lang w:val="en-GB"/>
              </w:rPr>
            </w:pPr>
            <w:r w:rsidRPr="00D657E1">
              <w:rPr>
                <w:lang w:val="en-GB"/>
              </w:rPr>
              <w:t xml:space="preserve">35,852 </w:t>
            </w:r>
          </w:p>
        </w:tc>
        <w:tc>
          <w:tcPr>
            <w:tcW w:w="1507" w:type="dxa"/>
            <w:shd w:val="clear" w:color="000000" w:fill="FFFFFF"/>
            <w:noWrap/>
            <w:vAlign w:val="center"/>
            <w:hideMark/>
          </w:tcPr>
          <w:p w14:paraId="10D58203" w14:textId="4D4ED829" w:rsidR="00B34F0B" w:rsidRPr="00D657E1" w:rsidRDefault="00B34F0B" w:rsidP="005351E7">
            <w:pPr>
              <w:pStyle w:val="ExhibitText"/>
              <w:jc w:val="right"/>
              <w:rPr>
                <w:lang w:val="en-GB"/>
              </w:rPr>
            </w:pPr>
            <w:r w:rsidRPr="00D657E1">
              <w:rPr>
                <w:lang w:val="en-GB"/>
              </w:rPr>
              <w:t xml:space="preserve">35,725 </w:t>
            </w:r>
          </w:p>
        </w:tc>
      </w:tr>
      <w:tr w:rsidR="00B34F0B" w:rsidRPr="00D657E1" w14:paraId="0AC0DF53" w14:textId="77777777" w:rsidTr="00012359">
        <w:trPr>
          <w:trHeight w:val="265"/>
        </w:trPr>
        <w:tc>
          <w:tcPr>
            <w:tcW w:w="4405" w:type="dxa"/>
            <w:shd w:val="clear" w:color="000000" w:fill="FFFFFF"/>
            <w:noWrap/>
            <w:vAlign w:val="center"/>
            <w:hideMark/>
          </w:tcPr>
          <w:p w14:paraId="3BEAACAA" w14:textId="77777777" w:rsidR="00B34F0B" w:rsidRPr="00D657E1" w:rsidRDefault="00B34F0B" w:rsidP="00B34F0B">
            <w:pPr>
              <w:pStyle w:val="ExhibitText"/>
              <w:jc w:val="left"/>
              <w:rPr>
                <w:lang w:val="en-GB"/>
              </w:rPr>
            </w:pPr>
            <w:r w:rsidRPr="00D657E1">
              <w:rPr>
                <w:lang w:val="en-GB"/>
              </w:rPr>
              <w:t>Other financial liabilities</w:t>
            </w:r>
          </w:p>
        </w:tc>
        <w:tc>
          <w:tcPr>
            <w:tcW w:w="1507" w:type="dxa"/>
            <w:shd w:val="clear" w:color="000000" w:fill="FFFFFF"/>
            <w:noWrap/>
            <w:vAlign w:val="center"/>
            <w:hideMark/>
          </w:tcPr>
          <w:p w14:paraId="34EEC2EF" w14:textId="68F5FFD7" w:rsidR="00B34F0B" w:rsidRPr="00D657E1" w:rsidRDefault="00FB061A" w:rsidP="00076D4A">
            <w:pPr>
              <w:pStyle w:val="ExhibitText"/>
              <w:jc w:val="right"/>
              <w:rPr>
                <w:lang w:val="en-GB"/>
              </w:rPr>
            </w:pPr>
            <w:r>
              <w:rPr>
                <w:lang w:val="en-GB"/>
              </w:rPr>
              <w:t>–</w:t>
            </w:r>
            <w:r w:rsidR="00EE787A" w:rsidRPr="00D657E1">
              <w:rPr>
                <w:lang w:val="en-GB"/>
              </w:rPr>
              <w:t xml:space="preserve"> </w:t>
            </w:r>
          </w:p>
        </w:tc>
        <w:tc>
          <w:tcPr>
            <w:tcW w:w="1507" w:type="dxa"/>
            <w:shd w:val="clear" w:color="000000" w:fill="FFFFFF"/>
            <w:noWrap/>
            <w:vAlign w:val="center"/>
            <w:hideMark/>
          </w:tcPr>
          <w:p w14:paraId="46B9281C" w14:textId="51627025" w:rsidR="00B34F0B" w:rsidRPr="00D657E1" w:rsidRDefault="00B34F0B" w:rsidP="00B74EDB">
            <w:pPr>
              <w:pStyle w:val="ExhibitText"/>
              <w:jc w:val="right"/>
              <w:rPr>
                <w:lang w:val="en-GB"/>
              </w:rPr>
            </w:pPr>
            <w:r w:rsidRPr="00D657E1">
              <w:rPr>
                <w:lang w:val="en-GB"/>
              </w:rPr>
              <w:t xml:space="preserve"> 132 </w:t>
            </w:r>
          </w:p>
        </w:tc>
        <w:tc>
          <w:tcPr>
            <w:tcW w:w="1507" w:type="dxa"/>
            <w:shd w:val="clear" w:color="000000" w:fill="FFFFFF"/>
            <w:noWrap/>
            <w:vAlign w:val="center"/>
            <w:hideMark/>
          </w:tcPr>
          <w:p w14:paraId="4844997B" w14:textId="4064C43B" w:rsidR="00B34F0B" w:rsidRPr="00D657E1" w:rsidRDefault="00FB061A" w:rsidP="005351E7">
            <w:pPr>
              <w:pStyle w:val="ExhibitText"/>
              <w:jc w:val="right"/>
              <w:rPr>
                <w:lang w:val="en-GB"/>
              </w:rPr>
            </w:pPr>
            <w:r>
              <w:rPr>
                <w:lang w:val="en-GB"/>
              </w:rPr>
              <w:t>–</w:t>
            </w:r>
            <w:r w:rsidR="00EE787A" w:rsidRPr="00D657E1">
              <w:rPr>
                <w:lang w:val="en-GB"/>
              </w:rPr>
              <w:t xml:space="preserve"> </w:t>
            </w:r>
          </w:p>
        </w:tc>
      </w:tr>
      <w:tr w:rsidR="00B34F0B" w:rsidRPr="00D657E1" w14:paraId="5541B7D0" w14:textId="77777777" w:rsidTr="00012359">
        <w:trPr>
          <w:trHeight w:val="265"/>
        </w:trPr>
        <w:tc>
          <w:tcPr>
            <w:tcW w:w="4405" w:type="dxa"/>
            <w:shd w:val="clear" w:color="000000" w:fill="FFFFFF"/>
            <w:noWrap/>
            <w:vAlign w:val="center"/>
            <w:hideMark/>
          </w:tcPr>
          <w:p w14:paraId="24442C40" w14:textId="77777777" w:rsidR="00B34F0B" w:rsidRPr="00D657E1" w:rsidRDefault="00B34F0B" w:rsidP="00B34F0B">
            <w:pPr>
              <w:pStyle w:val="ExhibitText"/>
              <w:jc w:val="left"/>
              <w:rPr>
                <w:lang w:val="en-GB"/>
              </w:rPr>
            </w:pPr>
            <w:r w:rsidRPr="00D657E1">
              <w:rPr>
                <w:lang w:val="en-GB"/>
              </w:rPr>
              <w:t> </w:t>
            </w:r>
          </w:p>
        </w:tc>
        <w:tc>
          <w:tcPr>
            <w:tcW w:w="1507" w:type="dxa"/>
            <w:shd w:val="clear" w:color="000000" w:fill="FFFFFF"/>
            <w:noWrap/>
            <w:vAlign w:val="center"/>
            <w:hideMark/>
          </w:tcPr>
          <w:p w14:paraId="66625675" w14:textId="4D488DA4" w:rsidR="00B34F0B" w:rsidRPr="00D657E1" w:rsidRDefault="00B34F0B" w:rsidP="00076D4A">
            <w:pPr>
              <w:pStyle w:val="ExhibitText"/>
              <w:jc w:val="right"/>
              <w:rPr>
                <w:lang w:val="en-GB"/>
              </w:rPr>
            </w:pPr>
            <w:r w:rsidRPr="00D657E1">
              <w:rPr>
                <w:lang w:val="en-GB"/>
              </w:rPr>
              <w:t xml:space="preserve">67,026 </w:t>
            </w:r>
          </w:p>
        </w:tc>
        <w:tc>
          <w:tcPr>
            <w:tcW w:w="1507" w:type="dxa"/>
            <w:shd w:val="clear" w:color="000000" w:fill="FFFFFF"/>
            <w:noWrap/>
            <w:vAlign w:val="center"/>
            <w:hideMark/>
          </w:tcPr>
          <w:p w14:paraId="659BC415" w14:textId="736EA49E" w:rsidR="00B34F0B" w:rsidRPr="00D657E1" w:rsidRDefault="00B34F0B" w:rsidP="00B74EDB">
            <w:pPr>
              <w:pStyle w:val="ExhibitText"/>
              <w:jc w:val="right"/>
              <w:rPr>
                <w:lang w:val="en-GB"/>
              </w:rPr>
            </w:pPr>
            <w:r w:rsidRPr="00D657E1">
              <w:rPr>
                <w:lang w:val="en-GB"/>
              </w:rPr>
              <w:t xml:space="preserve">42,239 </w:t>
            </w:r>
          </w:p>
        </w:tc>
        <w:tc>
          <w:tcPr>
            <w:tcW w:w="1507" w:type="dxa"/>
            <w:shd w:val="clear" w:color="000000" w:fill="FFFFFF"/>
            <w:noWrap/>
            <w:vAlign w:val="center"/>
            <w:hideMark/>
          </w:tcPr>
          <w:p w14:paraId="23BE43F4" w14:textId="76AE2BA5" w:rsidR="00B34F0B" w:rsidRPr="00D657E1" w:rsidRDefault="00B34F0B" w:rsidP="005351E7">
            <w:pPr>
              <w:pStyle w:val="ExhibitText"/>
              <w:jc w:val="right"/>
              <w:rPr>
                <w:lang w:val="en-GB"/>
              </w:rPr>
            </w:pPr>
            <w:r w:rsidRPr="00D657E1">
              <w:rPr>
                <w:lang w:val="en-GB"/>
              </w:rPr>
              <w:t xml:space="preserve"> 43,124 </w:t>
            </w:r>
          </w:p>
        </w:tc>
      </w:tr>
      <w:tr w:rsidR="00B34F0B" w:rsidRPr="00D657E1" w14:paraId="5664C806" w14:textId="77777777" w:rsidTr="00012359">
        <w:trPr>
          <w:trHeight w:val="265"/>
        </w:trPr>
        <w:tc>
          <w:tcPr>
            <w:tcW w:w="4405" w:type="dxa"/>
            <w:shd w:val="clear" w:color="000000" w:fill="FFFFFF"/>
            <w:noWrap/>
            <w:vAlign w:val="center"/>
            <w:hideMark/>
          </w:tcPr>
          <w:p w14:paraId="55358E0A" w14:textId="77777777" w:rsidR="00B34F0B" w:rsidRPr="00D657E1" w:rsidRDefault="00B34F0B" w:rsidP="00B34F0B">
            <w:pPr>
              <w:pStyle w:val="ExhibitText"/>
              <w:jc w:val="left"/>
              <w:rPr>
                <w:lang w:val="en-GB"/>
              </w:rPr>
            </w:pPr>
            <w:r w:rsidRPr="00D657E1">
              <w:rPr>
                <w:b/>
                <w:bCs/>
                <w:lang w:val="en-GB"/>
              </w:rPr>
              <w:t>Total Liabilities</w:t>
            </w:r>
          </w:p>
        </w:tc>
        <w:tc>
          <w:tcPr>
            <w:tcW w:w="1507" w:type="dxa"/>
            <w:shd w:val="clear" w:color="000000" w:fill="FFFFFF"/>
            <w:noWrap/>
            <w:vAlign w:val="center"/>
            <w:hideMark/>
          </w:tcPr>
          <w:p w14:paraId="0296E98E" w14:textId="12CD48AA" w:rsidR="00B34F0B" w:rsidRPr="00D657E1" w:rsidRDefault="00B34F0B" w:rsidP="00076D4A">
            <w:pPr>
              <w:pStyle w:val="ExhibitText"/>
              <w:jc w:val="right"/>
              <w:rPr>
                <w:lang w:val="en-GB"/>
              </w:rPr>
            </w:pPr>
            <w:r w:rsidRPr="00D657E1">
              <w:rPr>
                <w:lang w:val="en-GB"/>
              </w:rPr>
              <w:t xml:space="preserve"> 69,210 </w:t>
            </w:r>
          </w:p>
        </w:tc>
        <w:tc>
          <w:tcPr>
            <w:tcW w:w="1507" w:type="dxa"/>
            <w:shd w:val="clear" w:color="000000" w:fill="FFFFFF"/>
            <w:noWrap/>
            <w:vAlign w:val="center"/>
            <w:hideMark/>
          </w:tcPr>
          <w:p w14:paraId="728AB0D8" w14:textId="68694EA3" w:rsidR="00B34F0B" w:rsidRPr="00D657E1" w:rsidRDefault="00B34F0B" w:rsidP="00B74EDB">
            <w:pPr>
              <w:pStyle w:val="ExhibitText"/>
              <w:jc w:val="right"/>
              <w:rPr>
                <w:lang w:val="en-GB"/>
              </w:rPr>
            </w:pPr>
            <w:r w:rsidRPr="00D657E1">
              <w:rPr>
                <w:lang w:val="en-GB"/>
              </w:rPr>
              <w:t xml:space="preserve"> 76,377 </w:t>
            </w:r>
          </w:p>
        </w:tc>
        <w:tc>
          <w:tcPr>
            <w:tcW w:w="1507" w:type="dxa"/>
            <w:shd w:val="clear" w:color="000000" w:fill="FFFFFF"/>
            <w:noWrap/>
            <w:vAlign w:val="center"/>
            <w:hideMark/>
          </w:tcPr>
          <w:p w14:paraId="4DAF3A84" w14:textId="2AFABBDA" w:rsidR="00B34F0B" w:rsidRPr="00D657E1" w:rsidRDefault="00B34F0B" w:rsidP="005351E7">
            <w:pPr>
              <w:pStyle w:val="ExhibitText"/>
              <w:jc w:val="right"/>
              <w:rPr>
                <w:lang w:val="en-GB"/>
              </w:rPr>
            </w:pPr>
            <w:r w:rsidRPr="00D657E1">
              <w:rPr>
                <w:lang w:val="en-GB"/>
              </w:rPr>
              <w:t xml:space="preserve"> 74,647 </w:t>
            </w:r>
          </w:p>
        </w:tc>
      </w:tr>
      <w:tr w:rsidR="00B34F0B" w:rsidRPr="00D657E1" w14:paraId="55BD5670" w14:textId="77777777" w:rsidTr="00012359">
        <w:trPr>
          <w:trHeight w:val="265"/>
        </w:trPr>
        <w:tc>
          <w:tcPr>
            <w:tcW w:w="4405" w:type="dxa"/>
            <w:shd w:val="clear" w:color="000000" w:fill="FFFFFF"/>
            <w:noWrap/>
            <w:vAlign w:val="center"/>
            <w:hideMark/>
          </w:tcPr>
          <w:p w14:paraId="735A617F" w14:textId="77777777" w:rsidR="00B34F0B" w:rsidRPr="00D657E1" w:rsidRDefault="00B34F0B" w:rsidP="00B34F0B">
            <w:pPr>
              <w:pStyle w:val="ExhibitText"/>
              <w:jc w:val="left"/>
              <w:rPr>
                <w:lang w:val="en-GB"/>
              </w:rPr>
            </w:pPr>
            <w:r w:rsidRPr="00D657E1">
              <w:rPr>
                <w:b/>
                <w:bCs/>
                <w:lang w:val="en-GB"/>
              </w:rPr>
              <w:t>Total Liabilities and Equity</w:t>
            </w:r>
          </w:p>
        </w:tc>
        <w:tc>
          <w:tcPr>
            <w:tcW w:w="1507" w:type="dxa"/>
            <w:shd w:val="clear" w:color="000000" w:fill="FFFFFF"/>
            <w:noWrap/>
            <w:vAlign w:val="center"/>
            <w:hideMark/>
          </w:tcPr>
          <w:p w14:paraId="6D5B44BD" w14:textId="70055E9A" w:rsidR="00B34F0B" w:rsidRPr="00D657E1" w:rsidRDefault="00B34F0B" w:rsidP="00076D4A">
            <w:pPr>
              <w:pStyle w:val="ExhibitText"/>
              <w:jc w:val="right"/>
              <w:rPr>
                <w:lang w:val="en-GB"/>
              </w:rPr>
            </w:pPr>
            <w:r w:rsidRPr="00D657E1">
              <w:rPr>
                <w:lang w:val="en-GB"/>
              </w:rPr>
              <w:t xml:space="preserve"> 73,993 </w:t>
            </w:r>
          </w:p>
        </w:tc>
        <w:tc>
          <w:tcPr>
            <w:tcW w:w="1507" w:type="dxa"/>
            <w:shd w:val="clear" w:color="000000" w:fill="FFFFFF"/>
            <w:noWrap/>
            <w:vAlign w:val="center"/>
            <w:hideMark/>
          </w:tcPr>
          <w:p w14:paraId="6168ED63" w14:textId="190B33EE" w:rsidR="00B34F0B" w:rsidRPr="00D657E1" w:rsidRDefault="00B34F0B" w:rsidP="00B74EDB">
            <w:pPr>
              <w:pStyle w:val="ExhibitText"/>
              <w:jc w:val="right"/>
              <w:rPr>
                <w:lang w:val="en-GB"/>
              </w:rPr>
            </w:pPr>
            <w:r w:rsidRPr="00D657E1">
              <w:rPr>
                <w:lang w:val="en-GB"/>
              </w:rPr>
              <w:t xml:space="preserve"> 101,729 </w:t>
            </w:r>
          </w:p>
        </w:tc>
        <w:tc>
          <w:tcPr>
            <w:tcW w:w="1507" w:type="dxa"/>
            <w:shd w:val="clear" w:color="000000" w:fill="FFFFFF"/>
            <w:noWrap/>
            <w:vAlign w:val="center"/>
            <w:hideMark/>
          </w:tcPr>
          <w:p w14:paraId="1167CA02" w14:textId="5DD40036" w:rsidR="00B34F0B" w:rsidRPr="00D657E1" w:rsidRDefault="00B34F0B" w:rsidP="005351E7">
            <w:pPr>
              <w:pStyle w:val="ExhibitText"/>
              <w:jc w:val="right"/>
              <w:rPr>
                <w:lang w:val="en-GB"/>
              </w:rPr>
            </w:pPr>
            <w:r w:rsidRPr="00D657E1">
              <w:rPr>
                <w:lang w:val="en-GB"/>
              </w:rPr>
              <w:t xml:space="preserve">79,345 </w:t>
            </w:r>
          </w:p>
        </w:tc>
      </w:tr>
    </w:tbl>
    <w:p w14:paraId="20A41ADF" w14:textId="77777777" w:rsidR="00B34F0B" w:rsidRPr="00D657E1" w:rsidRDefault="00B34F0B" w:rsidP="00246014">
      <w:pPr>
        <w:pStyle w:val="ExhibitText"/>
        <w:rPr>
          <w:rFonts w:eastAsia="MS Mincho"/>
          <w:lang w:val="en-GB"/>
        </w:rPr>
      </w:pPr>
    </w:p>
    <w:p w14:paraId="52A796C8" w14:textId="2918EDC9" w:rsidR="00B34F0B" w:rsidRPr="00D657E1" w:rsidRDefault="00B34F0B" w:rsidP="00B34F0B">
      <w:pPr>
        <w:pStyle w:val="Footnote"/>
        <w:rPr>
          <w:rFonts w:eastAsia="MS Mincho"/>
          <w:b/>
          <w:lang w:val="en-GB"/>
        </w:rPr>
      </w:pPr>
      <w:r w:rsidRPr="00D657E1">
        <w:rPr>
          <w:rFonts w:eastAsia="MS Mincho"/>
          <w:lang w:val="en-GB"/>
        </w:rPr>
        <w:t xml:space="preserve">Source: </w:t>
      </w:r>
      <w:r w:rsidR="000B2A3A" w:rsidRPr="00D657E1">
        <w:rPr>
          <w:rFonts w:eastAsia="MS Mincho"/>
          <w:lang w:val="en-GB"/>
        </w:rPr>
        <w:t xml:space="preserve">Company </w:t>
      </w:r>
      <w:r w:rsidR="00832BDD" w:rsidRPr="00D657E1">
        <w:rPr>
          <w:rFonts w:eastAsia="MS Mincho"/>
          <w:lang w:val="en-GB"/>
        </w:rPr>
        <w:t>d</w:t>
      </w:r>
      <w:r w:rsidR="000B2A3A" w:rsidRPr="00D657E1">
        <w:rPr>
          <w:rFonts w:eastAsia="MS Mincho"/>
          <w:lang w:val="en-GB"/>
        </w:rPr>
        <w:t>ocuments.</w:t>
      </w:r>
    </w:p>
    <w:p w14:paraId="02505239" w14:textId="77777777" w:rsidR="00246014" w:rsidRPr="00D657E1" w:rsidRDefault="00246014">
      <w:pPr>
        <w:spacing w:after="200" w:line="276" w:lineRule="auto"/>
        <w:rPr>
          <w:rFonts w:ascii="Arial" w:eastAsia="MS Mincho" w:hAnsi="Arial" w:cs="Arial"/>
          <w:b/>
          <w:lang w:val="en-GB"/>
        </w:rPr>
      </w:pPr>
      <w:r w:rsidRPr="00D657E1">
        <w:rPr>
          <w:rFonts w:ascii="Arial" w:eastAsia="MS Mincho" w:hAnsi="Arial" w:cs="Arial"/>
          <w:b/>
          <w:lang w:val="en-GB"/>
        </w:rPr>
        <w:br w:type="page"/>
      </w:r>
    </w:p>
    <w:p w14:paraId="5E6F06D5" w14:textId="74C8DF33" w:rsidR="00246014" w:rsidRPr="00D657E1" w:rsidRDefault="00246014" w:rsidP="00246014">
      <w:pPr>
        <w:jc w:val="center"/>
        <w:rPr>
          <w:rFonts w:ascii="Arial" w:eastAsia="MS Mincho" w:hAnsi="Arial" w:cs="Arial"/>
          <w:b/>
          <w:lang w:val="en-GB"/>
        </w:rPr>
      </w:pPr>
      <w:r w:rsidRPr="00D657E1">
        <w:rPr>
          <w:rFonts w:ascii="Arial" w:eastAsia="MS Mincho" w:hAnsi="Arial" w:cs="Arial"/>
          <w:b/>
          <w:lang w:val="en-GB"/>
        </w:rPr>
        <w:lastRenderedPageBreak/>
        <w:t xml:space="preserve">EXHIBIT 3: </w:t>
      </w:r>
      <w:r w:rsidR="00060C48" w:rsidRPr="00D657E1">
        <w:rPr>
          <w:rFonts w:ascii="Arial" w:eastAsia="MS Mincho" w:hAnsi="Arial" w:cs="Arial"/>
          <w:b/>
          <w:lang w:val="en-GB"/>
        </w:rPr>
        <w:t xml:space="preserve">FASTJET </w:t>
      </w:r>
      <w:r w:rsidR="0021539C">
        <w:rPr>
          <w:rFonts w:ascii="Arial" w:eastAsia="MS Mincho" w:hAnsi="Arial" w:cs="Arial"/>
          <w:b/>
          <w:lang w:val="en-GB"/>
        </w:rPr>
        <w:t xml:space="preserve">SIX-MONTH </w:t>
      </w:r>
      <w:r w:rsidRPr="00D657E1">
        <w:rPr>
          <w:rFonts w:ascii="Arial" w:eastAsia="MS Mincho" w:hAnsi="Arial" w:cs="Arial"/>
          <w:b/>
          <w:lang w:val="en-GB"/>
        </w:rPr>
        <w:t>CASH FLOW STATEMENT</w:t>
      </w:r>
      <w:r w:rsidR="0021539C">
        <w:rPr>
          <w:rFonts w:ascii="Arial" w:eastAsia="MS Mincho" w:hAnsi="Arial" w:cs="Arial"/>
          <w:b/>
          <w:lang w:val="en-GB"/>
        </w:rPr>
        <w:t>S</w:t>
      </w:r>
      <w:r w:rsidR="00060C48" w:rsidRPr="00D657E1">
        <w:rPr>
          <w:rFonts w:ascii="Arial" w:eastAsia="MS Mincho" w:hAnsi="Arial" w:cs="Arial"/>
          <w:b/>
          <w:lang w:val="en-GB"/>
        </w:rPr>
        <w:t xml:space="preserve"> (IN US$</w:t>
      </w:r>
      <w:r w:rsidR="0021539C">
        <w:rPr>
          <w:rFonts w:ascii="Arial" w:eastAsia="MS Mincho" w:hAnsi="Arial" w:cs="Arial"/>
          <w:b/>
          <w:lang w:val="en-GB"/>
        </w:rPr>
        <w:t xml:space="preserve"> THOUSANDS</w:t>
      </w:r>
      <w:r w:rsidR="00060C48" w:rsidRPr="00D657E1">
        <w:rPr>
          <w:rFonts w:ascii="Arial" w:eastAsia="MS Mincho" w:hAnsi="Arial" w:cs="Arial"/>
          <w:b/>
          <w:lang w:val="en-GB"/>
        </w:rPr>
        <w:t>)</w:t>
      </w:r>
    </w:p>
    <w:p w14:paraId="64660713" w14:textId="77777777" w:rsidR="00246014" w:rsidRPr="00D657E1" w:rsidRDefault="00246014" w:rsidP="00246014">
      <w:pPr>
        <w:jc w:val="center"/>
        <w:rPr>
          <w:rFonts w:eastAsia="MS Mincho"/>
          <w:b/>
          <w:lang w:val="en-GB"/>
        </w:rPr>
      </w:pPr>
    </w:p>
    <w:tbl>
      <w:tblPr>
        <w:tblpPr w:leftFromText="180" w:rightFromText="180" w:vertAnchor="page" w:horzAnchor="margin" w:tblpX="85" w:tblpY="2328"/>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3"/>
        <w:gridCol w:w="1701"/>
        <w:gridCol w:w="1842"/>
        <w:gridCol w:w="1899"/>
      </w:tblGrid>
      <w:tr w:rsidR="00B34F0B" w:rsidRPr="00D657E1" w14:paraId="1B28C857" w14:textId="77777777" w:rsidTr="00D359BC">
        <w:trPr>
          <w:trHeight w:val="797"/>
        </w:trPr>
        <w:tc>
          <w:tcPr>
            <w:tcW w:w="3823" w:type="dxa"/>
            <w:shd w:val="clear" w:color="000000" w:fill="FFFFFF"/>
            <w:noWrap/>
            <w:vAlign w:val="bottom"/>
            <w:hideMark/>
          </w:tcPr>
          <w:p w14:paraId="392A51BF" w14:textId="77777777" w:rsidR="00B34F0B" w:rsidRPr="00D657E1" w:rsidRDefault="00B34F0B" w:rsidP="00B34F0B">
            <w:pPr>
              <w:pStyle w:val="ExhibitText"/>
              <w:rPr>
                <w:sz w:val="18"/>
                <w:szCs w:val="18"/>
                <w:lang w:val="en-GB"/>
              </w:rPr>
            </w:pPr>
          </w:p>
        </w:tc>
        <w:tc>
          <w:tcPr>
            <w:tcW w:w="1701" w:type="dxa"/>
            <w:shd w:val="clear" w:color="000000" w:fill="FFFFFF"/>
            <w:vAlign w:val="center"/>
            <w:hideMark/>
          </w:tcPr>
          <w:p w14:paraId="278EF12B" w14:textId="587E3E18" w:rsidR="00B34F0B" w:rsidRPr="00D657E1" w:rsidRDefault="00B34F0B" w:rsidP="00B74EDB">
            <w:pPr>
              <w:pStyle w:val="ExhibitText"/>
              <w:jc w:val="center"/>
              <w:rPr>
                <w:sz w:val="18"/>
                <w:szCs w:val="18"/>
                <w:lang w:val="en-GB"/>
              </w:rPr>
            </w:pPr>
            <w:r w:rsidRPr="00D657E1">
              <w:rPr>
                <w:sz w:val="18"/>
                <w:szCs w:val="18"/>
                <w:lang w:val="en-GB"/>
              </w:rPr>
              <w:t xml:space="preserve">6 months ended June </w:t>
            </w:r>
            <w:r w:rsidR="00060C48" w:rsidRPr="00D657E1">
              <w:rPr>
                <w:sz w:val="18"/>
                <w:szCs w:val="18"/>
                <w:lang w:val="en-GB"/>
              </w:rPr>
              <w:t xml:space="preserve">30, </w:t>
            </w:r>
            <w:r w:rsidRPr="00D657E1">
              <w:rPr>
                <w:sz w:val="18"/>
                <w:szCs w:val="18"/>
                <w:lang w:val="en-GB"/>
              </w:rPr>
              <w:t>2014 (Unaudited)</w:t>
            </w:r>
          </w:p>
        </w:tc>
        <w:tc>
          <w:tcPr>
            <w:tcW w:w="1842" w:type="dxa"/>
            <w:shd w:val="clear" w:color="000000" w:fill="FFFFFF"/>
            <w:vAlign w:val="center"/>
            <w:hideMark/>
          </w:tcPr>
          <w:p w14:paraId="31C6BDDD" w14:textId="532E4923" w:rsidR="00B34F0B" w:rsidRPr="00D657E1" w:rsidRDefault="00B34F0B" w:rsidP="005351E7">
            <w:pPr>
              <w:pStyle w:val="ExhibitText"/>
              <w:jc w:val="center"/>
              <w:rPr>
                <w:sz w:val="18"/>
                <w:szCs w:val="18"/>
                <w:lang w:val="en-GB"/>
              </w:rPr>
            </w:pPr>
            <w:r w:rsidRPr="00D657E1">
              <w:rPr>
                <w:sz w:val="18"/>
                <w:szCs w:val="18"/>
                <w:lang w:val="en-GB"/>
              </w:rPr>
              <w:t xml:space="preserve">6 months ended June </w:t>
            </w:r>
            <w:r w:rsidR="00060C48" w:rsidRPr="00D657E1">
              <w:rPr>
                <w:sz w:val="18"/>
                <w:szCs w:val="18"/>
                <w:lang w:val="en-GB"/>
              </w:rPr>
              <w:t xml:space="preserve">30, </w:t>
            </w:r>
            <w:r w:rsidRPr="00D657E1">
              <w:rPr>
                <w:sz w:val="18"/>
                <w:szCs w:val="18"/>
                <w:lang w:val="en-GB"/>
              </w:rPr>
              <w:t>2013 (Unaudited)</w:t>
            </w:r>
          </w:p>
        </w:tc>
        <w:tc>
          <w:tcPr>
            <w:tcW w:w="1899" w:type="dxa"/>
            <w:shd w:val="clear" w:color="000000" w:fill="FFFFFF"/>
            <w:vAlign w:val="center"/>
            <w:hideMark/>
          </w:tcPr>
          <w:p w14:paraId="306E8673" w14:textId="618BD18D" w:rsidR="00B34F0B" w:rsidRPr="00D657E1" w:rsidRDefault="00B74EDB" w:rsidP="005351E7">
            <w:pPr>
              <w:pStyle w:val="ExhibitText"/>
              <w:jc w:val="center"/>
              <w:rPr>
                <w:sz w:val="18"/>
                <w:szCs w:val="18"/>
                <w:lang w:val="en-GB"/>
              </w:rPr>
            </w:pPr>
            <w:r w:rsidRPr="00D657E1">
              <w:rPr>
                <w:sz w:val="18"/>
                <w:szCs w:val="18"/>
                <w:lang w:val="en-GB"/>
              </w:rPr>
              <w:t>Y</w:t>
            </w:r>
            <w:r w:rsidR="00B34F0B" w:rsidRPr="00D657E1">
              <w:rPr>
                <w:sz w:val="18"/>
                <w:szCs w:val="18"/>
                <w:lang w:val="en-GB"/>
              </w:rPr>
              <w:t xml:space="preserve">ear ended December </w:t>
            </w:r>
            <w:r w:rsidRPr="00D657E1">
              <w:rPr>
                <w:sz w:val="18"/>
                <w:szCs w:val="18"/>
                <w:lang w:val="en-GB"/>
              </w:rPr>
              <w:t xml:space="preserve">31, </w:t>
            </w:r>
            <w:r w:rsidR="00B34F0B" w:rsidRPr="00D657E1">
              <w:rPr>
                <w:sz w:val="18"/>
                <w:szCs w:val="18"/>
                <w:lang w:val="en-GB"/>
              </w:rPr>
              <w:t>2013 (Unaudited)</w:t>
            </w:r>
          </w:p>
        </w:tc>
      </w:tr>
      <w:tr w:rsidR="00B34F0B" w:rsidRPr="00D657E1" w14:paraId="6D77D90A" w14:textId="77777777" w:rsidTr="00B34F0B">
        <w:trPr>
          <w:trHeight w:val="300"/>
        </w:trPr>
        <w:tc>
          <w:tcPr>
            <w:tcW w:w="9265" w:type="dxa"/>
            <w:gridSpan w:val="4"/>
            <w:shd w:val="clear" w:color="000000" w:fill="FFFFFF"/>
            <w:noWrap/>
            <w:vAlign w:val="center"/>
            <w:hideMark/>
          </w:tcPr>
          <w:p w14:paraId="069A6DED" w14:textId="77777777" w:rsidR="00B34F0B" w:rsidRPr="00D657E1" w:rsidRDefault="00B34F0B" w:rsidP="00B34F0B">
            <w:pPr>
              <w:pStyle w:val="ExhibitText"/>
              <w:jc w:val="left"/>
              <w:rPr>
                <w:b/>
                <w:bCs/>
                <w:sz w:val="18"/>
                <w:szCs w:val="18"/>
                <w:lang w:val="en-GB"/>
              </w:rPr>
            </w:pPr>
            <w:r w:rsidRPr="00D657E1">
              <w:rPr>
                <w:b/>
                <w:bCs/>
                <w:sz w:val="18"/>
                <w:szCs w:val="18"/>
                <w:lang w:val="en-GB"/>
              </w:rPr>
              <w:t>Operating Activities</w:t>
            </w:r>
          </w:p>
        </w:tc>
      </w:tr>
      <w:tr w:rsidR="00B34F0B" w:rsidRPr="00D657E1" w14:paraId="41CDD9BA" w14:textId="77777777" w:rsidTr="00D359BC">
        <w:trPr>
          <w:trHeight w:val="300"/>
        </w:trPr>
        <w:tc>
          <w:tcPr>
            <w:tcW w:w="3823" w:type="dxa"/>
            <w:shd w:val="clear" w:color="000000" w:fill="FFFFFF"/>
            <w:noWrap/>
            <w:vAlign w:val="center"/>
            <w:hideMark/>
          </w:tcPr>
          <w:p w14:paraId="29CE3A76" w14:textId="77777777" w:rsidR="00B34F0B" w:rsidRPr="00D657E1" w:rsidRDefault="00B34F0B" w:rsidP="00B34F0B">
            <w:pPr>
              <w:pStyle w:val="ExhibitText"/>
              <w:jc w:val="left"/>
              <w:rPr>
                <w:sz w:val="18"/>
                <w:szCs w:val="18"/>
                <w:lang w:val="en-GB"/>
              </w:rPr>
            </w:pPr>
            <w:r w:rsidRPr="00D657E1">
              <w:rPr>
                <w:sz w:val="18"/>
                <w:szCs w:val="18"/>
                <w:lang w:val="en-GB"/>
              </w:rPr>
              <w:t>Result for the period</w:t>
            </w:r>
          </w:p>
        </w:tc>
        <w:tc>
          <w:tcPr>
            <w:tcW w:w="1701" w:type="dxa"/>
            <w:shd w:val="clear" w:color="000000" w:fill="FFFFFF"/>
            <w:noWrap/>
            <w:vAlign w:val="center"/>
            <w:hideMark/>
          </w:tcPr>
          <w:p w14:paraId="67A59502" w14:textId="4BF2FB51"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34,473</w:t>
            </w:r>
          </w:p>
        </w:tc>
        <w:tc>
          <w:tcPr>
            <w:tcW w:w="1842" w:type="dxa"/>
            <w:shd w:val="clear" w:color="000000" w:fill="FFFFFF"/>
            <w:noWrap/>
            <w:vAlign w:val="center"/>
            <w:hideMark/>
          </w:tcPr>
          <w:p w14:paraId="56526D41" w14:textId="43A03E3F"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41,920</w:t>
            </w:r>
          </w:p>
        </w:tc>
        <w:tc>
          <w:tcPr>
            <w:tcW w:w="1899" w:type="dxa"/>
            <w:shd w:val="clear" w:color="000000" w:fill="FFFFFF"/>
            <w:noWrap/>
            <w:vAlign w:val="center"/>
            <w:hideMark/>
          </w:tcPr>
          <w:p w14:paraId="3336364C" w14:textId="7580DF55"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80,884</w:t>
            </w:r>
          </w:p>
        </w:tc>
      </w:tr>
      <w:tr w:rsidR="00B34F0B" w:rsidRPr="00D657E1" w14:paraId="50128F9F" w14:textId="77777777" w:rsidTr="00D359BC">
        <w:trPr>
          <w:trHeight w:val="300"/>
        </w:trPr>
        <w:tc>
          <w:tcPr>
            <w:tcW w:w="3823" w:type="dxa"/>
            <w:shd w:val="clear" w:color="000000" w:fill="FFFFFF"/>
            <w:noWrap/>
            <w:vAlign w:val="center"/>
            <w:hideMark/>
          </w:tcPr>
          <w:p w14:paraId="11267F6D" w14:textId="77777777" w:rsidR="00B34F0B" w:rsidRPr="00D657E1" w:rsidRDefault="00B34F0B" w:rsidP="00B34F0B">
            <w:pPr>
              <w:pStyle w:val="ExhibitText"/>
              <w:jc w:val="left"/>
              <w:rPr>
                <w:sz w:val="18"/>
                <w:szCs w:val="18"/>
                <w:lang w:val="en-GB"/>
              </w:rPr>
            </w:pPr>
            <w:r w:rsidRPr="00D657E1">
              <w:rPr>
                <w:sz w:val="18"/>
                <w:szCs w:val="18"/>
                <w:lang w:val="en-GB"/>
              </w:rPr>
              <w:t>Tax credit</w:t>
            </w:r>
          </w:p>
        </w:tc>
        <w:tc>
          <w:tcPr>
            <w:tcW w:w="1701" w:type="dxa"/>
            <w:shd w:val="clear" w:color="000000" w:fill="FFFFFF"/>
            <w:noWrap/>
            <w:vAlign w:val="center"/>
            <w:hideMark/>
          </w:tcPr>
          <w:p w14:paraId="0CF33DAF"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42" w:type="dxa"/>
            <w:shd w:val="clear" w:color="000000" w:fill="FFFFFF"/>
            <w:noWrap/>
            <w:vAlign w:val="center"/>
            <w:hideMark/>
          </w:tcPr>
          <w:p w14:paraId="6A92282E"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99" w:type="dxa"/>
            <w:shd w:val="clear" w:color="000000" w:fill="FFFFFF"/>
            <w:noWrap/>
            <w:vAlign w:val="center"/>
            <w:hideMark/>
          </w:tcPr>
          <w:p w14:paraId="041C631A" w14:textId="6C04C805"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1,467</w:t>
            </w:r>
          </w:p>
        </w:tc>
      </w:tr>
      <w:tr w:rsidR="00B34F0B" w:rsidRPr="00D657E1" w14:paraId="2B51E0C1" w14:textId="77777777" w:rsidTr="00D359BC">
        <w:trPr>
          <w:trHeight w:val="300"/>
        </w:trPr>
        <w:tc>
          <w:tcPr>
            <w:tcW w:w="3823" w:type="dxa"/>
            <w:shd w:val="clear" w:color="000000" w:fill="FFFFFF"/>
            <w:noWrap/>
            <w:vAlign w:val="center"/>
            <w:hideMark/>
          </w:tcPr>
          <w:p w14:paraId="731CA2EC" w14:textId="77777777" w:rsidR="00B34F0B" w:rsidRPr="00D657E1" w:rsidRDefault="00B34F0B" w:rsidP="00B34F0B">
            <w:pPr>
              <w:pStyle w:val="ExhibitText"/>
              <w:jc w:val="left"/>
              <w:rPr>
                <w:sz w:val="18"/>
                <w:szCs w:val="18"/>
                <w:lang w:val="en-GB"/>
              </w:rPr>
            </w:pPr>
            <w:r w:rsidRPr="00D657E1">
              <w:rPr>
                <w:sz w:val="18"/>
                <w:szCs w:val="18"/>
                <w:lang w:val="en-GB"/>
              </w:rPr>
              <w:t>Loss on disposal of fixed assets</w:t>
            </w:r>
          </w:p>
        </w:tc>
        <w:tc>
          <w:tcPr>
            <w:tcW w:w="1701" w:type="dxa"/>
            <w:shd w:val="clear" w:color="000000" w:fill="FFFFFF"/>
            <w:noWrap/>
            <w:vAlign w:val="center"/>
            <w:hideMark/>
          </w:tcPr>
          <w:p w14:paraId="2CA3219C"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42" w:type="dxa"/>
            <w:shd w:val="clear" w:color="000000" w:fill="FFFFFF"/>
            <w:noWrap/>
            <w:vAlign w:val="center"/>
            <w:hideMark/>
          </w:tcPr>
          <w:p w14:paraId="094D2A7A"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99" w:type="dxa"/>
            <w:shd w:val="clear" w:color="000000" w:fill="FFFFFF"/>
            <w:noWrap/>
            <w:vAlign w:val="center"/>
            <w:hideMark/>
          </w:tcPr>
          <w:p w14:paraId="706344C3" w14:textId="0E7A69AC"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2</w:t>
            </w:r>
          </w:p>
        </w:tc>
      </w:tr>
      <w:tr w:rsidR="00B34F0B" w:rsidRPr="00D657E1" w14:paraId="0C6D4AB0" w14:textId="77777777" w:rsidTr="00D359BC">
        <w:trPr>
          <w:trHeight w:val="300"/>
        </w:trPr>
        <w:tc>
          <w:tcPr>
            <w:tcW w:w="3823" w:type="dxa"/>
            <w:shd w:val="clear" w:color="000000" w:fill="FFFFFF"/>
            <w:noWrap/>
            <w:vAlign w:val="center"/>
            <w:hideMark/>
          </w:tcPr>
          <w:p w14:paraId="7F2825F3" w14:textId="77777777" w:rsidR="00B34F0B" w:rsidRPr="00D657E1" w:rsidRDefault="00B34F0B" w:rsidP="00B34F0B">
            <w:pPr>
              <w:pStyle w:val="ExhibitText"/>
              <w:jc w:val="left"/>
              <w:rPr>
                <w:sz w:val="18"/>
                <w:szCs w:val="18"/>
                <w:lang w:val="en-GB"/>
              </w:rPr>
            </w:pPr>
            <w:r w:rsidRPr="00D657E1">
              <w:rPr>
                <w:sz w:val="18"/>
                <w:szCs w:val="18"/>
                <w:lang w:val="en-GB"/>
              </w:rPr>
              <w:t>Impairment of intangible assets</w:t>
            </w:r>
          </w:p>
        </w:tc>
        <w:tc>
          <w:tcPr>
            <w:tcW w:w="1701" w:type="dxa"/>
            <w:shd w:val="clear" w:color="000000" w:fill="FFFFFF"/>
            <w:noWrap/>
            <w:vAlign w:val="center"/>
            <w:hideMark/>
          </w:tcPr>
          <w:p w14:paraId="4244D350"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42" w:type="dxa"/>
            <w:shd w:val="clear" w:color="000000" w:fill="FFFFFF"/>
            <w:noWrap/>
            <w:vAlign w:val="center"/>
            <w:hideMark/>
          </w:tcPr>
          <w:p w14:paraId="656B7D9A" w14:textId="77777777" w:rsidR="00B34F0B" w:rsidRPr="00D657E1" w:rsidRDefault="00B34F0B" w:rsidP="00B34F0B">
            <w:pPr>
              <w:pStyle w:val="ExhibitText"/>
              <w:jc w:val="right"/>
              <w:rPr>
                <w:sz w:val="18"/>
                <w:szCs w:val="18"/>
                <w:lang w:val="en-GB"/>
              </w:rPr>
            </w:pPr>
            <w:r w:rsidRPr="00D657E1">
              <w:rPr>
                <w:sz w:val="18"/>
                <w:szCs w:val="18"/>
                <w:lang w:val="en-GB"/>
              </w:rPr>
              <w:t>1,935</w:t>
            </w:r>
          </w:p>
        </w:tc>
        <w:tc>
          <w:tcPr>
            <w:tcW w:w="1899" w:type="dxa"/>
            <w:shd w:val="clear" w:color="000000" w:fill="FFFFFF"/>
            <w:noWrap/>
            <w:vAlign w:val="center"/>
            <w:hideMark/>
          </w:tcPr>
          <w:p w14:paraId="67BE591B" w14:textId="77777777" w:rsidR="00B34F0B" w:rsidRPr="00D657E1" w:rsidRDefault="00B34F0B" w:rsidP="00B34F0B">
            <w:pPr>
              <w:pStyle w:val="ExhibitText"/>
              <w:jc w:val="right"/>
              <w:rPr>
                <w:sz w:val="18"/>
                <w:szCs w:val="18"/>
                <w:lang w:val="en-GB"/>
              </w:rPr>
            </w:pPr>
            <w:r w:rsidRPr="00D657E1">
              <w:rPr>
                <w:sz w:val="18"/>
                <w:szCs w:val="18"/>
                <w:lang w:val="en-GB"/>
              </w:rPr>
              <w:t>8,081</w:t>
            </w:r>
          </w:p>
        </w:tc>
      </w:tr>
      <w:tr w:rsidR="00B34F0B" w:rsidRPr="00D657E1" w14:paraId="1DDD16AA" w14:textId="77777777" w:rsidTr="00D359BC">
        <w:trPr>
          <w:trHeight w:val="300"/>
        </w:trPr>
        <w:tc>
          <w:tcPr>
            <w:tcW w:w="3823" w:type="dxa"/>
            <w:shd w:val="clear" w:color="000000" w:fill="FFFFFF"/>
            <w:noWrap/>
            <w:vAlign w:val="center"/>
            <w:hideMark/>
          </w:tcPr>
          <w:p w14:paraId="57D6E84D" w14:textId="77777777" w:rsidR="00B34F0B" w:rsidRPr="00D657E1" w:rsidRDefault="00B34F0B" w:rsidP="00B34F0B">
            <w:pPr>
              <w:pStyle w:val="ExhibitText"/>
              <w:jc w:val="left"/>
              <w:rPr>
                <w:sz w:val="18"/>
                <w:szCs w:val="18"/>
                <w:lang w:val="en-GB"/>
              </w:rPr>
            </w:pPr>
            <w:r w:rsidRPr="00D657E1">
              <w:rPr>
                <w:sz w:val="18"/>
                <w:szCs w:val="18"/>
                <w:lang w:val="en-GB"/>
              </w:rPr>
              <w:t>Impairment of aircraft</w:t>
            </w:r>
          </w:p>
        </w:tc>
        <w:tc>
          <w:tcPr>
            <w:tcW w:w="1701" w:type="dxa"/>
            <w:shd w:val="clear" w:color="000000" w:fill="FFFFFF"/>
            <w:noWrap/>
            <w:vAlign w:val="center"/>
            <w:hideMark/>
          </w:tcPr>
          <w:p w14:paraId="6A9AABCF"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42" w:type="dxa"/>
            <w:shd w:val="clear" w:color="000000" w:fill="FFFFFF"/>
            <w:noWrap/>
            <w:vAlign w:val="center"/>
            <w:hideMark/>
          </w:tcPr>
          <w:p w14:paraId="4ABE1C3C"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99" w:type="dxa"/>
            <w:shd w:val="clear" w:color="000000" w:fill="FFFFFF"/>
            <w:noWrap/>
            <w:vAlign w:val="center"/>
            <w:hideMark/>
          </w:tcPr>
          <w:p w14:paraId="7A4E032F" w14:textId="77777777" w:rsidR="00B34F0B" w:rsidRPr="00D657E1" w:rsidRDefault="00B34F0B" w:rsidP="00B34F0B">
            <w:pPr>
              <w:pStyle w:val="ExhibitText"/>
              <w:jc w:val="right"/>
              <w:rPr>
                <w:sz w:val="18"/>
                <w:szCs w:val="18"/>
                <w:lang w:val="en-GB"/>
              </w:rPr>
            </w:pPr>
            <w:r w:rsidRPr="00D657E1">
              <w:rPr>
                <w:sz w:val="18"/>
                <w:szCs w:val="18"/>
                <w:lang w:val="en-GB"/>
              </w:rPr>
              <w:t>4,259</w:t>
            </w:r>
          </w:p>
        </w:tc>
      </w:tr>
      <w:tr w:rsidR="00B34F0B" w:rsidRPr="00D657E1" w14:paraId="6598523C" w14:textId="77777777" w:rsidTr="00D359BC">
        <w:trPr>
          <w:trHeight w:val="300"/>
        </w:trPr>
        <w:tc>
          <w:tcPr>
            <w:tcW w:w="3823" w:type="dxa"/>
            <w:shd w:val="clear" w:color="000000" w:fill="FFFFFF"/>
            <w:noWrap/>
            <w:vAlign w:val="center"/>
            <w:hideMark/>
          </w:tcPr>
          <w:p w14:paraId="45BB4383" w14:textId="77777777" w:rsidR="00B34F0B" w:rsidRPr="00D657E1" w:rsidRDefault="00B34F0B" w:rsidP="00B34F0B">
            <w:pPr>
              <w:pStyle w:val="ExhibitText"/>
              <w:jc w:val="left"/>
              <w:rPr>
                <w:sz w:val="18"/>
                <w:szCs w:val="18"/>
                <w:lang w:val="en-GB"/>
              </w:rPr>
            </w:pPr>
            <w:r w:rsidRPr="00D657E1">
              <w:rPr>
                <w:sz w:val="18"/>
                <w:szCs w:val="18"/>
                <w:lang w:val="en-GB"/>
              </w:rPr>
              <w:t>Impairment of goodwill</w:t>
            </w:r>
          </w:p>
        </w:tc>
        <w:tc>
          <w:tcPr>
            <w:tcW w:w="1701" w:type="dxa"/>
            <w:shd w:val="clear" w:color="000000" w:fill="FFFFFF"/>
            <w:noWrap/>
            <w:vAlign w:val="center"/>
            <w:hideMark/>
          </w:tcPr>
          <w:p w14:paraId="3C19C491"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42" w:type="dxa"/>
            <w:shd w:val="clear" w:color="000000" w:fill="FFFFFF"/>
            <w:noWrap/>
            <w:vAlign w:val="center"/>
            <w:hideMark/>
          </w:tcPr>
          <w:p w14:paraId="4396CF8F" w14:textId="77777777" w:rsidR="00B34F0B" w:rsidRPr="00D657E1" w:rsidRDefault="00B34F0B" w:rsidP="00B34F0B">
            <w:pPr>
              <w:pStyle w:val="ExhibitText"/>
              <w:jc w:val="right"/>
              <w:rPr>
                <w:sz w:val="18"/>
                <w:szCs w:val="18"/>
                <w:lang w:val="en-GB"/>
              </w:rPr>
            </w:pPr>
            <w:r w:rsidRPr="00D657E1">
              <w:rPr>
                <w:sz w:val="18"/>
                <w:szCs w:val="18"/>
                <w:lang w:val="en-GB"/>
              </w:rPr>
              <w:t>3,758</w:t>
            </w:r>
          </w:p>
        </w:tc>
        <w:tc>
          <w:tcPr>
            <w:tcW w:w="1899" w:type="dxa"/>
            <w:shd w:val="clear" w:color="000000" w:fill="FFFFFF"/>
            <w:noWrap/>
            <w:vAlign w:val="center"/>
            <w:hideMark/>
          </w:tcPr>
          <w:p w14:paraId="0BA57579" w14:textId="77777777" w:rsidR="00B34F0B" w:rsidRPr="00D657E1" w:rsidRDefault="00B34F0B" w:rsidP="00B34F0B">
            <w:pPr>
              <w:pStyle w:val="ExhibitText"/>
              <w:jc w:val="right"/>
              <w:rPr>
                <w:sz w:val="18"/>
                <w:szCs w:val="18"/>
                <w:lang w:val="en-GB"/>
              </w:rPr>
            </w:pPr>
            <w:r w:rsidRPr="00D657E1">
              <w:rPr>
                <w:sz w:val="18"/>
                <w:szCs w:val="18"/>
                <w:lang w:val="en-GB"/>
              </w:rPr>
              <w:t>7,235</w:t>
            </w:r>
          </w:p>
        </w:tc>
      </w:tr>
      <w:tr w:rsidR="00B34F0B" w:rsidRPr="00D657E1" w14:paraId="62F0DB01" w14:textId="77777777" w:rsidTr="00D359BC">
        <w:trPr>
          <w:trHeight w:val="300"/>
        </w:trPr>
        <w:tc>
          <w:tcPr>
            <w:tcW w:w="3823" w:type="dxa"/>
            <w:shd w:val="clear" w:color="000000" w:fill="FFFFFF"/>
            <w:noWrap/>
            <w:vAlign w:val="center"/>
            <w:hideMark/>
          </w:tcPr>
          <w:p w14:paraId="1F97B93E" w14:textId="77777777" w:rsidR="00B34F0B" w:rsidRPr="00D657E1" w:rsidRDefault="00B34F0B" w:rsidP="00B34F0B">
            <w:pPr>
              <w:pStyle w:val="ExhibitText"/>
              <w:jc w:val="left"/>
              <w:rPr>
                <w:sz w:val="18"/>
                <w:szCs w:val="18"/>
                <w:lang w:val="en-GB"/>
              </w:rPr>
            </w:pPr>
            <w:r w:rsidRPr="00D657E1">
              <w:rPr>
                <w:sz w:val="18"/>
                <w:szCs w:val="18"/>
                <w:lang w:val="en-GB"/>
              </w:rPr>
              <w:t>Impairment of investments</w:t>
            </w:r>
          </w:p>
        </w:tc>
        <w:tc>
          <w:tcPr>
            <w:tcW w:w="1701" w:type="dxa"/>
            <w:shd w:val="clear" w:color="000000" w:fill="FFFFFF"/>
            <w:noWrap/>
            <w:vAlign w:val="center"/>
            <w:hideMark/>
          </w:tcPr>
          <w:p w14:paraId="1AAA3327"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42" w:type="dxa"/>
            <w:shd w:val="clear" w:color="000000" w:fill="FFFFFF"/>
            <w:noWrap/>
            <w:vAlign w:val="center"/>
            <w:hideMark/>
          </w:tcPr>
          <w:p w14:paraId="0E79186B" w14:textId="77777777" w:rsidR="00B34F0B" w:rsidRPr="00D657E1" w:rsidRDefault="00B34F0B" w:rsidP="00B34F0B">
            <w:pPr>
              <w:pStyle w:val="ExhibitText"/>
              <w:jc w:val="right"/>
              <w:rPr>
                <w:sz w:val="18"/>
                <w:szCs w:val="18"/>
                <w:lang w:val="en-GB"/>
              </w:rPr>
            </w:pPr>
            <w:r w:rsidRPr="00D657E1">
              <w:rPr>
                <w:sz w:val="18"/>
                <w:szCs w:val="18"/>
                <w:lang w:val="en-GB"/>
              </w:rPr>
              <w:t>8,772</w:t>
            </w:r>
          </w:p>
        </w:tc>
        <w:tc>
          <w:tcPr>
            <w:tcW w:w="1899" w:type="dxa"/>
            <w:shd w:val="clear" w:color="000000" w:fill="FFFFFF"/>
            <w:noWrap/>
            <w:vAlign w:val="center"/>
            <w:hideMark/>
          </w:tcPr>
          <w:p w14:paraId="56AA6BA7" w14:textId="77777777" w:rsidR="00B34F0B" w:rsidRPr="00D657E1" w:rsidRDefault="00B34F0B" w:rsidP="00B34F0B">
            <w:pPr>
              <w:pStyle w:val="ExhibitText"/>
              <w:jc w:val="right"/>
              <w:rPr>
                <w:sz w:val="18"/>
                <w:szCs w:val="18"/>
                <w:lang w:val="en-GB"/>
              </w:rPr>
            </w:pPr>
            <w:r w:rsidRPr="00D657E1">
              <w:rPr>
                <w:sz w:val="18"/>
                <w:szCs w:val="18"/>
                <w:lang w:val="en-GB"/>
              </w:rPr>
              <w:t>19,248</w:t>
            </w:r>
          </w:p>
        </w:tc>
      </w:tr>
      <w:tr w:rsidR="00B34F0B" w:rsidRPr="00D657E1" w14:paraId="39D6A305" w14:textId="77777777" w:rsidTr="00D359BC">
        <w:trPr>
          <w:trHeight w:val="300"/>
        </w:trPr>
        <w:tc>
          <w:tcPr>
            <w:tcW w:w="3823" w:type="dxa"/>
            <w:shd w:val="clear" w:color="000000" w:fill="FFFFFF"/>
            <w:noWrap/>
            <w:vAlign w:val="center"/>
            <w:hideMark/>
          </w:tcPr>
          <w:p w14:paraId="4D0EA06F" w14:textId="093496B9" w:rsidR="00B34F0B" w:rsidRPr="00D657E1" w:rsidRDefault="00B34F0B" w:rsidP="00B74EDB">
            <w:pPr>
              <w:pStyle w:val="ExhibitText"/>
              <w:jc w:val="left"/>
              <w:rPr>
                <w:sz w:val="18"/>
                <w:szCs w:val="18"/>
                <w:lang w:val="en-GB"/>
              </w:rPr>
            </w:pPr>
            <w:r w:rsidRPr="00D657E1">
              <w:rPr>
                <w:sz w:val="18"/>
                <w:szCs w:val="18"/>
                <w:lang w:val="en-GB"/>
              </w:rPr>
              <w:t>Depreciation and amorti</w:t>
            </w:r>
            <w:r w:rsidR="00B74EDB" w:rsidRPr="00D657E1">
              <w:rPr>
                <w:sz w:val="18"/>
                <w:szCs w:val="18"/>
                <w:lang w:val="en-GB"/>
              </w:rPr>
              <w:t>z</w:t>
            </w:r>
            <w:r w:rsidRPr="00D657E1">
              <w:rPr>
                <w:sz w:val="18"/>
                <w:szCs w:val="18"/>
                <w:lang w:val="en-GB"/>
              </w:rPr>
              <w:t>ation</w:t>
            </w:r>
          </w:p>
        </w:tc>
        <w:tc>
          <w:tcPr>
            <w:tcW w:w="1701" w:type="dxa"/>
            <w:shd w:val="clear" w:color="000000" w:fill="FFFFFF"/>
            <w:noWrap/>
            <w:vAlign w:val="center"/>
            <w:hideMark/>
          </w:tcPr>
          <w:p w14:paraId="452DB1D1" w14:textId="77777777" w:rsidR="00B34F0B" w:rsidRPr="00D657E1" w:rsidRDefault="00B34F0B" w:rsidP="00B34F0B">
            <w:pPr>
              <w:pStyle w:val="ExhibitText"/>
              <w:jc w:val="right"/>
              <w:rPr>
                <w:sz w:val="18"/>
                <w:szCs w:val="18"/>
                <w:lang w:val="en-GB"/>
              </w:rPr>
            </w:pPr>
            <w:r w:rsidRPr="00D657E1">
              <w:rPr>
                <w:sz w:val="18"/>
                <w:szCs w:val="18"/>
                <w:lang w:val="en-GB"/>
              </w:rPr>
              <w:t>1,533</w:t>
            </w:r>
          </w:p>
        </w:tc>
        <w:tc>
          <w:tcPr>
            <w:tcW w:w="1842" w:type="dxa"/>
            <w:shd w:val="clear" w:color="000000" w:fill="FFFFFF"/>
            <w:noWrap/>
            <w:vAlign w:val="center"/>
            <w:hideMark/>
          </w:tcPr>
          <w:p w14:paraId="050B838F" w14:textId="77777777" w:rsidR="00B34F0B" w:rsidRPr="00D657E1" w:rsidRDefault="00B34F0B" w:rsidP="00B34F0B">
            <w:pPr>
              <w:pStyle w:val="ExhibitText"/>
              <w:jc w:val="right"/>
              <w:rPr>
                <w:sz w:val="18"/>
                <w:szCs w:val="18"/>
                <w:lang w:val="en-GB"/>
              </w:rPr>
            </w:pPr>
            <w:r w:rsidRPr="00D657E1">
              <w:rPr>
                <w:sz w:val="18"/>
                <w:szCs w:val="18"/>
                <w:lang w:val="en-GB"/>
              </w:rPr>
              <w:t>3,058</w:t>
            </w:r>
          </w:p>
        </w:tc>
        <w:tc>
          <w:tcPr>
            <w:tcW w:w="1899" w:type="dxa"/>
            <w:shd w:val="clear" w:color="000000" w:fill="FFFFFF"/>
            <w:noWrap/>
            <w:vAlign w:val="center"/>
            <w:hideMark/>
          </w:tcPr>
          <w:p w14:paraId="25C2B641" w14:textId="77777777" w:rsidR="00B34F0B" w:rsidRPr="00D657E1" w:rsidRDefault="00B34F0B" w:rsidP="00B34F0B">
            <w:pPr>
              <w:pStyle w:val="ExhibitText"/>
              <w:jc w:val="right"/>
              <w:rPr>
                <w:sz w:val="18"/>
                <w:szCs w:val="18"/>
                <w:lang w:val="en-GB"/>
              </w:rPr>
            </w:pPr>
            <w:r w:rsidRPr="00D657E1">
              <w:rPr>
                <w:sz w:val="18"/>
                <w:szCs w:val="18"/>
                <w:lang w:val="en-GB"/>
              </w:rPr>
              <w:t>6,386</w:t>
            </w:r>
          </w:p>
        </w:tc>
      </w:tr>
      <w:tr w:rsidR="00B34F0B" w:rsidRPr="00D657E1" w14:paraId="3B40202C" w14:textId="77777777" w:rsidTr="00D359BC">
        <w:trPr>
          <w:trHeight w:val="300"/>
        </w:trPr>
        <w:tc>
          <w:tcPr>
            <w:tcW w:w="3823" w:type="dxa"/>
            <w:shd w:val="clear" w:color="000000" w:fill="FFFFFF"/>
            <w:noWrap/>
            <w:vAlign w:val="center"/>
            <w:hideMark/>
          </w:tcPr>
          <w:p w14:paraId="7A38D4A0" w14:textId="77777777" w:rsidR="00B34F0B" w:rsidRPr="00D657E1" w:rsidRDefault="00B34F0B" w:rsidP="00B34F0B">
            <w:pPr>
              <w:pStyle w:val="ExhibitText"/>
              <w:jc w:val="left"/>
              <w:rPr>
                <w:sz w:val="18"/>
                <w:szCs w:val="18"/>
                <w:lang w:val="en-GB"/>
              </w:rPr>
            </w:pPr>
            <w:r w:rsidRPr="00D657E1">
              <w:rPr>
                <w:sz w:val="18"/>
                <w:szCs w:val="18"/>
                <w:lang w:val="en-GB"/>
              </w:rPr>
              <w:t>Finance charges</w:t>
            </w:r>
          </w:p>
        </w:tc>
        <w:tc>
          <w:tcPr>
            <w:tcW w:w="1701" w:type="dxa"/>
            <w:shd w:val="clear" w:color="000000" w:fill="FFFFFF"/>
            <w:noWrap/>
            <w:vAlign w:val="center"/>
            <w:hideMark/>
          </w:tcPr>
          <w:p w14:paraId="7141E7D9" w14:textId="77777777" w:rsidR="00B34F0B" w:rsidRPr="00D657E1" w:rsidRDefault="00B34F0B" w:rsidP="00B34F0B">
            <w:pPr>
              <w:pStyle w:val="ExhibitText"/>
              <w:jc w:val="right"/>
              <w:rPr>
                <w:sz w:val="18"/>
                <w:szCs w:val="18"/>
                <w:lang w:val="en-GB"/>
              </w:rPr>
            </w:pPr>
            <w:r w:rsidRPr="00D657E1">
              <w:rPr>
                <w:sz w:val="18"/>
                <w:szCs w:val="18"/>
                <w:lang w:val="en-GB"/>
              </w:rPr>
              <w:t>1,471</w:t>
            </w:r>
          </w:p>
        </w:tc>
        <w:tc>
          <w:tcPr>
            <w:tcW w:w="1842" w:type="dxa"/>
            <w:shd w:val="clear" w:color="000000" w:fill="FFFFFF"/>
            <w:noWrap/>
            <w:vAlign w:val="center"/>
            <w:hideMark/>
          </w:tcPr>
          <w:p w14:paraId="08685510"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99" w:type="dxa"/>
            <w:shd w:val="clear" w:color="000000" w:fill="FFFFFF"/>
            <w:noWrap/>
            <w:vAlign w:val="center"/>
            <w:hideMark/>
          </w:tcPr>
          <w:p w14:paraId="25940993" w14:textId="77777777" w:rsidR="00B34F0B" w:rsidRPr="00D657E1" w:rsidRDefault="00B34F0B" w:rsidP="00B34F0B">
            <w:pPr>
              <w:pStyle w:val="ExhibitText"/>
              <w:jc w:val="right"/>
              <w:rPr>
                <w:sz w:val="18"/>
                <w:szCs w:val="18"/>
                <w:lang w:val="en-GB"/>
              </w:rPr>
            </w:pPr>
            <w:r w:rsidRPr="00D657E1">
              <w:rPr>
                <w:sz w:val="18"/>
                <w:szCs w:val="18"/>
                <w:lang w:val="en-GB"/>
              </w:rPr>
              <w:t>3,272</w:t>
            </w:r>
          </w:p>
        </w:tc>
      </w:tr>
      <w:tr w:rsidR="00B34F0B" w:rsidRPr="00D657E1" w14:paraId="279DB922" w14:textId="77777777" w:rsidTr="00D359BC">
        <w:trPr>
          <w:trHeight w:val="300"/>
        </w:trPr>
        <w:tc>
          <w:tcPr>
            <w:tcW w:w="3823" w:type="dxa"/>
            <w:shd w:val="clear" w:color="000000" w:fill="FFFFFF"/>
            <w:noWrap/>
            <w:vAlign w:val="center"/>
            <w:hideMark/>
          </w:tcPr>
          <w:p w14:paraId="261F14AC" w14:textId="77777777" w:rsidR="00B34F0B" w:rsidRPr="00D657E1" w:rsidRDefault="00B34F0B" w:rsidP="00B34F0B">
            <w:pPr>
              <w:pStyle w:val="ExhibitText"/>
              <w:jc w:val="left"/>
              <w:rPr>
                <w:sz w:val="18"/>
                <w:szCs w:val="18"/>
                <w:lang w:val="en-GB"/>
              </w:rPr>
            </w:pPr>
            <w:r w:rsidRPr="00D657E1">
              <w:rPr>
                <w:sz w:val="18"/>
                <w:szCs w:val="18"/>
                <w:lang w:val="en-GB"/>
              </w:rPr>
              <w:t>(Increase) in inventories</w:t>
            </w:r>
          </w:p>
        </w:tc>
        <w:tc>
          <w:tcPr>
            <w:tcW w:w="1701" w:type="dxa"/>
            <w:shd w:val="clear" w:color="000000" w:fill="FFFFFF"/>
            <w:noWrap/>
            <w:vAlign w:val="center"/>
            <w:hideMark/>
          </w:tcPr>
          <w:p w14:paraId="1168D86A" w14:textId="4186E344"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33</w:t>
            </w:r>
          </w:p>
        </w:tc>
        <w:tc>
          <w:tcPr>
            <w:tcW w:w="1842" w:type="dxa"/>
            <w:shd w:val="clear" w:color="000000" w:fill="FFFFFF"/>
            <w:noWrap/>
            <w:vAlign w:val="center"/>
            <w:hideMark/>
          </w:tcPr>
          <w:p w14:paraId="7E430A62" w14:textId="6EC97A0C"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20</w:t>
            </w:r>
          </w:p>
        </w:tc>
        <w:tc>
          <w:tcPr>
            <w:tcW w:w="1899" w:type="dxa"/>
            <w:shd w:val="clear" w:color="000000" w:fill="FFFFFF"/>
            <w:noWrap/>
            <w:vAlign w:val="center"/>
            <w:hideMark/>
          </w:tcPr>
          <w:p w14:paraId="6CF2546D" w14:textId="425C101A"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147</w:t>
            </w:r>
          </w:p>
        </w:tc>
      </w:tr>
      <w:tr w:rsidR="00B34F0B" w:rsidRPr="00D657E1" w14:paraId="453E07F3" w14:textId="77777777" w:rsidTr="00D359BC">
        <w:trPr>
          <w:trHeight w:val="300"/>
        </w:trPr>
        <w:tc>
          <w:tcPr>
            <w:tcW w:w="3823" w:type="dxa"/>
            <w:shd w:val="clear" w:color="000000" w:fill="FFFFFF"/>
            <w:noWrap/>
            <w:vAlign w:val="center"/>
            <w:hideMark/>
          </w:tcPr>
          <w:p w14:paraId="68D4179A" w14:textId="77777777" w:rsidR="00246014" w:rsidRPr="00D657E1" w:rsidRDefault="00246014" w:rsidP="00B34F0B">
            <w:pPr>
              <w:pStyle w:val="ExhibitText"/>
              <w:jc w:val="left"/>
              <w:rPr>
                <w:sz w:val="18"/>
                <w:szCs w:val="18"/>
                <w:lang w:val="en-GB"/>
              </w:rPr>
            </w:pPr>
            <w:r w:rsidRPr="00D657E1">
              <w:rPr>
                <w:sz w:val="18"/>
                <w:szCs w:val="18"/>
                <w:lang w:val="en-GB"/>
              </w:rPr>
              <w:t>(Increase)/decrease in trade and other receivables</w:t>
            </w:r>
          </w:p>
        </w:tc>
        <w:tc>
          <w:tcPr>
            <w:tcW w:w="1701" w:type="dxa"/>
            <w:shd w:val="clear" w:color="000000" w:fill="FFFFFF"/>
            <w:noWrap/>
            <w:vAlign w:val="center"/>
            <w:hideMark/>
          </w:tcPr>
          <w:p w14:paraId="2B9A6F60" w14:textId="77777777" w:rsidR="00246014" w:rsidRPr="00D657E1" w:rsidRDefault="00246014" w:rsidP="00B34F0B">
            <w:pPr>
              <w:pStyle w:val="ExhibitText"/>
              <w:jc w:val="right"/>
              <w:rPr>
                <w:sz w:val="18"/>
                <w:szCs w:val="18"/>
                <w:lang w:val="en-GB"/>
              </w:rPr>
            </w:pPr>
            <w:r w:rsidRPr="00D657E1">
              <w:rPr>
                <w:sz w:val="18"/>
                <w:szCs w:val="18"/>
                <w:lang w:val="en-GB"/>
              </w:rPr>
              <w:t>5,857</w:t>
            </w:r>
          </w:p>
        </w:tc>
        <w:tc>
          <w:tcPr>
            <w:tcW w:w="1842" w:type="dxa"/>
            <w:shd w:val="clear" w:color="000000" w:fill="FFFFFF"/>
            <w:noWrap/>
            <w:vAlign w:val="center"/>
            <w:hideMark/>
          </w:tcPr>
          <w:p w14:paraId="5EAF7616" w14:textId="77777777" w:rsidR="00246014" w:rsidRPr="00D657E1" w:rsidRDefault="00246014" w:rsidP="00B34F0B">
            <w:pPr>
              <w:pStyle w:val="ExhibitText"/>
              <w:jc w:val="right"/>
              <w:rPr>
                <w:sz w:val="18"/>
                <w:szCs w:val="18"/>
                <w:lang w:val="en-GB"/>
              </w:rPr>
            </w:pPr>
            <w:r w:rsidRPr="00D657E1">
              <w:rPr>
                <w:sz w:val="18"/>
                <w:szCs w:val="18"/>
                <w:lang w:val="en-GB"/>
              </w:rPr>
              <w:t>2,372</w:t>
            </w:r>
          </w:p>
        </w:tc>
        <w:tc>
          <w:tcPr>
            <w:tcW w:w="1899" w:type="dxa"/>
            <w:shd w:val="clear" w:color="000000" w:fill="FFFFFF"/>
            <w:noWrap/>
            <w:vAlign w:val="center"/>
            <w:hideMark/>
          </w:tcPr>
          <w:p w14:paraId="0C521D63" w14:textId="60E28518" w:rsidR="00246014" w:rsidRPr="00D657E1" w:rsidRDefault="00CC3503" w:rsidP="00B34F0B">
            <w:pPr>
              <w:pStyle w:val="ExhibitText"/>
              <w:jc w:val="right"/>
              <w:rPr>
                <w:sz w:val="18"/>
                <w:szCs w:val="18"/>
                <w:lang w:val="en-GB"/>
              </w:rPr>
            </w:pPr>
            <w:r w:rsidRPr="00D657E1">
              <w:rPr>
                <w:sz w:val="18"/>
                <w:szCs w:val="18"/>
                <w:lang w:val="en-GB"/>
              </w:rPr>
              <w:t>−</w:t>
            </w:r>
            <w:r w:rsidR="00246014" w:rsidRPr="00D657E1">
              <w:rPr>
                <w:sz w:val="18"/>
                <w:szCs w:val="18"/>
                <w:lang w:val="en-GB"/>
              </w:rPr>
              <w:t>1,560</w:t>
            </w:r>
          </w:p>
        </w:tc>
      </w:tr>
      <w:tr w:rsidR="00B34F0B" w:rsidRPr="00D657E1" w14:paraId="1D85D69C" w14:textId="77777777" w:rsidTr="00D359BC">
        <w:trPr>
          <w:trHeight w:val="300"/>
        </w:trPr>
        <w:tc>
          <w:tcPr>
            <w:tcW w:w="3823" w:type="dxa"/>
            <w:shd w:val="clear" w:color="000000" w:fill="FFFFFF"/>
            <w:noWrap/>
            <w:vAlign w:val="center"/>
            <w:hideMark/>
          </w:tcPr>
          <w:p w14:paraId="77C3DCD3" w14:textId="77777777" w:rsidR="00B34F0B" w:rsidRPr="00D657E1" w:rsidRDefault="00B34F0B" w:rsidP="00B34F0B">
            <w:pPr>
              <w:pStyle w:val="ExhibitText"/>
              <w:jc w:val="left"/>
              <w:rPr>
                <w:sz w:val="18"/>
                <w:szCs w:val="18"/>
                <w:lang w:val="en-GB"/>
              </w:rPr>
            </w:pPr>
            <w:r w:rsidRPr="00D657E1">
              <w:rPr>
                <w:sz w:val="18"/>
                <w:szCs w:val="18"/>
                <w:lang w:val="en-GB"/>
              </w:rPr>
              <w:t>Increase in trade and other payables</w:t>
            </w:r>
          </w:p>
        </w:tc>
        <w:tc>
          <w:tcPr>
            <w:tcW w:w="1701" w:type="dxa"/>
            <w:shd w:val="clear" w:color="000000" w:fill="FFFFFF"/>
            <w:noWrap/>
            <w:vAlign w:val="center"/>
            <w:hideMark/>
          </w:tcPr>
          <w:p w14:paraId="2FFB8BE8" w14:textId="77777777" w:rsidR="00B34F0B" w:rsidRPr="00D657E1" w:rsidRDefault="00B34F0B" w:rsidP="00B34F0B">
            <w:pPr>
              <w:pStyle w:val="ExhibitText"/>
              <w:jc w:val="right"/>
              <w:rPr>
                <w:sz w:val="18"/>
                <w:szCs w:val="18"/>
                <w:lang w:val="en-GB"/>
              </w:rPr>
            </w:pPr>
            <w:r w:rsidRPr="00D657E1">
              <w:rPr>
                <w:sz w:val="18"/>
                <w:szCs w:val="18"/>
                <w:lang w:val="en-GB"/>
              </w:rPr>
              <w:t>8,462</w:t>
            </w:r>
          </w:p>
        </w:tc>
        <w:tc>
          <w:tcPr>
            <w:tcW w:w="1842" w:type="dxa"/>
            <w:shd w:val="clear" w:color="000000" w:fill="FFFFFF"/>
            <w:noWrap/>
            <w:vAlign w:val="center"/>
            <w:hideMark/>
          </w:tcPr>
          <w:p w14:paraId="6033037E" w14:textId="77777777" w:rsidR="00B34F0B" w:rsidRPr="00D657E1" w:rsidRDefault="00B34F0B" w:rsidP="00B34F0B">
            <w:pPr>
              <w:pStyle w:val="ExhibitText"/>
              <w:jc w:val="right"/>
              <w:rPr>
                <w:sz w:val="18"/>
                <w:szCs w:val="18"/>
                <w:lang w:val="en-GB"/>
              </w:rPr>
            </w:pPr>
            <w:r w:rsidRPr="00D657E1">
              <w:rPr>
                <w:sz w:val="18"/>
                <w:szCs w:val="18"/>
                <w:lang w:val="en-GB"/>
              </w:rPr>
              <w:t>810</w:t>
            </w:r>
          </w:p>
        </w:tc>
        <w:tc>
          <w:tcPr>
            <w:tcW w:w="1899" w:type="dxa"/>
            <w:shd w:val="clear" w:color="000000" w:fill="FFFFFF"/>
            <w:noWrap/>
            <w:vAlign w:val="center"/>
            <w:hideMark/>
          </w:tcPr>
          <w:p w14:paraId="2019EC2A" w14:textId="77777777" w:rsidR="00B34F0B" w:rsidRPr="00D657E1" w:rsidRDefault="00B34F0B" w:rsidP="00B34F0B">
            <w:pPr>
              <w:pStyle w:val="ExhibitText"/>
              <w:jc w:val="right"/>
              <w:rPr>
                <w:sz w:val="18"/>
                <w:szCs w:val="18"/>
                <w:lang w:val="en-GB"/>
              </w:rPr>
            </w:pPr>
            <w:r w:rsidRPr="00D657E1">
              <w:rPr>
                <w:sz w:val="18"/>
                <w:szCs w:val="18"/>
                <w:lang w:val="en-GB"/>
              </w:rPr>
              <w:t>3,929</w:t>
            </w:r>
          </w:p>
        </w:tc>
      </w:tr>
      <w:tr w:rsidR="00B34F0B" w:rsidRPr="00D657E1" w14:paraId="43AD1E3F" w14:textId="77777777" w:rsidTr="00D359BC">
        <w:trPr>
          <w:trHeight w:val="300"/>
        </w:trPr>
        <w:tc>
          <w:tcPr>
            <w:tcW w:w="3823" w:type="dxa"/>
            <w:shd w:val="clear" w:color="000000" w:fill="FFFFFF"/>
            <w:noWrap/>
            <w:vAlign w:val="center"/>
            <w:hideMark/>
          </w:tcPr>
          <w:p w14:paraId="3286DFDC" w14:textId="77777777" w:rsidR="00B34F0B" w:rsidRPr="00D657E1" w:rsidRDefault="00B34F0B" w:rsidP="00B34F0B">
            <w:pPr>
              <w:pStyle w:val="ExhibitText"/>
              <w:jc w:val="left"/>
              <w:rPr>
                <w:sz w:val="18"/>
                <w:szCs w:val="18"/>
                <w:lang w:val="en-GB"/>
              </w:rPr>
            </w:pPr>
            <w:r w:rsidRPr="00D657E1">
              <w:rPr>
                <w:sz w:val="18"/>
                <w:szCs w:val="18"/>
                <w:lang w:val="en-GB"/>
              </w:rPr>
              <w:t>Share option charges</w:t>
            </w:r>
          </w:p>
        </w:tc>
        <w:tc>
          <w:tcPr>
            <w:tcW w:w="1701" w:type="dxa"/>
            <w:shd w:val="clear" w:color="000000" w:fill="FFFFFF"/>
            <w:noWrap/>
            <w:vAlign w:val="center"/>
            <w:hideMark/>
          </w:tcPr>
          <w:p w14:paraId="7B46D5CE" w14:textId="77777777" w:rsidR="00B34F0B" w:rsidRPr="00D657E1" w:rsidRDefault="00B34F0B" w:rsidP="00B34F0B">
            <w:pPr>
              <w:pStyle w:val="ExhibitText"/>
              <w:jc w:val="right"/>
              <w:rPr>
                <w:sz w:val="18"/>
                <w:szCs w:val="18"/>
                <w:lang w:val="en-GB"/>
              </w:rPr>
            </w:pPr>
            <w:r w:rsidRPr="00D657E1">
              <w:rPr>
                <w:sz w:val="18"/>
                <w:szCs w:val="18"/>
                <w:lang w:val="en-GB"/>
              </w:rPr>
              <w:t>284</w:t>
            </w:r>
          </w:p>
        </w:tc>
        <w:tc>
          <w:tcPr>
            <w:tcW w:w="1842" w:type="dxa"/>
            <w:shd w:val="clear" w:color="000000" w:fill="FFFFFF"/>
            <w:noWrap/>
            <w:vAlign w:val="center"/>
            <w:hideMark/>
          </w:tcPr>
          <w:p w14:paraId="67854CB3" w14:textId="77777777" w:rsidR="00B34F0B" w:rsidRPr="00D657E1" w:rsidRDefault="00B34F0B" w:rsidP="00B34F0B">
            <w:pPr>
              <w:pStyle w:val="ExhibitText"/>
              <w:jc w:val="right"/>
              <w:rPr>
                <w:sz w:val="18"/>
                <w:szCs w:val="18"/>
                <w:lang w:val="en-GB"/>
              </w:rPr>
            </w:pPr>
            <w:r w:rsidRPr="00D657E1">
              <w:rPr>
                <w:sz w:val="18"/>
                <w:szCs w:val="18"/>
                <w:lang w:val="en-GB"/>
              </w:rPr>
              <w:t>272</w:t>
            </w:r>
          </w:p>
        </w:tc>
        <w:tc>
          <w:tcPr>
            <w:tcW w:w="1899" w:type="dxa"/>
            <w:shd w:val="clear" w:color="000000" w:fill="FFFFFF"/>
            <w:noWrap/>
            <w:vAlign w:val="center"/>
            <w:hideMark/>
          </w:tcPr>
          <w:p w14:paraId="7FDC5B72" w14:textId="77777777" w:rsidR="00B34F0B" w:rsidRPr="00D657E1" w:rsidRDefault="00B34F0B" w:rsidP="00B34F0B">
            <w:pPr>
              <w:pStyle w:val="ExhibitText"/>
              <w:jc w:val="right"/>
              <w:rPr>
                <w:sz w:val="18"/>
                <w:szCs w:val="18"/>
                <w:lang w:val="en-GB"/>
              </w:rPr>
            </w:pPr>
            <w:r w:rsidRPr="00D657E1">
              <w:rPr>
                <w:sz w:val="18"/>
                <w:szCs w:val="18"/>
                <w:lang w:val="en-GB"/>
              </w:rPr>
              <w:t>548</w:t>
            </w:r>
          </w:p>
        </w:tc>
      </w:tr>
      <w:tr w:rsidR="00B34F0B" w:rsidRPr="00D657E1" w14:paraId="303C5AF8" w14:textId="77777777" w:rsidTr="00D359BC">
        <w:trPr>
          <w:trHeight w:val="300"/>
        </w:trPr>
        <w:tc>
          <w:tcPr>
            <w:tcW w:w="3823" w:type="dxa"/>
            <w:shd w:val="clear" w:color="000000" w:fill="FFFFFF"/>
            <w:noWrap/>
            <w:vAlign w:val="center"/>
            <w:hideMark/>
          </w:tcPr>
          <w:p w14:paraId="636E3E36" w14:textId="41221DFC" w:rsidR="00B34F0B" w:rsidRPr="00D657E1" w:rsidRDefault="00B34F0B" w:rsidP="00B74EDB">
            <w:pPr>
              <w:pStyle w:val="ExhibitText"/>
              <w:jc w:val="left"/>
              <w:rPr>
                <w:b/>
                <w:bCs/>
                <w:sz w:val="18"/>
                <w:szCs w:val="18"/>
                <w:lang w:val="en-GB"/>
              </w:rPr>
            </w:pPr>
            <w:r w:rsidRPr="00D657E1">
              <w:rPr>
                <w:b/>
                <w:bCs/>
                <w:sz w:val="18"/>
                <w:szCs w:val="18"/>
                <w:lang w:val="en-GB"/>
              </w:rPr>
              <w:t xml:space="preserve">Net </w:t>
            </w:r>
            <w:r w:rsidR="00B74EDB" w:rsidRPr="00D657E1">
              <w:rPr>
                <w:b/>
                <w:bCs/>
                <w:sz w:val="18"/>
                <w:szCs w:val="18"/>
                <w:lang w:val="en-GB"/>
              </w:rPr>
              <w:t>C</w:t>
            </w:r>
            <w:r w:rsidRPr="00D657E1">
              <w:rPr>
                <w:b/>
                <w:bCs/>
                <w:sz w:val="18"/>
                <w:szCs w:val="18"/>
                <w:lang w:val="en-GB"/>
              </w:rPr>
              <w:t xml:space="preserve">ash </w:t>
            </w:r>
            <w:r w:rsidR="00B74EDB" w:rsidRPr="00D657E1">
              <w:rPr>
                <w:b/>
                <w:bCs/>
                <w:sz w:val="18"/>
                <w:szCs w:val="18"/>
                <w:lang w:val="en-GB"/>
              </w:rPr>
              <w:t>F</w:t>
            </w:r>
            <w:r w:rsidRPr="00D657E1">
              <w:rPr>
                <w:b/>
                <w:bCs/>
                <w:sz w:val="18"/>
                <w:szCs w:val="18"/>
                <w:lang w:val="en-GB"/>
              </w:rPr>
              <w:t xml:space="preserve">low from </w:t>
            </w:r>
            <w:r w:rsidR="00B74EDB" w:rsidRPr="00D657E1">
              <w:rPr>
                <w:b/>
                <w:bCs/>
                <w:sz w:val="18"/>
                <w:szCs w:val="18"/>
                <w:lang w:val="en-GB"/>
              </w:rPr>
              <w:t>O</w:t>
            </w:r>
            <w:r w:rsidRPr="00D657E1">
              <w:rPr>
                <w:b/>
                <w:bCs/>
                <w:sz w:val="18"/>
                <w:szCs w:val="18"/>
                <w:lang w:val="en-GB"/>
              </w:rPr>
              <w:t xml:space="preserve">perating </w:t>
            </w:r>
            <w:r w:rsidR="00B74EDB" w:rsidRPr="00D657E1">
              <w:rPr>
                <w:b/>
                <w:bCs/>
                <w:sz w:val="18"/>
                <w:szCs w:val="18"/>
                <w:lang w:val="en-GB"/>
              </w:rPr>
              <w:t>A</w:t>
            </w:r>
            <w:r w:rsidRPr="00D657E1">
              <w:rPr>
                <w:b/>
                <w:bCs/>
                <w:sz w:val="18"/>
                <w:szCs w:val="18"/>
                <w:lang w:val="en-GB"/>
              </w:rPr>
              <w:t>ctivities</w:t>
            </w:r>
          </w:p>
        </w:tc>
        <w:tc>
          <w:tcPr>
            <w:tcW w:w="1701" w:type="dxa"/>
            <w:shd w:val="clear" w:color="000000" w:fill="FFFFFF"/>
            <w:noWrap/>
            <w:vAlign w:val="center"/>
            <w:hideMark/>
          </w:tcPr>
          <w:p w14:paraId="175589F7" w14:textId="54E51633"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16,899</w:t>
            </w:r>
          </w:p>
        </w:tc>
        <w:tc>
          <w:tcPr>
            <w:tcW w:w="1842" w:type="dxa"/>
            <w:shd w:val="clear" w:color="000000" w:fill="FFFFFF"/>
            <w:noWrap/>
            <w:vAlign w:val="center"/>
            <w:hideMark/>
          </w:tcPr>
          <w:p w14:paraId="479A953B" w14:textId="73919191"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20,963</w:t>
            </w:r>
          </w:p>
        </w:tc>
        <w:tc>
          <w:tcPr>
            <w:tcW w:w="1899" w:type="dxa"/>
            <w:shd w:val="clear" w:color="000000" w:fill="FFFFFF"/>
            <w:noWrap/>
            <w:vAlign w:val="center"/>
            <w:hideMark/>
          </w:tcPr>
          <w:p w14:paraId="105BE3BC" w14:textId="328A6F39"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31,102</w:t>
            </w:r>
          </w:p>
        </w:tc>
      </w:tr>
      <w:tr w:rsidR="00B34F0B" w:rsidRPr="00D657E1" w14:paraId="7C660635" w14:textId="77777777" w:rsidTr="00B34F0B">
        <w:trPr>
          <w:trHeight w:val="300"/>
        </w:trPr>
        <w:tc>
          <w:tcPr>
            <w:tcW w:w="9265" w:type="dxa"/>
            <w:gridSpan w:val="4"/>
            <w:shd w:val="clear" w:color="000000" w:fill="FFFFFF"/>
            <w:noWrap/>
            <w:vAlign w:val="center"/>
            <w:hideMark/>
          </w:tcPr>
          <w:p w14:paraId="167AB45D" w14:textId="03D9A7D1" w:rsidR="00B34F0B" w:rsidRPr="00D657E1" w:rsidRDefault="00B34F0B" w:rsidP="00B74EDB">
            <w:pPr>
              <w:pStyle w:val="ExhibitText"/>
              <w:jc w:val="left"/>
              <w:rPr>
                <w:b/>
                <w:bCs/>
                <w:sz w:val="18"/>
                <w:szCs w:val="18"/>
                <w:lang w:val="en-GB"/>
              </w:rPr>
            </w:pPr>
            <w:r w:rsidRPr="00D657E1">
              <w:rPr>
                <w:b/>
                <w:bCs/>
                <w:sz w:val="18"/>
                <w:szCs w:val="18"/>
                <w:lang w:val="en-GB"/>
              </w:rPr>
              <w:t xml:space="preserve">Investing </w:t>
            </w:r>
            <w:r w:rsidR="00B74EDB" w:rsidRPr="00D657E1">
              <w:rPr>
                <w:b/>
                <w:bCs/>
                <w:sz w:val="18"/>
                <w:szCs w:val="18"/>
                <w:lang w:val="en-GB"/>
              </w:rPr>
              <w:t>A</w:t>
            </w:r>
            <w:r w:rsidRPr="00D657E1">
              <w:rPr>
                <w:b/>
                <w:bCs/>
                <w:sz w:val="18"/>
                <w:szCs w:val="18"/>
                <w:lang w:val="en-GB"/>
              </w:rPr>
              <w:t>ctivities</w:t>
            </w:r>
          </w:p>
        </w:tc>
      </w:tr>
      <w:tr w:rsidR="00B34F0B" w:rsidRPr="00D657E1" w14:paraId="605EA361" w14:textId="77777777" w:rsidTr="00D359BC">
        <w:trPr>
          <w:trHeight w:val="300"/>
        </w:trPr>
        <w:tc>
          <w:tcPr>
            <w:tcW w:w="3823" w:type="dxa"/>
            <w:shd w:val="clear" w:color="000000" w:fill="FFFFFF"/>
            <w:noWrap/>
            <w:vAlign w:val="center"/>
            <w:hideMark/>
          </w:tcPr>
          <w:p w14:paraId="710928D2" w14:textId="77777777" w:rsidR="00B34F0B" w:rsidRPr="00D657E1" w:rsidRDefault="00B34F0B" w:rsidP="00B34F0B">
            <w:pPr>
              <w:pStyle w:val="ExhibitText"/>
              <w:jc w:val="left"/>
              <w:rPr>
                <w:sz w:val="18"/>
                <w:szCs w:val="18"/>
                <w:lang w:val="en-GB"/>
              </w:rPr>
            </w:pPr>
            <w:r w:rsidRPr="00D657E1">
              <w:rPr>
                <w:sz w:val="18"/>
                <w:szCs w:val="18"/>
                <w:lang w:val="en-GB"/>
              </w:rPr>
              <w:t>Purchase of intangibles</w:t>
            </w:r>
          </w:p>
        </w:tc>
        <w:tc>
          <w:tcPr>
            <w:tcW w:w="1701" w:type="dxa"/>
            <w:shd w:val="clear" w:color="000000" w:fill="FFFFFF"/>
            <w:noWrap/>
            <w:vAlign w:val="center"/>
            <w:hideMark/>
          </w:tcPr>
          <w:p w14:paraId="076FED04" w14:textId="5007A2B0"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53</w:t>
            </w:r>
          </w:p>
        </w:tc>
        <w:tc>
          <w:tcPr>
            <w:tcW w:w="1842" w:type="dxa"/>
            <w:shd w:val="clear" w:color="000000" w:fill="FFFFFF"/>
            <w:noWrap/>
            <w:vAlign w:val="center"/>
            <w:hideMark/>
          </w:tcPr>
          <w:p w14:paraId="6BE45524"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99" w:type="dxa"/>
            <w:shd w:val="clear" w:color="000000" w:fill="FFFFFF"/>
            <w:noWrap/>
            <w:vAlign w:val="center"/>
            <w:hideMark/>
          </w:tcPr>
          <w:p w14:paraId="31A34A1A" w14:textId="4FF928C1"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120</w:t>
            </w:r>
          </w:p>
        </w:tc>
      </w:tr>
      <w:tr w:rsidR="00B34F0B" w:rsidRPr="00D657E1" w14:paraId="273632F8" w14:textId="77777777" w:rsidTr="00D359BC">
        <w:trPr>
          <w:trHeight w:val="300"/>
        </w:trPr>
        <w:tc>
          <w:tcPr>
            <w:tcW w:w="3823" w:type="dxa"/>
            <w:shd w:val="clear" w:color="000000" w:fill="FFFFFF"/>
            <w:noWrap/>
            <w:vAlign w:val="center"/>
            <w:hideMark/>
          </w:tcPr>
          <w:p w14:paraId="29AEBB92" w14:textId="5A1ADABC" w:rsidR="00246014" w:rsidRPr="00D657E1" w:rsidRDefault="00246014" w:rsidP="00B34F0B">
            <w:pPr>
              <w:pStyle w:val="ExhibitText"/>
              <w:jc w:val="left"/>
              <w:rPr>
                <w:sz w:val="18"/>
                <w:szCs w:val="18"/>
                <w:lang w:val="en-GB"/>
              </w:rPr>
            </w:pPr>
            <w:r w:rsidRPr="00D657E1">
              <w:rPr>
                <w:sz w:val="18"/>
                <w:szCs w:val="18"/>
                <w:lang w:val="en-GB"/>
              </w:rPr>
              <w:t>Proceeds on sale of property, plant</w:t>
            </w:r>
            <w:r w:rsidR="00B74EDB" w:rsidRPr="00D657E1">
              <w:rPr>
                <w:sz w:val="18"/>
                <w:szCs w:val="18"/>
                <w:lang w:val="en-GB"/>
              </w:rPr>
              <w:t>,</w:t>
            </w:r>
            <w:r w:rsidRPr="00D657E1">
              <w:rPr>
                <w:sz w:val="18"/>
                <w:szCs w:val="18"/>
                <w:lang w:val="en-GB"/>
              </w:rPr>
              <w:t xml:space="preserve"> and equipment</w:t>
            </w:r>
          </w:p>
        </w:tc>
        <w:tc>
          <w:tcPr>
            <w:tcW w:w="1701" w:type="dxa"/>
            <w:shd w:val="clear" w:color="000000" w:fill="FFFFFF"/>
            <w:noWrap/>
            <w:vAlign w:val="center"/>
            <w:hideMark/>
          </w:tcPr>
          <w:p w14:paraId="2F5EA921" w14:textId="77777777" w:rsidR="00246014" w:rsidRPr="00D657E1" w:rsidRDefault="00246014" w:rsidP="00B34F0B">
            <w:pPr>
              <w:pStyle w:val="ExhibitText"/>
              <w:jc w:val="right"/>
              <w:rPr>
                <w:sz w:val="18"/>
                <w:szCs w:val="18"/>
                <w:lang w:val="en-GB"/>
              </w:rPr>
            </w:pPr>
            <w:r w:rsidRPr="00D657E1">
              <w:rPr>
                <w:sz w:val="18"/>
                <w:szCs w:val="18"/>
                <w:lang w:val="en-GB"/>
              </w:rPr>
              <w:t>0</w:t>
            </w:r>
          </w:p>
        </w:tc>
        <w:tc>
          <w:tcPr>
            <w:tcW w:w="1842" w:type="dxa"/>
            <w:shd w:val="clear" w:color="000000" w:fill="FFFFFF"/>
            <w:noWrap/>
            <w:vAlign w:val="center"/>
            <w:hideMark/>
          </w:tcPr>
          <w:p w14:paraId="5D8B2FB4" w14:textId="77777777" w:rsidR="00246014" w:rsidRPr="00D657E1" w:rsidRDefault="00246014" w:rsidP="00B34F0B">
            <w:pPr>
              <w:pStyle w:val="ExhibitText"/>
              <w:jc w:val="right"/>
              <w:rPr>
                <w:sz w:val="18"/>
                <w:szCs w:val="18"/>
                <w:lang w:val="en-GB"/>
              </w:rPr>
            </w:pPr>
            <w:r w:rsidRPr="00D657E1">
              <w:rPr>
                <w:sz w:val="18"/>
                <w:szCs w:val="18"/>
                <w:lang w:val="en-GB"/>
              </w:rPr>
              <w:t>31</w:t>
            </w:r>
          </w:p>
        </w:tc>
        <w:tc>
          <w:tcPr>
            <w:tcW w:w="1899" w:type="dxa"/>
            <w:shd w:val="clear" w:color="000000" w:fill="FFFFFF"/>
            <w:noWrap/>
            <w:vAlign w:val="center"/>
            <w:hideMark/>
          </w:tcPr>
          <w:p w14:paraId="3FB1E8A1" w14:textId="77777777" w:rsidR="00246014" w:rsidRPr="00D657E1" w:rsidRDefault="00246014" w:rsidP="00B34F0B">
            <w:pPr>
              <w:pStyle w:val="ExhibitText"/>
              <w:jc w:val="right"/>
              <w:rPr>
                <w:sz w:val="18"/>
                <w:szCs w:val="18"/>
                <w:lang w:val="en-GB"/>
              </w:rPr>
            </w:pPr>
            <w:r w:rsidRPr="00D657E1">
              <w:rPr>
                <w:sz w:val="18"/>
                <w:szCs w:val="18"/>
                <w:lang w:val="en-GB"/>
              </w:rPr>
              <w:t>48</w:t>
            </w:r>
          </w:p>
        </w:tc>
      </w:tr>
      <w:tr w:rsidR="00B34F0B" w:rsidRPr="00D657E1" w14:paraId="7281847C" w14:textId="77777777" w:rsidTr="00D359BC">
        <w:trPr>
          <w:trHeight w:val="300"/>
        </w:trPr>
        <w:tc>
          <w:tcPr>
            <w:tcW w:w="3823" w:type="dxa"/>
            <w:shd w:val="clear" w:color="000000" w:fill="FFFFFF"/>
            <w:noWrap/>
            <w:vAlign w:val="center"/>
            <w:hideMark/>
          </w:tcPr>
          <w:p w14:paraId="654E1CB3" w14:textId="534639DC" w:rsidR="00B34F0B" w:rsidRPr="00D657E1" w:rsidRDefault="00B34F0B" w:rsidP="00B34F0B">
            <w:pPr>
              <w:pStyle w:val="ExhibitText"/>
              <w:jc w:val="left"/>
              <w:rPr>
                <w:sz w:val="18"/>
                <w:szCs w:val="18"/>
                <w:lang w:val="en-GB"/>
              </w:rPr>
            </w:pPr>
            <w:r w:rsidRPr="00D657E1">
              <w:rPr>
                <w:sz w:val="18"/>
                <w:szCs w:val="18"/>
                <w:lang w:val="en-GB"/>
              </w:rPr>
              <w:t>Purchase of property, plant</w:t>
            </w:r>
            <w:r w:rsidR="00B74EDB" w:rsidRPr="00D657E1">
              <w:rPr>
                <w:sz w:val="18"/>
                <w:szCs w:val="18"/>
                <w:lang w:val="en-GB"/>
              </w:rPr>
              <w:t>,</w:t>
            </w:r>
            <w:r w:rsidRPr="00D657E1">
              <w:rPr>
                <w:sz w:val="18"/>
                <w:szCs w:val="18"/>
                <w:lang w:val="en-GB"/>
              </w:rPr>
              <w:t xml:space="preserve"> and equipment</w:t>
            </w:r>
          </w:p>
        </w:tc>
        <w:tc>
          <w:tcPr>
            <w:tcW w:w="1701" w:type="dxa"/>
            <w:shd w:val="clear" w:color="000000" w:fill="FFFFFF"/>
            <w:noWrap/>
            <w:vAlign w:val="center"/>
            <w:hideMark/>
          </w:tcPr>
          <w:p w14:paraId="00AFD93F" w14:textId="249D66C1"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49</w:t>
            </w:r>
          </w:p>
        </w:tc>
        <w:tc>
          <w:tcPr>
            <w:tcW w:w="1842" w:type="dxa"/>
            <w:shd w:val="clear" w:color="000000" w:fill="FFFFFF"/>
            <w:noWrap/>
            <w:vAlign w:val="center"/>
            <w:hideMark/>
          </w:tcPr>
          <w:p w14:paraId="752DEDAC" w14:textId="457BD081"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282</w:t>
            </w:r>
          </w:p>
        </w:tc>
        <w:tc>
          <w:tcPr>
            <w:tcW w:w="1899" w:type="dxa"/>
            <w:shd w:val="clear" w:color="000000" w:fill="FFFFFF"/>
            <w:noWrap/>
            <w:vAlign w:val="center"/>
            <w:hideMark/>
          </w:tcPr>
          <w:p w14:paraId="7E03CAA1" w14:textId="39FACF43"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325</w:t>
            </w:r>
          </w:p>
        </w:tc>
      </w:tr>
      <w:tr w:rsidR="00B34F0B" w:rsidRPr="00D657E1" w14:paraId="0253C617" w14:textId="77777777" w:rsidTr="00D359BC">
        <w:trPr>
          <w:trHeight w:val="300"/>
        </w:trPr>
        <w:tc>
          <w:tcPr>
            <w:tcW w:w="3823" w:type="dxa"/>
            <w:shd w:val="clear" w:color="000000" w:fill="FFFFFF"/>
            <w:noWrap/>
            <w:vAlign w:val="center"/>
            <w:hideMark/>
          </w:tcPr>
          <w:p w14:paraId="6DC48EF1" w14:textId="012D53D8" w:rsidR="00B34F0B" w:rsidRPr="00D657E1" w:rsidRDefault="00B34F0B" w:rsidP="00B74EDB">
            <w:pPr>
              <w:pStyle w:val="ExhibitText"/>
              <w:jc w:val="left"/>
              <w:rPr>
                <w:b/>
                <w:bCs/>
                <w:sz w:val="18"/>
                <w:szCs w:val="18"/>
                <w:lang w:val="en-GB"/>
              </w:rPr>
            </w:pPr>
            <w:r w:rsidRPr="00D657E1">
              <w:rPr>
                <w:b/>
                <w:bCs/>
                <w:sz w:val="18"/>
                <w:szCs w:val="18"/>
                <w:lang w:val="en-GB"/>
              </w:rPr>
              <w:t xml:space="preserve">Net </w:t>
            </w:r>
            <w:r w:rsidR="00B74EDB" w:rsidRPr="00D657E1">
              <w:rPr>
                <w:b/>
                <w:bCs/>
                <w:sz w:val="18"/>
                <w:szCs w:val="18"/>
                <w:lang w:val="en-GB"/>
              </w:rPr>
              <w:t>C</w:t>
            </w:r>
            <w:r w:rsidRPr="00D657E1">
              <w:rPr>
                <w:b/>
                <w:bCs/>
                <w:sz w:val="18"/>
                <w:szCs w:val="18"/>
                <w:lang w:val="en-GB"/>
              </w:rPr>
              <w:t xml:space="preserve">ash </w:t>
            </w:r>
            <w:r w:rsidR="00B74EDB" w:rsidRPr="00D657E1">
              <w:rPr>
                <w:b/>
                <w:bCs/>
                <w:sz w:val="18"/>
                <w:szCs w:val="18"/>
                <w:lang w:val="en-GB"/>
              </w:rPr>
              <w:t>F</w:t>
            </w:r>
            <w:r w:rsidRPr="00D657E1">
              <w:rPr>
                <w:b/>
                <w:bCs/>
                <w:sz w:val="18"/>
                <w:szCs w:val="18"/>
                <w:lang w:val="en-GB"/>
              </w:rPr>
              <w:t xml:space="preserve">low from </w:t>
            </w:r>
            <w:r w:rsidR="00B74EDB" w:rsidRPr="00D657E1">
              <w:rPr>
                <w:b/>
                <w:bCs/>
                <w:sz w:val="18"/>
                <w:szCs w:val="18"/>
                <w:lang w:val="en-GB"/>
              </w:rPr>
              <w:t>I</w:t>
            </w:r>
            <w:r w:rsidRPr="00D657E1">
              <w:rPr>
                <w:b/>
                <w:bCs/>
                <w:sz w:val="18"/>
                <w:szCs w:val="18"/>
                <w:lang w:val="en-GB"/>
              </w:rPr>
              <w:t xml:space="preserve">nvesting </w:t>
            </w:r>
            <w:r w:rsidR="00B74EDB" w:rsidRPr="00D657E1">
              <w:rPr>
                <w:b/>
                <w:bCs/>
                <w:sz w:val="18"/>
                <w:szCs w:val="18"/>
                <w:lang w:val="en-GB"/>
              </w:rPr>
              <w:t>A</w:t>
            </w:r>
            <w:r w:rsidRPr="00D657E1">
              <w:rPr>
                <w:b/>
                <w:bCs/>
                <w:sz w:val="18"/>
                <w:szCs w:val="18"/>
                <w:lang w:val="en-GB"/>
              </w:rPr>
              <w:t>ctivities</w:t>
            </w:r>
          </w:p>
        </w:tc>
        <w:tc>
          <w:tcPr>
            <w:tcW w:w="1701" w:type="dxa"/>
            <w:shd w:val="clear" w:color="000000" w:fill="FFFFFF"/>
            <w:noWrap/>
            <w:vAlign w:val="center"/>
            <w:hideMark/>
          </w:tcPr>
          <w:p w14:paraId="28ACA42B" w14:textId="42F633D9"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102</w:t>
            </w:r>
          </w:p>
        </w:tc>
        <w:tc>
          <w:tcPr>
            <w:tcW w:w="1842" w:type="dxa"/>
            <w:shd w:val="clear" w:color="000000" w:fill="FFFFFF"/>
            <w:noWrap/>
            <w:vAlign w:val="center"/>
            <w:hideMark/>
          </w:tcPr>
          <w:p w14:paraId="0222DFC4" w14:textId="7A2FF661"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251</w:t>
            </w:r>
          </w:p>
        </w:tc>
        <w:tc>
          <w:tcPr>
            <w:tcW w:w="1899" w:type="dxa"/>
            <w:shd w:val="clear" w:color="000000" w:fill="FFFFFF"/>
            <w:noWrap/>
            <w:vAlign w:val="center"/>
            <w:hideMark/>
          </w:tcPr>
          <w:p w14:paraId="0EEF0306" w14:textId="1D0BD7C8"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397</w:t>
            </w:r>
          </w:p>
        </w:tc>
      </w:tr>
      <w:tr w:rsidR="00B34F0B" w:rsidRPr="00D657E1" w14:paraId="4853E27E" w14:textId="77777777" w:rsidTr="00D359BC">
        <w:trPr>
          <w:trHeight w:val="300"/>
        </w:trPr>
        <w:tc>
          <w:tcPr>
            <w:tcW w:w="3823" w:type="dxa"/>
            <w:shd w:val="clear" w:color="000000" w:fill="FFFFFF"/>
            <w:noWrap/>
            <w:vAlign w:val="center"/>
            <w:hideMark/>
          </w:tcPr>
          <w:p w14:paraId="62E320B8" w14:textId="6A61E6E6" w:rsidR="00B34F0B" w:rsidRPr="00D657E1" w:rsidRDefault="00B34F0B" w:rsidP="00B74EDB">
            <w:pPr>
              <w:pStyle w:val="ExhibitText"/>
              <w:jc w:val="left"/>
              <w:rPr>
                <w:b/>
                <w:bCs/>
                <w:sz w:val="18"/>
                <w:szCs w:val="18"/>
                <w:lang w:val="en-GB"/>
              </w:rPr>
            </w:pPr>
            <w:r w:rsidRPr="00D657E1">
              <w:rPr>
                <w:b/>
                <w:bCs/>
                <w:sz w:val="18"/>
                <w:szCs w:val="18"/>
                <w:lang w:val="en-GB"/>
              </w:rPr>
              <w:t xml:space="preserve">Financing </w:t>
            </w:r>
            <w:r w:rsidR="00B74EDB" w:rsidRPr="00D657E1">
              <w:rPr>
                <w:b/>
                <w:bCs/>
                <w:sz w:val="18"/>
                <w:szCs w:val="18"/>
                <w:lang w:val="en-GB"/>
              </w:rPr>
              <w:t>A</w:t>
            </w:r>
            <w:r w:rsidRPr="00D657E1">
              <w:rPr>
                <w:b/>
                <w:bCs/>
                <w:sz w:val="18"/>
                <w:szCs w:val="18"/>
                <w:lang w:val="en-GB"/>
              </w:rPr>
              <w:t>ctivities</w:t>
            </w:r>
          </w:p>
        </w:tc>
        <w:tc>
          <w:tcPr>
            <w:tcW w:w="1701" w:type="dxa"/>
            <w:shd w:val="clear" w:color="000000" w:fill="FFFFFF"/>
            <w:noWrap/>
            <w:vAlign w:val="center"/>
            <w:hideMark/>
          </w:tcPr>
          <w:p w14:paraId="3E6B0DCF" w14:textId="77777777" w:rsidR="00B34F0B" w:rsidRPr="00D657E1" w:rsidRDefault="00B34F0B" w:rsidP="00B34F0B">
            <w:pPr>
              <w:pStyle w:val="ExhibitText"/>
              <w:jc w:val="right"/>
              <w:rPr>
                <w:sz w:val="18"/>
                <w:szCs w:val="18"/>
                <w:lang w:val="en-GB"/>
              </w:rPr>
            </w:pPr>
            <w:r w:rsidRPr="00D657E1">
              <w:rPr>
                <w:sz w:val="18"/>
                <w:szCs w:val="18"/>
                <w:lang w:val="en-GB"/>
              </w:rPr>
              <w:t> </w:t>
            </w:r>
          </w:p>
        </w:tc>
        <w:tc>
          <w:tcPr>
            <w:tcW w:w="1842" w:type="dxa"/>
            <w:shd w:val="clear" w:color="000000" w:fill="FFFFFF"/>
            <w:noWrap/>
            <w:vAlign w:val="center"/>
            <w:hideMark/>
          </w:tcPr>
          <w:p w14:paraId="2BFD9C50" w14:textId="77777777" w:rsidR="00B34F0B" w:rsidRPr="00D657E1" w:rsidRDefault="00B34F0B" w:rsidP="00B34F0B">
            <w:pPr>
              <w:pStyle w:val="ExhibitText"/>
              <w:jc w:val="right"/>
              <w:rPr>
                <w:sz w:val="18"/>
                <w:szCs w:val="18"/>
                <w:lang w:val="en-GB"/>
              </w:rPr>
            </w:pPr>
            <w:r w:rsidRPr="00D657E1">
              <w:rPr>
                <w:sz w:val="18"/>
                <w:szCs w:val="18"/>
                <w:lang w:val="en-GB"/>
              </w:rPr>
              <w:t> </w:t>
            </w:r>
          </w:p>
        </w:tc>
        <w:tc>
          <w:tcPr>
            <w:tcW w:w="1899" w:type="dxa"/>
            <w:shd w:val="clear" w:color="000000" w:fill="FFFFFF"/>
            <w:noWrap/>
            <w:vAlign w:val="center"/>
            <w:hideMark/>
          </w:tcPr>
          <w:p w14:paraId="3B6261EF" w14:textId="77777777" w:rsidR="00B34F0B" w:rsidRPr="00D657E1" w:rsidRDefault="00B34F0B" w:rsidP="00B34F0B">
            <w:pPr>
              <w:pStyle w:val="ExhibitText"/>
              <w:jc w:val="right"/>
              <w:rPr>
                <w:sz w:val="18"/>
                <w:szCs w:val="18"/>
                <w:lang w:val="en-GB"/>
              </w:rPr>
            </w:pPr>
            <w:r w:rsidRPr="00D657E1">
              <w:rPr>
                <w:sz w:val="18"/>
                <w:szCs w:val="18"/>
                <w:lang w:val="en-GB"/>
              </w:rPr>
              <w:t> </w:t>
            </w:r>
          </w:p>
        </w:tc>
      </w:tr>
      <w:tr w:rsidR="00B34F0B" w:rsidRPr="00D657E1" w14:paraId="0D2653D9" w14:textId="77777777" w:rsidTr="00D359BC">
        <w:trPr>
          <w:trHeight w:val="300"/>
        </w:trPr>
        <w:tc>
          <w:tcPr>
            <w:tcW w:w="3823" w:type="dxa"/>
            <w:shd w:val="clear" w:color="000000" w:fill="FFFFFF"/>
            <w:noWrap/>
            <w:vAlign w:val="center"/>
            <w:hideMark/>
          </w:tcPr>
          <w:p w14:paraId="5524DF5A" w14:textId="77777777" w:rsidR="00B34F0B" w:rsidRPr="00D657E1" w:rsidRDefault="00B34F0B" w:rsidP="00B34F0B">
            <w:pPr>
              <w:pStyle w:val="ExhibitText"/>
              <w:jc w:val="left"/>
              <w:rPr>
                <w:sz w:val="18"/>
                <w:szCs w:val="18"/>
                <w:lang w:val="en-GB"/>
              </w:rPr>
            </w:pPr>
            <w:r w:rsidRPr="00D657E1">
              <w:rPr>
                <w:sz w:val="18"/>
                <w:szCs w:val="18"/>
                <w:lang w:val="en-GB"/>
              </w:rPr>
              <w:t>Proceeds from the issue of shares</w:t>
            </w:r>
          </w:p>
        </w:tc>
        <w:tc>
          <w:tcPr>
            <w:tcW w:w="1701" w:type="dxa"/>
            <w:shd w:val="clear" w:color="000000" w:fill="FFFFFF"/>
            <w:noWrap/>
            <w:vAlign w:val="center"/>
            <w:hideMark/>
          </w:tcPr>
          <w:p w14:paraId="029968E6" w14:textId="77777777" w:rsidR="00B34F0B" w:rsidRPr="00D657E1" w:rsidRDefault="00B34F0B" w:rsidP="00B34F0B">
            <w:pPr>
              <w:pStyle w:val="ExhibitText"/>
              <w:jc w:val="right"/>
              <w:rPr>
                <w:sz w:val="18"/>
                <w:szCs w:val="18"/>
                <w:lang w:val="en-GB"/>
              </w:rPr>
            </w:pPr>
            <w:r w:rsidRPr="00D657E1">
              <w:rPr>
                <w:sz w:val="18"/>
                <w:szCs w:val="18"/>
                <w:lang w:val="en-GB"/>
              </w:rPr>
              <w:t>27,223</w:t>
            </w:r>
          </w:p>
        </w:tc>
        <w:tc>
          <w:tcPr>
            <w:tcW w:w="1842" w:type="dxa"/>
            <w:shd w:val="clear" w:color="000000" w:fill="FFFFFF"/>
            <w:noWrap/>
            <w:vAlign w:val="center"/>
            <w:hideMark/>
          </w:tcPr>
          <w:p w14:paraId="5259F3EE" w14:textId="77777777" w:rsidR="00B34F0B" w:rsidRPr="00D657E1" w:rsidRDefault="00B34F0B" w:rsidP="00B34F0B">
            <w:pPr>
              <w:pStyle w:val="ExhibitText"/>
              <w:jc w:val="right"/>
              <w:rPr>
                <w:sz w:val="18"/>
                <w:szCs w:val="18"/>
                <w:lang w:val="en-GB"/>
              </w:rPr>
            </w:pPr>
            <w:r w:rsidRPr="00D657E1">
              <w:rPr>
                <w:sz w:val="18"/>
                <w:szCs w:val="18"/>
                <w:lang w:val="en-GB"/>
              </w:rPr>
              <w:t>21,022</w:t>
            </w:r>
          </w:p>
        </w:tc>
        <w:tc>
          <w:tcPr>
            <w:tcW w:w="1899" w:type="dxa"/>
            <w:shd w:val="clear" w:color="000000" w:fill="FFFFFF"/>
            <w:noWrap/>
            <w:vAlign w:val="center"/>
            <w:hideMark/>
          </w:tcPr>
          <w:p w14:paraId="5FEFCA07" w14:textId="77777777" w:rsidR="00B34F0B" w:rsidRPr="00D657E1" w:rsidRDefault="00B34F0B" w:rsidP="00B34F0B">
            <w:pPr>
              <w:pStyle w:val="ExhibitText"/>
              <w:jc w:val="right"/>
              <w:rPr>
                <w:sz w:val="18"/>
                <w:szCs w:val="18"/>
                <w:lang w:val="en-GB"/>
              </w:rPr>
            </w:pPr>
            <w:r w:rsidRPr="00D657E1">
              <w:rPr>
                <w:sz w:val="18"/>
                <w:szCs w:val="18"/>
                <w:lang w:val="en-GB"/>
              </w:rPr>
              <w:t>36,550</w:t>
            </w:r>
          </w:p>
        </w:tc>
      </w:tr>
      <w:tr w:rsidR="00B34F0B" w:rsidRPr="00D657E1" w14:paraId="00AEEC6C" w14:textId="77777777" w:rsidTr="00D359BC">
        <w:trPr>
          <w:trHeight w:val="300"/>
        </w:trPr>
        <w:tc>
          <w:tcPr>
            <w:tcW w:w="3823" w:type="dxa"/>
            <w:shd w:val="clear" w:color="000000" w:fill="FFFFFF"/>
            <w:noWrap/>
            <w:vAlign w:val="center"/>
            <w:hideMark/>
          </w:tcPr>
          <w:p w14:paraId="126B757D" w14:textId="77777777" w:rsidR="00B34F0B" w:rsidRPr="00D657E1" w:rsidRDefault="00B34F0B" w:rsidP="00B34F0B">
            <w:pPr>
              <w:pStyle w:val="ExhibitText"/>
              <w:jc w:val="left"/>
              <w:rPr>
                <w:sz w:val="18"/>
                <w:szCs w:val="18"/>
                <w:lang w:val="en-GB"/>
              </w:rPr>
            </w:pPr>
            <w:r w:rsidRPr="00D657E1">
              <w:rPr>
                <w:sz w:val="18"/>
                <w:szCs w:val="18"/>
                <w:lang w:val="en-GB"/>
              </w:rPr>
              <w:t>Loan advanced/(repaid)</w:t>
            </w:r>
          </w:p>
        </w:tc>
        <w:tc>
          <w:tcPr>
            <w:tcW w:w="1701" w:type="dxa"/>
            <w:shd w:val="clear" w:color="000000" w:fill="FFFFFF"/>
            <w:noWrap/>
            <w:vAlign w:val="center"/>
            <w:hideMark/>
          </w:tcPr>
          <w:p w14:paraId="3F870517"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42" w:type="dxa"/>
            <w:shd w:val="clear" w:color="000000" w:fill="FFFFFF"/>
            <w:noWrap/>
            <w:vAlign w:val="center"/>
            <w:hideMark/>
          </w:tcPr>
          <w:p w14:paraId="39DB248A" w14:textId="77777777" w:rsidR="00B34F0B" w:rsidRPr="00D657E1" w:rsidRDefault="00B34F0B" w:rsidP="00B34F0B">
            <w:pPr>
              <w:pStyle w:val="ExhibitText"/>
              <w:jc w:val="right"/>
              <w:rPr>
                <w:sz w:val="18"/>
                <w:szCs w:val="18"/>
                <w:lang w:val="en-GB"/>
              </w:rPr>
            </w:pPr>
            <w:r w:rsidRPr="00D657E1">
              <w:rPr>
                <w:sz w:val="18"/>
                <w:szCs w:val="18"/>
                <w:lang w:val="en-GB"/>
              </w:rPr>
              <w:t>4</w:t>
            </w:r>
          </w:p>
        </w:tc>
        <w:tc>
          <w:tcPr>
            <w:tcW w:w="1899" w:type="dxa"/>
            <w:shd w:val="clear" w:color="000000" w:fill="FFFFFF"/>
            <w:noWrap/>
            <w:vAlign w:val="center"/>
            <w:hideMark/>
          </w:tcPr>
          <w:p w14:paraId="27158C2A" w14:textId="48E3FE30"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1,995</w:t>
            </w:r>
          </w:p>
        </w:tc>
      </w:tr>
      <w:tr w:rsidR="00B34F0B" w:rsidRPr="00D657E1" w14:paraId="76045C1C" w14:textId="77777777" w:rsidTr="00D359BC">
        <w:trPr>
          <w:trHeight w:val="300"/>
        </w:trPr>
        <w:tc>
          <w:tcPr>
            <w:tcW w:w="3823" w:type="dxa"/>
            <w:shd w:val="clear" w:color="000000" w:fill="FFFFFF"/>
            <w:noWrap/>
            <w:vAlign w:val="center"/>
            <w:hideMark/>
          </w:tcPr>
          <w:p w14:paraId="51B09172" w14:textId="77777777" w:rsidR="00B34F0B" w:rsidRPr="00D657E1" w:rsidRDefault="00B34F0B" w:rsidP="00B34F0B">
            <w:pPr>
              <w:pStyle w:val="ExhibitText"/>
              <w:jc w:val="left"/>
              <w:rPr>
                <w:sz w:val="18"/>
                <w:szCs w:val="18"/>
                <w:lang w:val="en-GB"/>
              </w:rPr>
            </w:pPr>
            <w:r w:rsidRPr="00D657E1">
              <w:rPr>
                <w:sz w:val="18"/>
                <w:szCs w:val="18"/>
                <w:lang w:val="en-GB"/>
              </w:rPr>
              <w:t>Interest paid</w:t>
            </w:r>
          </w:p>
        </w:tc>
        <w:tc>
          <w:tcPr>
            <w:tcW w:w="1701" w:type="dxa"/>
            <w:shd w:val="clear" w:color="000000" w:fill="FFFFFF"/>
            <w:noWrap/>
            <w:vAlign w:val="center"/>
            <w:hideMark/>
          </w:tcPr>
          <w:p w14:paraId="7DC8B4AD" w14:textId="6D9B6235"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1,250</w:t>
            </w:r>
          </w:p>
        </w:tc>
        <w:tc>
          <w:tcPr>
            <w:tcW w:w="1842" w:type="dxa"/>
            <w:shd w:val="clear" w:color="000000" w:fill="FFFFFF"/>
            <w:noWrap/>
            <w:vAlign w:val="center"/>
            <w:hideMark/>
          </w:tcPr>
          <w:p w14:paraId="17C85C97" w14:textId="77777777" w:rsidR="00B34F0B" w:rsidRPr="00D657E1" w:rsidRDefault="00B34F0B" w:rsidP="00B34F0B">
            <w:pPr>
              <w:pStyle w:val="ExhibitText"/>
              <w:jc w:val="right"/>
              <w:rPr>
                <w:sz w:val="18"/>
                <w:szCs w:val="18"/>
                <w:lang w:val="en-GB"/>
              </w:rPr>
            </w:pPr>
            <w:r w:rsidRPr="00D657E1">
              <w:rPr>
                <w:sz w:val="18"/>
                <w:szCs w:val="18"/>
                <w:lang w:val="en-GB"/>
              </w:rPr>
              <w:t>0</w:t>
            </w:r>
          </w:p>
        </w:tc>
        <w:tc>
          <w:tcPr>
            <w:tcW w:w="1899" w:type="dxa"/>
            <w:shd w:val="clear" w:color="000000" w:fill="FFFFFF"/>
            <w:noWrap/>
            <w:vAlign w:val="center"/>
            <w:hideMark/>
          </w:tcPr>
          <w:p w14:paraId="7C94DD8D" w14:textId="7D13853C"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2,915</w:t>
            </w:r>
          </w:p>
        </w:tc>
      </w:tr>
      <w:tr w:rsidR="00B34F0B" w:rsidRPr="00D657E1" w14:paraId="5FB0ED10" w14:textId="77777777" w:rsidTr="00D359BC">
        <w:trPr>
          <w:trHeight w:val="300"/>
        </w:trPr>
        <w:tc>
          <w:tcPr>
            <w:tcW w:w="3823" w:type="dxa"/>
            <w:shd w:val="clear" w:color="000000" w:fill="FFFFFF"/>
            <w:noWrap/>
            <w:vAlign w:val="center"/>
            <w:hideMark/>
          </w:tcPr>
          <w:p w14:paraId="204EA1F9" w14:textId="77777777" w:rsidR="00B34F0B" w:rsidRPr="00D657E1" w:rsidRDefault="00B34F0B" w:rsidP="00B34F0B">
            <w:pPr>
              <w:pStyle w:val="ExhibitText"/>
              <w:jc w:val="left"/>
              <w:rPr>
                <w:sz w:val="18"/>
                <w:szCs w:val="18"/>
                <w:lang w:val="en-GB"/>
              </w:rPr>
            </w:pPr>
            <w:r w:rsidRPr="00D657E1">
              <w:rPr>
                <w:sz w:val="18"/>
                <w:szCs w:val="18"/>
                <w:lang w:val="en-GB"/>
              </w:rPr>
              <w:t>Finance lease payments</w:t>
            </w:r>
          </w:p>
        </w:tc>
        <w:tc>
          <w:tcPr>
            <w:tcW w:w="1701" w:type="dxa"/>
            <w:shd w:val="clear" w:color="000000" w:fill="FFFFFF"/>
            <w:noWrap/>
            <w:vAlign w:val="center"/>
            <w:hideMark/>
          </w:tcPr>
          <w:p w14:paraId="03A8946B" w14:textId="70EB43E8"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1,231</w:t>
            </w:r>
          </w:p>
        </w:tc>
        <w:tc>
          <w:tcPr>
            <w:tcW w:w="1842" w:type="dxa"/>
            <w:shd w:val="clear" w:color="000000" w:fill="FFFFFF"/>
            <w:noWrap/>
            <w:vAlign w:val="center"/>
            <w:hideMark/>
          </w:tcPr>
          <w:p w14:paraId="755280DE" w14:textId="0C9917E4"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2,120</w:t>
            </w:r>
          </w:p>
        </w:tc>
        <w:tc>
          <w:tcPr>
            <w:tcW w:w="1899" w:type="dxa"/>
            <w:shd w:val="clear" w:color="000000" w:fill="FFFFFF"/>
            <w:noWrap/>
            <w:vAlign w:val="center"/>
            <w:hideMark/>
          </w:tcPr>
          <w:p w14:paraId="7926C718" w14:textId="68363C00"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2,040</w:t>
            </w:r>
          </w:p>
        </w:tc>
      </w:tr>
      <w:tr w:rsidR="00B34F0B" w:rsidRPr="00D657E1" w14:paraId="39450072" w14:textId="77777777" w:rsidTr="00D359BC">
        <w:trPr>
          <w:trHeight w:val="300"/>
        </w:trPr>
        <w:tc>
          <w:tcPr>
            <w:tcW w:w="3823" w:type="dxa"/>
            <w:shd w:val="clear" w:color="000000" w:fill="FFFFFF"/>
            <w:noWrap/>
            <w:vAlign w:val="center"/>
            <w:hideMark/>
          </w:tcPr>
          <w:p w14:paraId="218356B5" w14:textId="1505C2AA" w:rsidR="00B34F0B" w:rsidRPr="00D657E1" w:rsidRDefault="00B34F0B" w:rsidP="005351E7">
            <w:pPr>
              <w:pStyle w:val="ExhibitText"/>
              <w:jc w:val="left"/>
              <w:rPr>
                <w:b/>
                <w:bCs/>
                <w:sz w:val="18"/>
                <w:szCs w:val="18"/>
                <w:lang w:val="en-GB"/>
              </w:rPr>
            </w:pPr>
            <w:r w:rsidRPr="00D657E1">
              <w:rPr>
                <w:b/>
                <w:bCs/>
                <w:sz w:val="18"/>
                <w:szCs w:val="18"/>
                <w:lang w:val="en-GB"/>
              </w:rPr>
              <w:t xml:space="preserve">Net </w:t>
            </w:r>
            <w:r w:rsidR="00B74EDB" w:rsidRPr="00D657E1">
              <w:rPr>
                <w:b/>
                <w:bCs/>
                <w:sz w:val="18"/>
                <w:szCs w:val="18"/>
                <w:lang w:val="en-GB"/>
              </w:rPr>
              <w:t>C</w:t>
            </w:r>
            <w:r w:rsidRPr="00D657E1">
              <w:rPr>
                <w:b/>
                <w:bCs/>
                <w:sz w:val="18"/>
                <w:szCs w:val="18"/>
                <w:lang w:val="en-GB"/>
              </w:rPr>
              <w:t xml:space="preserve">ash </w:t>
            </w:r>
            <w:r w:rsidR="00B74EDB" w:rsidRPr="00D657E1">
              <w:rPr>
                <w:b/>
                <w:bCs/>
                <w:sz w:val="18"/>
                <w:szCs w:val="18"/>
                <w:lang w:val="en-GB"/>
              </w:rPr>
              <w:t>F</w:t>
            </w:r>
            <w:r w:rsidRPr="00D657E1">
              <w:rPr>
                <w:b/>
                <w:bCs/>
                <w:sz w:val="18"/>
                <w:szCs w:val="18"/>
                <w:lang w:val="en-GB"/>
              </w:rPr>
              <w:t xml:space="preserve">low </w:t>
            </w:r>
            <w:r w:rsidR="00B74EDB" w:rsidRPr="00D657E1">
              <w:rPr>
                <w:b/>
                <w:bCs/>
                <w:sz w:val="18"/>
                <w:szCs w:val="18"/>
                <w:lang w:val="en-GB"/>
              </w:rPr>
              <w:t>from F</w:t>
            </w:r>
            <w:r w:rsidRPr="00D657E1">
              <w:rPr>
                <w:b/>
                <w:bCs/>
                <w:sz w:val="18"/>
                <w:szCs w:val="18"/>
                <w:lang w:val="en-GB"/>
              </w:rPr>
              <w:t xml:space="preserve">inancing </w:t>
            </w:r>
            <w:r w:rsidR="00B74EDB" w:rsidRPr="00D657E1">
              <w:rPr>
                <w:b/>
                <w:bCs/>
                <w:sz w:val="18"/>
                <w:szCs w:val="18"/>
                <w:lang w:val="en-GB"/>
              </w:rPr>
              <w:t>A</w:t>
            </w:r>
            <w:r w:rsidRPr="00D657E1">
              <w:rPr>
                <w:b/>
                <w:bCs/>
                <w:sz w:val="18"/>
                <w:szCs w:val="18"/>
                <w:lang w:val="en-GB"/>
              </w:rPr>
              <w:t>ctivities</w:t>
            </w:r>
          </w:p>
        </w:tc>
        <w:tc>
          <w:tcPr>
            <w:tcW w:w="1701" w:type="dxa"/>
            <w:shd w:val="clear" w:color="000000" w:fill="FFFFFF"/>
            <w:noWrap/>
            <w:vAlign w:val="center"/>
            <w:hideMark/>
          </w:tcPr>
          <w:p w14:paraId="46A213B4" w14:textId="77777777" w:rsidR="00B34F0B" w:rsidRPr="00D657E1" w:rsidRDefault="00B34F0B" w:rsidP="00B34F0B">
            <w:pPr>
              <w:pStyle w:val="ExhibitText"/>
              <w:jc w:val="right"/>
              <w:rPr>
                <w:sz w:val="18"/>
                <w:szCs w:val="18"/>
                <w:lang w:val="en-GB"/>
              </w:rPr>
            </w:pPr>
            <w:r w:rsidRPr="00D657E1">
              <w:rPr>
                <w:sz w:val="18"/>
                <w:szCs w:val="18"/>
                <w:lang w:val="en-GB"/>
              </w:rPr>
              <w:t>24,742</w:t>
            </w:r>
          </w:p>
        </w:tc>
        <w:tc>
          <w:tcPr>
            <w:tcW w:w="1842" w:type="dxa"/>
            <w:shd w:val="clear" w:color="000000" w:fill="FFFFFF"/>
            <w:noWrap/>
            <w:vAlign w:val="center"/>
            <w:hideMark/>
          </w:tcPr>
          <w:p w14:paraId="52DAB1D6" w14:textId="77777777" w:rsidR="00B34F0B" w:rsidRPr="00D657E1" w:rsidRDefault="00B34F0B" w:rsidP="00B34F0B">
            <w:pPr>
              <w:pStyle w:val="ExhibitText"/>
              <w:jc w:val="right"/>
              <w:rPr>
                <w:sz w:val="18"/>
                <w:szCs w:val="18"/>
                <w:lang w:val="en-GB"/>
              </w:rPr>
            </w:pPr>
            <w:r w:rsidRPr="00D657E1">
              <w:rPr>
                <w:sz w:val="18"/>
                <w:szCs w:val="18"/>
                <w:lang w:val="en-GB"/>
              </w:rPr>
              <w:t>18,906</w:t>
            </w:r>
          </w:p>
        </w:tc>
        <w:tc>
          <w:tcPr>
            <w:tcW w:w="1899" w:type="dxa"/>
            <w:shd w:val="clear" w:color="000000" w:fill="FFFFFF"/>
            <w:noWrap/>
            <w:vAlign w:val="center"/>
            <w:hideMark/>
          </w:tcPr>
          <w:p w14:paraId="2AE54997" w14:textId="77777777" w:rsidR="00B34F0B" w:rsidRPr="00D657E1" w:rsidRDefault="00B34F0B" w:rsidP="00B34F0B">
            <w:pPr>
              <w:pStyle w:val="ExhibitText"/>
              <w:jc w:val="right"/>
              <w:rPr>
                <w:sz w:val="18"/>
                <w:szCs w:val="18"/>
                <w:lang w:val="en-GB"/>
              </w:rPr>
            </w:pPr>
            <w:r w:rsidRPr="00D657E1">
              <w:rPr>
                <w:sz w:val="18"/>
                <w:szCs w:val="18"/>
                <w:lang w:val="en-GB"/>
              </w:rPr>
              <w:t>29,600</w:t>
            </w:r>
          </w:p>
        </w:tc>
      </w:tr>
      <w:tr w:rsidR="00B34F0B" w:rsidRPr="00D657E1" w14:paraId="5EFE01DB" w14:textId="77777777" w:rsidTr="00D359BC">
        <w:trPr>
          <w:trHeight w:val="300"/>
        </w:trPr>
        <w:tc>
          <w:tcPr>
            <w:tcW w:w="3823" w:type="dxa"/>
            <w:shd w:val="clear" w:color="000000" w:fill="FFFFFF"/>
            <w:noWrap/>
            <w:vAlign w:val="center"/>
            <w:hideMark/>
          </w:tcPr>
          <w:p w14:paraId="272EE00B" w14:textId="77777777" w:rsidR="00B34F0B" w:rsidRPr="00D657E1" w:rsidRDefault="00B34F0B" w:rsidP="00B34F0B">
            <w:pPr>
              <w:pStyle w:val="ExhibitText"/>
              <w:jc w:val="left"/>
              <w:rPr>
                <w:sz w:val="18"/>
                <w:szCs w:val="18"/>
                <w:lang w:val="en-GB"/>
              </w:rPr>
            </w:pPr>
            <w:r w:rsidRPr="00D657E1">
              <w:rPr>
                <w:sz w:val="18"/>
                <w:szCs w:val="18"/>
                <w:lang w:val="en-GB"/>
              </w:rPr>
              <w:t>Net movement in cash and cash equivalents</w:t>
            </w:r>
          </w:p>
        </w:tc>
        <w:tc>
          <w:tcPr>
            <w:tcW w:w="1701" w:type="dxa"/>
            <w:shd w:val="clear" w:color="000000" w:fill="FFFFFF"/>
            <w:noWrap/>
            <w:vAlign w:val="center"/>
            <w:hideMark/>
          </w:tcPr>
          <w:p w14:paraId="4C55DC8A" w14:textId="77777777" w:rsidR="00B34F0B" w:rsidRPr="00D657E1" w:rsidRDefault="00B34F0B" w:rsidP="00B34F0B">
            <w:pPr>
              <w:pStyle w:val="ExhibitText"/>
              <w:jc w:val="right"/>
              <w:rPr>
                <w:sz w:val="18"/>
                <w:szCs w:val="18"/>
                <w:lang w:val="en-GB"/>
              </w:rPr>
            </w:pPr>
            <w:r w:rsidRPr="00D657E1">
              <w:rPr>
                <w:sz w:val="18"/>
                <w:szCs w:val="18"/>
                <w:lang w:val="en-GB"/>
              </w:rPr>
              <w:t>7,741</w:t>
            </w:r>
          </w:p>
        </w:tc>
        <w:tc>
          <w:tcPr>
            <w:tcW w:w="1842" w:type="dxa"/>
            <w:shd w:val="clear" w:color="000000" w:fill="FFFFFF"/>
            <w:noWrap/>
            <w:vAlign w:val="center"/>
            <w:hideMark/>
          </w:tcPr>
          <w:p w14:paraId="14FA6C1B" w14:textId="1909B2DA"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2,308</w:t>
            </w:r>
          </w:p>
        </w:tc>
        <w:tc>
          <w:tcPr>
            <w:tcW w:w="1899" w:type="dxa"/>
            <w:shd w:val="clear" w:color="000000" w:fill="FFFFFF"/>
            <w:noWrap/>
            <w:vAlign w:val="center"/>
            <w:hideMark/>
          </w:tcPr>
          <w:p w14:paraId="661216B5" w14:textId="241F066D"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1,899</w:t>
            </w:r>
          </w:p>
        </w:tc>
      </w:tr>
      <w:tr w:rsidR="00B34F0B" w:rsidRPr="00D657E1" w14:paraId="70579AE7" w14:textId="77777777" w:rsidTr="00D359BC">
        <w:trPr>
          <w:trHeight w:val="300"/>
        </w:trPr>
        <w:tc>
          <w:tcPr>
            <w:tcW w:w="3823" w:type="dxa"/>
            <w:shd w:val="clear" w:color="000000" w:fill="FFFFFF"/>
            <w:noWrap/>
            <w:vAlign w:val="center"/>
            <w:hideMark/>
          </w:tcPr>
          <w:p w14:paraId="519A222C" w14:textId="77777777" w:rsidR="00B34F0B" w:rsidRPr="00D657E1" w:rsidRDefault="00B34F0B" w:rsidP="00B34F0B">
            <w:pPr>
              <w:pStyle w:val="ExhibitText"/>
              <w:jc w:val="left"/>
              <w:rPr>
                <w:sz w:val="18"/>
                <w:szCs w:val="18"/>
                <w:lang w:val="en-GB"/>
              </w:rPr>
            </w:pPr>
            <w:r w:rsidRPr="00D657E1">
              <w:rPr>
                <w:sz w:val="18"/>
                <w:szCs w:val="18"/>
                <w:lang w:val="en-GB"/>
              </w:rPr>
              <w:t>Foreign currency difference</w:t>
            </w:r>
          </w:p>
        </w:tc>
        <w:tc>
          <w:tcPr>
            <w:tcW w:w="1701" w:type="dxa"/>
            <w:shd w:val="clear" w:color="000000" w:fill="FFFFFF"/>
            <w:noWrap/>
            <w:vAlign w:val="center"/>
            <w:hideMark/>
          </w:tcPr>
          <w:p w14:paraId="211DD63E" w14:textId="77777777" w:rsidR="00B34F0B" w:rsidRPr="00D657E1" w:rsidRDefault="00B34F0B" w:rsidP="00B34F0B">
            <w:pPr>
              <w:pStyle w:val="ExhibitText"/>
              <w:jc w:val="right"/>
              <w:rPr>
                <w:sz w:val="18"/>
                <w:szCs w:val="18"/>
                <w:lang w:val="en-GB"/>
              </w:rPr>
            </w:pPr>
            <w:r w:rsidRPr="00D657E1">
              <w:rPr>
                <w:sz w:val="18"/>
                <w:szCs w:val="18"/>
                <w:lang w:val="en-GB"/>
              </w:rPr>
              <w:t>1,357</w:t>
            </w:r>
          </w:p>
        </w:tc>
        <w:tc>
          <w:tcPr>
            <w:tcW w:w="1842" w:type="dxa"/>
            <w:shd w:val="clear" w:color="000000" w:fill="FFFFFF"/>
            <w:noWrap/>
            <w:vAlign w:val="center"/>
            <w:hideMark/>
          </w:tcPr>
          <w:p w14:paraId="10B0BD5A" w14:textId="77777777" w:rsidR="00B34F0B" w:rsidRPr="00D657E1" w:rsidRDefault="00B34F0B" w:rsidP="00B34F0B">
            <w:pPr>
              <w:pStyle w:val="ExhibitText"/>
              <w:jc w:val="right"/>
              <w:rPr>
                <w:sz w:val="18"/>
                <w:szCs w:val="18"/>
                <w:lang w:val="en-GB"/>
              </w:rPr>
            </w:pPr>
            <w:r w:rsidRPr="00D657E1">
              <w:rPr>
                <w:sz w:val="18"/>
                <w:szCs w:val="18"/>
                <w:lang w:val="en-GB"/>
              </w:rPr>
              <w:t>1,255</w:t>
            </w:r>
          </w:p>
        </w:tc>
        <w:tc>
          <w:tcPr>
            <w:tcW w:w="1899" w:type="dxa"/>
            <w:shd w:val="clear" w:color="000000" w:fill="FFFFFF"/>
            <w:noWrap/>
            <w:vAlign w:val="center"/>
            <w:hideMark/>
          </w:tcPr>
          <w:p w14:paraId="675CDB58" w14:textId="77777777" w:rsidR="00B34F0B" w:rsidRPr="00D657E1" w:rsidRDefault="00B34F0B" w:rsidP="00B34F0B">
            <w:pPr>
              <w:pStyle w:val="ExhibitText"/>
              <w:jc w:val="right"/>
              <w:rPr>
                <w:sz w:val="18"/>
                <w:szCs w:val="18"/>
                <w:lang w:val="en-GB"/>
              </w:rPr>
            </w:pPr>
            <w:r w:rsidRPr="00D657E1">
              <w:rPr>
                <w:sz w:val="18"/>
                <w:szCs w:val="18"/>
                <w:lang w:val="en-GB"/>
              </w:rPr>
              <w:t>139</w:t>
            </w:r>
          </w:p>
        </w:tc>
      </w:tr>
      <w:tr w:rsidR="00B34F0B" w:rsidRPr="00D657E1" w14:paraId="7E6CCC77" w14:textId="77777777" w:rsidTr="00D359BC">
        <w:trPr>
          <w:trHeight w:val="300"/>
        </w:trPr>
        <w:tc>
          <w:tcPr>
            <w:tcW w:w="3823" w:type="dxa"/>
            <w:shd w:val="clear" w:color="000000" w:fill="FFFFFF"/>
            <w:noWrap/>
            <w:vAlign w:val="center"/>
            <w:hideMark/>
          </w:tcPr>
          <w:p w14:paraId="6BDE8B3F" w14:textId="77777777" w:rsidR="00B34F0B" w:rsidRPr="00D657E1" w:rsidRDefault="00B34F0B" w:rsidP="00B34F0B">
            <w:pPr>
              <w:pStyle w:val="ExhibitText"/>
              <w:jc w:val="left"/>
              <w:rPr>
                <w:sz w:val="18"/>
                <w:szCs w:val="18"/>
                <w:lang w:val="en-GB"/>
              </w:rPr>
            </w:pPr>
            <w:r w:rsidRPr="00D657E1">
              <w:rPr>
                <w:sz w:val="18"/>
                <w:szCs w:val="18"/>
                <w:lang w:val="en-GB"/>
              </w:rPr>
              <w:t>Opening net cash</w:t>
            </w:r>
          </w:p>
        </w:tc>
        <w:tc>
          <w:tcPr>
            <w:tcW w:w="1701" w:type="dxa"/>
            <w:shd w:val="clear" w:color="000000" w:fill="FFFFFF"/>
            <w:noWrap/>
            <w:vAlign w:val="center"/>
            <w:hideMark/>
          </w:tcPr>
          <w:p w14:paraId="5390EF7D" w14:textId="77777777" w:rsidR="00B34F0B" w:rsidRPr="00D657E1" w:rsidRDefault="00B34F0B" w:rsidP="00B34F0B">
            <w:pPr>
              <w:pStyle w:val="ExhibitText"/>
              <w:jc w:val="right"/>
              <w:rPr>
                <w:sz w:val="18"/>
                <w:szCs w:val="18"/>
                <w:lang w:val="en-GB"/>
              </w:rPr>
            </w:pPr>
            <w:r w:rsidRPr="00D657E1">
              <w:rPr>
                <w:sz w:val="18"/>
                <w:szCs w:val="18"/>
                <w:lang w:val="en-GB"/>
              </w:rPr>
              <w:t>3,710</w:t>
            </w:r>
          </w:p>
        </w:tc>
        <w:tc>
          <w:tcPr>
            <w:tcW w:w="1842" w:type="dxa"/>
            <w:shd w:val="clear" w:color="000000" w:fill="FFFFFF"/>
            <w:noWrap/>
            <w:vAlign w:val="center"/>
            <w:hideMark/>
          </w:tcPr>
          <w:p w14:paraId="7A407522" w14:textId="77777777" w:rsidR="00B34F0B" w:rsidRPr="00D657E1" w:rsidRDefault="00B34F0B" w:rsidP="00B34F0B">
            <w:pPr>
              <w:pStyle w:val="ExhibitText"/>
              <w:jc w:val="right"/>
              <w:rPr>
                <w:sz w:val="18"/>
                <w:szCs w:val="18"/>
                <w:lang w:val="en-GB"/>
              </w:rPr>
            </w:pPr>
            <w:r w:rsidRPr="00D657E1">
              <w:rPr>
                <w:sz w:val="18"/>
                <w:szCs w:val="18"/>
                <w:lang w:val="en-GB"/>
              </w:rPr>
              <w:t>5,470</w:t>
            </w:r>
          </w:p>
        </w:tc>
        <w:tc>
          <w:tcPr>
            <w:tcW w:w="1899" w:type="dxa"/>
            <w:shd w:val="clear" w:color="000000" w:fill="FFFFFF"/>
            <w:noWrap/>
            <w:vAlign w:val="center"/>
            <w:hideMark/>
          </w:tcPr>
          <w:p w14:paraId="15DA9AAE" w14:textId="77777777" w:rsidR="00B34F0B" w:rsidRPr="00D657E1" w:rsidRDefault="00B34F0B" w:rsidP="00B34F0B">
            <w:pPr>
              <w:pStyle w:val="ExhibitText"/>
              <w:jc w:val="right"/>
              <w:rPr>
                <w:sz w:val="18"/>
                <w:szCs w:val="18"/>
                <w:lang w:val="en-GB"/>
              </w:rPr>
            </w:pPr>
            <w:r w:rsidRPr="00D657E1">
              <w:rPr>
                <w:sz w:val="18"/>
                <w:szCs w:val="18"/>
                <w:lang w:val="en-GB"/>
              </w:rPr>
              <w:t>5,470</w:t>
            </w:r>
          </w:p>
        </w:tc>
      </w:tr>
      <w:tr w:rsidR="00B34F0B" w:rsidRPr="00D657E1" w14:paraId="2751CFA6" w14:textId="77777777" w:rsidTr="00D359BC">
        <w:trPr>
          <w:trHeight w:val="263"/>
        </w:trPr>
        <w:tc>
          <w:tcPr>
            <w:tcW w:w="3823" w:type="dxa"/>
            <w:shd w:val="clear" w:color="000000" w:fill="FFFFFF"/>
            <w:noWrap/>
            <w:vAlign w:val="center"/>
            <w:hideMark/>
          </w:tcPr>
          <w:p w14:paraId="2EECE778" w14:textId="55464409" w:rsidR="00B34F0B" w:rsidRPr="00D657E1" w:rsidRDefault="00B34F0B" w:rsidP="00B74EDB">
            <w:pPr>
              <w:pStyle w:val="ExhibitText"/>
              <w:jc w:val="left"/>
              <w:rPr>
                <w:b/>
                <w:bCs/>
                <w:sz w:val="18"/>
                <w:szCs w:val="18"/>
                <w:lang w:val="en-GB"/>
              </w:rPr>
            </w:pPr>
            <w:r w:rsidRPr="00D657E1">
              <w:rPr>
                <w:b/>
                <w:bCs/>
                <w:sz w:val="18"/>
                <w:szCs w:val="18"/>
                <w:lang w:val="en-GB"/>
              </w:rPr>
              <w:t xml:space="preserve">Closing net </w:t>
            </w:r>
            <w:r w:rsidR="00B74EDB" w:rsidRPr="00D657E1">
              <w:rPr>
                <w:b/>
                <w:bCs/>
                <w:sz w:val="18"/>
                <w:szCs w:val="18"/>
                <w:lang w:val="en-GB"/>
              </w:rPr>
              <w:t>C</w:t>
            </w:r>
            <w:r w:rsidRPr="00D657E1">
              <w:rPr>
                <w:b/>
                <w:bCs/>
                <w:sz w:val="18"/>
                <w:szCs w:val="18"/>
                <w:lang w:val="en-GB"/>
              </w:rPr>
              <w:t>ash</w:t>
            </w:r>
          </w:p>
        </w:tc>
        <w:tc>
          <w:tcPr>
            <w:tcW w:w="1701" w:type="dxa"/>
            <w:shd w:val="clear" w:color="000000" w:fill="FFFFFF"/>
            <w:noWrap/>
            <w:vAlign w:val="center"/>
            <w:hideMark/>
          </w:tcPr>
          <w:p w14:paraId="5178B258" w14:textId="77777777" w:rsidR="00B34F0B" w:rsidRPr="00D657E1" w:rsidRDefault="00B34F0B" w:rsidP="00B34F0B">
            <w:pPr>
              <w:pStyle w:val="ExhibitText"/>
              <w:jc w:val="right"/>
              <w:rPr>
                <w:sz w:val="18"/>
                <w:szCs w:val="18"/>
                <w:lang w:val="en-GB"/>
              </w:rPr>
            </w:pPr>
            <w:r w:rsidRPr="00D657E1">
              <w:rPr>
                <w:sz w:val="18"/>
                <w:szCs w:val="18"/>
                <w:lang w:val="en-GB"/>
              </w:rPr>
              <w:t>12,808</w:t>
            </w:r>
          </w:p>
        </w:tc>
        <w:tc>
          <w:tcPr>
            <w:tcW w:w="1842" w:type="dxa"/>
            <w:shd w:val="clear" w:color="000000" w:fill="FFFFFF"/>
            <w:noWrap/>
            <w:vAlign w:val="center"/>
            <w:hideMark/>
          </w:tcPr>
          <w:p w14:paraId="1E5ECC50" w14:textId="77777777" w:rsidR="00B34F0B" w:rsidRPr="00D657E1" w:rsidRDefault="00B34F0B" w:rsidP="00B34F0B">
            <w:pPr>
              <w:pStyle w:val="ExhibitText"/>
              <w:jc w:val="right"/>
              <w:rPr>
                <w:sz w:val="18"/>
                <w:szCs w:val="18"/>
                <w:lang w:val="en-GB"/>
              </w:rPr>
            </w:pPr>
            <w:r w:rsidRPr="00D657E1">
              <w:rPr>
                <w:sz w:val="18"/>
                <w:szCs w:val="18"/>
                <w:lang w:val="en-GB"/>
              </w:rPr>
              <w:t>4,417</w:t>
            </w:r>
          </w:p>
        </w:tc>
        <w:tc>
          <w:tcPr>
            <w:tcW w:w="1899" w:type="dxa"/>
            <w:shd w:val="clear" w:color="000000" w:fill="FFFFFF"/>
            <w:noWrap/>
            <w:vAlign w:val="center"/>
            <w:hideMark/>
          </w:tcPr>
          <w:p w14:paraId="35D0D395" w14:textId="77777777" w:rsidR="00B34F0B" w:rsidRPr="00D657E1" w:rsidRDefault="00B34F0B" w:rsidP="00B34F0B">
            <w:pPr>
              <w:pStyle w:val="ExhibitText"/>
              <w:jc w:val="right"/>
              <w:rPr>
                <w:sz w:val="18"/>
                <w:szCs w:val="18"/>
                <w:lang w:val="en-GB"/>
              </w:rPr>
            </w:pPr>
            <w:r w:rsidRPr="00D657E1">
              <w:rPr>
                <w:sz w:val="18"/>
                <w:szCs w:val="18"/>
                <w:lang w:val="en-GB"/>
              </w:rPr>
              <w:t>3,710</w:t>
            </w:r>
          </w:p>
        </w:tc>
      </w:tr>
      <w:tr w:rsidR="00B34F0B" w:rsidRPr="00D657E1" w14:paraId="46D07D5B" w14:textId="77777777" w:rsidTr="00B34F0B">
        <w:trPr>
          <w:trHeight w:val="300"/>
        </w:trPr>
        <w:tc>
          <w:tcPr>
            <w:tcW w:w="9265" w:type="dxa"/>
            <w:gridSpan w:val="4"/>
            <w:shd w:val="clear" w:color="000000" w:fill="FFFFFF"/>
            <w:noWrap/>
            <w:vAlign w:val="center"/>
            <w:hideMark/>
          </w:tcPr>
          <w:p w14:paraId="0897E8F4" w14:textId="5ECE5A0C" w:rsidR="00B34F0B" w:rsidRPr="00D657E1" w:rsidRDefault="00B34F0B" w:rsidP="005351E7">
            <w:pPr>
              <w:pStyle w:val="ExhibitText"/>
              <w:jc w:val="left"/>
              <w:rPr>
                <w:b/>
                <w:bCs/>
                <w:sz w:val="18"/>
                <w:szCs w:val="18"/>
                <w:lang w:val="en-GB"/>
              </w:rPr>
            </w:pPr>
            <w:r w:rsidRPr="00D657E1">
              <w:rPr>
                <w:b/>
                <w:bCs/>
                <w:sz w:val="18"/>
                <w:szCs w:val="18"/>
                <w:lang w:val="en-GB"/>
              </w:rPr>
              <w:t xml:space="preserve">Classified on the </w:t>
            </w:r>
            <w:r w:rsidR="00B74EDB" w:rsidRPr="00D657E1">
              <w:rPr>
                <w:b/>
                <w:bCs/>
                <w:sz w:val="18"/>
                <w:szCs w:val="18"/>
                <w:lang w:val="en-GB"/>
              </w:rPr>
              <w:t>B</w:t>
            </w:r>
            <w:r w:rsidRPr="00D657E1">
              <w:rPr>
                <w:b/>
                <w:bCs/>
                <w:sz w:val="18"/>
                <w:szCs w:val="18"/>
                <w:lang w:val="en-GB"/>
              </w:rPr>
              <w:t xml:space="preserve">alance </w:t>
            </w:r>
            <w:r w:rsidR="00B74EDB" w:rsidRPr="00D657E1">
              <w:rPr>
                <w:b/>
                <w:bCs/>
                <w:sz w:val="18"/>
                <w:szCs w:val="18"/>
                <w:lang w:val="en-GB"/>
              </w:rPr>
              <w:t>S</w:t>
            </w:r>
            <w:r w:rsidRPr="00D657E1">
              <w:rPr>
                <w:b/>
                <w:bCs/>
                <w:sz w:val="18"/>
                <w:szCs w:val="18"/>
                <w:lang w:val="en-GB"/>
              </w:rPr>
              <w:t xml:space="preserve">heet </w:t>
            </w:r>
            <w:r w:rsidR="00B74EDB" w:rsidRPr="00D657E1">
              <w:rPr>
                <w:b/>
                <w:bCs/>
                <w:sz w:val="18"/>
                <w:szCs w:val="18"/>
                <w:lang w:val="en-GB"/>
              </w:rPr>
              <w:t>A</w:t>
            </w:r>
            <w:r w:rsidRPr="00D657E1">
              <w:rPr>
                <w:b/>
                <w:bCs/>
                <w:sz w:val="18"/>
                <w:szCs w:val="18"/>
                <w:lang w:val="en-GB"/>
              </w:rPr>
              <w:t>s:</w:t>
            </w:r>
          </w:p>
        </w:tc>
      </w:tr>
      <w:tr w:rsidR="00B34F0B" w:rsidRPr="00D657E1" w14:paraId="37063836" w14:textId="77777777" w:rsidTr="00D359BC">
        <w:trPr>
          <w:trHeight w:val="300"/>
        </w:trPr>
        <w:tc>
          <w:tcPr>
            <w:tcW w:w="3823" w:type="dxa"/>
            <w:shd w:val="clear" w:color="000000" w:fill="FFFFFF"/>
            <w:noWrap/>
            <w:vAlign w:val="center"/>
            <w:hideMark/>
          </w:tcPr>
          <w:p w14:paraId="4765E60C" w14:textId="77777777" w:rsidR="00B34F0B" w:rsidRPr="00D657E1" w:rsidRDefault="00B34F0B" w:rsidP="00B34F0B">
            <w:pPr>
              <w:pStyle w:val="ExhibitText"/>
              <w:jc w:val="left"/>
              <w:rPr>
                <w:sz w:val="18"/>
                <w:szCs w:val="18"/>
                <w:lang w:val="en-GB"/>
              </w:rPr>
            </w:pPr>
            <w:r w:rsidRPr="00D657E1">
              <w:rPr>
                <w:sz w:val="18"/>
                <w:szCs w:val="18"/>
                <w:lang w:val="en-GB"/>
              </w:rPr>
              <w:t>Cash and cash equivalents</w:t>
            </w:r>
          </w:p>
        </w:tc>
        <w:tc>
          <w:tcPr>
            <w:tcW w:w="1701" w:type="dxa"/>
            <w:shd w:val="clear" w:color="000000" w:fill="FFFFFF"/>
            <w:noWrap/>
            <w:vAlign w:val="center"/>
            <w:hideMark/>
          </w:tcPr>
          <w:p w14:paraId="2B3739F8" w14:textId="77777777" w:rsidR="00B34F0B" w:rsidRPr="00D657E1" w:rsidRDefault="00B34F0B" w:rsidP="00B34F0B">
            <w:pPr>
              <w:pStyle w:val="ExhibitText"/>
              <w:jc w:val="right"/>
              <w:rPr>
                <w:sz w:val="18"/>
                <w:szCs w:val="18"/>
                <w:lang w:val="en-GB"/>
              </w:rPr>
            </w:pPr>
            <w:r w:rsidRPr="00D657E1">
              <w:rPr>
                <w:sz w:val="18"/>
                <w:szCs w:val="18"/>
                <w:lang w:val="en-GB"/>
              </w:rPr>
              <w:t>17,954</w:t>
            </w:r>
          </w:p>
        </w:tc>
        <w:tc>
          <w:tcPr>
            <w:tcW w:w="1842" w:type="dxa"/>
            <w:shd w:val="clear" w:color="000000" w:fill="FFFFFF"/>
            <w:noWrap/>
            <w:vAlign w:val="center"/>
            <w:hideMark/>
          </w:tcPr>
          <w:p w14:paraId="00B7B03F" w14:textId="77777777" w:rsidR="00B34F0B" w:rsidRPr="00D657E1" w:rsidRDefault="00B34F0B" w:rsidP="00B34F0B">
            <w:pPr>
              <w:pStyle w:val="ExhibitText"/>
              <w:jc w:val="right"/>
              <w:rPr>
                <w:sz w:val="18"/>
                <w:szCs w:val="18"/>
                <w:lang w:val="en-GB"/>
              </w:rPr>
            </w:pPr>
            <w:r w:rsidRPr="00D657E1">
              <w:rPr>
                <w:sz w:val="18"/>
                <w:szCs w:val="18"/>
                <w:lang w:val="en-GB"/>
              </w:rPr>
              <w:t>6,437</w:t>
            </w:r>
          </w:p>
        </w:tc>
        <w:tc>
          <w:tcPr>
            <w:tcW w:w="1899" w:type="dxa"/>
            <w:shd w:val="clear" w:color="000000" w:fill="FFFFFF"/>
            <w:noWrap/>
            <w:vAlign w:val="center"/>
            <w:hideMark/>
          </w:tcPr>
          <w:p w14:paraId="21F10980" w14:textId="77777777" w:rsidR="00B34F0B" w:rsidRPr="00D657E1" w:rsidRDefault="00B34F0B" w:rsidP="00B34F0B">
            <w:pPr>
              <w:pStyle w:val="ExhibitText"/>
              <w:jc w:val="right"/>
              <w:rPr>
                <w:sz w:val="18"/>
                <w:szCs w:val="18"/>
                <w:lang w:val="en-GB"/>
              </w:rPr>
            </w:pPr>
            <w:r w:rsidRPr="00D657E1">
              <w:rPr>
                <w:sz w:val="18"/>
                <w:szCs w:val="18"/>
                <w:lang w:val="en-GB"/>
              </w:rPr>
              <w:t>7,580</w:t>
            </w:r>
          </w:p>
        </w:tc>
      </w:tr>
      <w:tr w:rsidR="00B34F0B" w:rsidRPr="00D657E1" w14:paraId="0E44B9F9" w14:textId="77777777" w:rsidTr="00D359BC">
        <w:trPr>
          <w:trHeight w:val="300"/>
        </w:trPr>
        <w:tc>
          <w:tcPr>
            <w:tcW w:w="3823" w:type="dxa"/>
            <w:shd w:val="clear" w:color="000000" w:fill="FFFFFF"/>
            <w:noWrap/>
            <w:vAlign w:val="center"/>
            <w:hideMark/>
          </w:tcPr>
          <w:p w14:paraId="04A74441" w14:textId="77777777" w:rsidR="00B34F0B" w:rsidRPr="00D657E1" w:rsidRDefault="00B34F0B" w:rsidP="00B34F0B">
            <w:pPr>
              <w:pStyle w:val="ExhibitText"/>
              <w:jc w:val="left"/>
              <w:rPr>
                <w:sz w:val="18"/>
                <w:szCs w:val="18"/>
                <w:lang w:val="en-GB"/>
              </w:rPr>
            </w:pPr>
            <w:r w:rsidRPr="00D657E1">
              <w:rPr>
                <w:sz w:val="18"/>
                <w:szCs w:val="18"/>
                <w:lang w:val="en-GB"/>
              </w:rPr>
              <w:t>Bank overdrafts</w:t>
            </w:r>
          </w:p>
        </w:tc>
        <w:tc>
          <w:tcPr>
            <w:tcW w:w="1701" w:type="dxa"/>
            <w:shd w:val="clear" w:color="000000" w:fill="FFFFFF"/>
            <w:noWrap/>
            <w:vAlign w:val="center"/>
            <w:hideMark/>
          </w:tcPr>
          <w:p w14:paraId="1FF21821" w14:textId="2D61750C"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5,146</w:t>
            </w:r>
          </w:p>
        </w:tc>
        <w:tc>
          <w:tcPr>
            <w:tcW w:w="1842" w:type="dxa"/>
            <w:shd w:val="clear" w:color="000000" w:fill="FFFFFF"/>
            <w:noWrap/>
            <w:vAlign w:val="center"/>
            <w:hideMark/>
          </w:tcPr>
          <w:p w14:paraId="25946B67" w14:textId="0ED41C69"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2,020</w:t>
            </w:r>
          </w:p>
        </w:tc>
        <w:tc>
          <w:tcPr>
            <w:tcW w:w="1899" w:type="dxa"/>
            <w:shd w:val="clear" w:color="000000" w:fill="FFFFFF"/>
            <w:noWrap/>
            <w:vAlign w:val="center"/>
            <w:hideMark/>
          </w:tcPr>
          <w:p w14:paraId="49E917D9" w14:textId="7A52B3D2" w:rsidR="00B34F0B" w:rsidRPr="00D657E1" w:rsidRDefault="00CC3503" w:rsidP="00B34F0B">
            <w:pPr>
              <w:pStyle w:val="ExhibitText"/>
              <w:jc w:val="right"/>
              <w:rPr>
                <w:sz w:val="18"/>
                <w:szCs w:val="18"/>
                <w:lang w:val="en-GB"/>
              </w:rPr>
            </w:pPr>
            <w:r w:rsidRPr="00D657E1">
              <w:rPr>
                <w:sz w:val="18"/>
                <w:szCs w:val="18"/>
                <w:lang w:val="en-GB"/>
              </w:rPr>
              <w:t>−</w:t>
            </w:r>
            <w:r w:rsidR="00B34F0B" w:rsidRPr="00D657E1">
              <w:rPr>
                <w:sz w:val="18"/>
                <w:szCs w:val="18"/>
                <w:lang w:val="en-GB"/>
              </w:rPr>
              <w:t>3,870</w:t>
            </w:r>
          </w:p>
        </w:tc>
      </w:tr>
      <w:tr w:rsidR="00B34F0B" w:rsidRPr="00D657E1" w14:paraId="7A1D9EC1" w14:textId="77777777" w:rsidTr="00D359BC">
        <w:trPr>
          <w:trHeight w:val="320"/>
        </w:trPr>
        <w:tc>
          <w:tcPr>
            <w:tcW w:w="3823" w:type="dxa"/>
            <w:shd w:val="clear" w:color="000000" w:fill="FFFFFF"/>
            <w:noWrap/>
            <w:vAlign w:val="center"/>
            <w:hideMark/>
          </w:tcPr>
          <w:p w14:paraId="7D9F4CA3" w14:textId="370DBA79" w:rsidR="00B34F0B" w:rsidRPr="00D657E1" w:rsidRDefault="00B34F0B" w:rsidP="005351E7">
            <w:pPr>
              <w:pStyle w:val="ExhibitText"/>
              <w:jc w:val="left"/>
              <w:rPr>
                <w:b/>
                <w:bCs/>
                <w:sz w:val="18"/>
                <w:szCs w:val="18"/>
                <w:lang w:val="en-GB"/>
              </w:rPr>
            </w:pPr>
            <w:r w:rsidRPr="00D657E1">
              <w:rPr>
                <w:b/>
                <w:bCs/>
                <w:sz w:val="18"/>
                <w:szCs w:val="18"/>
                <w:lang w:val="en-GB"/>
              </w:rPr>
              <w:t xml:space="preserve">Closing </w:t>
            </w:r>
            <w:r w:rsidR="00B74EDB" w:rsidRPr="00D657E1">
              <w:rPr>
                <w:b/>
                <w:bCs/>
                <w:sz w:val="18"/>
                <w:szCs w:val="18"/>
                <w:lang w:val="en-GB"/>
              </w:rPr>
              <w:t>N</w:t>
            </w:r>
            <w:r w:rsidRPr="00D657E1">
              <w:rPr>
                <w:b/>
                <w:bCs/>
                <w:sz w:val="18"/>
                <w:szCs w:val="18"/>
                <w:lang w:val="en-GB"/>
              </w:rPr>
              <w:t xml:space="preserve">et </w:t>
            </w:r>
            <w:r w:rsidR="00B74EDB" w:rsidRPr="00D657E1">
              <w:rPr>
                <w:b/>
                <w:bCs/>
                <w:sz w:val="18"/>
                <w:szCs w:val="18"/>
                <w:lang w:val="en-GB"/>
              </w:rPr>
              <w:t>C</w:t>
            </w:r>
            <w:r w:rsidRPr="00D657E1">
              <w:rPr>
                <w:b/>
                <w:bCs/>
                <w:sz w:val="18"/>
                <w:szCs w:val="18"/>
                <w:lang w:val="en-GB"/>
              </w:rPr>
              <w:t>ash</w:t>
            </w:r>
          </w:p>
        </w:tc>
        <w:tc>
          <w:tcPr>
            <w:tcW w:w="1701" w:type="dxa"/>
            <w:shd w:val="clear" w:color="000000" w:fill="FFFFFF"/>
            <w:noWrap/>
            <w:vAlign w:val="center"/>
            <w:hideMark/>
          </w:tcPr>
          <w:p w14:paraId="634BF87B" w14:textId="77777777" w:rsidR="00B34F0B" w:rsidRPr="00D657E1" w:rsidRDefault="00B34F0B" w:rsidP="00B34F0B">
            <w:pPr>
              <w:pStyle w:val="ExhibitText"/>
              <w:jc w:val="right"/>
              <w:rPr>
                <w:sz w:val="18"/>
                <w:szCs w:val="18"/>
                <w:lang w:val="en-GB"/>
              </w:rPr>
            </w:pPr>
            <w:r w:rsidRPr="00D657E1">
              <w:rPr>
                <w:sz w:val="18"/>
                <w:szCs w:val="18"/>
                <w:lang w:val="en-GB"/>
              </w:rPr>
              <w:t>12,808</w:t>
            </w:r>
          </w:p>
        </w:tc>
        <w:tc>
          <w:tcPr>
            <w:tcW w:w="1842" w:type="dxa"/>
            <w:shd w:val="clear" w:color="000000" w:fill="FFFFFF"/>
            <w:noWrap/>
            <w:vAlign w:val="center"/>
            <w:hideMark/>
          </w:tcPr>
          <w:p w14:paraId="74887CD8" w14:textId="77777777" w:rsidR="00B34F0B" w:rsidRPr="00D657E1" w:rsidRDefault="00B34F0B" w:rsidP="00B34F0B">
            <w:pPr>
              <w:pStyle w:val="ExhibitText"/>
              <w:jc w:val="right"/>
              <w:rPr>
                <w:sz w:val="18"/>
                <w:szCs w:val="18"/>
                <w:lang w:val="en-GB"/>
              </w:rPr>
            </w:pPr>
            <w:r w:rsidRPr="00D657E1">
              <w:rPr>
                <w:sz w:val="18"/>
                <w:szCs w:val="18"/>
                <w:lang w:val="en-GB"/>
              </w:rPr>
              <w:t>4,417</w:t>
            </w:r>
          </w:p>
        </w:tc>
        <w:tc>
          <w:tcPr>
            <w:tcW w:w="1899" w:type="dxa"/>
            <w:shd w:val="clear" w:color="000000" w:fill="FFFFFF"/>
            <w:noWrap/>
            <w:vAlign w:val="center"/>
            <w:hideMark/>
          </w:tcPr>
          <w:p w14:paraId="332A5578" w14:textId="77777777" w:rsidR="00B34F0B" w:rsidRPr="00D657E1" w:rsidRDefault="00B34F0B" w:rsidP="00B34F0B">
            <w:pPr>
              <w:pStyle w:val="ExhibitText"/>
              <w:jc w:val="right"/>
              <w:rPr>
                <w:sz w:val="18"/>
                <w:szCs w:val="18"/>
                <w:lang w:val="en-GB"/>
              </w:rPr>
            </w:pPr>
            <w:r w:rsidRPr="00D657E1">
              <w:rPr>
                <w:sz w:val="18"/>
                <w:szCs w:val="18"/>
                <w:lang w:val="en-GB"/>
              </w:rPr>
              <w:t>3,710</w:t>
            </w:r>
          </w:p>
        </w:tc>
      </w:tr>
    </w:tbl>
    <w:p w14:paraId="5D603ADD" w14:textId="77777777" w:rsidR="00B34F0B" w:rsidRPr="00D657E1" w:rsidRDefault="00B34F0B" w:rsidP="00B34F0B">
      <w:pPr>
        <w:pStyle w:val="ExhibitText"/>
        <w:rPr>
          <w:rFonts w:eastAsia="MS Mincho"/>
          <w:lang w:val="en-GB"/>
        </w:rPr>
      </w:pPr>
    </w:p>
    <w:p w14:paraId="5E6BCBCC" w14:textId="77777777" w:rsidR="00985366" w:rsidRDefault="00246014" w:rsidP="00B34F0B">
      <w:pPr>
        <w:pStyle w:val="Footnote"/>
        <w:rPr>
          <w:rFonts w:eastAsia="MS Mincho"/>
          <w:lang w:val="en-GB"/>
        </w:rPr>
      </w:pPr>
      <w:r w:rsidRPr="00D657E1">
        <w:rPr>
          <w:rFonts w:eastAsia="MS Mincho"/>
          <w:lang w:val="en-GB"/>
        </w:rPr>
        <w:t xml:space="preserve">Source: </w:t>
      </w:r>
      <w:r w:rsidR="000B2A3A" w:rsidRPr="00D657E1">
        <w:rPr>
          <w:rFonts w:eastAsia="MS Mincho"/>
          <w:lang w:val="en-GB"/>
        </w:rPr>
        <w:t xml:space="preserve">Company </w:t>
      </w:r>
      <w:r w:rsidR="00B74EDB" w:rsidRPr="00D657E1">
        <w:rPr>
          <w:rFonts w:eastAsia="MS Mincho"/>
          <w:lang w:val="en-GB"/>
        </w:rPr>
        <w:t>d</w:t>
      </w:r>
      <w:r w:rsidR="000B2A3A" w:rsidRPr="00D657E1">
        <w:rPr>
          <w:rFonts w:eastAsia="MS Mincho"/>
          <w:lang w:val="en-GB"/>
        </w:rPr>
        <w:t>ocuments.</w:t>
      </w:r>
    </w:p>
    <w:p w14:paraId="4FBF07BA" w14:textId="5999DA9A" w:rsidR="00465348" w:rsidRPr="00D657E1" w:rsidRDefault="00985366" w:rsidP="00012359">
      <w:pPr>
        <w:pStyle w:val="Casehead1"/>
        <w:rPr>
          <w:rFonts w:eastAsia="MS Mincho"/>
          <w:lang w:val="en-GB"/>
        </w:rPr>
      </w:pPr>
      <w:r>
        <w:rPr>
          <w:rFonts w:eastAsia="MS Mincho"/>
          <w:lang w:val="en-GB"/>
        </w:rPr>
        <w:lastRenderedPageBreak/>
        <w:t>ENDNOTES</w:t>
      </w:r>
    </w:p>
    <w:sectPr w:rsidR="00465348" w:rsidRPr="00D657E1" w:rsidSect="00985366">
      <w:headerReference w:type="default" r:id="rId16"/>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CC8A0" w16cid:durableId="1F1A87A0"/>
  <w16cid:commentId w16cid:paraId="260C5612" w16cid:durableId="1F1A8814"/>
  <w16cid:commentId w16cid:paraId="179D0C0F" w16cid:durableId="1F1A87A2"/>
  <w16cid:commentId w16cid:paraId="563E4825" w16cid:durableId="1F1A8973"/>
  <w16cid:commentId w16cid:paraId="4E31E7D1" w16cid:durableId="1F1A87A3"/>
  <w16cid:commentId w16cid:paraId="226B36BF" w16cid:durableId="1F1A8ACA"/>
  <w16cid:commentId w16cid:paraId="2427FABB" w16cid:durableId="1F1A87A4"/>
  <w16cid:commentId w16cid:paraId="30995D91" w16cid:durableId="1F1A8AF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066DD" w14:textId="77777777" w:rsidR="00D700E0" w:rsidRDefault="00D700E0" w:rsidP="00D75295">
      <w:r>
        <w:separator/>
      </w:r>
    </w:p>
  </w:endnote>
  <w:endnote w:type="continuationSeparator" w:id="0">
    <w:p w14:paraId="7875DCD3" w14:textId="77777777" w:rsidR="00D700E0" w:rsidRDefault="00D700E0" w:rsidP="00D75295">
      <w:r>
        <w:continuationSeparator/>
      </w:r>
    </w:p>
  </w:endnote>
  <w:endnote w:id="1">
    <w:p w14:paraId="20F77892" w14:textId="2DDD7179" w:rsidR="00D700E0" w:rsidRPr="00012359" w:rsidRDefault="00D700E0" w:rsidP="00012359">
      <w:pPr>
        <w:pStyle w:val="Footnote"/>
      </w:pPr>
      <w:r w:rsidRPr="00012359">
        <w:rPr>
          <w:rStyle w:val="EndnoteReference"/>
        </w:rPr>
        <w:endnoteRef/>
      </w:r>
      <w:r w:rsidRPr="00012359">
        <w:t xml:space="preserve"> </w:t>
      </w:r>
      <w:r w:rsidRPr="00012359">
        <w:rPr>
          <w:i/>
        </w:rPr>
        <w:t>Economist</w:t>
      </w:r>
      <w:r>
        <w:t>,</w:t>
      </w:r>
      <w:r w:rsidRPr="00012359">
        <w:t xml:space="preserve"> “Africa’s Population; </w:t>
      </w:r>
      <w:r>
        <w:t>C</w:t>
      </w:r>
      <w:r w:rsidRPr="00012359">
        <w:t xml:space="preserve">an </w:t>
      </w:r>
      <w:r>
        <w:t>I</w:t>
      </w:r>
      <w:r w:rsidRPr="00012359">
        <w:t xml:space="preserve">t </w:t>
      </w:r>
      <w:r>
        <w:t>S</w:t>
      </w:r>
      <w:r w:rsidRPr="00012359">
        <w:t xml:space="preserve">urvive </w:t>
      </w:r>
      <w:r>
        <w:t>S</w:t>
      </w:r>
      <w:r w:rsidRPr="00012359">
        <w:t xml:space="preserve">uch </w:t>
      </w:r>
      <w:r>
        <w:t>S</w:t>
      </w:r>
      <w:r w:rsidRPr="00012359">
        <w:t xml:space="preserve">peedy </w:t>
      </w:r>
      <w:r>
        <w:t>G</w:t>
      </w:r>
      <w:r w:rsidRPr="00012359">
        <w:t>rowth</w:t>
      </w:r>
      <w:proofErr w:type="gramStart"/>
      <w:r w:rsidRPr="00012359">
        <w:t>?,</w:t>
      </w:r>
      <w:proofErr w:type="gramEnd"/>
      <w:r w:rsidRPr="00012359">
        <w:t>” April 23, 2014, accessed May 20, 2015, www.economist.com/news/middle-east-and-africa/21613349-end-century-almost-half-worlds-children-may-be-african-can-it.</w:t>
      </w:r>
    </w:p>
  </w:endnote>
  <w:endnote w:id="2">
    <w:p w14:paraId="50D93B0D" w14:textId="5EA43895" w:rsidR="00D700E0" w:rsidRPr="00012359" w:rsidRDefault="00D700E0" w:rsidP="00012359">
      <w:pPr>
        <w:pStyle w:val="Footnote"/>
      </w:pPr>
      <w:r w:rsidRPr="00012359">
        <w:rPr>
          <w:rStyle w:val="EndnoteReference"/>
        </w:rPr>
        <w:endnoteRef/>
      </w:r>
      <w:r w:rsidRPr="00012359">
        <w:t xml:space="preserve"> </w:t>
      </w:r>
      <w:proofErr w:type="spellStart"/>
      <w:r w:rsidRPr="00012359">
        <w:t>O</w:t>
      </w:r>
      <w:r>
        <w:t>rganisation</w:t>
      </w:r>
      <w:proofErr w:type="spellEnd"/>
      <w:r>
        <w:t xml:space="preserve"> for </w:t>
      </w:r>
      <w:r w:rsidRPr="00012359">
        <w:t>E</w:t>
      </w:r>
      <w:r>
        <w:t xml:space="preserve">conomic </w:t>
      </w:r>
      <w:r w:rsidRPr="00012359">
        <w:t>C</w:t>
      </w:r>
      <w:r>
        <w:t xml:space="preserve">o-operation and </w:t>
      </w:r>
      <w:r w:rsidR="00A904A7" w:rsidRPr="00012359">
        <w:t>D</w:t>
      </w:r>
      <w:r w:rsidR="00A904A7">
        <w:t>evelopment</w:t>
      </w:r>
      <w:r>
        <w:t>,</w:t>
      </w:r>
      <w:r w:rsidRPr="00012359">
        <w:t xml:space="preserve"> </w:t>
      </w:r>
      <w:r w:rsidRPr="00012359">
        <w:rPr>
          <w:i/>
        </w:rPr>
        <w:t>African Economic Outlook</w:t>
      </w:r>
      <w:r w:rsidRPr="00012359">
        <w:t>, 2014, accessed May 18, 2015,</w:t>
      </w:r>
      <w:r>
        <w:t xml:space="preserve"> </w:t>
      </w:r>
      <w:r w:rsidRPr="00012359">
        <w:t>www.africaneconomicoutlook.org/fileadmin/uploads/aeo/2014/PDF/E-Book_African_Economic_Outlook_2014.pdf.</w:t>
      </w:r>
    </w:p>
  </w:endnote>
  <w:endnote w:id="3">
    <w:p w14:paraId="38BB3C89" w14:textId="5AABC5A4" w:rsidR="00D700E0" w:rsidRPr="00012359" w:rsidRDefault="00D700E0" w:rsidP="00012359">
      <w:pPr>
        <w:pStyle w:val="Footnote"/>
      </w:pPr>
      <w:r w:rsidRPr="00012359">
        <w:rPr>
          <w:rStyle w:val="EndnoteReference"/>
        </w:rPr>
        <w:endnoteRef/>
      </w:r>
      <w:r>
        <w:t xml:space="preserve"> Joel </w:t>
      </w:r>
      <w:proofErr w:type="spellStart"/>
      <w:r>
        <w:t>Macharia</w:t>
      </w:r>
      <w:proofErr w:type="spellEnd"/>
      <w:r>
        <w:t>,</w:t>
      </w:r>
      <w:r w:rsidRPr="00012359">
        <w:t xml:space="preserve"> “Internet Access </w:t>
      </w:r>
      <w:r>
        <w:t xml:space="preserve">Is </w:t>
      </w:r>
      <w:r w:rsidRPr="00012359">
        <w:t xml:space="preserve">No Longer </w:t>
      </w:r>
      <w:r>
        <w:t xml:space="preserve">a </w:t>
      </w:r>
      <w:r w:rsidRPr="00012359">
        <w:t xml:space="preserve">Luxury,” </w:t>
      </w:r>
      <w:r w:rsidRPr="00012359">
        <w:rPr>
          <w:i/>
        </w:rPr>
        <w:t>Africa Renewal</w:t>
      </w:r>
      <w:r>
        <w:t xml:space="preserve">, </w:t>
      </w:r>
      <w:r w:rsidRPr="00012359">
        <w:t>April 2014, accessed May 19, 2015, www.un.org/africarenewal/magazine/april-2014/internet-access-no-longer-luxury.</w:t>
      </w:r>
    </w:p>
  </w:endnote>
  <w:endnote w:id="4">
    <w:p w14:paraId="020E334F" w14:textId="1C45B4C8" w:rsidR="00D700E0" w:rsidRPr="00012359" w:rsidRDefault="00D700E0" w:rsidP="00012359">
      <w:pPr>
        <w:pStyle w:val="Footnote"/>
        <w:rPr>
          <w:b/>
        </w:rPr>
      </w:pPr>
      <w:r w:rsidRPr="00012359">
        <w:rPr>
          <w:rStyle w:val="EndnoteReference"/>
        </w:rPr>
        <w:endnoteRef/>
      </w:r>
      <w:r w:rsidRPr="00012359">
        <w:t xml:space="preserve"> </w:t>
      </w:r>
      <w:proofErr w:type="spellStart"/>
      <w:r w:rsidRPr="00012359">
        <w:t>Fastjet</w:t>
      </w:r>
      <w:proofErr w:type="spellEnd"/>
      <w:r w:rsidRPr="00012359">
        <w:t xml:space="preserve"> PLC</w:t>
      </w:r>
      <w:r>
        <w:t>,</w:t>
      </w:r>
      <w:r w:rsidRPr="00012359">
        <w:t xml:space="preserve"> </w:t>
      </w:r>
      <w:r w:rsidRPr="00012359">
        <w:rPr>
          <w:i/>
        </w:rPr>
        <w:t>Annual Report 2013</w:t>
      </w:r>
      <w:r w:rsidRPr="00012359">
        <w:t>, 201</w:t>
      </w:r>
      <w:r>
        <w:t>4</w:t>
      </w:r>
      <w:r w:rsidRPr="00012359">
        <w:t>, accessed May 19, 2015, https://www.fastjet.com/upload/Documents/fastjet%20Plc%20Annual%20Report%202013.pdf</w:t>
      </w:r>
      <w:r>
        <w:t xml:space="preserve">. </w:t>
      </w:r>
    </w:p>
  </w:endnote>
  <w:endnote w:id="5">
    <w:p w14:paraId="75D30183" w14:textId="2316F4CE" w:rsidR="00D700E0" w:rsidRPr="00012359" w:rsidRDefault="00D700E0" w:rsidP="00012359">
      <w:pPr>
        <w:pStyle w:val="Footnote"/>
      </w:pPr>
      <w:r w:rsidRPr="00012359">
        <w:rPr>
          <w:rStyle w:val="EndnoteReference"/>
        </w:rPr>
        <w:endnoteRef/>
      </w:r>
      <w:r w:rsidRPr="00012359">
        <w:t xml:space="preserve"> </w:t>
      </w:r>
      <w:proofErr w:type="spellStart"/>
      <w:r w:rsidRPr="00012359">
        <w:t>Fastjet</w:t>
      </w:r>
      <w:proofErr w:type="spellEnd"/>
      <w:proofErr w:type="gramStart"/>
      <w:r w:rsidRPr="00012359">
        <w:t>,</w:t>
      </w:r>
      <w:r>
        <w:t xml:space="preserve"> </w:t>
      </w:r>
      <w:r w:rsidRPr="00012359">
        <w:t>”</w:t>
      </w:r>
      <w:proofErr w:type="spellStart"/>
      <w:proofErr w:type="gramEnd"/>
      <w:r w:rsidRPr="00012359">
        <w:t>Fastjet</w:t>
      </w:r>
      <w:proofErr w:type="spellEnd"/>
      <w:r w:rsidRPr="00012359">
        <w:t xml:space="preserve"> Takes Off, Achieving a 78% Load Factor on First Day,” press release, November 30, 2012, accessed May 20, 2015, https://www.fastjet.com/en/footer-about/about-fastjet/corporate-investor-relations/investors/news/2012/fastjet-takes-off-achieving-a-78-load-factor-on-first-day-30-november-2012.</w:t>
      </w:r>
    </w:p>
  </w:endnote>
  <w:endnote w:id="6">
    <w:p w14:paraId="3AEDF80D" w14:textId="42BA4E97" w:rsidR="00D700E0" w:rsidRPr="00012359" w:rsidRDefault="00D700E0" w:rsidP="000B2A59">
      <w:pPr>
        <w:pStyle w:val="Footnote"/>
        <w:jc w:val="left"/>
      </w:pPr>
      <w:r w:rsidRPr="00012359">
        <w:rPr>
          <w:rStyle w:val="EndnoteReference"/>
        </w:rPr>
        <w:endnoteRef/>
      </w:r>
      <w:r w:rsidRPr="00012359">
        <w:t xml:space="preserve"> Ibid.</w:t>
      </w:r>
    </w:p>
  </w:endnote>
  <w:endnote w:id="7">
    <w:p w14:paraId="6DA35513" w14:textId="0065C2D6" w:rsidR="00D700E0" w:rsidRPr="00012359" w:rsidRDefault="00D700E0" w:rsidP="00012359">
      <w:pPr>
        <w:pStyle w:val="Footnote"/>
      </w:pPr>
      <w:r w:rsidRPr="00012359">
        <w:rPr>
          <w:rStyle w:val="EndnoteReference"/>
        </w:rPr>
        <w:endnoteRef/>
      </w:r>
      <w:r w:rsidRPr="00012359">
        <w:t xml:space="preserve"> </w:t>
      </w:r>
      <w:r w:rsidRPr="002F0595">
        <w:t xml:space="preserve">African Development Bank Group, </w:t>
      </w:r>
      <w:r w:rsidRPr="00012359">
        <w:t>“Africa’s Aviation Industry: Challenges and Opportunities,” November 20, 2012, accessed May 19, 2015, www.afdb.org/en/blogs/afdb-championing-inclusive-growth-across-africa/post/africas-aviation-industry-challenges-and-opportunities-10025/.</w:t>
      </w:r>
    </w:p>
  </w:endnote>
  <w:endnote w:id="8">
    <w:p w14:paraId="5651E60F" w14:textId="419791EC" w:rsidR="00D700E0" w:rsidRPr="00012359" w:rsidRDefault="00D700E0" w:rsidP="00012359">
      <w:pPr>
        <w:pStyle w:val="Footnote"/>
      </w:pPr>
      <w:r w:rsidRPr="00012359">
        <w:rPr>
          <w:rStyle w:val="EndnoteReference"/>
        </w:rPr>
        <w:endnoteRef/>
      </w:r>
      <w:r>
        <w:t xml:space="preserve"> Ibid.</w:t>
      </w:r>
    </w:p>
  </w:endnote>
  <w:endnote w:id="9">
    <w:p w14:paraId="1EF3B766" w14:textId="3816558C" w:rsidR="00D700E0" w:rsidRPr="00012359" w:rsidRDefault="00D700E0" w:rsidP="000B2A59">
      <w:pPr>
        <w:pStyle w:val="Footnote"/>
        <w:jc w:val="left"/>
      </w:pPr>
      <w:r w:rsidRPr="00012359">
        <w:rPr>
          <w:rStyle w:val="EndnoteReference"/>
        </w:rPr>
        <w:endnoteRef/>
      </w:r>
      <w:r>
        <w:t xml:space="preserve"> </w:t>
      </w:r>
      <w:proofErr w:type="spellStart"/>
      <w:r w:rsidRPr="00012359">
        <w:t>Fastjet</w:t>
      </w:r>
      <w:proofErr w:type="spellEnd"/>
      <w:proofErr w:type="gramStart"/>
      <w:r>
        <w:t xml:space="preserve">, </w:t>
      </w:r>
      <w:r w:rsidRPr="00012359">
        <w:t>”</w:t>
      </w:r>
      <w:proofErr w:type="spellStart"/>
      <w:proofErr w:type="gramEnd"/>
      <w:r w:rsidRPr="00012359">
        <w:t>Fastjet</w:t>
      </w:r>
      <w:proofErr w:type="spellEnd"/>
      <w:r w:rsidRPr="00012359">
        <w:t xml:space="preserve"> </w:t>
      </w:r>
      <w:r>
        <w:t>T</w:t>
      </w:r>
      <w:r w:rsidRPr="00012359">
        <w:t xml:space="preserve">akes </w:t>
      </w:r>
      <w:r>
        <w:t>O</w:t>
      </w:r>
      <w:r w:rsidRPr="00012359">
        <w:t>ff</w:t>
      </w:r>
      <w:r>
        <w:t>, Achieving a 78% Load Factor</w:t>
      </w:r>
      <w:r w:rsidRPr="00012359">
        <w:t xml:space="preserve"> on </w:t>
      </w:r>
      <w:r>
        <w:t>F</w:t>
      </w:r>
      <w:r w:rsidRPr="00012359">
        <w:t xml:space="preserve">irst </w:t>
      </w:r>
      <w:r>
        <w:t>D</w:t>
      </w:r>
      <w:r w:rsidRPr="00012359">
        <w:t>ay,”</w:t>
      </w:r>
      <w:r>
        <w:t xml:space="preserve"> op. cit</w:t>
      </w:r>
      <w:r w:rsidRPr="00012359">
        <w:t>.</w:t>
      </w:r>
    </w:p>
  </w:endnote>
  <w:endnote w:id="10">
    <w:p w14:paraId="06CF97C1" w14:textId="5658A80E" w:rsidR="00D700E0" w:rsidRPr="00012359" w:rsidRDefault="00D700E0" w:rsidP="00012359">
      <w:pPr>
        <w:pStyle w:val="Footnote"/>
      </w:pPr>
      <w:r w:rsidRPr="00012359">
        <w:rPr>
          <w:rStyle w:val="EndnoteReference"/>
        </w:rPr>
        <w:endnoteRef/>
      </w:r>
      <w:r w:rsidRPr="00012359">
        <w:t xml:space="preserve"> Factiva</w:t>
      </w:r>
      <w:r>
        <w:t>,</w:t>
      </w:r>
      <w:r w:rsidRPr="00012359">
        <w:t xml:space="preserve"> “Company Report Kenya Airways Ltd.,” 2014, accessed May 20, 2015, https://global.factiva.com/ar/arpdf.aspx?pp=PDF</w:t>
      </w:r>
      <w:r w:rsidR="00244383">
        <w:t>.</w:t>
      </w:r>
    </w:p>
  </w:endnote>
  <w:endnote w:id="11">
    <w:p w14:paraId="64FD7677" w14:textId="0183DB1B" w:rsidR="00D700E0" w:rsidRPr="00012359" w:rsidRDefault="00D700E0" w:rsidP="00012359">
      <w:pPr>
        <w:pStyle w:val="Footnote"/>
      </w:pPr>
      <w:r w:rsidRPr="00012359">
        <w:rPr>
          <w:rStyle w:val="EndnoteReference"/>
        </w:rPr>
        <w:endnoteRef/>
      </w:r>
      <w:r w:rsidRPr="00012359">
        <w:t xml:space="preserve"> </w:t>
      </w:r>
      <w:proofErr w:type="spellStart"/>
      <w:r w:rsidRPr="00012359">
        <w:t>Mergent</w:t>
      </w:r>
      <w:proofErr w:type="spellEnd"/>
      <w:r w:rsidRPr="00012359">
        <w:t xml:space="preserve"> KBR. “Key Business Ratios for Transportation by Air,” March, 2014, accessed September 8, 2015, www.mergentkbr.com/index.php/reports/industry.</w:t>
      </w:r>
    </w:p>
  </w:endnote>
  <w:endnote w:id="12">
    <w:p w14:paraId="6AB6ABA3" w14:textId="5A4A7DF0" w:rsidR="00D700E0" w:rsidRPr="00012359" w:rsidRDefault="00D700E0" w:rsidP="000B2A59">
      <w:pPr>
        <w:pStyle w:val="Footnote"/>
        <w:jc w:val="left"/>
      </w:pPr>
      <w:r w:rsidRPr="00012359">
        <w:rPr>
          <w:rStyle w:val="EndnoteReference"/>
        </w:rPr>
        <w:endnoteRef/>
      </w:r>
      <w:r>
        <w:t xml:space="preserve"> </w:t>
      </w:r>
      <w:r w:rsidRPr="00012359">
        <w:t xml:space="preserve">Precision Air TZ </w:t>
      </w:r>
      <w:r>
        <w:t>h</w:t>
      </w:r>
      <w:r w:rsidRPr="00012359">
        <w:t>omepage, March 2014, accessed May 20, 2015, https://www.precisionairtz.com/index.php?id=1.</w:t>
      </w:r>
    </w:p>
  </w:endnote>
  <w:endnote w:id="13">
    <w:p w14:paraId="7CE38871" w14:textId="4C5263CB" w:rsidR="00D700E0" w:rsidRPr="00012359" w:rsidRDefault="00D700E0" w:rsidP="000B2A59">
      <w:pPr>
        <w:pStyle w:val="Footnote"/>
        <w:jc w:val="left"/>
      </w:pPr>
      <w:r w:rsidRPr="00012359">
        <w:rPr>
          <w:rStyle w:val="EndnoteReference"/>
        </w:rPr>
        <w:endnoteRef/>
      </w:r>
      <w:r w:rsidRPr="00012359">
        <w:t xml:space="preserve"> </w:t>
      </w:r>
      <w:proofErr w:type="spellStart"/>
      <w:r w:rsidRPr="00012359">
        <w:t>TSh</w:t>
      </w:r>
      <w:proofErr w:type="spellEnd"/>
      <w:r w:rsidRPr="00012359">
        <w:t xml:space="preserve"> = Tanzanian shilling; US$1 = TSh1</w:t>
      </w:r>
      <w:proofErr w:type="gramStart"/>
      <w:r w:rsidRPr="00012359">
        <w:t>,673.48</w:t>
      </w:r>
      <w:proofErr w:type="gramEnd"/>
      <w:r w:rsidRPr="00012359">
        <w:t xml:space="preserve"> on September 30, 2015. </w:t>
      </w:r>
    </w:p>
  </w:endnote>
  <w:endnote w:id="14">
    <w:p w14:paraId="6969DFC1" w14:textId="4A05A143" w:rsidR="00D700E0" w:rsidRPr="00012359" w:rsidRDefault="00D700E0" w:rsidP="00012359">
      <w:pPr>
        <w:pStyle w:val="Footnote"/>
      </w:pPr>
      <w:r w:rsidRPr="00012359">
        <w:rPr>
          <w:rStyle w:val="EndnoteReference"/>
        </w:rPr>
        <w:endnoteRef/>
      </w:r>
      <w:r w:rsidRPr="00012359">
        <w:t xml:space="preserve"> </w:t>
      </w:r>
      <w:proofErr w:type="spellStart"/>
      <w:r w:rsidRPr="00012359">
        <w:t>Fastjet</w:t>
      </w:r>
      <w:proofErr w:type="spellEnd"/>
      <w:r w:rsidRPr="00012359">
        <w:t xml:space="preserve"> PLC</w:t>
      </w:r>
      <w:r>
        <w:t>, op. cit.</w:t>
      </w:r>
      <w:r w:rsidRPr="00012359">
        <w:t xml:space="preserve"> </w:t>
      </w:r>
    </w:p>
  </w:endnote>
  <w:endnote w:id="15">
    <w:p w14:paraId="1DB9D6D1" w14:textId="67EACDB4" w:rsidR="00D700E0" w:rsidRPr="00012359" w:rsidRDefault="00D700E0" w:rsidP="00012359">
      <w:pPr>
        <w:pStyle w:val="Footnote"/>
      </w:pPr>
      <w:r w:rsidRPr="00012359">
        <w:rPr>
          <w:rStyle w:val="EndnoteReference"/>
        </w:rPr>
        <w:endnoteRef/>
      </w:r>
      <w:r w:rsidRPr="00012359">
        <w:t xml:space="preserve"> </w:t>
      </w:r>
      <w:r>
        <w:t xml:space="preserve">Ibid. </w:t>
      </w:r>
    </w:p>
  </w:endnote>
  <w:endnote w:id="16">
    <w:p w14:paraId="7D72D262" w14:textId="0A5E4CB8" w:rsidR="00D700E0" w:rsidRPr="00012359" w:rsidRDefault="00D700E0" w:rsidP="00012359">
      <w:pPr>
        <w:pStyle w:val="Footnote"/>
      </w:pPr>
      <w:r w:rsidRPr="00012359">
        <w:rPr>
          <w:rStyle w:val="EndnoteReference"/>
        </w:rPr>
        <w:endnoteRef/>
      </w:r>
      <w:r w:rsidRPr="00012359">
        <w:t xml:space="preserve"> BBC</w:t>
      </w:r>
      <w:r>
        <w:t>.</w:t>
      </w:r>
      <w:r w:rsidRPr="00012359">
        <w:t xml:space="preserve"> “</w:t>
      </w:r>
      <w:proofErr w:type="spellStart"/>
      <w:r w:rsidRPr="00012359">
        <w:t>Easyjet</w:t>
      </w:r>
      <w:proofErr w:type="spellEnd"/>
      <w:r w:rsidRPr="00012359">
        <w:t xml:space="preserve"> </w:t>
      </w:r>
      <w:r>
        <w:t>B</w:t>
      </w:r>
      <w:r w:rsidRPr="00012359">
        <w:t>uys Go for £374</w:t>
      </w:r>
      <w:r>
        <w:t>m</w:t>
      </w:r>
      <w:r w:rsidRPr="00012359">
        <w:t>,” May 16, 2002, accessed May 20, 2015, http://news.bbc.co.uk/2/hi/business/1990691.stm.</w:t>
      </w:r>
    </w:p>
  </w:endnote>
  <w:endnote w:id="17">
    <w:p w14:paraId="38FDFE3A" w14:textId="39352902" w:rsidR="00D700E0" w:rsidRPr="00012359" w:rsidRDefault="00D700E0" w:rsidP="00012359">
      <w:pPr>
        <w:pStyle w:val="Footnote"/>
        <w:rPr>
          <w:b/>
        </w:rPr>
      </w:pPr>
      <w:r w:rsidRPr="00012359">
        <w:rPr>
          <w:rStyle w:val="EndnoteReference"/>
        </w:rPr>
        <w:endnoteRef/>
      </w:r>
      <w:r w:rsidRPr="00012359">
        <w:t xml:space="preserve"> </w:t>
      </w:r>
      <w:r>
        <w:t xml:space="preserve">Alexander Campbell, “EasyJet Moves on Merger with Go,” </w:t>
      </w:r>
      <w:r w:rsidRPr="00012359">
        <w:t>May 20 2002, accessed May 19, 2015, https://www.flightglobal.com/news/articles/easyjet-moves-on-merger-with-go-148321/</w:t>
      </w:r>
      <w:r>
        <w:t>.</w:t>
      </w:r>
    </w:p>
  </w:endnote>
  <w:endnote w:id="18">
    <w:p w14:paraId="030EBE08" w14:textId="049A739B" w:rsidR="00D700E0" w:rsidRPr="00012359" w:rsidRDefault="00D700E0" w:rsidP="00012359">
      <w:pPr>
        <w:pStyle w:val="Footnote"/>
      </w:pPr>
      <w:r w:rsidRPr="00012359">
        <w:rPr>
          <w:rStyle w:val="EndnoteReference"/>
        </w:rPr>
        <w:endnoteRef/>
      </w:r>
      <w:r w:rsidRPr="00012359">
        <w:t xml:space="preserve"> </w:t>
      </w:r>
      <w:proofErr w:type="spellStart"/>
      <w:r w:rsidRPr="00012359">
        <w:t>Fastjet</w:t>
      </w:r>
      <w:proofErr w:type="spellEnd"/>
      <w:r w:rsidRPr="00012359">
        <w:t xml:space="preserve"> PLC</w:t>
      </w:r>
      <w:r>
        <w:t>, op. cit</w:t>
      </w:r>
      <w:r w:rsidRPr="00012359">
        <w:t xml:space="preserve">. </w:t>
      </w:r>
    </w:p>
  </w:endnote>
  <w:endnote w:id="19">
    <w:p w14:paraId="679CECE8" w14:textId="36B7DA61" w:rsidR="00D700E0" w:rsidRPr="00012359" w:rsidRDefault="00D700E0" w:rsidP="00012359">
      <w:pPr>
        <w:pStyle w:val="Footnote"/>
      </w:pPr>
      <w:r w:rsidRPr="00012359">
        <w:rPr>
          <w:rStyle w:val="EndnoteReference"/>
        </w:rPr>
        <w:endnoteRef/>
      </w:r>
      <w:r w:rsidRPr="00012359">
        <w:t xml:space="preserve"> </w:t>
      </w:r>
      <w:proofErr w:type="gramStart"/>
      <w:r w:rsidRPr="00012359">
        <w:t>Ibid</w:t>
      </w:r>
      <w:r>
        <w:t>.</w:t>
      </w:r>
      <w:r w:rsidRPr="00012359">
        <w:t>,</w:t>
      </w:r>
      <w:proofErr w:type="gramEnd"/>
      <w:r w:rsidRPr="00012359">
        <w:t xml:space="preserve"> 6</w:t>
      </w:r>
      <w:r>
        <w:t>.</w:t>
      </w:r>
    </w:p>
  </w:endnote>
  <w:endnote w:id="20">
    <w:p w14:paraId="0A395C60" w14:textId="387E3BD3" w:rsidR="00D700E0" w:rsidRPr="00012359" w:rsidRDefault="00D700E0" w:rsidP="00012359">
      <w:pPr>
        <w:pStyle w:val="Footnote"/>
      </w:pPr>
      <w:r w:rsidRPr="00012359">
        <w:rPr>
          <w:rStyle w:val="EndnoteReference"/>
        </w:rPr>
        <w:endnoteRef/>
      </w:r>
      <w:r>
        <w:t xml:space="preserve"> </w:t>
      </w:r>
      <w:proofErr w:type="spellStart"/>
      <w:r>
        <w:t>Jaco</w:t>
      </w:r>
      <w:proofErr w:type="spellEnd"/>
      <w:r>
        <w:t xml:space="preserve"> Maritz,</w:t>
      </w:r>
      <w:r w:rsidRPr="00012359">
        <w:t xml:space="preserve"> “$20 for an </w:t>
      </w:r>
      <w:r>
        <w:t>A</w:t>
      </w:r>
      <w:r w:rsidRPr="00012359">
        <w:t xml:space="preserve">ir </w:t>
      </w:r>
      <w:r>
        <w:t>T</w:t>
      </w:r>
      <w:r w:rsidRPr="00012359">
        <w:t xml:space="preserve">icket? How African </w:t>
      </w:r>
      <w:r>
        <w:t>L</w:t>
      </w:r>
      <w:r w:rsidRPr="00012359">
        <w:t>ow-</w:t>
      </w:r>
      <w:r>
        <w:t>C</w:t>
      </w:r>
      <w:r w:rsidRPr="00012359">
        <w:t xml:space="preserve">ost </w:t>
      </w:r>
      <w:r>
        <w:t>C</w:t>
      </w:r>
      <w:r w:rsidRPr="00012359">
        <w:t xml:space="preserve">arrier </w:t>
      </w:r>
      <w:proofErr w:type="spellStart"/>
      <w:r>
        <w:t>F</w:t>
      </w:r>
      <w:r w:rsidRPr="00012359">
        <w:t>astjet</w:t>
      </w:r>
      <w:proofErr w:type="spellEnd"/>
      <w:r w:rsidRPr="00012359">
        <w:t xml:space="preserve"> </w:t>
      </w:r>
      <w:r>
        <w:t>D</w:t>
      </w:r>
      <w:r w:rsidRPr="00012359">
        <w:t xml:space="preserve">oes </w:t>
      </w:r>
      <w:proofErr w:type="gramStart"/>
      <w:r>
        <w:t>I</w:t>
      </w:r>
      <w:r w:rsidRPr="00012359">
        <w:t>t</w:t>
      </w:r>
      <w:proofErr w:type="gramEnd"/>
      <w:r w:rsidRPr="00012359">
        <w:t>,” January 14, 2013, accessed May 20, 2015, www.howwemadeitinafrica.com/20-for-an-air-ticket-how-african-low-cost-carrier-fastjet-does-it/23313/.</w:t>
      </w:r>
    </w:p>
  </w:endnote>
  <w:endnote w:id="21">
    <w:p w14:paraId="55997C0E" w14:textId="0FCB3ED6" w:rsidR="00D700E0" w:rsidRPr="00192119" w:rsidRDefault="00D700E0" w:rsidP="00012359">
      <w:pPr>
        <w:pStyle w:val="Footnote"/>
      </w:pPr>
      <w:r w:rsidRPr="00012359">
        <w:rPr>
          <w:rStyle w:val="EndnoteReference"/>
        </w:rPr>
        <w:endnoteRef/>
      </w:r>
      <w:r w:rsidRPr="00192119">
        <w:t xml:space="preserve"> Ibid.</w:t>
      </w:r>
    </w:p>
  </w:endnote>
  <w:endnote w:id="22">
    <w:p w14:paraId="7C39133A" w14:textId="272FAE06" w:rsidR="00D700E0" w:rsidRPr="00192119" w:rsidRDefault="00D700E0" w:rsidP="00012359">
      <w:pPr>
        <w:pStyle w:val="Footnote"/>
      </w:pPr>
      <w:r w:rsidRPr="00012359">
        <w:rPr>
          <w:rStyle w:val="EndnoteReference"/>
        </w:rPr>
        <w:endnoteRef/>
      </w:r>
      <w:r w:rsidRPr="00192119">
        <w:t xml:space="preserve"> </w:t>
      </w:r>
      <w:proofErr w:type="spellStart"/>
      <w:r w:rsidRPr="00012359">
        <w:t>Fastjet</w:t>
      </w:r>
      <w:proofErr w:type="spellEnd"/>
      <w:r w:rsidRPr="00012359">
        <w:t xml:space="preserve"> PLC</w:t>
      </w:r>
      <w:r>
        <w:t>, op. cit.</w:t>
      </w:r>
      <w:r w:rsidRPr="00012359">
        <w:t xml:space="preserve"> </w:t>
      </w:r>
    </w:p>
  </w:endnote>
  <w:endnote w:id="23">
    <w:p w14:paraId="34A398B9" w14:textId="3FAEFAD0" w:rsidR="00D700E0" w:rsidRPr="00192119" w:rsidRDefault="00D700E0" w:rsidP="00012359">
      <w:pPr>
        <w:pStyle w:val="Footnote"/>
      </w:pPr>
      <w:r w:rsidRPr="00012359">
        <w:rPr>
          <w:rStyle w:val="EndnoteReference"/>
        </w:rPr>
        <w:endnoteRef/>
      </w:r>
      <w:r w:rsidRPr="00192119">
        <w:t xml:space="preserve"> </w:t>
      </w:r>
      <w:r>
        <w:t>Ibid.</w:t>
      </w:r>
    </w:p>
  </w:endnote>
  <w:endnote w:id="24">
    <w:p w14:paraId="0326C668" w14:textId="62096395" w:rsidR="00D700E0" w:rsidRPr="00192119" w:rsidRDefault="00D700E0" w:rsidP="00012359">
      <w:pPr>
        <w:pStyle w:val="Footnote"/>
      </w:pPr>
      <w:r w:rsidRPr="00012359">
        <w:rPr>
          <w:rStyle w:val="EndnoteReference"/>
        </w:rPr>
        <w:endnoteRef/>
      </w:r>
      <w:r w:rsidRPr="00192119">
        <w:t xml:space="preserve"> </w:t>
      </w:r>
      <w:proofErr w:type="gramStart"/>
      <w:r w:rsidRPr="00192119">
        <w:t>Ibid</w:t>
      </w:r>
      <w:r>
        <w:t>.</w:t>
      </w:r>
      <w:r w:rsidRPr="00192119">
        <w:t>,</w:t>
      </w:r>
      <w:proofErr w:type="gramEnd"/>
      <w:r w:rsidRPr="00192119">
        <w:t xml:space="preserve"> 8. </w:t>
      </w:r>
    </w:p>
  </w:endnote>
  <w:endnote w:id="25">
    <w:p w14:paraId="0196250E" w14:textId="5AD9C452" w:rsidR="00D700E0" w:rsidRPr="00083412" w:rsidRDefault="00D700E0" w:rsidP="00246014">
      <w:pPr>
        <w:pStyle w:val="Footnote"/>
      </w:pPr>
      <w:r w:rsidRPr="00012359">
        <w:rPr>
          <w:rStyle w:val="EndnoteReference"/>
        </w:rPr>
        <w:endnoteRef/>
      </w:r>
      <w:r>
        <w:t xml:space="preserve"> CAPA Centre for Aviation, “</w:t>
      </w:r>
      <w:proofErr w:type="spellStart"/>
      <w:r>
        <w:t>F</w:t>
      </w:r>
      <w:r w:rsidRPr="00160837">
        <w:t>lydubai</w:t>
      </w:r>
      <w:proofErr w:type="spellEnd"/>
      <w:r w:rsidRPr="00160837">
        <w:t xml:space="preserve"> and </w:t>
      </w:r>
      <w:proofErr w:type="spellStart"/>
      <w:r>
        <w:t>F</w:t>
      </w:r>
      <w:r w:rsidRPr="00160837">
        <w:t>astjet</w:t>
      </w:r>
      <w:proofErr w:type="spellEnd"/>
      <w:r w:rsidRPr="00160837">
        <w:t xml:space="preserve"> </w:t>
      </w:r>
      <w:r>
        <w:t>D</w:t>
      </w:r>
      <w:r w:rsidRPr="00160837">
        <w:t xml:space="preserve">rive LCC </w:t>
      </w:r>
      <w:r>
        <w:t>G</w:t>
      </w:r>
      <w:r w:rsidRPr="00160837">
        <w:t xml:space="preserve">rowth in East Africa as Uganda </w:t>
      </w:r>
      <w:r>
        <w:t>G</w:t>
      </w:r>
      <w:r w:rsidRPr="00160837">
        <w:t xml:space="preserve">ets </w:t>
      </w:r>
      <w:r>
        <w:t>I</w:t>
      </w:r>
      <w:r w:rsidRPr="00160837">
        <w:t xml:space="preserve">ts </w:t>
      </w:r>
      <w:r>
        <w:t>F</w:t>
      </w:r>
      <w:r w:rsidRPr="00160837">
        <w:t xml:space="preserve">irst </w:t>
      </w:r>
      <w:r>
        <w:t>T</w:t>
      </w:r>
      <w:r w:rsidRPr="00160837">
        <w:t xml:space="preserve">aste of </w:t>
      </w:r>
      <w:r>
        <w:t>L</w:t>
      </w:r>
      <w:r w:rsidRPr="00160837">
        <w:t xml:space="preserve">ow </w:t>
      </w:r>
      <w:r>
        <w:t>F</w:t>
      </w:r>
      <w:r w:rsidRPr="00160837">
        <w:t>ares</w:t>
      </w:r>
      <w:r>
        <w:t xml:space="preserve">,” September 28, 2014, </w:t>
      </w:r>
      <w:r w:rsidRPr="00083412">
        <w:t>accessed May 20,</w:t>
      </w:r>
      <w:r>
        <w:t xml:space="preserve"> </w:t>
      </w:r>
      <w:r w:rsidRPr="00083412">
        <w:t>201</w:t>
      </w:r>
      <w:r>
        <w:t xml:space="preserve">5, </w:t>
      </w:r>
      <w:r w:rsidRPr="00083412">
        <w:t>www.centreforaviation.com/analysis/flydubai-and-fastjet-drive-lcc-growth-in-east-africa-as-uganda-gets-its-first-taste-of-low-fares-189041</w:t>
      </w:r>
      <w:r>
        <w:t>.</w:t>
      </w:r>
    </w:p>
  </w:endnote>
  <w:endnote w:id="26">
    <w:p w14:paraId="78183013" w14:textId="1259C1D1" w:rsidR="00D700E0" w:rsidRPr="00083412" w:rsidRDefault="00D700E0" w:rsidP="00246014">
      <w:pPr>
        <w:pStyle w:val="Footnote"/>
      </w:pPr>
      <w:r w:rsidRPr="00012359">
        <w:rPr>
          <w:rStyle w:val="EndnoteReference"/>
        </w:rPr>
        <w:endnoteRef/>
      </w:r>
      <w:r>
        <w:t xml:space="preserve"> World Bank Group, “Country Report: Zambia,” 2014</w:t>
      </w:r>
      <w:r w:rsidRPr="00083412">
        <w:t>, accessed May 20, 2015</w:t>
      </w:r>
      <w:r>
        <w:t>,</w:t>
      </w:r>
      <w:r w:rsidRPr="009D1CB4">
        <w:t xml:space="preserve"> </w:t>
      </w:r>
      <w:r w:rsidRPr="00083412">
        <w:t>http://data.worldbank.org/country/zambia</w:t>
      </w:r>
      <w:r>
        <w:t>.</w:t>
      </w:r>
    </w:p>
  </w:endnote>
  <w:endnote w:id="27">
    <w:p w14:paraId="52F93D42" w14:textId="3DE28017" w:rsidR="00D700E0" w:rsidRPr="00083412" w:rsidRDefault="00D700E0" w:rsidP="00246014">
      <w:pPr>
        <w:pStyle w:val="Footnote"/>
      </w:pPr>
      <w:r w:rsidRPr="00012359">
        <w:rPr>
          <w:rStyle w:val="EndnoteReference"/>
        </w:rPr>
        <w:endnoteRef/>
      </w:r>
      <w:r>
        <w:t xml:space="preserve"> CAPA Centre for Aviation, “</w:t>
      </w:r>
      <w:r w:rsidRPr="008D58A8">
        <w:t xml:space="preserve">Zambia </w:t>
      </w:r>
      <w:r>
        <w:t>P</w:t>
      </w:r>
      <w:r w:rsidRPr="008D58A8">
        <w:t xml:space="preserve">rovides </w:t>
      </w:r>
      <w:proofErr w:type="spellStart"/>
      <w:r>
        <w:t>F</w:t>
      </w:r>
      <w:r w:rsidRPr="008D58A8">
        <w:t>astjet</w:t>
      </w:r>
      <w:proofErr w:type="spellEnd"/>
      <w:r w:rsidRPr="008D58A8">
        <w:t xml:space="preserve"> with </w:t>
      </w:r>
      <w:r>
        <w:t>E</w:t>
      </w:r>
      <w:r w:rsidRPr="008D58A8">
        <w:t xml:space="preserve">asier </w:t>
      </w:r>
      <w:r>
        <w:t>A</w:t>
      </w:r>
      <w:r w:rsidRPr="008D58A8">
        <w:t xml:space="preserve">ffiliate </w:t>
      </w:r>
      <w:r>
        <w:t>O</w:t>
      </w:r>
      <w:r w:rsidRPr="008D58A8">
        <w:t>ption than South Africa, Ghana, Kenya or Nigeria</w:t>
      </w:r>
      <w:r>
        <w:t>,” January 20, 2014, a</w:t>
      </w:r>
      <w:r w:rsidRPr="00083412">
        <w:t>ccessed May 20, 2015</w:t>
      </w:r>
      <w:r>
        <w:t xml:space="preserve">, </w:t>
      </w:r>
      <w:r w:rsidRPr="008D088D">
        <w:t>https://centreforaviation.com/analysis/reports/zambia-provides-fastjet-with-easier-and-more-attractive-affiliate-option-than-sa-ghana-or-nigeria-148726</w:t>
      </w:r>
      <w:r>
        <w:t>.</w:t>
      </w:r>
    </w:p>
  </w:endnote>
  <w:endnote w:id="28">
    <w:p w14:paraId="3EAFFD72" w14:textId="3558D1F7" w:rsidR="00D700E0" w:rsidRDefault="00D700E0" w:rsidP="00246014">
      <w:pPr>
        <w:pStyle w:val="Footnote"/>
      </w:pPr>
      <w:r w:rsidRPr="00012359">
        <w:rPr>
          <w:rStyle w:val="EndnoteReference"/>
        </w:rPr>
        <w:endnoteRef/>
      </w:r>
      <w:r>
        <w:t xml:space="preserve"> CAPA Centre for Aviation, “</w:t>
      </w:r>
      <w:r w:rsidRPr="001611EF">
        <w:t xml:space="preserve">African LCC </w:t>
      </w:r>
      <w:proofErr w:type="spellStart"/>
      <w:r w:rsidRPr="001611EF">
        <w:t>fastjet</w:t>
      </w:r>
      <w:proofErr w:type="spellEnd"/>
      <w:r w:rsidRPr="001611EF">
        <w:t xml:space="preserve"> accelerates expansion with three new bases and 10 more aircraft by end-2015</w:t>
      </w:r>
      <w:r>
        <w:t>,” July 1, 2014,</w:t>
      </w:r>
      <w:r w:rsidRPr="00083412">
        <w:t xml:space="preserve"> accessed May 20, 201</w:t>
      </w:r>
      <w:r>
        <w:t xml:space="preserve">5, </w:t>
      </w:r>
      <w:r w:rsidRPr="00083412">
        <w:t>http://centreforaviation.com/analysis/african-lcc-fastjet-accelerates-expansion-with-three-new-bases-and-10-more-aircraft-by-end-2015-175190</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FA1A4" w14:textId="77777777" w:rsidR="00D700E0" w:rsidRDefault="00D700E0" w:rsidP="00D75295">
      <w:r>
        <w:separator/>
      </w:r>
    </w:p>
  </w:footnote>
  <w:footnote w:type="continuationSeparator" w:id="0">
    <w:p w14:paraId="16474748" w14:textId="77777777" w:rsidR="00D700E0" w:rsidRDefault="00D700E0"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5B4EF" w14:textId="4C1E855D" w:rsidR="00D700E0" w:rsidRPr="00C92CC4" w:rsidRDefault="00D700E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44383">
      <w:rPr>
        <w:rFonts w:ascii="Arial" w:hAnsi="Arial"/>
        <w:b/>
        <w:noProof/>
      </w:rPr>
      <w:t>9</w:t>
    </w:r>
    <w:r>
      <w:rPr>
        <w:rFonts w:ascii="Arial" w:hAnsi="Arial"/>
        <w:b/>
      </w:rPr>
      <w:fldChar w:fldCharType="end"/>
    </w:r>
    <w:r>
      <w:rPr>
        <w:rFonts w:ascii="Arial" w:hAnsi="Arial"/>
        <w:b/>
      </w:rPr>
      <w:tab/>
      <w:t>9B18D018</w:t>
    </w:r>
  </w:p>
  <w:p w14:paraId="665B1F7C" w14:textId="77777777" w:rsidR="00D700E0" w:rsidRDefault="00D700E0" w:rsidP="00D13667">
    <w:pPr>
      <w:pStyle w:val="Header"/>
      <w:tabs>
        <w:tab w:val="clear" w:pos="4680"/>
      </w:tabs>
      <w:rPr>
        <w:sz w:val="18"/>
        <w:szCs w:val="18"/>
      </w:rPr>
    </w:pPr>
  </w:p>
  <w:p w14:paraId="50D3B46F" w14:textId="79BB1565" w:rsidR="00D700E0" w:rsidRPr="00C92CC4" w:rsidRDefault="00D700E0" w:rsidP="00012359">
    <w:pPr>
      <w:pStyle w:val="Casehead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9208A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012945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46C6AA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958585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080259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7664E5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FEFE2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BBCEE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0B43A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FF6E50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56E3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1"/>
  </w:num>
  <w:num w:numId="24">
    <w:abstractNumId w:val="14"/>
  </w:num>
  <w:num w:numId="25">
    <w:abstractNumId w:val="38"/>
  </w:num>
  <w:num w:numId="26">
    <w:abstractNumId w:val="39"/>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3"/>
  </w:num>
  <w:num w:numId="39">
    <w:abstractNumId w:val="24"/>
  </w:num>
  <w:num w:numId="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2359"/>
    <w:rsid w:val="00013360"/>
    <w:rsid w:val="00016759"/>
    <w:rsid w:val="000216CE"/>
    <w:rsid w:val="00024ED4"/>
    <w:rsid w:val="00025DC7"/>
    <w:rsid w:val="00035F09"/>
    <w:rsid w:val="00037181"/>
    <w:rsid w:val="00044ECC"/>
    <w:rsid w:val="000531D3"/>
    <w:rsid w:val="0005646B"/>
    <w:rsid w:val="00060C48"/>
    <w:rsid w:val="00071AEE"/>
    <w:rsid w:val="00076D4A"/>
    <w:rsid w:val="0008102D"/>
    <w:rsid w:val="00094C0E"/>
    <w:rsid w:val="000B2A3A"/>
    <w:rsid w:val="000B2A59"/>
    <w:rsid w:val="000D3813"/>
    <w:rsid w:val="000D7091"/>
    <w:rsid w:val="000E08E8"/>
    <w:rsid w:val="000F0C22"/>
    <w:rsid w:val="000F6B09"/>
    <w:rsid w:val="000F6FDC"/>
    <w:rsid w:val="00104567"/>
    <w:rsid w:val="00104916"/>
    <w:rsid w:val="00104AA7"/>
    <w:rsid w:val="0012732D"/>
    <w:rsid w:val="00143F25"/>
    <w:rsid w:val="00152682"/>
    <w:rsid w:val="00154FC9"/>
    <w:rsid w:val="00160837"/>
    <w:rsid w:val="001611EF"/>
    <w:rsid w:val="001767AC"/>
    <w:rsid w:val="00192119"/>
    <w:rsid w:val="0019241A"/>
    <w:rsid w:val="0019766D"/>
    <w:rsid w:val="001A22D1"/>
    <w:rsid w:val="001A752D"/>
    <w:rsid w:val="001A757E"/>
    <w:rsid w:val="001A79C8"/>
    <w:rsid w:val="001B5032"/>
    <w:rsid w:val="001C7777"/>
    <w:rsid w:val="001D16D0"/>
    <w:rsid w:val="001E364F"/>
    <w:rsid w:val="001F4222"/>
    <w:rsid w:val="00203AA1"/>
    <w:rsid w:val="00213E98"/>
    <w:rsid w:val="00214AC2"/>
    <w:rsid w:val="0021539C"/>
    <w:rsid w:val="0023081A"/>
    <w:rsid w:val="00244383"/>
    <w:rsid w:val="002459E0"/>
    <w:rsid w:val="00246014"/>
    <w:rsid w:val="00251C48"/>
    <w:rsid w:val="00254893"/>
    <w:rsid w:val="00260E4B"/>
    <w:rsid w:val="002666B8"/>
    <w:rsid w:val="002820F4"/>
    <w:rsid w:val="0029269A"/>
    <w:rsid w:val="002A0ADE"/>
    <w:rsid w:val="002F2FA9"/>
    <w:rsid w:val="002F460C"/>
    <w:rsid w:val="002F48D6"/>
    <w:rsid w:val="00317391"/>
    <w:rsid w:val="00326216"/>
    <w:rsid w:val="003333C0"/>
    <w:rsid w:val="00335EA2"/>
    <w:rsid w:val="00336580"/>
    <w:rsid w:val="00354899"/>
    <w:rsid w:val="00355FD6"/>
    <w:rsid w:val="00364A5C"/>
    <w:rsid w:val="00373FB1"/>
    <w:rsid w:val="00396C76"/>
    <w:rsid w:val="003B30D8"/>
    <w:rsid w:val="003B7EF2"/>
    <w:rsid w:val="003C3FA4"/>
    <w:rsid w:val="003D0BA1"/>
    <w:rsid w:val="003F2B0C"/>
    <w:rsid w:val="004025C5"/>
    <w:rsid w:val="00407689"/>
    <w:rsid w:val="004105B2"/>
    <w:rsid w:val="00412900"/>
    <w:rsid w:val="00421D69"/>
    <w:rsid w:val="004221E4"/>
    <w:rsid w:val="004273F8"/>
    <w:rsid w:val="004355A3"/>
    <w:rsid w:val="00442E12"/>
    <w:rsid w:val="0044602A"/>
    <w:rsid w:val="00446546"/>
    <w:rsid w:val="00452769"/>
    <w:rsid w:val="00464C9B"/>
    <w:rsid w:val="00465348"/>
    <w:rsid w:val="00465355"/>
    <w:rsid w:val="00483065"/>
    <w:rsid w:val="004861F7"/>
    <w:rsid w:val="00497702"/>
    <w:rsid w:val="004B02CC"/>
    <w:rsid w:val="004B1CCB"/>
    <w:rsid w:val="004B632F"/>
    <w:rsid w:val="004D1799"/>
    <w:rsid w:val="004D18EC"/>
    <w:rsid w:val="004D3FB1"/>
    <w:rsid w:val="004D6F21"/>
    <w:rsid w:val="004D73A5"/>
    <w:rsid w:val="004F669D"/>
    <w:rsid w:val="005150E9"/>
    <w:rsid w:val="005160F1"/>
    <w:rsid w:val="0051697A"/>
    <w:rsid w:val="00524F2F"/>
    <w:rsid w:val="00527E5C"/>
    <w:rsid w:val="00532CF5"/>
    <w:rsid w:val="005351E7"/>
    <w:rsid w:val="005528CB"/>
    <w:rsid w:val="005605C7"/>
    <w:rsid w:val="00563AB9"/>
    <w:rsid w:val="00566771"/>
    <w:rsid w:val="005716E5"/>
    <w:rsid w:val="00581E2E"/>
    <w:rsid w:val="00584F15"/>
    <w:rsid w:val="00587EBF"/>
    <w:rsid w:val="0059514B"/>
    <w:rsid w:val="005976E1"/>
    <w:rsid w:val="005A1B0F"/>
    <w:rsid w:val="005A3676"/>
    <w:rsid w:val="005B3489"/>
    <w:rsid w:val="005E72D5"/>
    <w:rsid w:val="006163F7"/>
    <w:rsid w:val="00616ACF"/>
    <w:rsid w:val="0062082A"/>
    <w:rsid w:val="00625176"/>
    <w:rsid w:val="006251E1"/>
    <w:rsid w:val="00627C63"/>
    <w:rsid w:val="0063350B"/>
    <w:rsid w:val="00652606"/>
    <w:rsid w:val="00670ACB"/>
    <w:rsid w:val="00684949"/>
    <w:rsid w:val="006946EE"/>
    <w:rsid w:val="006A58A9"/>
    <w:rsid w:val="006A606D"/>
    <w:rsid w:val="006B61AA"/>
    <w:rsid w:val="006C0371"/>
    <w:rsid w:val="006C08B6"/>
    <w:rsid w:val="006C0B1A"/>
    <w:rsid w:val="006C6065"/>
    <w:rsid w:val="006C7F9F"/>
    <w:rsid w:val="006E2F6D"/>
    <w:rsid w:val="006E58F6"/>
    <w:rsid w:val="006E72FA"/>
    <w:rsid w:val="006E77E1"/>
    <w:rsid w:val="006F131D"/>
    <w:rsid w:val="00703453"/>
    <w:rsid w:val="00711642"/>
    <w:rsid w:val="00727C7B"/>
    <w:rsid w:val="007507C6"/>
    <w:rsid w:val="00751E0B"/>
    <w:rsid w:val="00752BCD"/>
    <w:rsid w:val="0076262F"/>
    <w:rsid w:val="007663F5"/>
    <w:rsid w:val="00766DA1"/>
    <w:rsid w:val="00777B93"/>
    <w:rsid w:val="00780D94"/>
    <w:rsid w:val="007866A6"/>
    <w:rsid w:val="007A130D"/>
    <w:rsid w:val="007A4BCD"/>
    <w:rsid w:val="007B3AAC"/>
    <w:rsid w:val="007B53F9"/>
    <w:rsid w:val="007C230C"/>
    <w:rsid w:val="007C7149"/>
    <w:rsid w:val="007D1A2D"/>
    <w:rsid w:val="007D4102"/>
    <w:rsid w:val="007D41B1"/>
    <w:rsid w:val="007F43B7"/>
    <w:rsid w:val="008065A5"/>
    <w:rsid w:val="00821FFC"/>
    <w:rsid w:val="008271CA"/>
    <w:rsid w:val="00832BDD"/>
    <w:rsid w:val="00835AE4"/>
    <w:rsid w:val="00837A96"/>
    <w:rsid w:val="008467D5"/>
    <w:rsid w:val="00865BA9"/>
    <w:rsid w:val="00884542"/>
    <w:rsid w:val="00894928"/>
    <w:rsid w:val="008A4DC4"/>
    <w:rsid w:val="008B438C"/>
    <w:rsid w:val="008C3168"/>
    <w:rsid w:val="008C589A"/>
    <w:rsid w:val="008D06CA"/>
    <w:rsid w:val="008D088D"/>
    <w:rsid w:val="008D3A46"/>
    <w:rsid w:val="008D58A8"/>
    <w:rsid w:val="008E0CB9"/>
    <w:rsid w:val="008E3D53"/>
    <w:rsid w:val="008F5967"/>
    <w:rsid w:val="009012DA"/>
    <w:rsid w:val="009067A4"/>
    <w:rsid w:val="00910EBD"/>
    <w:rsid w:val="00930885"/>
    <w:rsid w:val="00933D68"/>
    <w:rsid w:val="009340DB"/>
    <w:rsid w:val="009429BB"/>
    <w:rsid w:val="0094618C"/>
    <w:rsid w:val="0095684B"/>
    <w:rsid w:val="00961B0F"/>
    <w:rsid w:val="00964CFC"/>
    <w:rsid w:val="00971C90"/>
    <w:rsid w:val="00972498"/>
    <w:rsid w:val="0097481F"/>
    <w:rsid w:val="00974CC6"/>
    <w:rsid w:val="00976AD4"/>
    <w:rsid w:val="00985366"/>
    <w:rsid w:val="00995547"/>
    <w:rsid w:val="009A312F"/>
    <w:rsid w:val="009A5348"/>
    <w:rsid w:val="009B0AB7"/>
    <w:rsid w:val="009C76D5"/>
    <w:rsid w:val="009D1CB4"/>
    <w:rsid w:val="009F7AA4"/>
    <w:rsid w:val="00A10AD7"/>
    <w:rsid w:val="00A26694"/>
    <w:rsid w:val="00A35438"/>
    <w:rsid w:val="00A42845"/>
    <w:rsid w:val="00A559DB"/>
    <w:rsid w:val="00A569EA"/>
    <w:rsid w:val="00A7711C"/>
    <w:rsid w:val="00A854C2"/>
    <w:rsid w:val="00A904A7"/>
    <w:rsid w:val="00AA0E62"/>
    <w:rsid w:val="00AC5F7B"/>
    <w:rsid w:val="00AD593E"/>
    <w:rsid w:val="00AF35FC"/>
    <w:rsid w:val="00AF5556"/>
    <w:rsid w:val="00B03639"/>
    <w:rsid w:val="00B0652A"/>
    <w:rsid w:val="00B10C9A"/>
    <w:rsid w:val="00B30A74"/>
    <w:rsid w:val="00B34F0B"/>
    <w:rsid w:val="00B40937"/>
    <w:rsid w:val="00B423EF"/>
    <w:rsid w:val="00B453DE"/>
    <w:rsid w:val="00B62A3C"/>
    <w:rsid w:val="00B6619E"/>
    <w:rsid w:val="00B668A8"/>
    <w:rsid w:val="00B72597"/>
    <w:rsid w:val="00B74B03"/>
    <w:rsid w:val="00B74EDB"/>
    <w:rsid w:val="00B901F9"/>
    <w:rsid w:val="00B95C1C"/>
    <w:rsid w:val="00BA2F13"/>
    <w:rsid w:val="00BC4B27"/>
    <w:rsid w:val="00BD6EFB"/>
    <w:rsid w:val="00BF395C"/>
    <w:rsid w:val="00C1584D"/>
    <w:rsid w:val="00C15BE2"/>
    <w:rsid w:val="00C203A0"/>
    <w:rsid w:val="00C26152"/>
    <w:rsid w:val="00C3447F"/>
    <w:rsid w:val="00C42825"/>
    <w:rsid w:val="00C543F0"/>
    <w:rsid w:val="00C6203A"/>
    <w:rsid w:val="00C66EDA"/>
    <w:rsid w:val="00C67102"/>
    <w:rsid w:val="00C73C4F"/>
    <w:rsid w:val="00C81491"/>
    <w:rsid w:val="00C81676"/>
    <w:rsid w:val="00C85AFE"/>
    <w:rsid w:val="00C85C5D"/>
    <w:rsid w:val="00C92CC4"/>
    <w:rsid w:val="00CA0AFB"/>
    <w:rsid w:val="00CA2CE1"/>
    <w:rsid w:val="00CA3976"/>
    <w:rsid w:val="00CA50E3"/>
    <w:rsid w:val="00CA757B"/>
    <w:rsid w:val="00CC02C0"/>
    <w:rsid w:val="00CC1787"/>
    <w:rsid w:val="00CC182C"/>
    <w:rsid w:val="00CC3503"/>
    <w:rsid w:val="00CD073C"/>
    <w:rsid w:val="00CD0824"/>
    <w:rsid w:val="00CD2908"/>
    <w:rsid w:val="00CE0523"/>
    <w:rsid w:val="00D027CC"/>
    <w:rsid w:val="00D03A82"/>
    <w:rsid w:val="00D13667"/>
    <w:rsid w:val="00D15344"/>
    <w:rsid w:val="00D23F57"/>
    <w:rsid w:val="00D31BEC"/>
    <w:rsid w:val="00D359BC"/>
    <w:rsid w:val="00D4027E"/>
    <w:rsid w:val="00D47A6E"/>
    <w:rsid w:val="00D63150"/>
    <w:rsid w:val="00D636BA"/>
    <w:rsid w:val="00D64A32"/>
    <w:rsid w:val="00D64EFC"/>
    <w:rsid w:val="00D657E1"/>
    <w:rsid w:val="00D700E0"/>
    <w:rsid w:val="00D75295"/>
    <w:rsid w:val="00D76CE9"/>
    <w:rsid w:val="00D97F12"/>
    <w:rsid w:val="00DA6095"/>
    <w:rsid w:val="00DB2938"/>
    <w:rsid w:val="00DB42E7"/>
    <w:rsid w:val="00DC4E46"/>
    <w:rsid w:val="00DD34E2"/>
    <w:rsid w:val="00DE01A6"/>
    <w:rsid w:val="00DE2139"/>
    <w:rsid w:val="00DE7A98"/>
    <w:rsid w:val="00DF01CC"/>
    <w:rsid w:val="00DF32C2"/>
    <w:rsid w:val="00E236EF"/>
    <w:rsid w:val="00E27A72"/>
    <w:rsid w:val="00E471A7"/>
    <w:rsid w:val="00E635CF"/>
    <w:rsid w:val="00EA0AF9"/>
    <w:rsid w:val="00EC6E0A"/>
    <w:rsid w:val="00ED4E18"/>
    <w:rsid w:val="00EE0C32"/>
    <w:rsid w:val="00EE1F37"/>
    <w:rsid w:val="00EE787A"/>
    <w:rsid w:val="00F0159C"/>
    <w:rsid w:val="00F0226B"/>
    <w:rsid w:val="00F105B7"/>
    <w:rsid w:val="00F13220"/>
    <w:rsid w:val="00F17A21"/>
    <w:rsid w:val="00F2085A"/>
    <w:rsid w:val="00F36EB4"/>
    <w:rsid w:val="00F37B27"/>
    <w:rsid w:val="00F46386"/>
    <w:rsid w:val="00F46556"/>
    <w:rsid w:val="00F46C2D"/>
    <w:rsid w:val="00F50E91"/>
    <w:rsid w:val="00F57D29"/>
    <w:rsid w:val="00F96201"/>
    <w:rsid w:val="00FB061A"/>
    <w:rsid w:val="00FD0B18"/>
    <w:rsid w:val="00FD2FAD"/>
    <w:rsid w:val="00FD5D2C"/>
    <w:rsid w:val="00FE14FE"/>
    <w:rsid w:val="00FE4904"/>
    <w:rsid w:val="00FE4C43"/>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E8E463A"/>
  <w15:docId w15:val="{600096F9-3068-4A2F-9E1E-5E1410A7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727C7B"/>
    <w:rPr>
      <w:color w:val="605E5C"/>
      <w:shd w:val="clear" w:color="auto" w:fill="E1DFDD"/>
    </w:rPr>
  </w:style>
  <w:style w:type="character" w:customStyle="1" w:styleId="UnresolvedMention">
    <w:name w:val="Unresolved Mention"/>
    <w:basedOn w:val="DefaultParagraphFont"/>
    <w:uiPriority w:val="99"/>
    <w:semiHidden/>
    <w:unhideWhenUsed/>
    <w:rsid w:val="00806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30546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veypubs.my.salesforce.com/003A0000024hhE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veypubs.my.salesforce.com/003A000001CqbK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4hhEz" TargetMode="External"/><Relationship Id="rId5" Type="http://schemas.openxmlformats.org/officeDocument/2006/relationships/webSettings" Target="webSettings.xml"/><Relationship Id="rId15" Type="http://schemas.openxmlformats.org/officeDocument/2006/relationships/hyperlink" Target="http://www.iveycases.com" TargetMode="External"/><Relationship Id="rId10" Type="http://schemas.openxmlformats.org/officeDocument/2006/relationships/hyperlink" Target="https://iveypubs.my.salesforce.com/003A0000024hhEu" TargetMode="External"/><Relationship Id="rId4" Type="http://schemas.openxmlformats.org/officeDocument/2006/relationships/settings" Target="settings.xml"/><Relationship Id="rId9" Type="http://schemas.openxmlformats.org/officeDocument/2006/relationships/hyperlink" Target="https://iveypubs.my.salesforce.com/003A0000024hhEk" TargetMode="External"/><Relationship Id="rId14" Type="http://schemas.openxmlformats.org/officeDocument/2006/relationships/hyperlink" Target="mailto:cases@ivey.ca"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10717-07A3-4526-A8BF-3ED7FE5B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2015-03-04T20:34:00Z</cp:lastPrinted>
  <dcterms:created xsi:type="dcterms:W3CDTF">2018-08-13T19:12:00Z</dcterms:created>
  <dcterms:modified xsi:type="dcterms:W3CDTF">2018-08-23T19:26:00Z</dcterms:modified>
</cp:coreProperties>
</file>