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69EFDF" w14:textId="1974F66F" w:rsidR="008467D5" w:rsidRPr="00B66E4B" w:rsidRDefault="000528A5" w:rsidP="00013360">
      <w:pPr>
        <w:tabs>
          <w:tab w:val="left" w:pos="-1440"/>
          <w:tab w:val="left" w:pos="-720"/>
          <w:tab w:val="left" w:pos="1"/>
          <w:tab w:val="right" w:pos="9360"/>
        </w:tabs>
        <w:jc w:val="both"/>
        <w:rPr>
          <w:rFonts w:ascii="Arial" w:hAnsi="Arial"/>
          <w:sz w:val="24"/>
        </w:rPr>
      </w:pPr>
      <w:r w:rsidRPr="00B66E4B">
        <w:rPr>
          <w:rFonts w:ascii="Arial" w:hAnsi="Arial"/>
          <w:b/>
          <w:noProof/>
          <w:sz w:val="24"/>
          <w:lang w:val="en-US"/>
        </w:rPr>
        <w:drawing>
          <wp:inline distT="0" distB="0" distL="0" distR="0" wp14:anchorId="371EC58A" wp14:editId="328D1A87">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0F227223" w14:textId="77777777" w:rsidR="00856D9F" w:rsidRPr="00B66E4B" w:rsidRDefault="00856D9F" w:rsidP="008467D5">
      <w:pPr>
        <w:pBdr>
          <w:bottom w:val="single" w:sz="18" w:space="1" w:color="auto"/>
        </w:pBdr>
        <w:tabs>
          <w:tab w:val="left" w:pos="-1440"/>
          <w:tab w:val="left" w:pos="-720"/>
          <w:tab w:val="left" w:pos="1"/>
        </w:tabs>
        <w:jc w:val="both"/>
        <w:rPr>
          <w:rFonts w:ascii="Arial" w:hAnsi="Arial"/>
          <w:b/>
          <w:sz w:val="2"/>
          <w:szCs w:val="2"/>
        </w:rPr>
      </w:pPr>
    </w:p>
    <w:p w14:paraId="378171C5" w14:textId="3F177C33" w:rsidR="00D75295" w:rsidRPr="00B66E4B" w:rsidRDefault="00CF6D6B" w:rsidP="00D46DB5">
      <w:pPr>
        <w:pStyle w:val="ProductNumber"/>
        <w:outlineLvl w:val="0"/>
      </w:pPr>
      <w:r>
        <w:t>9B18E006</w:t>
      </w:r>
    </w:p>
    <w:p w14:paraId="7BF67039" w14:textId="77777777" w:rsidR="00D75295" w:rsidRPr="00B66E4B" w:rsidRDefault="00D75295" w:rsidP="00D75295">
      <w:pPr>
        <w:jc w:val="right"/>
        <w:rPr>
          <w:rFonts w:ascii="Arial" w:hAnsi="Arial"/>
          <w:b/>
          <w:sz w:val="28"/>
          <w:szCs w:val="28"/>
        </w:rPr>
      </w:pPr>
    </w:p>
    <w:p w14:paraId="383C3CDC" w14:textId="77777777" w:rsidR="00866F6D" w:rsidRPr="00B66E4B" w:rsidRDefault="00866F6D" w:rsidP="00D75295">
      <w:pPr>
        <w:jc w:val="right"/>
        <w:rPr>
          <w:rFonts w:ascii="Arial" w:hAnsi="Arial"/>
          <w:b/>
          <w:sz w:val="28"/>
          <w:szCs w:val="28"/>
        </w:rPr>
      </w:pPr>
    </w:p>
    <w:p w14:paraId="79F78B07" w14:textId="09295264" w:rsidR="00013360" w:rsidRPr="00B66E4B" w:rsidRDefault="00D023CF" w:rsidP="00013360">
      <w:pPr>
        <w:pStyle w:val="CaseTitle"/>
        <w:spacing w:after="0" w:line="240" w:lineRule="auto"/>
      </w:pPr>
      <w:r w:rsidRPr="00B66E4B">
        <w:t>ecotricity: An optimal investment decision for electric highway expansion</w:t>
      </w:r>
      <w:r w:rsidR="002636D4">
        <w:rPr>
          <w:rStyle w:val="EndnoteReference"/>
        </w:rPr>
        <w:endnoteReference w:id="1"/>
      </w:r>
    </w:p>
    <w:p w14:paraId="3B71F950" w14:textId="77777777" w:rsidR="00CA3976" w:rsidRPr="00B66E4B" w:rsidRDefault="00CA3976" w:rsidP="00013360">
      <w:pPr>
        <w:pStyle w:val="CaseTitle"/>
        <w:spacing w:after="0" w:line="240" w:lineRule="auto"/>
        <w:rPr>
          <w:sz w:val="20"/>
          <w:szCs w:val="20"/>
        </w:rPr>
      </w:pPr>
    </w:p>
    <w:p w14:paraId="1E7655B8" w14:textId="77777777" w:rsidR="00013360" w:rsidRPr="00B66E4B" w:rsidRDefault="00013360" w:rsidP="00013360">
      <w:pPr>
        <w:pStyle w:val="CaseTitle"/>
        <w:spacing w:after="0" w:line="240" w:lineRule="auto"/>
        <w:rPr>
          <w:sz w:val="20"/>
          <w:szCs w:val="20"/>
        </w:rPr>
      </w:pPr>
    </w:p>
    <w:p w14:paraId="3CC33DA6" w14:textId="2EBFEB9A" w:rsidR="00013360" w:rsidRPr="00B66E4B" w:rsidRDefault="00D023CF" w:rsidP="00104567">
      <w:pPr>
        <w:pStyle w:val="StyleCopyrightStatementAfter0ptBottomSinglesolidline1"/>
      </w:pPr>
      <w:r w:rsidRPr="00B66E4B">
        <w:t>Magesh Nagarajan, Kanaka Balasubramanian</w:t>
      </w:r>
      <w:r w:rsidR="006A4C47" w:rsidRPr="00B66E4B">
        <w:t>,</w:t>
      </w:r>
      <w:r w:rsidRPr="00B66E4B">
        <w:t xml:space="preserve"> </w:t>
      </w:r>
      <w:r w:rsidR="001E6DCC" w:rsidRPr="00B66E4B">
        <w:t xml:space="preserve">and </w:t>
      </w:r>
      <w:r w:rsidRPr="00B66E4B">
        <w:t>Jagannadha Pawan Tamvada</w:t>
      </w:r>
      <w:r w:rsidR="007E5921" w:rsidRPr="00B66E4B">
        <w:t xml:space="preserve"> wrote this case sol</w:t>
      </w:r>
      <w:r w:rsidR="00D75295" w:rsidRPr="00B66E4B">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2920DFEC" w14:textId="77777777" w:rsidR="00013360" w:rsidRPr="00B66E4B" w:rsidRDefault="00013360" w:rsidP="00104567">
      <w:pPr>
        <w:pStyle w:val="StyleCopyrightStatementAfter0ptBottomSinglesolidline1"/>
      </w:pPr>
    </w:p>
    <w:p w14:paraId="29BD21B8" w14:textId="77777777" w:rsidR="000528A5" w:rsidRPr="00B66E4B" w:rsidRDefault="000528A5" w:rsidP="000528A5">
      <w:pPr>
        <w:jc w:val="both"/>
        <w:rPr>
          <w:rFonts w:ascii="Arial" w:hAnsi="Arial" w:cs="Arial"/>
          <w:i/>
          <w:iCs/>
          <w:sz w:val="16"/>
          <w:szCs w:val="16"/>
        </w:rPr>
      </w:pPr>
      <w:r w:rsidRPr="00B66E4B">
        <w:rPr>
          <w:rFonts w:ascii="Arial" w:hAnsi="Arial" w:cs="Arial"/>
          <w:i/>
          <w:iCs/>
          <w:sz w:val="16"/>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B66E4B">
          <w:rPr>
            <w:rFonts w:ascii="Arial" w:hAnsi="Arial" w:cs="Arial"/>
            <w:i/>
            <w:iCs/>
            <w:sz w:val="16"/>
            <w:szCs w:val="16"/>
          </w:rPr>
          <w:t>cases@ivey.ca</w:t>
        </w:r>
      </w:hyperlink>
      <w:r w:rsidRPr="00B66E4B">
        <w:rPr>
          <w:rFonts w:ascii="Arial" w:hAnsi="Arial" w:cs="Arial"/>
          <w:i/>
          <w:iCs/>
          <w:sz w:val="16"/>
          <w:szCs w:val="16"/>
        </w:rPr>
        <w:t xml:space="preserve">; </w:t>
      </w:r>
      <w:hyperlink r:id="rId10" w:history="1">
        <w:r w:rsidRPr="00B66E4B">
          <w:rPr>
            <w:rFonts w:ascii="Arial" w:hAnsi="Arial" w:cs="Arial"/>
            <w:i/>
            <w:iCs/>
            <w:sz w:val="16"/>
            <w:szCs w:val="16"/>
          </w:rPr>
          <w:t>www.iveycases.com</w:t>
        </w:r>
      </w:hyperlink>
      <w:r w:rsidRPr="00B66E4B">
        <w:rPr>
          <w:rFonts w:ascii="Arial" w:hAnsi="Arial" w:cs="Arial"/>
          <w:i/>
          <w:iCs/>
          <w:sz w:val="16"/>
          <w:szCs w:val="16"/>
        </w:rPr>
        <w:t>.</w:t>
      </w:r>
    </w:p>
    <w:p w14:paraId="57C34F75" w14:textId="77777777" w:rsidR="000528A5" w:rsidRPr="00B66E4B" w:rsidRDefault="000528A5" w:rsidP="000528A5">
      <w:pPr>
        <w:pStyle w:val="StyleCopyrightStatementAfter0ptBottomSinglesolidline1"/>
        <w:pBdr>
          <w:top w:val="none" w:sz="0" w:space="0" w:color="auto"/>
        </w:pBdr>
      </w:pPr>
    </w:p>
    <w:p w14:paraId="40ECA09F" w14:textId="5AF73916" w:rsidR="003B7EF2" w:rsidRPr="00B66E4B" w:rsidRDefault="000528A5" w:rsidP="000528A5">
      <w:pPr>
        <w:pStyle w:val="StyleStyleCopyrightStatementAfter0ptBottomSinglesolid"/>
        <w:outlineLvl w:val="0"/>
      </w:pPr>
      <w:r w:rsidRPr="00B66E4B">
        <w:t>Copyright © 2018, Ivey Business School Foundation</w:t>
      </w:r>
      <w:r w:rsidRPr="00B66E4B">
        <w:tab/>
        <w:t>Version: 2018-</w:t>
      </w:r>
      <w:r w:rsidR="002636D4">
        <w:t>03-02</w:t>
      </w:r>
    </w:p>
    <w:p w14:paraId="50DADD7C" w14:textId="77777777" w:rsidR="003B7EF2" w:rsidRPr="00B66E4B" w:rsidRDefault="003B7EF2" w:rsidP="00104567">
      <w:pPr>
        <w:pStyle w:val="StyleCopyrightStatementAfter0ptBottomSinglesolidline1"/>
        <w:rPr>
          <w:rFonts w:ascii="Times New Roman" w:hAnsi="Times New Roman"/>
          <w:sz w:val="20"/>
        </w:rPr>
      </w:pPr>
    </w:p>
    <w:p w14:paraId="6D71634D" w14:textId="0F4DBD2F" w:rsidR="006A0C15" w:rsidRPr="00B66E4B" w:rsidRDefault="006A0C15" w:rsidP="00C458D4">
      <w:pPr>
        <w:pStyle w:val="BodyTextMain"/>
        <w:rPr>
          <w:sz w:val="20"/>
        </w:rPr>
      </w:pPr>
    </w:p>
    <w:p w14:paraId="33083F31" w14:textId="6C4785EF" w:rsidR="00C462C5" w:rsidRPr="00B66E4B" w:rsidRDefault="002A4FDC" w:rsidP="00C1235A">
      <w:pPr>
        <w:pStyle w:val="BodyTextMain"/>
      </w:pPr>
      <w:r w:rsidRPr="00B66E4B">
        <w:t xml:space="preserve">As part of </w:t>
      </w:r>
      <w:r w:rsidR="00D54DFA" w:rsidRPr="00B66E4B">
        <w:t xml:space="preserve">its ambitious plan of building an </w:t>
      </w:r>
      <w:r w:rsidR="006A4C47" w:rsidRPr="00B66E4B">
        <w:t>“</w:t>
      </w:r>
      <w:r w:rsidRPr="00B66E4B">
        <w:t>e</w:t>
      </w:r>
      <w:r w:rsidR="00D54DFA" w:rsidRPr="00B66E4B">
        <w:t>lectric highway</w:t>
      </w:r>
      <w:r w:rsidR="006A4C47" w:rsidRPr="00B66E4B">
        <w:t>,”</w:t>
      </w:r>
      <w:r w:rsidRPr="00B66E4B">
        <w:t xml:space="preserve"> Ecotricity</w:t>
      </w:r>
      <w:r w:rsidR="00F75670" w:rsidRPr="00B66E4B">
        <w:t xml:space="preserve"> Group Ltd</w:t>
      </w:r>
      <w:r w:rsidR="00B66E4B">
        <w:t>. (Ecotricity)</w:t>
      </w:r>
      <w:r w:rsidR="00DA4D5C" w:rsidRPr="00B66E4B">
        <w:t xml:space="preserve">, a prominent supplier of electricity, </w:t>
      </w:r>
      <w:r w:rsidR="006A4C47" w:rsidRPr="00B66E4B">
        <w:t xml:space="preserve">built </w:t>
      </w:r>
      <w:r w:rsidRPr="00B66E4B">
        <w:t xml:space="preserve">a </w:t>
      </w:r>
      <w:r w:rsidR="000E429B" w:rsidRPr="00B66E4B">
        <w:t xml:space="preserve">network of </w:t>
      </w:r>
      <w:r w:rsidR="006A4C47" w:rsidRPr="00B66E4B">
        <w:t xml:space="preserve">free </w:t>
      </w:r>
      <w:r w:rsidR="00D54DFA" w:rsidRPr="00B66E4B">
        <w:t>rapid</w:t>
      </w:r>
      <w:r w:rsidR="00B66E4B">
        <w:t>-</w:t>
      </w:r>
      <w:r w:rsidR="00D54DFA" w:rsidRPr="00B66E4B">
        <w:t xml:space="preserve">charging </w:t>
      </w:r>
      <w:r w:rsidR="006A4C47" w:rsidRPr="00B66E4B">
        <w:t>stations</w:t>
      </w:r>
      <w:r w:rsidR="00B76D23" w:rsidRPr="00B66E4B">
        <w:t xml:space="preserve"> along major highways</w:t>
      </w:r>
      <w:r w:rsidR="006A4C47" w:rsidRPr="00B66E4B">
        <w:t xml:space="preserve">. The stations were </w:t>
      </w:r>
      <w:r w:rsidR="00AA46F4" w:rsidRPr="00B66E4B">
        <w:t xml:space="preserve">on both sides of the roads </w:t>
      </w:r>
      <w:r w:rsidRPr="00B66E4B">
        <w:t xml:space="preserve">at </w:t>
      </w:r>
      <w:r w:rsidR="00D54DFA" w:rsidRPr="00B66E4B">
        <w:t>charging points owned by the company</w:t>
      </w:r>
      <w:r w:rsidR="006A4C47" w:rsidRPr="00B66E4B">
        <w:t>.</w:t>
      </w:r>
      <w:r w:rsidR="00C462C5" w:rsidRPr="00B66E4B">
        <w:rPr>
          <w:rStyle w:val="EndnoteReference"/>
        </w:rPr>
        <w:endnoteReference w:id="2"/>
      </w:r>
      <w:r w:rsidR="00C462C5" w:rsidRPr="00B66E4B">
        <w:t xml:space="preserve"> As of July 2016, the company had 300 rapid chargers throughout the United Kingdom.</w:t>
      </w:r>
      <w:r w:rsidR="00C462C5" w:rsidRPr="00B66E4B">
        <w:rPr>
          <w:rStyle w:val="EndnoteReference"/>
        </w:rPr>
        <w:endnoteReference w:id="3"/>
      </w:r>
      <w:r w:rsidR="00C462C5" w:rsidRPr="00B66E4B">
        <w:t xml:space="preserve"> Ecotricity wanted to expand this network, so needed a strategy for installing new chargers in different segments of the road network in the United Kingdom.</w:t>
      </w:r>
      <w:r w:rsidR="00C462C5" w:rsidRPr="00B66E4B">
        <w:rPr>
          <w:rStyle w:val="EndnoteReference"/>
        </w:rPr>
        <w:endnoteReference w:id="4"/>
      </w:r>
      <w:r w:rsidR="00C462C5" w:rsidRPr="00B66E4B">
        <w:t xml:space="preserve"> To meet the challenges for further growth, how should the company address the demand for chargers in different segments of the network?</w:t>
      </w:r>
      <w:r w:rsidR="00C462C5" w:rsidRPr="00B66E4B">
        <w:rPr>
          <w:rStyle w:val="EndnoteReference"/>
        </w:rPr>
        <w:endnoteReference w:id="5"/>
      </w:r>
      <w:r w:rsidR="00C462C5" w:rsidRPr="00B66E4B">
        <w:t xml:space="preserve"> </w:t>
      </w:r>
      <w:r w:rsidR="00B66E4B" w:rsidRPr="00B66E4B">
        <w:t>C</w:t>
      </w:r>
      <w:r w:rsidR="00B66E4B">
        <w:t>ould</w:t>
      </w:r>
      <w:r w:rsidR="00B66E4B" w:rsidRPr="00B66E4B">
        <w:t xml:space="preserve"> </w:t>
      </w:r>
      <w:r w:rsidR="00C462C5" w:rsidRPr="00B66E4B">
        <w:t xml:space="preserve">Ecotricity succeed </w:t>
      </w:r>
      <w:r w:rsidR="00B66E4B">
        <w:t xml:space="preserve">in the </w:t>
      </w:r>
      <w:r w:rsidR="00C462C5" w:rsidRPr="00B66E4B">
        <w:t>long</w:t>
      </w:r>
      <w:r w:rsidR="00B66E4B">
        <w:t xml:space="preserve"> </w:t>
      </w:r>
      <w:r w:rsidR="00C462C5" w:rsidRPr="00B66E4B">
        <w:t>term with an optimal investment decision for electric highway expansion?</w:t>
      </w:r>
    </w:p>
    <w:p w14:paraId="228B36A2" w14:textId="77777777" w:rsidR="00C462C5" w:rsidRPr="00B66E4B" w:rsidRDefault="00C462C5" w:rsidP="00C458D4">
      <w:pPr>
        <w:pStyle w:val="BodyTextMain"/>
      </w:pPr>
    </w:p>
    <w:p w14:paraId="33427D1E" w14:textId="77777777" w:rsidR="00C462C5" w:rsidRPr="00B66E4B" w:rsidRDefault="00C462C5" w:rsidP="00C458D4">
      <w:pPr>
        <w:pStyle w:val="BodyTextMain"/>
      </w:pPr>
    </w:p>
    <w:p w14:paraId="34A463B9" w14:textId="2F898D73" w:rsidR="00C462C5" w:rsidRPr="00B66E4B" w:rsidDel="00BA62C0" w:rsidRDefault="00C462C5" w:rsidP="00D46DB5">
      <w:pPr>
        <w:pStyle w:val="BodyTextMain"/>
        <w:outlineLvl w:val="0"/>
        <w:rPr>
          <w:rFonts w:ascii="Arial" w:hAnsi="Arial" w:cs="Arial"/>
          <w:b/>
          <w:sz w:val="20"/>
          <w:szCs w:val="20"/>
        </w:rPr>
      </w:pPr>
      <w:r w:rsidRPr="00B66E4B">
        <w:rPr>
          <w:rFonts w:ascii="Arial" w:hAnsi="Arial" w:cs="Arial"/>
          <w:b/>
          <w:sz w:val="20"/>
          <w:szCs w:val="20"/>
        </w:rPr>
        <w:t>ECOTRICITY</w:t>
      </w:r>
    </w:p>
    <w:p w14:paraId="1C50DDD8" w14:textId="77777777" w:rsidR="00C462C5" w:rsidRPr="00B66E4B" w:rsidRDefault="00C462C5" w:rsidP="00C458D4">
      <w:pPr>
        <w:pStyle w:val="BodyTextMain"/>
      </w:pPr>
    </w:p>
    <w:p w14:paraId="0F726A5C" w14:textId="61688146" w:rsidR="00C462C5" w:rsidRPr="0038280A" w:rsidRDefault="00C462C5" w:rsidP="006A0C15">
      <w:pPr>
        <w:pStyle w:val="BodyTextMain"/>
        <w:rPr>
          <w:spacing w:val="-4"/>
        </w:rPr>
      </w:pPr>
      <w:r w:rsidRPr="0038280A">
        <w:rPr>
          <w:spacing w:val="-4"/>
        </w:rPr>
        <w:t>Ecotricity was founded by Dale Vince in 1995 as a social enterprise to fight climate change through electricity. Vince grew up in Norfolk, England, and lived as a “new-age traveller” in the 1990s in an ex-military vehicle powered by a small windmill.</w:t>
      </w:r>
      <w:r w:rsidRPr="0038280A">
        <w:rPr>
          <w:rStyle w:val="EndnoteReference"/>
          <w:spacing w:val="-4"/>
        </w:rPr>
        <w:endnoteReference w:id="6"/>
      </w:r>
      <w:r w:rsidRPr="0038280A">
        <w:rPr>
          <w:spacing w:val="-4"/>
        </w:rPr>
        <w:t xml:space="preserve"> He started Ecotricity in 1995 as a means of getting a fair price for wind power. From its first windmill, established at Lynch Knoll in 1996, not far from the M5 highway, Ecotricity had grown by February 2016 to a customer base of 176,607 homes, with installed capacity of 70.7 megawatts. The company’s annual revenue in fiscal year </w:t>
      </w:r>
      <w:r w:rsidR="00980005" w:rsidRPr="0038280A">
        <w:rPr>
          <w:spacing w:val="-4"/>
        </w:rPr>
        <w:t xml:space="preserve">(FY) </w:t>
      </w:r>
      <w:r w:rsidRPr="0038280A">
        <w:rPr>
          <w:spacing w:val="-4"/>
        </w:rPr>
        <w:t>2014–15 was £109.8 million.</w:t>
      </w:r>
      <w:r w:rsidRPr="0038280A">
        <w:rPr>
          <w:rStyle w:val="EndnoteReference"/>
          <w:spacing w:val="-4"/>
        </w:rPr>
        <w:endnoteReference w:id="7"/>
      </w:r>
      <w:r w:rsidRPr="0038280A">
        <w:rPr>
          <w:spacing w:val="-4"/>
        </w:rPr>
        <w:t xml:space="preserve"> </w:t>
      </w:r>
    </w:p>
    <w:p w14:paraId="13EB5119" w14:textId="77777777" w:rsidR="00C462C5" w:rsidRPr="00B66E4B" w:rsidRDefault="00C462C5" w:rsidP="006A0C15">
      <w:pPr>
        <w:pStyle w:val="BodyTextMain"/>
      </w:pPr>
    </w:p>
    <w:p w14:paraId="71F465AE" w14:textId="1A72C218" w:rsidR="00C462C5" w:rsidRPr="00B66E4B" w:rsidRDefault="00C462C5" w:rsidP="006A0C15">
      <w:pPr>
        <w:pStyle w:val="BodyTextMain"/>
      </w:pPr>
      <w:r w:rsidRPr="00B66E4B">
        <w:t>The company had received many awards, such as the Eurostar Ashden Award for Sustainable Travel (2014) and the P.E.A. (People. Environment. Achievement.) Travel Award for Ecotricity’s electric highway.</w:t>
      </w:r>
      <w:r w:rsidRPr="00B66E4B">
        <w:rPr>
          <w:rStyle w:val="EndnoteReference"/>
        </w:rPr>
        <w:endnoteReference w:id="8"/>
      </w:r>
      <w:r w:rsidRPr="00B66E4B">
        <w:t xml:space="preserve"> In 2004, Vince was named by Queen Elizabeth II as an Officer of the Most Excellent Order of the British Empire (OBE) for “services to the environment and electricity industry.”</w:t>
      </w:r>
      <w:r w:rsidRPr="00B66E4B">
        <w:rPr>
          <w:rStyle w:val="EndnoteReference"/>
        </w:rPr>
        <w:endnoteReference w:id="9"/>
      </w:r>
    </w:p>
    <w:p w14:paraId="28E7A4B7" w14:textId="77777777" w:rsidR="00C462C5" w:rsidRPr="00B66E4B" w:rsidRDefault="00C462C5" w:rsidP="00020067">
      <w:pPr>
        <w:pStyle w:val="BodyTextMain"/>
      </w:pPr>
    </w:p>
    <w:p w14:paraId="25B0CA3D" w14:textId="6956F926" w:rsidR="00C462C5" w:rsidRPr="00B66E4B" w:rsidRDefault="00C462C5" w:rsidP="00020067">
      <w:pPr>
        <w:pStyle w:val="BodyTextMain"/>
      </w:pPr>
      <w:r w:rsidRPr="00B66E4B">
        <w:t xml:space="preserve">In 2010, Ecotricity ventured into green gas—fuel made from renewable resources—making </w:t>
      </w:r>
      <w:r w:rsidR="00980005" w:rsidRPr="00B66E4B">
        <w:t>Ecotricity</w:t>
      </w:r>
      <w:r w:rsidRPr="00B66E4B">
        <w:t xml:space="preserve"> a full-fledged energy company. The company’s mission was to make “green electricity . . . from the wind, the sun and the sea, and green gas . . . from organic material and, soon, grass.”</w:t>
      </w:r>
      <w:r w:rsidRPr="00B66E4B">
        <w:rPr>
          <w:rStyle w:val="EndnoteReference"/>
        </w:rPr>
        <w:endnoteReference w:id="10"/>
      </w:r>
      <w:r w:rsidRPr="00B66E4B">
        <w:t xml:space="preserve"> Ecotricity generated electricity using 86.5 per cent renewable sources (FY 2013–14) when the national average was just 16.7 per cent. In 2014, it introduced 100 per cent green electricity.</w:t>
      </w:r>
      <w:r w:rsidRPr="00B66E4B">
        <w:rPr>
          <w:rStyle w:val="EndnoteReference"/>
        </w:rPr>
        <w:endnoteReference w:id="11"/>
      </w:r>
    </w:p>
    <w:p w14:paraId="48A108E3" w14:textId="77777777" w:rsidR="000528A5" w:rsidRPr="00B66E4B" w:rsidRDefault="000528A5" w:rsidP="00020067">
      <w:pPr>
        <w:pStyle w:val="BodyTextMain"/>
      </w:pPr>
    </w:p>
    <w:p w14:paraId="2726F6E7" w14:textId="3CCE8133" w:rsidR="00C462C5" w:rsidRPr="00B66E4B" w:rsidRDefault="00C462C5" w:rsidP="00020067">
      <w:pPr>
        <w:pStyle w:val="BodyTextMain"/>
      </w:pPr>
      <w:r w:rsidRPr="00B66E4B">
        <w:lastRenderedPageBreak/>
        <w:t>The company used what it called “ecobonds” to raise capital: investment strategies that allow</w:t>
      </w:r>
      <w:r w:rsidR="00980005" w:rsidRPr="00B66E4B">
        <w:t>ed</w:t>
      </w:r>
      <w:r w:rsidRPr="00B66E4B">
        <w:t xml:space="preserve"> customers and the wider public to participate in the financial benefits of Ecotricity’s efforts.</w:t>
      </w:r>
      <w:r w:rsidRPr="00B66E4B">
        <w:rPr>
          <w:rStyle w:val="EndnoteReference"/>
        </w:rPr>
        <w:endnoteReference w:id="12"/>
      </w:r>
      <w:r w:rsidRPr="00B66E4B">
        <w:t xml:space="preserve"> In the third issue of ecobonds, </w:t>
      </w:r>
      <w:r w:rsidR="001F0A2B">
        <w:t>releas</w:t>
      </w:r>
      <w:r w:rsidR="001F0A2B" w:rsidRPr="00B66E4B">
        <w:t xml:space="preserve">ed </w:t>
      </w:r>
      <w:r w:rsidRPr="00B66E4B">
        <w:t>in December 2015, Ecotricity raised £18.5 million in capital for six new renewable energy projects to power 10,000 homes each year.</w:t>
      </w:r>
      <w:r w:rsidRPr="00B66E4B">
        <w:rPr>
          <w:rStyle w:val="EndnoteReference"/>
        </w:rPr>
        <w:endnoteReference w:id="13"/>
      </w:r>
      <w:r w:rsidRPr="00B66E4B">
        <w:t xml:space="preserve"> The bond offered investors 5.5 per cent interest per annum and an additional 0.5 per cent to Ecotricity customers.</w:t>
      </w:r>
      <w:r w:rsidRPr="00B66E4B">
        <w:rPr>
          <w:rStyle w:val="EndnoteReference"/>
        </w:rPr>
        <w:endnoteReference w:id="14"/>
      </w:r>
      <w:r w:rsidRPr="00B66E4B">
        <w:t xml:space="preserve"> Ecotricity also used its customers’ energy bills to </w:t>
      </w:r>
      <w:r w:rsidR="003F524B">
        <w:t xml:space="preserve">fund </w:t>
      </w:r>
      <w:r w:rsidR="003F00F0">
        <w:t>new sources of green energy</w:t>
      </w:r>
      <w:r w:rsidRPr="00B66E4B">
        <w:t xml:space="preserve">. The company referred to this </w:t>
      </w:r>
      <w:r w:rsidR="003F00F0">
        <w:t xml:space="preserve">process </w:t>
      </w:r>
      <w:r w:rsidR="001C40B0">
        <w:t xml:space="preserve">of reinvesting profits into renewable energy projects (instead of issuing dividends) </w:t>
      </w:r>
      <w:r w:rsidRPr="00B66E4B">
        <w:t xml:space="preserve">as </w:t>
      </w:r>
      <w:r w:rsidR="003F00F0">
        <w:t>“</w:t>
      </w:r>
      <w:r w:rsidRPr="00B66E4B">
        <w:t xml:space="preserve">turning </w:t>
      </w:r>
      <w:r w:rsidR="003F00F0">
        <w:t>‘</w:t>
      </w:r>
      <w:r w:rsidRPr="00B66E4B">
        <w:t>Bills into Mills</w:t>
      </w:r>
      <w:r w:rsidR="003F00F0">
        <w:t>’</w:t>
      </w:r>
      <w:r w:rsidRPr="00B66E4B">
        <w:t>”—</w:t>
      </w:r>
      <w:r w:rsidR="001C40B0">
        <w:t>a reference to converting energy bills into energy-producing windmills)</w:t>
      </w:r>
      <w:r w:rsidRPr="00B66E4B">
        <w:t>.</w:t>
      </w:r>
      <w:r w:rsidRPr="00B66E4B">
        <w:rPr>
          <w:rStyle w:val="EndnoteReference"/>
        </w:rPr>
        <w:endnoteReference w:id="15"/>
      </w:r>
      <w:r w:rsidRPr="00B66E4B">
        <w:t xml:space="preserve"> </w:t>
      </w:r>
    </w:p>
    <w:p w14:paraId="4A3C580F" w14:textId="77777777" w:rsidR="00C462C5" w:rsidRPr="00B66E4B" w:rsidRDefault="00C462C5" w:rsidP="00020067">
      <w:pPr>
        <w:pStyle w:val="BodyTextMain"/>
      </w:pPr>
    </w:p>
    <w:p w14:paraId="108CC7F5" w14:textId="70924072" w:rsidR="00C462C5" w:rsidRPr="00B66E4B" w:rsidRDefault="00C462C5" w:rsidP="00020067">
      <w:pPr>
        <w:pStyle w:val="BodyTextMain"/>
      </w:pPr>
      <w:r w:rsidRPr="00B66E4B">
        <w:t>Ecotricity’s mission was to “change the way electricity is made and used in Britain” with “three principal attractions: the greenest energy, the best customer service, and an ethical pricing policy”—an effort that earned the company praise and loyalty.</w:t>
      </w:r>
      <w:r w:rsidRPr="00B66E4B">
        <w:rPr>
          <w:rStyle w:val="EndnoteReference"/>
        </w:rPr>
        <w:endnoteReference w:id="16"/>
      </w:r>
      <w:r w:rsidRPr="00B66E4B">
        <w:t xml:space="preserve"> In a survey conducted by Which? Switch, an energy supplier switching service, Ecotricity was rated as the best energy company with a score of 84</w:t>
      </w:r>
      <w:r w:rsidR="00041362">
        <w:t xml:space="preserve"> </w:t>
      </w:r>
      <w:r w:rsidRPr="00B66E4B">
        <w:t>per cent and the lowest number of complaints (0.84 per 1,000 customers), trouncing all the major players in the energy market</w:t>
      </w:r>
      <w:r w:rsidR="00980005" w:rsidRPr="00B66E4B">
        <w:t xml:space="preserve">, who </w:t>
      </w:r>
      <w:r w:rsidR="0054531A">
        <w:t>received</w:t>
      </w:r>
      <w:r w:rsidR="0054531A" w:rsidRPr="00B66E4B">
        <w:t xml:space="preserve"> </w:t>
      </w:r>
      <w:r w:rsidRPr="00B66E4B">
        <w:t>an average of 16.31 complaints per 1,000 customers.</w:t>
      </w:r>
      <w:r w:rsidRPr="00B66E4B">
        <w:rPr>
          <w:rStyle w:val="EndnoteReference"/>
        </w:rPr>
        <w:endnoteReference w:id="17"/>
      </w:r>
      <w:r w:rsidRPr="00B66E4B">
        <w:t xml:space="preserve"> Molly Scott Gato (an Ecotricity customer) proudly reported, “You do feel better when you know that it is not polluting the environment every time you are using an electrical appliance.”</w:t>
      </w:r>
      <w:r w:rsidRPr="00B66E4B">
        <w:rPr>
          <w:rStyle w:val="EndnoteReference"/>
        </w:rPr>
        <w:endnoteReference w:id="18"/>
      </w:r>
      <w:r w:rsidRPr="00B66E4B">
        <w:t xml:space="preserve"> </w:t>
      </w:r>
    </w:p>
    <w:p w14:paraId="7C30A9F0" w14:textId="77777777" w:rsidR="00C462C5" w:rsidRPr="00B66E4B" w:rsidRDefault="00C462C5" w:rsidP="00C458D4">
      <w:pPr>
        <w:pStyle w:val="BodyTextMain"/>
      </w:pPr>
    </w:p>
    <w:p w14:paraId="19AA9697" w14:textId="77777777" w:rsidR="00C462C5" w:rsidRPr="00B66E4B" w:rsidRDefault="00C462C5" w:rsidP="00C458D4">
      <w:pPr>
        <w:pStyle w:val="BodyTextMain"/>
      </w:pPr>
    </w:p>
    <w:p w14:paraId="13403DD1" w14:textId="0BD985DE" w:rsidR="00C462C5" w:rsidRPr="00B66E4B" w:rsidRDefault="00C462C5" w:rsidP="00D46DB5">
      <w:pPr>
        <w:pStyle w:val="Casehead2"/>
        <w:outlineLvl w:val="0"/>
      </w:pPr>
      <w:r w:rsidRPr="00B66E4B">
        <w:t>GREEN BRITAIN: DALE VINCE’S VISION FOR 2030</w:t>
      </w:r>
    </w:p>
    <w:p w14:paraId="22902F4E" w14:textId="77777777" w:rsidR="00C462C5" w:rsidRPr="00B66E4B" w:rsidRDefault="00C462C5" w:rsidP="00C458D4">
      <w:pPr>
        <w:pStyle w:val="BodyTextMain"/>
      </w:pPr>
    </w:p>
    <w:p w14:paraId="1DF1E235" w14:textId="7FF11F52" w:rsidR="00C462C5" w:rsidRPr="00B66E4B" w:rsidRDefault="00C462C5" w:rsidP="00C458D4">
      <w:pPr>
        <w:pStyle w:val="BodyTextMain"/>
      </w:pPr>
      <w:r w:rsidRPr="00B66E4B">
        <w:t>Vince had a vision of a “Green Britain” by 2030. He maintained that, “Britain can be self-powered using renewable energy . . . and basically [can be] a country powered fully by renewable energy.”</w:t>
      </w:r>
      <w:r w:rsidRPr="00B66E4B">
        <w:rPr>
          <w:rStyle w:val="EndnoteReference"/>
        </w:rPr>
        <w:endnoteReference w:id="19"/>
      </w:r>
      <w:r w:rsidRPr="00B66E4B">
        <w:t xml:space="preserve"> According to Vince, his initiatives were not motivated merely by climate change but also by the wish to create jobs, transport, and energy supply in a sustainable manner, and to move away from conventional resources such as coal plants.</w:t>
      </w:r>
      <w:r w:rsidRPr="00B66E4B">
        <w:rPr>
          <w:rStyle w:val="EndnoteReference"/>
        </w:rPr>
        <w:endnoteReference w:id="20"/>
      </w:r>
      <w:r w:rsidRPr="00B66E4B">
        <w:t xml:space="preserve"> </w:t>
      </w:r>
    </w:p>
    <w:p w14:paraId="37829512" w14:textId="77777777" w:rsidR="00C462C5" w:rsidRPr="00B66E4B" w:rsidRDefault="00C462C5" w:rsidP="00C458D4">
      <w:pPr>
        <w:pStyle w:val="BodyTextMain"/>
      </w:pPr>
    </w:p>
    <w:p w14:paraId="1073758B" w14:textId="35BF3EC4" w:rsidR="00C462C5" w:rsidRPr="00B66E4B" w:rsidRDefault="00C462C5" w:rsidP="00C458D4">
      <w:pPr>
        <w:pStyle w:val="BodyTextMain"/>
      </w:pPr>
      <w:r w:rsidRPr="00B66E4B">
        <w:t>Vince believed that “half of the vehicles on the road in Britain will be electric. Every new car sale by [2030] will be electric. [Britain] will be saving £8 billion a year in avoiding burning petrol and diesel, and our health system will be better off by £1.25 billion due to cleaner air and breathing</w:t>
      </w:r>
      <w:r w:rsidR="0087546C" w:rsidRPr="00B66E4B">
        <w:t>-</w:t>
      </w:r>
      <w:r w:rsidRPr="00B66E4B">
        <w:t>related health problems.” These estimates were based on a modelling study Ecotricity commissioned from Cambridge Econometrics.</w:t>
      </w:r>
      <w:r w:rsidRPr="00B66E4B">
        <w:rPr>
          <w:rStyle w:val="EndnoteReference"/>
        </w:rPr>
        <w:endnoteReference w:id="21"/>
      </w:r>
      <w:r w:rsidRPr="00B66E4B">
        <w:t xml:space="preserve"> If Vince’s vision was realized, there would be a significant increase in the number of electric vehicles (EVs) and in the demand for battery charging. A rapid expansion in the charging</w:t>
      </w:r>
      <w:r w:rsidR="001173A3">
        <w:t>-</w:t>
      </w:r>
      <w:r w:rsidRPr="00B66E4B">
        <w:t>point infrastructure was needed to meet this projected growth of EVs.</w:t>
      </w:r>
    </w:p>
    <w:p w14:paraId="6551DFEE" w14:textId="77777777" w:rsidR="00C462C5" w:rsidRPr="00B66E4B" w:rsidRDefault="00C462C5" w:rsidP="002269F5">
      <w:pPr>
        <w:pStyle w:val="BodyTextMain"/>
      </w:pPr>
    </w:p>
    <w:p w14:paraId="07B7C2E7" w14:textId="77777777" w:rsidR="00C462C5" w:rsidRPr="00B66E4B" w:rsidRDefault="00C462C5" w:rsidP="002269F5">
      <w:pPr>
        <w:pStyle w:val="BodyTextMain"/>
      </w:pPr>
    </w:p>
    <w:p w14:paraId="1108A0C7" w14:textId="6B689CB3" w:rsidR="00C462C5" w:rsidRPr="00B66E4B" w:rsidRDefault="00C462C5" w:rsidP="00D46DB5">
      <w:pPr>
        <w:pStyle w:val="Casehead1"/>
        <w:outlineLvl w:val="0"/>
      </w:pPr>
      <w:r w:rsidRPr="00B66E4B">
        <w:t>Electric vehicles and charging points</w:t>
      </w:r>
    </w:p>
    <w:p w14:paraId="130CBAAD" w14:textId="77777777" w:rsidR="00C462C5" w:rsidRPr="00B66E4B" w:rsidRDefault="00C462C5" w:rsidP="00C458D4">
      <w:pPr>
        <w:pStyle w:val="BodyTextMain"/>
      </w:pPr>
    </w:p>
    <w:p w14:paraId="6A624427" w14:textId="60480304" w:rsidR="00C462C5" w:rsidRPr="00B66E4B" w:rsidRDefault="00C462C5" w:rsidP="00C458D4">
      <w:pPr>
        <w:pStyle w:val="BodyTextMain"/>
      </w:pPr>
      <w:r w:rsidRPr="00B66E4B">
        <w:t>In 2014, Ecotricity launched its electric highway, a network of battery</w:t>
      </w:r>
      <w:r w:rsidR="00041362">
        <w:t>-</w:t>
      </w:r>
      <w:r w:rsidRPr="00B66E4B">
        <w:t>charging points</w:t>
      </w:r>
      <w:r w:rsidR="00AC0841" w:rsidRPr="00B66E4B">
        <w:t>, initially accessed for free by registered users</w:t>
      </w:r>
      <w:r w:rsidRPr="00B66E4B">
        <w:t xml:space="preserve">. </w:t>
      </w:r>
      <w:r w:rsidR="00AC0841" w:rsidRPr="00B66E4B">
        <w:t xml:space="preserve">Customers registered on Ecotricity’s website to receive a swipe card that they could use at the free charging points on the network. </w:t>
      </w:r>
      <w:r w:rsidRPr="00B66E4B">
        <w:t xml:space="preserve">Simon Crowfoot, the managing director of the electric highway project, described the self-regulating nature of the electric highway: </w:t>
      </w:r>
    </w:p>
    <w:p w14:paraId="56DD8D0B" w14:textId="77777777" w:rsidR="00C462C5" w:rsidRPr="00B66E4B" w:rsidRDefault="00C462C5" w:rsidP="00C458D4">
      <w:pPr>
        <w:pStyle w:val="BodyTextMain"/>
      </w:pPr>
    </w:p>
    <w:p w14:paraId="0C78C906" w14:textId="64D8B19E" w:rsidR="00C462C5" w:rsidRPr="00B66E4B" w:rsidRDefault="00C462C5" w:rsidP="009914C9">
      <w:pPr>
        <w:pStyle w:val="BodyTextMain"/>
        <w:ind w:left="720"/>
        <w:rPr>
          <w:iCs/>
        </w:rPr>
      </w:pPr>
      <w:r w:rsidRPr="00B66E4B">
        <w:rPr>
          <w:iCs/>
        </w:rPr>
        <w:t>Ecotricity’s electric highway is an open nationwide network, currently free to join, free to use and powered by renewable energy. We encourage our registered customers to behave respectfully to other users and to abide by our terms and conditions of use. We also publish and distribute a “good etiquette guide” to encourage users to behave fairly. It is in the interests of all drivers to respect this code as we all transition to lower emissions travel.</w:t>
      </w:r>
      <w:r w:rsidRPr="00B66E4B">
        <w:rPr>
          <w:rStyle w:val="EndnoteReference"/>
          <w:iCs/>
        </w:rPr>
        <w:endnoteReference w:id="22"/>
      </w:r>
    </w:p>
    <w:p w14:paraId="10C49F7C" w14:textId="77777777" w:rsidR="00C462C5" w:rsidRPr="00B66E4B" w:rsidRDefault="00C462C5" w:rsidP="009914C9">
      <w:pPr>
        <w:pStyle w:val="BodyTextMain"/>
      </w:pPr>
    </w:p>
    <w:p w14:paraId="627B1681" w14:textId="70B3CF8D" w:rsidR="00C462C5" w:rsidRPr="00B66E4B" w:rsidRDefault="00C462C5" w:rsidP="00C458D4">
      <w:pPr>
        <w:pStyle w:val="BodyTextMain"/>
        <w:rPr>
          <w:spacing w:val="-2"/>
        </w:rPr>
      </w:pPr>
      <w:r w:rsidRPr="00B66E4B">
        <w:rPr>
          <w:spacing w:val="-2"/>
        </w:rPr>
        <w:lastRenderedPageBreak/>
        <w:t xml:space="preserve">On average, the electric highway network delivered 5 million miles </w:t>
      </w:r>
      <w:r w:rsidR="00041362">
        <w:rPr>
          <w:spacing w:val="-2"/>
        </w:rPr>
        <w:t xml:space="preserve">(8 million kilometres) </w:t>
      </w:r>
      <w:r w:rsidRPr="00B66E4B">
        <w:rPr>
          <w:spacing w:val="-2"/>
        </w:rPr>
        <w:t>of emission-free clean electricity for EV customers.</w:t>
      </w:r>
      <w:r w:rsidRPr="00B66E4B">
        <w:rPr>
          <w:rStyle w:val="EndnoteReference"/>
          <w:spacing w:val="-2"/>
        </w:rPr>
        <w:endnoteReference w:id="23"/>
      </w:r>
      <w:r w:rsidRPr="00B66E4B">
        <w:rPr>
          <w:spacing w:val="-2"/>
        </w:rPr>
        <w:t xml:space="preserve"> Rapid chargers (Type A) were installed by the company in diverse locations, such as in public parking lots at IKEA Coventry, Birmingham Airport, and the Welcome Break station on the M3.</w:t>
      </w:r>
      <w:r w:rsidRPr="00B66E4B">
        <w:rPr>
          <w:rStyle w:val="EndnoteReference"/>
          <w:spacing w:val="-2"/>
        </w:rPr>
        <w:endnoteReference w:id="24"/>
      </w:r>
      <w:r w:rsidRPr="00B66E4B">
        <w:rPr>
          <w:spacing w:val="-2"/>
        </w:rPr>
        <w:t xml:space="preserve"> The company had also already begun to expand its highway network by installing charging points along highways (A-roads) and in airports and ports, subject to the available power supply capacity.</w:t>
      </w:r>
      <w:r w:rsidRPr="00B66E4B">
        <w:rPr>
          <w:rStyle w:val="EndnoteReference"/>
          <w:spacing w:val="-2"/>
        </w:rPr>
        <w:endnoteReference w:id="25"/>
      </w:r>
      <w:r w:rsidRPr="00B66E4B">
        <w:rPr>
          <w:spacing w:val="-2"/>
        </w:rPr>
        <w:t xml:space="preserve"> Still, there were insufficient charging points. John Chivers, an Ecotricity charging</w:t>
      </w:r>
      <w:r w:rsidR="00C624EF">
        <w:rPr>
          <w:spacing w:val="-2"/>
        </w:rPr>
        <w:t>-</w:t>
      </w:r>
      <w:r w:rsidRPr="00B66E4B">
        <w:rPr>
          <w:spacing w:val="-2"/>
        </w:rPr>
        <w:t>point user, pointed to the shortage of rapid chargers and recommended that Ecotricity impose charging</w:t>
      </w:r>
      <w:r w:rsidR="001173A3">
        <w:rPr>
          <w:spacing w:val="-2"/>
        </w:rPr>
        <w:t>-</w:t>
      </w:r>
      <w:r w:rsidRPr="00B66E4B">
        <w:rPr>
          <w:spacing w:val="-2"/>
        </w:rPr>
        <w:t>time restrictions, such as 40–50 minutes.</w:t>
      </w:r>
      <w:r w:rsidRPr="00B66E4B">
        <w:rPr>
          <w:rStyle w:val="EndnoteReference"/>
          <w:spacing w:val="-2"/>
        </w:rPr>
        <w:endnoteReference w:id="26"/>
      </w:r>
    </w:p>
    <w:p w14:paraId="2750726B" w14:textId="77777777" w:rsidR="00C462C5" w:rsidRPr="00B66E4B" w:rsidRDefault="00C462C5" w:rsidP="000D6FAF">
      <w:pPr>
        <w:pStyle w:val="BodyTextMain"/>
        <w:rPr>
          <w:spacing w:val="-2"/>
        </w:rPr>
      </w:pPr>
    </w:p>
    <w:p w14:paraId="54424238" w14:textId="77777777" w:rsidR="00C462C5" w:rsidRPr="00B66E4B" w:rsidRDefault="00C462C5" w:rsidP="000D6FAF">
      <w:pPr>
        <w:pStyle w:val="BodyTextMain"/>
      </w:pPr>
    </w:p>
    <w:p w14:paraId="54DAF513" w14:textId="33150AF2" w:rsidR="00C462C5" w:rsidRPr="00B66E4B" w:rsidRDefault="00C462C5" w:rsidP="00D46DB5">
      <w:pPr>
        <w:pStyle w:val="Casehead2"/>
        <w:outlineLvl w:val="0"/>
      </w:pPr>
      <w:r w:rsidRPr="00B66E4B">
        <w:t>Electric Vehicle Chargers</w:t>
      </w:r>
    </w:p>
    <w:p w14:paraId="03EA842D" w14:textId="77777777" w:rsidR="00C462C5" w:rsidRPr="00B66E4B" w:rsidRDefault="00C462C5" w:rsidP="000D6FAF">
      <w:pPr>
        <w:pStyle w:val="BodyTextMain"/>
      </w:pPr>
    </w:p>
    <w:p w14:paraId="1DDA348D" w14:textId="3D2E388D" w:rsidR="00C462C5" w:rsidRPr="00B66E4B" w:rsidRDefault="00C462C5" w:rsidP="00C458D4">
      <w:pPr>
        <w:pStyle w:val="BodyTextMain"/>
        <w:rPr>
          <w:color w:val="000000" w:themeColor="text1"/>
        </w:rPr>
      </w:pPr>
      <w:r w:rsidRPr="00B66E4B">
        <w:t>There were three broad classifications of EV charg</w:t>
      </w:r>
      <w:r w:rsidR="00AF7980" w:rsidRPr="00B66E4B">
        <w:t>ing</w:t>
      </w:r>
      <w:r w:rsidRPr="00B66E4B">
        <w:t xml:space="preserve"> devices, categorized by how long it took to fully recharge the batteries. Slow chargers too</w:t>
      </w:r>
      <w:r w:rsidR="00AF7980" w:rsidRPr="00B66E4B">
        <w:t>k</w:t>
      </w:r>
      <w:r w:rsidRPr="00B66E4B">
        <w:t xml:space="preserve"> 6–8 hours; fast chargers, 3–4 hours for a complete recharge; and rapid chargers typically took 30 minutes for an 80 per cent recharge.</w:t>
      </w:r>
      <w:r w:rsidRPr="00B66E4B">
        <w:rPr>
          <w:rStyle w:val="EndnoteReference"/>
        </w:rPr>
        <w:endnoteReference w:id="27"/>
      </w:r>
      <w:r w:rsidRPr="00B66E4B">
        <w:t xml:space="preserve"> The time for charging also depended on the vehicle being charged. </w:t>
      </w:r>
      <w:r w:rsidRPr="00B66E4B">
        <w:rPr>
          <w:color w:val="000000" w:themeColor="text1"/>
        </w:rPr>
        <w:t>The research project My Electric Avenue, which monitored EV usage and charging behaviours, found that 75 per cent of EVs were charged only once a day and that 65 per cent were charged to a full battery.</w:t>
      </w:r>
      <w:r w:rsidRPr="00B66E4B">
        <w:rPr>
          <w:rStyle w:val="EndnoteReference"/>
        </w:rPr>
        <w:endnoteReference w:id="28"/>
      </w:r>
      <w:r w:rsidRPr="00B66E4B">
        <w:t xml:space="preserve"> </w:t>
      </w:r>
    </w:p>
    <w:p w14:paraId="52D9A318" w14:textId="77777777" w:rsidR="00C462C5" w:rsidRPr="00B66E4B" w:rsidRDefault="00C462C5" w:rsidP="00C458D4">
      <w:pPr>
        <w:pStyle w:val="BodyTextMain"/>
        <w:rPr>
          <w:color w:val="000000" w:themeColor="text1"/>
        </w:rPr>
      </w:pPr>
    </w:p>
    <w:p w14:paraId="562870CA" w14:textId="313C5B74" w:rsidR="00C462C5" w:rsidRPr="00B66E4B" w:rsidRDefault="00C462C5" w:rsidP="00C458D4">
      <w:pPr>
        <w:pStyle w:val="BodyTextMain"/>
      </w:pPr>
      <w:r w:rsidRPr="00B66E4B">
        <w:t>Each rapid and fast charger could have multiple connectors, allowing more than one car to simultaneously charge. Among the 10,356 connectors available in February 2016, rapid</w:t>
      </w:r>
      <w:r w:rsidR="001173A3">
        <w:t>-</w:t>
      </w:r>
      <w:r w:rsidRPr="00B66E4B">
        <w:t xml:space="preserve">charging points offered by the various service providers accounted for 1,904 connectors in 866 devices across 651 locations. Ecotricity wanted to grow its highway network by installing more </w:t>
      </w:r>
      <w:r w:rsidR="008D1D15" w:rsidRPr="00B66E4B">
        <w:t xml:space="preserve">of these </w:t>
      </w:r>
      <w:r w:rsidRPr="00B66E4B">
        <w:t>rapid chargers.</w:t>
      </w:r>
      <w:r w:rsidRPr="00B66E4B">
        <w:rPr>
          <w:rStyle w:val="EndnoteReference"/>
        </w:rPr>
        <w:endnoteReference w:id="29"/>
      </w:r>
    </w:p>
    <w:p w14:paraId="35DBF15D" w14:textId="77777777" w:rsidR="00C462C5" w:rsidRPr="00B66E4B" w:rsidRDefault="00C462C5" w:rsidP="002E4D57">
      <w:pPr>
        <w:pStyle w:val="BodyTextMain"/>
        <w:rPr>
          <w:color w:val="000000" w:themeColor="text1"/>
        </w:rPr>
      </w:pPr>
    </w:p>
    <w:p w14:paraId="3C8C65CE" w14:textId="0F42E832" w:rsidR="00C462C5" w:rsidRPr="0038280A" w:rsidRDefault="00C462C5" w:rsidP="00C458D4">
      <w:pPr>
        <w:pStyle w:val="BodyTextMain"/>
        <w:rPr>
          <w:spacing w:val="-2"/>
        </w:rPr>
      </w:pPr>
      <w:r w:rsidRPr="0038280A">
        <w:rPr>
          <w:spacing w:val="-2"/>
        </w:rPr>
        <w:t xml:space="preserve">Zap-Map was a widely used tool for </w:t>
      </w:r>
      <w:r w:rsidR="00733C7E" w:rsidRPr="0038280A">
        <w:rPr>
          <w:spacing w:val="-2"/>
        </w:rPr>
        <w:t xml:space="preserve">locating </w:t>
      </w:r>
      <w:r w:rsidRPr="0038280A">
        <w:rPr>
          <w:spacing w:val="-2"/>
        </w:rPr>
        <w:t xml:space="preserve">charging points in a network. It was designed as a guide on several aspects of ownership for EV buyers. For example, Zap-Map recommended a driving range of 80–100 miles </w:t>
      </w:r>
      <w:r w:rsidR="00C624EF" w:rsidRPr="0038280A">
        <w:rPr>
          <w:spacing w:val="-2"/>
        </w:rPr>
        <w:t xml:space="preserve">(130–160 kilometres) </w:t>
      </w:r>
      <w:r w:rsidRPr="0038280A">
        <w:rPr>
          <w:spacing w:val="-2"/>
        </w:rPr>
        <w:t>per day for EV cars, making these vehicles particularly suitable for short commut</w:t>
      </w:r>
      <w:r w:rsidR="008D1D15" w:rsidRPr="0038280A">
        <w:rPr>
          <w:spacing w:val="-2"/>
        </w:rPr>
        <w:t>es</w:t>
      </w:r>
      <w:r w:rsidRPr="0038280A">
        <w:rPr>
          <w:spacing w:val="-2"/>
        </w:rPr>
        <w:t>.</w:t>
      </w:r>
      <w:r w:rsidRPr="0038280A">
        <w:rPr>
          <w:rStyle w:val="EndnoteReference"/>
          <w:spacing w:val="-2"/>
        </w:rPr>
        <w:endnoteReference w:id="30"/>
      </w:r>
      <w:r w:rsidRPr="0038280A">
        <w:rPr>
          <w:spacing w:val="-2"/>
        </w:rPr>
        <w:t xml:space="preserve"> The mileage that could be obtained also depended on the EV model, road congestion, road conditions, and climate. Open Charge Map and PlugShare were two crowd-sourced initiatives that </w:t>
      </w:r>
      <w:r w:rsidR="008D1D15" w:rsidRPr="0038280A">
        <w:rPr>
          <w:spacing w:val="-2"/>
        </w:rPr>
        <w:t xml:space="preserve">also </w:t>
      </w:r>
      <w:r w:rsidRPr="0038280A">
        <w:rPr>
          <w:spacing w:val="-2"/>
        </w:rPr>
        <w:t>provided information about charging</w:t>
      </w:r>
      <w:r w:rsidR="001173A3" w:rsidRPr="0038280A">
        <w:rPr>
          <w:spacing w:val="-2"/>
        </w:rPr>
        <w:t>-</w:t>
      </w:r>
      <w:r w:rsidRPr="0038280A">
        <w:rPr>
          <w:spacing w:val="-2"/>
        </w:rPr>
        <w:t>point locations. The U.K. user base for these initiatives was growing.</w:t>
      </w:r>
    </w:p>
    <w:p w14:paraId="04D13041" w14:textId="77777777" w:rsidR="00C462C5" w:rsidRPr="00B66E4B" w:rsidRDefault="00C462C5" w:rsidP="00C458D4">
      <w:pPr>
        <w:pStyle w:val="BodyTextMain"/>
      </w:pPr>
    </w:p>
    <w:p w14:paraId="182A631D" w14:textId="6860A7F5" w:rsidR="00C462C5" w:rsidRPr="0038280A" w:rsidRDefault="00C462C5" w:rsidP="00C458D4">
      <w:pPr>
        <w:pStyle w:val="BodyTextMain"/>
        <w:rPr>
          <w:spacing w:val="-2"/>
        </w:rPr>
      </w:pPr>
      <w:r w:rsidRPr="0038280A">
        <w:rPr>
          <w:spacing w:val="-2"/>
        </w:rPr>
        <w:t>The government’s Electric Vehicle Homecharge Scheme provided EV purchasers with a subsidy of 75 per cent of the total capital cost of installing a home chargepoint, up to a maximum of £500 including taxes.</w:t>
      </w:r>
      <w:r w:rsidRPr="0038280A">
        <w:rPr>
          <w:rStyle w:val="EndnoteReference"/>
          <w:spacing w:val="-2"/>
        </w:rPr>
        <w:endnoteReference w:id="31"/>
      </w:r>
      <w:r w:rsidRPr="0038280A">
        <w:rPr>
          <w:spacing w:val="-2"/>
        </w:rPr>
        <w:t xml:space="preserve"> The typical cost of a home slow charger was about £1,000 per unit. There were various models available </w:t>
      </w:r>
      <w:r w:rsidR="008D1D15" w:rsidRPr="0038280A">
        <w:rPr>
          <w:spacing w:val="-2"/>
        </w:rPr>
        <w:t>o</w:t>
      </w:r>
      <w:r w:rsidRPr="0038280A">
        <w:rPr>
          <w:spacing w:val="-2"/>
        </w:rPr>
        <w:t>n the market, such as WallPod: EV HomeCharge by Rolec Services Ltd., Chargemaster plc’s Homecharge, Pod Point’s 3 kilowatt (kW) and 7</w:t>
      </w:r>
      <w:r w:rsidR="00C624EF" w:rsidRPr="0038280A">
        <w:rPr>
          <w:spacing w:val="-2"/>
        </w:rPr>
        <w:t xml:space="preserve"> </w:t>
      </w:r>
      <w:r w:rsidRPr="0038280A">
        <w:rPr>
          <w:spacing w:val="-2"/>
        </w:rPr>
        <w:t>kW models, and the GE WattStation, taken over by Chargemaster.</w:t>
      </w:r>
      <w:r w:rsidRPr="0038280A">
        <w:rPr>
          <w:rStyle w:val="EndnoteReference"/>
          <w:spacing w:val="-2"/>
        </w:rPr>
        <w:endnoteReference w:id="32"/>
      </w:r>
      <w:r w:rsidRPr="0038280A">
        <w:rPr>
          <w:spacing w:val="-2"/>
        </w:rPr>
        <w:t xml:space="preserve"> </w:t>
      </w:r>
    </w:p>
    <w:p w14:paraId="191D7EFF" w14:textId="77777777" w:rsidR="00C462C5" w:rsidRPr="00B66E4B" w:rsidRDefault="00C462C5" w:rsidP="00C458D4">
      <w:pPr>
        <w:pStyle w:val="BodyTextMain"/>
      </w:pPr>
    </w:p>
    <w:p w14:paraId="53CB71EE" w14:textId="22D298E4" w:rsidR="00C462C5" w:rsidRPr="00B66E4B" w:rsidRDefault="00C462C5" w:rsidP="00C458D4">
      <w:pPr>
        <w:pStyle w:val="BodyTextMain"/>
      </w:pPr>
      <w:r w:rsidRPr="00B66E4B">
        <w:t xml:space="preserve">Depending on the EV model, a user could buy a suitable connector or adaptor that would allow </w:t>
      </w:r>
      <w:r w:rsidR="00866E37">
        <w:t xml:space="preserve">an </w:t>
      </w:r>
      <w:r w:rsidRPr="00B66E4B">
        <w:t xml:space="preserve">EV </w:t>
      </w:r>
      <w:r w:rsidR="00866E37">
        <w:t xml:space="preserve">to be charged </w:t>
      </w:r>
      <w:r w:rsidRPr="00B66E4B">
        <w:t xml:space="preserve">at various charging points. Some private owners registered their </w:t>
      </w:r>
      <w:r w:rsidR="008614FA">
        <w:t xml:space="preserve">home- or office-based </w:t>
      </w:r>
      <w:r w:rsidRPr="00B66E4B">
        <w:t>chargers with charging</w:t>
      </w:r>
      <w:r w:rsidR="001173A3">
        <w:t>-</w:t>
      </w:r>
      <w:r w:rsidRPr="00B66E4B">
        <w:t xml:space="preserve">point information providers such as PlugShare or Zap-Map </w:t>
      </w:r>
      <w:r w:rsidR="00733C7E">
        <w:t xml:space="preserve">to </w:t>
      </w:r>
      <w:r w:rsidRPr="00B66E4B">
        <w:t xml:space="preserve">allow others to use their charging points. Unlike public chargers (Type A), access to private charging points (Type B) was limited by the adaptor points, </w:t>
      </w:r>
      <w:r w:rsidR="00866E37">
        <w:t xml:space="preserve">the </w:t>
      </w:r>
      <w:r w:rsidRPr="00B66E4B">
        <w:t xml:space="preserve">availability of parking and waiting space, </w:t>
      </w:r>
      <w:r w:rsidR="00866E37">
        <w:t xml:space="preserve">the </w:t>
      </w:r>
      <w:r w:rsidRPr="00B66E4B">
        <w:t>distance from the motorway, and the owner’s willingness</w:t>
      </w:r>
      <w:r w:rsidR="00866E37">
        <w:t xml:space="preserve"> to share access</w:t>
      </w:r>
      <w:r w:rsidRPr="00B66E4B">
        <w:t xml:space="preserve">. </w:t>
      </w:r>
    </w:p>
    <w:p w14:paraId="7C47FF54" w14:textId="77777777" w:rsidR="00C462C5" w:rsidRPr="00B66E4B" w:rsidRDefault="00C462C5" w:rsidP="00C458D4">
      <w:pPr>
        <w:pStyle w:val="BodyTextMain"/>
      </w:pPr>
    </w:p>
    <w:p w14:paraId="24D60887" w14:textId="7D7361A5" w:rsidR="00C462C5" w:rsidRPr="00B66E4B" w:rsidRDefault="00C462C5" w:rsidP="00C458D4">
      <w:pPr>
        <w:pStyle w:val="BodyTextMain"/>
      </w:pPr>
      <w:r w:rsidRPr="00B66E4B">
        <w:t xml:space="preserve">Often, a utility company such as Ecotricity, or an EV manufacturer such as Tesla, sponsored and installed rapid AC/DC charging points in customer residences </w:t>
      </w:r>
      <w:r w:rsidR="00866E37">
        <w:t>that had</w:t>
      </w:r>
      <w:r w:rsidR="00866E37" w:rsidRPr="00B66E4B">
        <w:t xml:space="preserve"> </w:t>
      </w:r>
      <w:r w:rsidRPr="00B66E4B">
        <w:t>appropriate access and parking space. The company made these charging points available to other customers as a method of expanding their network</w:t>
      </w:r>
      <w:r w:rsidR="00866E37">
        <w:t>, which</w:t>
      </w:r>
      <w:r w:rsidRPr="00B66E4B">
        <w:t xml:space="preserve"> could be an advantageous situation for owners because they could charge their EVs in 30 minutes </w:t>
      </w:r>
      <w:r w:rsidRPr="00B66E4B">
        <w:lastRenderedPageBreak/>
        <w:t>instead of 6–8 hours, as required with slow chargers (</w:t>
      </w:r>
      <w:r w:rsidR="002636D4">
        <w:t>s</w:t>
      </w:r>
      <w:r w:rsidRPr="00B66E4B">
        <w:t xml:space="preserve">ee Exhibit </w:t>
      </w:r>
      <w:r w:rsidR="00E01AC4" w:rsidRPr="00B66E4B">
        <w:t>1</w:t>
      </w:r>
      <w:r w:rsidRPr="00B66E4B">
        <w:t xml:space="preserve"> for a comparison of various EV charging products and their features and costs.)</w:t>
      </w:r>
      <w:r w:rsidR="002636D4">
        <w:t>.</w:t>
      </w:r>
    </w:p>
    <w:p w14:paraId="6ED8CED4" w14:textId="77777777" w:rsidR="00C462C5" w:rsidRPr="00B66E4B" w:rsidRDefault="00C462C5" w:rsidP="00163841">
      <w:pPr>
        <w:pStyle w:val="BodyTextMain"/>
      </w:pPr>
    </w:p>
    <w:p w14:paraId="178D4321" w14:textId="3F80CA86" w:rsidR="00C462C5" w:rsidRPr="002636D4" w:rsidRDefault="00866E37" w:rsidP="00163841">
      <w:pPr>
        <w:pStyle w:val="BodyTextMain"/>
        <w:rPr>
          <w:spacing w:val="-4"/>
        </w:rPr>
      </w:pPr>
      <w:r w:rsidRPr="002636D4">
        <w:rPr>
          <w:spacing w:val="-4"/>
        </w:rPr>
        <w:t>Britain had</w:t>
      </w:r>
      <w:r w:rsidR="00C462C5" w:rsidRPr="002636D4">
        <w:rPr>
          <w:spacing w:val="-4"/>
        </w:rPr>
        <w:t xml:space="preserve"> two classes of public charging systems: national and regional.</w:t>
      </w:r>
      <w:r w:rsidR="00C462C5" w:rsidRPr="002636D4">
        <w:rPr>
          <w:spacing w:val="-4"/>
          <w:vertAlign w:val="superscript"/>
        </w:rPr>
        <w:t xml:space="preserve"> </w:t>
      </w:r>
      <w:r w:rsidR="00C462C5" w:rsidRPr="002636D4">
        <w:rPr>
          <w:spacing w:val="-4"/>
        </w:rPr>
        <w:t xml:space="preserve">Based on analyses conducted by Zap-Map, the </w:t>
      </w:r>
      <w:r w:rsidR="008614FA" w:rsidRPr="002636D4">
        <w:rPr>
          <w:spacing w:val="-4"/>
        </w:rPr>
        <w:t xml:space="preserve">distribution </w:t>
      </w:r>
      <w:r w:rsidR="00C462C5" w:rsidRPr="002636D4">
        <w:rPr>
          <w:spacing w:val="-4"/>
        </w:rPr>
        <w:t>of chargers in U</w:t>
      </w:r>
      <w:r w:rsidRPr="002636D4">
        <w:rPr>
          <w:spacing w:val="-4"/>
        </w:rPr>
        <w:t>.</w:t>
      </w:r>
      <w:r w:rsidR="00C462C5" w:rsidRPr="002636D4">
        <w:rPr>
          <w:spacing w:val="-4"/>
        </w:rPr>
        <w:t>K</w:t>
      </w:r>
      <w:r w:rsidRPr="002636D4">
        <w:rPr>
          <w:spacing w:val="-4"/>
        </w:rPr>
        <w:t>.</w:t>
      </w:r>
      <w:r w:rsidR="00C462C5" w:rsidRPr="002636D4">
        <w:rPr>
          <w:spacing w:val="-4"/>
        </w:rPr>
        <w:t xml:space="preserve"> regions </w:t>
      </w:r>
      <w:r w:rsidR="008614FA" w:rsidRPr="002636D4">
        <w:rPr>
          <w:spacing w:val="-4"/>
        </w:rPr>
        <w:t xml:space="preserve">was </w:t>
      </w:r>
      <w:r w:rsidR="00C462C5" w:rsidRPr="002636D4">
        <w:rPr>
          <w:spacing w:val="-4"/>
        </w:rPr>
        <w:t>as follows: London (19.4 per cent), South East (15.4 per cent), Scotland (15.2 per cent), South West (9.2 per cent), and all other regions (40.8 per cent).</w:t>
      </w:r>
      <w:r w:rsidR="00C462C5" w:rsidRPr="002636D4">
        <w:rPr>
          <w:rStyle w:val="EndnoteReference"/>
          <w:spacing w:val="-4"/>
        </w:rPr>
        <w:endnoteReference w:id="33"/>
      </w:r>
      <w:r w:rsidR="00C462C5" w:rsidRPr="002636D4">
        <w:rPr>
          <w:spacing w:val="-4"/>
        </w:rPr>
        <w:t xml:space="preserve"> The highways that Ecotricity wanted to address were the M4, M5, and M40,</w:t>
      </w:r>
      <w:r w:rsidR="00F74E20" w:rsidRPr="002636D4">
        <w:rPr>
          <w:spacing w:val="-4"/>
        </w:rPr>
        <w:t xml:space="preserve"> </w:t>
      </w:r>
      <w:r w:rsidR="00C462C5" w:rsidRPr="002636D4">
        <w:rPr>
          <w:spacing w:val="-4"/>
        </w:rPr>
        <w:t xml:space="preserve">in South East and South West regions. </w:t>
      </w:r>
    </w:p>
    <w:p w14:paraId="56CD573A" w14:textId="77777777" w:rsidR="00C462C5" w:rsidRPr="00B66E4B" w:rsidRDefault="00C462C5" w:rsidP="00163841">
      <w:pPr>
        <w:pStyle w:val="BodyTextMain"/>
      </w:pPr>
    </w:p>
    <w:p w14:paraId="3F90CFA1" w14:textId="3E7F5A56" w:rsidR="00C462C5" w:rsidRPr="00B66E4B" w:rsidRDefault="00C462C5" w:rsidP="000D6FAF">
      <w:pPr>
        <w:pStyle w:val="BodyTextMain"/>
      </w:pPr>
      <w:r w:rsidRPr="00B66E4B">
        <w:t>In February 2016, the total number of charging points provided by all suppliers was 10,356 connectors, available through 5,679 devices, spread across 3,882 public locations in the United Kingdom. This</w:t>
      </w:r>
      <w:r w:rsidR="00866E37">
        <w:t xml:space="preserve"> survey</w:t>
      </w:r>
      <w:r w:rsidRPr="00B66E4B">
        <w:t xml:space="preserve"> excluded charging points at home and work.</w:t>
      </w:r>
      <w:r w:rsidRPr="00B66E4B">
        <w:rPr>
          <w:rStyle w:val="EndnoteReference"/>
        </w:rPr>
        <w:endnoteReference w:id="34"/>
      </w:r>
      <w:r w:rsidRPr="00B66E4B">
        <w:t xml:space="preserve"> In March 2015, the number of public charging points in the United Kingdom had been 7,208 points across 2,926 locations; thus, </w:t>
      </w:r>
      <w:r w:rsidR="008614FA">
        <w:t xml:space="preserve">in just under a year, </w:t>
      </w:r>
      <w:r w:rsidRPr="00B66E4B">
        <w:t xml:space="preserve">the number of connections </w:t>
      </w:r>
      <w:r w:rsidR="008614FA">
        <w:t xml:space="preserve">had increased 44 per cent </w:t>
      </w:r>
      <w:r w:rsidRPr="00B66E4B">
        <w:t xml:space="preserve">and the number of locations </w:t>
      </w:r>
      <w:r w:rsidR="008614FA">
        <w:t>had increased 33 per cent</w:t>
      </w:r>
      <w:r w:rsidRPr="00B66E4B">
        <w:t xml:space="preserve">. </w:t>
      </w:r>
    </w:p>
    <w:p w14:paraId="125ACEB8" w14:textId="77777777" w:rsidR="00C462C5" w:rsidRPr="00B66E4B" w:rsidRDefault="00C462C5" w:rsidP="000D6FAF">
      <w:pPr>
        <w:pStyle w:val="BodyTextMain"/>
      </w:pPr>
    </w:p>
    <w:p w14:paraId="27F950C8" w14:textId="77777777" w:rsidR="00135B65" w:rsidRPr="00B66E4B" w:rsidRDefault="00135B65" w:rsidP="000D6FAF">
      <w:pPr>
        <w:pStyle w:val="BodyTextMain"/>
      </w:pPr>
    </w:p>
    <w:p w14:paraId="0C8BFC9E" w14:textId="3B113C39" w:rsidR="00C462C5" w:rsidRPr="00B66E4B" w:rsidRDefault="00C462C5" w:rsidP="00D46DB5">
      <w:pPr>
        <w:pStyle w:val="Casehead2"/>
        <w:outlineLvl w:val="0"/>
      </w:pPr>
      <w:r w:rsidRPr="00B66E4B">
        <w:t xml:space="preserve">Volume and </w:t>
      </w:r>
      <w:r w:rsidR="00F74E20" w:rsidRPr="00B66E4B">
        <w:t xml:space="preserve">Growth Projections </w:t>
      </w:r>
      <w:r w:rsidRPr="00B66E4B">
        <w:t xml:space="preserve">of </w:t>
      </w:r>
      <w:r w:rsidR="00F74E20" w:rsidRPr="00B66E4B">
        <w:t>Electric Vehicles</w:t>
      </w:r>
    </w:p>
    <w:p w14:paraId="7166F663" w14:textId="77777777" w:rsidR="00C462C5" w:rsidRPr="00B66E4B" w:rsidRDefault="00C462C5" w:rsidP="000E429B">
      <w:pPr>
        <w:pStyle w:val="BodyTextMain"/>
      </w:pPr>
    </w:p>
    <w:p w14:paraId="754E678A" w14:textId="3AB5AB4E" w:rsidR="00C462C5" w:rsidRPr="00B66E4B" w:rsidRDefault="00C462C5" w:rsidP="000E429B">
      <w:pPr>
        <w:pStyle w:val="BodyTextMain"/>
      </w:pPr>
      <w:r w:rsidRPr="00B66E4B">
        <w:t xml:space="preserve">According to Vince, based on a study conducted by his company, it would be cheaper to run an electric </w:t>
      </w:r>
      <w:r w:rsidR="00671A9D">
        <w:t xml:space="preserve">vehicle </w:t>
      </w:r>
      <w:r w:rsidRPr="00B66E4B">
        <w:t xml:space="preserve">than a petrol vehicle in 2030, and running an EV would result in savings of about £1,000 a year. </w:t>
      </w:r>
    </w:p>
    <w:p w14:paraId="4B25B107" w14:textId="77777777" w:rsidR="00C462C5" w:rsidRPr="00B66E4B" w:rsidRDefault="00C462C5" w:rsidP="000E429B">
      <w:pPr>
        <w:pStyle w:val="BodyTextMain"/>
      </w:pPr>
    </w:p>
    <w:p w14:paraId="12AB84AC" w14:textId="039C7929" w:rsidR="00C462C5" w:rsidRPr="00B66E4B" w:rsidRDefault="00C462C5" w:rsidP="000E429B">
      <w:pPr>
        <w:pStyle w:val="BodyTextMain"/>
      </w:pPr>
      <w:r w:rsidRPr="00B66E4B">
        <w:t xml:space="preserve">Next Green Car Ltd., a website that educated EV buyers, reported that as of January 2016, about 48,000 and plug-in cars and </w:t>
      </w:r>
      <w:r w:rsidR="00866E37" w:rsidRPr="00B66E4B">
        <w:t xml:space="preserve">2,900 </w:t>
      </w:r>
      <w:r w:rsidR="00866E37">
        <w:t xml:space="preserve">plug-in </w:t>
      </w:r>
      <w:r w:rsidRPr="00B66E4B">
        <w:t>vans were registered in the United Kingdom, across 38 models plus individual variants.</w:t>
      </w:r>
      <w:r w:rsidRPr="00B66E4B">
        <w:rPr>
          <w:rStyle w:val="EndnoteReference"/>
        </w:rPr>
        <w:endnoteReference w:id="35"/>
      </w:r>
      <w:r w:rsidRPr="00B66E4B">
        <w:t xml:space="preserve"> In 2015, the monthly average rate of EV registration as a percentage of registered vehicles grew by 1–1.7 per cent—a monthly average of 2,309 new registrations (</w:t>
      </w:r>
      <w:r w:rsidR="00A77CF0" w:rsidRPr="00B66E4B">
        <w:t xml:space="preserve">see </w:t>
      </w:r>
      <w:r w:rsidRPr="00B66E4B">
        <w:t xml:space="preserve">Exhibit </w:t>
      </w:r>
      <w:r w:rsidR="00E01AC4" w:rsidRPr="00B66E4B">
        <w:t>2</w:t>
      </w:r>
      <w:r w:rsidRPr="00B66E4B">
        <w:t xml:space="preserve">). </w:t>
      </w:r>
    </w:p>
    <w:p w14:paraId="7CAB148B" w14:textId="77777777" w:rsidR="00C462C5" w:rsidRPr="00B66E4B" w:rsidRDefault="00C462C5" w:rsidP="000E429B">
      <w:pPr>
        <w:pStyle w:val="BodyTextMain"/>
      </w:pPr>
    </w:p>
    <w:p w14:paraId="4A400105" w14:textId="24E0CCC6" w:rsidR="00C462C5" w:rsidRPr="00B66E4B" w:rsidRDefault="00C462C5" w:rsidP="000E429B">
      <w:pPr>
        <w:pStyle w:val="BodyTextMain"/>
      </w:pPr>
      <w:r w:rsidRPr="00B66E4B">
        <w:t>The est</w:t>
      </w:r>
      <w:r w:rsidR="00F74E20" w:rsidRPr="00B66E4B">
        <w:t>imated vehicle traffic in 2040 was expected to grow by 29–</w:t>
      </w:r>
      <w:r w:rsidRPr="00B66E4B">
        <w:t>60 per cent</w:t>
      </w:r>
      <w:r w:rsidR="00F74E20" w:rsidRPr="00B66E4B">
        <w:t>,</w:t>
      </w:r>
      <w:r w:rsidRPr="00B66E4B">
        <w:t xml:space="preserve"> </w:t>
      </w:r>
      <w:r w:rsidR="00F74E20" w:rsidRPr="00B66E4B">
        <w:t>depending</w:t>
      </w:r>
      <w:r w:rsidRPr="00B66E4B">
        <w:t xml:space="preserve"> on </w:t>
      </w:r>
      <w:r w:rsidR="00F74E20" w:rsidRPr="00B66E4B">
        <w:t>the</w:t>
      </w:r>
      <w:r w:rsidRPr="00B66E4B">
        <w:t xml:space="preserve"> scenario</w:t>
      </w:r>
      <w:r w:rsidR="00F74E20" w:rsidRPr="00B66E4B">
        <w:t>.</w:t>
      </w:r>
      <w:r w:rsidR="00F74E20" w:rsidRPr="00B66E4B">
        <w:rPr>
          <w:rStyle w:val="EndnoteReference"/>
        </w:rPr>
        <w:endnoteReference w:id="36"/>
      </w:r>
      <w:r w:rsidRPr="00B66E4B">
        <w:t xml:space="preserve"> </w:t>
      </w:r>
      <w:r w:rsidR="00F74E20" w:rsidRPr="00B66E4B">
        <w:t>Ecotricity estimated</w:t>
      </w:r>
      <w:r w:rsidRPr="00B66E4B">
        <w:t xml:space="preserve"> the number of EV</w:t>
      </w:r>
      <w:r w:rsidR="00F74E20" w:rsidRPr="00B66E4B">
        <w:t>s</w:t>
      </w:r>
      <w:r w:rsidRPr="00B66E4B">
        <w:t xml:space="preserve"> in </w:t>
      </w:r>
      <w:r w:rsidR="00F74E20" w:rsidRPr="00B66E4B">
        <w:t xml:space="preserve">the United Kingdom in </w:t>
      </w:r>
      <w:r w:rsidRPr="00B66E4B">
        <w:t xml:space="preserve">2030 </w:t>
      </w:r>
      <w:r w:rsidR="00F74E20" w:rsidRPr="00B66E4B">
        <w:t>would</w:t>
      </w:r>
      <w:r w:rsidRPr="00B66E4B">
        <w:t xml:space="preserve"> be 5 million.</w:t>
      </w:r>
      <w:r w:rsidR="000528A5" w:rsidRPr="00B66E4B">
        <w:rPr>
          <w:rStyle w:val="EndnoteReference"/>
        </w:rPr>
        <w:endnoteReference w:id="37"/>
      </w:r>
      <w:r w:rsidRPr="00B66E4B">
        <w:t xml:space="preserve"> </w:t>
      </w:r>
      <w:r w:rsidR="00F74E20" w:rsidRPr="00B66E4B">
        <w:t>One</w:t>
      </w:r>
      <w:r w:rsidRPr="00B66E4B">
        <w:t xml:space="preserve"> per cent of </w:t>
      </w:r>
      <w:r w:rsidR="00783A5D" w:rsidRPr="00B66E4B">
        <w:t xml:space="preserve">current </w:t>
      </w:r>
      <w:r w:rsidRPr="00B66E4B">
        <w:t xml:space="preserve">highway traffic </w:t>
      </w:r>
      <w:r w:rsidR="00783A5D" w:rsidRPr="00B66E4B">
        <w:t>was EVs</w:t>
      </w:r>
      <w:r w:rsidRPr="00B66E4B">
        <w:t>.</w:t>
      </w:r>
      <w:r w:rsidR="000528A5" w:rsidRPr="00B66E4B">
        <w:rPr>
          <w:rStyle w:val="EndnoteReference"/>
        </w:rPr>
        <w:endnoteReference w:id="38"/>
      </w:r>
      <w:r w:rsidRPr="00B66E4B">
        <w:t xml:space="preserve"> </w:t>
      </w:r>
      <w:r w:rsidR="00783A5D" w:rsidRPr="00B66E4B">
        <w:t>Ecotricity’s expansion</w:t>
      </w:r>
      <w:r w:rsidR="002B0B36" w:rsidRPr="00B66E4B">
        <w:t>s strategy could</w:t>
      </w:r>
      <w:r w:rsidR="00783A5D" w:rsidRPr="00B66E4B">
        <w:t xml:space="preserve"> </w:t>
      </w:r>
      <w:r w:rsidRPr="00B66E4B">
        <w:t xml:space="preserve">assume that the traffic flow in 2030 </w:t>
      </w:r>
      <w:r w:rsidR="00783A5D" w:rsidRPr="00B66E4B">
        <w:t>would be</w:t>
      </w:r>
      <w:r w:rsidRPr="00B66E4B">
        <w:t xml:space="preserve"> all electric and five times the current EV traffic in each highway segment.</w:t>
      </w:r>
    </w:p>
    <w:p w14:paraId="7573AEB0" w14:textId="77777777" w:rsidR="00C462C5" w:rsidRPr="00B66E4B" w:rsidRDefault="00C462C5" w:rsidP="000E429B">
      <w:pPr>
        <w:pStyle w:val="BodyTextMain"/>
      </w:pPr>
    </w:p>
    <w:p w14:paraId="35212081" w14:textId="77777777" w:rsidR="00C462C5" w:rsidRPr="00B66E4B" w:rsidRDefault="00C462C5" w:rsidP="003F11C0">
      <w:pPr>
        <w:pStyle w:val="BodyTextMain"/>
      </w:pPr>
    </w:p>
    <w:p w14:paraId="4211EE1F" w14:textId="77777777" w:rsidR="00C462C5" w:rsidRPr="00B66E4B" w:rsidRDefault="00C462C5" w:rsidP="00D46DB5">
      <w:pPr>
        <w:pStyle w:val="Casehead1"/>
        <w:outlineLvl w:val="0"/>
      </w:pPr>
      <w:r w:rsidRPr="00B66E4B">
        <w:t>Competitors</w:t>
      </w:r>
    </w:p>
    <w:p w14:paraId="44E8F540" w14:textId="77777777" w:rsidR="00C462C5" w:rsidRPr="00B66E4B" w:rsidRDefault="00C462C5" w:rsidP="00C458D4">
      <w:pPr>
        <w:pStyle w:val="BodyTextMain"/>
      </w:pPr>
    </w:p>
    <w:p w14:paraId="05317AF2" w14:textId="64A2A056" w:rsidR="00C462C5" w:rsidRPr="00B66E4B" w:rsidRDefault="00C462C5" w:rsidP="00163841">
      <w:pPr>
        <w:pStyle w:val="BodyTextMain"/>
      </w:pPr>
      <w:r w:rsidRPr="00B66E4B">
        <w:t xml:space="preserve">Companies </w:t>
      </w:r>
      <w:r w:rsidR="00C81C86">
        <w:t xml:space="preserve">such as </w:t>
      </w:r>
      <w:r w:rsidRPr="00B66E4B">
        <w:t>Chargemaster, Charge Your Car Limited, and Tesla, Inc. were some of Ecotricity’s key competitors in providing charging</w:t>
      </w:r>
      <w:r w:rsidR="00C81C86">
        <w:t>-</w:t>
      </w:r>
      <w:r w:rsidRPr="00B66E4B">
        <w:t>point services. But Ecotricity’s business model was unique. In an interview, Vince explained:</w:t>
      </w:r>
    </w:p>
    <w:p w14:paraId="5F32CD40" w14:textId="77777777" w:rsidR="00C462C5" w:rsidRPr="00B66E4B" w:rsidRDefault="00C462C5" w:rsidP="00163841">
      <w:pPr>
        <w:pStyle w:val="BodyTextMain"/>
      </w:pPr>
    </w:p>
    <w:p w14:paraId="5DE59683" w14:textId="1E175CCF" w:rsidR="00C462C5" w:rsidRPr="00B66E4B" w:rsidRDefault="00C462C5" w:rsidP="000D6FAF">
      <w:pPr>
        <w:pStyle w:val="BodyTextMain"/>
        <w:ind w:left="720"/>
      </w:pPr>
      <w:r w:rsidRPr="00B66E4B">
        <w:t>We have been able to spread parts of our message; some of the things we have done have been adopted by other energy companies. Fundamentally, we are a different “beast.” We exist for a mission. The money we make, we put back into our mission. Other energy companies exist for the shareholders, and that is the fundamental reason why nobody has gone down this path.</w:t>
      </w:r>
      <w:r w:rsidRPr="00B66E4B">
        <w:rPr>
          <w:rStyle w:val="EndnoteReference"/>
        </w:rPr>
        <w:endnoteReference w:id="39"/>
      </w:r>
      <w:r w:rsidRPr="00B66E4B">
        <w:t xml:space="preserve"> </w:t>
      </w:r>
    </w:p>
    <w:p w14:paraId="71F2CA5F" w14:textId="77777777" w:rsidR="00C462C5" w:rsidRPr="00B66E4B" w:rsidRDefault="00C462C5" w:rsidP="00784BFF">
      <w:pPr>
        <w:pStyle w:val="BodyTextMain"/>
      </w:pPr>
    </w:p>
    <w:p w14:paraId="20151247" w14:textId="74B97E8A" w:rsidR="00C462C5" w:rsidRPr="0038280A" w:rsidRDefault="00C462C5" w:rsidP="00784BFF">
      <w:pPr>
        <w:pStyle w:val="BodyTextMain"/>
        <w:rPr>
          <w:spacing w:val="-2"/>
        </w:rPr>
      </w:pPr>
      <w:r w:rsidRPr="0038280A">
        <w:rPr>
          <w:spacing w:val="-2"/>
        </w:rPr>
        <w:t xml:space="preserve">Although no competitor had a similar business model, </w:t>
      </w:r>
      <w:r w:rsidR="00671A9D" w:rsidRPr="0038280A">
        <w:rPr>
          <w:spacing w:val="-2"/>
        </w:rPr>
        <w:t>s</w:t>
      </w:r>
      <w:r w:rsidR="00C81C86" w:rsidRPr="0038280A">
        <w:rPr>
          <w:spacing w:val="-2"/>
        </w:rPr>
        <w:t>e</w:t>
      </w:r>
      <w:r w:rsidR="00671A9D" w:rsidRPr="0038280A">
        <w:rPr>
          <w:spacing w:val="-2"/>
        </w:rPr>
        <w:t>veral</w:t>
      </w:r>
      <w:r w:rsidRPr="0038280A">
        <w:rPr>
          <w:spacing w:val="-2"/>
        </w:rPr>
        <w:t xml:space="preserve"> new players </w:t>
      </w:r>
      <w:r w:rsidR="00C81C86" w:rsidRPr="0038280A">
        <w:rPr>
          <w:spacing w:val="-2"/>
        </w:rPr>
        <w:t xml:space="preserve">offered </w:t>
      </w:r>
      <w:r w:rsidRPr="0038280A">
        <w:rPr>
          <w:spacing w:val="-2"/>
        </w:rPr>
        <w:t>charging</w:t>
      </w:r>
      <w:r w:rsidR="00671A9D" w:rsidRPr="0038280A">
        <w:rPr>
          <w:spacing w:val="-2"/>
        </w:rPr>
        <w:t>-</w:t>
      </w:r>
      <w:r w:rsidRPr="0038280A">
        <w:rPr>
          <w:spacing w:val="-2"/>
        </w:rPr>
        <w:t>point networks across the United Kingdom. The open charging systems were a blend of moderate</w:t>
      </w:r>
      <w:r w:rsidR="00C81C86" w:rsidRPr="0038280A">
        <w:rPr>
          <w:spacing w:val="-2"/>
        </w:rPr>
        <w:t>-</w:t>
      </w:r>
      <w:r w:rsidRPr="0038280A">
        <w:rPr>
          <w:spacing w:val="-2"/>
        </w:rPr>
        <w:t>, quick</w:t>
      </w:r>
      <w:r w:rsidR="00C81C86" w:rsidRPr="0038280A">
        <w:rPr>
          <w:spacing w:val="-2"/>
        </w:rPr>
        <w:t>-</w:t>
      </w:r>
      <w:r w:rsidRPr="0038280A">
        <w:rPr>
          <w:spacing w:val="-2"/>
        </w:rPr>
        <w:t>, and fast</w:t>
      </w:r>
      <w:r w:rsidR="00C81C86" w:rsidRPr="0038280A">
        <w:rPr>
          <w:spacing w:val="-2"/>
        </w:rPr>
        <w:t>-</w:t>
      </w:r>
      <w:r w:rsidRPr="0038280A">
        <w:rPr>
          <w:spacing w:val="-2"/>
        </w:rPr>
        <w:t>charging points. Source London, ChargePlace Scotland, Plugged-in Midlands (PiM), and ecar N</w:t>
      </w:r>
      <w:r w:rsidR="00C3148A" w:rsidRPr="0038280A">
        <w:rPr>
          <w:spacing w:val="-2"/>
        </w:rPr>
        <w:t xml:space="preserve">orthern </w:t>
      </w:r>
      <w:r w:rsidRPr="0038280A">
        <w:rPr>
          <w:spacing w:val="-2"/>
        </w:rPr>
        <w:t>I</w:t>
      </w:r>
      <w:r w:rsidR="00C3148A" w:rsidRPr="0038280A">
        <w:rPr>
          <w:spacing w:val="-2"/>
        </w:rPr>
        <w:t>reland</w:t>
      </w:r>
      <w:r w:rsidRPr="0038280A">
        <w:rPr>
          <w:spacing w:val="-2"/>
        </w:rPr>
        <w:t xml:space="preserve"> were some of the large regional systems.</w:t>
      </w:r>
      <w:r w:rsidRPr="0038280A">
        <w:rPr>
          <w:rStyle w:val="EndnoteReference"/>
          <w:spacing w:val="-2"/>
        </w:rPr>
        <w:endnoteReference w:id="40"/>
      </w:r>
      <w:r w:rsidRPr="0038280A">
        <w:rPr>
          <w:spacing w:val="-2"/>
        </w:rPr>
        <w:t xml:space="preserve"> Among national charging</w:t>
      </w:r>
      <w:r w:rsidR="00671A9D" w:rsidRPr="0038280A">
        <w:rPr>
          <w:spacing w:val="-2"/>
        </w:rPr>
        <w:t>-</w:t>
      </w:r>
      <w:r w:rsidRPr="0038280A">
        <w:rPr>
          <w:spacing w:val="-2"/>
        </w:rPr>
        <w:t>network providers, the main players were Charge Your Car, Ecotricity, Pod Point, and Chargemaster’s POLAR. Tesla</w:t>
      </w:r>
      <w:r w:rsidR="00C3148A" w:rsidRPr="0038280A">
        <w:rPr>
          <w:spacing w:val="-2"/>
        </w:rPr>
        <w:t>’</w:t>
      </w:r>
      <w:r w:rsidRPr="0038280A">
        <w:rPr>
          <w:spacing w:val="-2"/>
        </w:rPr>
        <w:t>s supercharger system was an innovative and quick</w:t>
      </w:r>
      <w:r w:rsidR="00671A9D" w:rsidRPr="0038280A">
        <w:rPr>
          <w:spacing w:val="-2"/>
        </w:rPr>
        <w:t>-</w:t>
      </w:r>
      <w:r w:rsidRPr="0038280A">
        <w:rPr>
          <w:spacing w:val="-2"/>
        </w:rPr>
        <w:t xml:space="preserve">charging method for Tesla customers. </w:t>
      </w:r>
      <w:r w:rsidR="00B231F8" w:rsidRPr="0038280A">
        <w:rPr>
          <w:spacing w:val="-2"/>
        </w:rPr>
        <w:t xml:space="preserve">These charging systems </w:t>
      </w:r>
      <w:r w:rsidR="000528A5" w:rsidRPr="0038280A">
        <w:rPr>
          <w:spacing w:val="-2"/>
        </w:rPr>
        <w:t>were</w:t>
      </w:r>
      <w:r w:rsidR="00B231F8" w:rsidRPr="0038280A">
        <w:rPr>
          <w:spacing w:val="-2"/>
        </w:rPr>
        <w:t xml:space="preserve"> installed </w:t>
      </w:r>
      <w:r w:rsidR="000528A5" w:rsidRPr="0038280A">
        <w:rPr>
          <w:spacing w:val="-2"/>
        </w:rPr>
        <w:t xml:space="preserve">in places such as </w:t>
      </w:r>
      <w:r w:rsidR="00B231F8" w:rsidRPr="0038280A">
        <w:rPr>
          <w:spacing w:val="-2"/>
        </w:rPr>
        <w:t>hotels</w:t>
      </w:r>
      <w:r w:rsidR="000528A5" w:rsidRPr="0038280A">
        <w:rPr>
          <w:spacing w:val="-2"/>
        </w:rPr>
        <w:t xml:space="preserve"> and </w:t>
      </w:r>
      <w:r w:rsidR="00B231F8" w:rsidRPr="0038280A">
        <w:rPr>
          <w:spacing w:val="-2"/>
        </w:rPr>
        <w:t xml:space="preserve">restaurants, </w:t>
      </w:r>
      <w:r w:rsidR="000528A5" w:rsidRPr="0038280A">
        <w:rPr>
          <w:spacing w:val="-2"/>
        </w:rPr>
        <w:t>and were</w:t>
      </w:r>
      <w:r w:rsidRPr="0038280A">
        <w:rPr>
          <w:spacing w:val="-2"/>
        </w:rPr>
        <w:t xml:space="preserve"> referred to as “destination charging.”</w:t>
      </w:r>
      <w:r w:rsidRPr="0038280A">
        <w:rPr>
          <w:rStyle w:val="EndnoteReference"/>
          <w:spacing w:val="-2"/>
        </w:rPr>
        <w:endnoteReference w:id="41"/>
      </w:r>
      <w:r w:rsidRPr="0038280A">
        <w:rPr>
          <w:spacing w:val="-2"/>
        </w:rPr>
        <w:t xml:space="preserve"> </w:t>
      </w:r>
    </w:p>
    <w:p w14:paraId="195BE2B2" w14:textId="0B387A7C" w:rsidR="00C462C5" w:rsidRPr="00B66E4B" w:rsidRDefault="00C462C5" w:rsidP="00C458D4">
      <w:pPr>
        <w:pStyle w:val="BodyTextMain"/>
        <w:rPr>
          <w:spacing w:val="-4"/>
        </w:rPr>
      </w:pPr>
      <w:r w:rsidRPr="00B66E4B">
        <w:rPr>
          <w:spacing w:val="-4"/>
        </w:rPr>
        <w:lastRenderedPageBreak/>
        <w:t xml:space="preserve">In 2014, Ecotricity alleged that Tesla abused certain non-exposure agreements in </w:t>
      </w:r>
      <w:r w:rsidR="00C81C86">
        <w:rPr>
          <w:spacing w:val="-4"/>
        </w:rPr>
        <w:t>its</w:t>
      </w:r>
      <w:r w:rsidR="00C81C86" w:rsidRPr="00B66E4B">
        <w:rPr>
          <w:spacing w:val="-4"/>
        </w:rPr>
        <w:t xml:space="preserve"> </w:t>
      </w:r>
      <w:r w:rsidRPr="00B66E4B">
        <w:rPr>
          <w:spacing w:val="-4"/>
        </w:rPr>
        <w:t>joint network development.</w:t>
      </w:r>
      <w:r w:rsidRPr="00B66E4B">
        <w:rPr>
          <w:rStyle w:val="EndnoteReference"/>
          <w:spacing w:val="-4"/>
        </w:rPr>
        <w:endnoteReference w:id="42"/>
      </w:r>
      <w:r w:rsidRPr="00B66E4B">
        <w:rPr>
          <w:spacing w:val="-4"/>
        </w:rPr>
        <w:t xml:space="preserve"> Tesla countersued, claiming that </w:t>
      </w:r>
      <w:r w:rsidR="00B231F8" w:rsidRPr="00B66E4B">
        <w:t>Ecotricity was trying to build an imposing business model that stopped Tesla from expanding its supercharger system</w:t>
      </w:r>
      <w:r w:rsidRPr="00B66E4B">
        <w:rPr>
          <w:spacing w:val="-4"/>
        </w:rPr>
        <w:t xml:space="preserve">. Tesla, which continued developing superchargers for its Model S, affirmed that the dispute with Ecotricity was over. </w:t>
      </w:r>
      <w:r w:rsidRPr="00B66E4B">
        <w:rPr>
          <w:spacing w:val="-4"/>
          <w:shd w:val="clear" w:color="auto" w:fill="FFFFFF"/>
        </w:rPr>
        <w:t>Tesla spokesman Ricardo Reyes declared that</w:t>
      </w:r>
      <w:r w:rsidR="00C81C86">
        <w:rPr>
          <w:spacing w:val="-4"/>
          <w:shd w:val="clear" w:color="auto" w:fill="FFFFFF"/>
        </w:rPr>
        <w:t>,</w:t>
      </w:r>
      <w:r w:rsidRPr="00B66E4B">
        <w:rPr>
          <w:spacing w:val="-4"/>
          <w:shd w:val="clear" w:color="auto" w:fill="FFFFFF"/>
        </w:rPr>
        <w:t xml:space="preserve"> “Ecotricity and Tesla [had] reached an out-of-court settlement, the terms of which were confidential.”</w:t>
      </w:r>
      <w:r w:rsidRPr="00B66E4B">
        <w:rPr>
          <w:rStyle w:val="EndnoteReference"/>
          <w:spacing w:val="-4"/>
        </w:rPr>
        <w:endnoteReference w:id="43"/>
      </w:r>
    </w:p>
    <w:p w14:paraId="7514756B" w14:textId="77777777" w:rsidR="00C462C5" w:rsidRPr="00B66E4B" w:rsidRDefault="00C462C5" w:rsidP="00C458D4">
      <w:pPr>
        <w:pStyle w:val="BodyTextMain"/>
        <w:rPr>
          <w:spacing w:val="-4"/>
          <w:lang w:eastAsia="en-IN"/>
        </w:rPr>
      </w:pPr>
    </w:p>
    <w:p w14:paraId="129CF81B" w14:textId="10BF8E63" w:rsidR="00C462C5" w:rsidRPr="00B66E4B" w:rsidRDefault="00C462C5" w:rsidP="002C6303">
      <w:pPr>
        <w:pStyle w:val="BodyTextMain"/>
        <w:rPr>
          <w:lang w:eastAsia="en-IN"/>
        </w:rPr>
      </w:pPr>
      <w:r w:rsidRPr="00B66E4B">
        <w:rPr>
          <w:lang w:eastAsia="en-IN"/>
        </w:rPr>
        <w:t>Choosing how many chargers to install in different regions of the United Kingdom was an important consideration for Ecotricity’s success in expanding its electric highway service. One of Ecotricity’s competitors, Chargemaster, was the administrator of PiM’s charging</w:t>
      </w:r>
      <w:r w:rsidR="00C81C86">
        <w:rPr>
          <w:lang w:eastAsia="en-IN"/>
        </w:rPr>
        <w:t>-</w:t>
      </w:r>
      <w:r w:rsidRPr="00B66E4B">
        <w:rPr>
          <w:lang w:eastAsia="en-IN"/>
        </w:rPr>
        <w:t>point system, which had been run by Cenex since the plan was set in 2010.</w:t>
      </w:r>
      <w:r w:rsidRPr="00B66E4B">
        <w:rPr>
          <w:rStyle w:val="EndnoteReference"/>
          <w:lang w:eastAsia="en-IN"/>
        </w:rPr>
        <w:endnoteReference w:id="44"/>
      </w:r>
      <w:r w:rsidRPr="00B66E4B">
        <w:rPr>
          <w:lang w:eastAsia="en-IN"/>
        </w:rPr>
        <w:t xml:space="preserve"> Each of the 870 PiM charging points were to be added to Chargemaster’s POLAR charging system, </w:t>
      </w:r>
      <w:r w:rsidR="00B231F8" w:rsidRPr="00B66E4B">
        <w:rPr>
          <w:lang w:eastAsia="en-IN"/>
        </w:rPr>
        <w:t xml:space="preserve">discoverable </w:t>
      </w:r>
      <w:r w:rsidRPr="00B66E4B">
        <w:rPr>
          <w:lang w:eastAsia="en-IN"/>
        </w:rPr>
        <w:t>by means of a smartphone application. Chargemaster planned to add another 100 units to this system. In 2015, David Martell, chief executive officer of Chargemaster, stated, “We will be investing in many new charge points and back-end server technologies. We will also be working closely with existing stakeholders to make the Midlands a showcase that facilitates and promotes the ownership and operation of EV</w:t>
      </w:r>
      <w:r w:rsidR="00C3148A" w:rsidRPr="00B66E4B">
        <w:rPr>
          <w:lang w:eastAsia="en-IN"/>
        </w:rPr>
        <w:t>s</w:t>
      </w:r>
      <w:r w:rsidRPr="00B66E4B">
        <w:rPr>
          <w:lang w:eastAsia="en-IN"/>
        </w:rPr>
        <w:t>.”</w:t>
      </w:r>
      <w:r w:rsidRPr="00B66E4B">
        <w:rPr>
          <w:rStyle w:val="EndnoteReference"/>
          <w:lang w:eastAsia="en-IN"/>
        </w:rPr>
        <w:endnoteReference w:id="45"/>
      </w:r>
    </w:p>
    <w:p w14:paraId="2AE6E167" w14:textId="77777777" w:rsidR="00C462C5" w:rsidRPr="00B66E4B" w:rsidRDefault="00C462C5" w:rsidP="00C458D4">
      <w:pPr>
        <w:pStyle w:val="BodyTextMain"/>
        <w:rPr>
          <w:lang w:eastAsia="en-IN"/>
        </w:rPr>
      </w:pPr>
    </w:p>
    <w:p w14:paraId="046F99C9" w14:textId="68CB2F5E" w:rsidR="00C462C5" w:rsidRPr="00B66E4B" w:rsidRDefault="00C462C5" w:rsidP="00C458D4">
      <w:pPr>
        <w:pStyle w:val="BodyTextMain"/>
        <w:rPr>
          <w:spacing w:val="-2"/>
        </w:rPr>
      </w:pPr>
      <w:r w:rsidRPr="00B66E4B">
        <w:rPr>
          <w:spacing w:val="-2"/>
        </w:rPr>
        <w:t>The Ecotricity highway was concentrated on key motorway routes, targeting service stations such as Roadchef’s Motorway Service Areas and Moto Hospitality Ltd.’s service areas. EV owners used websites to identify these charging stations and plan where they would charge their cars on their route. Ecotricity particularly wanted to expand their charging network along the M4, M5, and M40</w:t>
      </w:r>
      <w:r w:rsidR="00671A9D">
        <w:rPr>
          <w:spacing w:val="-2"/>
        </w:rPr>
        <w:t xml:space="preserve"> routes</w:t>
      </w:r>
      <w:r w:rsidRPr="00B66E4B">
        <w:rPr>
          <w:spacing w:val="-2"/>
        </w:rPr>
        <w:t xml:space="preserve">. Within segments </w:t>
      </w:r>
      <w:r w:rsidR="002B0B36" w:rsidRPr="00B66E4B">
        <w:rPr>
          <w:spacing w:val="-2"/>
        </w:rPr>
        <w:t>01, 02, 23, 45, and 56</w:t>
      </w:r>
      <w:r w:rsidRPr="00B66E4B">
        <w:rPr>
          <w:spacing w:val="-2"/>
        </w:rPr>
        <w:t xml:space="preserve">, </w:t>
      </w:r>
      <w:r w:rsidR="00C81C86">
        <w:rPr>
          <w:spacing w:val="-2"/>
        </w:rPr>
        <w:t>these motorways offered</w:t>
      </w:r>
      <w:r w:rsidRPr="00B66E4B">
        <w:rPr>
          <w:spacing w:val="-2"/>
        </w:rPr>
        <w:t xml:space="preserve"> a total of 14 charging points (see Exhibit 3). </w:t>
      </w:r>
    </w:p>
    <w:p w14:paraId="5AC4AC70" w14:textId="77777777" w:rsidR="00C462C5" w:rsidRPr="00B66E4B" w:rsidRDefault="00C462C5" w:rsidP="00C458D4">
      <w:pPr>
        <w:pStyle w:val="BodyTextMain"/>
      </w:pPr>
    </w:p>
    <w:p w14:paraId="57408444" w14:textId="28B89774" w:rsidR="00C462C5" w:rsidRPr="00B66E4B" w:rsidRDefault="00C462C5" w:rsidP="00C458D4">
      <w:pPr>
        <w:pStyle w:val="BodyTextMain"/>
      </w:pPr>
      <w:r w:rsidRPr="00B66E4B">
        <w:t>Due to its proximity to London, highway segment 56 (on the M40) had a higher annual average traffic flow than the southwest region (see Exhibit 3).</w:t>
      </w:r>
      <w:r w:rsidRPr="00B66E4B">
        <w:rPr>
          <w:rStyle w:val="EndnoteReference"/>
        </w:rPr>
        <w:endnoteReference w:id="46"/>
      </w:r>
      <w:r w:rsidRPr="00B66E4B">
        <w:t xml:space="preserve"> Combining forecasted growth in traffic, which</w:t>
      </w:r>
      <w:r w:rsidR="00C81C86">
        <w:t>, depending on the scenario,</w:t>
      </w:r>
      <w:r w:rsidRPr="00B66E4B">
        <w:t xml:space="preserve"> ranged from 29–60 per cent, and Vince’s optimistic prediction that all vehicles sold in 2030 would be EVs, Ecotricity needed to consider expanding its highway network to accommodate five times </w:t>
      </w:r>
      <w:r w:rsidR="00CC779F">
        <w:t>the</w:t>
      </w:r>
      <w:r w:rsidRPr="00B66E4B">
        <w:t xml:space="preserve"> current EV traffic</w:t>
      </w:r>
      <w:r w:rsidR="00671A9D">
        <w:t>, which</w:t>
      </w:r>
      <w:r w:rsidR="00CC779F">
        <w:t xml:space="preserve"> </w:t>
      </w:r>
      <w:r w:rsidRPr="00B66E4B">
        <w:t xml:space="preserve">would </w:t>
      </w:r>
      <w:r w:rsidR="00CC779F">
        <w:t>lead to</w:t>
      </w:r>
      <w:r w:rsidR="00CC779F" w:rsidRPr="00B66E4B">
        <w:t xml:space="preserve"> </w:t>
      </w:r>
      <w:r w:rsidRPr="00B66E4B">
        <w:t xml:space="preserve">a significant demand for </w:t>
      </w:r>
      <w:r w:rsidR="00CC779F">
        <w:t xml:space="preserve">publicly accessible </w:t>
      </w:r>
      <w:r w:rsidRPr="00B66E4B">
        <w:t xml:space="preserve">EV charging. </w:t>
      </w:r>
    </w:p>
    <w:p w14:paraId="7DD88380" w14:textId="77777777" w:rsidR="00C462C5" w:rsidRPr="00B66E4B" w:rsidRDefault="00C462C5" w:rsidP="00C458D4">
      <w:pPr>
        <w:pStyle w:val="BodyTextMain"/>
      </w:pPr>
    </w:p>
    <w:p w14:paraId="7661EBBB" w14:textId="1D577D79" w:rsidR="00C462C5" w:rsidRPr="00B66E4B" w:rsidRDefault="00C462C5" w:rsidP="00C458D4">
      <w:pPr>
        <w:pStyle w:val="BodyTextMain"/>
        <w:rPr>
          <w:spacing w:val="-2"/>
        </w:rPr>
      </w:pPr>
      <w:r w:rsidRPr="00B66E4B">
        <w:rPr>
          <w:spacing w:val="-2"/>
        </w:rPr>
        <w:t>Ecotricity was already establishing its presence at each of the 28 Roadchef service areas.</w:t>
      </w:r>
      <w:r w:rsidRPr="00B66E4B">
        <w:rPr>
          <w:rStyle w:val="EndnoteReference"/>
          <w:spacing w:val="-2"/>
        </w:rPr>
        <w:endnoteReference w:id="47"/>
      </w:r>
      <w:r w:rsidRPr="00B66E4B">
        <w:rPr>
          <w:spacing w:val="-2"/>
        </w:rPr>
        <w:t xml:space="preserve"> </w:t>
      </w:r>
      <w:r w:rsidR="001B0ECE" w:rsidRPr="00B66E4B">
        <w:rPr>
          <w:spacing w:val="-2"/>
        </w:rPr>
        <w:t>There were</w:t>
      </w:r>
      <w:r w:rsidRPr="00B66E4B">
        <w:rPr>
          <w:spacing w:val="-2"/>
        </w:rPr>
        <w:t xml:space="preserve"> 13 potential new locations for installing public chargers in highway segments </w:t>
      </w:r>
      <w:r w:rsidR="001B0ECE" w:rsidRPr="00B66E4B">
        <w:rPr>
          <w:spacing w:val="-2"/>
        </w:rPr>
        <w:t>01, 02, 23, 45, and 56 (see Exhibit 3)</w:t>
      </w:r>
      <w:r w:rsidRPr="00B66E4B">
        <w:rPr>
          <w:spacing w:val="-2"/>
        </w:rPr>
        <w:t xml:space="preserve">. Since the number of service stations for public chargers (Type A) </w:t>
      </w:r>
      <w:r w:rsidR="001B0ECE" w:rsidRPr="00B66E4B">
        <w:rPr>
          <w:spacing w:val="-2"/>
        </w:rPr>
        <w:t>w</w:t>
      </w:r>
      <w:r w:rsidRPr="00B66E4B">
        <w:rPr>
          <w:spacing w:val="-2"/>
        </w:rPr>
        <w:t>ould be limited, an expansion strategy could include installing private chargers (Type B) at the homes of Ecotricity customers who lived in proximity to highways (</w:t>
      </w:r>
      <w:r w:rsidR="00A77CF0" w:rsidRPr="00B66E4B">
        <w:rPr>
          <w:spacing w:val="-2"/>
        </w:rPr>
        <w:t xml:space="preserve">see </w:t>
      </w:r>
      <w:r w:rsidRPr="00B66E4B">
        <w:rPr>
          <w:spacing w:val="-2"/>
        </w:rPr>
        <w:t>Exhibit 4). However, because limited parking space would restrict the number of charging points that could be established at private locations, and limited waiting areas would restrict the number of customers who could wait while the charger was busy, Ecotricity needed to be judicious in choosing the proportion of new public and private chargers in each highway segment to meet charging demand.</w:t>
      </w:r>
    </w:p>
    <w:p w14:paraId="259D516F" w14:textId="77777777" w:rsidR="00C462C5" w:rsidRPr="00B66E4B" w:rsidRDefault="00C462C5" w:rsidP="00C458D4">
      <w:pPr>
        <w:pStyle w:val="BodyTextMain"/>
        <w:rPr>
          <w:lang w:eastAsia="en-IN"/>
        </w:rPr>
      </w:pPr>
    </w:p>
    <w:p w14:paraId="1F49C367" w14:textId="77777777" w:rsidR="00C462C5" w:rsidRPr="00B66E4B" w:rsidRDefault="00C462C5" w:rsidP="00C458D4">
      <w:pPr>
        <w:pStyle w:val="BodyTextMain"/>
        <w:rPr>
          <w:lang w:eastAsia="en-IN"/>
        </w:rPr>
      </w:pPr>
    </w:p>
    <w:p w14:paraId="6BDA031C" w14:textId="77777777" w:rsidR="00C462C5" w:rsidRPr="00B66E4B" w:rsidRDefault="00C462C5" w:rsidP="00D46DB5">
      <w:pPr>
        <w:pStyle w:val="Casehead1"/>
        <w:outlineLvl w:val="0"/>
      </w:pPr>
      <w:r w:rsidRPr="00B66E4B">
        <w:t>Expansion plan</w:t>
      </w:r>
    </w:p>
    <w:p w14:paraId="25B627F5" w14:textId="77777777" w:rsidR="00C462C5" w:rsidRPr="00B66E4B" w:rsidRDefault="00C462C5" w:rsidP="00C458D4">
      <w:pPr>
        <w:pStyle w:val="BodyTextMain"/>
      </w:pPr>
    </w:p>
    <w:p w14:paraId="5827B34D" w14:textId="50823D9C" w:rsidR="00C462C5" w:rsidRPr="00B66E4B" w:rsidRDefault="00C462C5" w:rsidP="00C458D4">
      <w:pPr>
        <w:pStyle w:val="BodyTextMain"/>
      </w:pPr>
      <w:r w:rsidRPr="00B66E4B">
        <w:t>Ecotricity grew from about 85,000 customers at the end of 2013 to 150,000 by the end of 2014. According to Vince, Ecotricity did “not spend a lot of money on advertising or sponsorship.”</w:t>
      </w:r>
      <w:r w:rsidR="000674A3" w:rsidRPr="00B66E4B">
        <w:rPr>
          <w:rStyle w:val="EndnoteReference"/>
        </w:rPr>
        <w:endnoteReference w:id="48"/>
      </w:r>
      <w:r w:rsidRPr="00B66E4B">
        <w:t xml:space="preserve"> Instead, Ecotricity used word-of-mouth marketing and had a refer-a-friend scheme that offered its customers a £50 voucher for recommending a new Ecotricity customer.</w:t>
      </w:r>
    </w:p>
    <w:p w14:paraId="06166DE3" w14:textId="77777777" w:rsidR="00C462C5" w:rsidRPr="00B66E4B" w:rsidRDefault="00C462C5" w:rsidP="00C458D4">
      <w:pPr>
        <w:pStyle w:val="BodyTextMain"/>
      </w:pPr>
    </w:p>
    <w:p w14:paraId="5CC61A8A" w14:textId="4C96F317" w:rsidR="00CC779F" w:rsidRDefault="00C462C5" w:rsidP="00C458D4">
      <w:pPr>
        <w:pStyle w:val="BodyTextMain"/>
      </w:pPr>
      <w:r w:rsidRPr="00B66E4B">
        <w:t>Nissan Motor GB Ltd. was partnering with Ecotricity to promote the use of EVs. Jim Wright, Nissan’s managing director, said</w:t>
      </w:r>
      <w:r w:rsidR="00CC779F">
        <w:t>:</w:t>
      </w:r>
      <w:r w:rsidRPr="00B66E4B">
        <w:t xml:space="preserve"> </w:t>
      </w:r>
    </w:p>
    <w:p w14:paraId="736DC5DA" w14:textId="77777777" w:rsidR="00CC779F" w:rsidRDefault="00CC779F" w:rsidP="00C458D4">
      <w:pPr>
        <w:pStyle w:val="BodyTextMain"/>
      </w:pPr>
    </w:p>
    <w:p w14:paraId="554C3EB8" w14:textId="682BB560" w:rsidR="00CC779F" w:rsidRDefault="00C462C5" w:rsidP="00CC779F">
      <w:pPr>
        <w:pStyle w:val="BodyTextMain"/>
        <w:ind w:left="567"/>
      </w:pPr>
      <w:r w:rsidRPr="00B66E4B">
        <w:lastRenderedPageBreak/>
        <w:t>At Nissan, we believe that all electric driving offers a number of benefits to UK motorists and should be made accessible to all. That is why we have partnered with Ecotricity to call on the new government to give electric vehicles the prominence they now deserve and introduce official signage for charging points across the UK.</w:t>
      </w:r>
      <w:r w:rsidRPr="00B66E4B">
        <w:rPr>
          <w:rStyle w:val="EndnoteReference"/>
        </w:rPr>
        <w:endnoteReference w:id="49"/>
      </w:r>
      <w:r w:rsidRPr="00B66E4B">
        <w:rPr>
          <w:rStyle w:val="EndnoteReference"/>
        </w:rPr>
        <w:t xml:space="preserve"> </w:t>
      </w:r>
    </w:p>
    <w:p w14:paraId="7FEDD94F" w14:textId="77777777" w:rsidR="00CC779F" w:rsidRDefault="00CC779F" w:rsidP="00C458D4">
      <w:pPr>
        <w:pStyle w:val="BodyTextMain"/>
      </w:pPr>
    </w:p>
    <w:p w14:paraId="258259EF" w14:textId="690F02DD" w:rsidR="00C462C5" w:rsidRPr="00B66E4B" w:rsidRDefault="00C462C5" w:rsidP="00C458D4">
      <w:pPr>
        <w:pStyle w:val="BodyTextMain"/>
      </w:pPr>
      <w:r w:rsidRPr="00B66E4B">
        <w:t xml:space="preserve">Vince, in turn, acknowledged Nissan: </w:t>
      </w:r>
    </w:p>
    <w:p w14:paraId="14C0EFB5" w14:textId="77777777" w:rsidR="00C462C5" w:rsidRPr="00B66E4B" w:rsidRDefault="00C462C5" w:rsidP="00C458D4">
      <w:pPr>
        <w:pStyle w:val="BodyTextMain"/>
      </w:pPr>
    </w:p>
    <w:p w14:paraId="48B8A9FA" w14:textId="424C161F" w:rsidR="00C462C5" w:rsidRPr="00B66E4B" w:rsidRDefault="00C462C5" w:rsidP="009914C9">
      <w:pPr>
        <w:pStyle w:val="BodyTextMain"/>
        <w:ind w:left="720"/>
        <w:rPr>
          <w:spacing w:val="-4"/>
        </w:rPr>
      </w:pPr>
      <w:r w:rsidRPr="00B66E4B">
        <w:rPr>
          <w:spacing w:val="-4"/>
        </w:rPr>
        <w:t>Both the cars and the infrastructure are in place to support the electric car revolution in Britain—there are electric highway pumps at almost every motorway service, while companies like Nissan are developing top-quality electric cars. It’s time to introduce charging point road signs in Britain—they’ll provide the necessary direction for the thousands of electric car drivers in Britain as well as increase public awareness that the infrastructure is ready for them to make the move to an electric car.</w:t>
      </w:r>
      <w:r w:rsidRPr="00B66E4B">
        <w:rPr>
          <w:rStyle w:val="EndnoteReference"/>
          <w:spacing w:val="-4"/>
        </w:rPr>
        <w:endnoteReference w:id="50"/>
      </w:r>
      <w:r w:rsidRPr="00B66E4B">
        <w:rPr>
          <w:spacing w:val="-4"/>
        </w:rPr>
        <w:t xml:space="preserve"> </w:t>
      </w:r>
    </w:p>
    <w:p w14:paraId="6F5DB0A3" w14:textId="77777777" w:rsidR="00C462C5" w:rsidRPr="00B66E4B" w:rsidRDefault="00C462C5" w:rsidP="009914C9">
      <w:pPr>
        <w:pStyle w:val="BodyTextMain"/>
      </w:pPr>
    </w:p>
    <w:p w14:paraId="16457025" w14:textId="6FDA14DD" w:rsidR="00CC779F" w:rsidRDefault="00C462C5" w:rsidP="00C458D4">
      <w:pPr>
        <w:pStyle w:val="BodyTextMain"/>
      </w:pPr>
      <w:r w:rsidRPr="00B66E4B">
        <w:t xml:space="preserve">For expansion, Vince targeted strategic A-roads, especially in areas not already covered by the motorway network; for example, in Wales (the A55) and in the southwest (the A30), leading down to </w:t>
      </w:r>
      <w:r w:rsidR="0040438C" w:rsidRPr="00B66E4B">
        <w:t xml:space="preserve">the most southern point in Britain, Land’s End in </w:t>
      </w:r>
      <w:r w:rsidRPr="00B66E4B">
        <w:t xml:space="preserve">Cornwall. A longer-term plan included </w:t>
      </w:r>
      <w:r w:rsidR="0040438C" w:rsidRPr="00B66E4B">
        <w:t xml:space="preserve">also </w:t>
      </w:r>
      <w:r w:rsidRPr="00B66E4B">
        <w:t xml:space="preserve">expanding the network </w:t>
      </w:r>
      <w:r w:rsidR="0040438C" w:rsidRPr="00B66E4B">
        <w:t>to the most northern point of Britain, John O’Groats in</w:t>
      </w:r>
      <w:r w:rsidRPr="00B66E4B">
        <w:t xml:space="preserve"> Scotland.</w:t>
      </w:r>
      <w:r w:rsidRPr="00B66E4B">
        <w:rPr>
          <w:rStyle w:val="EndnoteReference"/>
        </w:rPr>
        <w:endnoteReference w:id="51"/>
      </w:r>
      <w:r w:rsidRPr="00B66E4B">
        <w:t xml:space="preserve"> Vince added</w:t>
      </w:r>
      <w:r w:rsidR="00CC779F">
        <w:t>:</w:t>
      </w:r>
      <w:r w:rsidRPr="00B66E4B">
        <w:t xml:space="preserve"> </w:t>
      </w:r>
    </w:p>
    <w:p w14:paraId="79305CE6" w14:textId="77777777" w:rsidR="00CC779F" w:rsidRDefault="00CC779F" w:rsidP="00C458D4">
      <w:pPr>
        <w:pStyle w:val="BodyTextMain"/>
      </w:pPr>
    </w:p>
    <w:p w14:paraId="0242B244" w14:textId="11D3ACDA" w:rsidR="00C462C5" w:rsidRPr="00B66E4B" w:rsidRDefault="00C462C5" w:rsidP="00CC779F">
      <w:pPr>
        <w:pStyle w:val="BodyTextMain"/>
        <w:ind w:left="567"/>
      </w:pPr>
      <w:r w:rsidRPr="00B66E4B">
        <w:t xml:space="preserve">In February [2015], we delivered one million zero emission miles </w:t>
      </w:r>
      <w:r w:rsidR="00CC779F">
        <w:t xml:space="preserve">[1.6 million kilometres] </w:t>
      </w:r>
      <w:r w:rsidRPr="00B66E4B">
        <w:t xml:space="preserve">to Electric Highway members. The first million miles took nearly two years, so that’s quite a step change. Before [2015] ends, we expect to be delivering two million miles </w:t>
      </w:r>
      <w:r w:rsidR="00CC779F">
        <w:t xml:space="preserve">[3.2 million kilometres] </w:t>
      </w:r>
      <w:r w:rsidRPr="00B66E4B">
        <w:t>a month—that’s a great reflection of the progress EVs are making in Britain.</w:t>
      </w:r>
      <w:r w:rsidRPr="00B66E4B">
        <w:rPr>
          <w:rStyle w:val="EndnoteReference"/>
        </w:rPr>
        <w:endnoteReference w:id="52"/>
      </w:r>
    </w:p>
    <w:p w14:paraId="53BD88C8" w14:textId="77777777" w:rsidR="00C462C5" w:rsidRPr="00B66E4B" w:rsidRDefault="00C462C5" w:rsidP="00C458D4">
      <w:pPr>
        <w:pStyle w:val="BodyTextMain"/>
      </w:pPr>
    </w:p>
    <w:p w14:paraId="66943F65" w14:textId="4F2B7103" w:rsidR="008D6AAC" w:rsidRPr="00B66E4B" w:rsidRDefault="00C462C5" w:rsidP="003076CD">
      <w:pPr>
        <w:pStyle w:val="BodyTextMain"/>
      </w:pPr>
      <w:r w:rsidRPr="00B66E4B">
        <w:t>In 2016, Ecotricity announced a £70 million renegotiating bargain from Aviva Investors for Ecotricity’s efficient power utility portfolio.</w:t>
      </w:r>
      <w:r w:rsidRPr="00B66E4B">
        <w:rPr>
          <w:rStyle w:val="EndnoteReference"/>
        </w:rPr>
        <w:endnoteReference w:id="53"/>
      </w:r>
      <w:r w:rsidRPr="00B66E4B">
        <w:t xml:space="preserve"> Vince said that</w:t>
      </w:r>
      <w:r w:rsidR="00CC779F">
        <w:t>,</w:t>
      </w:r>
      <w:r w:rsidRPr="00B66E4B">
        <w:t xml:space="preserve"> “the deal would provide enough money to increase Ecotricity’s total generation to 100 [megawatts] within 18 months.”</w:t>
      </w:r>
      <w:r w:rsidRPr="00B66E4B">
        <w:rPr>
          <w:rStyle w:val="EndnoteReference"/>
        </w:rPr>
        <w:endnoteReference w:id="54"/>
      </w:r>
      <w:r w:rsidRPr="00B66E4B">
        <w:t xml:space="preserve"> To increase their customer base by harnessing their customer service reputation, Ecotricity announced a 7 per cent drop in the price of </w:t>
      </w:r>
      <w:r w:rsidR="00CC779F">
        <w:t>its</w:t>
      </w:r>
      <w:r w:rsidR="00CC779F" w:rsidRPr="00B66E4B">
        <w:t xml:space="preserve"> </w:t>
      </w:r>
      <w:r w:rsidRPr="00B66E4B">
        <w:t>green gas, effective April 1, 2016.</w:t>
      </w:r>
      <w:r w:rsidRPr="00B66E4B">
        <w:rPr>
          <w:rStyle w:val="EndnoteReference"/>
        </w:rPr>
        <w:endnoteReference w:id="55"/>
      </w:r>
      <w:r w:rsidR="00D54DFA" w:rsidRPr="00B66E4B">
        <w:t xml:space="preserve"> </w:t>
      </w:r>
    </w:p>
    <w:p w14:paraId="1E959CCA" w14:textId="77777777" w:rsidR="008D6AAC" w:rsidRPr="00B66E4B" w:rsidRDefault="008D6AAC" w:rsidP="00C458D4">
      <w:pPr>
        <w:pStyle w:val="BodyTextMain"/>
      </w:pPr>
    </w:p>
    <w:p w14:paraId="26221D86" w14:textId="710151AD" w:rsidR="00D54DFA" w:rsidRPr="00B66E4B" w:rsidRDefault="00307F16" w:rsidP="008A58F8">
      <w:pPr>
        <w:pStyle w:val="BodyTextMain"/>
      </w:pPr>
      <w:r w:rsidRPr="00B66E4B">
        <w:t xml:space="preserve">Given </w:t>
      </w:r>
      <w:r w:rsidR="00D54DFA" w:rsidRPr="00B66E4B">
        <w:t xml:space="preserve">its priority </w:t>
      </w:r>
      <w:r w:rsidRPr="00B66E4B">
        <w:t xml:space="preserve">of </w:t>
      </w:r>
      <w:r w:rsidR="00D54DFA" w:rsidRPr="00B66E4B">
        <w:t>establish</w:t>
      </w:r>
      <w:r w:rsidRPr="00B66E4B">
        <w:t>ing</w:t>
      </w:r>
      <w:r w:rsidR="00D54DFA" w:rsidRPr="00B66E4B">
        <w:t xml:space="preserve"> </w:t>
      </w:r>
      <w:r w:rsidRPr="00B66E4B">
        <w:t xml:space="preserve">a </w:t>
      </w:r>
      <w:r w:rsidR="00D54DFA" w:rsidRPr="00B66E4B">
        <w:t>U</w:t>
      </w:r>
      <w:r w:rsidR="00CC779F">
        <w:t>.</w:t>
      </w:r>
      <w:r w:rsidR="00D54DFA" w:rsidRPr="00B66E4B">
        <w:t>K</w:t>
      </w:r>
      <w:r w:rsidR="00CC779F">
        <w:t>.</w:t>
      </w:r>
      <w:r w:rsidRPr="00B66E4B">
        <w:t>-</w:t>
      </w:r>
      <w:r w:rsidR="00D54DFA" w:rsidRPr="00B66E4B">
        <w:t xml:space="preserve">wide </w:t>
      </w:r>
      <w:r w:rsidR="00BF56D1" w:rsidRPr="00B66E4B">
        <w:t>electric highway</w:t>
      </w:r>
      <w:r w:rsidR="00D54DFA" w:rsidRPr="00B66E4B">
        <w:t xml:space="preserve">, Ecotricity </w:t>
      </w:r>
      <w:r w:rsidR="00CC779F" w:rsidRPr="00B66E4B">
        <w:t>w</w:t>
      </w:r>
      <w:r w:rsidR="00CC779F">
        <w:t>ant</w:t>
      </w:r>
      <w:r w:rsidR="00CC779F" w:rsidRPr="00B66E4B">
        <w:t xml:space="preserve">ed </w:t>
      </w:r>
      <w:r w:rsidR="00D54DFA" w:rsidRPr="00B66E4B">
        <w:t xml:space="preserve">to grow </w:t>
      </w:r>
      <w:r w:rsidRPr="00B66E4B">
        <w:t xml:space="preserve">the </w:t>
      </w:r>
      <w:r w:rsidR="00D54DFA" w:rsidRPr="00B66E4B">
        <w:t>number of charging points</w:t>
      </w:r>
      <w:r w:rsidR="00981C7D" w:rsidRPr="00B66E4B">
        <w:t xml:space="preserve"> in </w:t>
      </w:r>
      <w:r w:rsidR="006331AC">
        <w:t xml:space="preserve">the </w:t>
      </w:r>
      <w:r w:rsidR="00981C7D" w:rsidRPr="00B66E4B">
        <w:t>M4</w:t>
      </w:r>
      <w:r w:rsidR="00B64163" w:rsidRPr="00B66E4B">
        <w:t xml:space="preserve">, </w:t>
      </w:r>
      <w:r w:rsidR="00981C7D" w:rsidRPr="00B66E4B">
        <w:t>M5</w:t>
      </w:r>
      <w:r w:rsidR="00B64163" w:rsidRPr="00B66E4B">
        <w:t xml:space="preserve">, and </w:t>
      </w:r>
      <w:r w:rsidR="00981C7D" w:rsidRPr="00B66E4B">
        <w:t>M40 region</w:t>
      </w:r>
      <w:r w:rsidR="00B64163" w:rsidRPr="00B66E4B">
        <w:t>s</w:t>
      </w:r>
      <w:r w:rsidR="00981C7D" w:rsidRPr="00B66E4B">
        <w:t xml:space="preserve"> </w:t>
      </w:r>
      <w:r w:rsidR="00D54DFA" w:rsidRPr="00B66E4B">
        <w:t xml:space="preserve">by judiciously choosing between owning public charging points </w:t>
      </w:r>
      <w:r w:rsidR="00EA4B99" w:rsidRPr="00B66E4B">
        <w:t>(Type A)</w:t>
      </w:r>
      <w:r w:rsidR="00B64163" w:rsidRPr="00B66E4B">
        <w:t xml:space="preserve"> in</w:t>
      </w:r>
      <w:r w:rsidRPr="00B66E4B">
        <w:t>, for example,</w:t>
      </w:r>
      <w:r w:rsidR="00D54DFA" w:rsidRPr="00B66E4B">
        <w:t xml:space="preserve"> </w:t>
      </w:r>
      <w:r w:rsidRPr="00B66E4B">
        <w:t>s</w:t>
      </w:r>
      <w:r w:rsidR="00D54DFA" w:rsidRPr="00B66E4B">
        <w:t>ervice station</w:t>
      </w:r>
      <w:r w:rsidRPr="00B66E4B">
        <w:t>s</w:t>
      </w:r>
      <w:r w:rsidR="00D54DFA" w:rsidRPr="00B66E4B">
        <w:t xml:space="preserve"> </w:t>
      </w:r>
      <w:r w:rsidRPr="00B66E4B">
        <w:t xml:space="preserve">on </w:t>
      </w:r>
      <w:r w:rsidR="00D54DFA" w:rsidRPr="00B66E4B">
        <w:t>motorway</w:t>
      </w:r>
      <w:r w:rsidRPr="00B66E4B">
        <w:t>s</w:t>
      </w:r>
      <w:r w:rsidR="00B64163" w:rsidRPr="00B66E4B">
        <w:t>,</w:t>
      </w:r>
      <w:r w:rsidR="00D54DFA" w:rsidRPr="00B66E4B">
        <w:t xml:space="preserve"> and sponsoring private charging points</w:t>
      </w:r>
      <w:r w:rsidR="00EA4B99" w:rsidRPr="00B66E4B">
        <w:t xml:space="preserve"> (Type B)</w:t>
      </w:r>
      <w:r w:rsidR="00D54DFA" w:rsidRPr="00B66E4B">
        <w:t xml:space="preserve"> with existing household customers.</w:t>
      </w:r>
      <w:r w:rsidR="001E0E69" w:rsidRPr="00B66E4B">
        <w:t xml:space="preserve"> Type A chargers </w:t>
      </w:r>
      <w:r w:rsidR="00B64163" w:rsidRPr="00B66E4B">
        <w:t>we</w:t>
      </w:r>
      <w:r w:rsidR="001E0E69" w:rsidRPr="00B66E4B">
        <w:t>re more expensive than Type B</w:t>
      </w:r>
      <w:r w:rsidR="00B64163" w:rsidRPr="00B66E4B">
        <w:t xml:space="preserve">, but </w:t>
      </w:r>
      <w:r w:rsidR="000B0345" w:rsidRPr="00B66E4B">
        <w:t>Type A</w:t>
      </w:r>
      <w:r w:rsidR="00C71D40" w:rsidRPr="00B66E4B">
        <w:t xml:space="preserve"> charger</w:t>
      </w:r>
      <w:r w:rsidR="00B64163" w:rsidRPr="00B66E4B">
        <w:t>s</w:t>
      </w:r>
      <w:r w:rsidR="000B0345" w:rsidRPr="00B66E4B">
        <w:t xml:space="preserve"> </w:t>
      </w:r>
      <w:r w:rsidR="00B64163" w:rsidRPr="00B66E4B">
        <w:t xml:space="preserve">could </w:t>
      </w:r>
      <w:r w:rsidR="001E0E69" w:rsidRPr="00B66E4B">
        <w:t>charge more cars per hour (</w:t>
      </w:r>
      <w:r w:rsidR="00B64163" w:rsidRPr="00B66E4B">
        <w:t xml:space="preserve">see </w:t>
      </w:r>
      <w:r w:rsidR="001E0E69" w:rsidRPr="00B66E4B">
        <w:t xml:space="preserve">Exhibit </w:t>
      </w:r>
      <w:r w:rsidR="00766E20">
        <w:t>1</w:t>
      </w:r>
      <w:r w:rsidR="001E0E69" w:rsidRPr="00B66E4B">
        <w:t xml:space="preserve">). Ecotricity’s </w:t>
      </w:r>
      <w:r w:rsidR="00B64163" w:rsidRPr="00B66E4B">
        <w:t xml:space="preserve">expansion </w:t>
      </w:r>
      <w:r w:rsidR="001E0E69" w:rsidRPr="00B66E4B">
        <w:t xml:space="preserve">priority </w:t>
      </w:r>
      <w:r w:rsidR="00B64163" w:rsidRPr="00B66E4B">
        <w:t>was</w:t>
      </w:r>
      <w:r w:rsidR="001E0E69" w:rsidRPr="00B66E4B">
        <w:t xml:space="preserve"> to optimally distribute these two chargers</w:t>
      </w:r>
      <w:r w:rsidR="00981C7D" w:rsidRPr="00B66E4B">
        <w:t xml:space="preserve"> in the region to meet estimated charging demand</w:t>
      </w:r>
      <w:r w:rsidR="001E0E69" w:rsidRPr="00B66E4B">
        <w:t xml:space="preserve">. </w:t>
      </w:r>
      <w:r w:rsidR="00D54DFA" w:rsidRPr="00B66E4B">
        <w:t xml:space="preserve">With the </w:t>
      </w:r>
      <w:r w:rsidR="008D6AAC" w:rsidRPr="00B66E4B">
        <w:t xml:space="preserve">investment for </w:t>
      </w:r>
      <w:r w:rsidR="0065140B" w:rsidRPr="00B66E4B">
        <w:t xml:space="preserve">expansion of the </w:t>
      </w:r>
      <w:r w:rsidR="008D6AAC" w:rsidRPr="00B66E4B">
        <w:t xml:space="preserve">charging infrastructure </w:t>
      </w:r>
      <w:r w:rsidR="003A0618" w:rsidRPr="00B66E4B">
        <w:t>in the region</w:t>
      </w:r>
      <w:r w:rsidR="00135E7B" w:rsidRPr="00B66E4B">
        <w:t>,</w:t>
      </w:r>
      <w:r w:rsidR="00D54DFA" w:rsidRPr="00B66E4B">
        <w:t xml:space="preserve"> </w:t>
      </w:r>
      <w:r w:rsidR="00135E7B" w:rsidRPr="00B66E4B">
        <w:t>w</w:t>
      </w:r>
      <w:r w:rsidR="00A01004" w:rsidRPr="00B66E4B">
        <w:t xml:space="preserve">hat proportion of </w:t>
      </w:r>
      <w:r w:rsidR="0065140B" w:rsidRPr="00B66E4B">
        <w:t>T</w:t>
      </w:r>
      <w:r w:rsidR="00A01004" w:rsidRPr="00B66E4B">
        <w:t>ypes</w:t>
      </w:r>
      <w:r w:rsidR="002C6303" w:rsidRPr="00B66E4B">
        <w:t xml:space="preserve"> A and B</w:t>
      </w:r>
      <w:r w:rsidR="00A01004" w:rsidRPr="00B66E4B">
        <w:t xml:space="preserve"> </w:t>
      </w:r>
      <w:r w:rsidR="0065140B" w:rsidRPr="00B66E4B">
        <w:t xml:space="preserve">chargers </w:t>
      </w:r>
      <w:r w:rsidR="00A01004" w:rsidRPr="00B66E4B">
        <w:t>should</w:t>
      </w:r>
      <w:r w:rsidR="00D54DFA" w:rsidRPr="00B66E4B">
        <w:t xml:space="preserve"> Ecotricity </w:t>
      </w:r>
      <w:r w:rsidR="0065140B" w:rsidRPr="00B66E4B">
        <w:t xml:space="preserve">use </w:t>
      </w:r>
      <w:r w:rsidR="00D54DFA" w:rsidRPr="00B66E4B">
        <w:t xml:space="preserve">to </w:t>
      </w:r>
      <w:r w:rsidR="0065140B" w:rsidRPr="00B66E4B">
        <w:t xml:space="preserve">optimally </w:t>
      </w:r>
      <w:r w:rsidR="00D54DFA" w:rsidRPr="00B66E4B">
        <w:t xml:space="preserve">expand </w:t>
      </w:r>
      <w:r w:rsidR="0065140B" w:rsidRPr="00B66E4B">
        <w:t xml:space="preserve">its </w:t>
      </w:r>
      <w:r w:rsidR="00D54DFA" w:rsidRPr="00B66E4B">
        <w:t>highway network?</w:t>
      </w:r>
      <w:r w:rsidR="00D54DFA" w:rsidRPr="00B66E4B">
        <w:br w:type="page"/>
      </w:r>
    </w:p>
    <w:p w14:paraId="6AE9481F" w14:textId="5AA73EC6" w:rsidR="00E01AC4" w:rsidRPr="00B66E4B" w:rsidRDefault="00E01AC4" w:rsidP="00E01AC4">
      <w:pPr>
        <w:pStyle w:val="ExhibitHeading"/>
        <w:outlineLvl w:val="0"/>
      </w:pPr>
      <w:r w:rsidRPr="00B66E4B">
        <w:lastRenderedPageBreak/>
        <w:t>exhibit 1: E</w:t>
      </w:r>
      <w:r w:rsidR="00866E37">
        <w:t xml:space="preserve">lectric </w:t>
      </w:r>
      <w:r w:rsidRPr="00B66E4B">
        <w:t>V</w:t>
      </w:r>
      <w:r w:rsidR="00866E37">
        <w:t>ehicle</w:t>
      </w:r>
      <w:r w:rsidRPr="00B66E4B">
        <w:t xml:space="preserve"> charging products and THEIR features</w:t>
      </w:r>
    </w:p>
    <w:p w14:paraId="1280AE5F" w14:textId="77777777" w:rsidR="00E01AC4" w:rsidRPr="00B66E4B" w:rsidRDefault="00E01AC4" w:rsidP="00E01AC4">
      <w:pPr>
        <w:pStyle w:val="ExhibitText"/>
      </w:pPr>
    </w:p>
    <w:tbl>
      <w:tblPr>
        <w:tblStyle w:val="TableGrid"/>
        <w:tblW w:w="4915" w:type="pct"/>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056"/>
        <w:gridCol w:w="1231"/>
        <w:gridCol w:w="1493"/>
        <w:gridCol w:w="1231"/>
        <w:gridCol w:w="1231"/>
        <w:gridCol w:w="1056"/>
        <w:gridCol w:w="1001"/>
        <w:gridCol w:w="902"/>
      </w:tblGrid>
      <w:tr w:rsidR="00E01AC4" w:rsidRPr="00B66E4B" w14:paraId="723756CB" w14:textId="77777777" w:rsidTr="0038280A">
        <w:trPr>
          <w:trHeight w:val="360"/>
          <w:jc w:val="center"/>
        </w:trPr>
        <w:tc>
          <w:tcPr>
            <w:tcW w:w="1080" w:type="dxa"/>
            <w:tcBorders>
              <w:bottom w:val="single" w:sz="12" w:space="0" w:color="auto"/>
            </w:tcBorders>
            <w:noWrap/>
            <w:vAlign w:val="center"/>
            <w:hideMark/>
          </w:tcPr>
          <w:p w14:paraId="6DAE3592" w14:textId="77777777" w:rsidR="00E01AC4" w:rsidRPr="00B66E4B" w:rsidRDefault="00E01AC4" w:rsidP="000D6FAF">
            <w:pPr>
              <w:pStyle w:val="ExhibitText"/>
              <w:jc w:val="center"/>
              <w:rPr>
                <w:b/>
                <w:sz w:val="18"/>
                <w:szCs w:val="18"/>
                <w:lang w:eastAsia="en-GB"/>
              </w:rPr>
            </w:pPr>
            <w:r w:rsidRPr="00B66E4B">
              <w:rPr>
                <w:b/>
                <w:sz w:val="18"/>
                <w:szCs w:val="18"/>
                <w:lang w:eastAsia="en-GB"/>
              </w:rPr>
              <w:t>Product #</w:t>
            </w:r>
          </w:p>
        </w:tc>
        <w:tc>
          <w:tcPr>
            <w:tcW w:w="1260" w:type="dxa"/>
            <w:tcBorders>
              <w:bottom w:val="single" w:sz="12" w:space="0" w:color="auto"/>
            </w:tcBorders>
            <w:noWrap/>
            <w:vAlign w:val="center"/>
            <w:hideMark/>
          </w:tcPr>
          <w:p w14:paraId="4F4A11AE" w14:textId="77777777" w:rsidR="00E01AC4" w:rsidRPr="00B66E4B" w:rsidRDefault="00E01AC4" w:rsidP="000D6FAF">
            <w:pPr>
              <w:pStyle w:val="ExhibitText"/>
              <w:jc w:val="center"/>
              <w:rPr>
                <w:b/>
                <w:sz w:val="18"/>
                <w:szCs w:val="18"/>
                <w:lang w:eastAsia="en-GB"/>
              </w:rPr>
            </w:pPr>
            <w:r w:rsidRPr="00B66E4B">
              <w:rPr>
                <w:b/>
                <w:sz w:val="18"/>
                <w:szCs w:val="18"/>
                <w:lang w:eastAsia="en-GB"/>
              </w:rPr>
              <w:t>Product type</w:t>
            </w:r>
          </w:p>
        </w:tc>
        <w:tc>
          <w:tcPr>
            <w:tcW w:w="1530" w:type="dxa"/>
            <w:tcBorders>
              <w:bottom w:val="single" w:sz="12" w:space="0" w:color="auto"/>
            </w:tcBorders>
            <w:vAlign w:val="center"/>
            <w:hideMark/>
          </w:tcPr>
          <w:p w14:paraId="679532ED" w14:textId="77777777" w:rsidR="00E01AC4" w:rsidRPr="00B66E4B" w:rsidRDefault="00E01AC4" w:rsidP="000D6FAF">
            <w:pPr>
              <w:pStyle w:val="ExhibitText"/>
              <w:jc w:val="center"/>
              <w:rPr>
                <w:b/>
                <w:sz w:val="18"/>
                <w:szCs w:val="18"/>
                <w:lang w:eastAsia="en-GB"/>
              </w:rPr>
            </w:pPr>
            <w:r w:rsidRPr="00B66E4B">
              <w:rPr>
                <w:b/>
                <w:sz w:val="18"/>
                <w:szCs w:val="18"/>
                <w:lang w:eastAsia="en-GB"/>
              </w:rPr>
              <w:t>Phase/supply</w:t>
            </w:r>
            <w:r w:rsidRPr="00B66E4B">
              <w:rPr>
                <w:b/>
                <w:sz w:val="18"/>
                <w:szCs w:val="18"/>
                <w:lang w:eastAsia="en-GB"/>
              </w:rPr>
              <w:br/>
              <w:t>to car</w:t>
            </w:r>
          </w:p>
        </w:tc>
        <w:tc>
          <w:tcPr>
            <w:tcW w:w="1260" w:type="dxa"/>
            <w:tcBorders>
              <w:bottom w:val="single" w:sz="12" w:space="0" w:color="auto"/>
            </w:tcBorders>
            <w:vAlign w:val="center"/>
            <w:hideMark/>
          </w:tcPr>
          <w:p w14:paraId="61CF8B75" w14:textId="77777777" w:rsidR="00E01AC4" w:rsidRPr="00B66E4B" w:rsidRDefault="00E01AC4" w:rsidP="000D6FAF">
            <w:pPr>
              <w:pStyle w:val="ExhibitText"/>
              <w:jc w:val="center"/>
              <w:rPr>
                <w:b/>
                <w:sz w:val="18"/>
                <w:szCs w:val="18"/>
                <w:lang w:eastAsia="en-GB"/>
              </w:rPr>
            </w:pPr>
            <w:r w:rsidRPr="00B66E4B">
              <w:rPr>
                <w:b/>
                <w:sz w:val="18"/>
                <w:szCs w:val="18"/>
                <w:lang w:eastAsia="en-GB"/>
              </w:rPr>
              <w:t>kW (nominal</w:t>
            </w:r>
            <w:r w:rsidRPr="00B66E4B">
              <w:rPr>
                <w:b/>
                <w:sz w:val="18"/>
                <w:szCs w:val="18"/>
                <w:lang w:eastAsia="en-GB"/>
              </w:rPr>
              <w:br/>
              <w:t>power)</w:t>
            </w:r>
          </w:p>
        </w:tc>
        <w:tc>
          <w:tcPr>
            <w:tcW w:w="1260" w:type="dxa"/>
            <w:tcBorders>
              <w:bottom w:val="single" w:sz="12" w:space="0" w:color="auto"/>
            </w:tcBorders>
            <w:vAlign w:val="center"/>
            <w:hideMark/>
          </w:tcPr>
          <w:p w14:paraId="7225EDC7" w14:textId="77777777" w:rsidR="00E01AC4" w:rsidRPr="00B66E4B" w:rsidRDefault="00E01AC4" w:rsidP="000D6FAF">
            <w:pPr>
              <w:pStyle w:val="ExhibitText"/>
              <w:jc w:val="center"/>
              <w:rPr>
                <w:b/>
                <w:sz w:val="18"/>
                <w:szCs w:val="18"/>
                <w:lang w:eastAsia="en-GB"/>
              </w:rPr>
            </w:pPr>
            <w:r w:rsidRPr="00B66E4B">
              <w:rPr>
                <w:b/>
                <w:sz w:val="18"/>
                <w:szCs w:val="18"/>
                <w:lang w:eastAsia="en-GB"/>
              </w:rPr>
              <w:t>Number</w:t>
            </w:r>
            <w:r w:rsidRPr="00B66E4B">
              <w:rPr>
                <w:b/>
                <w:sz w:val="18"/>
                <w:szCs w:val="18"/>
                <w:lang w:eastAsia="en-GB"/>
              </w:rPr>
              <w:br/>
              <w:t>of sockets,</w:t>
            </w:r>
            <w:r w:rsidRPr="00B66E4B">
              <w:rPr>
                <w:b/>
                <w:sz w:val="18"/>
                <w:szCs w:val="18"/>
                <w:lang w:eastAsia="en-GB"/>
              </w:rPr>
              <w:br/>
              <w:t>connectors</w:t>
            </w:r>
          </w:p>
        </w:tc>
        <w:tc>
          <w:tcPr>
            <w:tcW w:w="1080" w:type="dxa"/>
            <w:tcBorders>
              <w:bottom w:val="single" w:sz="12" w:space="0" w:color="auto"/>
            </w:tcBorders>
            <w:vAlign w:val="center"/>
            <w:hideMark/>
          </w:tcPr>
          <w:p w14:paraId="341FE92C" w14:textId="77777777" w:rsidR="00E01AC4" w:rsidRPr="00B66E4B" w:rsidRDefault="00E01AC4" w:rsidP="000D6FAF">
            <w:pPr>
              <w:pStyle w:val="ExhibitText"/>
              <w:jc w:val="center"/>
              <w:rPr>
                <w:b/>
                <w:sz w:val="18"/>
                <w:szCs w:val="18"/>
                <w:lang w:eastAsia="en-GB"/>
              </w:rPr>
            </w:pPr>
            <w:r w:rsidRPr="00B66E4B">
              <w:rPr>
                <w:b/>
                <w:sz w:val="18"/>
                <w:szCs w:val="18"/>
                <w:lang w:eastAsia="en-GB"/>
              </w:rPr>
              <w:t>Typical charge</w:t>
            </w:r>
            <w:r w:rsidRPr="00B66E4B">
              <w:rPr>
                <w:b/>
                <w:sz w:val="18"/>
                <w:szCs w:val="18"/>
                <w:lang w:eastAsia="en-GB"/>
              </w:rPr>
              <w:br/>
              <w:t>time (Hrs)</w:t>
            </w:r>
          </w:p>
        </w:tc>
        <w:tc>
          <w:tcPr>
            <w:tcW w:w="1023" w:type="dxa"/>
            <w:tcBorders>
              <w:bottom w:val="single" w:sz="12" w:space="0" w:color="auto"/>
            </w:tcBorders>
            <w:vAlign w:val="center"/>
            <w:hideMark/>
          </w:tcPr>
          <w:p w14:paraId="47411CD1" w14:textId="77777777" w:rsidR="00E01AC4" w:rsidRPr="00B66E4B" w:rsidRDefault="00E01AC4" w:rsidP="000D6FAF">
            <w:pPr>
              <w:pStyle w:val="ExhibitText"/>
              <w:jc w:val="center"/>
              <w:rPr>
                <w:b/>
                <w:sz w:val="18"/>
                <w:szCs w:val="18"/>
                <w:lang w:eastAsia="en-GB"/>
              </w:rPr>
            </w:pPr>
            <w:r w:rsidRPr="00B66E4B">
              <w:rPr>
                <w:b/>
                <w:sz w:val="18"/>
                <w:szCs w:val="18"/>
                <w:lang w:eastAsia="en-GB"/>
              </w:rPr>
              <w:t>Tethered or socket</w:t>
            </w:r>
          </w:p>
        </w:tc>
        <w:tc>
          <w:tcPr>
            <w:tcW w:w="921" w:type="dxa"/>
            <w:tcBorders>
              <w:bottom w:val="single" w:sz="12" w:space="0" w:color="auto"/>
            </w:tcBorders>
            <w:vAlign w:val="center"/>
            <w:hideMark/>
          </w:tcPr>
          <w:p w14:paraId="27FB63FB" w14:textId="77777777" w:rsidR="00E01AC4" w:rsidRPr="00B66E4B" w:rsidRDefault="00E01AC4" w:rsidP="000D6FAF">
            <w:pPr>
              <w:pStyle w:val="ExhibitText"/>
              <w:jc w:val="center"/>
              <w:rPr>
                <w:b/>
                <w:sz w:val="18"/>
                <w:szCs w:val="18"/>
                <w:lang w:eastAsia="en-GB"/>
              </w:rPr>
            </w:pPr>
            <w:r w:rsidRPr="00B66E4B">
              <w:rPr>
                <w:b/>
                <w:sz w:val="18"/>
                <w:szCs w:val="18"/>
                <w:lang w:eastAsia="en-GB"/>
              </w:rPr>
              <w:t>Price</w:t>
            </w:r>
          </w:p>
        </w:tc>
      </w:tr>
      <w:tr w:rsidR="00E01AC4" w:rsidRPr="00B66E4B" w14:paraId="73616C1E" w14:textId="77777777" w:rsidTr="0038280A">
        <w:trPr>
          <w:trHeight w:val="360"/>
          <w:jc w:val="center"/>
        </w:trPr>
        <w:tc>
          <w:tcPr>
            <w:tcW w:w="1080" w:type="dxa"/>
            <w:tcBorders>
              <w:top w:val="single" w:sz="12" w:space="0" w:color="auto"/>
            </w:tcBorders>
            <w:noWrap/>
            <w:vAlign w:val="center"/>
            <w:hideMark/>
          </w:tcPr>
          <w:p w14:paraId="500995F1" w14:textId="77777777" w:rsidR="00E01AC4" w:rsidRPr="00B66E4B" w:rsidRDefault="00E01AC4" w:rsidP="000D6FAF">
            <w:pPr>
              <w:pStyle w:val="ExhibitText"/>
              <w:jc w:val="center"/>
              <w:rPr>
                <w:sz w:val="18"/>
                <w:szCs w:val="18"/>
                <w:lang w:eastAsia="en-GB"/>
              </w:rPr>
            </w:pPr>
            <w:r w:rsidRPr="00B66E4B">
              <w:rPr>
                <w:sz w:val="18"/>
                <w:szCs w:val="18"/>
                <w:lang w:eastAsia="en-GB"/>
              </w:rPr>
              <w:t>1</w:t>
            </w:r>
          </w:p>
        </w:tc>
        <w:tc>
          <w:tcPr>
            <w:tcW w:w="1260" w:type="dxa"/>
            <w:tcBorders>
              <w:top w:val="single" w:sz="12" w:space="0" w:color="auto"/>
            </w:tcBorders>
            <w:noWrap/>
            <w:vAlign w:val="center"/>
            <w:hideMark/>
          </w:tcPr>
          <w:p w14:paraId="1ACA237B" w14:textId="77777777" w:rsidR="00E01AC4" w:rsidRPr="00B66E4B" w:rsidRDefault="00E01AC4" w:rsidP="000D6FAF">
            <w:pPr>
              <w:pStyle w:val="ExhibitText"/>
              <w:jc w:val="center"/>
              <w:rPr>
                <w:sz w:val="18"/>
                <w:szCs w:val="18"/>
                <w:lang w:eastAsia="en-GB"/>
              </w:rPr>
            </w:pPr>
            <w:r w:rsidRPr="00B66E4B">
              <w:rPr>
                <w:sz w:val="18"/>
                <w:szCs w:val="18"/>
                <w:lang w:eastAsia="en-GB"/>
              </w:rPr>
              <w:t>Wallbox</w:t>
            </w:r>
          </w:p>
        </w:tc>
        <w:tc>
          <w:tcPr>
            <w:tcW w:w="1530" w:type="dxa"/>
            <w:tcBorders>
              <w:top w:val="single" w:sz="12" w:space="0" w:color="auto"/>
            </w:tcBorders>
            <w:vAlign w:val="center"/>
            <w:hideMark/>
          </w:tcPr>
          <w:p w14:paraId="57BFF2DC" w14:textId="477B9477" w:rsidR="00E01AC4" w:rsidRPr="00B66E4B" w:rsidRDefault="00E01AC4" w:rsidP="006331AC">
            <w:pPr>
              <w:pStyle w:val="ExhibitText"/>
              <w:jc w:val="center"/>
              <w:rPr>
                <w:sz w:val="18"/>
                <w:szCs w:val="18"/>
                <w:lang w:eastAsia="en-GB"/>
              </w:rPr>
            </w:pPr>
            <w:r w:rsidRPr="00B66E4B">
              <w:rPr>
                <w:sz w:val="18"/>
                <w:szCs w:val="18"/>
                <w:lang w:eastAsia="en-GB"/>
              </w:rPr>
              <w:t>Single</w:t>
            </w:r>
            <w:r w:rsidR="006331AC">
              <w:rPr>
                <w:sz w:val="18"/>
                <w:szCs w:val="18"/>
                <w:lang w:eastAsia="en-GB"/>
              </w:rPr>
              <w:t>-p</w:t>
            </w:r>
            <w:r w:rsidRPr="00B66E4B">
              <w:rPr>
                <w:sz w:val="18"/>
                <w:szCs w:val="18"/>
                <w:lang w:eastAsia="en-GB"/>
              </w:rPr>
              <w:t>hase</w:t>
            </w:r>
            <w:r w:rsidRPr="00B66E4B">
              <w:rPr>
                <w:sz w:val="18"/>
                <w:szCs w:val="18"/>
                <w:lang w:eastAsia="en-GB"/>
              </w:rPr>
              <w:br/>
              <w:t>16A</w:t>
            </w:r>
          </w:p>
        </w:tc>
        <w:tc>
          <w:tcPr>
            <w:tcW w:w="1260" w:type="dxa"/>
            <w:tcBorders>
              <w:top w:val="single" w:sz="12" w:space="0" w:color="auto"/>
            </w:tcBorders>
            <w:vAlign w:val="center"/>
            <w:hideMark/>
          </w:tcPr>
          <w:p w14:paraId="79D4BF34" w14:textId="77777777" w:rsidR="00E01AC4" w:rsidRPr="00B66E4B" w:rsidRDefault="00E01AC4" w:rsidP="0038280A">
            <w:pPr>
              <w:pStyle w:val="ExhibitText"/>
              <w:tabs>
                <w:tab w:val="decimal" w:pos="516"/>
              </w:tabs>
              <w:rPr>
                <w:sz w:val="18"/>
                <w:szCs w:val="18"/>
                <w:lang w:eastAsia="en-GB"/>
              </w:rPr>
            </w:pPr>
            <w:r w:rsidRPr="00B66E4B">
              <w:rPr>
                <w:sz w:val="18"/>
                <w:szCs w:val="18"/>
                <w:lang w:eastAsia="en-GB"/>
              </w:rPr>
              <w:t>3.6</w:t>
            </w:r>
          </w:p>
        </w:tc>
        <w:tc>
          <w:tcPr>
            <w:tcW w:w="1260" w:type="dxa"/>
            <w:tcBorders>
              <w:top w:val="single" w:sz="12" w:space="0" w:color="auto"/>
            </w:tcBorders>
            <w:vAlign w:val="center"/>
            <w:hideMark/>
          </w:tcPr>
          <w:p w14:paraId="71B8338F" w14:textId="77777777" w:rsidR="00E01AC4" w:rsidRPr="00B66E4B" w:rsidRDefault="00E01AC4" w:rsidP="000D6FAF">
            <w:pPr>
              <w:pStyle w:val="ExhibitText"/>
              <w:jc w:val="center"/>
              <w:rPr>
                <w:sz w:val="18"/>
                <w:szCs w:val="18"/>
                <w:lang w:eastAsia="en-GB"/>
              </w:rPr>
            </w:pPr>
            <w:r w:rsidRPr="00B66E4B">
              <w:rPr>
                <w:sz w:val="18"/>
                <w:szCs w:val="18"/>
                <w:lang w:eastAsia="en-GB"/>
              </w:rPr>
              <w:t>1</w:t>
            </w:r>
          </w:p>
        </w:tc>
        <w:tc>
          <w:tcPr>
            <w:tcW w:w="1080" w:type="dxa"/>
            <w:tcBorders>
              <w:top w:val="single" w:sz="12" w:space="0" w:color="auto"/>
            </w:tcBorders>
            <w:vAlign w:val="center"/>
            <w:hideMark/>
          </w:tcPr>
          <w:p w14:paraId="429EF6F3" w14:textId="77777777" w:rsidR="00E01AC4" w:rsidRPr="00B66E4B" w:rsidRDefault="00E01AC4" w:rsidP="0038280A">
            <w:pPr>
              <w:pStyle w:val="ExhibitText"/>
              <w:tabs>
                <w:tab w:val="decimal" w:pos="620"/>
              </w:tabs>
              <w:rPr>
                <w:sz w:val="18"/>
                <w:szCs w:val="18"/>
                <w:lang w:eastAsia="en-GB"/>
              </w:rPr>
            </w:pPr>
            <w:r w:rsidRPr="00B66E4B">
              <w:rPr>
                <w:sz w:val="18"/>
                <w:szCs w:val="18"/>
                <w:lang w:eastAsia="en-GB"/>
              </w:rPr>
              <w:t>8</w:t>
            </w:r>
          </w:p>
        </w:tc>
        <w:tc>
          <w:tcPr>
            <w:tcW w:w="1023" w:type="dxa"/>
            <w:tcBorders>
              <w:top w:val="single" w:sz="12" w:space="0" w:color="auto"/>
            </w:tcBorders>
            <w:vAlign w:val="center"/>
            <w:hideMark/>
          </w:tcPr>
          <w:p w14:paraId="6774A7CF" w14:textId="77777777" w:rsidR="00E01AC4" w:rsidRPr="00B66E4B" w:rsidRDefault="00E01AC4" w:rsidP="000D6FAF">
            <w:pPr>
              <w:pStyle w:val="ExhibitText"/>
              <w:jc w:val="center"/>
              <w:rPr>
                <w:sz w:val="18"/>
                <w:szCs w:val="18"/>
                <w:lang w:eastAsia="en-GB"/>
              </w:rPr>
            </w:pPr>
            <w:r w:rsidRPr="00B66E4B">
              <w:rPr>
                <w:sz w:val="18"/>
                <w:szCs w:val="18"/>
                <w:lang w:eastAsia="en-GB"/>
              </w:rPr>
              <w:t>Tethered</w:t>
            </w:r>
          </w:p>
        </w:tc>
        <w:tc>
          <w:tcPr>
            <w:tcW w:w="921" w:type="dxa"/>
            <w:tcBorders>
              <w:top w:val="single" w:sz="12" w:space="0" w:color="auto"/>
            </w:tcBorders>
            <w:vAlign w:val="center"/>
            <w:hideMark/>
          </w:tcPr>
          <w:p w14:paraId="0156A0BF" w14:textId="77777777" w:rsidR="00E01AC4" w:rsidRPr="00B66E4B" w:rsidRDefault="00E01AC4" w:rsidP="000D6FAF">
            <w:pPr>
              <w:pStyle w:val="ExhibitText"/>
              <w:jc w:val="center"/>
              <w:rPr>
                <w:sz w:val="18"/>
                <w:szCs w:val="18"/>
                <w:lang w:eastAsia="en-GB"/>
              </w:rPr>
            </w:pPr>
            <w:r w:rsidRPr="00B66E4B">
              <w:rPr>
                <w:sz w:val="18"/>
                <w:szCs w:val="18"/>
                <w:lang w:eastAsia="en-GB"/>
              </w:rPr>
              <w:t>From £1,500</w:t>
            </w:r>
          </w:p>
        </w:tc>
      </w:tr>
      <w:tr w:rsidR="00E01AC4" w:rsidRPr="00B66E4B" w14:paraId="3262861D" w14:textId="77777777" w:rsidTr="0038280A">
        <w:trPr>
          <w:trHeight w:val="360"/>
          <w:jc w:val="center"/>
        </w:trPr>
        <w:tc>
          <w:tcPr>
            <w:tcW w:w="1080" w:type="dxa"/>
            <w:noWrap/>
            <w:vAlign w:val="center"/>
            <w:hideMark/>
          </w:tcPr>
          <w:p w14:paraId="7B7DA598" w14:textId="77777777" w:rsidR="00E01AC4" w:rsidRPr="00B66E4B" w:rsidRDefault="00E01AC4" w:rsidP="000D6FAF">
            <w:pPr>
              <w:pStyle w:val="ExhibitText"/>
              <w:jc w:val="center"/>
              <w:rPr>
                <w:sz w:val="18"/>
                <w:szCs w:val="18"/>
                <w:lang w:eastAsia="en-GB"/>
              </w:rPr>
            </w:pPr>
            <w:r w:rsidRPr="00B66E4B">
              <w:rPr>
                <w:sz w:val="18"/>
                <w:szCs w:val="18"/>
                <w:lang w:eastAsia="en-GB"/>
              </w:rPr>
              <w:t>2</w:t>
            </w:r>
          </w:p>
        </w:tc>
        <w:tc>
          <w:tcPr>
            <w:tcW w:w="1260" w:type="dxa"/>
            <w:noWrap/>
            <w:vAlign w:val="center"/>
            <w:hideMark/>
          </w:tcPr>
          <w:p w14:paraId="1E46B6C6" w14:textId="77777777" w:rsidR="00E01AC4" w:rsidRPr="00B66E4B" w:rsidRDefault="00E01AC4" w:rsidP="000D6FAF">
            <w:pPr>
              <w:pStyle w:val="ExhibitText"/>
              <w:jc w:val="center"/>
              <w:rPr>
                <w:sz w:val="18"/>
                <w:szCs w:val="18"/>
                <w:lang w:eastAsia="en-GB"/>
              </w:rPr>
            </w:pPr>
            <w:r w:rsidRPr="00B66E4B">
              <w:rPr>
                <w:sz w:val="18"/>
                <w:szCs w:val="18"/>
                <w:lang w:eastAsia="en-GB"/>
              </w:rPr>
              <w:t>Wallbox</w:t>
            </w:r>
          </w:p>
        </w:tc>
        <w:tc>
          <w:tcPr>
            <w:tcW w:w="1530" w:type="dxa"/>
            <w:vAlign w:val="center"/>
            <w:hideMark/>
          </w:tcPr>
          <w:p w14:paraId="19DE9BD4" w14:textId="4ABF739E" w:rsidR="00E01AC4" w:rsidRPr="00B66E4B" w:rsidRDefault="00E01AC4" w:rsidP="006331AC">
            <w:pPr>
              <w:pStyle w:val="ExhibitText"/>
              <w:jc w:val="center"/>
              <w:rPr>
                <w:sz w:val="18"/>
                <w:szCs w:val="18"/>
                <w:lang w:eastAsia="en-GB"/>
              </w:rPr>
            </w:pPr>
            <w:r w:rsidRPr="00B66E4B">
              <w:rPr>
                <w:sz w:val="18"/>
                <w:szCs w:val="18"/>
                <w:lang w:eastAsia="en-GB"/>
              </w:rPr>
              <w:t>Single</w:t>
            </w:r>
            <w:r w:rsidR="006331AC">
              <w:rPr>
                <w:sz w:val="18"/>
                <w:szCs w:val="18"/>
                <w:lang w:eastAsia="en-GB"/>
              </w:rPr>
              <w:t>-p</w:t>
            </w:r>
            <w:r w:rsidRPr="00B66E4B">
              <w:rPr>
                <w:sz w:val="18"/>
                <w:szCs w:val="18"/>
                <w:lang w:eastAsia="en-GB"/>
              </w:rPr>
              <w:t>hase</w:t>
            </w:r>
            <w:r w:rsidRPr="00B66E4B">
              <w:rPr>
                <w:sz w:val="18"/>
                <w:szCs w:val="18"/>
                <w:lang w:eastAsia="en-GB"/>
              </w:rPr>
              <w:br/>
              <w:t>30A</w:t>
            </w:r>
          </w:p>
        </w:tc>
        <w:tc>
          <w:tcPr>
            <w:tcW w:w="1260" w:type="dxa"/>
            <w:vAlign w:val="center"/>
            <w:hideMark/>
          </w:tcPr>
          <w:p w14:paraId="0C0CDBF3" w14:textId="77777777" w:rsidR="00E01AC4" w:rsidRPr="00B66E4B" w:rsidRDefault="00E01AC4" w:rsidP="0038280A">
            <w:pPr>
              <w:pStyle w:val="ExhibitText"/>
              <w:tabs>
                <w:tab w:val="decimal" w:pos="516"/>
              </w:tabs>
              <w:rPr>
                <w:sz w:val="18"/>
                <w:szCs w:val="18"/>
                <w:lang w:eastAsia="en-GB"/>
              </w:rPr>
            </w:pPr>
            <w:r w:rsidRPr="00B66E4B">
              <w:rPr>
                <w:sz w:val="18"/>
                <w:szCs w:val="18"/>
                <w:lang w:eastAsia="en-GB"/>
              </w:rPr>
              <w:t>7</w:t>
            </w:r>
          </w:p>
        </w:tc>
        <w:tc>
          <w:tcPr>
            <w:tcW w:w="1260" w:type="dxa"/>
            <w:vAlign w:val="center"/>
            <w:hideMark/>
          </w:tcPr>
          <w:p w14:paraId="645EBB23" w14:textId="77777777" w:rsidR="00E01AC4" w:rsidRPr="00B66E4B" w:rsidRDefault="00E01AC4" w:rsidP="000D6FAF">
            <w:pPr>
              <w:pStyle w:val="ExhibitText"/>
              <w:jc w:val="center"/>
              <w:rPr>
                <w:sz w:val="18"/>
                <w:szCs w:val="18"/>
                <w:lang w:eastAsia="en-GB"/>
              </w:rPr>
            </w:pPr>
            <w:r w:rsidRPr="00B66E4B">
              <w:rPr>
                <w:sz w:val="18"/>
                <w:szCs w:val="18"/>
                <w:lang w:eastAsia="en-GB"/>
              </w:rPr>
              <w:t>1</w:t>
            </w:r>
          </w:p>
        </w:tc>
        <w:tc>
          <w:tcPr>
            <w:tcW w:w="1080" w:type="dxa"/>
            <w:vAlign w:val="center"/>
            <w:hideMark/>
          </w:tcPr>
          <w:p w14:paraId="213E20F5" w14:textId="77777777" w:rsidR="00E01AC4" w:rsidRPr="00B66E4B" w:rsidRDefault="00E01AC4" w:rsidP="0038280A">
            <w:pPr>
              <w:pStyle w:val="ExhibitText"/>
              <w:tabs>
                <w:tab w:val="decimal" w:pos="620"/>
              </w:tabs>
              <w:rPr>
                <w:sz w:val="18"/>
                <w:szCs w:val="18"/>
                <w:lang w:eastAsia="en-GB"/>
              </w:rPr>
            </w:pPr>
            <w:r w:rsidRPr="00B66E4B">
              <w:rPr>
                <w:sz w:val="18"/>
                <w:szCs w:val="18"/>
                <w:lang w:eastAsia="en-GB"/>
              </w:rPr>
              <w:t>4</w:t>
            </w:r>
          </w:p>
        </w:tc>
        <w:tc>
          <w:tcPr>
            <w:tcW w:w="1023" w:type="dxa"/>
            <w:vAlign w:val="center"/>
            <w:hideMark/>
          </w:tcPr>
          <w:p w14:paraId="6783186A" w14:textId="77777777" w:rsidR="00E01AC4" w:rsidRPr="00B66E4B" w:rsidRDefault="00E01AC4" w:rsidP="000D6FAF">
            <w:pPr>
              <w:pStyle w:val="ExhibitText"/>
              <w:jc w:val="center"/>
              <w:rPr>
                <w:sz w:val="18"/>
                <w:szCs w:val="18"/>
                <w:lang w:eastAsia="en-GB"/>
              </w:rPr>
            </w:pPr>
            <w:r w:rsidRPr="00B66E4B">
              <w:rPr>
                <w:sz w:val="18"/>
                <w:szCs w:val="18"/>
                <w:lang w:eastAsia="en-GB"/>
              </w:rPr>
              <w:t>Socket</w:t>
            </w:r>
          </w:p>
        </w:tc>
        <w:tc>
          <w:tcPr>
            <w:tcW w:w="921" w:type="dxa"/>
            <w:vAlign w:val="center"/>
            <w:hideMark/>
          </w:tcPr>
          <w:p w14:paraId="2B4C8A4D" w14:textId="77777777" w:rsidR="00E01AC4" w:rsidRPr="00B66E4B" w:rsidRDefault="00E01AC4" w:rsidP="000D6FAF">
            <w:pPr>
              <w:pStyle w:val="ExhibitText"/>
              <w:jc w:val="center"/>
              <w:rPr>
                <w:sz w:val="18"/>
                <w:szCs w:val="18"/>
                <w:lang w:eastAsia="en-GB"/>
              </w:rPr>
            </w:pPr>
            <w:r w:rsidRPr="00B66E4B">
              <w:rPr>
                <w:sz w:val="18"/>
                <w:szCs w:val="18"/>
                <w:lang w:eastAsia="en-GB"/>
              </w:rPr>
              <w:t>From £1,600</w:t>
            </w:r>
          </w:p>
        </w:tc>
      </w:tr>
      <w:tr w:rsidR="00E01AC4" w:rsidRPr="00B66E4B" w14:paraId="430C5D24" w14:textId="77777777" w:rsidTr="0038280A">
        <w:trPr>
          <w:trHeight w:val="360"/>
          <w:jc w:val="center"/>
        </w:trPr>
        <w:tc>
          <w:tcPr>
            <w:tcW w:w="1080" w:type="dxa"/>
            <w:noWrap/>
            <w:vAlign w:val="center"/>
            <w:hideMark/>
          </w:tcPr>
          <w:p w14:paraId="08BFCDB9" w14:textId="77777777" w:rsidR="00E01AC4" w:rsidRPr="00B66E4B" w:rsidRDefault="00E01AC4" w:rsidP="000D6FAF">
            <w:pPr>
              <w:pStyle w:val="ExhibitText"/>
              <w:jc w:val="center"/>
              <w:rPr>
                <w:sz w:val="18"/>
                <w:szCs w:val="18"/>
                <w:lang w:eastAsia="en-GB"/>
              </w:rPr>
            </w:pPr>
            <w:r w:rsidRPr="00B66E4B">
              <w:rPr>
                <w:sz w:val="18"/>
                <w:szCs w:val="18"/>
                <w:lang w:eastAsia="en-GB"/>
              </w:rPr>
              <w:t>3</w:t>
            </w:r>
          </w:p>
        </w:tc>
        <w:tc>
          <w:tcPr>
            <w:tcW w:w="1260" w:type="dxa"/>
            <w:noWrap/>
            <w:vAlign w:val="center"/>
            <w:hideMark/>
          </w:tcPr>
          <w:p w14:paraId="4143D4C0" w14:textId="2DC34D31" w:rsidR="00E01AC4" w:rsidRPr="00B66E4B" w:rsidRDefault="00E01AC4" w:rsidP="003F00F0">
            <w:pPr>
              <w:pStyle w:val="ExhibitText"/>
              <w:jc w:val="center"/>
              <w:rPr>
                <w:sz w:val="18"/>
                <w:szCs w:val="18"/>
                <w:lang w:eastAsia="en-GB"/>
              </w:rPr>
            </w:pPr>
            <w:r w:rsidRPr="00B66E4B">
              <w:rPr>
                <w:sz w:val="18"/>
                <w:szCs w:val="18"/>
                <w:lang w:eastAsia="en-GB"/>
              </w:rPr>
              <w:t>Single</w:t>
            </w:r>
            <w:r w:rsidR="00766E20">
              <w:rPr>
                <w:sz w:val="18"/>
                <w:szCs w:val="18"/>
                <w:lang w:eastAsia="en-GB"/>
              </w:rPr>
              <w:t>-</w:t>
            </w:r>
            <w:r w:rsidRPr="00B66E4B">
              <w:rPr>
                <w:sz w:val="18"/>
                <w:szCs w:val="18"/>
                <w:lang w:eastAsia="en-GB"/>
              </w:rPr>
              <w:t>phase commercial</w:t>
            </w:r>
          </w:p>
        </w:tc>
        <w:tc>
          <w:tcPr>
            <w:tcW w:w="1530" w:type="dxa"/>
            <w:vAlign w:val="center"/>
            <w:hideMark/>
          </w:tcPr>
          <w:p w14:paraId="62459979" w14:textId="7D99394C" w:rsidR="00E01AC4" w:rsidRPr="00B66E4B" w:rsidRDefault="00E01AC4" w:rsidP="006331AC">
            <w:pPr>
              <w:pStyle w:val="ExhibitText"/>
              <w:jc w:val="center"/>
              <w:rPr>
                <w:sz w:val="18"/>
                <w:szCs w:val="18"/>
                <w:lang w:eastAsia="en-GB"/>
              </w:rPr>
            </w:pPr>
            <w:r w:rsidRPr="00B66E4B">
              <w:rPr>
                <w:sz w:val="18"/>
                <w:szCs w:val="18"/>
                <w:lang w:eastAsia="en-GB"/>
              </w:rPr>
              <w:t>Single</w:t>
            </w:r>
            <w:r w:rsidR="006331AC">
              <w:rPr>
                <w:sz w:val="18"/>
                <w:szCs w:val="18"/>
                <w:lang w:eastAsia="en-GB"/>
              </w:rPr>
              <w:t>-p</w:t>
            </w:r>
            <w:r w:rsidRPr="00B66E4B">
              <w:rPr>
                <w:sz w:val="18"/>
                <w:szCs w:val="18"/>
                <w:lang w:eastAsia="en-GB"/>
              </w:rPr>
              <w:t>hase</w:t>
            </w:r>
            <w:r w:rsidRPr="00B66E4B">
              <w:rPr>
                <w:sz w:val="18"/>
                <w:szCs w:val="18"/>
                <w:lang w:eastAsia="en-GB"/>
              </w:rPr>
              <w:br/>
              <w:t>16A</w:t>
            </w:r>
          </w:p>
        </w:tc>
        <w:tc>
          <w:tcPr>
            <w:tcW w:w="1260" w:type="dxa"/>
            <w:vAlign w:val="center"/>
            <w:hideMark/>
          </w:tcPr>
          <w:p w14:paraId="231D9AFD" w14:textId="77777777" w:rsidR="00E01AC4" w:rsidRPr="00B66E4B" w:rsidRDefault="00E01AC4" w:rsidP="0038280A">
            <w:pPr>
              <w:pStyle w:val="ExhibitText"/>
              <w:tabs>
                <w:tab w:val="decimal" w:pos="516"/>
              </w:tabs>
              <w:rPr>
                <w:sz w:val="18"/>
                <w:szCs w:val="18"/>
                <w:lang w:eastAsia="en-GB"/>
              </w:rPr>
            </w:pPr>
            <w:r w:rsidRPr="00B66E4B">
              <w:rPr>
                <w:sz w:val="18"/>
                <w:szCs w:val="18"/>
                <w:lang w:eastAsia="en-GB"/>
              </w:rPr>
              <w:t>3.6</w:t>
            </w:r>
          </w:p>
        </w:tc>
        <w:tc>
          <w:tcPr>
            <w:tcW w:w="1260" w:type="dxa"/>
            <w:vAlign w:val="center"/>
            <w:hideMark/>
          </w:tcPr>
          <w:p w14:paraId="41CFA231" w14:textId="77777777" w:rsidR="00E01AC4" w:rsidRPr="00B66E4B" w:rsidRDefault="00E01AC4" w:rsidP="000D6FAF">
            <w:pPr>
              <w:pStyle w:val="ExhibitText"/>
              <w:jc w:val="center"/>
              <w:rPr>
                <w:sz w:val="18"/>
                <w:szCs w:val="18"/>
                <w:lang w:eastAsia="en-GB"/>
              </w:rPr>
            </w:pPr>
            <w:r w:rsidRPr="00B66E4B">
              <w:rPr>
                <w:sz w:val="18"/>
                <w:szCs w:val="18"/>
                <w:lang w:eastAsia="en-GB"/>
              </w:rPr>
              <w:t>1</w:t>
            </w:r>
          </w:p>
        </w:tc>
        <w:tc>
          <w:tcPr>
            <w:tcW w:w="1080" w:type="dxa"/>
            <w:vAlign w:val="center"/>
            <w:hideMark/>
          </w:tcPr>
          <w:p w14:paraId="558E1A2D" w14:textId="77777777" w:rsidR="00E01AC4" w:rsidRPr="00B66E4B" w:rsidRDefault="00E01AC4" w:rsidP="0038280A">
            <w:pPr>
              <w:pStyle w:val="ExhibitText"/>
              <w:tabs>
                <w:tab w:val="decimal" w:pos="620"/>
              </w:tabs>
              <w:rPr>
                <w:sz w:val="18"/>
                <w:szCs w:val="18"/>
                <w:lang w:eastAsia="en-GB"/>
              </w:rPr>
            </w:pPr>
            <w:r w:rsidRPr="00B66E4B">
              <w:rPr>
                <w:sz w:val="18"/>
                <w:szCs w:val="18"/>
                <w:lang w:eastAsia="en-GB"/>
              </w:rPr>
              <w:t>8</w:t>
            </w:r>
          </w:p>
        </w:tc>
        <w:tc>
          <w:tcPr>
            <w:tcW w:w="1023" w:type="dxa"/>
            <w:vAlign w:val="center"/>
            <w:hideMark/>
          </w:tcPr>
          <w:p w14:paraId="478F0B29" w14:textId="77777777" w:rsidR="00E01AC4" w:rsidRPr="00B66E4B" w:rsidRDefault="00E01AC4" w:rsidP="000D6FAF">
            <w:pPr>
              <w:pStyle w:val="ExhibitText"/>
              <w:jc w:val="center"/>
              <w:rPr>
                <w:sz w:val="18"/>
                <w:szCs w:val="18"/>
                <w:lang w:eastAsia="en-GB"/>
              </w:rPr>
            </w:pPr>
            <w:r w:rsidRPr="00B66E4B">
              <w:rPr>
                <w:sz w:val="18"/>
                <w:szCs w:val="18"/>
                <w:lang w:eastAsia="en-GB"/>
              </w:rPr>
              <w:t>Socket</w:t>
            </w:r>
          </w:p>
        </w:tc>
        <w:tc>
          <w:tcPr>
            <w:tcW w:w="921" w:type="dxa"/>
            <w:vAlign w:val="center"/>
            <w:hideMark/>
          </w:tcPr>
          <w:p w14:paraId="55AC036D" w14:textId="77777777" w:rsidR="00E01AC4" w:rsidRPr="00B66E4B" w:rsidRDefault="00E01AC4" w:rsidP="000D6FAF">
            <w:pPr>
              <w:pStyle w:val="ExhibitText"/>
              <w:jc w:val="center"/>
              <w:rPr>
                <w:sz w:val="18"/>
                <w:szCs w:val="18"/>
                <w:lang w:eastAsia="en-GB"/>
              </w:rPr>
            </w:pPr>
            <w:r w:rsidRPr="00B66E4B">
              <w:rPr>
                <w:sz w:val="18"/>
                <w:szCs w:val="18"/>
                <w:lang w:eastAsia="en-GB"/>
              </w:rPr>
              <w:t>From £3,500</w:t>
            </w:r>
          </w:p>
        </w:tc>
      </w:tr>
      <w:tr w:rsidR="00E01AC4" w:rsidRPr="00B66E4B" w14:paraId="5AB4C015" w14:textId="77777777" w:rsidTr="0038280A">
        <w:trPr>
          <w:trHeight w:val="360"/>
          <w:jc w:val="center"/>
        </w:trPr>
        <w:tc>
          <w:tcPr>
            <w:tcW w:w="1080" w:type="dxa"/>
            <w:noWrap/>
            <w:vAlign w:val="center"/>
            <w:hideMark/>
          </w:tcPr>
          <w:p w14:paraId="4C5E012C" w14:textId="77777777" w:rsidR="00E01AC4" w:rsidRPr="00B66E4B" w:rsidRDefault="00E01AC4" w:rsidP="000D6FAF">
            <w:pPr>
              <w:pStyle w:val="ExhibitText"/>
              <w:jc w:val="center"/>
              <w:rPr>
                <w:sz w:val="18"/>
                <w:szCs w:val="18"/>
                <w:lang w:eastAsia="en-GB"/>
              </w:rPr>
            </w:pPr>
            <w:r w:rsidRPr="00B66E4B">
              <w:rPr>
                <w:sz w:val="18"/>
                <w:szCs w:val="18"/>
                <w:lang w:eastAsia="en-GB"/>
              </w:rPr>
              <w:t>4</w:t>
            </w:r>
          </w:p>
        </w:tc>
        <w:tc>
          <w:tcPr>
            <w:tcW w:w="1260" w:type="dxa"/>
            <w:noWrap/>
            <w:vAlign w:val="center"/>
            <w:hideMark/>
          </w:tcPr>
          <w:p w14:paraId="4D5FDFAF" w14:textId="7A3807F3" w:rsidR="00E01AC4" w:rsidRPr="00B66E4B" w:rsidRDefault="00E01AC4" w:rsidP="003F00F0">
            <w:pPr>
              <w:pStyle w:val="ExhibitText"/>
              <w:jc w:val="center"/>
              <w:rPr>
                <w:sz w:val="18"/>
                <w:szCs w:val="18"/>
                <w:lang w:eastAsia="en-GB"/>
              </w:rPr>
            </w:pPr>
            <w:r w:rsidRPr="00B66E4B">
              <w:rPr>
                <w:sz w:val="18"/>
                <w:szCs w:val="18"/>
                <w:lang w:eastAsia="en-GB"/>
              </w:rPr>
              <w:t>Single</w:t>
            </w:r>
            <w:r w:rsidR="00766E20">
              <w:rPr>
                <w:sz w:val="18"/>
                <w:szCs w:val="18"/>
                <w:lang w:eastAsia="en-GB"/>
              </w:rPr>
              <w:t>-</w:t>
            </w:r>
            <w:r w:rsidRPr="00B66E4B">
              <w:rPr>
                <w:sz w:val="18"/>
                <w:szCs w:val="18"/>
                <w:lang w:eastAsia="en-GB"/>
              </w:rPr>
              <w:t>phase commercial</w:t>
            </w:r>
          </w:p>
        </w:tc>
        <w:tc>
          <w:tcPr>
            <w:tcW w:w="1530" w:type="dxa"/>
            <w:vAlign w:val="center"/>
            <w:hideMark/>
          </w:tcPr>
          <w:p w14:paraId="72150939" w14:textId="5D84469A" w:rsidR="00E01AC4" w:rsidRPr="00B66E4B" w:rsidRDefault="00E01AC4" w:rsidP="006331AC">
            <w:pPr>
              <w:pStyle w:val="ExhibitText"/>
              <w:jc w:val="center"/>
              <w:rPr>
                <w:sz w:val="18"/>
                <w:szCs w:val="18"/>
                <w:lang w:eastAsia="en-GB"/>
              </w:rPr>
            </w:pPr>
            <w:r w:rsidRPr="00B66E4B">
              <w:rPr>
                <w:sz w:val="18"/>
                <w:szCs w:val="18"/>
                <w:lang w:eastAsia="en-GB"/>
              </w:rPr>
              <w:t>Single</w:t>
            </w:r>
            <w:r w:rsidR="006331AC">
              <w:rPr>
                <w:sz w:val="18"/>
                <w:szCs w:val="18"/>
                <w:lang w:eastAsia="en-GB"/>
              </w:rPr>
              <w:t>-p</w:t>
            </w:r>
            <w:r w:rsidRPr="00B66E4B">
              <w:rPr>
                <w:sz w:val="18"/>
                <w:szCs w:val="18"/>
                <w:lang w:eastAsia="en-GB"/>
              </w:rPr>
              <w:t>hase</w:t>
            </w:r>
            <w:r w:rsidRPr="00B66E4B">
              <w:rPr>
                <w:sz w:val="18"/>
                <w:szCs w:val="18"/>
                <w:lang w:eastAsia="en-GB"/>
              </w:rPr>
              <w:br/>
              <w:t>30A</w:t>
            </w:r>
          </w:p>
        </w:tc>
        <w:tc>
          <w:tcPr>
            <w:tcW w:w="1260" w:type="dxa"/>
            <w:vAlign w:val="center"/>
            <w:hideMark/>
          </w:tcPr>
          <w:p w14:paraId="2C0FC8F1" w14:textId="77777777" w:rsidR="00E01AC4" w:rsidRPr="00B66E4B" w:rsidRDefault="00E01AC4" w:rsidP="0038280A">
            <w:pPr>
              <w:pStyle w:val="ExhibitText"/>
              <w:tabs>
                <w:tab w:val="decimal" w:pos="516"/>
              </w:tabs>
              <w:rPr>
                <w:sz w:val="18"/>
                <w:szCs w:val="18"/>
                <w:lang w:eastAsia="en-GB"/>
              </w:rPr>
            </w:pPr>
            <w:r w:rsidRPr="00B66E4B">
              <w:rPr>
                <w:sz w:val="18"/>
                <w:szCs w:val="18"/>
                <w:lang w:eastAsia="en-GB"/>
              </w:rPr>
              <w:t>7</w:t>
            </w:r>
          </w:p>
        </w:tc>
        <w:tc>
          <w:tcPr>
            <w:tcW w:w="1260" w:type="dxa"/>
            <w:vAlign w:val="center"/>
            <w:hideMark/>
          </w:tcPr>
          <w:p w14:paraId="749C9B7E" w14:textId="77777777" w:rsidR="00E01AC4" w:rsidRPr="00B66E4B" w:rsidRDefault="00E01AC4" w:rsidP="000D6FAF">
            <w:pPr>
              <w:pStyle w:val="ExhibitText"/>
              <w:jc w:val="center"/>
              <w:rPr>
                <w:sz w:val="18"/>
                <w:szCs w:val="18"/>
                <w:lang w:eastAsia="en-GB"/>
              </w:rPr>
            </w:pPr>
            <w:r w:rsidRPr="00B66E4B">
              <w:rPr>
                <w:sz w:val="18"/>
                <w:szCs w:val="18"/>
                <w:lang w:eastAsia="en-GB"/>
              </w:rPr>
              <w:t>2</w:t>
            </w:r>
          </w:p>
        </w:tc>
        <w:tc>
          <w:tcPr>
            <w:tcW w:w="1080" w:type="dxa"/>
            <w:vAlign w:val="center"/>
            <w:hideMark/>
          </w:tcPr>
          <w:p w14:paraId="370617BA" w14:textId="77777777" w:rsidR="00E01AC4" w:rsidRPr="00B66E4B" w:rsidRDefault="00E01AC4" w:rsidP="0038280A">
            <w:pPr>
              <w:pStyle w:val="ExhibitText"/>
              <w:tabs>
                <w:tab w:val="decimal" w:pos="620"/>
              </w:tabs>
              <w:rPr>
                <w:sz w:val="18"/>
                <w:szCs w:val="18"/>
                <w:lang w:eastAsia="en-GB"/>
              </w:rPr>
            </w:pPr>
            <w:r w:rsidRPr="00B66E4B">
              <w:rPr>
                <w:sz w:val="18"/>
                <w:szCs w:val="18"/>
                <w:lang w:eastAsia="en-GB"/>
              </w:rPr>
              <w:t>4</w:t>
            </w:r>
          </w:p>
        </w:tc>
        <w:tc>
          <w:tcPr>
            <w:tcW w:w="1023" w:type="dxa"/>
            <w:vAlign w:val="center"/>
            <w:hideMark/>
          </w:tcPr>
          <w:p w14:paraId="7FC90439" w14:textId="77777777" w:rsidR="00E01AC4" w:rsidRPr="00B66E4B" w:rsidRDefault="00E01AC4" w:rsidP="000D6FAF">
            <w:pPr>
              <w:pStyle w:val="ExhibitText"/>
              <w:jc w:val="center"/>
              <w:rPr>
                <w:sz w:val="18"/>
                <w:szCs w:val="18"/>
                <w:lang w:eastAsia="en-GB"/>
              </w:rPr>
            </w:pPr>
            <w:r w:rsidRPr="00B66E4B">
              <w:rPr>
                <w:sz w:val="18"/>
                <w:szCs w:val="18"/>
                <w:lang w:eastAsia="en-GB"/>
              </w:rPr>
              <w:t>Tethered</w:t>
            </w:r>
          </w:p>
        </w:tc>
        <w:tc>
          <w:tcPr>
            <w:tcW w:w="921" w:type="dxa"/>
            <w:vAlign w:val="center"/>
            <w:hideMark/>
          </w:tcPr>
          <w:p w14:paraId="5DB3EDC0" w14:textId="77777777" w:rsidR="00E01AC4" w:rsidRPr="00B66E4B" w:rsidRDefault="00E01AC4" w:rsidP="000D6FAF">
            <w:pPr>
              <w:pStyle w:val="ExhibitText"/>
              <w:jc w:val="center"/>
              <w:rPr>
                <w:sz w:val="18"/>
                <w:szCs w:val="18"/>
                <w:lang w:eastAsia="en-GB"/>
              </w:rPr>
            </w:pPr>
            <w:r w:rsidRPr="00B66E4B">
              <w:rPr>
                <w:sz w:val="18"/>
                <w:szCs w:val="18"/>
                <w:lang w:eastAsia="en-GB"/>
              </w:rPr>
              <w:t>From £2,500</w:t>
            </w:r>
          </w:p>
        </w:tc>
      </w:tr>
      <w:tr w:rsidR="00E01AC4" w:rsidRPr="00B66E4B" w14:paraId="65C77C33" w14:textId="77777777" w:rsidTr="0038280A">
        <w:trPr>
          <w:trHeight w:val="360"/>
          <w:jc w:val="center"/>
        </w:trPr>
        <w:tc>
          <w:tcPr>
            <w:tcW w:w="1080" w:type="dxa"/>
            <w:noWrap/>
            <w:vAlign w:val="center"/>
            <w:hideMark/>
          </w:tcPr>
          <w:p w14:paraId="6339BD98" w14:textId="77777777" w:rsidR="00E01AC4" w:rsidRPr="00B66E4B" w:rsidRDefault="00E01AC4" w:rsidP="000D6FAF">
            <w:pPr>
              <w:pStyle w:val="ExhibitText"/>
              <w:jc w:val="center"/>
              <w:rPr>
                <w:sz w:val="18"/>
                <w:szCs w:val="18"/>
                <w:lang w:eastAsia="en-GB"/>
              </w:rPr>
            </w:pPr>
            <w:r w:rsidRPr="00B66E4B">
              <w:rPr>
                <w:sz w:val="18"/>
                <w:szCs w:val="18"/>
                <w:lang w:eastAsia="en-GB"/>
              </w:rPr>
              <w:t>5</w:t>
            </w:r>
          </w:p>
        </w:tc>
        <w:tc>
          <w:tcPr>
            <w:tcW w:w="1260" w:type="dxa"/>
            <w:noWrap/>
            <w:vAlign w:val="center"/>
            <w:hideMark/>
          </w:tcPr>
          <w:p w14:paraId="392B5380" w14:textId="36956DB1" w:rsidR="00E01AC4" w:rsidRPr="00B66E4B" w:rsidRDefault="00E01AC4" w:rsidP="003F00F0">
            <w:pPr>
              <w:pStyle w:val="ExhibitText"/>
              <w:jc w:val="center"/>
              <w:rPr>
                <w:sz w:val="18"/>
                <w:szCs w:val="18"/>
                <w:lang w:eastAsia="en-GB"/>
              </w:rPr>
            </w:pPr>
            <w:r w:rsidRPr="00B66E4B">
              <w:rPr>
                <w:sz w:val="18"/>
                <w:szCs w:val="18"/>
                <w:lang w:eastAsia="en-GB"/>
              </w:rPr>
              <w:t>Three</w:t>
            </w:r>
            <w:r w:rsidR="00766E20">
              <w:rPr>
                <w:sz w:val="18"/>
                <w:szCs w:val="18"/>
                <w:lang w:eastAsia="en-GB"/>
              </w:rPr>
              <w:t>-</w:t>
            </w:r>
            <w:r w:rsidRPr="00B66E4B">
              <w:rPr>
                <w:sz w:val="18"/>
                <w:szCs w:val="18"/>
                <w:lang w:eastAsia="en-GB"/>
              </w:rPr>
              <w:t>phase commercial</w:t>
            </w:r>
          </w:p>
        </w:tc>
        <w:tc>
          <w:tcPr>
            <w:tcW w:w="1530" w:type="dxa"/>
            <w:vAlign w:val="center"/>
            <w:hideMark/>
          </w:tcPr>
          <w:p w14:paraId="4E2F22D3" w14:textId="5190DE8F" w:rsidR="00E01AC4" w:rsidRPr="00B66E4B" w:rsidRDefault="00E01AC4" w:rsidP="006331AC">
            <w:pPr>
              <w:pStyle w:val="ExhibitText"/>
              <w:jc w:val="center"/>
              <w:rPr>
                <w:sz w:val="18"/>
                <w:szCs w:val="18"/>
                <w:lang w:eastAsia="en-GB"/>
              </w:rPr>
            </w:pPr>
            <w:r w:rsidRPr="00B66E4B">
              <w:rPr>
                <w:sz w:val="18"/>
                <w:szCs w:val="18"/>
                <w:lang w:eastAsia="en-GB"/>
              </w:rPr>
              <w:t>Three</w:t>
            </w:r>
            <w:r w:rsidR="006331AC">
              <w:rPr>
                <w:sz w:val="18"/>
                <w:szCs w:val="18"/>
                <w:lang w:eastAsia="en-GB"/>
              </w:rPr>
              <w:t>-p</w:t>
            </w:r>
            <w:r w:rsidRPr="00B66E4B">
              <w:rPr>
                <w:sz w:val="18"/>
                <w:szCs w:val="18"/>
                <w:lang w:eastAsia="en-GB"/>
              </w:rPr>
              <w:t>hase</w:t>
            </w:r>
            <w:r w:rsidRPr="00B66E4B">
              <w:rPr>
                <w:sz w:val="18"/>
                <w:szCs w:val="18"/>
                <w:lang w:eastAsia="en-GB"/>
              </w:rPr>
              <w:br/>
              <w:t>30A</w:t>
            </w:r>
          </w:p>
        </w:tc>
        <w:tc>
          <w:tcPr>
            <w:tcW w:w="1260" w:type="dxa"/>
            <w:vAlign w:val="center"/>
            <w:hideMark/>
          </w:tcPr>
          <w:p w14:paraId="0157E3E1" w14:textId="77777777" w:rsidR="00E01AC4" w:rsidRPr="00B66E4B" w:rsidRDefault="00E01AC4" w:rsidP="0038280A">
            <w:pPr>
              <w:pStyle w:val="ExhibitText"/>
              <w:tabs>
                <w:tab w:val="decimal" w:pos="516"/>
              </w:tabs>
              <w:rPr>
                <w:sz w:val="18"/>
                <w:szCs w:val="18"/>
                <w:lang w:eastAsia="en-GB"/>
              </w:rPr>
            </w:pPr>
            <w:r w:rsidRPr="00B66E4B">
              <w:rPr>
                <w:sz w:val="18"/>
                <w:szCs w:val="18"/>
                <w:lang w:eastAsia="en-GB"/>
              </w:rPr>
              <w:t>22</w:t>
            </w:r>
          </w:p>
        </w:tc>
        <w:tc>
          <w:tcPr>
            <w:tcW w:w="1260" w:type="dxa"/>
            <w:vAlign w:val="center"/>
            <w:hideMark/>
          </w:tcPr>
          <w:p w14:paraId="23CDDF72" w14:textId="77777777" w:rsidR="00E01AC4" w:rsidRPr="00B66E4B" w:rsidRDefault="00E01AC4" w:rsidP="000D6FAF">
            <w:pPr>
              <w:pStyle w:val="ExhibitText"/>
              <w:jc w:val="center"/>
              <w:rPr>
                <w:sz w:val="18"/>
                <w:szCs w:val="18"/>
                <w:lang w:eastAsia="en-GB"/>
              </w:rPr>
            </w:pPr>
            <w:r w:rsidRPr="00B66E4B">
              <w:rPr>
                <w:sz w:val="18"/>
                <w:szCs w:val="18"/>
                <w:lang w:eastAsia="en-GB"/>
              </w:rPr>
              <w:t>2</w:t>
            </w:r>
          </w:p>
        </w:tc>
        <w:tc>
          <w:tcPr>
            <w:tcW w:w="1080" w:type="dxa"/>
            <w:vAlign w:val="center"/>
            <w:hideMark/>
          </w:tcPr>
          <w:p w14:paraId="2C01CE71" w14:textId="77777777" w:rsidR="00E01AC4" w:rsidRPr="00B66E4B" w:rsidRDefault="00E01AC4" w:rsidP="0038280A">
            <w:pPr>
              <w:pStyle w:val="ExhibitText"/>
              <w:tabs>
                <w:tab w:val="decimal" w:pos="620"/>
              </w:tabs>
              <w:rPr>
                <w:sz w:val="18"/>
                <w:szCs w:val="18"/>
                <w:lang w:eastAsia="en-GB"/>
              </w:rPr>
            </w:pPr>
            <w:r w:rsidRPr="00B66E4B">
              <w:rPr>
                <w:sz w:val="18"/>
                <w:szCs w:val="18"/>
                <w:lang w:eastAsia="en-GB"/>
              </w:rPr>
              <w:t>2</w:t>
            </w:r>
          </w:p>
        </w:tc>
        <w:tc>
          <w:tcPr>
            <w:tcW w:w="1023" w:type="dxa"/>
            <w:vAlign w:val="center"/>
            <w:hideMark/>
          </w:tcPr>
          <w:p w14:paraId="5C59829A" w14:textId="77777777" w:rsidR="00E01AC4" w:rsidRPr="00B66E4B" w:rsidRDefault="00E01AC4" w:rsidP="000D6FAF">
            <w:pPr>
              <w:pStyle w:val="ExhibitText"/>
              <w:jc w:val="center"/>
              <w:rPr>
                <w:sz w:val="18"/>
                <w:szCs w:val="18"/>
                <w:lang w:eastAsia="en-GB"/>
              </w:rPr>
            </w:pPr>
            <w:r w:rsidRPr="00B66E4B">
              <w:rPr>
                <w:sz w:val="18"/>
                <w:szCs w:val="18"/>
                <w:lang w:eastAsia="en-GB"/>
              </w:rPr>
              <w:t>Socket</w:t>
            </w:r>
          </w:p>
        </w:tc>
        <w:tc>
          <w:tcPr>
            <w:tcW w:w="921" w:type="dxa"/>
            <w:vAlign w:val="center"/>
            <w:hideMark/>
          </w:tcPr>
          <w:p w14:paraId="70F44351" w14:textId="77777777" w:rsidR="00E01AC4" w:rsidRPr="00B66E4B" w:rsidRDefault="00E01AC4" w:rsidP="000D6FAF">
            <w:pPr>
              <w:pStyle w:val="ExhibitText"/>
              <w:jc w:val="center"/>
              <w:rPr>
                <w:sz w:val="18"/>
                <w:szCs w:val="18"/>
                <w:lang w:eastAsia="en-GB"/>
              </w:rPr>
            </w:pPr>
            <w:r w:rsidRPr="00B66E4B">
              <w:rPr>
                <w:sz w:val="18"/>
                <w:szCs w:val="18"/>
                <w:lang w:eastAsia="en-GB"/>
              </w:rPr>
              <w:t>From £7,500</w:t>
            </w:r>
          </w:p>
        </w:tc>
      </w:tr>
      <w:tr w:rsidR="00E01AC4" w:rsidRPr="00B66E4B" w14:paraId="59079346" w14:textId="77777777" w:rsidTr="0038280A">
        <w:trPr>
          <w:trHeight w:val="360"/>
          <w:jc w:val="center"/>
        </w:trPr>
        <w:tc>
          <w:tcPr>
            <w:tcW w:w="1080" w:type="dxa"/>
            <w:noWrap/>
            <w:vAlign w:val="center"/>
            <w:hideMark/>
          </w:tcPr>
          <w:p w14:paraId="30F4A172" w14:textId="77777777" w:rsidR="00E01AC4" w:rsidRPr="00B66E4B" w:rsidRDefault="00E01AC4" w:rsidP="000D6FAF">
            <w:pPr>
              <w:pStyle w:val="ExhibitText"/>
              <w:jc w:val="center"/>
              <w:rPr>
                <w:sz w:val="18"/>
                <w:szCs w:val="18"/>
                <w:lang w:eastAsia="en-GB"/>
              </w:rPr>
            </w:pPr>
            <w:r w:rsidRPr="00B66E4B">
              <w:rPr>
                <w:sz w:val="18"/>
                <w:szCs w:val="18"/>
                <w:lang w:eastAsia="en-GB"/>
              </w:rPr>
              <w:t>6</w:t>
            </w:r>
          </w:p>
        </w:tc>
        <w:tc>
          <w:tcPr>
            <w:tcW w:w="1260" w:type="dxa"/>
            <w:noWrap/>
            <w:vAlign w:val="center"/>
            <w:hideMark/>
          </w:tcPr>
          <w:p w14:paraId="33E261FD" w14:textId="3DB6EEFD" w:rsidR="00E01AC4" w:rsidRPr="00B66E4B" w:rsidRDefault="00E01AC4" w:rsidP="003F00F0">
            <w:pPr>
              <w:pStyle w:val="ExhibitText"/>
              <w:jc w:val="center"/>
              <w:rPr>
                <w:sz w:val="18"/>
                <w:szCs w:val="18"/>
                <w:lang w:eastAsia="en-GB"/>
              </w:rPr>
            </w:pPr>
            <w:r w:rsidRPr="00B66E4B">
              <w:rPr>
                <w:sz w:val="18"/>
                <w:szCs w:val="18"/>
                <w:lang w:eastAsia="en-GB"/>
              </w:rPr>
              <w:t>Three</w:t>
            </w:r>
            <w:r w:rsidR="00766E20">
              <w:rPr>
                <w:sz w:val="18"/>
                <w:szCs w:val="18"/>
                <w:lang w:eastAsia="en-GB"/>
              </w:rPr>
              <w:t>-</w:t>
            </w:r>
            <w:r w:rsidRPr="00B66E4B">
              <w:rPr>
                <w:sz w:val="18"/>
                <w:szCs w:val="18"/>
                <w:lang w:eastAsia="en-GB"/>
              </w:rPr>
              <w:t>phase commercial</w:t>
            </w:r>
          </w:p>
        </w:tc>
        <w:tc>
          <w:tcPr>
            <w:tcW w:w="1530" w:type="dxa"/>
            <w:vAlign w:val="center"/>
            <w:hideMark/>
          </w:tcPr>
          <w:p w14:paraId="0ED5FD02" w14:textId="182000BB" w:rsidR="00E01AC4" w:rsidRPr="00B66E4B" w:rsidRDefault="00E01AC4" w:rsidP="006331AC">
            <w:pPr>
              <w:pStyle w:val="ExhibitText"/>
              <w:jc w:val="center"/>
              <w:rPr>
                <w:sz w:val="18"/>
                <w:szCs w:val="18"/>
                <w:lang w:eastAsia="en-GB"/>
              </w:rPr>
            </w:pPr>
            <w:r w:rsidRPr="00B66E4B">
              <w:rPr>
                <w:sz w:val="18"/>
                <w:szCs w:val="18"/>
                <w:lang w:eastAsia="en-GB"/>
              </w:rPr>
              <w:t>Three</w:t>
            </w:r>
            <w:r w:rsidR="006331AC">
              <w:rPr>
                <w:sz w:val="18"/>
                <w:szCs w:val="18"/>
                <w:lang w:eastAsia="en-GB"/>
              </w:rPr>
              <w:t>-p</w:t>
            </w:r>
            <w:r w:rsidRPr="00B66E4B">
              <w:rPr>
                <w:sz w:val="18"/>
                <w:szCs w:val="18"/>
                <w:lang w:eastAsia="en-GB"/>
              </w:rPr>
              <w:t>hase</w:t>
            </w:r>
            <w:r w:rsidRPr="00B66E4B">
              <w:rPr>
                <w:sz w:val="18"/>
                <w:szCs w:val="18"/>
                <w:lang w:eastAsia="en-GB"/>
              </w:rPr>
              <w:br/>
              <w:t>30A</w:t>
            </w:r>
          </w:p>
        </w:tc>
        <w:tc>
          <w:tcPr>
            <w:tcW w:w="1260" w:type="dxa"/>
            <w:vAlign w:val="center"/>
            <w:hideMark/>
          </w:tcPr>
          <w:p w14:paraId="4257DDE3" w14:textId="77777777" w:rsidR="00E01AC4" w:rsidRPr="00B66E4B" w:rsidRDefault="00E01AC4" w:rsidP="0038280A">
            <w:pPr>
              <w:pStyle w:val="ExhibitText"/>
              <w:tabs>
                <w:tab w:val="decimal" w:pos="516"/>
              </w:tabs>
              <w:rPr>
                <w:sz w:val="18"/>
                <w:szCs w:val="18"/>
                <w:lang w:eastAsia="en-GB"/>
              </w:rPr>
            </w:pPr>
            <w:r w:rsidRPr="00B66E4B">
              <w:rPr>
                <w:sz w:val="18"/>
                <w:szCs w:val="18"/>
                <w:lang w:eastAsia="en-GB"/>
              </w:rPr>
              <w:t>22</w:t>
            </w:r>
          </w:p>
        </w:tc>
        <w:tc>
          <w:tcPr>
            <w:tcW w:w="1260" w:type="dxa"/>
            <w:vAlign w:val="center"/>
            <w:hideMark/>
          </w:tcPr>
          <w:p w14:paraId="3FE83517" w14:textId="77777777" w:rsidR="00E01AC4" w:rsidRPr="00B66E4B" w:rsidRDefault="00E01AC4" w:rsidP="000D6FAF">
            <w:pPr>
              <w:pStyle w:val="ExhibitText"/>
              <w:jc w:val="center"/>
              <w:rPr>
                <w:sz w:val="18"/>
                <w:szCs w:val="18"/>
                <w:lang w:eastAsia="en-GB"/>
              </w:rPr>
            </w:pPr>
            <w:r w:rsidRPr="00B66E4B">
              <w:rPr>
                <w:sz w:val="18"/>
                <w:szCs w:val="18"/>
                <w:lang w:eastAsia="en-GB"/>
              </w:rPr>
              <w:t>2</w:t>
            </w:r>
          </w:p>
        </w:tc>
        <w:tc>
          <w:tcPr>
            <w:tcW w:w="1080" w:type="dxa"/>
            <w:vAlign w:val="center"/>
            <w:hideMark/>
          </w:tcPr>
          <w:p w14:paraId="4A499536" w14:textId="77777777" w:rsidR="00E01AC4" w:rsidRPr="00B66E4B" w:rsidRDefault="00E01AC4" w:rsidP="0038280A">
            <w:pPr>
              <w:pStyle w:val="ExhibitText"/>
              <w:tabs>
                <w:tab w:val="decimal" w:pos="620"/>
              </w:tabs>
              <w:rPr>
                <w:sz w:val="18"/>
                <w:szCs w:val="18"/>
                <w:lang w:eastAsia="en-GB"/>
              </w:rPr>
            </w:pPr>
            <w:r w:rsidRPr="00B66E4B">
              <w:rPr>
                <w:sz w:val="18"/>
                <w:szCs w:val="18"/>
                <w:lang w:eastAsia="en-GB"/>
              </w:rPr>
              <w:t>2</w:t>
            </w:r>
          </w:p>
        </w:tc>
        <w:tc>
          <w:tcPr>
            <w:tcW w:w="1023" w:type="dxa"/>
            <w:vAlign w:val="center"/>
            <w:hideMark/>
          </w:tcPr>
          <w:p w14:paraId="03EE1B01" w14:textId="77777777" w:rsidR="00E01AC4" w:rsidRPr="00B66E4B" w:rsidRDefault="00E01AC4" w:rsidP="000D6FAF">
            <w:pPr>
              <w:pStyle w:val="ExhibitText"/>
              <w:jc w:val="center"/>
              <w:rPr>
                <w:sz w:val="18"/>
                <w:szCs w:val="18"/>
                <w:lang w:eastAsia="en-GB"/>
              </w:rPr>
            </w:pPr>
            <w:r w:rsidRPr="00B66E4B">
              <w:rPr>
                <w:sz w:val="18"/>
                <w:szCs w:val="18"/>
                <w:lang w:eastAsia="en-GB"/>
              </w:rPr>
              <w:t>Socket</w:t>
            </w:r>
          </w:p>
        </w:tc>
        <w:tc>
          <w:tcPr>
            <w:tcW w:w="921" w:type="dxa"/>
            <w:vAlign w:val="center"/>
            <w:hideMark/>
          </w:tcPr>
          <w:p w14:paraId="608E956E" w14:textId="77777777" w:rsidR="00E01AC4" w:rsidRPr="00B66E4B" w:rsidRDefault="00E01AC4" w:rsidP="000D6FAF">
            <w:pPr>
              <w:pStyle w:val="ExhibitText"/>
              <w:jc w:val="center"/>
              <w:rPr>
                <w:sz w:val="18"/>
                <w:szCs w:val="18"/>
                <w:lang w:eastAsia="en-GB"/>
              </w:rPr>
            </w:pPr>
            <w:r w:rsidRPr="00B66E4B">
              <w:rPr>
                <w:sz w:val="18"/>
                <w:szCs w:val="18"/>
                <w:lang w:eastAsia="en-GB"/>
              </w:rPr>
              <w:t>From £6,800</w:t>
            </w:r>
          </w:p>
        </w:tc>
      </w:tr>
      <w:tr w:rsidR="00E01AC4" w:rsidRPr="00B66E4B" w14:paraId="291F936E" w14:textId="77777777" w:rsidTr="0038280A">
        <w:trPr>
          <w:trHeight w:val="360"/>
          <w:jc w:val="center"/>
        </w:trPr>
        <w:tc>
          <w:tcPr>
            <w:tcW w:w="1080" w:type="dxa"/>
            <w:noWrap/>
            <w:vAlign w:val="center"/>
            <w:hideMark/>
          </w:tcPr>
          <w:p w14:paraId="12A9B701" w14:textId="77777777" w:rsidR="00E01AC4" w:rsidRPr="00B66E4B" w:rsidRDefault="00E01AC4" w:rsidP="000D6FAF">
            <w:pPr>
              <w:pStyle w:val="ExhibitText"/>
              <w:jc w:val="center"/>
              <w:rPr>
                <w:sz w:val="18"/>
                <w:szCs w:val="18"/>
                <w:lang w:eastAsia="en-GB"/>
              </w:rPr>
            </w:pPr>
            <w:r w:rsidRPr="00B66E4B">
              <w:rPr>
                <w:sz w:val="18"/>
                <w:szCs w:val="18"/>
                <w:lang w:eastAsia="en-GB"/>
              </w:rPr>
              <w:t>7</w:t>
            </w:r>
          </w:p>
        </w:tc>
        <w:tc>
          <w:tcPr>
            <w:tcW w:w="1260" w:type="dxa"/>
            <w:noWrap/>
            <w:vAlign w:val="center"/>
            <w:hideMark/>
          </w:tcPr>
          <w:p w14:paraId="13DE5B49" w14:textId="1EC8B3CB" w:rsidR="00E01AC4" w:rsidRPr="00B66E4B" w:rsidRDefault="00E01AC4" w:rsidP="003F00F0">
            <w:pPr>
              <w:pStyle w:val="ExhibitText"/>
              <w:jc w:val="center"/>
              <w:rPr>
                <w:sz w:val="18"/>
                <w:szCs w:val="18"/>
                <w:lang w:eastAsia="en-GB"/>
              </w:rPr>
            </w:pPr>
            <w:r w:rsidRPr="00B66E4B">
              <w:rPr>
                <w:sz w:val="18"/>
                <w:szCs w:val="18"/>
                <w:lang w:eastAsia="en-GB"/>
              </w:rPr>
              <w:t>Three</w:t>
            </w:r>
            <w:r w:rsidR="00766E20">
              <w:rPr>
                <w:sz w:val="18"/>
                <w:szCs w:val="18"/>
                <w:lang w:eastAsia="en-GB"/>
              </w:rPr>
              <w:t>-</w:t>
            </w:r>
            <w:r w:rsidRPr="00B66E4B">
              <w:rPr>
                <w:sz w:val="18"/>
                <w:szCs w:val="18"/>
                <w:lang w:eastAsia="en-GB"/>
              </w:rPr>
              <w:t>phase commercial</w:t>
            </w:r>
          </w:p>
        </w:tc>
        <w:tc>
          <w:tcPr>
            <w:tcW w:w="1530" w:type="dxa"/>
            <w:vAlign w:val="center"/>
            <w:hideMark/>
          </w:tcPr>
          <w:p w14:paraId="5460C2A8" w14:textId="46069F84" w:rsidR="00E01AC4" w:rsidRPr="00B66E4B" w:rsidRDefault="00E01AC4" w:rsidP="006331AC">
            <w:pPr>
              <w:pStyle w:val="ExhibitText"/>
              <w:jc w:val="center"/>
              <w:rPr>
                <w:sz w:val="18"/>
                <w:szCs w:val="18"/>
                <w:lang w:eastAsia="en-GB"/>
              </w:rPr>
            </w:pPr>
            <w:r w:rsidRPr="00B66E4B">
              <w:rPr>
                <w:sz w:val="18"/>
                <w:szCs w:val="18"/>
                <w:lang w:eastAsia="en-GB"/>
              </w:rPr>
              <w:t>Three</w:t>
            </w:r>
            <w:r w:rsidR="006331AC">
              <w:rPr>
                <w:sz w:val="18"/>
                <w:szCs w:val="18"/>
                <w:lang w:eastAsia="en-GB"/>
              </w:rPr>
              <w:t>-p</w:t>
            </w:r>
            <w:r w:rsidRPr="00B66E4B">
              <w:rPr>
                <w:sz w:val="18"/>
                <w:szCs w:val="18"/>
                <w:lang w:eastAsia="en-GB"/>
              </w:rPr>
              <w:t>hase</w:t>
            </w:r>
            <w:r w:rsidRPr="00B66E4B">
              <w:rPr>
                <w:sz w:val="18"/>
                <w:szCs w:val="18"/>
                <w:lang w:eastAsia="en-GB"/>
              </w:rPr>
              <w:br/>
              <w:t>63A</w:t>
            </w:r>
          </w:p>
        </w:tc>
        <w:tc>
          <w:tcPr>
            <w:tcW w:w="1260" w:type="dxa"/>
            <w:vAlign w:val="center"/>
            <w:hideMark/>
          </w:tcPr>
          <w:p w14:paraId="1F187748" w14:textId="77777777" w:rsidR="00E01AC4" w:rsidRPr="00B66E4B" w:rsidRDefault="00E01AC4" w:rsidP="0038280A">
            <w:pPr>
              <w:pStyle w:val="ExhibitText"/>
              <w:tabs>
                <w:tab w:val="decimal" w:pos="516"/>
              </w:tabs>
              <w:rPr>
                <w:sz w:val="18"/>
                <w:szCs w:val="18"/>
                <w:lang w:eastAsia="en-GB"/>
              </w:rPr>
            </w:pPr>
            <w:r w:rsidRPr="00B66E4B">
              <w:rPr>
                <w:sz w:val="18"/>
                <w:szCs w:val="18"/>
                <w:lang w:eastAsia="en-GB"/>
              </w:rPr>
              <w:t>43</w:t>
            </w:r>
          </w:p>
        </w:tc>
        <w:tc>
          <w:tcPr>
            <w:tcW w:w="1260" w:type="dxa"/>
            <w:vAlign w:val="center"/>
            <w:hideMark/>
          </w:tcPr>
          <w:p w14:paraId="08A4CD3E" w14:textId="77777777" w:rsidR="00E01AC4" w:rsidRPr="00B66E4B" w:rsidRDefault="00E01AC4" w:rsidP="000D6FAF">
            <w:pPr>
              <w:pStyle w:val="ExhibitText"/>
              <w:jc w:val="center"/>
              <w:rPr>
                <w:sz w:val="18"/>
                <w:szCs w:val="18"/>
                <w:lang w:eastAsia="en-GB"/>
              </w:rPr>
            </w:pPr>
            <w:r w:rsidRPr="00B66E4B">
              <w:rPr>
                <w:sz w:val="18"/>
                <w:szCs w:val="18"/>
                <w:lang w:eastAsia="en-GB"/>
              </w:rPr>
              <w:t>2</w:t>
            </w:r>
          </w:p>
        </w:tc>
        <w:tc>
          <w:tcPr>
            <w:tcW w:w="1080" w:type="dxa"/>
            <w:vAlign w:val="center"/>
            <w:hideMark/>
          </w:tcPr>
          <w:p w14:paraId="35626CF6" w14:textId="77777777" w:rsidR="00E01AC4" w:rsidRPr="00B66E4B" w:rsidRDefault="00E01AC4" w:rsidP="0038280A">
            <w:pPr>
              <w:pStyle w:val="ExhibitText"/>
              <w:tabs>
                <w:tab w:val="decimal" w:pos="620"/>
              </w:tabs>
              <w:rPr>
                <w:sz w:val="18"/>
                <w:szCs w:val="18"/>
                <w:lang w:eastAsia="en-GB"/>
              </w:rPr>
            </w:pPr>
            <w:r w:rsidRPr="00B66E4B">
              <w:rPr>
                <w:sz w:val="18"/>
                <w:szCs w:val="18"/>
                <w:lang w:eastAsia="en-GB"/>
              </w:rPr>
              <w:t>1</w:t>
            </w:r>
          </w:p>
        </w:tc>
        <w:tc>
          <w:tcPr>
            <w:tcW w:w="1023" w:type="dxa"/>
            <w:vAlign w:val="center"/>
            <w:hideMark/>
          </w:tcPr>
          <w:p w14:paraId="1BFADE01" w14:textId="77777777" w:rsidR="00E01AC4" w:rsidRPr="00B66E4B" w:rsidRDefault="00E01AC4" w:rsidP="000D6FAF">
            <w:pPr>
              <w:pStyle w:val="ExhibitText"/>
              <w:jc w:val="center"/>
              <w:rPr>
                <w:sz w:val="18"/>
                <w:szCs w:val="18"/>
                <w:lang w:eastAsia="en-GB"/>
              </w:rPr>
            </w:pPr>
            <w:r w:rsidRPr="00B66E4B">
              <w:rPr>
                <w:sz w:val="18"/>
                <w:szCs w:val="18"/>
                <w:lang w:eastAsia="en-GB"/>
              </w:rPr>
              <w:t>Socket</w:t>
            </w:r>
          </w:p>
        </w:tc>
        <w:tc>
          <w:tcPr>
            <w:tcW w:w="921" w:type="dxa"/>
            <w:vAlign w:val="center"/>
            <w:hideMark/>
          </w:tcPr>
          <w:p w14:paraId="02238E87" w14:textId="77777777" w:rsidR="00E01AC4" w:rsidRPr="00B66E4B" w:rsidRDefault="00E01AC4" w:rsidP="000D6FAF">
            <w:pPr>
              <w:pStyle w:val="ExhibitText"/>
              <w:jc w:val="center"/>
              <w:rPr>
                <w:sz w:val="18"/>
                <w:szCs w:val="18"/>
                <w:lang w:eastAsia="en-GB"/>
              </w:rPr>
            </w:pPr>
            <w:r w:rsidRPr="00B66E4B">
              <w:rPr>
                <w:sz w:val="18"/>
                <w:szCs w:val="18"/>
                <w:lang w:eastAsia="en-GB"/>
              </w:rPr>
              <w:t>From £10,000</w:t>
            </w:r>
          </w:p>
        </w:tc>
      </w:tr>
      <w:tr w:rsidR="00E01AC4" w:rsidRPr="00B66E4B" w14:paraId="0F50539F" w14:textId="77777777" w:rsidTr="0038280A">
        <w:trPr>
          <w:trHeight w:val="360"/>
          <w:jc w:val="center"/>
        </w:trPr>
        <w:tc>
          <w:tcPr>
            <w:tcW w:w="1080" w:type="dxa"/>
            <w:noWrap/>
            <w:vAlign w:val="center"/>
            <w:hideMark/>
          </w:tcPr>
          <w:p w14:paraId="3B67BA41" w14:textId="77777777" w:rsidR="00E01AC4" w:rsidRPr="00B66E4B" w:rsidRDefault="00E01AC4" w:rsidP="000D6FAF">
            <w:pPr>
              <w:pStyle w:val="ExhibitText"/>
              <w:jc w:val="center"/>
              <w:rPr>
                <w:sz w:val="18"/>
                <w:szCs w:val="18"/>
                <w:lang w:eastAsia="en-GB"/>
              </w:rPr>
            </w:pPr>
            <w:r w:rsidRPr="00B66E4B">
              <w:rPr>
                <w:sz w:val="18"/>
                <w:szCs w:val="18"/>
                <w:lang w:eastAsia="en-GB"/>
              </w:rPr>
              <w:t>8</w:t>
            </w:r>
          </w:p>
        </w:tc>
        <w:tc>
          <w:tcPr>
            <w:tcW w:w="1260" w:type="dxa"/>
            <w:noWrap/>
            <w:vAlign w:val="center"/>
            <w:hideMark/>
          </w:tcPr>
          <w:p w14:paraId="1561318C" w14:textId="77777777" w:rsidR="00E01AC4" w:rsidRPr="00B66E4B" w:rsidRDefault="00E01AC4" w:rsidP="000D6FAF">
            <w:pPr>
              <w:pStyle w:val="ExhibitText"/>
              <w:jc w:val="center"/>
              <w:rPr>
                <w:sz w:val="18"/>
                <w:szCs w:val="18"/>
                <w:lang w:eastAsia="en-GB"/>
              </w:rPr>
            </w:pPr>
            <w:r w:rsidRPr="00B66E4B">
              <w:rPr>
                <w:sz w:val="18"/>
                <w:szCs w:val="18"/>
                <w:lang w:eastAsia="en-GB"/>
              </w:rPr>
              <w:t>Quick Charger</w:t>
            </w:r>
          </w:p>
        </w:tc>
        <w:tc>
          <w:tcPr>
            <w:tcW w:w="1530" w:type="dxa"/>
            <w:vAlign w:val="center"/>
            <w:hideMark/>
          </w:tcPr>
          <w:p w14:paraId="4CB68AD8" w14:textId="77777777" w:rsidR="00E01AC4" w:rsidRPr="00B66E4B" w:rsidRDefault="00E01AC4" w:rsidP="000D6FAF">
            <w:pPr>
              <w:pStyle w:val="ExhibitText"/>
              <w:jc w:val="center"/>
              <w:rPr>
                <w:sz w:val="18"/>
                <w:szCs w:val="18"/>
                <w:lang w:eastAsia="en-GB"/>
              </w:rPr>
            </w:pPr>
            <w:r w:rsidRPr="00B66E4B">
              <w:rPr>
                <w:sz w:val="18"/>
                <w:szCs w:val="18"/>
                <w:lang w:eastAsia="en-GB"/>
              </w:rPr>
              <w:t>QC, CHAdeMo</w:t>
            </w:r>
            <w:r w:rsidRPr="00B66E4B">
              <w:rPr>
                <w:sz w:val="18"/>
                <w:szCs w:val="18"/>
                <w:lang w:eastAsia="en-GB"/>
              </w:rPr>
              <w:br/>
              <w:t>DC 3 Phase</w:t>
            </w:r>
          </w:p>
        </w:tc>
        <w:tc>
          <w:tcPr>
            <w:tcW w:w="1260" w:type="dxa"/>
            <w:vAlign w:val="center"/>
            <w:hideMark/>
          </w:tcPr>
          <w:p w14:paraId="11F96926" w14:textId="77777777" w:rsidR="00E01AC4" w:rsidRPr="00B66E4B" w:rsidRDefault="00E01AC4" w:rsidP="0038280A">
            <w:pPr>
              <w:pStyle w:val="ExhibitText"/>
              <w:tabs>
                <w:tab w:val="decimal" w:pos="516"/>
              </w:tabs>
              <w:rPr>
                <w:sz w:val="18"/>
                <w:szCs w:val="18"/>
                <w:lang w:eastAsia="en-GB"/>
              </w:rPr>
            </w:pPr>
            <w:r w:rsidRPr="00B66E4B">
              <w:rPr>
                <w:sz w:val="18"/>
                <w:szCs w:val="18"/>
                <w:lang w:eastAsia="en-GB"/>
              </w:rPr>
              <w:t>50</w:t>
            </w:r>
          </w:p>
        </w:tc>
        <w:tc>
          <w:tcPr>
            <w:tcW w:w="1260" w:type="dxa"/>
            <w:vAlign w:val="center"/>
            <w:hideMark/>
          </w:tcPr>
          <w:p w14:paraId="284380C4" w14:textId="77777777" w:rsidR="00E01AC4" w:rsidRPr="00B66E4B" w:rsidRDefault="00E01AC4" w:rsidP="000D6FAF">
            <w:pPr>
              <w:pStyle w:val="ExhibitText"/>
              <w:jc w:val="center"/>
              <w:rPr>
                <w:sz w:val="18"/>
                <w:szCs w:val="18"/>
                <w:lang w:eastAsia="en-GB"/>
              </w:rPr>
            </w:pPr>
            <w:r w:rsidRPr="00B66E4B">
              <w:rPr>
                <w:sz w:val="18"/>
                <w:szCs w:val="18"/>
                <w:lang w:eastAsia="en-GB"/>
              </w:rPr>
              <w:t>1</w:t>
            </w:r>
          </w:p>
        </w:tc>
        <w:tc>
          <w:tcPr>
            <w:tcW w:w="1080" w:type="dxa"/>
            <w:vAlign w:val="center"/>
            <w:hideMark/>
          </w:tcPr>
          <w:p w14:paraId="40AFAE41" w14:textId="77777777" w:rsidR="00E01AC4" w:rsidRPr="00B66E4B" w:rsidRDefault="00E01AC4" w:rsidP="0038280A">
            <w:pPr>
              <w:pStyle w:val="ExhibitText"/>
              <w:tabs>
                <w:tab w:val="decimal" w:pos="620"/>
              </w:tabs>
              <w:rPr>
                <w:sz w:val="18"/>
                <w:szCs w:val="18"/>
                <w:lang w:eastAsia="en-GB"/>
              </w:rPr>
            </w:pPr>
            <w:r w:rsidRPr="00B66E4B">
              <w:rPr>
                <w:sz w:val="18"/>
                <w:szCs w:val="18"/>
                <w:lang w:eastAsia="en-GB"/>
              </w:rPr>
              <w:t>0.5</w:t>
            </w:r>
          </w:p>
        </w:tc>
        <w:tc>
          <w:tcPr>
            <w:tcW w:w="1023" w:type="dxa"/>
            <w:vAlign w:val="center"/>
            <w:hideMark/>
          </w:tcPr>
          <w:p w14:paraId="2EBCBF4B" w14:textId="77777777" w:rsidR="00E01AC4" w:rsidRPr="00B66E4B" w:rsidRDefault="00E01AC4" w:rsidP="000D6FAF">
            <w:pPr>
              <w:pStyle w:val="ExhibitText"/>
              <w:jc w:val="center"/>
              <w:rPr>
                <w:sz w:val="18"/>
                <w:szCs w:val="18"/>
                <w:lang w:eastAsia="en-GB"/>
              </w:rPr>
            </w:pPr>
            <w:r w:rsidRPr="00B66E4B">
              <w:rPr>
                <w:sz w:val="18"/>
                <w:szCs w:val="18"/>
                <w:lang w:eastAsia="en-GB"/>
              </w:rPr>
              <w:t>Tethered</w:t>
            </w:r>
          </w:p>
        </w:tc>
        <w:tc>
          <w:tcPr>
            <w:tcW w:w="921" w:type="dxa"/>
            <w:vAlign w:val="center"/>
            <w:hideMark/>
          </w:tcPr>
          <w:p w14:paraId="1A036542" w14:textId="77777777" w:rsidR="00E01AC4" w:rsidRPr="00B66E4B" w:rsidRDefault="00E01AC4" w:rsidP="000D6FAF">
            <w:pPr>
              <w:pStyle w:val="ExhibitText"/>
              <w:jc w:val="center"/>
              <w:rPr>
                <w:sz w:val="18"/>
                <w:szCs w:val="18"/>
                <w:lang w:eastAsia="en-GB"/>
              </w:rPr>
            </w:pPr>
            <w:r w:rsidRPr="00B66E4B">
              <w:rPr>
                <w:sz w:val="18"/>
                <w:szCs w:val="18"/>
                <w:lang w:eastAsia="en-GB"/>
              </w:rPr>
              <w:t>From £28,000</w:t>
            </w:r>
          </w:p>
        </w:tc>
      </w:tr>
      <w:tr w:rsidR="00E01AC4" w:rsidRPr="00B66E4B" w14:paraId="7D8CE85A" w14:textId="77777777" w:rsidTr="0038280A">
        <w:trPr>
          <w:trHeight w:val="360"/>
          <w:jc w:val="center"/>
        </w:trPr>
        <w:tc>
          <w:tcPr>
            <w:tcW w:w="1080" w:type="dxa"/>
            <w:noWrap/>
            <w:vAlign w:val="center"/>
            <w:hideMark/>
          </w:tcPr>
          <w:p w14:paraId="17A4A88C" w14:textId="77777777" w:rsidR="00E01AC4" w:rsidRPr="00B66E4B" w:rsidRDefault="00E01AC4" w:rsidP="000D6FAF">
            <w:pPr>
              <w:pStyle w:val="ExhibitText"/>
              <w:jc w:val="center"/>
              <w:rPr>
                <w:sz w:val="18"/>
                <w:szCs w:val="18"/>
                <w:lang w:eastAsia="en-GB"/>
              </w:rPr>
            </w:pPr>
            <w:r w:rsidRPr="00B66E4B">
              <w:rPr>
                <w:sz w:val="18"/>
                <w:szCs w:val="18"/>
                <w:lang w:eastAsia="en-GB"/>
              </w:rPr>
              <w:t>9</w:t>
            </w:r>
          </w:p>
        </w:tc>
        <w:tc>
          <w:tcPr>
            <w:tcW w:w="1260" w:type="dxa"/>
            <w:noWrap/>
            <w:vAlign w:val="center"/>
            <w:hideMark/>
          </w:tcPr>
          <w:p w14:paraId="22E2B5AA" w14:textId="77777777" w:rsidR="00E01AC4" w:rsidRPr="00B66E4B" w:rsidRDefault="00E01AC4" w:rsidP="000D6FAF">
            <w:pPr>
              <w:pStyle w:val="ExhibitText"/>
              <w:jc w:val="center"/>
              <w:rPr>
                <w:sz w:val="18"/>
                <w:szCs w:val="18"/>
                <w:lang w:eastAsia="en-GB"/>
              </w:rPr>
            </w:pPr>
            <w:r w:rsidRPr="00B66E4B">
              <w:rPr>
                <w:sz w:val="18"/>
                <w:szCs w:val="18"/>
                <w:lang w:eastAsia="en-GB"/>
              </w:rPr>
              <w:t>Quick Charger</w:t>
            </w:r>
          </w:p>
        </w:tc>
        <w:tc>
          <w:tcPr>
            <w:tcW w:w="1530" w:type="dxa"/>
            <w:vAlign w:val="center"/>
            <w:hideMark/>
          </w:tcPr>
          <w:p w14:paraId="6E5FF413" w14:textId="77777777" w:rsidR="00E01AC4" w:rsidRPr="00B66E4B" w:rsidRDefault="00E01AC4" w:rsidP="000D6FAF">
            <w:pPr>
              <w:pStyle w:val="ExhibitText"/>
              <w:jc w:val="center"/>
              <w:rPr>
                <w:sz w:val="18"/>
                <w:szCs w:val="18"/>
                <w:lang w:eastAsia="en-GB"/>
              </w:rPr>
            </w:pPr>
            <w:r w:rsidRPr="00B66E4B">
              <w:rPr>
                <w:sz w:val="18"/>
                <w:szCs w:val="18"/>
                <w:lang w:eastAsia="en-GB"/>
              </w:rPr>
              <w:t>QC, CHAdeMo</w:t>
            </w:r>
            <w:r w:rsidRPr="00B66E4B">
              <w:rPr>
                <w:sz w:val="18"/>
                <w:szCs w:val="18"/>
                <w:lang w:eastAsia="en-GB"/>
              </w:rPr>
              <w:br/>
              <w:t>AC/DC 3 Phase</w:t>
            </w:r>
          </w:p>
        </w:tc>
        <w:tc>
          <w:tcPr>
            <w:tcW w:w="1260" w:type="dxa"/>
            <w:vAlign w:val="center"/>
            <w:hideMark/>
          </w:tcPr>
          <w:p w14:paraId="72237B61" w14:textId="77777777" w:rsidR="00E01AC4" w:rsidRPr="00B66E4B" w:rsidRDefault="00E01AC4" w:rsidP="0038280A">
            <w:pPr>
              <w:pStyle w:val="ExhibitText"/>
              <w:tabs>
                <w:tab w:val="decimal" w:pos="516"/>
              </w:tabs>
              <w:rPr>
                <w:sz w:val="18"/>
                <w:szCs w:val="18"/>
                <w:lang w:eastAsia="en-GB"/>
              </w:rPr>
            </w:pPr>
            <w:r w:rsidRPr="00B66E4B">
              <w:rPr>
                <w:sz w:val="18"/>
                <w:szCs w:val="18"/>
                <w:lang w:eastAsia="en-GB"/>
              </w:rPr>
              <w:t>50</w:t>
            </w:r>
          </w:p>
        </w:tc>
        <w:tc>
          <w:tcPr>
            <w:tcW w:w="1260" w:type="dxa"/>
            <w:vAlign w:val="center"/>
            <w:hideMark/>
          </w:tcPr>
          <w:p w14:paraId="56412974" w14:textId="77777777" w:rsidR="00E01AC4" w:rsidRPr="00B66E4B" w:rsidRDefault="00E01AC4" w:rsidP="000D6FAF">
            <w:pPr>
              <w:pStyle w:val="ExhibitText"/>
              <w:jc w:val="center"/>
              <w:rPr>
                <w:sz w:val="18"/>
                <w:szCs w:val="18"/>
                <w:lang w:eastAsia="en-GB"/>
              </w:rPr>
            </w:pPr>
            <w:r w:rsidRPr="00B66E4B">
              <w:rPr>
                <w:sz w:val="18"/>
                <w:szCs w:val="18"/>
                <w:lang w:eastAsia="en-GB"/>
              </w:rPr>
              <w:t>2</w:t>
            </w:r>
          </w:p>
        </w:tc>
        <w:tc>
          <w:tcPr>
            <w:tcW w:w="1080" w:type="dxa"/>
            <w:vAlign w:val="center"/>
            <w:hideMark/>
          </w:tcPr>
          <w:p w14:paraId="1CE032AA" w14:textId="77777777" w:rsidR="00E01AC4" w:rsidRPr="00B66E4B" w:rsidRDefault="00E01AC4" w:rsidP="0038280A">
            <w:pPr>
              <w:pStyle w:val="ExhibitText"/>
              <w:tabs>
                <w:tab w:val="decimal" w:pos="620"/>
              </w:tabs>
              <w:rPr>
                <w:sz w:val="18"/>
                <w:szCs w:val="18"/>
                <w:lang w:eastAsia="en-GB"/>
              </w:rPr>
            </w:pPr>
            <w:r w:rsidRPr="00B66E4B">
              <w:rPr>
                <w:sz w:val="18"/>
                <w:szCs w:val="18"/>
                <w:lang w:eastAsia="en-GB"/>
              </w:rPr>
              <w:t>0.5</w:t>
            </w:r>
          </w:p>
        </w:tc>
        <w:tc>
          <w:tcPr>
            <w:tcW w:w="1023" w:type="dxa"/>
            <w:vAlign w:val="center"/>
            <w:hideMark/>
          </w:tcPr>
          <w:p w14:paraId="60047055" w14:textId="77777777" w:rsidR="00E01AC4" w:rsidRPr="00B66E4B" w:rsidRDefault="00E01AC4" w:rsidP="000D6FAF">
            <w:pPr>
              <w:pStyle w:val="ExhibitText"/>
              <w:jc w:val="center"/>
              <w:rPr>
                <w:sz w:val="18"/>
                <w:szCs w:val="18"/>
                <w:lang w:eastAsia="en-GB"/>
              </w:rPr>
            </w:pPr>
            <w:r w:rsidRPr="00B66E4B">
              <w:rPr>
                <w:sz w:val="18"/>
                <w:szCs w:val="18"/>
                <w:lang w:eastAsia="en-GB"/>
              </w:rPr>
              <w:t>Tethered</w:t>
            </w:r>
          </w:p>
        </w:tc>
        <w:tc>
          <w:tcPr>
            <w:tcW w:w="921" w:type="dxa"/>
            <w:vAlign w:val="center"/>
            <w:hideMark/>
          </w:tcPr>
          <w:p w14:paraId="25565F26" w14:textId="77777777" w:rsidR="00E01AC4" w:rsidRPr="00B66E4B" w:rsidRDefault="00E01AC4" w:rsidP="000D6FAF">
            <w:pPr>
              <w:pStyle w:val="ExhibitText"/>
              <w:jc w:val="center"/>
              <w:rPr>
                <w:sz w:val="18"/>
                <w:szCs w:val="18"/>
                <w:lang w:eastAsia="en-GB"/>
              </w:rPr>
            </w:pPr>
            <w:r w:rsidRPr="00B66E4B">
              <w:rPr>
                <w:sz w:val="18"/>
                <w:szCs w:val="18"/>
                <w:lang w:eastAsia="en-GB"/>
              </w:rPr>
              <w:t>From £35,000</w:t>
            </w:r>
          </w:p>
        </w:tc>
      </w:tr>
    </w:tbl>
    <w:p w14:paraId="21BAC3B3" w14:textId="77777777" w:rsidR="00E01AC4" w:rsidRPr="00B66E4B" w:rsidRDefault="00E01AC4" w:rsidP="00E01AC4">
      <w:pPr>
        <w:pStyle w:val="ExhibitText"/>
      </w:pPr>
    </w:p>
    <w:p w14:paraId="14F27F60" w14:textId="07226372" w:rsidR="00E01AC4" w:rsidRPr="00B66E4B" w:rsidRDefault="00E01AC4" w:rsidP="00E01AC4">
      <w:pPr>
        <w:pStyle w:val="Footnote"/>
      </w:pPr>
      <w:r w:rsidRPr="00B66E4B">
        <w:t xml:space="preserve">Note: kW = kilowatts; Hrs = hours. For this case, product 7 will be considered for private chargers (Type B) and product 9 for public chargers (Type A) to expand the Ecotricity highway network. “Typical charge time” is the average number of charging hours per typical </w:t>
      </w:r>
      <w:r w:rsidR="00766E20">
        <w:t>electric vehicle</w:t>
      </w:r>
      <w:r w:rsidR="00766E20" w:rsidRPr="00B66E4B">
        <w:t xml:space="preserve"> </w:t>
      </w:r>
      <w:r w:rsidRPr="00B66E4B">
        <w:t>to obtain 100 per cent battery charge.</w:t>
      </w:r>
      <w:r w:rsidR="00766E20">
        <w:t xml:space="preserve"> £ = GBP = British pound sterling; US</w:t>
      </w:r>
      <w:r w:rsidR="00766E20" w:rsidRPr="00CC2D77">
        <w:rPr>
          <w:lang w:val="en-CA"/>
        </w:rPr>
        <w:t xml:space="preserve">$1 = </w:t>
      </w:r>
      <w:r w:rsidR="00766E20" w:rsidRPr="00ED468F">
        <w:rPr>
          <w:lang w:val="en-CA"/>
        </w:rPr>
        <w:t>£</w:t>
      </w:r>
      <w:r w:rsidR="00766E20">
        <w:rPr>
          <w:lang w:val="en-CA"/>
        </w:rPr>
        <w:t>0.74 and £1 = US$1.35 on January 10, 2018.</w:t>
      </w:r>
    </w:p>
    <w:p w14:paraId="360D3515" w14:textId="77777777" w:rsidR="00E01AC4" w:rsidRPr="00B66E4B" w:rsidRDefault="00E01AC4" w:rsidP="0038280A">
      <w:pPr>
        <w:pStyle w:val="Footnote"/>
        <w:jc w:val="both"/>
        <w:rPr>
          <w:rStyle w:val="Hyperlink"/>
          <w:color w:val="auto"/>
          <w:u w:val="none"/>
        </w:rPr>
      </w:pPr>
      <w:r w:rsidRPr="00B66E4B">
        <w:t>Source: “Electric Vehicle Charging Overview and Pricing,” British Gas, accessed January 10, 2016, www.britishgas.co.uk/content/dam/bgbusiness/documents/ElectricVehicleChargingPointPriceList.pdf</w:t>
      </w:r>
      <w:r w:rsidRPr="00B66E4B">
        <w:rPr>
          <w:rStyle w:val="Hyperlink"/>
          <w:color w:val="auto"/>
          <w:u w:val="none"/>
        </w:rPr>
        <w:t>.</w:t>
      </w:r>
    </w:p>
    <w:p w14:paraId="6040A3F8" w14:textId="77777777" w:rsidR="00E01AC4" w:rsidRPr="00B66E4B" w:rsidRDefault="00E01AC4" w:rsidP="000D6FAF">
      <w:pPr>
        <w:pStyle w:val="ExhibitText"/>
      </w:pPr>
    </w:p>
    <w:p w14:paraId="4312D04D" w14:textId="77777777" w:rsidR="00E01AC4" w:rsidRPr="00B66E4B" w:rsidRDefault="00E01AC4" w:rsidP="000D6FAF">
      <w:pPr>
        <w:pStyle w:val="ExhibitText"/>
      </w:pPr>
    </w:p>
    <w:p w14:paraId="320B1FD7" w14:textId="77777777" w:rsidR="00CF6D6B" w:rsidRDefault="00CF6D6B">
      <w:pPr>
        <w:spacing w:after="200" w:line="276" w:lineRule="auto"/>
        <w:rPr>
          <w:rFonts w:ascii="Arial" w:hAnsi="Arial" w:cs="Arial"/>
          <w:b/>
          <w:caps/>
        </w:rPr>
      </w:pPr>
      <w:r>
        <w:br w:type="page"/>
      </w:r>
    </w:p>
    <w:p w14:paraId="5F430810" w14:textId="2031D027" w:rsidR="00D54DFA" w:rsidRPr="00B66E4B" w:rsidRDefault="0016620F" w:rsidP="00D46DB5">
      <w:pPr>
        <w:pStyle w:val="ExhibitHeading"/>
        <w:outlineLvl w:val="0"/>
      </w:pPr>
      <w:r w:rsidRPr="00B66E4B">
        <w:lastRenderedPageBreak/>
        <w:t xml:space="preserve">exhibit </w:t>
      </w:r>
      <w:r w:rsidR="00E01AC4" w:rsidRPr="00B66E4B">
        <w:t>2</w:t>
      </w:r>
      <w:r w:rsidRPr="00B66E4B">
        <w:t xml:space="preserve">: </w:t>
      </w:r>
      <w:r w:rsidR="00D54DFA" w:rsidRPr="00B66E4B">
        <w:t>new E</w:t>
      </w:r>
      <w:r w:rsidR="00766E20">
        <w:t xml:space="preserve">lectric </w:t>
      </w:r>
      <w:r w:rsidR="00D54DFA" w:rsidRPr="00B66E4B">
        <w:t>V</w:t>
      </w:r>
      <w:r w:rsidR="00766E20">
        <w:t>ehicle</w:t>
      </w:r>
      <w:r w:rsidR="00D54DFA" w:rsidRPr="00B66E4B">
        <w:t xml:space="preserve"> registrations</w:t>
      </w:r>
      <w:r w:rsidR="00766E20">
        <w:t>,</w:t>
      </w:r>
      <w:r w:rsidR="00D54DFA" w:rsidRPr="00B66E4B">
        <w:t xml:space="preserve"> January 2014</w:t>
      </w:r>
      <w:r w:rsidR="00766E20">
        <w:t xml:space="preserve">–January </w:t>
      </w:r>
      <w:r w:rsidR="00D54DFA" w:rsidRPr="00B66E4B">
        <w:t>2016</w:t>
      </w:r>
    </w:p>
    <w:p w14:paraId="70C1A608" w14:textId="77777777" w:rsidR="009D0012" w:rsidRPr="00B66E4B" w:rsidRDefault="009D0012" w:rsidP="000D6FAF">
      <w:pPr>
        <w:pStyle w:val="ExhibitText"/>
      </w:pPr>
    </w:p>
    <w:p w14:paraId="73AA024D" w14:textId="1F668273" w:rsidR="00D54DFA" w:rsidRPr="00B66E4B" w:rsidRDefault="003F56CE" w:rsidP="000D6FAF">
      <w:pPr>
        <w:pStyle w:val="ExhibitText"/>
        <w:jc w:val="center"/>
      </w:pPr>
      <w:r w:rsidRPr="00B66E4B">
        <w:rPr>
          <w:noProof/>
          <w:lang w:val="en-US"/>
        </w:rPr>
        <w:drawing>
          <wp:inline distT="0" distB="0" distL="0" distR="0" wp14:anchorId="3328DF0C" wp14:editId="13483E86">
            <wp:extent cx="5776523" cy="3204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832271" cy="3235300"/>
                    </a:xfrm>
                    <a:prstGeom prst="rect">
                      <a:avLst/>
                    </a:prstGeom>
                    <a:noFill/>
                  </pic:spPr>
                </pic:pic>
              </a:graphicData>
            </a:graphic>
          </wp:inline>
        </w:drawing>
      </w:r>
    </w:p>
    <w:p w14:paraId="500B64B6" w14:textId="77777777" w:rsidR="009D0012" w:rsidRPr="00B66E4B" w:rsidRDefault="009D0012" w:rsidP="000D6FAF">
      <w:pPr>
        <w:pStyle w:val="ExhibitText"/>
        <w:rPr>
          <w:noProof/>
          <w:lang w:eastAsia="en-GB"/>
        </w:rPr>
      </w:pPr>
    </w:p>
    <w:p w14:paraId="6FD1535E" w14:textId="6CF20250" w:rsidR="00CF6D6B" w:rsidRDefault="008C6A45" w:rsidP="0038280A">
      <w:pPr>
        <w:pStyle w:val="Footnote"/>
      </w:pPr>
      <w:r w:rsidRPr="00B66E4B">
        <w:t xml:space="preserve">Source: </w:t>
      </w:r>
      <w:r w:rsidR="00A60D38" w:rsidRPr="00B66E4B">
        <w:t>“</w:t>
      </w:r>
      <w:r w:rsidRPr="00B66E4B">
        <w:t xml:space="preserve">Electric </w:t>
      </w:r>
      <w:r w:rsidR="004042BA" w:rsidRPr="00B66E4B">
        <w:t>Car Market Statistics,</w:t>
      </w:r>
      <w:r w:rsidR="00A60D38" w:rsidRPr="00B66E4B">
        <w:t>”</w:t>
      </w:r>
      <w:r w:rsidRPr="00B66E4B">
        <w:t xml:space="preserve"> Next</w:t>
      </w:r>
      <w:r w:rsidR="004042BA" w:rsidRPr="00B66E4B">
        <w:t xml:space="preserve"> </w:t>
      </w:r>
      <w:r w:rsidRPr="00B66E4B">
        <w:t>Green</w:t>
      </w:r>
      <w:r w:rsidR="004042BA" w:rsidRPr="00B66E4B">
        <w:t xml:space="preserve"> </w:t>
      </w:r>
      <w:r w:rsidRPr="00B66E4B">
        <w:t>Car, accessed January</w:t>
      </w:r>
      <w:r w:rsidR="00A60D38" w:rsidRPr="00B66E4B">
        <w:t xml:space="preserve"> 15</w:t>
      </w:r>
      <w:r w:rsidRPr="00B66E4B">
        <w:t xml:space="preserve">, 2016, </w:t>
      </w:r>
      <w:r w:rsidR="00CF6D6B" w:rsidRPr="00CF6D6B">
        <w:t>www.nextgreencar.com/electric-cars/statistics</w:t>
      </w:r>
      <w:r w:rsidR="00AF178E" w:rsidRPr="00B66E4B">
        <w:t>.</w:t>
      </w:r>
      <w:bookmarkStart w:id="0" w:name="_GoBack"/>
      <w:bookmarkEnd w:id="0"/>
    </w:p>
    <w:p w14:paraId="0C9B5F20" w14:textId="77777777" w:rsidR="00CF6D6B" w:rsidRDefault="00CF6D6B" w:rsidP="0038280A">
      <w:pPr>
        <w:pStyle w:val="Footnote"/>
      </w:pPr>
    </w:p>
    <w:p w14:paraId="0FF452C6" w14:textId="3F9D15F5" w:rsidR="00E01AC4" w:rsidRPr="00B66E4B" w:rsidRDefault="00E01AC4" w:rsidP="0038280A">
      <w:pPr>
        <w:pStyle w:val="Footnote"/>
      </w:pPr>
    </w:p>
    <w:p w14:paraId="718EE78F" w14:textId="178ED40D" w:rsidR="00D54DFA" w:rsidRPr="00B66E4B" w:rsidRDefault="0016620F" w:rsidP="007357F0">
      <w:pPr>
        <w:pStyle w:val="ExhibitHeading"/>
      </w:pPr>
      <w:r w:rsidRPr="00B66E4B">
        <w:t xml:space="preserve">exhibit </w:t>
      </w:r>
      <w:r w:rsidR="00B85853" w:rsidRPr="00B66E4B">
        <w:t>3</w:t>
      </w:r>
      <w:r w:rsidRPr="00B66E4B">
        <w:t xml:space="preserve">: </w:t>
      </w:r>
      <w:r w:rsidR="00D54DFA" w:rsidRPr="00B66E4B">
        <w:t xml:space="preserve">Traffic flow data on the </w:t>
      </w:r>
      <w:r w:rsidR="000E5D76" w:rsidRPr="00B66E4B">
        <w:t xml:space="preserve">Segments of </w:t>
      </w:r>
      <w:r w:rsidR="00D54DFA" w:rsidRPr="00B66E4B">
        <w:t>highway network for Ecotricity</w:t>
      </w:r>
      <w:r w:rsidR="00450977" w:rsidRPr="00B66E4B">
        <w:t>'</w:t>
      </w:r>
      <w:r w:rsidR="00D54DFA" w:rsidRPr="00B66E4B">
        <w:t xml:space="preserve">s charger capacity expansion </w:t>
      </w:r>
    </w:p>
    <w:p w14:paraId="12564081" w14:textId="77777777" w:rsidR="00D54DFA" w:rsidRPr="00B66E4B" w:rsidRDefault="00D54DFA" w:rsidP="003F11C0">
      <w:pPr>
        <w:pStyle w:val="ExhibitText"/>
      </w:pPr>
    </w:p>
    <w:tbl>
      <w:tblPr>
        <w:tblStyle w:val="TableGrid"/>
        <w:tblW w:w="9346" w:type="dxa"/>
        <w:jc w:val="center"/>
        <w:tblBorders>
          <w:left w:val="none" w:sz="0" w:space="0" w:color="auto"/>
          <w:right w:val="none" w:sz="0" w:space="0" w:color="auto"/>
          <w:insideV w:val="none" w:sz="0" w:space="0" w:color="auto"/>
        </w:tblBorders>
        <w:tblLook w:val="0420" w:firstRow="1" w:lastRow="0" w:firstColumn="0" w:lastColumn="0" w:noHBand="0" w:noVBand="1"/>
      </w:tblPr>
      <w:tblGrid>
        <w:gridCol w:w="1558"/>
        <w:gridCol w:w="1558"/>
        <w:gridCol w:w="1557"/>
        <w:gridCol w:w="1557"/>
        <w:gridCol w:w="1558"/>
        <w:gridCol w:w="1558"/>
      </w:tblGrid>
      <w:tr w:rsidR="00D54DFA" w:rsidRPr="00B66E4B" w14:paraId="520CCB36" w14:textId="77777777" w:rsidTr="0038280A">
        <w:trPr>
          <w:trHeight w:val="360"/>
          <w:jc w:val="center"/>
        </w:trPr>
        <w:tc>
          <w:tcPr>
            <w:tcW w:w="1560" w:type="dxa"/>
            <w:tcBorders>
              <w:bottom w:val="single" w:sz="12" w:space="0" w:color="auto"/>
            </w:tcBorders>
            <w:vAlign w:val="center"/>
            <w:hideMark/>
          </w:tcPr>
          <w:p w14:paraId="11F5498A" w14:textId="77777777" w:rsidR="00D54DFA" w:rsidRPr="00B66E4B" w:rsidRDefault="00D54DFA" w:rsidP="00EC191E">
            <w:pPr>
              <w:pStyle w:val="ExhibitText"/>
              <w:jc w:val="center"/>
              <w:rPr>
                <w:b/>
                <w:sz w:val="18"/>
                <w:szCs w:val="18"/>
                <w:lang w:eastAsia="en-GB"/>
              </w:rPr>
            </w:pPr>
            <w:r w:rsidRPr="00B66E4B">
              <w:rPr>
                <w:b/>
                <w:sz w:val="18"/>
                <w:szCs w:val="18"/>
                <w:lang w:eastAsia="en-GB"/>
              </w:rPr>
              <w:t>Highway segment</w:t>
            </w:r>
          </w:p>
        </w:tc>
        <w:tc>
          <w:tcPr>
            <w:tcW w:w="1560" w:type="dxa"/>
            <w:tcBorders>
              <w:bottom w:val="single" w:sz="12" w:space="0" w:color="auto"/>
            </w:tcBorders>
            <w:vAlign w:val="center"/>
            <w:hideMark/>
          </w:tcPr>
          <w:p w14:paraId="0A130136" w14:textId="77777777" w:rsidR="00D54DFA" w:rsidRPr="00B66E4B" w:rsidRDefault="00D54DFA" w:rsidP="00EC191E">
            <w:pPr>
              <w:pStyle w:val="ExhibitText"/>
              <w:jc w:val="center"/>
              <w:rPr>
                <w:b/>
                <w:sz w:val="18"/>
                <w:szCs w:val="18"/>
                <w:lang w:eastAsia="en-GB"/>
              </w:rPr>
            </w:pPr>
            <w:r w:rsidRPr="00B66E4B">
              <w:rPr>
                <w:b/>
                <w:sz w:val="18"/>
                <w:szCs w:val="18"/>
                <w:lang w:eastAsia="en-GB"/>
              </w:rPr>
              <w:t>Highway</w:t>
            </w:r>
          </w:p>
        </w:tc>
        <w:tc>
          <w:tcPr>
            <w:tcW w:w="1560" w:type="dxa"/>
            <w:tcBorders>
              <w:bottom w:val="single" w:sz="12" w:space="0" w:color="auto"/>
            </w:tcBorders>
            <w:vAlign w:val="center"/>
            <w:hideMark/>
          </w:tcPr>
          <w:p w14:paraId="16223270" w14:textId="1DD25B1F" w:rsidR="00D54DFA" w:rsidRPr="00B66E4B" w:rsidRDefault="00D54DFA" w:rsidP="00EC191E">
            <w:pPr>
              <w:pStyle w:val="ExhibitText"/>
              <w:jc w:val="center"/>
              <w:rPr>
                <w:b/>
                <w:sz w:val="18"/>
                <w:szCs w:val="18"/>
                <w:lang w:eastAsia="en-GB"/>
              </w:rPr>
            </w:pPr>
            <w:r w:rsidRPr="00B66E4B">
              <w:rPr>
                <w:b/>
                <w:sz w:val="18"/>
                <w:szCs w:val="18"/>
                <w:lang w:eastAsia="en-GB"/>
              </w:rPr>
              <w:t xml:space="preserve">Count </w:t>
            </w:r>
            <w:r w:rsidR="0013426F" w:rsidRPr="00B66E4B">
              <w:rPr>
                <w:b/>
                <w:sz w:val="18"/>
                <w:szCs w:val="18"/>
                <w:lang w:eastAsia="en-GB"/>
              </w:rPr>
              <w:t>p</w:t>
            </w:r>
            <w:r w:rsidRPr="00B66E4B">
              <w:rPr>
                <w:b/>
                <w:sz w:val="18"/>
                <w:szCs w:val="18"/>
                <w:lang w:eastAsia="en-GB"/>
              </w:rPr>
              <w:t>oint ID</w:t>
            </w:r>
            <w:r w:rsidR="002C6402" w:rsidRPr="00B66E4B">
              <w:rPr>
                <w:b/>
                <w:sz w:val="18"/>
                <w:szCs w:val="18"/>
                <w:lang w:eastAsia="en-GB"/>
              </w:rPr>
              <w:t>*</w:t>
            </w:r>
          </w:p>
        </w:tc>
        <w:tc>
          <w:tcPr>
            <w:tcW w:w="1560" w:type="dxa"/>
            <w:tcBorders>
              <w:bottom w:val="single" w:sz="12" w:space="0" w:color="auto"/>
            </w:tcBorders>
            <w:vAlign w:val="center"/>
            <w:hideMark/>
          </w:tcPr>
          <w:p w14:paraId="38F5A08B" w14:textId="77777777" w:rsidR="00D54DFA" w:rsidRPr="00B66E4B" w:rsidRDefault="00D54DFA" w:rsidP="00EC191E">
            <w:pPr>
              <w:pStyle w:val="ExhibitText"/>
              <w:jc w:val="center"/>
              <w:rPr>
                <w:b/>
                <w:sz w:val="18"/>
                <w:szCs w:val="18"/>
                <w:lang w:eastAsia="en-GB"/>
              </w:rPr>
            </w:pPr>
            <w:r w:rsidRPr="00B66E4B">
              <w:rPr>
                <w:b/>
                <w:sz w:val="18"/>
                <w:szCs w:val="18"/>
                <w:lang w:eastAsia="en-GB"/>
              </w:rPr>
              <w:t>AADF**</w:t>
            </w:r>
          </w:p>
        </w:tc>
        <w:tc>
          <w:tcPr>
            <w:tcW w:w="1560" w:type="dxa"/>
            <w:tcBorders>
              <w:bottom w:val="single" w:sz="12" w:space="0" w:color="auto"/>
            </w:tcBorders>
            <w:vAlign w:val="center"/>
            <w:hideMark/>
          </w:tcPr>
          <w:p w14:paraId="421CD4A1" w14:textId="29FE69E0" w:rsidR="00D54DFA" w:rsidRPr="00B66E4B" w:rsidRDefault="00D54DFA" w:rsidP="00EC191E">
            <w:pPr>
              <w:pStyle w:val="ExhibitText"/>
              <w:jc w:val="center"/>
              <w:rPr>
                <w:b/>
                <w:sz w:val="18"/>
                <w:szCs w:val="18"/>
                <w:lang w:eastAsia="en-GB"/>
              </w:rPr>
            </w:pPr>
            <w:r w:rsidRPr="00B66E4B">
              <w:rPr>
                <w:b/>
                <w:sz w:val="18"/>
                <w:szCs w:val="18"/>
                <w:lang w:eastAsia="en-GB"/>
              </w:rPr>
              <w:t>Existing charging points</w:t>
            </w:r>
          </w:p>
        </w:tc>
        <w:tc>
          <w:tcPr>
            <w:tcW w:w="1560" w:type="dxa"/>
            <w:tcBorders>
              <w:bottom w:val="single" w:sz="12" w:space="0" w:color="auto"/>
            </w:tcBorders>
            <w:vAlign w:val="center"/>
          </w:tcPr>
          <w:p w14:paraId="6716000C" w14:textId="77777777" w:rsidR="00D54DFA" w:rsidRPr="00B66E4B" w:rsidRDefault="00D54DFA" w:rsidP="00EC191E">
            <w:pPr>
              <w:pStyle w:val="ExhibitText"/>
              <w:jc w:val="center"/>
              <w:rPr>
                <w:b/>
                <w:sz w:val="18"/>
                <w:szCs w:val="18"/>
                <w:lang w:eastAsia="en-GB"/>
              </w:rPr>
            </w:pPr>
            <w:r w:rsidRPr="00B66E4B">
              <w:rPr>
                <w:b/>
                <w:sz w:val="18"/>
                <w:szCs w:val="18"/>
                <w:lang w:eastAsia="en-GB"/>
              </w:rPr>
              <w:t>Potential locations for new chargers</w:t>
            </w:r>
          </w:p>
        </w:tc>
      </w:tr>
      <w:tr w:rsidR="00D54DFA" w:rsidRPr="00B66E4B" w14:paraId="19033C9B" w14:textId="77777777" w:rsidTr="0038280A">
        <w:trPr>
          <w:trHeight w:val="360"/>
          <w:jc w:val="center"/>
        </w:trPr>
        <w:tc>
          <w:tcPr>
            <w:tcW w:w="1560" w:type="dxa"/>
            <w:tcBorders>
              <w:top w:val="single" w:sz="12" w:space="0" w:color="auto"/>
            </w:tcBorders>
            <w:vAlign w:val="center"/>
            <w:hideMark/>
          </w:tcPr>
          <w:p w14:paraId="4FDCC450" w14:textId="77777777" w:rsidR="00D54DFA" w:rsidRPr="00B66E4B" w:rsidRDefault="00D54DFA" w:rsidP="00EC191E">
            <w:pPr>
              <w:pStyle w:val="ExhibitText"/>
              <w:jc w:val="center"/>
              <w:rPr>
                <w:sz w:val="18"/>
                <w:szCs w:val="18"/>
                <w:lang w:eastAsia="en-GB"/>
              </w:rPr>
            </w:pPr>
            <w:r w:rsidRPr="00B66E4B">
              <w:rPr>
                <w:sz w:val="18"/>
                <w:szCs w:val="18"/>
                <w:lang w:eastAsia="en-GB"/>
              </w:rPr>
              <w:t>01</w:t>
            </w:r>
          </w:p>
        </w:tc>
        <w:tc>
          <w:tcPr>
            <w:tcW w:w="1560" w:type="dxa"/>
            <w:tcBorders>
              <w:top w:val="single" w:sz="12" w:space="0" w:color="auto"/>
            </w:tcBorders>
            <w:vAlign w:val="center"/>
            <w:hideMark/>
          </w:tcPr>
          <w:p w14:paraId="636407E7" w14:textId="77777777" w:rsidR="00D54DFA" w:rsidRPr="00B66E4B" w:rsidRDefault="00D54DFA" w:rsidP="00EC191E">
            <w:pPr>
              <w:pStyle w:val="ExhibitText"/>
              <w:jc w:val="center"/>
              <w:rPr>
                <w:sz w:val="18"/>
                <w:szCs w:val="18"/>
                <w:lang w:eastAsia="en-GB"/>
              </w:rPr>
            </w:pPr>
            <w:r w:rsidRPr="00B66E4B">
              <w:rPr>
                <w:sz w:val="18"/>
                <w:szCs w:val="18"/>
                <w:lang w:eastAsia="en-GB"/>
              </w:rPr>
              <w:t>M5</w:t>
            </w:r>
          </w:p>
        </w:tc>
        <w:tc>
          <w:tcPr>
            <w:tcW w:w="1560" w:type="dxa"/>
            <w:tcBorders>
              <w:top w:val="single" w:sz="12" w:space="0" w:color="auto"/>
            </w:tcBorders>
            <w:vAlign w:val="center"/>
            <w:hideMark/>
          </w:tcPr>
          <w:p w14:paraId="0F9016C4" w14:textId="4C914FEE" w:rsidR="00D54DFA" w:rsidRPr="00B66E4B" w:rsidRDefault="00D54DFA" w:rsidP="00EC191E">
            <w:pPr>
              <w:pStyle w:val="ExhibitText"/>
              <w:jc w:val="center"/>
              <w:rPr>
                <w:sz w:val="18"/>
                <w:szCs w:val="18"/>
                <w:lang w:eastAsia="en-GB"/>
              </w:rPr>
            </w:pPr>
            <w:r w:rsidRPr="00B66E4B">
              <w:rPr>
                <w:sz w:val="18"/>
                <w:szCs w:val="18"/>
                <w:lang w:eastAsia="en-GB"/>
              </w:rPr>
              <w:t>46</w:t>
            </w:r>
            <w:r w:rsidR="00C727FC" w:rsidRPr="00B66E4B">
              <w:rPr>
                <w:sz w:val="18"/>
                <w:szCs w:val="18"/>
                <w:lang w:eastAsia="en-GB"/>
              </w:rPr>
              <w:t>,</w:t>
            </w:r>
            <w:r w:rsidRPr="00B66E4B">
              <w:rPr>
                <w:sz w:val="18"/>
                <w:szCs w:val="18"/>
                <w:lang w:eastAsia="en-GB"/>
              </w:rPr>
              <w:t>018</w:t>
            </w:r>
          </w:p>
        </w:tc>
        <w:tc>
          <w:tcPr>
            <w:tcW w:w="1560" w:type="dxa"/>
            <w:tcBorders>
              <w:top w:val="single" w:sz="12" w:space="0" w:color="auto"/>
            </w:tcBorders>
            <w:vAlign w:val="center"/>
            <w:hideMark/>
          </w:tcPr>
          <w:p w14:paraId="25C61B9F" w14:textId="7E6A4E9D" w:rsidR="00D54DFA" w:rsidRPr="00B66E4B" w:rsidRDefault="00D54DFA" w:rsidP="00EC191E">
            <w:pPr>
              <w:pStyle w:val="ExhibitText"/>
              <w:jc w:val="center"/>
              <w:rPr>
                <w:sz w:val="18"/>
                <w:szCs w:val="18"/>
                <w:lang w:eastAsia="en-GB"/>
              </w:rPr>
            </w:pPr>
            <w:r w:rsidRPr="00B66E4B">
              <w:rPr>
                <w:sz w:val="18"/>
                <w:szCs w:val="18"/>
                <w:lang w:eastAsia="en-GB"/>
              </w:rPr>
              <w:t>58</w:t>
            </w:r>
            <w:r w:rsidR="00C727FC" w:rsidRPr="00B66E4B">
              <w:rPr>
                <w:sz w:val="18"/>
                <w:szCs w:val="18"/>
                <w:lang w:eastAsia="en-GB"/>
              </w:rPr>
              <w:t>,</w:t>
            </w:r>
            <w:r w:rsidRPr="00B66E4B">
              <w:rPr>
                <w:sz w:val="18"/>
                <w:szCs w:val="18"/>
                <w:lang w:eastAsia="en-GB"/>
              </w:rPr>
              <w:t>048</w:t>
            </w:r>
          </w:p>
        </w:tc>
        <w:tc>
          <w:tcPr>
            <w:tcW w:w="1560" w:type="dxa"/>
            <w:tcBorders>
              <w:top w:val="single" w:sz="12" w:space="0" w:color="auto"/>
            </w:tcBorders>
            <w:vAlign w:val="center"/>
            <w:hideMark/>
          </w:tcPr>
          <w:p w14:paraId="3C1E6200" w14:textId="77777777" w:rsidR="00D54DFA" w:rsidRPr="00B66E4B" w:rsidRDefault="00D54DFA" w:rsidP="00EC191E">
            <w:pPr>
              <w:pStyle w:val="ExhibitText"/>
              <w:jc w:val="center"/>
              <w:rPr>
                <w:sz w:val="18"/>
                <w:szCs w:val="18"/>
                <w:lang w:eastAsia="en-GB"/>
              </w:rPr>
            </w:pPr>
            <w:r w:rsidRPr="00B66E4B">
              <w:rPr>
                <w:sz w:val="18"/>
                <w:szCs w:val="18"/>
                <w:lang w:eastAsia="en-GB"/>
              </w:rPr>
              <w:t>4</w:t>
            </w:r>
          </w:p>
        </w:tc>
        <w:tc>
          <w:tcPr>
            <w:tcW w:w="1560" w:type="dxa"/>
            <w:tcBorders>
              <w:top w:val="single" w:sz="12" w:space="0" w:color="auto"/>
            </w:tcBorders>
            <w:vAlign w:val="center"/>
          </w:tcPr>
          <w:p w14:paraId="74A27F86" w14:textId="77777777" w:rsidR="00D54DFA" w:rsidRPr="00B66E4B" w:rsidRDefault="00D54DFA" w:rsidP="00EC191E">
            <w:pPr>
              <w:pStyle w:val="ExhibitText"/>
              <w:jc w:val="center"/>
              <w:rPr>
                <w:sz w:val="18"/>
                <w:szCs w:val="18"/>
                <w:lang w:eastAsia="en-GB"/>
              </w:rPr>
            </w:pPr>
            <w:r w:rsidRPr="00B66E4B">
              <w:rPr>
                <w:sz w:val="18"/>
                <w:szCs w:val="18"/>
                <w:lang w:eastAsia="en-GB"/>
              </w:rPr>
              <w:t>3</w:t>
            </w:r>
          </w:p>
        </w:tc>
      </w:tr>
      <w:tr w:rsidR="00D54DFA" w:rsidRPr="00B66E4B" w14:paraId="77778F68" w14:textId="77777777" w:rsidTr="0038280A">
        <w:trPr>
          <w:trHeight w:val="360"/>
          <w:jc w:val="center"/>
        </w:trPr>
        <w:tc>
          <w:tcPr>
            <w:tcW w:w="1560" w:type="dxa"/>
            <w:vAlign w:val="center"/>
            <w:hideMark/>
          </w:tcPr>
          <w:p w14:paraId="2C38C2C7" w14:textId="77777777" w:rsidR="00D54DFA" w:rsidRPr="00B66E4B" w:rsidRDefault="00D54DFA" w:rsidP="00EC191E">
            <w:pPr>
              <w:pStyle w:val="ExhibitText"/>
              <w:jc w:val="center"/>
              <w:rPr>
                <w:sz w:val="18"/>
                <w:szCs w:val="18"/>
                <w:lang w:eastAsia="en-GB"/>
              </w:rPr>
            </w:pPr>
            <w:r w:rsidRPr="00B66E4B">
              <w:rPr>
                <w:sz w:val="18"/>
                <w:szCs w:val="18"/>
                <w:lang w:eastAsia="en-GB"/>
              </w:rPr>
              <w:t>02</w:t>
            </w:r>
          </w:p>
        </w:tc>
        <w:tc>
          <w:tcPr>
            <w:tcW w:w="1560" w:type="dxa"/>
            <w:vAlign w:val="center"/>
            <w:hideMark/>
          </w:tcPr>
          <w:p w14:paraId="1895162D" w14:textId="77777777" w:rsidR="00D54DFA" w:rsidRPr="00B66E4B" w:rsidRDefault="00D54DFA" w:rsidP="00EC191E">
            <w:pPr>
              <w:pStyle w:val="ExhibitText"/>
              <w:jc w:val="center"/>
              <w:rPr>
                <w:sz w:val="18"/>
                <w:szCs w:val="18"/>
                <w:lang w:eastAsia="en-GB"/>
              </w:rPr>
            </w:pPr>
            <w:r w:rsidRPr="00B66E4B">
              <w:rPr>
                <w:sz w:val="18"/>
                <w:szCs w:val="18"/>
                <w:lang w:eastAsia="en-GB"/>
              </w:rPr>
              <w:t>M4</w:t>
            </w:r>
          </w:p>
        </w:tc>
        <w:tc>
          <w:tcPr>
            <w:tcW w:w="1560" w:type="dxa"/>
            <w:vAlign w:val="center"/>
            <w:hideMark/>
          </w:tcPr>
          <w:p w14:paraId="2A807392" w14:textId="7DB42A55" w:rsidR="00D54DFA" w:rsidRPr="00B66E4B" w:rsidRDefault="00D54DFA" w:rsidP="00EC191E">
            <w:pPr>
              <w:pStyle w:val="ExhibitText"/>
              <w:jc w:val="center"/>
              <w:rPr>
                <w:sz w:val="18"/>
                <w:szCs w:val="18"/>
                <w:lang w:eastAsia="en-GB"/>
              </w:rPr>
            </w:pPr>
            <w:r w:rsidRPr="00B66E4B">
              <w:rPr>
                <w:sz w:val="18"/>
                <w:szCs w:val="18"/>
                <w:lang w:eastAsia="en-GB"/>
              </w:rPr>
              <w:t>18</w:t>
            </w:r>
            <w:r w:rsidR="00C727FC" w:rsidRPr="00B66E4B">
              <w:rPr>
                <w:sz w:val="18"/>
                <w:szCs w:val="18"/>
                <w:lang w:eastAsia="en-GB"/>
              </w:rPr>
              <w:t>,</w:t>
            </w:r>
            <w:r w:rsidRPr="00B66E4B">
              <w:rPr>
                <w:sz w:val="18"/>
                <w:szCs w:val="18"/>
                <w:lang w:eastAsia="en-GB"/>
              </w:rPr>
              <w:t>498</w:t>
            </w:r>
          </w:p>
        </w:tc>
        <w:tc>
          <w:tcPr>
            <w:tcW w:w="1560" w:type="dxa"/>
            <w:vAlign w:val="center"/>
            <w:hideMark/>
          </w:tcPr>
          <w:p w14:paraId="1CDE7CDC" w14:textId="4F56CCAD" w:rsidR="00D54DFA" w:rsidRPr="00B66E4B" w:rsidRDefault="00D54DFA" w:rsidP="00EC191E">
            <w:pPr>
              <w:pStyle w:val="ExhibitText"/>
              <w:jc w:val="center"/>
              <w:rPr>
                <w:sz w:val="18"/>
                <w:szCs w:val="18"/>
                <w:lang w:eastAsia="en-GB"/>
              </w:rPr>
            </w:pPr>
            <w:r w:rsidRPr="00B66E4B">
              <w:rPr>
                <w:sz w:val="18"/>
                <w:szCs w:val="18"/>
                <w:lang w:eastAsia="en-GB"/>
              </w:rPr>
              <w:t>52</w:t>
            </w:r>
            <w:r w:rsidR="00C727FC" w:rsidRPr="00B66E4B">
              <w:rPr>
                <w:sz w:val="18"/>
                <w:szCs w:val="18"/>
                <w:lang w:eastAsia="en-GB"/>
              </w:rPr>
              <w:t>,</w:t>
            </w:r>
            <w:r w:rsidRPr="00B66E4B">
              <w:rPr>
                <w:sz w:val="18"/>
                <w:szCs w:val="18"/>
                <w:lang w:eastAsia="en-GB"/>
              </w:rPr>
              <w:t>594</w:t>
            </w:r>
          </w:p>
        </w:tc>
        <w:tc>
          <w:tcPr>
            <w:tcW w:w="1560" w:type="dxa"/>
            <w:vAlign w:val="center"/>
            <w:hideMark/>
          </w:tcPr>
          <w:p w14:paraId="1E68CF14" w14:textId="77777777" w:rsidR="00D54DFA" w:rsidRPr="00B66E4B" w:rsidRDefault="00D54DFA" w:rsidP="00EC191E">
            <w:pPr>
              <w:pStyle w:val="ExhibitText"/>
              <w:jc w:val="center"/>
              <w:rPr>
                <w:sz w:val="18"/>
                <w:szCs w:val="18"/>
                <w:lang w:eastAsia="en-GB"/>
              </w:rPr>
            </w:pPr>
            <w:r w:rsidRPr="00B66E4B">
              <w:rPr>
                <w:sz w:val="18"/>
                <w:szCs w:val="18"/>
                <w:lang w:eastAsia="en-GB"/>
              </w:rPr>
              <w:t>2</w:t>
            </w:r>
          </w:p>
        </w:tc>
        <w:tc>
          <w:tcPr>
            <w:tcW w:w="1560" w:type="dxa"/>
            <w:vAlign w:val="center"/>
          </w:tcPr>
          <w:p w14:paraId="35DCECDC" w14:textId="77777777" w:rsidR="00D54DFA" w:rsidRPr="00B66E4B" w:rsidRDefault="00D54DFA" w:rsidP="00EC191E">
            <w:pPr>
              <w:pStyle w:val="ExhibitText"/>
              <w:jc w:val="center"/>
              <w:rPr>
                <w:sz w:val="18"/>
                <w:szCs w:val="18"/>
                <w:lang w:eastAsia="en-GB"/>
              </w:rPr>
            </w:pPr>
            <w:r w:rsidRPr="00B66E4B">
              <w:rPr>
                <w:sz w:val="18"/>
                <w:szCs w:val="18"/>
                <w:lang w:eastAsia="en-GB"/>
              </w:rPr>
              <w:t>2</w:t>
            </w:r>
          </w:p>
        </w:tc>
      </w:tr>
      <w:tr w:rsidR="00D54DFA" w:rsidRPr="00B66E4B" w14:paraId="21EF781E" w14:textId="77777777" w:rsidTr="0038280A">
        <w:trPr>
          <w:trHeight w:val="360"/>
          <w:jc w:val="center"/>
        </w:trPr>
        <w:tc>
          <w:tcPr>
            <w:tcW w:w="1560" w:type="dxa"/>
            <w:vAlign w:val="center"/>
            <w:hideMark/>
          </w:tcPr>
          <w:p w14:paraId="40C580AB" w14:textId="77777777" w:rsidR="00D54DFA" w:rsidRPr="00B66E4B" w:rsidRDefault="00D54DFA" w:rsidP="00EC191E">
            <w:pPr>
              <w:pStyle w:val="ExhibitText"/>
              <w:jc w:val="center"/>
              <w:rPr>
                <w:sz w:val="18"/>
                <w:szCs w:val="18"/>
                <w:lang w:eastAsia="en-GB"/>
              </w:rPr>
            </w:pPr>
            <w:r w:rsidRPr="00B66E4B">
              <w:rPr>
                <w:sz w:val="18"/>
                <w:szCs w:val="18"/>
                <w:lang w:eastAsia="en-GB"/>
              </w:rPr>
              <w:t>23</w:t>
            </w:r>
          </w:p>
        </w:tc>
        <w:tc>
          <w:tcPr>
            <w:tcW w:w="1560" w:type="dxa"/>
            <w:vAlign w:val="center"/>
            <w:hideMark/>
          </w:tcPr>
          <w:p w14:paraId="73E5EB92" w14:textId="77777777" w:rsidR="00D54DFA" w:rsidRPr="00B66E4B" w:rsidRDefault="00D54DFA" w:rsidP="00EC191E">
            <w:pPr>
              <w:pStyle w:val="ExhibitText"/>
              <w:jc w:val="center"/>
              <w:rPr>
                <w:sz w:val="18"/>
                <w:szCs w:val="18"/>
                <w:lang w:eastAsia="en-GB"/>
              </w:rPr>
            </w:pPr>
            <w:r w:rsidRPr="00B66E4B">
              <w:rPr>
                <w:sz w:val="18"/>
                <w:szCs w:val="18"/>
                <w:lang w:eastAsia="en-GB"/>
              </w:rPr>
              <w:t>M4</w:t>
            </w:r>
          </w:p>
        </w:tc>
        <w:tc>
          <w:tcPr>
            <w:tcW w:w="1560" w:type="dxa"/>
            <w:vAlign w:val="center"/>
            <w:hideMark/>
          </w:tcPr>
          <w:p w14:paraId="568B3CDE" w14:textId="03C90D06" w:rsidR="00D54DFA" w:rsidRPr="00B66E4B" w:rsidRDefault="00D54DFA" w:rsidP="00EC191E">
            <w:pPr>
              <w:pStyle w:val="ExhibitText"/>
              <w:jc w:val="center"/>
              <w:rPr>
                <w:sz w:val="18"/>
                <w:szCs w:val="18"/>
                <w:lang w:eastAsia="en-GB"/>
              </w:rPr>
            </w:pPr>
            <w:r w:rsidRPr="00B66E4B">
              <w:rPr>
                <w:sz w:val="18"/>
                <w:szCs w:val="18"/>
                <w:lang w:eastAsia="en-GB"/>
              </w:rPr>
              <w:t>56</w:t>
            </w:r>
            <w:r w:rsidR="00C727FC" w:rsidRPr="00B66E4B">
              <w:rPr>
                <w:sz w:val="18"/>
                <w:szCs w:val="18"/>
                <w:lang w:eastAsia="en-GB"/>
              </w:rPr>
              <w:t>,</w:t>
            </w:r>
            <w:r w:rsidRPr="00B66E4B">
              <w:rPr>
                <w:sz w:val="18"/>
                <w:szCs w:val="18"/>
                <w:lang w:eastAsia="en-GB"/>
              </w:rPr>
              <w:t>011</w:t>
            </w:r>
          </w:p>
        </w:tc>
        <w:tc>
          <w:tcPr>
            <w:tcW w:w="1560" w:type="dxa"/>
            <w:vAlign w:val="center"/>
            <w:hideMark/>
          </w:tcPr>
          <w:p w14:paraId="36AB022A" w14:textId="4FF6FB90" w:rsidR="00D54DFA" w:rsidRPr="00B66E4B" w:rsidRDefault="00D54DFA" w:rsidP="00EC191E">
            <w:pPr>
              <w:pStyle w:val="ExhibitText"/>
              <w:jc w:val="center"/>
              <w:rPr>
                <w:sz w:val="18"/>
                <w:szCs w:val="18"/>
                <w:lang w:eastAsia="en-GB"/>
              </w:rPr>
            </w:pPr>
            <w:r w:rsidRPr="00B66E4B">
              <w:rPr>
                <w:sz w:val="18"/>
                <w:szCs w:val="18"/>
                <w:lang w:eastAsia="en-GB"/>
              </w:rPr>
              <w:t>62</w:t>
            </w:r>
            <w:r w:rsidR="00C727FC" w:rsidRPr="00B66E4B">
              <w:rPr>
                <w:sz w:val="18"/>
                <w:szCs w:val="18"/>
                <w:lang w:eastAsia="en-GB"/>
              </w:rPr>
              <w:t>,</w:t>
            </w:r>
            <w:r w:rsidRPr="00B66E4B">
              <w:rPr>
                <w:sz w:val="18"/>
                <w:szCs w:val="18"/>
                <w:lang w:eastAsia="en-GB"/>
              </w:rPr>
              <w:t>726</w:t>
            </w:r>
          </w:p>
        </w:tc>
        <w:tc>
          <w:tcPr>
            <w:tcW w:w="1560" w:type="dxa"/>
            <w:vAlign w:val="center"/>
            <w:hideMark/>
          </w:tcPr>
          <w:p w14:paraId="597EE637" w14:textId="77777777" w:rsidR="00D54DFA" w:rsidRPr="00B66E4B" w:rsidRDefault="00D54DFA" w:rsidP="00EC191E">
            <w:pPr>
              <w:pStyle w:val="ExhibitText"/>
              <w:jc w:val="center"/>
              <w:rPr>
                <w:sz w:val="18"/>
                <w:szCs w:val="18"/>
                <w:lang w:eastAsia="en-GB"/>
              </w:rPr>
            </w:pPr>
            <w:r w:rsidRPr="00B66E4B">
              <w:rPr>
                <w:sz w:val="18"/>
                <w:szCs w:val="18"/>
                <w:lang w:eastAsia="en-GB"/>
              </w:rPr>
              <w:t>2</w:t>
            </w:r>
          </w:p>
        </w:tc>
        <w:tc>
          <w:tcPr>
            <w:tcW w:w="1560" w:type="dxa"/>
            <w:vAlign w:val="center"/>
          </w:tcPr>
          <w:p w14:paraId="7452A777" w14:textId="77777777" w:rsidR="00D54DFA" w:rsidRPr="00B66E4B" w:rsidRDefault="00D54DFA" w:rsidP="00EC191E">
            <w:pPr>
              <w:pStyle w:val="ExhibitText"/>
              <w:jc w:val="center"/>
              <w:rPr>
                <w:sz w:val="18"/>
                <w:szCs w:val="18"/>
                <w:lang w:eastAsia="en-GB"/>
              </w:rPr>
            </w:pPr>
            <w:r w:rsidRPr="00B66E4B">
              <w:rPr>
                <w:sz w:val="18"/>
                <w:szCs w:val="18"/>
                <w:lang w:eastAsia="en-GB"/>
              </w:rPr>
              <w:t>4</w:t>
            </w:r>
          </w:p>
        </w:tc>
      </w:tr>
      <w:tr w:rsidR="00D54DFA" w:rsidRPr="00B66E4B" w14:paraId="0E7FBBBB" w14:textId="77777777" w:rsidTr="0038280A">
        <w:trPr>
          <w:trHeight w:val="360"/>
          <w:jc w:val="center"/>
        </w:trPr>
        <w:tc>
          <w:tcPr>
            <w:tcW w:w="1560" w:type="dxa"/>
            <w:vAlign w:val="center"/>
            <w:hideMark/>
          </w:tcPr>
          <w:p w14:paraId="7ADFE259" w14:textId="77777777" w:rsidR="00D54DFA" w:rsidRPr="00B66E4B" w:rsidRDefault="00D54DFA" w:rsidP="00EC191E">
            <w:pPr>
              <w:pStyle w:val="ExhibitText"/>
              <w:jc w:val="center"/>
              <w:rPr>
                <w:sz w:val="18"/>
                <w:szCs w:val="18"/>
                <w:lang w:eastAsia="en-GB"/>
              </w:rPr>
            </w:pPr>
            <w:r w:rsidRPr="00B66E4B">
              <w:rPr>
                <w:sz w:val="18"/>
                <w:szCs w:val="18"/>
                <w:lang w:eastAsia="en-GB"/>
              </w:rPr>
              <w:t>45</w:t>
            </w:r>
          </w:p>
        </w:tc>
        <w:tc>
          <w:tcPr>
            <w:tcW w:w="1560" w:type="dxa"/>
            <w:vAlign w:val="center"/>
            <w:hideMark/>
          </w:tcPr>
          <w:p w14:paraId="79FB6D29" w14:textId="77777777" w:rsidR="00D54DFA" w:rsidRPr="00B66E4B" w:rsidRDefault="00D54DFA" w:rsidP="00EC191E">
            <w:pPr>
              <w:pStyle w:val="ExhibitText"/>
              <w:jc w:val="center"/>
              <w:rPr>
                <w:sz w:val="18"/>
                <w:szCs w:val="18"/>
                <w:lang w:eastAsia="en-GB"/>
              </w:rPr>
            </w:pPr>
            <w:r w:rsidRPr="00B66E4B">
              <w:rPr>
                <w:sz w:val="18"/>
                <w:szCs w:val="18"/>
                <w:lang w:eastAsia="en-GB"/>
              </w:rPr>
              <w:t>M40</w:t>
            </w:r>
          </w:p>
        </w:tc>
        <w:tc>
          <w:tcPr>
            <w:tcW w:w="1560" w:type="dxa"/>
            <w:vAlign w:val="center"/>
            <w:hideMark/>
          </w:tcPr>
          <w:p w14:paraId="3D97AF69" w14:textId="53054252" w:rsidR="00D54DFA" w:rsidRPr="00B66E4B" w:rsidRDefault="00D54DFA" w:rsidP="00EC191E">
            <w:pPr>
              <w:pStyle w:val="ExhibitText"/>
              <w:jc w:val="center"/>
              <w:rPr>
                <w:sz w:val="18"/>
                <w:szCs w:val="18"/>
                <w:lang w:eastAsia="en-GB"/>
              </w:rPr>
            </w:pPr>
            <w:r w:rsidRPr="00B66E4B">
              <w:rPr>
                <w:sz w:val="18"/>
                <w:szCs w:val="18"/>
                <w:lang w:eastAsia="en-GB"/>
              </w:rPr>
              <w:t>73</w:t>
            </w:r>
            <w:r w:rsidR="00C727FC" w:rsidRPr="00B66E4B">
              <w:rPr>
                <w:sz w:val="18"/>
                <w:szCs w:val="18"/>
                <w:lang w:eastAsia="en-GB"/>
              </w:rPr>
              <w:t>,</w:t>
            </w:r>
            <w:r w:rsidRPr="00B66E4B">
              <w:rPr>
                <w:sz w:val="18"/>
                <w:szCs w:val="18"/>
                <w:lang w:eastAsia="en-GB"/>
              </w:rPr>
              <w:t>854</w:t>
            </w:r>
          </w:p>
        </w:tc>
        <w:tc>
          <w:tcPr>
            <w:tcW w:w="1560" w:type="dxa"/>
            <w:vAlign w:val="center"/>
            <w:hideMark/>
          </w:tcPr>
          <w:p w14:paraId="7F31302C" w14:textId="511DA0AC" w:rsidR="00D54DFA" w:rsidRPr="00B66E4B" w:rsidRDefault="00D54DFA" w:rsidP="00EC191E">
            <w:pPr>
              <w:pStyle w:val="ExhibitText"/>
              <w:jc w:val="center"/>
              <w:rPr>
                <w:sz w:val="18"/>
                <w:szCs w:val="18"/>
                <w:lang w:eastAsia="en-GB"/>
              </w:rPr>
            </w:pPr>
            <w:r w:rsidRPr="00B66E4B">
              <w:rPr>
                <w:sz w:val="18"/>
                <w:szCs w:val="18"/>
                <w:lang w:eastAsia="en-GB"/>
              </w:rPr>
              <w:t>61</w:t>
            </w:r>
            <w:r w:rsidR="00C727FC" w:rsidRPr="00B66E4B">
              <w:rPr>
                <w:sz w:val="18"/>
                <w:szCs w:val="18"/>
                <w:lang w:eastAsia="en-GB"/>
              </w:rPr>
              <w:t>,</w:t>
            </w:r>
            <w:r w:rsidRPr="00B66E4B">
              <w:rPr>
                <w:sz w:val="18"/>
                <w:szCs w:val="18"/>
                <w:lang w:eastAsia="en-GB"/>
              </w:rPr>
              <w:t>202</w:t>
            </w:r>
          </w:p>
        </w:tc>
        <w:tc>
          <w:tcPr>
            <w:tcW w:w="1560" w:type="dxa"/>
            <w:vAlign w:val="center"/>
            <w:hideMark/>
          </w:tcPr>
          <w:p w14:paraId="1D1210CE" w14:textId="77777777" w:rsidR="00D54DFA" w:rsidRPr="00B66E4B" w:rsidRDefault="00D54DFA" w:rsidP="00EC191E">
            <w:pPr>
              <w:pStyle w:val="ExhibitText"/>
              <w:jc w:val="center"/>
              <w:rPr>
                <w:sz w:val="18"/>
                <w:szCs w:val="18"/>
                <w:lang w:eastAsia="en-GB"/>
              </w:rPr>
            </w:pPr>
            <w:r w:rsidRPr="00B66E4B">
              <w:rPr>
                <w:sz w:val="18"/>
                <w:szCs w:val="18"/>
                <w:lang w:eastAsia="en-GB"/>
              </w:rPr>
              <w:t>3</w:t>
            </w:r>
          </w:p>
        </w:tc>
        <w:tc>
          <w:tcPr>
            <w:tcW w:w="1560" w:type="dxa"/>
            <w:vAlign w:val="center"/>
          </w:tcPr>
          <w:p w14:paraId="591B7C63" w14:textId="77777777" w:rsidR="00D54DFA" w:rsidRPr="00B66E4B" w:rsidRDefault="00D54DFA" w:rsidP="00EC191E">
            <w:pPr>
              <w:pStyle w:val="ExhibitText"/>
              <w:jc w:val="center"/>
              <w:rPr>
                <w:sz w:val="18"/>
                <w:szCs w:val="18"/>
                <w:lang w:eastAsia="en-GB"/>
              </w:rPr>
            </w:pPr>
            <w:r w:rsidRPr="00B66E4B">
              <w:rPr>
                <w:sz w:val="18"/>
                <w:szCs w:val="18"/>
                <w:lang w:eastAsia="en-GB"/>
              </w:rPr>
              <w:t>2</w:t>
            </w:r>
          </w:p>
        </w:tc>
      </w:tr>
      <w:tr w:rsidR="00D54DFA" w:rsidRPr="00B66E4B" w14:paraId="0F4F7A62" w14:textId="77777777" w:rsidTr="0038280A">
        <w:trPr>
          <w:trHeight w:val="360"/>
          <w:jc w:val="center"/>
        </w:trPr>
        <w:tc>
          <w:tcPr>
            <w:tcW w:w="1560" w:type="dxa"/>
            <w:vAlign w:val="center"/>
            <w:hideMark/>
          </w:tcPr>
          <w:p w14:paraId="5551BFA3" w14:textId="77777777" w:rsidR="00D54DFA" w:rsidRPr="00B66E4B" w:rsidRDefault="00D54DFA" w:rsidP="00EC191E">
            <w:pPr>
              <w:pStyle w:val="ExhibitText"/>
              <w:jc w:val="center"/>
              <w:rPr>
                <w:sz w:val="18"/>
                <w:szCs w:val="18"/>
                <w:lang w:eastAsia="en-GB"/>
              </w:rPr>
            </w:pPr>
            <w:r w:rsidRPr="00B66E4B">
              <w:rPr>
                <w:sz w:val="18"/>
                <w:szCs w:val="18"/>
                <w:lang w:eastAsia="en-GB"/>
              </w:rPr>
              <w:t>56</w:t>
            </w:r>
          </w:p>
        </w:tc>
        <w:tc>
          <w:tcPr>
            <w:tcW w:w="1560" w:type="dxa"/>
            <w:vAlign w:val="center"/>
            <w:hideMark/>
          </w:tcPr>
          <w:p w14:paraId="3C31ADBA" w14:textId="77777777" w:rsidR="00D54DFA" w:rsidRPr="00B66E4B" w:rsidRDefault="00D54DFA" w:rsidP="00EC191E">
            <w:pPr>
              <w:pStyle w:val="ExhibitText"/>
              <w:jc w:val="center"/>
              <w:rPr>
                <w:sz w:val="18"/>
                <w:szCs w:val="18"/>
                <w:lang w:eastAsia="en-GB"/>
              </w:rPr>
            </w:pPr>
            <w:r w:rsidRPr="00B66E4B">
              <w:rPr>
                <w:sz w:val="18"/>
                <w:szCs w:val="18"/>
                <w:lang w:eastAsia="en-GB"/>
              </w:rPr>
              <w:t>M40</w:t>
            </w:r>
          </w:p>
        </w:tc>
        <w:tc>
          <w:tcPr>
            <w:tcW w:w="1560" w:type="dxa"/>
            <w:vAlign w:val="center"/>
            <w:hideMark/>
          </w:tcPr>
          <w:p w14:paraId="58E2866B" w14:textId="0BCE24E6" w:rsidR="00D54DFA" w:rsidRPr="00B66E4B" w:rsidRDefault="00D54DFA" w:rsidP="00EC191E">
            <w:pPr>
              <w:pStyle w:val="ExhibitText"/>
              <w:jc w:val="center"/>
              <w:rPr>
                <w:sz w:val="18"/>
                <w:szCs w:val="18"/>
                <w:lang w:eastAsia="en-GB"/>
              </w:rPr>
            </w:pPr>
            <w:r w:rsidRPr="00B66E4B">
              <w:rPr>
                <w:sz w:val="18"/>
                <w:szCs w:val="18"/>
                <w:lang w:eastAsia="en-GB"/>
              </w:rPr>
              <w:t>56</w:t>
            </w:r>
            <w:r w:rsidR="00C727FC" w:rsidRPr="00B66E4B">
              <w:rPr>
                <w:sz w:val="18"/>
                <w:szCs w:val="18"/>
                <w:lang w:eastAsia="en-GB"/>
              </w:rPr>
              <w:t>,</w:t>
            </w:r>
            <w:r w:rsidRPr="00B66E4B">
              <w:rPr>
                <w:sz w:val="18"/>
                <w:szCs w:val="18"/>
                <w:lang w:eastAsia="en-GB"/>
              </w:rPr>
              <w:t>030</w:t>
            </w:r>
          </w:p>
        </w:tc>
        <w:tc>
          <w:tcPr>
            <w:tcW w:w="1560" w:type="dxa"/>
            <w:vAlign w:val="center"/>
            <w:hideMark/>
          </w:tcPr>
          <w:p w14:paraId="054BAC83" w14:textId="78A9CCC2" w:rsidR="00D54DFA" w:rsidRPr="00B66E4B" w:rsidRDefault="00D54DFA" w:rsidP="00EC191E">
            <w:pPr>
              <w:pStyle w:val="ExhibitText"/>
              <w:jc w:val="center"/>
              <w:rPr>
                <w:sz w:val="18"/>
                <w:szCs w:val="18"/>
                <w:lang w:eastAsia="en-GB"/>
              </w:rPr>
            </w:pPr>
            <w:r w:rsidRPr="00B66E4B">
              <w:rPr>
                <w:sz w:val="18"/>
                <w:szCs w:val="18"/>
                <w:lang w:eastAsia="en-GB"/>
              </w:rPr>
              <w:t>76</w:t>
            </w:r>
            <w:r w:rsidR="00C727FC" w:rsidRPr="00B66E4B">
              <w:rPr>
                <w:sz w:val="18"/>
                <w:szCs w:val="18"/>
                <w:lang w:eastAsia="en-GB"/>
              </w:rPr>
              <w:t>,</w:t>
            </w:r>
            <w:r w:rsidRPr="00B66E4B">
              <w:rPr>
                <w:sz w:val="18"/>
                <w:szCs w:val="18"/>
                <w:lang w:eastAsia="en-GB"/>
              </w:rPr>
              <w:t>030</w:t>
            </w:r>
          </w:p>
        </w:tc>
        <w:tc>
          <w:tcPr>
            <w:tcW w:w="1560" w:type="dxa"/>
            <w:vAlign w:val="center"/>
            <w:hideMark/>
          </w:tcPr>
          <w:p w14:paraId="4325D7CF" w14:textId="77777777" w:rsidR="00D54DFA" w:rsidRPr="00B66E4B" w:rsidRDefault="00D54DFA" w:rsidP="00EC191E">
            <w:pPr>
              <w:pStyle w:val="ExhibitText"/>
              <w:jc w:val="center"/>
              <w:rPr>
                <w:sz w:val="18"/>
                <w:szCs w:val="18"/>
                <w:lang w:eastAsia="en-GB"/>
              </w:rPr>
            </w:pPr>
            <w:r w:rsidRPr="00B66E4B">
              <w:rPr>
                <w:sz w:val="18"/>
                <w:szCs w:val="18"/>
                <w:lang w:eastAsia="en-GB"/>
              </w:rPr>
              <w:t>3</w:t>
            </w:r>
          </w:p>
        </w:tc>
        <w:tc>
          <w:tcPr>
            <w:tcW w:w="1560" w:type="dxa"/>
            <w:vAlign w:val="center"/>
          </w:tcPr>
          <w:p w14:paraId="1DD4FF36" w14:textId="77777777" w:rsidR="00D54DFA" w:rsidRPr="00B66E4B" w:rsidRDefault="00D54DFA" w:rsidP="00EC191E">
            <w:pPr>
              <w:pStyle w:val="ExhibitText"/>
              <w:jc w:val="center"/>
              <w:rPr>
                <w:sz w:val="18"/>
                <w:szCs w:val="18"/>
                <w:lang w:eastAsia="en-GB"/>
              </w:rPr>
            </w:pPr>
            <w:r w:rsidRPr="00B66E4B">
              <w:rPr>
                <w:sz w:val="18"/>
                <w:szCs w:val="18"/>
                <w:lang w:eastAsia="en-GB"/>
              </w:rPr>
              <w:t>2</w:t>
            </w:r>
          </w:p>
        </w:tc>
      </w:tr>
    </w:tbl>
    <w:p w14:paraId="40773E0B" w14:textId="77777777" w:rsidR="00480B7A" w:rsidRPr="00F370A8" w:rsidRDefault="00480B7A" w:rsidP="003F11C0">
      <w:pPr>
        <w:pStyle w:val="ExhibitText"/>
        <w:rPr>
          <w:spacing w:val="-2"/>
        </w:rPr>
      </w:pPr>
    </w:p>
    <w:p w14:paraId="6385B0AD" w14:textId="2082ED7E" w:rsidR="00D54DFA" w:rsidRPr="00F370A8" w:rsidRDefault="002C6402" w:rsidP="003F11C0">
      <w:pPr>
        <w:pStyle w:val="Footnote"/>
        <w:jc w:val="both"/>
      </w:pPr>
      <w:r w:rsidRPr="00F370A8">
        <w:t>Note: * “</w:t>
      </w:r>
      <w:r w:rsidR="0013426F" w:rsidRPr="00F370A8">
        <w:t>C</w:t>
      </w:r>
      <w:r w:rsidR="00D54DFA" w:rsidRPr="00F370A8">
        <w:t xml:space="preserve">ount </w:t>
      </w:r>
      <w:r w:rsidR="0013426F" w:rsidRPr="00F370A8">
        <w:t>p</w:t>
      </w:r>
      <w:r w:rsidR="00D54DFA" w:rsidRPr="00F370A8">
        <w:t>oint ID</w:t>
      </w:r>
      <w:r w:rsidRPr="00F370A8">
        <w:t>”</w:t>
      </w:r>
      <w:r w:rsidR="00D54DFA" w:rsidRPr="00F370A8">
        <w:t xml:space="preserve"> refers to </w:t>
      </w:r>
      <w:r w:rsidRPr="00F370A8">
        <w:t xml:space="preserve">a </w:t>
      </w:r>
      <w:r w:rsidR="00D54DFA" w:rsidRPr="00F370A8">
        <w:t xml:space="preserve">specific location on the highway </w:t>
      </w:r>
      <w:r w:rsidRPr="00F370A8">
        <w:t xml:space="preserve">where the traffic flow is counted. The ID is used </w:t>
      </w:r>
      <w:r w:rsidR="00D54DFA" w:rsidRPr="00F370A8">
        <w:t xml:space="preserve">as </w:t>
      </w:r>
      <w:r w:rsidRPr="00F370A8">
        <w:t xml:space="preserve">a </w:t>
      </w:r>
      <w:r w:rsidR="00D54DFA" w:rsidRPr="00F370A8">
        <w:t xml:space="preserve">reference code for downloading traffic data from </w:t>
      </w:r>
      <w:r w:rsidR="0013426F" w:rsidRPr="00F370A8">
        <w:t xml:space="preserve">the </w:t>
      </w:r>
      <w:r w:rsidR="00D54DFA" w:rsidRPr="00F370A8">
        <w:t>D</w:t>
      </w:r>
      <w:r w:rsidRPr="00F370A8">
        <w:t xml:space="preserve">epartment of </w:t>
      </w:r>
      <w:r w:rsidR="00D54DFA" w:rsidRPr="00F370A8">
        <w:t>T</w:t>
      </w:r>
      <w:r w:rsidRPr="00F370A8">
        <w:t>ransport</w:t>
      </w:r>
      <w:r w:rsidR="00D54DFA" w:rsidRPr="00F370A8">
        <w:t xml:space="preserve"> website. ** AADF refers to </w:t>
      </w:r>
      <w:r w:rsidRPr="00F370A8">
        <w:t>the a</w:t>
      </w:r>
      <w:r w:rsidR="00D54DFA" w:rsidRPr="00F370A8">
        <w:t xml:space="preserve">nnual </w:t>
      </w:r>
      <w:r w:rsidRPr="00F370A8">
        <w:t>a</w:t>
      </w:r>
      <w:r w:rsidR="00D54DFA" w:rsidRPr="00F370A8">
        <w:t xml:space="preserve">verage daily traffic flow </w:t>
      </w:r>
      <w:r w:rsidRPr="00F370A8">
        <w:t xml:space="preserve">of cars and taxis only </w:t>
      </w:r>
      <w:r w:rsidR="00D54DFA" w:rsidRPr="00F370A8">
        <w:t>for 2014</w:t>
      </w:r>
      <w:r w:rsidRPr="00F370A8">
        <w:t>.</w:t>
      </w:r>
      <w:r w:rsidR="00D54DFA" w:rsidRPr="00F370A8">
        <w:t xml:space="preserve"> </w:t>
      </w:r>
      <w:r w:rsidRPr="00F370A8">
        <w:t>O</w:t>
      </w:r>
      <w:r w:rsidR="00D54DFA" w:rsidRPr="00F370A8">
        <w:t xml:space="preserve">ther vehicles </w:t>
      </w:r>
      <w:r w:rsidRPr="00F370A8">
        <w:t xml:space="preserve">have been </w:t>
      </w:r>
      <w:r w:rsidR="00D54DFA" w:rsidRPr="00F370A8">
        <w:t>excluded for simplicity.</w:t>
      </w:r>
    </w:p>
    <w:p w14:paraId="7BD94D4D" w14:textId="77425095" w:rsidR="00F370A8" w:rsidRDefault="00B871D0" w:rsidP="003F11C0">
      <w:pPr>
        <w:pStyle w:val="Footnote"/>
        <w:jc w:val="both"/>
      </w:pPr>
      <w:r w:rsidRPr="00F370A8">
        <w:t xml:space="preserve">Sources: “Traffic </w:t>
      </w:r>
      <w:r w:rsidR="00507014" w:rsidRPr="00F370A8">
        <w:t>C</w:t>
      </w:r>
      <w:r w:rsidRPr="00F370A8">
        <w:t>ounts</w:t>
      </w:r>
      <w:r w:rsidR="00507014" w:rsidRPr="00F370A8">
        <w:t>: Individual Count Point Data and Downloads,” Department for Transport, United Kingdom</w:t>
      </w:r>
      <w:r w:rsidRPr="00F370A8">
        <w:t>, accessed February 15, 2016, www.dft.gov.uk/traffic-counts/cp.php</w:t>
      </w:r>
      <w:r w:rsidR="00507014" w:rsidRPr="00F370A8">
        <w:t xml:space="preserve">; </w:t>
      </w:r>
      <w:r w:rsidRPr="00F370A8">
        <w:t>D</w:t>
      </w:r>
      <w:r w:rsidR="00507014" w:rsidRPr="00F370A8">
        <w:t xml:space="preserve">epartment </w:t>
      </w:r>
      <w:r w:rsidRPr="00F370A8">
        <w:t>f</w:t>
      </w:r>
      <w:r w:rsidR="00507014" w:rsidRPr="00F370A8">
        <w:t xml:space="preserve">or </w:t>
      </w:r>
      <w:r w:rsidRPr="00F370A8">
        <w:t>T</w:t>
      </w:r>
      <w:r w:rsidR="00507014" w:rsidRPr="00F370A8">
        <w:t>ransport</w:t>
      </w:r>
      <w:r w:rsidRPr="00F370A8">
        <w:t xml:space="preserve">, “Road </w:t>
      </w:r>
      <w:r w:rsidR="00507014" w:rsidRPr="00F370A8">
        <w:t xml:space="preserve">Traffic Forecasts </w:t>
      </w:r>
      <w:r w:rsidRPr="00F370A8">
        <w:t>2015</w:t>
      </w:r>
      <w:r w:rsidR="00507014" w:rsidRPr="00F370A8">
        <w:t xml:space="preserve"> (London, UK: Government of the</w:t>
      </w:r>
      <w:r w:rsidRPr="00F370A8">
        <w:t xml:space="preserve"> </w:t>
      </w:r>
      <w:r w:rsidR="00507014" w:rsidRPr="00F370A8">
        <w:t>United Kingdom, March 2015)</w:t>
      </w:r>
      <w:r w:rsidRPr="00F370A8">
        <w:t xml:space="preserve">, accessed February 22, 2016, </w:t>
      </w:r>
      <w:r w:rsidR="00F370A8" w:rsidRPr="00F370A8">
        <w:t>www.gov.uk/</w:t>
      </w:r>
      <w:r w:rsidRPr="00F370A8">
        <w:t>government/uploads/</w:t>
      </w:r>
    </w:p>
    <w:p w14:paraId="7CF1767D" w14:textId="5A77705E" w:rsidR="00B871D0" w:rsidRPr="00F370A8" w:rsidRDefault="00B871D0" w:rsidP="003F11C0">
      <w:pPr>
        <w:pStyle w:val="Footnote"/>
        <w:jc w:val="both"/>
      </w:pPr>
      <w:r w:rsidRPr="00F370A8">
        <w:t>system/uploads/attachment_data/file/411471/road-traffic-forecasts-2015.pdf</w:t>
      </w:r>
      <w:r w:rsidR="0096746B" w:rsidRPr="00F370A8">
        <w:t xml:space="preserve">; </w:t>
      </w:r>
      <w:r w:rsidRPr="00F370A8">
        <w:t>“Our Electric Highway</w:t>
      </w:r>
      <w:r w:rsidR="0096746B" w:rsidRPr="00F370A8">
        <w:t>,</w:t>
      </w:r>
      <w:r w:rsidRPr="00F370A8">
        <w:t>” Ecotricity, accessed February 15, 2016, www.ecotricity.co.uk/for-the-road/our-electric-highway</w:t>
      </w:r>
      <w:r w:rsidR="0096746B" w:rsidRPr="00F370A8">
        <w:t>.</w:t>
      </w:r>
    </w:p>
    <w:p w14:paraId="1AD7C7C6" w14:textId="77777777" w:rsidR="00D54DFA" w:rsidRPr="00F370A8" w:rsidRDefault="00D54DFA" w:rsidP="003F11C0">
      <w:pPr>
        <w:pStyle w:val="ExhibitText"/>
      </w:pPr>
    </w:p>
    <w:p w14:paraId="6317B21F" w14:textId="77777777" w:rsidR="00D54DFA" w:rsidRPr="00B66E4B" w:rsidRDefault="00D54DFA" w:rsidP="003F11C0">
      <w:pPr>
        <w:pStyle w:val="ExhibitText"/>
      </w:pPr>
    </w:p>
    <w:p w14:paraId="581A6CC8" w14:textId="77777777" w:rsidR="00CF6D6B" w:rsidRDefault="00CF6D6B">
      <w:pPr>
        <w:spacing w:after="200" w:line="276" w:lineRule="auto"/>
        <w:rPr>
          <w:rFonts w:ascii="Arial" w:hAnsi="Arial" w:cs="Arial"/>
          <w:b/>
          <w:caps/>
        </w:rPr>
      </w:pPr>
      <w:r>
        <w:br w:type="page"/>
      </w:r>
    </w:p>
    <w:p w14:paraId="1F193C23" w14:textId="1B4F9BD8" w:rsidR="00D54DFA" w:rsidRPr="00B66E4B" w:rsidRDefault="0016620F" w:rsidP="00D46DB5">
      <w:pPr>
        <w:pStyle w:val="ExhibitHeading"/>
        <w:outlineLvl w:val="0"/>
      </w:pPr>
      <w:r w:rsidRPr="00B66E4B">
        <w:lastRenderedPageBreak/>
        <w:t xml:space="preserve">exhibit </w:t>
      </w:r>
      <w:r w:rsidR="00B85853" w:rsidRPr="00B66E4B">
        <w:t>4</w:t>
      </w:r>
      <w:r w:rsidRPr="00B66E4B">
        <w:t xml:space="preserve">: </w:t>
      </w:r>
      <w:r w:rsidR="00D54DFA" w:rsidRPr="00B66E4B">
        <w:t xml:space="preserve">motorway </w:t>
      </w:r>
      <w:r w:rsidR="00A60D38" w:rsidRPr="00B66E4B">
        <w:t xml:space="preserve">areas </w:t>
      </w:r>
      <w:r w:rsidR="00D54DFA" w:rsidRPr="00B66E4B">
        <w:t>for sponsoring home</w:t>
      </w:r>
      <w:r w:rsidR="00835288">
        <w:t>-</w:t>
      </w:r>
      <w:r w:rsidR="00D54DFA" w:rsidRPr="00B66E4B">
        <w:t>charging points (Type B)</w:t>
      </w:r>
    </w:p>
    <w:p w14:paraId="2624BB45" w14:textId="77777777" w:rsidR="00D54DFA" w:rsidRPr="00B66E4B" w:rsidRDefault="00D54DFA" w:rsidP="003F11C0">
      <w:pPr>
        <w:pStyle w:val="ExhibitText"/>
      </w:pPr>
    </w:p>
    <w:tbl>
      <w:tblPr>
        <w:tblStyle w:val="TableGrid"/>
        <w:tblW w:w="9346" w:type="dxa"/>
        <w:jc w:val="center"/>
        <w:tblBorders>
          <w:left w:val="none" w:sz="0" w:space="0" w:color="auto"/>
          <w:right w:val="none" w:sz="0" w:space="0" w:color="auto"/>
          <w:insideV w:val="none" w:sz="0" w:space="0" w:color="auto"/>
        </w:tblBorders>
        <w:tblLook w:val="0420" w:firstRow="1" w:lastRow="0" w:firstColumn="0" w:lastColumn="0" w:noHBand="0" w:noVBand="1"/>
      </w:tblPr>
      <w:tblGrid>
        <w:gridCol w:w="1348"/>
        <w:gridCol w:w="3683"/>
        <w:gridCol w:w="2158"/>
        <w:gridCol w:w="2157"/>
      </w:tblGrid>
      <w:tr w:rsidR="00EC191E" w:rsidRPr="00B66E4B" w14:paraId="49838EE6" w14:textId="77777777" w:rsidTr="0038280A">
        <w:trPr>
          <w:trHeight w:val="360"/>
          <w:jc w:val="center"/>
        </w:trPr>
        <w:tc>
          <w:tcPr>
            <w:tcW w:w="1350" w:type="dxa"/>
            <w:tcBorders>
              <w:bottom w:val="single" w:sz="12" w:space="0" w:color="auto"/>
            </w:tcBorders>
            <w:vAlign w:val="center"/>
            <w:hideMark/>
          </w:tcPr>
          <w:p w14:paraId="77ECEC9C" w14:textId="77777777" w:rsidR="00D54DFA" w:rsidRPr="0038280A" w:rsidRDefault="00D54DFA" w:rsidP="00EC191E">
            <w:pPr>
              <w:pStyle w:val="ExhibitText"/>
              <w:jc w:val="center"/>
              <w:rPr>
                <w:b/>
                <w:sz w:val="18"/>
                <w:szCs w:val="18"/>
                <w:lang w:eastAsia="en-GB"/>
              </w:rPr>
            </w:pPr>
            <w:r w:rsidRPr="0038280A">
              <w:rPr>
                <w:b/>
                <w:sz w:val="18"/>
                <w:szCs w:val="18"/>
                <w:lang w:eastAsia="en-GB"/>
              </w:rPr>
              <w:t>Zone</w:t>
            </w:r>
          </w:p>
        </w:tc>
        <w:tc>
          <w:tcPr>
            <w:tcW w:w="3690" w:type="dxa"/>
            <w:tcBorders>
              <w:bottom w:val="single" w:sz="12" w:space="0" w:color="auto"/>
            </w:tcBorders>
            <w:vAlign w:val="center"/>
            <w:hideMark/>
          </w:tcPr>
          <w:p w14:paraId="573E02A6" w14:textId="5B9051C1" w:rsidR="00D54DFA" w:rsidRPr="0038280A" w:rsidRDefault="00D54DFA" w:rsidP="00EC191E">
            <w:pPr>
              <w:pStyle w:val="ExhibitText"/>
              <w:jc w:val="center"/>
              <w:rPr>
                <w:b/>
                <w:sz w:val="18"/>
                <w:szCs w:val="18"/>
                <w:lang w:eastAsia="en-GB"/>
              </w:rPr>
            </w:pPr>
            <w:r w:rsidRPr="0038280A">
              <w:rPr>
                <w:b/>
                <w:sz w:val="18"/>
                <w:szCs w:val="18"/>
                <w:lang w:eastAsia="en-GB"/>
              </w:rPr>
              <w:t xml:space="preserve">Local and </w:t>
            </w:r>
            <w:r w:rsidR="000B07FC" w:rsidRPr="0038280A">
              <w:rPr>
                <w:b/>
                <w:sz w:val="18"/>
                <w:szCs w:val="18"/>
                <w:lang w:eastAsia="en-GB"/>
              </w:rPr>
              <w:t>u</w:t>
            </w:r>
            <w:r w:rsidRPr="0038280A">
              <w:rPr>
                <w:b/>
                <w:sz w:val="18"/>
                <w:szCs w:val="18"/>
                <w:lang w:eastAsia="en-GB"/>
              </w:rPr>
              <w:t>nitary authority districts</w:t>
            </w:r>
          </w:p>
        </w:tc>
        <w:tc>
          <w:tcPr>
            <w:tcW w:w="2160" w:type="dxa"/>
            <w:tcBorders>
              <w:bottom w:val="single" w:sz="12" w:space="0" w:color="auto"/>
            </w:tcBorders>
            <w:vAlign w:val="center"/>
            <w:hideMark/>
          </w:tcPr>
          <w:p w14:paraId="00F87C64" w14:textId="10290BF4" w:rsidR="00D54DFA" w:rsidRPr="0038280A" w:rsidRDefault="00D54DFA" w:rsidP="00EC191E">
            <w:pPr>
              <w:pStyle w:val="ExhibitText"/>
              <w:jc w:val="center"/>
              <w:rPr>
                <w:b/>
                <w:sz w:val="18"/>
                <w:szCs w:val="18"/>
                <w:lang w:eastAsia="en-GB"/>
              </w:rPr>
            </w:pPr>
            <w:r w:rsidRPr="0038280A">
              <w:rPr>
                <w:b/>
                <w:sz w:val="18"/>
                <w:szCs w:val="18"/>
                <w:lang w:eastAsia="en-GB"/>
              </w:rPr>
              <w:t>Number of houses</w:t>
            </w:r>
            <w:r w:rsidR="00FB25FC" w:rsidRPr="0038280A">
              <w:rPr>
                <w:b/>
                <w:sz w:val="18"/>
                <w:szCs w:val="18"/>
                <w:vertAlign w:val="superscript"/>
                <w:lang w:eastAsia="en-GB"/>
              </w:rPr>
              <w:t>*</w:t>
            </w:r>
          </w:p>
        </w:tc>
        <w:tc>
          <w:tcPr>
            <w:tcW w:w="2160" w:type="dxa"/>
            <w:tcBorders>
              <w:bottom w:val="single" w:sz="12" w:space="0" w:color="auto"/>
            </w:tcBorders>
            <w:vAlign w:val="center"/>
            <w:hideMark/>
          </w:tcPr>
          <w:p w14:paraId="57C8B2E3" w14:textId="77777777" w:rsidR="00D54DFA" w:rsidRPr="0038280A" w:rsidRDefault="00D54DFA" w:rsidP="00EC191E">
            <w:pPr>
              <w:pStyle w:val="ExhibitText"/>
              <w:jc w:val="center"/>
              <w:rPr>
                <w:b/>
                <w:sz w:val="18"/>
                <w:szCs w:val="18"/>
                <w:lang w:eastAsia="en-GB"/>
              </w:rPr>
            </w:pPr>
            <w:r w:rsidRPr="0038280A">
              <w:rPr>
                <w:b/>
                <w:sz w:val="18"/>
                <w:szCs w:val="18"/>
                <w:lang w:eastAsia="en-GB"/>
              </w:rPr>
              <w:t>Ecotricity customers</w:t>
            </w:r>
          </w:p>
        </w:tc>
      </w:tr>
      <w:tr w:rsidR="00EC191E" w:rsidRPr="00B66E4B" w14:paraId="50862470" w14:textId="77777777" w:rsidTr="0038280A">
        <w:trPr>
          <w:trHeight w:val="360"/>
          <w:jc w:val="center"/>
        </w:trPr>
        <w:tc>
          <w:tcPr>
            <w:tcW w:w="1350" w:type="dxa"/>
            <w:tcBorders>
              <w:top w:val="single" w:sz="12" w:space="0" w:color="auto"/>
            </w:tcBorders>
            <w:vAlign w:val="center"/>
            <w:hideMark/>
          </w:tcPr>
          <w:p w14:paraId="570DEA17" w14:textId="77777777" w:rsidR="00D54DFA" w:rsidRPr="00B66E4B" w:rsidRDefault="00D54DFA" w:rsidP="00EC191E">
            <w:pPr>
              <w:pStyle w:val="ExhibitText"/>
              <w:jc w:val="center"/>
              <w:rPr>
                <w:sz w:val="18"/>
                <w:szCs w:val="18"/>
                <w:lang w:eastAsia="en-GB"/>
              </w:rPr>
            </w:pPr>
            <w:r w:rsidRPr="00B66E4B">
              <w:rPr>
                <w:sz w:val="18"/>
                <w:szCs w:val="18"/>
                <w:lang w:eastAsia="en-GB"/>
              </w:rPr>
              <w:t>01 (M5)</w:t>
            </w:r>
          </w:p>
        </w:tc>
        <w:tc>
          <w:tcPr>
            <w:tcW w:w="3690" w:type="dxa"/>
            <w:tcBorders>
              <w:top w:val="single" w:sz="12" w:space="0" w:color="auto"/>
            </w:tcBorders>
            <w:vAlign w:val="center"/>
            <w:hideMark/>
          </w:tcPr>
          <w:p w14:paraId="4BDA5AB5" w14:textId="77777777" w:rsidR="00D54DFA" w:rsidRPr="00B66E4B" w:rsidRDefault="00D54DFA" w:rsidP="00EC191E">
            <w:pPr>
              <w:pStyle w:val="ExhibitText"/>
              <w:jc w:val="center"/>
              <w:rPr>
                <w:sz w:val="18"/>
                <w:szCs w:val="18"/>
                <w:lang w:eastAsia="en-GB"/>
              </w:rPr>
            </w:pPr>
            <w:r w:rsidRPr="00B66E4B">
              <w:rPr>
                <w:sz w:val="18"/>
                <w:szCs w:val="18"/>
                <w:lang w:eastAsia="en-GB"/>
              </w:rPr>
              <w:t>Stroud and South Gloucestershire</w:t>
            </w:r>
          </w:p>
        </w:tc>
        <w:tc>
          <w:tcPr>
            <w:tcW w:w="2160" w:type="dxa"/>
            <w:tcBorders>
              <w:top w:val="single" w:sz="12" w:space="0" w:color="auto"/>
            </w:tcBorders>
            <w:vAlign w:val="center"/>
            <w:hideMark/>
          </w:tcPr>
          <w:p w14:paraId="12D6B03E" w14:textId="5FEFB6E1" w:rsidR="00D54DFA" w:rsidRPr="00B66E4B" w:rsidRDefault="00D54DFA" w:rsidP="0038280A">
            <w:pPr>
              <w:pStyle w:val="ExhibitText"/>
              <w:tabs>
                <w:tab w:val="decimal" w:pos="1365"/>
              </w:tabs>
              <w:rPr>
                <w:sz w:val="18"/>
                <w:szCs w:val="18"/>
                <w:lang w:eastAsia="en-GB"/>
              </w:rPr>
            </w:pPr>
            <w:r w:rsidRPr="00B66E4B">
              <w:rPr>
                <w:sz w:val="18"/>
                <w:szCs w:val="18"/>
                <w:lang w:eastAsia="en-GB"/>
              </w:rPr>
              <w:t>127</w:t>
            </w:r>
            <w:r w:rsidR="00440069" w:rsidRPr="00B66E4B">
              <w:rPr>
                <w:sz w:val="18"/>
                <w:szCs w:val="18"/>
                <w:lang w:eastAsia="en-GB"/>
              </w:rPr>
              <w:t>,</w:t>
            </w:r>
            <w:r w:rsidRPr="00B66E4B">
              <w:rPr>
                <w:sz w:val="18"/>
                <w:szCs w:val="18"/>
                <w:lang w:eastAsia="en-GB"/>
              </w:rPr>
              <w:t>000</w:t>
            </w:r>
          </w:p>
        </w:tc>
        <w:tc>
          <w:tcPr>
            <w:tcW w:w="2160" w:type="dxa"/>
            <w:tcBorders>
              <w:top w:val="single" w:sz="12" w:space="0" w:color="auto"/>
            </w:tcBorders>
            <w:vAlign w:val="center"/>
            <w:hideMark/>
          </w:tcPr>
          <w:p w14:paraId="5133EFDF" w14:textId="77777777" w:rsidR="00D54DFA" w:rsidRPr="00B66E4B" w:rsidRDefault="00D54DFA" w:rsidP="00EC191E">
            <w:pPr>
              <w:pStyle w:val="ExhibitText"/>
              <w:jc w:val="center"/>
              <w:rPr>
                <w:sz w:val="18"/>
                <w:szCs w:val="18"/>
                <w:lang w:eastAsia="en-GB"/>
              </w:rPr>
            </w:pPr>
            <w:r w:rsidRPr="00B66E4B">
              <w:rPr>
                <w:sz w:val="18"/>
                <w:szCs w:val="18"/>
                <w:lang w:eastAsia="en-GB"/>
              </w:rPr>
              <w:t>845</w:t>
            </w:r>
          </w:p>
        </w:tc>
      </w:tr>
      <w:tr w:rsidR="00EC191E" w:rsidRPr="00B66E4B" w14:paraId="764C0A1B" w14:textId="77777777" w:rsidTr="0038280A">
        <w:trPr>
          <w:trHeight w:val="360"/>
          <w:jc w:val="center"/>
        </w:trPr>
        <w:tc>
          <w:tcPr>
            <w:tcW w:w="1350" w:type="dxa"/>
            <w:vAlign w:val="center"/>
            <w:hideMark/>
          </w:tcPr>
          <w:p w14:paraId="4530C224" w14:textId="77777777" w:rsidR="00D54DFA" w:rsidRPr="00B66E4B" w:rsidRDefault="00D54DFA" w:rsidP="00EC191E">
            <w:pPr>
              <w:pStyle w:val="ExhibitText"/>
              <w:jc w:val="center"/>
              <w:rPr>
                <w:sz w:val="18"/>
                <w:szCs w:val="18"/>
                <w:lang w:eastAsia="en-GB"/>
              </w:rPr>
            </w:pPr>
            <w:r w:rsidRPr="00B66E4B">
              <w:rPr>
                <w:sz w:val="18"/>
                <w:szCs w:val="18"/>
                <w:lang w:eastAsia="en-GB"/>
              </w:rPr>
              <w:t>02 (M4)</w:t>
            </w:r>
          </w:p>
        </w:tc>
        <w:tc>
          <w:tcPr>
            <w:tcW w:w="3690" w:type="dxa"/>
            <w:vAlign w:val="center"/>
            <w:hideMark/>
          </w:tcPr>
          <w:p w14:paraId="7A94B6AB" w14:textId="77777777" w:rsidR="00D54DFA" w:rsidRPr="00B66E4B" w:rsidRDefault="00D54DFA" w:rsidP="00EC191E">
            <w:pPr>
              <w:pStyle w:val="ExhibitText"/>
              <w:jc w:val="center"/>
              <w:rPr>
                <w:sz w:val="18"/>
                <w:szCs w:val="18"/>
                <w:lang w:eastAsia="en-GB"/>
              </w:rPr>
            </w:pPr>
            <w:r w:rsidRPr="00B66E4B">
              <w:rPr>
                <w:sz w:val="18"/>
                <w:szCs w:val="18"/>
                <w:lang w:eastAsia="en-GB"/>
              </w:rPr>
              <w:t>Swindon</w:t>
            </w:r>
          </w:p>
        </w:tc>
        <w:tc>
          <w:tcPr>
            <w:tcW w:w="2160" w:type="dxa"/>
            <w:vAlign w:val="center"/>
            <w:hideMark/>
          </w:tcPr>
          <w:p w14:paraId="3630A4EC" w14:textId="0A47B414" w:rsidR="00D54DFA" w:rsidRPr="00B66E4B" w:rsidRDefault="00D54DFA" w:rsidP="0038280A">
            <w:pPr>
              <w:pStyle w:val="ExhibitText"/>
              <w:tabs>
                <w:tab w:val="decimal" w:pos="1365"/>
              </w:tabs>
              <w:rPr>
                <w:sz w:val="18"/>
                <w:szCs w:val="18"/>
                <w:lang w:eastAsia="en-GB"/>
              </w:rPr>
            </w:pPr>
            <w:r w:rsidRPr="00B66E4B">
              <w:rPr>
                <w:sz w:val="18"/>
                <w:szCs w:val="18"/>
                <w:lang w:eastAsia="en-GB"/>
              </w:rPr>
              <w:t>68</w:t>
            </w:r>
            <w:r w:rsidR="00440069" w:rsidRPr="00B66E4B">
              <w:rPr>
                <w:sz w:val="18"/>
                <w:szCs w:val="18"/>
                <w:lang w:eastAsia="en-GB"/>
              </w:rPr>
              <w:t>,</w:t>
            </w:r>
            <w:r w:rsidRPr="00B66E4B">
              <w:rPr>
                <w:sz w:val="18"/>
                <w:szCs w:val="18"/>
                <w:lang w:eastAsia="en-GB"/>
              </w:rPr>
              <w:t>000</w:t>
            </w:r>
          </w:p>
        </w:tc>
        <w:tc>
          <w:tcPr>
            <w:tcW w:w="2160" w:type="dxa"/>
            <w:vAlign w:val="center"/>
            <w:hideMark/>
          </w:tcPr>
          <w:p w14:paraId="0333D3AB" w14:textId="77777777" w:rsidR="00D54DFA" w:rsidRPr="00B66E4B" w:rsidRDefault="00D54DFA" w:rsidP="00EC191E">
            <w:pPr>
              <w:pStyle w:val="ExhibitText"/>
              <w:jc w:val="center"/>
              <w:rPr>
                <w:sz w:val="18"/>
                <w:szCs w:val="18"/>
                <w:lang w:eastAsia="en-GB"/>
              </w:rPr>
            </w:pPr>
            <w:r w:rsidRPr="00B66E4B">
              <w:rPr>
                <w:sz w:val="18"/>
                <w:szCs w:val="18"/>
                <w:lang w:eastAsia="en-GB"/>
              </w:rPr>
              <w:t>453</w:t>
            </w:r>
          </w:p>
        </w:tc>
      </w:tr>
      <w:tr w:rsidR="00EC191E" w:rsidRPr="00B66E4B" w14:paraId="59F35846" w14:textId="77777777" w:rsidTr="0038280A">
        <w:trPr>
          <w:trHeight w:val="360"/>
          <w:jc w:val="center"/>
        </w:trPr>
        <w:tc>
          <w:tcPr>
            <w:tcW w:w="1350" w:type="dxa"/>
            <w:vAlign w:val="center"/>
            <w:hideMark/>
          </w:tcPr>
          <w:p w14:paraId="5E2C967C" w14:textId="77777777" w:rsidR="00D54DFA" w:rsidRPr="00B66E4B" w:rsidRDefault="00D54DFA" w:rsidP="00EC191E">
            <w:pPr>
              <w:pStyle w:val="ExhibitText"/>
              <w:jc w:val="center"/>
              <w:rPr>
                <w:sz w:val="18"/>
                <w:szCs w:val="18"/>
                <w:lang w:eastAsia="en-GB"/>
              </w:rPr>
            </w:pPr>
            <w:r w:rsidRPr="00B66E4B">
              <w:rPr>
                <w:sz w:val="18"/>
                <w:szCs w:val="18"/>
                <w:lang w:eastAsia="en-GB"/>
              </w:rPr>
              <w:t>23 (M4)</w:t>
            </w:r>
          </w:p>
        </w:tc>
        <w:tc>
          <w:tcPr>
            <w:tcW w:w="3690" w:type="dxa"/>
            <w:vAlign w:val="center"/>
            <w:hideMark/>
          </w:tcPr>
          <w:p w14:paraId="6F95FA5F" w14:textId="77777777" w:rsidR="00D54DFA" w:rsidRPr="00B66E4B" w:rsidRDefault="00D54DFA" w:rsidP="00EC191E">
            <w:pPr>
              <w:pStyle w:val="ExhibitText"/>
              <w:jc w:val="center"/>
              <w:rPr>
                <w:sz w:val="18"/>
                <w:szCs w:val="18"/>
                <w:lang w:eastAsia="en-GB"/>
              </w:rPr>
            </w:pPr>
            <w:r w:rsidRPr="00B66E4B">
              <w:rPr>
                <w:sz w:val="18"/>
                <w:szCs w:val="18"/>
                <w:lang w:eastAsia="en-GB"/>
              </w:rPr>
              <w:t>West Berkshire</w:t>
            </w:r>
          </w:p>
        </w:tc>
        <w:tc>
          <w:tcPr>
            <w:tcW w:w="2160" w:type="dxa"/>
            <w:vAlign w:val="center"/>
            <w:hideMark/>
          </w:tcPr>
          <w:p w14:paraId="67B2FADB" w14:textId="7BD41910" w:rsidR="00D54DFA" w:rsidRPr="00B66E4B" w:rsidRDefault="00D54DFA" w:rsidP="0038280A">
            <w:pPr>
              <w:pStyle w:val="ExhibitText"/>
              <w:tabs>
                <w:tab w:val="decimal" w:pos="1365"/>
              </w:tabs>
              <w:rPr>
                <w:sz w:val="18"/>
                <w:szCs w:val="18"/>
                <w:lang w:eastAsia="en-GB"/>
              </w:rPr>
            </w:pPr>
            <w:r w:rsidRPr="00B66E4B">
              <w:rPr>
                <w:sz w:val="18"/>
                <w:szCs w:val="18"/>
                <w:lang w:eastAsia="en-GB"/>
              </w:rPr>
              <w:t>52</w:t>
            </w:r>
            <w:r w:rsidR="00440069" w:rsidRPr="00B66E4B">
              <w:rPr>
                <w:sz w:val="18"/>
                <w:szCs w:val="18"/>
                <w:lang w:eastAsia="en-GB"/>
              </w:rPr>
              <w:t>,</w:t>
            </w:r>
            <w:r w:rsidRPr="00B66E4B">
              <w:rPr>
                <w:sz w:val="18"/>
                <w:szCs w:val="18"/>
                <w:lang w:eastAsia="en-GB"/>
              </w:rPr>
              <w:t>000</w:t>
            </w:r>
          </w:p>
        </w:tc>
        <w:tc>
          <w:tcPr>
            <w:tcW w:w="2160" w:type="dxa"/>
            <w:vAlign w:val="center"/>
            <w:hideMark/>
          </w:tcPr>
          <w:p w14:paraId="584E9693" w14:textId="77777777" w:rsidR="00D54DFA" w:rsidRPr="00B66E4B" w:rsidRDefault="00D54DFA" w:rsidP="00EC191E">
            <w:pPr>
              <w:pStyle w:val="ExhibitText"/>
              <w:jc w:val="center"/>
              <w:rPr>
                <w:sz w:val="18"/>
                <w:szCs w:val="18"/>
                <w:lang w:eastAsia="en-GB"/>
              </w:rPr>
            </w:pPr>
            <w:r w:rsidRPr="00B66E4B">
              <w:rPr>
                <w:sz w:val="18"/>
                <w:szCs w:val="18"/>
                <w:lang w:eastAsia="en-GB"/>
              </w:rPr>
              <w:t>345</w:t>
            </w:r>
          </w:p>
        </w:tc>
      </w:tr>
      <w:tr w:rsidR="00EC191E" w:rsidRPr="00B66E4B" w14:paraId="0A9A5B42" w14:textId="77777777" w:rsidTr="0038280A">
        <w:trPr>
          <w:trHeight w:val="360"/>
          <w:jc w:val="center"/>
        </w:trPr>
        <w:tc>
          <w:tcPr>
            <w:tcW w:w="1350" w:type="dxa"/>
            <w:vAlign w:val="center"/>
            <w:hideMark/>
          </w:tcPr>
          <w:p w14:paraId="678E4B38" w14:textId="77777777" w:rsidR="00D54DFA" w:rsidRPr="00B66E4B" w:rsidRDefault="00D54DFA" w:rsidP="00EC191E">
            <w:pPr>
              <w:pStyle w:val="ExhibitText"/>
              <w:jc w:val="center"/>
              <w:rPr>
                <w:sz w:val="18"/>
                <w:szCs w:val="18"/>
                <w:lang w:eastAsia="en-GB"/>
              </w:rPr>
            </w:pPr>
            <w:r w:rsidRPr="00B66E4B">
              <w:rPr>
                <w:sz w:val="18"/>
                <w:szCs w:val="18"/>
                <w:lang w:eastAsia="en-GB"/>
              </w:rPr>
              <w:t>45 (M40)</w:t>
            </w:r>
          </w:p>
        </w:tc>
        <w:tc>
          <w:tcPr>
            <w:tcW w:w="3690" w:type="dxa"/>
            <w:vAlign w:val="center"/>
            <w:hideMark/>
          </w:tcPr>
          <w:p w14:paraId="58E8A2B8" w14:textId="77777777" w:rsidR="00D54DFA" w:rsidRPr="00B66E4B" w:rsidRDefault="00D54DFA" w:rsidP="00EC191E">
            <w:pPr>
              <w:pStyle w:val="ExhibitText"/>
              <w:jc w:val="center"/>
              <w:rPr>
                <w:sz w:val="18"/>
                <w:szCs w:val="18"/>
                <w:lang w:eastAsia="en-GB"/>
              </w:rPr>
            </w:pPr>
            <w:r w:rsidRPr="00B66E4B">
              <w:rPr>
                <w:sz w:val="18"/>
                <w:szCs w:val="18"/>
                <w:lang w:eastAsia="en-GB"/>
              </w:rPr>
              <w:t>Aylesbury Vale</w:t>
            </w:r>
          </w:p>
        </w:tc>
        <w:tc>
          <w:tcPr>
            <w:tcW w:w="2160" w:type="dxa"/>
            <w:vAlign w:val="center"/>
            <w:hideMark/>
          </w:tcPr>
          <w:p w14:paraId="6FB764F4" w14:textId="12D264B0" w:rsidR="00D54DFA" w:rsidRPr="00B66E4B" w:rsidRDefault="00D54DFA" w:rsidP="0038280A">
            <w:pPr>
              <w:pStyle w:val="ExhibitText"/>
              <w:tabs>
                <w:tab w:val="decimal" w:pos="1365"/>
              </w:tabs>
              <w:rPr>
                <w:sz w:val="18"/>
                <w:szCs w:val="18"/>
                <w:lang w:eastAsia="en-GB"/>
              </w:rPr>
            </w:pPr>
            <w:r w:rsidRPr="00B66E4B">
              <w:rPr>
                <w:sz w:val="18"/>
                <w:szCs w:val="18"/>
                <w:lang w:eastAsia="en-GB"/>
              </w:rPr>
              <w:t>55</w:t>
            </w:r>
            <w:r w:rsidR="00440069" w:rsidRPr="00B66E4B">
              <w:rPr>
                <w:sz w:val="18"/>
                <w:szCs w:val="18"/>
                <w:lang w:eastAsia="en-GB"/>
              </w:rPr>
              <w:t>,</w:t>
            </w:r>
            <w:r w:rsidRPr="00B66E4B">
              <w:rPr>
                <w:sz w:val="18"/>
                <w:szCs w:val="18"/>
                <w:lang w:eastAsia="en-GB"/>
              </w:rPr>
              <w:t>000</w:t>
            </w:r>
          </w:p>
        </w:tc>
        <w:tc>
          <w:tcPr>
            <w:tcW w:w="2160" w:type="dxa"/>
            <w:vAlign w:val="center"/>
            <w:hideMark/>
          </w:tcPr>
          <w:p w14:paraId="69A8C4FF" w14:textId="77777777" w:rsidR="00D54DFA" w:rsidRPr="00B66E4B" w:rsidRDefault="00D54DFA" w:rsidP="00EC191E">
            <w:pPr>
              <w:pStyle w:val="ExhibitText"/>
              <w:jc w:val="center"/>
              <w:rPr>
                <w:sz w:val="18"/>
                <w:szCs w:val="18"/>
                <w:lang w:eastAsia="en-GB"/>
              </w:rPr>
            </w:pPr>
            <w:r w:rsidRPr="00B66E4B">
              <w:rPr>
                <w:sz w:val="18"/>
                <w:szCs w:val="18"/>
                <w:lang w:eastAsia="en-GB"/>
              </w:rPr>
              <w:t>366</w:t>
            </w:r>
          </w:p>
        </w:tc>
      </w:tr>
      <w:tr w:rsidR="00EC191E" w:rsidRPr="00B66E4B" w14:paraId="76D26581" w14:textId="77777777" w:rsidTr="0038280A">
        <w:trPr>
          <w:trHeight w:val="360"/>
          <w:jc w:val="center"/>
        </w:trPr>
        <w:tc>
          <w:tcPr>
            <w:tcW w:w="1350" w:type="dxa"/>
            <w:vAlign w:val="center"/>
            <w:hideMark/>
          </w:tcPr>
          <w:p w14:paraId="5EABA6AD" w14:textId="77777777" w:rsidR="00D54DFA" w:rsidRPr="00B66E4B" w:rsidRDefault="00D54DFA" w:rsidP="00EC191E">
            <w:pPr>
              <w:pStyle w:val="ExhibitText"/>
              <w:jc w:val="center"/>
              <w:rPr>
                <w:sz w:val="18"/>
                <w:szCs w:val="18"/>
                <w:lang w:eastAsia="en-GB"/>
              </w:rPr>
            </w:pPr>
            <w:r w:rsidRPr="00B66E4B">
              <w:rPr>
                <w:sz w:val="18"/>
                <w:szCs w:val="18"/>
                <w:lang w:eastAsia="en-GB"/>
              </w:rPr>
              <w:t>56 (M40)</w:t>
            </w:r>
          </w:p>
        </w:tc>
        <w:tc>
          <w:tcPr>
            <w:tcW w:w="3690" w:type="dxa"/>
            <w:vAlign w:val="center"/>
            <w:hideMark/>
          </w:tcPr>
          <w:p w14:paraId="7A26216C" w14:textId="77777777" w:rsidR="00D54DFA" w:rsidRPr="00B66E4B" w:rsidRDefault="00D54DFA" w:rsidP="00EC191E">
            <w:pPr>
              <w:pStyle w:val="ExhibitText"/>
              <w:jc w:val="center"/>
              <w:rPr>
                <w:sz w:val="18"/>
                <w:szCs w:val="18"/>
                <w:lang w:eastAsia="en-GB"/>
              </w:rPr>
            </w:pPr>
            <w:r w:rsidRPr="00B66E4B">
              <w:rPr>
                <w:sz w:val="18"/>
                <w:szCs w:val="18"/>
                <w:lang w:eastAsia="en-GB"/>
              </w:rPr>
              <w:t>Chiltern and Wycombe</w:t>
            </w:r>
          </w:p>
        </w:tc>
        <w:tc>
          <w:tcPr>
            <w:tcW w:w="2160" w:type="dxa"/>
            <w:vAlign w:val="center"/>
            <w:hideMark/>
          </w:tcPr>
          <w:p w14:paraId="23DD1FA0" w14:textId="2C6D80BE" w:rsidR="00D54DFA" w:rsidRPr="00B66E4B" w:rsidRDefault="00D54DFA" w:rsidP="0038280A">
            <w:pPr>
              <w:pStyle w:val="ExhibitText"/>
              <w:tabs>
                <w:tab w:val="decimal" w:pos="1365"/>
              </w:tabs>
              <w:rPr>
                <w:sz w:val="18"/>
                <w:szCs w:val="18"/>
                <w:lang w:eastAsia="en-GB"/>
              </w:rPr>
            </w:pPr>
            <w:r w:rsidRPr="00B66E4B">
              <w:rPr>
                <w:sz w:val="18"/>
                <w:szCs w:val="18"/>
                <w:lang w:eastAsia="en-GB"/>
              </w:rPr>
              <w:t>94</w:t>
            </w:r>
            <w:r w:rsidR="00440069" w:rsidRPr="00B66E4B">
              <w:rPr>
                <w:sz w:val="18"/>
                <w:szCs w:val="18"/>
                <w:lang w:eastAsia="en-GB"/>
              </w:rPr>
              <w:t>,</w:t>
            </w:r>
            <w:r w:rsidRPr="00B66E4B">
              <w:rPr>
                <w:sz w:val="18"/>
                <w:szCs w:val="18"/>
                <w:lang w:eastAsia="en-GB"/>
              </w:rPr>
              <w:t>000</w:t>
            </w:r>
          </w:p>
        </w:tc>
        <w:tc>
          <w:tcPr>
            <w:tcW w:w="2160" w:type="dxa"/>
            <w:vAlign w:val="center"/>
            <w:hideMark/>
          </w:tcPr>
          <w:p w14:paraId="75130C79" w14:textId="77777777" w:rsidR="00D54DFA" w:rsidRPr="00B66E4B" w:rsidRDefault="00D54DFA" w:rsidP="00EC191E">
            <w:pPr>
              <w:pStyle w:val="ExhibitText"/>
              <w:jc w:val="center"/>
              <w:rPr>
                <w:sz w:val="18"/>
                <w:szCs w:val="18"/>
                <w:lang w:eastAsia="en-GB"/>
              </w:rPr>
            </w:pPr>
            <w:r w:rsidRPr="00B66E4B">
              <w:rPr>
                <w:sz w:val="18"/>
                <w:szCs w:val="18"/>
                <w:lang w:eastAsia="en-GB"/>
              </w:rPr>
              <w:t>626</w:t>
            </w:r>
          </w:p>
        </w:tc>
      </w:tr>
    </w:tbl>
    <w:p w14:paraId="7438FE2A" w14:textId="77777777" w:rsidR="00A25D45" w:rsidRPr="00B66E4B" w:rsidRDefault="00A25D45" w:rsidP="003F11C0">
      <w:pPr>
        <w:pStyle w:val="ExhibitText"/>
      </w:pPr>
    </w:p>
    <w:p w14:paraId="497B84F2" w14:textId="1883D622" w:rsidR="00A25D45" w:rsidRPr="00B66E4B" w:rsidRDefault="00D54DFA" w:rsidP="007357F0">
      <w:pPr>
        <w:pStyle w:val="Footnote"/>
      </w:pPr>
      <w:r w:rsidRPr="00B66E4B">
        <w:t>Note:</w:t>
      </w:r>
      <w:r w:rsidR="00FB25FC" w:rsidRPr="00B66E4B">
        <w:t xml:space="preserve"> * </w:t>
      </w:r>
      <w:r w:rsidRPr="00B66E4B">
        <w:t xml:space="preserve">Number of houses obtained using small area estimates from </w:t>
      </w:r>
      <w:r w:rsidR="00FB25FC" w:rsidRPr="00B66E4B">
        <w:t xml:space="preserve">the 2011 census, </w:t>
      </w:r>
      <w:r w:rsidR="00404F93" w:rsidRPr="00B66E4B">
        <w:t>O</w:t>
      </w:r>
      <w:r w:rsidRPr="00B66E4B">
        <w:t xml:space="preserve">ffice of National </w:t>
      </w:r>
      <w:r w:rsidR="00404F93" w:rsidRPr="00B66E4B">
        <w:t>S</w:t>
      </w:r>
      <w:r w:rsidRPr="00B66E4B">
        <w:t>tatistics</w:t>
      </w:r>
      <w:r w:rsidR="00AC437C" w:rsidRPr="00B66E4B">
        <w:t>.</w:t>
      </w:r>
    </w:p>
    <w:p w14:paraId="74BA1A87" w14:textId="77777777" w:rsidR="00D023CF" w:rsidRPr="00B66E4B" w:rsidRDefault="00D023CF" w:rsidP="007357F0">
      <w:pPr>
        <w:pStyle w:val="Footnote"/>
      </w:pPr>
      <w:r w:rsidRPr="00B66E4B">
        <w:t>Assumptions:</w:t>
      </w:r>
    </w:p>
    <w:p w14:paraId="25EEF931" w14:textId="77777777" w:rsidR="00E4452F" w:rsidRPr="00B66E4B" w:rsidRDefault="00E4452F" w:rsidP="003F11C0">
      <w:pPr>
        <w:pStyle w:val="Footnote"/>
        <w:numPr>
          <w:ilvl w:val="0"/>
          <w:numId w:val="37"/>
        </w:numPr>
      </w:pPr>
      <w:r w:rsidRPr="00B66E4B">
        <w:t>One per cent, on average, of Ecotricity customers will be willing to install a charging point and will have a suitable location</w:t>
      </w:r>
    </w:p>
    <w:p w14:paraId="2298ABE6" w14:textId="53631A65" w:rsidR="00D023CF" w:rsidRPr="00B66E4B" w:rsidRDefault="00FB25FC" w:rsidP="003F11C0">
      <w:pPr>
        <w:pStyle w:val="Footnote"/>
        <w:numPr>
          <w:ilvl w:val="0"/>
          <w:numId w:val="37"/>
        </w:numPr>
      </w:pPr>
      <w:r w:rsidRPr="00B66E4B">
        <w:t>E</w:t>
      </w:r>
      <w:r w:rsidR="000C6926" w:rsidRPr="00B66E4B">
        <w:t xml:space="preserve">ach </w:t>
      </w:r>
      <w:r w:rsidR="00D023CF" w:rsidRPr="00B66E4B">
        <w:t>charging is done to 100</w:t>
      </w:r>
      <w:r w:rsidR="00635ECE" w:rsidRPr="00B66E4B">
        <w:t xml:space="preserve"> per cent</w:t>
      </w:r>
      <w:r w:rsidR="00D023CF" w:rsidRPr="00B66E4B">
        <w:t xml:space="preserve"> battery capacity.</w:t>
      </w:r>
    </w:p>
    <w:p w14:paraId="6604E930" w14:textId="3001A4A0" w:rsidR="000C5168" w:rsidRPr="00B66E4B" w:rsidRDefault="00D023CF" w:rsidP="003F11C0">
      <w:pPr>
        <w:pStyle w:val="Footnote"/>
        <w:numPr>
          <w:ilvl w:val="0"/>
          <w:numId w:val="37"/>
        </w:numPr>
      </w:pPr>
      <w:r w:rsidRPr="00B66E4B">
        <w:t xml:space="preserve">On average, </w:t>
      </w:r>
      <w:r w:rsidR="00835288">
        <w:t>electric vehicle</w:t>
      </w:r>
      <w:r w:rsidR="00835288" w:rsidRPr="00B66E4B">
        <w:t xml:space="preserve">s </w:t>
      </w:r>
      <w:r w:rsidRPr="00B66E4B">
        <w:t xml:space="preserve">are charged </w:t>
      </w:r>
      <w:r w:rsidR="000C5168" w:rsidRPr="00B66E4B">
        <w:t xml:space="preserve">80 per cent of the time at </w:t>
      </w:r>
      <w:r w:rsidRPr="00B66E4B">
        <w:t>their home</w:t>
      </w:r>
      <w:r w:rsidR="000C6926" w:rsidRPr="00B66E4B">
        <w:t>s</w:t>
      </w:r>
      <w:r w:rsidRPr="00B66E4B">
        <w:t xml:space="preserve"> and 20</w:t>
      </w:r>
      <w:r w:rsidR="00635ECE" w:rsidRPr="00B66E4B">
        <w:t xml:space="preserve"> per cent</w:t>
      </w:r>
      <w:r w:rsidRPr="00B66E4B">
        <w:t xml:space="preserve"> of the time </w:t>
      </w:r>
      <w:r w:rsidR="000C6926" w:rsidRPr="00B66E4B">
        <w:t xml:space="preserve">on </w:t>
      </w:r>
      <w:r w:rsidRPr="00B66E4B">
        <w:t>the highway network.</w:t>
      </w:r>
    </w:p>
    <w:p w14:paraId="56075DF6" w14:textId="6A62A906" w:rsidR="00D023CF" w:rsidRPr="00B66E4B" w:rsidRDefault="000C6926" w:rsidP="003F11C0">
      <w:pPr>
        <w:pStyle w:val="Footnote"/>
        <w:numPr>
          <w:ilvl w:val="0"/>
          <w:numId w:val="37"/>
        </w:numPr>
      </w:pPr>
      <w:r w:rsidRPr="00B66E4B">
        <w:t xml:space="preserve">One </w:t>
      </w:r>
      <w:r w:rsidR="00635ECE" w:rsidRPr="00B66E4B">
        <w:t>per cent</w:t>
      </w:r>
      <w:r w:rsidR="00D023CF" w:rsidRPr="00B66E4B">
        <w:t xml:space="preserve"> of vehicles on the highway are electric vehicles.</w:t>
      </w:r>
    </w:p>
    <w:p w14:paraId="73AC842D" w14:textId="4A154D4A" w:rsidR="003D6AB4" w:rsidRPr="00B66E4B" w:rsidRDefault="00D023CF" w:rsidP="003F11C0">
      <w:pPr>
        <w:pStyle w:val="Footnote"/>
        <w:numPr>
          <w:ilvl w:val="0"/>
          <w:numId w:val="37"/>
        </w:numPr>
      </w:pPr>
      <w:r w:rsidRPr="00B66E4B">
        <w:t xml:space="preserve">Any </w:t>
      </w:r>
      <w:r w:rsidR="00835288">
        <w:t>electric vehicle</w:t>
      </w:r>
      <w:r w:rsidR="00835288" w:rsidRPr="00B66E4B">
        <w:t xml:space="preserve"> </w:t>
      </w:r>
      <w:r w:rsidRPr="00B66E4B">
        <w:t xml:space="preserve">user </w:t>
      </w:r>
      <w:r w:rsidR="000C6926" w:rsidRPr="00B66E4B">
        <w:t xml:space="preserve">on </w:t>
      </w:r>
      <w:r w:rsidRPr="00B66E4B">
        <w:t xml:space="preserve">a road stretch who requires charging will stop </w:t>
      </w:r>
      <w:r w:rsidR="000C6926" w:rsidRPr="00B66E4B">
        <w:t xml:space="preserve">at </w:t>
      </w:r>
      <w:r w:rsidRPr="00B66E4B">
        <w:t>the nearest charging point within the network.</w:t>
      </w:r>
    </w:p>
    <w:p w14:paraId="7B47418D" w14:textId="748B9A6D" w:rsidR="00480B7A" w:rsidRPr="00B66E4B" w:rsidRDefault="00480B7A" w:rsidP="0038280A">
      <w:pPr>
        <w:pStyle w:val="Footnote"/>
        <w:jc w:val="both"/>
      </w:pPr>
      <w:r w:rsidRPr="00B66E4B">
        <w:t xml:space="preserve">Source: </w:t>
      </w:r>
      <w:r w:rsidR="00D539BC" w:rsidRPr="00B66E4B">
        <w:t>Ministry of Housing, Communities &amp; Local Government</w:t>
      </w:r>
      <w:r w:rsidRPr="00B66E4B">
        <w:t>, “</w:t>
      </w:r>
      <w:r w:rsidR="00D539BC" w:rsidRPr="00B66E4B">
        <w:t xml:space="preserve">Statistical Data Set: </w:t>
      </w:r>
      <w:r w:rsidRPr="00B66E4B">
        <w:t xml:space="preserve">Live </w:t>
      </w:r>
      <w:r w:rsidR="00D539BC" w:rsidRPr="00B66E4B">
        <w:t xml:space="preserve">Tables </w:t>
      </w:r>
      <w:r w:rsidRPr="00B66E4B">
        <w:t xml:space="preserve">on </w:t>
      </w:r>
      <w:r w:rsidR="00D539BC" w:rsidRPr="00B66E4B">
        <w:t>Household Projections,</w:t>
      </w:r>
      <w:r w:rsidRPr="00B66E4B">
        <w:t xml:space="preserve">” </w:t>
      </w:r>
      <w:r w:rsidR="00D539BC" w:rsidRPr="00B66E4B">
        <w:t>Government of the United Kingdom</w:t>
      </w:r>
      <w:r w:rsidRPr="00B66E4B">
        <w:t>, accessed February 15, 2016, www.gov.uk/government/statistical-data-sets/live-tables-on-household-projections#based-live-tables</w:t>
      </w:r>
      <w:r w:rsidR="004B6714" w:rsidRPr="00B66E4B">
        <w:t>.</w:t>
      </w:r>
    </w:p>
    <w:p w14:paraId="63CC16C2" w14:textId="77777777" w:rsidR="003D6AB4" w:rsidRPr="00B66E4B" w:rsidRDefault="003D6AB4">
      <w:pPr>
        <w:spacing w:after="200" w:line="276" w:lineRule="auto"/>
        <w:rPr>
          <w:rFonts w:ascii="Arial" w:hAnsi="Arial" w:cs="Arial"/>
          <w:sz w:val="17"/>
          <w:szCs w:val="17"/>
        </w:rPr>
      </w:pPr>
      <w:r w:rsidRPr="00B66E4B">
        <w:br w:type="page"/>
      </w:r>
    </w:p>
    <w:p w14:paraId="06F246CA" w14:textId="27920BF6" w:rsidR="00D023CF" w:rsidRPr="00B66E4B" w:rsidRDefault="003D6AB4" w:rsidP="00D46DB5">
      <w:pPr>
        <w:pStyle w:val="Casehead1"/>
        <w:outlineLvl w:val="0"/>
      </w:pPr>
      <w:r w:rsidRPr="00B66E4B">
        <w:lastRenderedPageBreak/>
        <w:t>endnotes</w:t>
      </w:r>
    </w:p>
    <w:sectPr w:rsidR="00D023CF" w:rsidRPr="00B66E4B" w:rsidSect="00EB5410">
      <w:headerReference w:type="default" r:id="rId13"/>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C8E63D" w14:textId="77777777" w:rsidR="006331AC" w:rsidRDefault="006331AC" w:rsidP="00D75295">
      <w:r>
        <w:separator/>
      </w:r>
    </w:p>
  </w:endnote>
  <w:endnote w:type="continuationSeparator" w:id="0">
    <w:p w14:paraId="58174D57" w14:textId="77777777" w:rsidR="006331AC" w:rsidRDefault="006331AC" w:rsidP="00D75295">
      <w:r>
        <w:continuationSeparator/>
      </w:r>
    </w:p>
  </w:endnote>
  <w:endnote w:id="1">
    <w:p w14:paraId="114A71A4" w14:textId="0744B361" w:rsidR="002636D4" w:rsidRPr="002636D4" w:rsidRDefault="002636D4" w:rsidP="002636D4">
      <w:pPr>
        <w:pStyle w:val="Footnote"/>
        <w:rPr>
          <w:lang w:val="en-US"/>
        </w:rPr>
      </w:pPr>
      <w:r>
        <w:rPr>
          <w:rStyle w:val="EndnoteReference"/>
        </w:rPr>
        <w:endnoteRef/>
      </w:r>
      <w:r>
        <w:t xml:space="preserve"> </w:t>
      </w:r>
      <w:r w:rsidRPr="00C74511">
        <w:t xml:space="preserve">This case has been written on the basis of published sources only. Consequently, the interpretation and perspectives presented in this case are not necessarily those of </w:t>
      </w:r>
      <w:r w:rsidRPr="00B66E4B">
        <w:t>Ecotricity Group Ltd</w:t>
      </w:r>
      <w:r>
        <w:t>.</w:t>
      </w:r>
      <w:r>
        <w:t xml:space="preserve"> </w:t>
      </w:r>
      <w:r w:rsidRPr="00C74511">
        <w:t>or any of its employees.</w:t>
      </w:r>
    </w:p>
  </w:endnote>
  <w:endnote w:id="2">
    <w:p w14:paraId="3E05CDAF" w14:textId="3D8BBDFF" w:rsidR="006331AC" w:rsidRPr="002636D4" w:rsidRDefault="006331AC" w:rsidP="003F11C0">
      <w:pPr>
        <w:pStyle w:val="Footnote"/>
        <w:jc w:val="both"/>
        <w:rPr>
          <w:spacing w:val="-4"/>
        </w:rPr>
      </w:pPr>
      <w:r w:rsidRPr="002636D4">
        <w:rPr>
          <w:rStyle w:val="EndnoteReference"/>
          <w:spacing w:val="-4"/>
        </w:rPr>
        <w:endnoteRef/>
      </w:r>
      <w:r w:rsidRPr="002636D4">
        <w:rPr>
          <w:spacing w:val="-4"/>
        </w:rPr>
        <w:t xml:space="preserve"> “Electric Car Charging Stations,” Ecotricity, accessed January 8, 2017, www.ecotricity.co.uk/for-the-road/our-electric-highway.</w:t>
      </w:r>
    </w:p>
  </w:endnote>
  <w:endnote w:id="3">
    <w:p w14:paraId="670B7555" w14:textId="4F4A894E" w:rsidR="006331AC" w:rsidRPr="002636D4" w:rsidRDefault="006331AC" w:rsidP="003F11C0">
      <w:pPr>
        <w:pStyle w:val="Footnote"/>
        <w:jc w:val="both"/>
        <w:rPr>
          <w:spacing w:val="-4"/>
        </w:rPr>
      </w:pPr>
      <w:r w:rsidRPr="002636D4">
        <w:rPr>
          <w:rStyle w:val="EndnoteReference"/>
          <w:spacing w:val="-4"/>
        </w:rPr>
        <w:endnoteRef/>
      </w:r>
      <w:r w:rsidRPr="002636D4">
        <w:rPr>
          <w:spacing w:val="-4"/>
        </w:rPr>
        <w:t xml:space="preserve"> David Pratt, “Ecotricity to Allow 30 Minute Charging after Consumer Backlash,”</w:t>
      </w:r>
      <w:r w:rsidRPr="002636D4">
        <w:rPr>
          <w:i/>
          <w:spacing w:val="-4"/>
        </w:rPr>
        <w:t xml:space="preserve"> </w:t>
      </w:r>
      <w:r w:rsidRPr="002636D4">
        <w:rPr>
          <w:spacing w:val="-4"/>
        </w:rPr>
        <w:t>Clean Energy News</w:t>
      </w:r>
      <w:r w:rsidRPr="002636D4">
        <w:rPr>
          <w:i/>
          <w:spacing w:val="-4"/>
        </w:rPr>
        <w:t>,</w:t>
      </w:r>
      <w:r w:rsidRPr="002636D4">
        <w:rPr>
          <w:spacing w:val="-4"/>
        </w:rPr>
        <w:t xml:space="preserve"> July 11, 2016, accessed October 19, 2016, www.cleanenergynews.co.uk/news/transport/ecotricity-to-allow-30-minute-charging-after-consumer-backlash.</w:t>
      </w:r>
    </w:p>
  </w:endnote>
  <w:endnote w:id="4">
    <w:p w14:paraId="3DA11B64" w14:textId="6FB994BB" w:rsidR="006331AC" w:rsidRPr="007B517D" w:rsidRDefault="006331AC" w:rsidP="003F11C0">
      <w:pPr>
        <w:pStyle w:val="Footnote"/>
        <w:jc w:val="both"/>
      </w:pPr>
      <w:r w:rsidRPr="007B517D">
        <w:rPr>
          <w:rStyle w:val="EndnoteReference"/>
        </w:rPr>
        <w:endnoteRef/>
      </w:r>
      <w:r w:rsidRPr="007B517D">
        <w:t xml:space="preserve"> “For </w:t>
      </w:r>
      <w:r>
        <w:t>t</w:t>
      </w:r>
      <w:r w:rsidRPr="007B517D">
        <w:t>he Road</w:t>
      </w:r>
      <w:r>
        <w:t>,</w:t>
      </w:r>
      <w:r w:rsidRPr="007B517D">
        <w:t>” Ecotricity, accessed October 19</w:t>
      </w:r>
      <w:r>
        <w:t xml:space="preserve">, </w:t>
      </w:r>
      <w:r w:rsidRPr="007B517D">
        <w:t>2016, www.ecotricity.co.uk/for-the-road.</w:t>
      </w:r>
    </w:p>
  </w:endnote>
  <w:endnote w:id="5">
    <w:p w14:paraId="68A4992D" w14:textId="564DCBA7" w:rsidR="006331AC" w:rsidRPr="007B517D" w:rsidRDefault="006331AC" w:rsidP="003F11C0">
      <w:pPr>
        <w:pStyle w:val="Footnote"/>
        <w:jc w:val="both"/>
      </w:pPr>
      <w:r w:rsidRPr="007B517D">
        <w:rPr>
          <w:rStyle w:val="EndnoteReference"/>
        </w:rPr>
        <w:endnoteRef/>
      </w:r>
      <w:r>
        <w:t xml:space="preserve"> David Pratt, </w:t>
      </w:r>
      <w:r w:rsidRPr="007B517D">
        <w:t>“Ecotricity Losing Money from Charging Network, Says Electric Highway MD</w:t>
      </w:r>
      <w:r>
        <w:t>,</w:t>
      </w:r>
      <w:r w:rsidRPr="007B517D">
        <w:t xml:space="preserve">” </w:t>
      </w:r>
      <w:r w:rsidRPr="007B4982">
        <w:t>Clean Energy News</w:t>
      </w:r>
      <w:r w:rsidRPr="007B517D">
        <w:t xml:space="preserve">, </w:t>
      </w:r>
      <w:r>
        <w:t xml:space="preserve">August 17, 2016, </w:t>
      </w:r>
      <w:r w:rsidRPr="007B517D">
        <w:t>accessed October 23, 2016, www.cleanenergynews.co.uk/news/transport/ecotricity-losing-money-from-charging-network-says-electric-highway-md.</w:t>
      </w:r>
    </w:p>
  </w:endnote>
  <w:endnote w:id="6">
    <w:p w14:paraId="2C50D98D" w14:textId="613CACAF" w:rsidR="006331AC" w:rsidRDefault="006331AC" w:rsidP="003F11C0">
      <w:pPr>
        <w:pStyle w:val="Footnote"/>
        <w:jc w:val="both"/>
      </w:pPr>
      <w:r>
        <w:rPr>
          <w:rStyle w:val="EndnoteReference"/>
        </w:rPr>
        <w:endnoteRef/>
      </w:r>
      <w:r>
        <w:t xml:space="preserve"> “About Me,” Zero Carbonista, accessed January 8, 2017, </w:t>
      </w:r>
      <w:r w:rsidRPr="00CC2D77">
        <w:rPr>
          <w:lang w:val="en-CA"/>
        </w:rPr>
        <w:t>http://zerocarbonista.com</w:t>
      </w:r>
      <w:r>
        <w:rPr>
          <w:lang w:val="en-CA"/>
        </w:rPr>
        <w:t>.</w:t>
      </w:r>
    </w:p>
  </w:endnote>
  <w:endnote w:id="7">
    <w:p w14:paraId="4251C2C6" w14:textId="512F0D45" w:rsidR="006331AC" w:rsidRPr="007B517D" w:rsidRDefault="006331AC" w:rsidP="003F11C0">
      <w:pPr>
        <w:pStyle w:val="Footnote"/>
        <w:jc w:val="both"/>
      </w:pPr>
      <w:r w:rsidRPr="007B517D">
        <w:rPr>
          <w:rStyle w:val="EndnoteReference"/>
        </w:rPr>
        <w:endnoteRef/>
      </w:r>
      <w:r w:rsidRPr="007B517D">
        <w:t xml:space="preserve"> </w:t>
      </w:r>
      <w:r w:rsidRPr="002636D4">
        <w:rPr>
          <w:spacing w:val="-4"/>
        </w:rPr>
        <w:t xml:space="preserve">£ = GBP = British pound sterling; </w:t>
      </w:r>
      <w:r w:rsidR="002636D4" w:rsidRPr="002636D4">
        <w:rPr>
          <w:spacing w:val="-4"/>
        </w:rPr>
        <w:t xml:space="preserve">all currency amounts in </w:t>
      </w:r>
      <w:r w:rsidR="002636D4" w:rsidRPr="002636D4">
        <w:rPr>
          <w:spacing w:val="-4"/>
        </w:rPr>
        <w:t>£</w:t>
      </w:r>
      <w:r w:rsidR="002636D4" w:rsidRPr="002636D4">
        <w:rPr>
          <w:spacing w:val="-4"/>
        </w:rPr>
        <w:t xml:space="preserve"> unless otherwise stated; </w:t>
      </w:r>
      <w:r w:rsidRPr="002636D4">
        <w:rPr>
          <w:spacing w:val="-4"/>
        </w:rPr>
        <w:t>US</w:t>
      </w:r>
      <w:r w:rsidRPr="002636D4">
        <w:rPr>
          <w:spacing w:val="-4"/>
          <w:lang w:val="en-CA"/>
        </w:rPr>
        <w:t xml:space="preserve">$1 = £0.74 and £1 = US$1.35 on January 10, 2018. </w:t>
      </w:r>
      <w:r w:rsidRPr="002636D4">
        <w:rPr>
          <w:spacing w:val="-4"/>
        </w:rPr>
        <w:t>“Ecotricity Group Ltd,” Due Dil, accessed February 26, 2016, www.duedil.com/company/03521776/ecotricity-group-ltd.</w:t>
      </w:r>
    </w:p>
  </w:endnote>
  <w:endnote w:id="8">
    <w:p w14:paraId="55AA0BD5" w14:textId="5831E6DE" w:rsidR="006331AC" w:rsidRPr="007B517D" w:rsidRDefault="006331AC" w:rsidP="003F11C0">
      <w:pPr>
        <w:pStyle w:val="Footnote"/>
        <w:jc w:val="both"/>
      </w:pPr>
      <w:r w:rsidRPr="007B517D">
        <w:rPr>
          <w:rStyle w:val="EndnoteReference"/>
        </w:rPr>
        <w:endnoteRef/>
      </w:r>
      <w:r w:rsidRPr="007B517D">
        <w:t xml:space="preserve"> “About Ecotricity</w:t>
      </w:r>
      <w:r>
        <w:t>: Our Awards,</w:t>
      </w:r>
      <w:r w:rsidRPr="007B517D">
        <w:t>” Ecotricity, accessed February 26, 2016, www.ecotricity.co.uk/about-ecotricity/our-eco-credentials/our-awards.</w:t>
      </w:r>
    </w:p>
  </w:endnote>
  <w:endnote w:id="9">
    <w:p w14:paraId="2FA9FBA0" w14:textId="0907070E" w:rsidR="006331AC" w:rsidRPr="007B517D" w:rsidRDefault="006331AC" w:rsidP="003F11C0">
      <w:pPr>
        <w:pStyle w:val="Footnote"/>
        <w:jc w:val="both"/>
      </w:pPr>
      <w:r w:rsidRPr="007B517D">
        <w:rPr>
          <w:rStyle w:val="EndnoteReference"/>
        </w:rPr>
        <w:endnoteRef/>
      </w:r>
      <w:r w:rsidRPr="007B517D">
        <w:t xml:space="preserve"> </w:t>
      </w:r>
      <w:r w:rsidRPr="00135B65">
        <w:rPr>
          <w:spacing w:val="-4"/>
        </w:rPr>
        <w:t xml:space="preserve">Robert Mendick, “Eco Millionaire Dale Vince and His £750,000 Electric Sports Car—Part Funded by the Taxpayer,” </w:t>
      </w:r>
      <w:r w:rsidRPr="00135B65">
        <w:rPr>
          <w:i/>
          <w:spacing w:val="-4"/>
        </w:rPr>
        <w:t>Telegraph</w:t>
      </w:r>
      <w:r w:rsidRPr="00135B65">
        <w:rPr>
          <w:spacing w:val="-4"/>
        </w:rPr>
        <w:t>, November 6, 2010, accessed November 17, 2016, www.telegraph.co.uk/news/earth/greenertransport/8114607/Eco-millionaire-Dale-Vince-and-his-750000-electric-sports-car-part-funded-by-the-taxpayer.html.</w:t>
      </w:r>
    </w:p>
  </w:endnote>
  <w:endnote w:id="10">
    <w:p w14:paraId="1071CBE2" w14:textId="48584E2B" w:rsidR="006331AC" w:rsidRPr="007B517D" w:rsidRDefault="006331AC" w:rsidP="003F11C0">
      <w:pPr>
        <w:pStyle w:val="Footnote"/>
        <w:jc w:val="both"/>
      </w:pPr>
      <w:r w:rsidRPr="007B517D">
        <w:rPr>
          <w:rStyle w:val="EndnoteReference"/>
        </w:rPr>
        <w:endnoteRef/>
      </w:r>
      <w:r w:rsidRPr="007B517D">
        <w:t xml:space="preserve"> “</w:t>
      </w:r>
      <w:r>
        <w:t xml:space="preserve">About Ecotricity: </w:t>
      </w:r>
      <w:r w:rsidRPr="007B517D">
        <w:t>Our Green Energy</w:t>
      </w:r>
      <w:r>
        <w:t>,</w:t>
      </w:r>
      <w:r w:rsidRPr="007B517D">
        <w:t>” Ecotricity, accessed February 26, 2016, www.ecotricity.co.uk/our-green-energy/our-green-electricity.</w:t>
      </w:r>
    </w:p>
  </w:endnote>
  <w:endnote w:id="11">
    <w:p w14:paraId="230F7F9F" w14:textId="171241DF" w:rsidR="006331AC" w:rsidRPr="007B517D" w:rsidRDefault="006331AC" w:rsidP="003F11C0">
      <w:pPr>
        <w:pStyle w:val="Footnote"/>
        <w:jc w:val="both"/>
      </w:pPr>
      <w:r w:rsidRPr="007B517D">
        <w:rPr>
          <w:rStyle w:val="EndnoteReference"/>
        </w:rPr>
        <w:endnoteRef/>
      </w:r>
      <w:r w:rsidRPr="007B517D">
        <w:t xml:space="preserve"> Ecotricity</w:t>
      </w:r>
      <w:r>
        <w:t>,</w:t>
      </w:r>
      <w:r w:rsidRPr="007B517D">
        <w:t xml:space="preserve"> </w:t>
      </w:r>
      <w:r w:rsidRPr="003F11C0">
        <w:rPr>
          <w:i/>
        </w:rPr>
        <w:t>Nothing Happened</w:t>
      </w:r>
      <w:r>
        <w:rPr>
          <w:i/>
        </w:rPr>
        <w:t>,</w:t>
      </w:r>
      <w:r w:rsidRPr="003F11C0">
        <w:rPr>
          <w:i/>
        </w:rPr>
        <w:t xml:space="preserve"> Everything Changed</w:t>
      </w:r>
      <w:r>
        <w:rPr>
          <w:i/>
        </w:rPr>
        <w:t>:</w:t>
      </w:r>
      <w:r w:rsidRPr="003F11C0">
        <w:rPr>
          <w:i/>
        </w:rPr>
        <w:t xml:space="preserve"> Progress Report 2014</w:t>
      </w:r>
      <w:r w:rsidRPr="007B517D">
        <w:t xml:space="preserve">, accessed November 17, 2016, </w:t>
      </w:r>
      <w:r w:rsidRPr="00E51119">
        <w:t>www.ecotricity.co.uk/about-ecotricity/our-history/2014</w:t>
      </w:r>
      <w:r w:rsidRPr="007B517D">
        <w:t>.</w:t>
      </w:r>
    </w:p>
  </w:endnote>
  <w:endnote w:id="12">
    <w:p w14:paraId="2DB1F95E" w14:textId="1AA5E1E7" w:rsidR="006331AC" w:rsidRDefault="006331AC" w:rsidP="003F11C0">
      <w:pPr>
        <w:pStyle w:val="Footnote"/>
        <w:jc w:val="both"/>
      </w:pPr>
      <w:r>
        <w:rPr>
          <w:rStyle w:val="EndnoteReference"/>
        </w:rPr>
        <w:endnoteRef/>
      </w:r>
      <w:r>
        <w:t xml:space="preserve"> “</w:t>
      </w:r>
      <w:r w:rsidR="0038280A">
        <w:t>E</w:t>
      </w:r>
      <w:r>
        <w:t xml:space="preserve">cobonds,” Ecotricity, accessed January 8, 2017, </w:t>
      </w:r>
      <w:r w:rsidRPr="008E40FC">
        <w:t>www.ecotricity.co.uk/about/ecobonds</w:t>
      </w:r>
      <w:r>
        <w:t>.</w:t>
      </w:r>
    </w:p>
  </w:endnote>
  <w:endnote w:id="13">
    <w:p w14:paraId="2664AD5A" w14:textId="533D8D73" w:rsidR="006331AC" w:rsidRPr="007B517D" w:rsidRDefault="006331AC" w:rsidP="003F11C0">
      <w:pPr>
        <w:pStyle w:val="Footnote"/>
        <w:jc w:val="both"/>
      </w:pPr>
      <w:r w:rsidRPr="007B517D">
        <w:rPr>
          <w:rStyle w:val="EndnoteReference"/>
        </w:rPr>
        <w:endnoteRef/>
      </w:r>
      <w:r w:rsidRPr="007B517D">
        <w:t xml:space="preserve"> Ecotricity</w:t>
      </w:r>
      <w:r>
        <w:t>,</w:t>
      </w:r>
      <w:r w:rsidRPr="007B517D">
        <w:t xml:space="preserve"> “Ecobond Three Raises Almost £19 Million</w:t>
      </w:r>
      <w:r>
        <w:t>,</w:t>
      </w:r>
      <w:r w:rsidRPr="007B517D">
        <w:t>”</w:t>
      </w:r>
      <w:r>
        <w:t xml:space="preserve"> press release,</w:t>
      </w:r>
      <w:r w:rsidRPr="007B517D">
        <w:t xml:space="preserve"> </w:t>
      </w:r>
      <w:r>
        <w:t xml:space="preserve">December 2, </w:t>
      </w:r>
      <w:r w:rsidRPr="007B517D">
        <w:t>2015, accessed February 26, 2016, www.ecotricity.co.uk/news/news-archive/2015/ecobond-three-raises-almost-19-million.</w:t>
      </w:r>
    </w:p>
  </w:endnote>
  <w:endnote w:id="14">
    <w:p w14:paraId="0F2CFBC1" w14:textId="3275BF76" w:rsidR="006331AC" w:rsidRPr="007B517D" w:rsidRDefault="006331AC" w:rsidP="003F11C0">
      <w:pPr>
        <w:pStyle w:val="Footnote"/>
        <w:jc w:val="both"/>
      </w:pPr>
      <w:r w:rsidRPr="007B517D">
        <w:rPr>
          <w:rStyle w:val="EndnoteReference"/>
        </w:rPr>
        <w:endnoteRef/>
      </w:r>
      <w:r w:rsidRPr="007B517D">
        <w:t xml:space="preserve"> </w:t>
      </w:r>
      <w:r>
        <w:t>Ibid</w:t>
      </w:r>
      <w:r w:rsidRPr="007B517D">
        <w:t>.</w:t>
      </w:r>
      <w:r>
        <w:t xml:space="preserve"> </w:t>
      </w:r>
    </w:p>
  </w:endnote>
  <w:endnote w:id="15">
    <w:p w14:paraId="0ECCDF3B" w14:textId="1552A625" w:rsidR="006331AC" w:rsidRPr="007B517D" w:rsidRDefault="006331AC" w:rsidP="003F11C0">
      <w:pPr>
        <w:pStyle w:val="Footnote"/>
        <w:jc w:val="both"/>
      </w:pPr>
      <w:r w:rsidRPr="007B517D">
        <w:rPr>
          <w:rStyle w:val="EndnoteReference"/>
        </w:rPr>
        <w:endnoteRef/>
      </w:r>
      <w:r w:rsidRPr="007B517D">
        <w:t xml:space="preserve"> “</w:t>
      </w:r>
      <w:r>
        <w:t>The World’s First Green Electricity Company,</w:t>
      </w:r>
      <w:r w:rsidRPr="007B517D">
        <w:t>” Ecotricity, accessed November 17, 2016</w:t>
      </w:r>
      <w:r>
        <w:t xml:space="preserve">, </w:t>
      </w:r>
      <w:r w:rsidRPr="007B517D">
        <w:t>www.ecotricity.co.uk/about-ecotricity.</w:t>
      </w:r>
    </w:p>
  </w:endnote>
  <w:endnote w:id="16">
    <w:p w14:paraId="58086089" w14:textId="3046B33E" w:rsidR="006331AC" w:rsidRDefault="006331AC" w:rsidP="003F11C0">
      <w:pPr>
        <w:pStyle w:val="Footnote"/>
        <w:jc w:val="both"/>
      </w:pPr>
      <w:r>
        <w:rPr>
          <w:rStyle w:val="EndnoteReference"/>
        </w:rPr>
        <w:endnoteRef/>
      </w:r>
      <w:r>
        <w:t xml:space="preserve"> Ecotricity, “Ecotricity #1 Energy Company in Which? Customer Survey,” press release, January 22, 2015, accessed January 10, 2018, </w:t>
      </w:r>
      <w:r w:rsidRPr="00DD3109">
        <w:t>www.ecotricity.co.uk/news/news-archive/2015/ecotricity-1-energy-company-in-which-customer-survey</w:t>
      </w:r>
      <w:r>
        <w:t>.</w:t>
      </w:r>
    </w:p>
  </w:endnote>
  <w:endnote w:id="17">
    <w:p w14:paraId="03DFC598" w14:textId="016EB05C" w:rsidR="006331AC" w:rsidRPr="007B517D" w:rsidRDefault="006331AC" w:rsidP="003F11C0">
      <w:pPr>
        <w:pStyle w:val="Footnote"/>
        <w:jc w:val="both"/>
      </w:pPr>
      <w:r w:rsidRPr="007B517D">
        <w:rPr>
          <w:rStyle w:val="EndnoteReference"/>
        </w:rPr>
        <w:endnoteRef/>
      </w:r>
      <w:r w:rsidRPr="007B517D">
        <w:t xml:space="preserve"> “</w:t>
      </w:r>
      <w:r>
        <w:t>Best Energy Companies 2015,</w:t>
      </w:r>
      <w:r w:rsidRPr="007B517D">
        <w:t xml:space="preserve">” </w:t>
      </w:r>
      <w:r w:rsidRPr="003F11C0">
        <w:t>Which? Switch</w:t>
      </w:r>
      <w:r>
        <w:rPr>
          <w:i/>
        </w:rPr>
        <w:t xml:space="preserve">, </w:t>
      </w:r>
      <w:r w:rsidRPr="003F11C0">
        <w:t>February 2016</w:t>
      </w:r>
      <w:r w:rsidRPr="00C603C3">
        <w:t>,</w:t>
      </w:r>
      <w:r w:rsidRPr="007B517D">
        <w:t xml:space="preserve"> accessed </w:t>
      </w:r>
      <w:r>
        <w:t xml:space="preserve">January 10, 2018, </w:t>
      </w:r>
      <w:r w:rsidRPr="00C603C3">
        <w:t>https://press.which.co.uk/wp-content/uploads/2015/01/Which-Energy-Satisfaction-Survey-2015.pdf</w:t>
      </w:r>
      <w:r>
        <w:t xml:space="preserve">; </w:t>
      </w:r>
      <w:r w:rsidRPr="007B517D">
        <w:t>Ecotricity, “Ecotricity Doubles in Size, 2 Million Britons Dump the Big Six</w:t>
      </w:r>
      <w:r>
        <w:t>,</w:t>
      </w:r>
      <w:r w:rsidRPr="007B517D">
        <w:t xml:space="preserve">” </w:t>
      </w:r>
      <w:r>
        <w:t>press release</w:t>
      </w:r>
      <w:r w:rsidRPr="007B517D">
        <w:t>, January 12, 2015, accessed December 10, 2015, www.ecotricity.co.uk/news/news-archive/2015/ecotricity-doubles-in-size-2-million-britons-dump-the-big-six</w:t>
      </w:r>
      <w:r>
        <w:t>.</w:t>
      </w:r>
    </w:p>
  </w:endnote>
  <w:endnote w:id="18">
    <w:p w14:paraId="745DC7F0" w14:textId="2986D786" w:rsidR="006331AC" w:rsidRPr="007B517D" w:rsidRDefault="006331AC" w:rsidP="003F11C0">
      <w:pPr>
        <w:pStyle w:val="Footnote"/>
        <w:jc w:val="both"/>
      </w:pPr>
      <w:r w:rsidRPr="007B517D">
        <w:rPr>
          <w:rStyle w:val="EndnoteReference"/>
        </w:rPr>
        <w:endnoteRef/>
      </w:r>
      <w:r w:rsidRPr="007B517D">
        <w:t xml:space="preserve"> “Ecotricity</w:t>
      </w:r>
      <w:r>
        <w:t>,</w:t>
      </w:r>
      <w:r w:rsidRPr="007B517D">
        <w:t xml:space="preserve"> UK</w:t>
      </w:r>
      <w:r>
        <w:t>,</w:t>
      </w:r>
      <w:r w:rsidRPr="007B517D">
        <w:t xml:space="preserve"> Wind Power</w:t>
      </w:r>
      <w:r>
        <w:t>—</w:t>
      </w:r>
      <w:r w:rsidRPr="007B517D">
        <w:t>Ashden Award Winner</w:t>
      </w:r>
      <w:r>
        <w:t>,</w:t>
      </w:r>
      <w:r w:rsidRPr="007B517D">
        <w:t xml:space="preserve">” YouTube </w:t>
      </w:r>
      <w:r>
        <w:t>video</w:t>
      </w:r>
      <w:r w:rsidRPr="007B517D">
        <w:t xml:space="preserve">, </w:t>
      </w:r>
      <w:r>
        <w:t xml:space="preserve">5:37, posted by Ashden, February 26, 2008, </w:t>
      </w:r>
      <w:r w:rsidRPr="007B517D">
        <w:t xml:space="preserve">accessed February 20, 2016, </w:t>
      </w:r>
      <w:r w:rsidRPr="00A577CB">
        <w:t>https://youtu.be/qmJ7mhZmg9w</w:t>
      </w:r>
      <w:r w:rsidRPr="007B517D">
        <w:t>.</w:t>
      </w:r>
      <w:r>
        <w:t xml:space="preserve"> </w:t>
      </w:r>
    </w:p>
  </w:endnote>
  <w:endnote w:id="19">
    <w:p w14:paraId="3613A3AD" w14:textId="235710FD" w:rsidR="006331AC" w:rsidRPr="007B517D" w:rsidRDefault="006331AC" w:rsidP="003F11C0">
      <w:pPr>
        <w:pStyle w:val="Footnote"/>
        <w:jc w:val="both"/>
      </w:pPr>
      <w:r w:rsidRPr="007B517D">
        <w:rPr>
          <w:rStyle w:val="EndnoteReference"/>
        </w:rPr>
        <w:endnoteRef/>
      </w:r>
      <w:r w:rsidRPr="007B517D">
        <w:t xml:space="preserve"> </w:t>
      </w:r>
      <w:r>
        <w:t xml:space="preserve">Dale Vince, interview by Polly Toynbee, </w:t>
      </w:r>
      <w:r w:rsidRPr="007B517D">
        <w:t>“Ecotricity</w:t>
      </w:r>
      <w:r>
        <w:t>’</w:t>
      </w:r>
      <w:r w:rsidRPr="007B517D">
        <w:t>s 2030 Vision for a Green Britain</w:t>
      </w:r>
      <w:r>
        <w:t xml:space="preserve">,” YouTube video, 6:54, posted by Ecotricity, May 6, 2015, </w:t>
      </w:r>
      <w:r w:rsidRPr="007B517D">
        <w:t xml:space="preserve">accessed January 10, 2016, </w:t>
      </w:r>
      <w:r w:rsidRPr="004664F1">
        <w:t>https://youtu.be/tcOBg8kV6Zc</w:t>
      </w:r>
      <w:r w:rsidRPr="007B517D">
        <w:t>.</w:t>
      </w:r>
    </w:p>
  </w:endnote>
  <w:endnote w:id="20">
    <w:p w14:paraId="619CCA15" w14:textId="6A3ED53A" w:rsidR="006331AC" w:rsidRDefault="006331AC" w:rsidP="003F11C0">
      <w:pPr>
        <w:pStyle w:val="Footnote"/>
        <w:jc w:val="both"/>
      </w:pPr>
      <w:r>
        <w:rPr>
          <w:rStyle w:val="EndnoteReference"/>
        </w:rPr>
        <w:endnoteRef/>
      </w:r>
      <w:r>
        <w:t xml:space="preserve"> Ibid. </w:t>
      </w:r>
    </w:p>
  </w:endnote>
  <w:endnote w:id="21">
    <w:p w14:paraId="350ABD10" w14:textId="02E6D4B7" w:rsidR="006331AC" w:rsidRDefault="006331AC" w:rsidP="003F11C0">
      <w:pPr>
        <w:pStyle w:val="Footnote"/>
        <w:jc w:val="both"/>
      </w:pPr>
      <w:r>
        <w:rPr>
          <w:rStyle w:val="EndnoteReference"/>
        </w:rPr>
        <w:endnoteRef/>
      </w:r>
      <w:r>
        <w:t xml:space="preserve"> “Our 2030 Vision,” Ecotricity, accessed January 10, 2018, </w:t>
      </w:r>
      <w:r w:rsidRPr="00170535">
        <w:t>www.ecotricity.co.uk/about-ecotricity/our-eco-credentials/our-2030-vision-for-a-green-britain</w:t>
      </w:r>
      <w:r>
        <w:t>.</w:t>
      </w:r>
    </w:p>
  </w:endnote>
  <w:endnote w:id="22">
    <w:p w14:paraId="1850BB99" w14:textId="5E338DFA" w:rsidR="006331AC" w:rsidRPr="007B517D" w:rsidRDefault="006331AC" w:rsidP="003F11C0">
      <w:pPr>
        <w:pStyle w:val="Footnote"/>
        <w:jc w:val="both"/>
      </w:pPr>
      <w:r w:rsidRPr="007B517D">
        <w:rPr>
          <w:rStyle w:val="EndnoteReference"/>
        </w:rPr>
        <w:endnoteRef/>
      </w:r>
      <w:r>
        <w:t xml:space="preserve"> </w:t>
      </w:r>
      <w:r w:rsidRPr="007B517D">
        <w:t>Nikki Gordon-Bloomfield</w:t>
      </w:r>
      <w:r w:rsidRPr="0038280A">
        <w:rPr>
          <w:rStyle w:val="Strong"/>
          <w:b w:val="0"/>
        </w:rPr>
        <w:t>,</w:t>
      </w:r>
      <w:r w:rsidRPr="007B517D">
        <w:t xml:space="preserve"> “As More Plug-in Cars Hit the Roads, Inconsiderate Use of Public Charging Stations </w:t>
      </w:r>
      <w:r>
        <w:t>I</w:t>
      </w:r>
      <w:r w:rsidRPr="007B517D">
        <w:t xml:space="preserve">s </w:t>
      </w:r>
      <w:r>
        <w:t>o</w:t>
      </w:r>
      <w:r w:rsidRPr="007B517D">
        <w:t xml:space="preserve">n </w:t>
      </w:r>
      <w:r>
        <w:t>t</w:t>
      </w:r>
      <w:r w:rsidRPr="007B517D">
        <w:t>he Rise Too</w:t>
      </w:r>
      <w:r>
        <w:t>,</w:t>
      </w:r>
      <w:r w:rsidRPr="007B517D">
        <w:t>”</w:t>
      </w:r>
      <w:r>
        <w:t xml:space="preserve"> Transport Evolved,</w:t>
      </w:r>
      <w:r w:rsidRPr="007B517D">
        <w:t xml:space="preserve"> February 3, 2015, accessed February 21, 2016, https://transportevolved.com/2015/02/03/plug-cars-hit-roads-inconsiderate-use-public-charging-provision-rise.</w:t>
      </w:r>
    </w:p>
  </w:endnote>
  <w:endnote w:id="23">
    <w:p w14:paraId="5DDAA81A" w14:textId="0786F73A" w:rsidR="006331AC" w:rsidRPr="007B517D" w:rsidRDefault="006331AC" w:rsidP="003F11C0">
      <w:pPr>
        <w:pStyle w:val="Footnote"/>
        <w:jc w:val="both"/>
      </w:pPr>
      <w:r w:rsidRPr="007B517D">
        <w:rPr>
          <w:rStyle w:val="EndnoteReference"/>
        </w:rPr>
        <w:endnoteRef/>
      </w:r>
      <w:r w:rsidRPr="007B517D">
        <w:t xml:space="preserve"> Ecotricity</w:t>
      </w:r>
      <w:r>
        <w:t>,</w:t>
      </w:r>
      <w:r w:rsidRPr="007B517D">
        <w:t xml:space="preserve"> </w:t>
      </w:r>
      <w:r w:rsidRPr="00724B66">
        <w:rPr>
          <w:i/>
        </w:rPr>
        <w:t>Nothing Happened</w:t>
      </w:r>
      <w:r>
        <w:rPr>
          <w:i/>
        </w:rPr>
        <w:t>,</w:t>
      </w:r>
      <w:r w:rsidRPr="00724B66">
        <w:rPr>
          <w:i/>
        </w:rPr>
        <w:t xml:space="preserve"> Everything Changed</w:t>
      </w:r>
      <w:r>
        <w:t xml:space="preserve">, op. cit. </w:t>
      </w:r>
    </w:p>
  </w:endnote>
  <w:endnote w:id="24">
    <w:p w14:paraId="7514A850" w14:textId="61AECA06" w:rsidR="006331AC" w:rsidRPr="007B517D" w:rsidRDefault="006331AC" w:rsidP="003F11C0">
      <w:pPr>
        <w:pStyle w:val="Footnote"/>
        <w:jc w:val="both"/>
      </w:pPr>
      <w:r w:rsidRPr="007B517D">
        <w:rPr>
          <w:rStyle w:val="EndnoteReference"/>
        </w:rPr>
        <w:endnoteRef/>
      </w:r>
      <w:r w:rsidRPr="007B517D">
        <w:t xml:space="preserve"> “General FAQs</w:t>
      </w:r>
      <w:r>
        <w:t>,</w:t>
      </w:r>
      <w:r w:rsidRPr="007B517D">
        <w:t>” Ecotricity, accessed November 17, 2016,</w:t>
      </w:r>
      <w:r>
        <w:t xml:space="preserve"> </w:t>
      </w:r>
      <w:r w:rsidRPr="007B517D">
        <w:t>www.ecotricity.co.uk/for-the-road/faqs/general-faqs.</w:t>
      </w:r>
    </w:p>
  </w:endnote>
  <w:endnote w:id="25">
    <w:p w14:paraId="30223A13" w14:textId="5C43C7CE" w:rsidR="006331AC" w:rsidRPr="007B517D" w:rsidRDefault="006331AC" w:rsidP="003F11C0">
      <w:pPr>
        <w:pStyle w:val="Footnote"/>
        <w:jc w:val="both"/>
      </w:pPr>
      <w:r w:rsidRPr="007B517D">
        <w:rPr>
          <w:rStyle w:val="EndnoteReference"/>
        </w:rPr>
        <w:endnoteRef/>
      </w:r>
      <w:r w:rsidRPr="007B517D">
        <w:t xml:space="preserve"> ElectrAA (2015), “Ecotricity Update with Joe Patel July 2015</w:t>
      </w:r>
      <w:r>
        <w:t>,</w:t>
      </w:r>
      <w:r w:rsidRPr="007B517D">
        <w:t xml:space="preserve">” </w:t>
      </w:r>
      <w:r>
        <w:t>YouTube video, 6:22, posted by ElectrAA–</w:t>
      </w:r>
      <w:r w:rsidRPr="007B517D">
        <w:t>Electric Automobile Association</w:t>
      </w:r>
      <w:r>
        <w:t xml:space="preserve">, August 17, 2015, </w:t>
      </w:r>
      <w:r w:rsidRPr="007B517D">
        <w:t xml:space="preserve">accessed February 20, 2016, </w:t>
      </w:r>
      <w:r w:rsidRPr="00CB6C49">
        <w:t>https://youtu.be/OExT0Z9Ipq0</w:t>
      </w:r>
      <w:r w:rsidRPr="007B517D">
        <w:t>.</w:t>
      </w:r>
    </w:p>
  </w:endnote>
  <w:endnote w:id="26">
    <w:p w14:paraId="1444C58B" w14:textId="13F6FE90" w:rsidR="006331AC" w:rsidRPr="007B517D" w:rsidRDefault="006331AC" w:rsidP="003F11C0">
      <w:pPr>
        <w:pStyle w:val="Footnote"/>
        <w:jc w:val="both"/>
      </w:pPr>
      <w:r w:rsidRPr="007B517D">
        <w:rPr>
          <w:rStyle w:val="EndnoteReference"/>
        </w:rPr>
        <w:endnoteRef/>
      </w:r>
      <w:r>
        <w:t xml:space="preserve"> “More Rapids P</w:t>
      </w:r>
      <w:r w:rsidRPr="007B517D">
        <w:t>lease, Vicar!</w:t>
      </w:r>
      <w:r>
        <w:t>,</w:t>
      </w:r>
      <w:r w:rsidRPr="007B517D">
        <w:t>”</w:t>
      </w:r>
      <w:r>
        <w:t xml:space="preserve"> </w:t>
      </w:r>
      <w:r w:rsidRPr="007B517D">
        <w:t>YouTube video</w:t>
      </w:r>
      <w:r>
        <w:t>, 2:27, posted</w:t>
      </w:r>
      <w:r w:rsidRPr="007B517D">
        <w:t xml:space="preserve"> by John Chivers, </w:t>
      </w:r>
      <w:r>
        <w:t xml:space="preserve">December 31, 2015, </w:t>
      </w:r>
      <w:r w:rsidRPr="007B517D">
        <w:t xml:space="preserve">accessed January 10, 2016, </w:t>
      </w:r>
      <w:r w:rsidRPr="00CB6C49">
        <w:t>https://youtu.be/r--7sqPkoJk</w:t>
      </w:r>
      <w:r w:rsidRPr="007B517D">
        <w:t xml:space="preserve">. </w:t>
      </w:r>
    </w:p>
  </w:endnote>
  <w:endnote w:id="27">
    <w:p w14:paraId="2EDEFC44" w14:textId="6BE85E4A" w:rsidR="006331AC" w:rsidRPr="007B517D" w:rsidRDefault="006331AC" w:rsidP="003F11C0">
      <w:pPr>
        <w:pStyle w:val="Footnote"/>
        <w:jc w:val="both"/>
      </w:pPr>
      <w:r w:rsidRPr="007B517D">
        <w:rPr>
          <w:rStyle w:val="EndnoteReference"/>
        </w:rPr>
        <w:endnoteRef/>
      </w:r>
      <w:r w:rsidRPr="007B517D">
        <w:t xml:space="preserve"> “Charging at </w:t>
      </w:r>
      <w:r>
        <w:t>H</w:t>
      </w:r>
      <w:r w:rsidRPr="007B517D">
        <w:t>ome</w:t>
      </w:r>
      <w:r>
        <w:t>,</w:t>
      </w:r>
      <w:r w:rsidRPr="007B517D">
        <w:t>” Zap-Map, accessed February 17, 2016, www.zap-map.com/charge-points/charging-home.</w:t>
      </w:r>
    </w:p>
  </w:endnote>
  <w:endnote w:id="28">
    <w:p w14:paraId="0929275B" w14:textId="4E142CCA" w:rsidR="006331AC" w:rsidRPr="007B517D" w:rsidRDefault="006331AC" w:rsidP="003F11C0">
      <w:pPr>
        <w:pStyle w:val="Footnote"/>
        <w:jc w:val="both"/>
      </w:pPr>
      <w:r w:rsidRPr="007B517D">
        <w:rPr>
          <w:rStyle w:val="EndnoteReference"/>
        </w:rPr>
        <w:endnoteRef/>
      </w:r>
      <w:r w:rsidRPr="007B517D">
        <w:t xml:space="preserve"> Jill Fisher, Rupert Gammon, </w:t>
      </w:r>
      <w:r>
        <w:t xml:space="preserve">and </w:t>
      </w:r>
      <w:r w:rsidRPr="007B517D">
        <w:t xml:space="preserve">Katherine N. Irvine, </w:t>
      </w:r>
      <w:r w:rsidRPr="003F11C0">
        <w:rPr>
          <w:i/>
        </w:rPr>
        <w:t>My Electric Avenue (I</w:t>
      </w:r>
      <w:r w:rsidRPr="003F11C0">
        <w:rPr>
          <w:i/>
          <w:vertAlign w:val="superscript"/>
        </w:rPr>
        <w:t>2</w:t>
      </w:r>
      <w:r w:rsidRPr="003F11C0">
        <w:rPr>
          <w:i/>
        </w:rPr>
        <w:t>EV): SDRC 9.6: An Assessment of the Public Acceptance of Demand Side Response of EV Charging Using Esprit</w:t>
      </w:r>
      <w:r>
        <w:t xml:space="preserve"> (Chester, UK: EA Technology, 2015)</w:t>
      </w:r>
      <w:r w:rsidRPr="007B517D">
        <w:t>, accessed February 20, 2016, http://myelectricavenue.info/sites/default/files/MEA%20SDRC%209%206%20Issue%202.pdf.</w:t>
      </w:r>
    </w:p>
  </w:endnote>
  <w:endnote w:id="29">
    <w:p w14:paraId="301EF89B" w14:textId="08B68CF6" w:rsidR="006331AC" w:rsidRPr="007B517D" w:rsidRDefault="006331AC" w:rsidP="003F11C0">
      <w:pPr>
        <w:pStyle w:val="Footnote"/>
        <w:jc w:val="both"/>
      </w:pPr>
      <w:r w:rsidRPr="007B517D">
        <w:rPr>
          <w:rStyle w:val="EndnoteReference"/>
        </w:rPr>
        <w:endnoteRef/>
      </w:r>
      <w:r w:rsidRPr="007B517D">
        <w:t xml:space="preserve"> “How Many Charging Points Are There in the UK</w:t>
      </w:r>
      <w:r>
        <w:t>,</w:t>
      </w:r>
      <w:r w:rsidRPr="007B517D">
        <w:t xml:space="preserve"> 2016</w:t>
      </w:r>
      <w:r>
        <w:t>,</w:t>
      </w:r>
      <w:r w:rsidRPr="007B517D">
        <w:t>” Zap-Map, accessed February 17, 2016, www.zap-map.com/statistics.</w:t>
      </w:r>
    </w:p>
  </w:endnote>
  <w:endnote w:id="30">
    <w:p w14:paraId="6713D81B" w14:textId="6D54782B" w:rsidR="006331AC" w:rsidRPr="007B517D" w:rsidRDefault="006331AC" w:rsidP="003F11C0">
      <w:pPr>
        <w:pStyle w:val="Footnote"/>
        <w:jc w:val="both"/>
      </w:pPr>
      <w:r w:rsidRPr="007B517D">
        <w:rPr>
          <w:rStyle w:val="EndnoteReference"/>
        </w:rPr>
        <w:endnoteRef/>
      </w:r>
      <w:r w:rsidRPr="007B517D">
        <w:t xml:space="preserve"> “Electric Buying Guide</w:t>
      </w:r>
      <w:r>
        <w:t>,</w:t>
      </w:r>
      <w:r w:rsidRPr="007B517D">
        <w:t>” Zap-Map, accessed February 14, 2016, www.zap-map.com/electric-vehicles/ev-buying-guide.</w:t>
      </w:r>
    </w:p>
  </w:endnote>
  <w:endnote w:id="31">
    <w:p w14:paraId="20263BA3" w14:textId="30C8BAB1" w:rsidR="006331AC" w:rsidRDefault="006331AC" w:rsidP="003F11C0">
      <w:pPr>
        <w:pStyle w:val="Footnote"/>
        <w:jc w:val="both"/>
      </w:pPr>
      <w:r>
        <w:rPr>
          <w:rStyle w:val="EndnoteReference"/>
        </w:rPr>
        <w:endnoteRef/>
      </w:r>
      <w:r>
        <w:t xml:space="preserve"> </w:t>
      </w:r>
      <w:r w:rsidRPr="007B517D">
        <w:t>“</w:t>
      </w:r>
      <w:r>
        <w:t>Electric Vehicle Homecharge Scheme: Guidance for Customers,</w:t>
      </w:r>
      <w:r w:rsidRPr="007B517D">
        <w:t>”</w:t>
      </w:r>
      <w:r>
        <w:t xml:space="preserve"> Government of the United Kingdom, accessed January 10, 2018, </w:t>
      </w:r>
      <w:r w:rsidRPr="00FB4A70">
        <w:t>www.gov.uk/government/publications/electric-vehicle-homecharge-scheme-guidance-for-customers-version-21</w:t>
      </w:r>
      <w:r>
        <w:t>.</w:t>
      </w:r>
    </w:p>
  </w:endnote>
  <w:endnote w:id="32">
    <w:p w14:paraId="06251CBF" w14:textId="6256B6C4" w:rsidR="006331AC" w:rsidRPr="007B517D" w:rsidRDefault="006331AC" w:rsidP="003F11C0">
      <w:pPr>
        <w:pStyle w:val="Footnote"/>
        <w:jc w:val="both"/>
      </w:pPr>
      <w:r w:rsidRPr="007B517D">
        <w:rPr>
          <w:rStyle w:val="EndnoteReference"/>
        </w:rPr>
        <w:endnoteRef/>
      </w:r>
      <w:r w:rsidRPr="007B517D">
        <w:t xml:space="preserve"> “Charging at </w:t>
      </w:r>
      <w:r>
        <w:t>H</w:t>
      </w:r>
      <w:r w:rsidRPr="007B517D">
        <w:t>ome</w:t>
      </w:r>
      <w:r>
        <w:t>,</w:t>
      </w:r>
      <w:r w:rsidRPr="007B517D">
        <w:t>” Zap-Map, accessed February 17, 2016, www.zap-map.com/charge-points/charging-home.</w:t>
      </w:r>
    </w:p>
  </w:endnote>
  <w:endnote w:id="33">
    <w:p w14:paraId="6C49F063" w14:textId="10E69174" w:rsidR="006331AC" w:rsidRPr="007B517D" w:rsidRDefault="006331AC" w:rsidP="003F11C0">
      <w:pPr>
        <w:pStyle w:val="Footnote"/>
        <w:jc w:val="both"/>
      </w:pPr>
      <w:r w:rsidRPr="007B517D">
        <w:rPr>
          <w:rStyle w:val="EndnoteReference"/>
        </w:rPr>
        <w:endnoteRef/>
      </w:r>
      <w:r w:rsidRPr="007B517D">
        <w:t xml:space="preserve"> “How Many Charging Points Are There in the UK</w:t>
      </w:r>
      <w:r>
        <w:t>,</w:t>
      </w:r>
      <w:r w:rsidRPr="007B517D">
        <w:t xml:space="preserve"> 2016</w:t>
      </w:r>
      <w:r>
        <w:t>,</w:t>
      </w:r>
      <w:r w:rsidRPr="007B517D">
        <w:t>” Zap-Map, accessed February 17, 2016, www.zap-map.com/statistics.</w:t>
      </w:r>
    </w:p>
  </w:endnote>
  <w:endnote w:id="34">
    <w:p w14:paraId="6B97F4A2" w14:textId="599F88AA" w:rsidR="006331AC" w:rsidRPr="007B517D" w:rsidRDefault="006331AC" w:rsidP="003F11C0">
      <w:pPr>
        <w:pStyle w:val="Footnote"/>
        <w:jc w:val="both"/>
      </w:pPr>
      <w:r w:rsidRPr="007B517D">
        <w:rPr>
          <w:rStyle w:val="EndnoteReference"/>
        </w:rPr>
        <w:endnoteRef/>
      </w:r>
      <w:r w:rsidRPr="007B517D">
        <w:t xml:space="preserve"> “</w:t>
      </w:r>
      <w:r>
        <w:t>Charging Points: EV</w:t>
      </w:r>
      <w:r w:rsidRPr="007B517D">
        <w:t xml:space="preserve"> </w:t>
      </w:r>
      <w:r>
        <w:t>C</w:t>
      </w:r>
      <w:r w:rsidRPr="007B517D">
        <w:t xml:space="preserve">harging </w:t>
      </w:r>
      <w:r>
        <w:t>E</w:t>
      </w:r>
      <w:r w:rsidRPr="007B517D">
        <w:t>xplained</w:t>
      </w:r>
      <w:r>
        <w:t>,</w:t>
      </w:r>
      <w:r w:rsidRPr="007B517D">
        <w:t>” Zap-Map, accessed February 14, 2016, www.zap-map.com/charge-points.</w:t>
      </w:r>
    </w:p>
  </w:endnote>
  <w:endnote w:id="35">
    <w:p w14:paraId="62BB1353" w14:textId="6209DF10" w:rsidR="006331AC" w:rsidRPr="007B517D" w:rsidRDefault="006331AC" w:rsidP="003F11C0">
      <w:pPr>
        <w:pStyle w:val="Footnote"/>
        <w:jc w:val="both"/>
      </w:pPr>
      <w:r w:rsidRPr="007B517D">
        <w:rPr>
          <w:rStyle w:val="EndnoteReference"/>
        </w:rPr>
        <w:endnoteRef/>
      </w:r>
      <w:r w:rsidRPr="007B517D">
        <w:t xml:space="preserve"> “Electric Car Market Statistics</w:t>
      </w:r>
      <w:r>
        <w:t>,</w:t>
      </w:r>
      <w:r w:rsidRPr="007B517D">
        <w:t>” Next Green Car, accessed January 15, 2016, www.nextgreencar.com/electric-cars/statistics.</w:t>
      </w:r>
    </w:p>
  </w:endnote>
  <w:endnote w:id="36">
    <w:p w14:paraId="3E08BB70" w14:textId="521BA030" w:rsidR="006331AC" w:rsidRDefault="006331AC" w:rsidP="003F11C0">
      <w:pPr>
        <w:pStyle w:val="Footnote"/>
        <w:jc w:val="both"/>
      </w:pPr>
      <w:r>
        <w:rPr>
          <w:rStyle w:val="EndnoteReference"/>
        </w:rPr>
        <w:endnoteRef/>
      </w:r>
      <w:r>
        <w:t xml:space="preserve"> </w:t>
      </w:r>
      <w:r w:rsidRPr="00AE7077">
        <w:rPr>
          <w:i/>
        </w:rPr>
        <w:t xml:space="preserve">Road </w:t>
      </w:r>
      <w:r>
        <w:rPr>
          <w:i/>
        </w:rPr>
        <w:t>T</w:t>
      </w:r>
      <w:r w:rsidRPr="00AE7077">
        <w:rPr>
          <w:i/>
        </w:rPr>
        <w:t>raffic Forecasts 2015</w:t>
      </w:r>
      <w:r>
        <w:t>,</w:t>
      </w:r>
      <w:r w:rsidRPr="00BD4958">
        <w:t xml:space="preserve"> </w:t>
      </w:r>
      <w:r>
        <w:t xml:space="preserve">(London, UK: </w:t>
      </w:r>
      <w:r w:rsidRPr="00BD4958">
        <w:t>Departmen</w:t>
      </w:r>
      <w:r>
        <w:t xml:space="preserve">t for Transport, 2015), accessed </w:t>
      </w:r>
      <w:r w:rsidRPr="00BD4958">
        <w:t>February</w:t>
      </w:r>
      <w:r>
        <w:t xml:space="preserve"> 22</w:t>
      </w:r>
      <w:r w:rsidRPr="00BD4958">
        <w:t>, 2016, https://www.gov.uk/government/uploads/system/uploads/attachment_data/file/411471/road-traffic-forecasts-2015.pdf</w:t>
      </w:r>
      <w:r>
        <w:t>.</w:t>
      </w:r>
    </w:p>
  </w:endnote>
  <w:endnote w:id="37">
    <w:p w14:paraId="582D6555" w14:textId="77777777" w:rsidR="006331AC" w:rsidRPr="000528A5" w:rsidRDefault="006331AC" w:rsidP="000528A5">
      <w:pPr>
        <w:pStyle w:val="Footnote"/>
        <w:rPr>
          <w:lang w:val="en-US"/>
        </w:rPr>
      </w:pPr>
      <w:r>
        <w:rPr>
          <w:rStyle w:val="EndnoteReference"/>
        </w:rPr>
        <w:endnoteRef/>
      </w:r>
      <w:r>
        <w:t xml:space="preserve"> </w:t>
      </w:r>
      <w:r>
        <w:rPr>
          <w:lang w:val="en-CA"/>
        </w:rPr>
        <w:t>“</w:t>
      </w:r>
      <w:r w:rsidRPr="00CC2D77">
        <w:rPr>
          <w:lang w:val="en-CA"/>
        </w:rPr>
        <w:t>Our Electric Highway</w:t>
      </w:r>
      <w:r>
        <w:rPr>
          <w:lang w:val="en-CA"/>
        </w:rPr>
        <w:t>,”</w:t>
      </w:r>
      <w:r w:rsidRPr="00CC2D77">
        <w:rPr>
          <w:lang w:val="en-CA"/>
        </w:rPr>
        <w:t xml:space="preserve"> </w:t>
      </w:r>
      <w:r w:rsidRPr="003F11C0">
        <w:rPr>
          <w:lang w:val="en-CA"/>
        </w:rPr>
        <w:t>Ecotricity</w:t>
      </w:r>
      <w:r w:rsidRPr="00CC2D77">
        <w:rPr>
          <w:lang w:val="en-CA"/>
        </w:rPr>
        <w:t>, accessed February</w:t>
      </w:r>
      <w:r>
        <w:rPr>
          <w:lang w:val="en-CA"/>
        </w:rPr>
        <w:t xml:space="preserve"> 15</w:t>
      </w:r>
      <w:r w:rsidRPr="00CC2D77">
        <w:rPr>
          <w:lang w:val="en-CA"/>
        </w:rPr>
        <w:t>, 2016, www.ecotricity.co.uk/for-the-road/our-electric-highway</w:t>
      </w:r>
      <w:r>
        <w:rPr>
          <w:lang w:val="en-CA"/>
        </w:rPr>
        <w:t>.</w:t>
      </w:r>
    </w:p>
  </w:endnote>
  <w:endnote w:id="38">
    <w:p w14:paraId="4005EE81" w14:textId="0ED3A295" w:rsidR="006331AC" w:rsidRPr="000528A5" w:rsidRDefault="006331AC" w:rsidP="0038280A">
      <w:pPr>
        <w:pStyle w:val="Footnote"/>
        <w:jc w:val="both"/>
        <w:rPr>
          <w:lang w:val="en-US"/>
        </w:rPr>
      </w:pPr>
      <w:r>
        <w:rPr>
          <w:rStyle w:val="EndnoteReference"/>
        </w:rPr>
        <w:endnoteRef/>
      </w:r>
      <w:r>
        <w:t xml:space="preserve"> </w:t>
      </w:r>
      <w:r w:rsidRPr="003775C6">
        <w:rPr>
          <w:lang w:val="en-CA"/>
        </w:rPr>
        <w:t>“Electric Car Market Statistics</w:t>
      </w:r>
      <w:r>
        <w:rPr>
          <w:lang w:val="en-CA"/>
        </w:rPr>
        <w:t>,</w:t>
      </w:r>
      <w:r w:rsidRPr="003775C6">
        <w:rPr>
          <w:lang w:val="en-CA"/>
        </w:rPr>
        <w:t>” Next</w:t>
      </w:r>
      <w:r>
        <w:rPr>
          <w:lang w:val="en-CA"/>
        </w:rPr>
        <w:t xml:space="preserve"> </w:t>
      </w:r>
      <w:r w:rsidRPr="003775C6">
        <w:rPr>
          <w:lang w:val="en-CA"/>
        </w:rPr>
        <w:t>Green</w:t>
      </w:r>
      <w:r>
        <w:rPr>
          <w:lang w:val="en-CA"/>
        </w:rPr>
        <w:t xml:space="preserve"> </w:t>
      </w:r>
      <w:r w:rsidRPr="003775C6">
        <w:rPr>
          <w:lang w:val="en-CA"/>
        </w:rPr>
        <w:t>Car, accessed January 15, 2016, www.nextgreencar.com/electric-cars/statistics</w:t>
      </w:r>
      <w:r>
        <w:rPr>
          <w:lang w:val="en-CA"/>
        </w:rPr>
        <w:t>.</w:t>
      </w:r>
    </w:p>
  </w:endnote>
  <w:endnote w:id="39">
    <w:p w14:paraId="05C6E297" w14:textId="2FBF4BA5" w:rsidR="006331AC" w:rsidRPr="007B517D" w:rsidRDefault="006331AC" w:rsidP="003F11C0">
      <w:pPr>
        <w:pStyle w:val="Footnote"/>
        <w:jc w:val="both"/>
      </w:pPr>
      <w:r w:rsidRPr="007B517D">
        <w:rPr>
          <w:rStyle w:val="EndnoteReference"/>
        </w:rPr>
        <w:endnoteRef/>
      </w:r>
      <w:r w:rsidRPr="007B517D">
        <w:t xml:space="preserve"> </w:t>
      </w:r>
      <w:r>
        <w:t xml:space="preserve">Dale Vince, interview by Polly Toynbee, </w:t>
      </w:r>
      <w:r w:rsidRPr="007B517D">
        <w:t>“Ecotricity's 2030 Vision for a Green Britain</w:t>
      </w:r>
      <w:r>
        <w:t xml:space="preserve">,” YouTube video, 6:54, posted by Ecotricity, May 6, 2015, </w:t>
      </w:r>
      <w:r w:rsidRPr="007B517D">
        <w:t xml:space="preserve">accessed January 10, 2016, </w:t>
      </w:r>
      <w:r w:rsidRPr="004664F1">
        <w:t>https://youtu.be/tcOBg8kV6Zc</w:t>
      </w:r>
      <w:r w:rsidRPr="007B517D">
        <w:t>.</w:t>
      </w:r>
    </w:p>
  </w:endnote>
  <w:endnote w:id="40">
    <w:p w14:paraId="6EBEC7A8" w14:textId="2AD0AA63" w:rsidR="006331AC" w:rsidRPr="007B517D" w:rsidRDefault="006331AC" w:rsidP="003F11C0">
      <w:pPr>
        <w:pStyle w:val="Footnote"/>
        <w:jc w:val="both"/>
      </w:pPr>
      <w:r w:rsidRPr="007B517D">
        <w:rPr>
          <w:rStyle w:val="EndnoteReference"/>
        </w:rPr>
        <w:endnoteRef/>
      </w:r>
      <w:r w:rsidRPr="007B517D">
        <w:t xml:space="preserve"> “EV Charging</w:t>
      </w:r>
      <w:r>
        <w:t>: L</w:t>
      </w:r>
      <w:r w:rsidRPr="007B517D">
        <w:t>ocate Charging Points Across the UK</w:t>
      </w:r>
      <w:r>
        <w:t>,</w:t>
      </w:r>
      <w:r w:rsidRPr="007B517D">
        <w:t>” Next Green Car, March 10, 2015, accessed January 24, 2016, www.nextgreencar.com/electric-cars/charging-points.</w:t>
      </w:r>
    </w:p>
  </w:endnote>
  <w:endnote w:id="41">
    <w:p w14:paraId="27FE71F1" w14:textId="0E33240D" w:rsidR="006331AC" w:rsidRPr="007B517D" w:rsidRDefault="006331AC" w:rsidP="003F11C0">
      <w:pPr>
        <w:pStyle w:val="Footnote"/>
        <w:jc w:val="both"/>
      </w:pPr>
      <w:r w:rsidRPr="007B517D">
        <w:rPr>
          <w:rStyle w:val="EndnoteReference"/>
        </w:rPr>
        <w:endnoteRef/>
      </w:r>
      <w:r w:rsidRPr="007B517D">
        <w:rPr>
          <w:bdr w:val="none" w:sz="0" w:space="0" w:color="auto" w:frame="1"/>
        </w:rPr>
        <w:t xml:space="preserve"> </w:t>
      </w:r>
      <w:r w:rsidRPr="007B517D">
        <w:t xml:space="preserve">Michael Graham Richard, </w:t>
      </w:r>
      <w:r w:rsidRPr="007B517D">
        <w:rPr>
          <w:bCs/>
        </w:rPr>
        <w:t>“</w:t>
      </w:r>
      <w:r w:rsidRPr="007B517D">
        <w:t>Tesla Built 858 New Public Charging Stations in the U.S. Over the Past 12 Months</w:t>
      </w:r>
      <w:r>
        <w:t>,</w:t>
      </w:r>
      <w:r w:rsidRPr="007B517D">
        <w:rPr>
          <w:b/>
          <w:bCs/>
        </w:rPr>
        <w:t>”</w:t>
      </w:r>
      <w:r>
        <w:t xml:space="preserve"> </w:t>
      </w:r>
      <w:r w:rsidRPr="003F11C0">
        <w:t>Tree Hugger</w:t>
      </w:r>
      <w:r w:rsidRPr="007B517D">
        <w:t>, November 30, 2015, accessed January 20, 2016, www.treehugger.com/cars/tesla-built-858-new-charging-stations-us-over-past-12-months.html.</w:t>
      </w:r>
    </w:p>
  </w:endnote>
  <w:endnote w:id="42">
    <w:p w14:paraId="7668482D" w14:textId="0A0A5D19" w:rsidR="006331AC" w:rsidRPr="007B517D" w:rsidRDefault="006331AC" w:rsidP="007B4982">
      <w:pPr>
        <w:pStyle w:val="Footnote"/>
        <w:jc w:val="both"/>
      </w:pPr>
      <w:r w:rsidRPr="007B517D">
        <w:rPr>
          <w:rStyle w:val="EndnoteReference"/>
        </w:rPr>
        <w:endnoteRef/>
      </w:r>
      <w:r w:rsidRPr="007B517D">
        <w:rPr>
          <w:shd w:val="clear" w:color="auto" w:fill="FFFFFF"/>
        </w:rPr>
        <w:t xml:space="preserve"> Danny King</w:t>
      </w:r>
      <w:r w:rsidRPr="007B517D">
        <w:t>, “</w:t>
      </w:r>
      <w:r w:rsidRPr="007B517D">
        <w:rPr>
          <w:spacing w:val="-2"/>
        </w:rPr>
        <w:t>Tesla, Ecotricity Settle Supercharger Differences</w:t>
      </w:r>
      <w:r>
        <w:rPr>
          <w:spacing w:val="-2"/>
        </w:rPr>
        <w:t>,</w:t>
      </w:r>
      <w:r w:rsidRPr="007B517D">
        <w:t xml:space="preserve">” </w:t>
      </w:r>
      <w:r w:rsidRPr="003F11C0">
        <w:t xml:space="preserve">Auto </w:t>
      </w:r>
      <w:r>
        <w:t>B</w:t>
      </w:r>
      <w:r w:rsidRPr="003F11C0">
        <w:t>log</w:t>
      </w:r>
      <w:r w:rsidRPr="007B517D">
        <w:t xml:space="preserve">, </w:t>
      </w:r>
      <w:r w:rsidRPr="007B517D">
        <w:rPr>
          <w:rStyle w:val="pubdate"/>
        </w:rPr>
        <w:t xml:space="preserve">June 21, 2015, </w:t>
      </w:r>
      <w:r w:rsidRPr="007B517D">
        <w:t>accessed January 24, 2016,</w:t>
      </w:r>
      <w:r w:rsidR="007B4982">
        <w:t xml:space="preserve"> </w:t>
      </w:r>
      <w:r w:rsidRPr="007B517D">
        <w:t>www.autoblog.com/2015/06/21/tesla-ecotricity-settle-supercharger-diferences.</w:t>
      </w:r>
    </w:p>
  </w:endnote>
  <w:endnote w:id="43">
    <w:p w14:paraId="6DAAD6D4" w14:textId="40E4AFB7" w:rsidR="006331AC" w:rsidRPr="007B517D" w:rsidRDefault="006331AC" w:rsidP="003F11C0">
      <w:pPr>
        <w:pStyle w:val="Footnote"/>
        <w:jc w:val="both"/>
      </w:pPr>
      <w:r w:rsidRPr="007B517D">
        <w:rPr>
          <w:rStyle w:val="EndnoteReference"/>
        </w:rPr>
        <w:endnoteRef/>
      </w:r>
      <w:r w:rsidRPr="007B517D">
        <w:rPr>
          <w:shd w:val="clear" w:color="auto" w:fill="FFFFFF"/>
        </w:rPr>
        <w:t xml:space="preserve"> </w:t>
      </w:r>
      <w:r>
        <w:rPr>
          <w:shd w:val="clear" w:color="auto" w:fill="FFFFFF"/>
        </w:rPr>
        <w:t xml:space="preserve">Ibid. </w:t>
      </w:r>
    </w:p>
  </w:endnote>
  <w:endnote w:id="44">
    <w:p w14:paraId="7E1837C7" w14:textId="7ADAA860" w:rsidR="006331AC" w:rsidRPr="007B517D" w:rsidRDefault="006331AC" w:rsidP="003F11C0">
      <w:pPr>
        <w:pStyle w:val="Footnote"/>
        <w:jc w:val="both"/>
        <w:rPr>
          <w:color w:val="000000" w:themeColor="text1"/>
        </w:rPr>
      </w:pPr>
      <w:r w:rsidRPr="007B517D">
        <w:rPr>
          <w:rStyle w:val="EndnoteReference"/>
          <w:color w:val="000000" w:themeColor="text1"/>
        </w:rPr>
        <w:endnoteRef/>
      </w:r>
      <w:r w:rsidRPr="007B517D">
        <w:rPr>
          <w:iCs/>
          <w:color w:val="000000" w:themeColor="text1"/>
          <w:shd w:val="clear" w:color="auto" w:fill="FFFFFF"/>
        </w:rPr>
        <w:t xml:space="preserve"> Alex Grant, </w:t>
      </w:r>
      <w:r w:rsidRPr="007B517D">
        <w:rPr>
          <w:color w:val="000000" w:themeColor="text1"/>
        </w:rPr>
        <w:t>“Plugged-in Midlands Points Join Chargemaster Network</w:t>
      </w:r>
      <w:r>
        <w:rPr>
          <w:color w:val="000000" w:themeColor="text1"/>
        </w:rPr>
        <w:t>,</w:t>
      </w:r>
      <w:r w:rsidRPr="007B517D">
        <w:rPr>
          <w:color w:val="000000" w:themeColor="text1"/>
        </w:rPr>
        <w:t xml:space="preserve">” </w:t>
      </w:r>
      <w:r w:rsidRPr="003F11C0">
        <w:rPr>
          <w:iCs/>
          <w:color w:val="000000" w:themeColor="text1"/>
          <w:shd w:val="clear" w:color="auto" w:fill="FFFFFF"/>
        </w:rPr>
        <w:t>Fleet World Group</w:t>
      </w:r>
      <w:r w:rsidRPr="007B517D">
        <w:rPr>
          <w:iCs/>
          <w:color w:val="000000" w:themeColor="text1"/>
          <w:shd w:val="clear" w:color="auto" w:fill="FFFFFF"/>
        </w:rPr>
        <w:t xml:space="preserve">, July 29, 2015, </w:t>
      </w:r>
      <w:r w:rsidRPr="007B517D">
        <w:rPr>
          <w:color w:val="000000" w:themeColor="text1"/>
        </w:rPr>
        <w:t xml:space="preserve">accessed January 24, 2016, </w:t>
      </w:r>
      <w:r w:rsidRPr="007B517D">
        <w:t>http://evfleetworld.co.uk/news/2015/Jul/Plugged-in-Midlands-points-join-Chargemaster-network/0438020931</w:t>
      </w:r>
      <w:r>
        <w:t xml:space="preserve">; Cenex, “Cenex Chooses Chargemaster to Take Over Plugged-in Midlands Electric Vehicle Charging Network,” press release, July 29, 2015, accessed January 8, 2017, </w:t>
      </w:r>
      <w:r w:rsidRPr="001342C5">
        <w:t>www.cenex.co.uk/press-releases/cenex-chooses-chargemaster-take-plugged-midlands-electric-vehicle-charging-network</w:t>
      </w:r>
      <w:r>
        <w:t>.</w:t>
      </w:r>
    </w:p>
  </w:endnote>
  <w:endnote w:id="45">
    <w:p w14:paraId="27FD07CF" w14:textId="409E787C" w:rsidR="006331AC" w:rsidRPr="007B517D" w:rsidRDefault="006331AC" w:rsidP="003F11C0">
      <w:pPr>
        <w:pStyle w:val="Footnote"/>
        <w:jc w:val="both"/>
        <w:rPr>
          <w:color w:val="000000" w:themeColor="text1"/>
        </w:rPr>
      </w:pPr>
      <w:r w:rsidRPr="007B517D">
        <w:rPr>
          <w:rStyle w:val="EndnoteReference"/>
          <w:color w:val="000000" w:themeColor="text1"/>
        </w:rPr>
        <w:endnoteRef/>
      </w:r>
      <w:r w:rsidRPr="007B517D">
        <w:rPr>
          <w:color w:val="000000" w:themeColor="text1"/>
        </w:rPr>
        <w:t xml:space="preserve"> </w:t>
      </w:r>
      <w:r>
        <w:rPr>
          <w:iCs/>
          <w:color w:val="000000" w:themeColor="text1"/>
          <w:shd w:val="clear" w:color="auto" w:fill="FFFFFF"/>
        </w:rPr>
        <w:t>Ibid</w:t>
      </w:r>
      <w:r w:rsidRPr="007B517D">
        <w:t>.</w:t>
      </w:r>
    </w:p>
  </w:endnote>
  <w:endnote w:id="46">
    <w:p w14:paraId="586A9639" w14:textId="1B532A19" w:rsidR="006331AC" w:rsidRDefault="006331AC" w:rsidP="003F11C0">
      <w:pPr>
        <w:pStyle w:val="Footnote"/>
        <w:jc w:val="both"/>
      </w:pPr>
      <w:r>
        <w:rPr>
          <w:rStyle w:val="EndnoteReference"/>
        </w:rPr>
        <w:endnoteRef/>
      </w:r>
      <w:r>
        <w:rPr>
          <w:lang w:val="en-CA"/>
        </w:rPr>
        <w:t xml:space="preserve"> “</w:t>
      </w:r>
      <w:r w:rsidRPr="00CC2D77">
        <w:rPr>
          <w:lang w:val="en-CA"/>
        </w:rPr>
        <w:t xml:space="preserve">Traffic </w:t>
      </w:r>
      <w:r>
        <w:rPr>
          <w:lang w:val="en-CA"/>
        </w:rPr>
        <w:t>C</w:t>
      </w:r>
      <w:r w:rsidRPr="00CC2D77">
        <w:rPr>
          <w:lang w:val="en-CA"/>
        </w:rPr>
        <w:t>ounts</w:t>
      </w:r>
      <w:r>
        <w:rPr>
          <w:lang w:val="en-CA"/>
        </w:rPr>
        <w:t>: Individual Count Point Data and Downloads,” Department for Transport, United Kingdom</w:t>
      </w:r>
      <w:r w:rsidRPr="00CC2D77">
        <w:rPr>
          <w:lang w:val="en-CA"/>
        </w:rPr>
        <w:t>, accessed February</w:t>
      </w:r>
      <w:r>
        <w:rPr>
          <w:lang w:val="en-CA"/>
        </w:rPr>
        <w:t xml:space="preserve"> 15</w:t>
      </w:r>
      <w:r w:rsidRPr="00CC2D77">
        <w:rPr>
          <w:lang w:val="en-CA"/>
        </w:rPr>
        <w:t>, 2016, www.dft.gov.uk/traffic-counts/cp.php</w:t>
      </w:r>
    </w:p>
  </w:endnote>
  <w:endnote w:id="47">
    <w:p w14:paraId="0CA4C969" w14:textId="01232810" w:rsidR="006331AC" w:rsidRPr="00F370A8" w:rsidRDefault="006331AC" w:rsidP="003F11C0">
      <w:pPr>
        <w:pStyle w:val="Footnote"/>
        <w:jc w:val="both"/>
        <w:rPr>
          <w:spacing w:val="-4"/>
        </w:rPr>
      </w:pPr>
      <w:r w:rsidRPr="007B517D">
        <w:rPr>
          <w:rStyle w:val="EndnoteReference"/>
          <w:color w:val="000000" w:themeColor="text1"/>
        </w:rPr>
        <w:endnoteRef/>
      </w:r>
      <w:r w:rsidRPr="007B517D">
        <w:rPr>
          <w:color w:val="000000" w:themeColor="text1"/>
        </w:rPr>
        <w:t xml:space="preserve"> </w:t>
      </w:r>
      <w:r w:rsidRPr="00F370A8">
        <w:rPr>
          <w:color w:val="000000" w:themeColor="text1"/>
          <w:spacing w:val="-4"/>
        </w:rPr>
        <w:t xml:space="preserve">“Motorway Signs to Feature Energy Company Logo for First Time,” Blue and Green Tomorrow, January 30, 2016, accessed February 21, 2016, </w:t>
      </w:r>
      <w:r w:rsidRPr="00F370A8">
        <w:rPr>
          <w:spacing w:val="-4"/>
        </w:rPr>
        <w:t>http://blueandgreentomorrow.com/2016/01/30/motorway-signs-to-feature-energy-company-logo-for-first-time.</w:t>
      </w:r>
    </w:p>
  </w:endnote>
  <w:endnote w:id="48">
    <w:p w14:paraId="2F827485" w14:textId="70357AD9" w:rsidR="006331AC" w:rsidRDefault="006331AC" w:rsidP="00135B65">
      <w:pPr>
        <w:pStyle w:val="Footnote"/>
      </w:pPr>
      <w:r>
        <w:rPr>
          <w:rStyle w:val="EndnoteReference"/>
        </w:rPr>
        <w:endnoteRef/>
      </w:r>
      <w:r>
        <w:t xml:space="preserve"> </w:t>
      </w:r>
      <w:r w:rsidRPr="007B517D">
        <w:t>Ecotricity</w:t>
      </w:r>
      <w:r>
        <w:t>,</w:t>
      </w:r>
      <w:r w:rsidRPr="007B517D">
        <w:t xml:space="preserve"> </w:t>
      </w:r>
      <w:r w:rsidRPr="00135B65">
        <w:rPr>
          <w:i/>
        </w:rPr>
        <w:t>Nothing Happened, Everything Changed</w:t>
      </w:r>
      <w:r>
        <w:t>, op. cit.</w:t>
      </w:r>
    </w:p>
  </w:endnote>
  <w:endnote w:id="49">
    <w:p w14:paraId="193E62AF" w14:textId="0D57BA20" w:rsidR="006331AC" w:rsidRPr="007B517D" w:rsidRDefault="006331AC" w:rsidP="003F11C0">
      <w:pPr>
        <w:pStyle w:val="Footnote"/>
        <w:jc w:val="both"/>
        <w:rPr>
          <w:color w:val="000000" w:themeColor="text1"/>
        </w:rPr>
      </w:pPr>
      <w:r w:rsidRPr="007B517D">
        <w:rPr>
          <w:rStyle w:val="EndnoteReference"/>
          <w:color w:val="000000" w:themeColor="text1"/>
        </w:rPr>
        <w:endnoteRef/>
      </w:r>
      <w:r w:rsidRPr="007B517D">
        <w:rPr>
          <w:color w:val="000000" w:themeColor="text1"/>
        </w:rPr>
        <w:t xml:space="preserve"> </w:t>
      </w:r>
      <w:r w:rsidRPr="007B517D">
        <w:rPr>
          <w:rStyle w:val="meta-auth-name"/>
          <w:color w:val="000000" w:themeColor="text1"/>
          <w:bdr w:val="none" w:sz="0" w:space="0" w:color="auto" w:frame="1"/>
          <w:shd w:val="clear" w:color="auto" w:fill="FFFFFF"/>
        </w:rPr>
        <w:t>“</w:t>
      </w:r>
      <w:r w:rsidRPr="007B517D">
        <w:rPr>
          <w:bCs/>
          <w:color w:val="000000" w:themeColor="text1"/>
        </w:rPr>
        <w:t>Nissan and Ecotricity Petition for Charging Point Road Signs</w:t>
      </w:r>
      <w:r>
        <w:rPr>
          <w:bCs/>
          <w:color w:val="000000" w:themeColor="text1"/>
        </w:rPr>
        <w:t>,</w:t>
      </w:r>
      <w:r w:rsidRPr="007B517D">
        <w:rPr>
          <w:bCs/>
          <w:caps/>
          <w:color w:val="000000" w:themeColor="text1"/>
        </w:rPr>
        <w:t xml:space="preserve">” </w:t>
      </w:r>
      <w:r w:rsidRPr="007B517D">
        <w:t>Zap-Map</w:t>
      </w:r>
      <w:r w:rsidRPr="007B517D">
        <w:rPr>
          <w:rStyle w:val="meta-date"/>
          <w:color w:val="000000" w:themeColor="text1"/>
          <w:bdr w:val="none" w:sz="0" w:space="0" w:color="auto" w:frame="1"/>
          <w:shd w:val="clear" w:color="auto" w:fill="FFFFFF"/>
        </w:rPr>
        <w:t>,</w:t>
      </w:r>
      <w:r w:rsidRPr="007B517D">
        <w:rPr>
          <w:rStyle w:val="meta-auth-name"/>
          <w:color w:val="000000" w:themeColor="text1"/>
          <w:bdr w:val="none" w:sz="0" w:space="0" w:color="auto" w:frame="1"/>
          <w:shd w:val="clear" w:color="auto" w:fill="FFFFFF"/>
        </w:rPr>
        <w:t xml:space="preserve"> </w:t>
      </w:r>
      <w:r w:rsidRPr="007B517D">
        <w:rPr>
          <w:color w:val="000000" w:themeColor="text1"/>
        </w:rPr>
        <w:t>accessed February 21, 2016, www.zap-map.com/nissan-and-ecotricity-petition-for-charging-point-road-signs.</w:t>
      </w:r>
    </w:p>
  </w:endnote>
  <w:endnote w:id="50">
    <w:p w14:paraId="3E953D8D" w14:textId="1A810ADC" w:rsidR="006331AC" w:rsidRPr="007B517D" w:rsidRDefault="006331AC" w:rsidP="003F11C0">
      <w:pPr>
        <w:pStyle w:val="Footnote"/>
        <w:jc w:val="both"/>
        <w:rPr>
          <w:color w:val="000000" w:themeColor="text1"/>
        </w:rPr>
      </w:pPr>
      <w:r w:rsidRPr="007B517D">
        <w:rPr>
          <w:rStyle w:val="EndnoteReference"/>
          <w:color w:val="000000" w:themeColor="text1"/>
        </w:rPr>
        <w:endnoteRef/>
      </w:r>
      <w:r w:rsidRPr="007B517D">
        <w:rPr>
          <w:color w:val="000000" w:themeColor="text1"/>
        </w:rPr>
        <w:t xml:space="preserve"> </w:t>
      </w:r>
      <w:r>
        <w:rPr>
          <w:rStyle w:val="author-name"/>
          <w:color w:val="000000" w:themeColor="text1"/>
          <w:bdr w:val="none" w:sz="0" w:space="0" w:color="auto" w:frame="1"/>
          <w:shd w:val="clear" w:color="auto" w:fill="FFFFFF"/>
        </w:rPr>
        <w:t xml:space="preserve">Ibid. </w:t>
      </w:r>
    </w:p>
  </w:endnote>
  <w:endnote w:id="51">
    <w:p w14:paraId="38591697" w14:textId="1DA8F7FF" w:rsidR="006331AC" w:rsidRPr="007B517D" w:rsidRDefault="006331AC" w:rsidP="003F11C0">
      <w:pPr>
        <w:pStyle w:val="Footnote"/>
        <w:jc w:val="both"/>
        <w:rPr>
          <w:color w:val="000000" w:themeColor="text1"/>
        </w:rPr>
      </w:pPr>
      <w:r w:rsidRPr="007B517D">
        <w:rPr>
          <w:rStyle w:val="EndnoteReference"/>
          <w:color w:val="000000" w:themeColor="text1"/>
        </w:rPr>
        <w:endnoteRef/>
      </w:r>
      <w:r w:rsidRPr="007B517D">
        <w:rPr>
          <w:color w:val="000000" w:themeColor="text1"/>
        </w:rPr>
        <w:t xml:space="preserve"> </w:t>
      </w:r>
      <w:r w:rsidRPr="007B517D">
        <w:rPr>
          <w:iCs/>
          <w:color w:val="000000" w:themeColor="text1"/>
          <w:shd w:val="clear" w:color="auto" w:fill="FFFFFF"/>
        </w:rPr>
        <w:t>Natalie Middleton,</w:t>
      </w:r>
      <w:r w:rsidRPr="007B517D">
        <w:rPr>
          <w:color w:val="000000" w:themeColor="text1"/>
        </w:rPr>
        <w:t xml:space="preserve"> “Ecotricity to </w:t>
      </w:r>
      <w:r>
        <w:rPr>
          <w:color w:val="000000" w:themeColor="text1"/>
        </w:rPr>
        <w:t>E</w:t>
      </w:r>
      <w:r w:rsidRPr="007B517D">
        <w:rPr>
          <w:color w:val="000000" w:themeColor="text1"/>
        </w:rPr>
        <w:t xml:space="preserve">xpand Electric Highway </w:t>
      </w:r>
      <w:r>
        <w:rPr>
          <w:color w:val="000000" w:themeColor="text1"/>
        </w:rPr>
        <w:t>F</w:t>
      </w:r>
      <w:r w:rsidRPr="007B517D">
        <w:rPr>
          <w:color w:val="000000" w:themeColor="text1"/>
        </w:rPr>
        <w:t>urther</w:t>
      </w:r>
      <w:r>
        <w:rPr>
          <w:color w:val="000000" w:themeColor="text1"/>
        </w:rPr>
        <w:t>,</w:t>
      </w:r>
      <w:r w:rsidRPr="007B517D">
        <w:rPr>
          <w:color w:val="000000" w:themeColor="text1"/>
        </w:rPr>
        <w:t xml:space="preserve">” </w:t>
      </w:r>
      <w:r>
        <w:rPr>
          <w:color w:val="000000" w:themeColor="text1"/>
        </w:rPr>
        <w:t xml:space="preserve">EV </w:t>
      </w:r>
      <w:r w:rsidRPr="003F11C0">
        <w:rPr>
          <w:iCs/>
          <w:color w:val="000000" w:themeColor="text1"/>
          <w:shd w:val="clear" w:color="auto" w:fill="FFFFFF"/>
        </w:rPr>
        <w:t>Fleet World</w:t>
      </w:r>
      <w:r w:rsidRPr="007B517D">
        <w:rPr>
          <w:i/>
          <w:iCs/>
          <w:color w:val="000000" w:themeColor="text1"/>
        </w:rPr>
        <w:t xml:space="preserve">, </w:t>
      </w:r>
      <w:r w:rsidRPr="007B517D">
        <w:rPr>
          <w:color w:val="000000" w:themeColor="text1"/>
        </w:rPr>
        <w:t>March</w:t>
      </w:r>
      <w:r>
        <w:rPr>
          <w:color w:val="000000" w:themeColor="text1"/>
        </w:rPr>
        <w:t xml:space="preserve"> 10</w:t>
      </w:r>
      <w:r w:rsidRPr="007B517D">
        <w:rPr>
          <w:color w:val="000000" w:themeColor="text1"/>
        </w:rPr>
        <w:t xml:space="preserve">, 2015, accessed February 21, 2016, </w:t>
      </w:r>
      <w:r w:rsidRPr="00B844E2">
        <w:t>http://evfleetworld.co.uk/ecotricity-to-expand-electric-highway-further</w:t>
      </w:r>
      <w:r>
        <w:t>.</w:t>
      </w:r>
    </w:p>
  </w:endnote>
  <w:endnote w:id="52">
    <w:p w14:paraId="146A33EF" w14:textId="638A5D48" w:rsidR="006331AC" w:rsidRPr="007B517D" w:rsidRDefault="006331AC" w:rsidP="003F11C0">
      <w:pPr>
        <w:pStyle w:val="Footnote"/>
        <w:jc w:val="both"/>
        <w:rPr>
          <w:color w:val="000000" w:themeColor="text1"/>
        </w:rPr>
      </w:pPr>
      <w:r w:rsidRPr="007B517D">
        <w:rPr>
          <w:rStyle w:val="EndnoteReference"/>
          <w:color w:val="000000" w:themeColor="text1"/>
        </w:rPr>
        <w:endnoteRef/>
      </w:r>
      <w:r w:rsidRPr="007B517D">
        <w:rPr>
          <w:color w:val="000000" w:themeColor="text1"/>
        </w:rPr>
        <w:t xml:space="preserve"> </w:t>
      </w:r>
      <w:r>
        <w:rPr>
          <w:iCs/>
          <w:color w:val="000000" w:themeColor="text1"/>
          <w:shd w:val="clear" w:color="auto" w:fill="FFFFFF"/>
        </w:rPr>
        <w:t>Ibid</w:t>
      </w:r>
      <w:r w:rsidRPr="007B517D">
        <w:rPr>
          <w:color w:val="000000" w:themeColor="text1"/>
        </w:rPr>
        <w:t>.</w:t>
      </w:r>
      <w:r>
        <w:rPr>
          <w:color w:val="000000" w:themeColor="text1"/>
        </w:rPr>
        <w:t xml:space="preserve"> </w:t>
      </w:r>
    </w:p>
  </w:endnote>
  <w:endnote w:id="53">
    <w:p w14:paraId="1A25E91E" w14:textId="0E8ADE4F" w:rsidR="006331AC" w:rsidRPr="007B517D" w:rsidRDefault="006331AC" w:rsidP="003F11C0">
      <w:pPr>
        <w:pStyle w:val="Footnote"/>
        <w:jc w:val="both"/>
        <w:rPr>
          <w:color w:val="000000" w:themeColor="text1"/>
        </w:rPr>
      </w:pPr>
      <w:r w:rsidRPr="007B517D">
        <w:rPr>
          <w:rStyle w:val="EndnoteReference"/>
          <w:color w:val="000000" w:themeColor="text1"/>
        </w:rPr>
        <w:endnoteRef/>
      </w:r>
      <w:r w:rsidRPr="007B517D">
        <w:rPr>
          <w:color w:val="000000" w:themeColor="text1"/>
        </w:rPr>
        <w:t xml:space="preserve"> </w:t>
      </w:r>
      <w:r>
        <w:rPr>
          <w:color w:val="000000" w:themeColor="text1"/>
        </w:rPr>
        <w:t xml:space="preserve">Ecotricity, “Ecotricity Announces Funding Evolution with Aviva Investor Financing,” press release, March 27, 2015, accessed January 8, 2018, </w:t>
      </w:r>
      <w:r w:rsidRPr="00C32B3D">
        <w:rPr>
          <w:color w:val="000000" w:themeColor="text1"/>
        </w:rPr>
        <w:t>www.ecotricity.co.uk/news/news-archive/2015/ecotricity-announces-funding-evolution-with-aviva-investor-financing</w:t>
      </w:r>
      <w:r>
        <w:rPr>
          <w:color w:val="000000" w:themeColor="text1"/>
        </w:rPr>
        <w:t xml:space="preserve">; </w:t>
      </w:r>
      <w:r w:rsidRPr="007B517D">
        <w:rPr>
          <w:color w:val="000000" w:themeColor="text1"/>
        </w:rPr>
        <w:t>“Ecotricity to Accelerate Expansion with £70m Financing</w:t>
      </w:r>
      <w:r>
        <w:rPr>
          <w:color w:val="000000" w:themeColor="text1"/>
        </w:rPr>
        <w:t>,</w:t>
      </w:r>
      <w:r w:rsidRPr="007B517D">
        <w:rPr>
          <w:color w:val="000000" w:themeColor="text1"/>
        </w:rPr>
        <w:t xml:space="preserve">” </w:t>
      </w:r>
      <w:r w:rsidRPr="003F11C0">
        <w:rPr>
          <w:color w:val="000000" w:themeColor="text1"/>
        </w:rPr>
        <w:t>Sustainable Review</w:t>
      </w:r>
      <w:r w:rsidRPr="007B517D">
        <w:rPr>
          <w:color w:val="000000" w:themeColor="text1"/>
        </w:rPr>
        <w:t xml:space="preserve">, March 27, 2015, accessed February 21, 2016, </w:t>
      </w:r>
      <w:r w:rsidRPr="007B517D">
        <w:t>http://sustainablereview.net/ecotricity-accelerate-expansion-70m-financing.</w:t>
      </w:r>
    </w:p>
  </w:endnote>
  <w:endnote w:id="54">
    <w:p w14:paraId="2D14123B" w14:textId="4E29784F" w:rsidR="006331AC" w:rsidRPr="007B517D" w:rsidRDefault="006331AC" w:rsidP="003F11C0">
      <w:pPr>
        <w:pStyle w:val="Footnote"/>
        <w:jc w:val="both"/>
        <w:rPr>
          <w:color w:val="000000" w:themeColor="text1"/>
        </w:rPr>
      </w:pPr>
      <w:r w:rsidRPr="007B517D">
        <w:rPr>
          <w:rStyle w:val="EndnoteReference"/>
          <w:color w:val="000000" w:themeColor="text1"/>
        </w:rPr>
        <w:endnoteRef/>
      </w:r>
      <w:r w:rsidRPr="007B517D">
        <w:rPr>
          <w:color w:val="000000" w:themeColor="text1"/>
        </w:rPr>
        <w:t xml:space="preserve"> </w:t>
      </w:r>
      <w:r>
        <w:rPr>
          <w:color w:val="000000" w:themeColor="text1"/>
        </w:rPr>
        <w:t>Ibid</w:t>
      </w:r>
      <w:r w:rsidRPr="007B517D">
        <w:rPr>
          <w:color w:val="000000" w:themeColor="text1"/>
        </w:rPr>
        <w:t>.</w:t>
      </w:r>
      <w:r>
        <w:rPr>
          <w:color w:val="000000" w:themeColor="text1"/>
        </w:rPr>
        <w:t xml:space="preserve"> </w:t>
      </w:r>
    </w:p>
  </w:endnote>
  <w:endnote w:id="55">
    <w:p w14:paraId="760C349A" w14:textId="3F1FDF28" w:rsidR="006331AC" w:rsidRPr="007B517D" w:rsidRDefault="006331AC" w:rsidP="003F11C0">
      <w:pPr>
        <w:pStyle w:val="Footnote"/>
        <w:jc w:val="both"/>
      </w:pPr>
      <w:r w:rsidRPr="007B517D">
        <w:rPr>
          <w:rStyle w:val="EndnoteReference"/>
          <w:color w:val="000000" w:themeColor="text1"/>
        </w:rPr>
        <w:endnoteRef/>
      </w:r>
      <w:r w:rsidRPr="007B517D">
        <w:rPr>
          <w:color w:val="000000" w:themeColor="text1"/>
        </w:rPr>
        <w:t xml:space="preserve"> Ecotricity, “Ecotricity Cuts Gas Bills by Market Leading 7%</w:t>
      </w:r>
      <w:r>
        <w:rPr>
          <w:color w:val="000000" w:themeColor="text1"/>
        </w:rPr>
        <w:t>,</w:t>
      </w:r>
      <w:r w:rsidRPr="007B517D">
        <w:rPr>
          <w:color w:val="000000" w:themeColor="text1"/>
        </w:rPr>
        <w:t xml:space="preserve">” </w:t>
      </w:r>
      <w:r>
        <w:rPr>
          <w:color w:val="000000" w:themeColor="text1"/>
        </w:rPr>
        <w:t>press release</w:t>
      </w:r>
      <w:r w:rsidRPr="007B517D">
        <w:rPr>
          <w:color w:val="000000" w:themeColor="text1"/>
        </w:rPr>
        <w:t>, February 12, 2016, accessed February 15, 2016, www.ecotricity.co.uk/news/news-archive/2016/ecotricity-cuts-gas-bills-by-market-leading-7.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CF5A5A" w14:textId="77777777" w:rsidR="006331AC" w:rsidRDefault="006331AC" w:rsidP="00D75295">
      <w:r>
        <w:separator/>
      </w:r>
    </w:p>
  </w:footnote>
  <w:footnote w:type="continuationSeparator" w:id="0">
    <w:p w14:paraId="7E43469C" w14:textId="77777777" w:rsidR="006331AC" w:rsidRDefault="006331AC"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4B453" w14:textId="744F45B3" w:rsidR="006331AC" w:rsidRDefault="006331AC"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370A8">
      <w:rPr>
        <w:rFonts w:ascii="Arial" w:hAnsi="Arial"/>
        <w:b/>
        <w:noProof/>
      </w:rPr>
      <w:t>11</w:t>
    </w:r>
    <w:r>
      <w:rPr>
        <w:rFonts w:ascii="Arial" w:hAnsi="Arial"/>
        <w:b/>
      </w:rPr>
      <w:fldChar w:fldCharType="end"/>
    </w:r>
    <w:r>
      <w:rPr>
        <w:rFonts w:ascii="Arial" w:hAnsi="Arial"/>
        <w:b/>
      </w:rPr>
      <w:tab/>
    </w:r>
    <w:r w:rsidR="00CF6D6B">
      <w:rPr>
        <w:rFonts w:ascii="Arial" w:hAnsi="Arial"/>
        <w:b/>
      </w:rPr>
      <w:t>9B18E006</w:t>
    </w:r>
  </w:p>
  <w:p w14:paraId="40967F76" w14:textId="77777777" w:rsidR="006331AC" w:rsidRPr="00C92CC4" w:rsidRDefault="006331AC">
    <w:pPr>
      <w:pStyle w:val="Header"/>
      <w:rPr>
        <w:sz w:val="18"/>
        <w:szCs w:val="18"/>
      </w:rPr>
    </w:pPr>
  </w:p>
  <w:p w14:paraId="68A4AB41" w14:textId="77777777" w:rsidR="006331AC" w:rsidRPr="00C92CC4" w:rsidRDefault="006331AC">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6A8AB1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DE6382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7EA397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831892F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729066C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96C668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C9C0863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968F1B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568A8A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B18838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4EC982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DB15C4"/>
    <w:multiLevelType w:val="multilevel"/>
    <w:tmpl w:val="4BFA26E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D821CB"/>
    <w:multiLevelType w:val="hybridMultilevel"/>
    <w:tmpl w:val="4BFA26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0FF6DD5"/>
    <w:multiLevelType w:val="hybridMultilevel"/>
    <w:tmpl w:val="8690AA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40E959A6"/>
    <w:multiLevelType w:val="hybridMultilevel"/>
    <w:tmpl w:val="E378FD3A"/>
    <w:lvl w:ilvl="0" w:tplc="1EA27C04">
      <w:start w:val="1"/>
      <w:numFmt w:val="decimal"/>
      <w:lvlText w:val="%1."/>
      <w:lvlJc w:val="left"/>
      <w:pPr>
        <w:ind w:left="216" w:hanging="216"/>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4" w15:restartNumberingAfterBreak="0">
    <w:nsid w:val="4D463D23"/>
    <w:multiLevelType w:val="hybridMultilevel"/>
    <w:tmpl w:val="2C7E4E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F9C59E7"/>
    <w:multiLevelType w:val="hybridMultilevel"/>
    <w:tmpl w:val="AB7C47E8"/>
    <w:lvl w:ilvl="0" w:tplc="21CCD200">
      <w:start w:val="1"/>
      <w:numFmt w:val="decimal"/>
      <w:lvlText w:val="%1."/>
      <w:lvlJc w:val="left"/>
      <w:pPr>
        <w:ind w:left="720" w:hanging="360"/>
      </w:pPr>
      <w:rPr>
        <w:b/>
        <w:color w:val="000000" w:themeColor="text1"/>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8" w15:restartNumberingAfterBreak="0">
    <w:nsid w:val="5E6C2193"/>
    <w:multiLevelType w:val="hybridMultilevel"/>
    <w:tmpl w:val="AB7C47E8"/>
    <w:lvl w:ilvl="0" w:tplc="21CCD200">
      <w:start w:val="1"/>
      <w:numFmt w:val="decimal"/>
      <w:lvlText w:val="%1."/>
      <w:lvlJc w:val="left"/>
      <w:pPr>
        <w:ind w:left="720" w:hanging="360"/>
      </w:pPr>
      <w:rPr>
        <w:b/>
        <w:color w:val="000000" w:themeColor="text1"/>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0" w15:restartNumberingAfterBreak="0">
    <w:nsid w:val="63271880"/>
    <w:multiLevelType w:val="hybridMultilevel"/>
    <w:tmpl w:val="AB7C47E8"/>
    <w:lvl w:ilvl="0" w:tplc="21CCD200">
      <w:start w:val="1"/>
      <w:numFmt w:val="decimal"/>
      <w:lvlText w:val="%1."/>
      <w:lvlJc w:val="left"/>
      <w:pPr>
        <w:ind w:left="720" w:hanging="360"/>
      </w:pPr>
      <w:rPr>
        <w:b/>
        <w:color w:val="000000" w:themeColor="text1"/>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4584A44"/>
    <w:multiLevelType w:val="hybridMultilevel"/>
    <w:tmpl w:val="AB7C47E8"/>
    <w:lvl w:ilvl="0" w:tplc="21CCD200">
      <w:start w:val="1"/>
      <w:numFmt w:val="decimal"/>
      <w:lvlText w:val="%1."/>
      <w:lvlJc w:val="left"/>
      <w:pPr>
        <w:ind w:left="720" w:hanging="360"/>
      </w:pPr>
      <w:rPr>
        <w:b/>
        <w:color w:val="000000" w:themeColor="text1"/>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5"/>
  </w:num>
  <w:num w:numId="12">
    <w:abstractNumId w:val="23"/>
  </w:num>
  <w:num w:numId="13">
    <w:abstractNumId w:val="14"/>
  </w:num>
  <w:num w:numId="14">
    <w:abstractNumId w:val="26"/>
  </w:num>
  <w:num w:numId="15">
    <w:abstractNumId w:val="27"/>
  </w:num>
  <w:num w:numId="16">
    <w:abstractNumId w:val="29"/>
  </w:num>
  <w:num w:numId="17">
    <w:abstractNumId w:val="17"/>
  </w:num>
  <w:num w:numId="18">
    <w:abstractNumId w:val="32"/>
  </w:num>
  <w:num w:numId="19">
    <w:abstractNumId w:val="13"/>
  </w:num>
  <w:num w:numId="20">
    <w:abstractNumId w:val="12"/>
  </w:num>
  <w:num w:numId="21">
    <w:abstractNumId w:val="33"/>
  </w:num>
  <w:num w:numId="22">
    <w:abstractNumId w:val="22"/>
  </w:num>
  <w:num w:numId="23">
    <w:abstractNumId w:val="3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6"/>
  </w:num>
  <w:num w:numId="27">
    <w:abstractNumId w:val="20"/>
  </w:num>
  <w:num w:numId="28">
    <w:abstractNumId w:val="30"/>
  </w:num>
  <w:num w:numId="29">
    <w:abstractNumId w:val="31"/>
  </w:num>
  <w:num w:numId="30">
    <w:abstractNumId w:val="25"/>
  </w:num>
  <w:num w:numId="31">
    <w:abstractNumId w:val="28"/>
  </w:num>
  <w:num w:numId="32">
    <w:abstractNumId w:val="24"/>
  </w:num>
  <w:num w:numId="33">
    <w:abstractNumId w:val="19"/>
  </w:num>
  <w:num w:numId="34">
    <w:abstractNumId w:val="0"/>
  </w:num>
  <w:num w:numId="35">
    <w:abstractNumId w:val="18"/>
  </w:num>
  <w:num w:numId="36">
    <w:abstractNumId w:val="11"/>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0067"/>
    <w:rsid w:val="000214CC"/>
    <w:rsid w:val="000216CE"/>
    <w:rsid w:val="00025DC7"/>
    <w:rsid w:val="00026486"/>
    <w:rsid w:val="0003607D"/>
    <w:rsid w:val="00041362"/>
    <w:rsid w:val="00041373"/>
    <w:rsid w:val="00044ECC"/>
    <w:rsid w:val="0004569F"/>
    <w:rsid w:val="000528A5"/>
    <w:rsid w:val="000531D3"/>
    <w:rsid w:val="0005646B"/>
    <w:rsid w:val="000674A3"/>
    <w:rsid w:val="00074C45"/>
    <w:rsid w:val="00075317"/>
    <w:rsid w:val="0008102D"/>
    <w:rsid w:val="000938F1"/>
    <w:rsid w:val="00094C0E"/>
    <w:rsid w:val="000A185A"/>
    <w:rsid w:val="000A2B21"/>
    <w:rsid w:val="000A2D13"/>
    <w:rsid w:val="000A508B"/>
    <w:rsid w:val="000B0345"/>
    <w:rsid w:val="000B07FC"/>
    <w:rsid w:val="000B6C31"/>
    <w:rsid w:val="000C470D"/>
    <w:rsid w:val="000C5168"/>
    <w:rsid w:val="000C6926"/>
    <w:rsid w:val="000D6FAF"/>
    <w:rsid w:val="000E429B"/>
    <w:rsid w:val="000E5D76"/>
    <w:rsid w:val="000F09D6"/>
    <w:rsid w:val="000F0C22"/>
    <w:rsid w:val="000F6B09"/>
    <w:rsid w:val="000F6FDC"/>
    <w:rsid w:val="00104567"/>
    <w:rsid w:val="00111226"/>
    <w:rsid w:val="001173A3"/>
    <w:rsid w:val="001223A2"/>
    <w:rsid w:val="0012732D"/>
    <w:rsid w:val="00132686"/>
    <w:rsid w:val="0013357D"/>
    <w:rsid w:val="0013426F"/>
    <w:rsid w:val="001342C5"/>
    <w:rsid w:val="00135A17"/>
    <w:rsid w:val="00135B65"/>
    <w:rsid w:val="00135E7B"/>
    <w:rsid w:val="00154FC9"/>
    <w:rsid w:val="00163841"/>
    <w:rsid w:val="0016620F"/>
    <w:rsid w:val="00170535"/>
    <w:rsid w:val="00180B42"/>
    <w:rsid w:val="0018263E"/>
    <w:rsid w:val="00190D75"/>
    <w:rsid w:val="0019241A"/>
    <w:rsid w:val="001A5335"/>
    <w:rsid w:val="001A5D85"/>
    <w:rsid w:val="001A752D"/>
    <w:rsid w:val="001B0ECE"/>
    <w:rsid w:val="001B0F34"/>
    <w:rsid w:val="001B14FB"/>
    <w:rsid w:val="001B464A"/>
    <w:rsid w:val="001C40B0"/>
    <w:rsid w:val="001D0BD5"/>
    <w:rsid w:val="001D4D65"/>
    <w:rsid w:val="001E0E69"/>
    <w:rsid w:val="001E25DB"/>
    <w:rsid w:val="001E546F"/>
    <w:rsid w:val="001E6D8F"/>
    <w:rsid w:val="001E6DCC"/>
    <w:rsid w:val="001F0A2B"/>
    <w:rsid w:val="00203AA1"/>
    <w:rsid w:val="00210FF6"/>
    <w:rsid w:val="00213E98"/>
    <w:rsid w:val="00225282"/>
    <w:rsid w:val="00226954"/>
    <w:rsid w:val="002269F5"/>
    <w:rsid w:val="00227D2D"/>
    <w:rsid w:val="0023644D"/>
    <w:rsid w:val="002636D4"/>
    <w:rsid w:val="002673A6"/>
    <w:rsid w:val="00271704"/>
    <w:rsid w:val="0027767E"/>
    <w:rsid w:val="00281F43"/>
    <w:rsid w:val="00283FDF"/>
    <w:rsid w:val="002870A6"/>
    <w:rsid w:val="00290FB7"/>
    <w:rsid w:val="00292A63"/>
    <w:rsid w:val="0029721E"/>
    <w:rsid w:val="002A4FDC"/>
    <w:rsid w:val="002B0B36"/>
    <w:rsid w:val="002C0505"/>
    <w:rsid w:val="002C6303"/>
    <w:rsid w:val="002C6402"/>
    <w:rsid w:val="002C6492"/>
    <w:rsid w:val="002C6C10"/>
    <w:rsid w:val="002D1AD4"/>
    <w:rsid w:val="002D6A66"/>
    <w:rsid w:val="002E22BD"/>
    <w:rsid w:val="002E32F0"/>
    <w:rsid w:val="002E4543"/>
    <w:rsid w:val="002E4D57"/>
    <w:rsid w:val="002F1DF1"/>
    <w:rsid w:val="002F3CEF"/>
    <w:rsid w:val="002F460C"/>
    <w:rsid w:val="002F48D6"/>
    <w:rsid w:val="00306A13"/>
    <w:rsid w:val="003076CD"/>
    <w:rsid w:val="00307F16"/>
    <w:rsid w:val="003148CC"/>
    <w:rsid w:val="00320EF3"/>
    <w:rsid w:val="00332032"/>
    <w:rsid w:val="003330AF"/>
    <w:rsid w:val="003367E2"/>
    <w:rsid w:val="0034151B"/>
    <w:rsid w:val="00343565"/>
    <w:rsid w:val="003516EA"/>
    <w:rsid w:val="00351D32"/>
    <w:rsid w:val="00354899"/>
    <w:rsid w:val="00355FD6"/>
    <w:rsid w:val="00361C8E"/>
    <w:rsid w:val="00364A5C"/>
    <w:rsid w:val="003708DB"/>
    <w:rsid w:val="00373FB1"/>
    <w:rsid w:val="003747C8"/>
    <w:rsid w:val="003775C6"/>
    <w:rsid w:val="0038280A"/>
    <w:rsid w:val="003948BC"/>
    <w:rsid w:val="003A0000"/>
    <w:rsid w:val="003A0618"/>
    <w:rsid w:val="003A51AB"/>
    <w:rsid w:val="003A631B"/>
    <w:rsid w:val="003B30D8"/>
    <w:rsid w:val="003B5F6B"/>
    <w:rsid w:val="003B7EF2"/>
    <w:rsid w:val="003C1A44"/>
    <w:rsid w:val="003C3FA4"/>
    <w:rsid w:val="003C64ED"/>
    <w:rsid w:val="003D105B"/>
    <w:rsid w:val="003D3746"/>
    <w:rsid w:val="003D6AB4"/>
    <w:rsid w:val="003E162F"/>
    <w:rsid w:val="003F00F0"/>
    <w:rsid w:val="003F11C0"/>
    <w:rsid w:val="003F17FB"/>
    <w:rsid w:val="003F2B0C"/>
    <w:rsid w:val="003F344E"/>
    <w:rsid w:val="003F524B"/>
    <w:rsid w:val="003F56CE"/>
    <w:rsid w:val="00401167"/>
    <w:rsid w:val="004042BA"/>
    <w:rsid w:val="0040438C"/>
    <w:rsid w:val="00404F93"/>
    <w:rsid w:val="004140C4"/>
    <w:rsid w:val="00417BC2"/>
    <w:rsid w:val="004221E4"/>
    <w:rsid w:val="00440069"/>
    <w:rsid w:val="0044362E"/>
    <w:rsid w:val="00450977"/>
    <w:rsid w:val="00451836"/>
    <w:rsid w:val="004534AC"/>
    <w:rsid w:val="004655BC"/>
    <w:rsid w:val="004664F1"/>
    <w:rsid w:val="00471088"/>
    <w:rsid w:val="00480B7A"/>
    <w:rsid w:val="00481A67"/>
    <w:rsid w:val="00483AF9"/>
    <w:rsid w:val="00487A64"/>
    <w:rsid w:val="00487CCD"/>
    <w:rsid w:val="004906DD"/>
    <w:rsid w:val="004A5BF4"/>
    <w:rsid w:val="004B0339"/>
    <w:rsid w:val="004B1CCB"/>
    <w:rsid w:val="004B26F0"/>
    <w:rsid w:val="004B2960"/>
    <w:rsid w:val="004B2CF1"/>
    <w:rsid w:val="004B5762"/>
    <w:rsid w:val="004B6714"/>
    <w:rsid w:val="004B7A89"/>
    <w:rsid w:val="004C1437"/>
    <w:rsid w:val="004D73A5"/>
    <w:rsid w:val="00500EA2"/>
    <w:rsid w:val="00506D59"/>
    <w:rsid w:val="00507014"/>
    <w:rsid w:val="00507324"/>
    <w:rsid w:val="00511072"/>
    <w:rsid w:val="005111CB"/>
    <w:rsid w:val="00514ABF"/>
    <w:rsid w:val="00522AE2"/>
    <w:rsid w:val="00525D00"/>
    <w:rsid w:val="00532CF5"/>
    <w:rsid w:val="00533C95"/>
    <w:rsid w:val="00534792"/>
    <w:rsid w:val="00536F2D"/>
    <w:rsid w:val="00541211"/>
    <w:rsid w:val="00541C3F"/>
    <w:rsid w:val="005428E9"/>
    <w:rsid w:val="0054531A"/>
    <w:rsid w:val="00545F56"/>
    <w:rsid w:val="005528CB"/>
    <w:rsid w:val="00555AAC"/>
    <w:rsid w:val="005562FD"/>
    <w:rsid w:val="00561641"/>
    <w:rsid w:val="00566771"/>
    <w:rsid w:val="00567CAE"/>
    <w:rsid w:val="00581E2E"/>
    <w:rsid w:val="00583C87"/>
    <w:rsid w:val="00584F15"/>
    <w:rsid w:val="00591C24"/>
    <w:rsid w:val="00592D5E"/>
    <w:rsid w:val="00595F02"/>
    <w:rsid w:val="005B49B0"/>
    <w:rsid w:val="005B5E52"/>
    <w:rsid w:val="005C5818"/>
    <w:rsid w:val="005D23D0"/>
    <w:rsid w:val="005E5C98"/>
    <w:rsid w:val="005E5F80"/>
    <w:rsid w:val="005F0B70"/>
    <w:rsid w:val="005F0C02"/>
    <w:rsid w:val="005F6507"/>
    <w:rsid w:val="006045A5"/>
    <w:rsid w:val="00605C23"/>
    <w:rsid w:val="0061107D"/>
    <w:rsid w:val="006163F7"/>
    <w:rsid w:val="006331AC"/>
    <w:rsid w:val="00635ECE"/>
    <w:rsid w:val="00636640"/>
    <w:rsid w:val="0065140B"/>
    <w:rsid w:val="00652606"/>
    <w:rsid w:val="006553F4"/>
    <w:rsid w:val="006603E2"/>
    <w:rsid w:val="00664B5C"/>
    <w:rsid w:val="00671A9D"/>
    <w:rsid w:val="00681A66"/>
    <w:rsid w:val="00682754"/>
    <w:rsid w:val="0069644E"/>
    <w:rsid w:val="006A0C15"/>
    <w:rsid w:val="006A2B84"/>
    <w:rsid w:val="006A44C0"/>
    <w:rsid w:val="006A4C47"/>
    <w:rsid w:val="006A58A9"/>
    <w:rsid w:val="006A606D"/>
    <w:rsid w:val="006B0D9C"/>
    <w:rsid w:val="006B337D"/>
    <w:rsid w:val="006B6913"/>
    <w:rsid w:val="006B7F7A"/>
    <w:rsid w:val="006C0371"/>
    <w:rsid w:val="006C08B6"/>
    <w:rsid w:val="006C0B1A"/>
    <w:rsid w:val="006C2BF6"/>
    <w:rsid w:val="006C4384"/>
    <w:rsid w:val="006C6065"/>
    <w:rsid w:val="006C7F9F"/>
    <w:rsid w:val="006E2F6D"/>
    <w:rsid w:val="006E57AD"/>
    <w:rsid w:val="006E58F6"/>
    <w:rsid w:val="006E77E1"/>
    <w:rsid w:val="006F131D"/>
    <w:rsid w:val="006F5C3B"/>
    <w:rsid w:val="007031E0"/>
    <w:rsid w:val="007042DB"/>
    <w:rsid w:val="007121A2"/>
    <w:rsid w:val="00716166"/>
    <w:rsid w:val="00724FAD"/>
    <w:rsid w:val="007313C8"/>
    <w:rsid w:val="007336BA"/>
    <w:rsid w:val="00733C7E"/>
    <w:rsid w:val="007357F0"/>
    <w:rsid w:val="0074166A"/>
    <w:rsid w:val="007436AA"/>
    <w:rsid w:val="00752BCD"/>
    <w:rsid w:val="0076115C"/>
    <w:rsid w:val="00762519"/>
    <w:rsid w:val="00766DA1"/>
    <w:rsid w:val="00766E20"/>
    <w:rsid w:val="0076762F"/>
    <w:rsid w:val="00781C42"/>
    <w:rsid w:val="00783A5D"/>
    <w:rsid w:val="00783A7E"/>
    <w:rsid w:val="00783F3D"/>
    <w:rsid w:val="00784BFF"/>
    <w:rsid w:val="007866A6"/>
    <w:rsid w:val="007919B2"/>
    <w:rsid w:val="007A130D"/>
    <w:rsid w:val="007A46AC"/>
    <w:rsid w:val="007B4982"/>
    <w:rsid w:val="007B4BD7"/>
    <w:rsid w:val="007B517D"/>
    <w:rsid w:val="007B5C10"/>
    <w:rsid w:val="007C23D5"/>
    <w:rsid w:val="007D4102"/>
    <w:rsid w:val="007D4106"/>
    <w:rsid w:val="007E5921"/>
    <w:rsid w:val="007E62F3"/>
    <w:rsid w:val="007F62E9"/>
    <w:rsid w:val="007F7BCD"/>
    <w:rsid w:val="007F7FE7"/>
    <w:rsid w:val="0081753E"/>
    <w:rsid w:val="008219FD"/>
    <w:rsid w:val="00821FFC"/>
    <w:rsid w:val="00826A86"/>
    <w:rsid w:val="008271CA"/>
    <w:rsid w:val="00835288"/>
    <w:rsid w:val="008467D5"/>
    <w:rsid w:val="00850DC4"/>
    <w:rsid w:val="00854235"/>
    <w:rsid w:val="00856D9F"/>
    <w:rsid w:val="008575B3"/>
    <w:rsid w:val="008614FA"/>
    <w:rsid w:val="00866E37"/>
    <w:rsid w:val="00866F6D"/>
    <w:rsid w:val="00867C4A"/>
    <w:rsid w:val="00871BF1"/>
    <w:rsid w:val="00871CFD"/>
    <w:rsid w:val="00874B7A"/>
    <w:rsid w:val="0087546C"/>
    <w:rsid w:val="008763A3"/>
    <w:rsid w:val="008773A5"/>
    <w:rsid w:val="00885A5A"/>
    <w:rsid w:val="008A0008"/>
    <w:rsid w:val="008A4DC4"/>
    <w:rsid w:val="008A58F8"/>
    <w:rsid w:val="008B3FAB"/>
    <w:rsid w:val="008C0703"/>
    <w:rsid w:val="008C2C9F"/>
    <w:rsid w:val="008C6A45"/>
    <w:rsid w:val="008D0C49"/>
    <w:rsid w:val="008D1120"/>
    <w:rsid w:val="008D1D15"/>
    <w:rsid w:val="008D2A1A"/>
    <w:rsid w:val="008D6AAC"/>
    <w:rsid w:val="008E40FC"/>
    <w:rsid w:val="00901B66"/>
    <w:rsid w:val="009021FE"/>
    <w:rsid w:val="009067A4"/>
    <w:rsid w:val="0090722E"/>
    <w:rsid w:val="00914E63"/>
    <w:rsid w:val="00920161"/>
    <w:rsid w:val="00922EBD"/>
    <w:rsid w:val="00932A02"/>
    <w:rsid w:val="009340DB"/>
    <w:rsid w:val="009432C2"/>
    <w:rsid w:val="00956DA2"/>
    <w:rsid w:val="0096087F"/>
    <w:rsid w:val="00961FDB"/>
    <w:rsid w:val="0096746B"/>
    <w:rsid w:val="00971681"/>
    <w:rsid w:val="00972498"/>
    <w:rsid w:val="00974CC6"/>
    <w:rsid w:val="00976AD4"/>
    <w:rsid w:val="00980005"/>
    <w:rsid w:val="00980580"/>
    <w:rsid w:val="00981C7D"/>
    <w:rsid w:val="00987615"/>
    <w:rsid w:val="009914C9"/>
    <w:rsid w:val="009A0039"/>
    <w:rsid w:val="009A312F"/>
    <w:rsid w:val="009A5348"/>
    <w:rsid w:val="009A67BB"/>
    <w:rsid w:val="009C079D"/>
    <w:rsid w:val="009C76D5"/>
    <w:rsid w:val="009D0012"/>
    <w:rsid w:val="009D48FA"/>
    <w:rsid w:val="009E0F02"/>
    <w:rsid w:val="009E7F33"/>
    <w:rsid w:val="009F7AA4"/>
    <w:rsid w:val="00A01004"/>
    <w:rsid w:val="00A11AC5"/>
    <w:rsid w:val="00A12F88"/>
    <w:rsid w:val="00A174E9"/>
    <w:rsid w:val="00A25D45"/>
    <w:rsid w:val="00A31A4E"/>
    <w:rsid w:val="00A34BA2"/>
    <w:rsid w:val="00A3683B"/>
    <w:rsid w:val="00A44D64"/>
    <w:rsid w:val="00A47D85"/>
    <w:rsid w:val="00A51600"/>
    <w:rsid w:val="00A54097"/>
    <w:rsid w:val="00A559DB"/>
    <w:rsid w:val="00A5644D"/>
    <w:rsid w:val="00A5673B"/>
    <w:rsid w:val="00A577CB"/>
    <w:rsid w:val="00A606D7"/>
    <w:rsid w:val="00A60D38"/>
    <w:rsid w:val="00A65D58"/>
    <w:rsid w:val="00A660A6"/>
    <w:rsid w:val="00A71A21"/>
    <w:rsid w:val="00A77CF0"/>
    <w:rsid w:val="00AA46F4"/>
    <w:rsid w:val="00AB2204"/>
    <w:rsid w:val="00AC0841"/>
    <w:rsid w:val="00AC33C6"/>
    <w:rsid w:val="00AC437C"/>
    <w:rsid w:val="00AD1F40"/>
    <w:rsid w:val="00AE11C6"/>
    <w:rsid w:val="00AE7077"/>
    <w:rsid w:val="00AF178E"/>
    <w:rsid w:val="00AF35FC"/>
    <w:rsid w:val="00AF5C5B"/>
    <w:rsid w:val="00AF7980"/>
    <w:rsid w:val="00B00B3C"/>
    <w:rsid w:val="00B03639"/>
    <w:rsid w:val="00B0652A"/>
    <w:rsid w:val="00B162B1"/>
    <w:rsid w:val="00B16E85"/>
    <w:rsid w:val="00B20E86"/>
    <w:rsid w:val="00B231F8"/>
    <w:rsid w:val="00B25B6A"/>
    <w:rsid w:val="00B25EEB"/>
    <w:rsid w:val="00B314F9"/>
    <w:rsid w:val="00B3757D"/>
    <w:rsid w:val="00B40937"/>
    <w:rsid w:val="00B423EF"/>
    <w:rsid w:val="00B453DE"/>
    <w:rsid w:val="00B4742F"/>
    <w:rsid w:val="00B530E4"/>
    <w:rsid w:val="00B56145"/>
    <w:rsid w:val="00B61211"/>
    <w:rsid w:val="00B619F9"/>
    <w:rsid w:val="00B64163"/>
    <w:rsid w:val="00B66E4B"/>
    <w:rsid w:val="00B732A2"/>
    <w:rsid w:val="00B76D23"/>
    <w:rsid w:val="00B8431D"/>
    <w:rsid w:val="00B844E2"/>
    <w:rsid w:val="00B85853"/>
    <w:rsid w:val="00B871D0"/>
    <w:rsid w:val="00B901F9"/>
    <w:rsid w:val="00BA1929"/>
    <w:rsid w:val="00BA3E71"/>
    <w:rsid w:val="00BA62C0"/>
    <w:rsid w:val="00BA73DE"/>
    <w:rsid w:val="00BB603C"/>
    <w:rsid w:val="00BD2C8D"/>
    <w:rsid w:val="00BD4958"/>
    <w:rsid w:val="00BD6EFB"/>
    <w:rsid w:val="00BE0706"/>
    <w:rsid w:val="00BF56D1"/>
    <w:rsid w:val="00C1235A"/>
    <w:rsid w:val="00C15BE2"/>
    <w:rsid w:val="00C200E5"/>
    <w:rsid w:val="00C22219"/>
    <w:rsid w:val="00C245FA"/>
    <w:rsid w:val="00C27750"/>
    <w:rsid w:val="00C304B9"/>
    <w:rsid w:val="00C3148A"/>
    <w:rsid w:val="00C32B3D"/>
    <w:rsid w:val="00C3447F"/>
    <w:rsid w:val="00C3709F"/>
    <w:rsid w:val="00C41773"/>
    <w:rsid w:val="00C458D4"/>
    <w:rsid w:val="00C462C5"/>
    <w:rsid w:val="00C603C3"/>
    <w:rsid w:val="00C624EF"/>
    <w:rsid w:val="00C649DF"/>
    <w:rsid w:val="00C654CB"/>
    <w:rsid w:val="00C71D40"/>
    <w:rsid w:val="00C727FC"/>
    <w:rsid w:val="00C73488"/>
    <w:rsid w:val="00C7600C"/>
    <w:rsid w:val="00C81491"/>
    <w:rsid w:val="00C81676"/>
    <w:rsid w:val="00C81C86"/>
    <w:rsid w:val="00C92CC4"/>
    <w:rsid w:val="00C970AF"/>
    <w:rsid w:val="00CA0AFB"/>
    <w:rsid w:val="00CA2A76"/>
    <w:rsid w:val="00CA2CE1"/>
    <w:rsid w:val="00CA3776"/>
    <w:rsid w:val="00CA3976"/>
    <w:rsid w:val="00CA5BDB"/>
    <w:rsid w:val="00CA757B"/>
    <w:rsid w:val="00CB6C49"/>
    <w:rsid w:val="00CC1787"/>
    <w:rsid w:val="00CC182C"/>
    <w:rsid w:val="00CC2D77"/>
    <w:rsid w:val="00CC5F97"/>
    <w:rsid w:val="00CC779F"/>
    <w:rsid w:val="00CD0824"/>
    <w:rsid w:val="00CD2908"/>
    <w:rsid w:val="00CE064E"/>
    <w:rsid w:val="00CE2963"/>
    <w:rsid w:val="00CF1AD9"/>
    <w:rsid w:val="00CF6D6B"/>
    <w:rsid w:val="00D023CF"/>
    <w:rsid w:val="00D03A82"/>
    <w:rsid w:val="00D05830"/>
    <w:rsid w:val="00D07C0C"/>
    <w:rsid w:val="00D12137"/>
    <w:rsid w:val="00D14179"/>
    <w:rsid w:val="00D15344"/>
    <w:rsid w:val="00D31BEC"/>
    <w:rsid w:val="00D32067"/>
    <w:rsid w:val="00D40DC4"/>
    <w:rsid w:val="00D46DB5"/>
    <w:rsid w:val="00D504D0"/>
    <w:rsid w:val="00D539BC"/>
    <w:rsid w:val="00D54DFA"/>
    <w:rsid w:val="00D626B6"/>
    <w:rsid w:val="00D62A09"/>
    <w:rsid w:val="00D63150"/>
    <w:rsid w:val="00D64A32"/>
    <w:rsid w:val="00D64EFC"/>
    <w:rsid w:val="00D707E3"/>
    <w:rsid w:val="00D70EB9"/>
    <w:rsid w:val="00D75295"/>
    <w:rsid w:val="00D76CE9"/>
    <w:rsid w:val="00D802AB"/>
    <w:rsid w:val="00D82EAE"/>
    <w:rsid w:val="00D97D48"/>
    <w:rsid w:val="00D97F12"/>
    <w:rsid w:val="00DA4D5C"/>
    <w:rsid w:val="00DB42E7"/>
    <w:rsid w:val="00DB7EA9"/>
    <w:rsid w:val="00DD2E91"/>
    <w:rsid w:val="00DD2F9F"/>
    <w:rsid w:val="00DD3109"/>
    <w:rsid w:val="00DD48BA"/>
    <w:rsid w:val="00DD511D"/>
    <w:rsid w:val="00DE0786"/>
    <w:rsid w:val="00DF32C2"/>
    <w:rsid w:val="00E01AC4"/>
    <w:rsid w:val="00E06FA7"/>
    <w:rsid w:val="00E14E03"/>
    <w:rsid w:val="00E25D2F"/>
    <w:rsid w:val="00E2792F"/>
    <w:rsid w:val="00E31EB0"/>
    <w:rsid w:val="00E3779E"/>
    <w:rsid w:val="00E41B58"/>
    <w:rsid w:val="00E42DFC"/>
    <w:rsid w:val="00E4452F"/>
    <w:rsid w:val="00E46B32"/>
    <w:rsid w:val="00E471A7"/>
    <w:rsid w:val="00E51119"/>
    <w:rsid w:val="00E529C9"/>
    <w:rsid w:val="00E5401A"/>
    <w:rsid w:val="00E56EEF"/>
    <w:rsid w:val="00E57665"/>
    <w:rsid w:val="00E57C68"/>
    <w:rsid w:val="00E635CF"/>
    <w:rsid w:val="00E6525A"/>
    <w:rsid w:val="00E90FBF"/>
    <w:rsid w:val="00E9378B"/>
    <w:rsid w:val="00E97E7F"/>
    <w:rsid w:val="00EA024E"/>
    <w:rsid w:val="00EA1194"/>
    <w:rsid w:val="00EA2767"/>
    <w:rsid w:val="00EA2FDD"/>
    <w:rsid w:val="00EA4B99"/>
    <w:rsid w:val="00EA64E6"/>
    <w:rsid w:val="00EA67FC"/>
    <w:rsid w:val="00EB17D8"/>
    <w:rsid w:val="00EB5410"/>
    <w:rsid w:val="00EB6985"/>
    <w:rsid w:val="00EC191E"/>
    <w:rsid w:val="00EC6E0A"/>
    <w:rsid w:val="00ED1D4C"/>
    <w:rsid w:val="00ED4E18"/>
    <w:rsid w:val="00EE116B"/>
    <w:rsid w:val="00EE1F37"/>
    <w:rsid w:val="00F0159C"/>
    <w:rsid w:val="00F105B7"/>
    <w:rsid w:val="00F13D2B"/>
    <w:rsid w:val="00F14DBF"/>
    <w:rsid w:val="00F15163"/>
    <w:rsid w:val="00F17A21"/>
    <w:rsid w:val="00F370A8"/>
    <w:rsid w:val="00F50E91"/>
    <w:rsid w:val="00F57D29"/>
    <w:rsid w:val="00F7187F"/>
    <w:rsid w:val="00F71CE8"/>
    <w:rsid w:val="00F74E20"/>
    <w:rsid w:val="00F75670"/>
    <w:rsid w:val="00F87BE4"/>
    <w:rsid w:val="00F92293"/>
    <w:rsid w:val="00F927C9"/>
    <w:rsid w:val="00F92A99"/>
    <w:rsid w:val="00F95010"/>
    <w:rsid w:val="00F96201"/>
    <w:rsid w:val="00FA070E"/>
    <w:rsid w:val="00FB132F"/>
    <w:rsid w:val="00FB25FC"/>
    <w:rsid w:val="00FB4A70"/>
    <w:rsid w:val="00FC30E9"/>
    <w:rsid w:val="00FC6BDC"/>
    <w:rsid w:val="00FD0B18"/>
    <w:rsid w:val="00FD0F82"/>
    <w:rsid w:val="00FE0CBE"/>
    <w:rsid w:val="00FE714F"/>
    <w:rsid w:val="00FF4ED4"/>
    <w:rsid w:val="00FF7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1B7A3B6C"/>
  <w15:docId w15:val="{2866B0D4-96FB-4AF7-B5F4-C5C311BC4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46DB5"/>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rsid w:val="00D023C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IN"/>
    </w:rPr>
  </w:style>
  <w:style w:type="paragraph" w:styleId="Heading2">
    <w:name w:val="heading 2"/>
    <w:basedOn w:val="Normal"/>
    <w:next w:val="Normal"/>
    <w:link w:val="Heading2Char"/>
    <w:uiPriority w:val="9"/>
    <w:semiHidden/>
    <w:unhideWhenUsed/>
    <w:rsid w:val="00D023CF"/>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AA46F4"/>
    <w:rPr>
      <w:b w:val="0"/>
      <w:color w:val="auto"/>
      <w:vertAlign w:val="superscript"/>
    </w:rPr>
  </w:style>
  <w:style w:type="paragraph" w:customStyle="1" w:styleId="Footnote">
    <w:name w:val="Footnote"/>
    <w:basedOn w:val="FootnoteText"/>
    <w:link w:val="FootnoteChar"/>
    <w:qFormat/>
    <w:rsid w:val="00561641"/>
    <w:rPr>
      <w:rFonts w:ascii="Arial" w:hAnsi="Arial" w:cs="Arial"/>
      <w:sz w:val="17"/>
      <w:szCs w:val="17"/>
    </w:rPr>
  </w:style>
  <w:style w:type="character" w:customStyle="1" w:styleId="FootnoteChar">
    <w:name w:val="Footnote Char"/>
    <w:basedOn w:val="FootnoteTextChar"/>
    <w:link w:val="Footnote"/>
    <w:rsid w:val="00561641"/>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22"/>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qFormat/>
    <w:rsid w:val="00CC5F97"/>
    <w:rPr>
      <w:b w:val="0"/>
      <w:color w:val="auto"/>
      <w:vertAlign w:val="superscript"/>
    </w:rPr>
  </w:style>
  <w:style w:type="character" w:customStyle="1" w:styleId="Heading1Char">
    <w:name w:val="Heading 1 Char"/>
    <w:basedOn w:val="DefaultParagraphFont"/>
    <w:link w:val="Heading1"/>
    <w:uiPriority w:val="9"/>
    <w:rsid w:val="00D023CF"/>
    <w:rPr>
      <w:rFonts w:asciiTheme="majorHAnsi" w:eastAsiaTheme="majorEastAsia" w:hAnsiTheme="majorHAnsi" w:cstheme="majorBidi"/>
      <w:b/>
      <w:bCs/>
      <w:color w:val="365F91" w:themeColor="accent1" w:themeShade="BF"/>
      <w:sz w:val="28"/>
      <w:szCs w:val="28"/>
      <w:lang w:val="en-IN"/>
    </w:rPr>
  </w:style>
  <w:style w:type="character" w:customStyle="1" w:styleId="Heading2Char">
    <w:name w:val="Heading 2 Char"/>
    <w:basedOn w:val="DefaultParagraphFont"/>
    <w:link w:val="Heading2"/>
    <w:uiPriority w:val="9"/>
    <w:semiHidden/>
    <w:rsid w:val="00D023CF"/>
    <w:rPr>
      <w:rFonts w:asciiTheme="majorHAnsi" w:eastAsiaTheme="majorEastAsia" w:hAnsiTheme="majorHAnsi" w:cstheme="majorBidi"/>
      <w:color w:val="365F91" w:themeColor="accent1" w:themeShade="BF"/>
      <w:sz w:val="26"/>
      <w:szCs w:val="26"/>
      <w:lang w:val="en-GB"/>
    </w:rPr>
  </w:style>
  <w:style w:type="character" w:customStyle="1" w:styleId="pubdate">
    <w:name w:val="pubdate"/>
    <w:basedOn w:val="DefaultParagraphFont"/>
    <w:rsid w:val="00D023CF"/>
  </w:style>
  <w:style w:type="character" w:customStyle="1" w:styleId="author-name">
    <w:name w:val="author-name"/>
    <w:basedOn w:val="DefaultParagraphFont"/>
    <w:rsid w:val="00D023CF"/>
  </w:style>
  <w:style w:type="character" w:customStyle="1" w:styleId="meta-date">
    <w:name w:val="meta-date"/>
    <w:basedOn w:val="DefaultParagraphFont"/>
    <w:rsid w:val="00D023CF"/>
  </w:style>
  <w:style w:type="character" w:customStyle="1" w:styleId="meta-auth-name">
    <w:name w:val="meta-auth-name"/>
    <w:basedOn w:val="DefaultParagraphFont"/>
    <w:rsid w:val="00D023CF"/>
  </w:style>
  <w:style w:type="table" w:customStyle="1" w:styleId="ListTable21">
    <w:name w:val="List Table 21"/>
    <w:basedOn w:val="TableNormal"/>
    <w:uiPriority w:val="47"/>
    <w:rsid w:val="00D023CF"/>
    <w:pPr>
      <w:spacing w:after="0" w:line="240" w:lineRule="auto"/>
    </w:pPr>
    <w:rPr>
      <w:lang w:val="en-GB"/>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1">
    <w:name w:val="List Table 6 Colorful1"/>
    <w:basedOn w:val="TableNormal"/>
    <w:uiPriority w:val="51"/>
    <w:rsid w:val="00D023CF"/>
    <w:pPr>
      <w:spacing w:after="0" w:line="240" w:lineRule="auto"/>
    </w:pPr>
    <w:rPr>
      <w:color w:val="000000" w:themeColor="text1"/>
      <w:lang w:val="en-GB"/>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Light1">
    <w:name w:val="Table Grid Light1"/>
    <w:basedOn w:val="TableNormal"/>
    <w:uiPriority w:val="40"/>
    <w:rsid w:val="007357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306A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517835">
      <w:bodyDiv w:val="1"/>
      <w:marLeft w:val="0"/>
      <w:marRight w:val="0"/>
      <w:marTop w:val="0"/>
      <w:marBottom w:val="0"/>
      <w:divBdr>
        <w:top w:val="none" w:sz="0" w:space="0" w:color="auto"/>
        <w:left w:val="none" w:sz="0" w:space="0" w:color="auto"/>
        <w:bottom w:val="none" w:sz="0" w:space="0" w:color="auto"/>
        <w:right w:val="none" w:sz="0" w:space="0" w:color="auto"/>
      </w:divBdr>
    </w:div>
    <w:div w:id="214022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913800-867C-4AFC-9154-A632C32E4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11</Pages>
  <Words>3753</Words>
  <Characters>21396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25099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3</cp:revision>
  <cp:lastPrinted>2016-10-10T13:22:00Z</cp:lastPrinted>
  <dcterms:created xsi:type="dcterms:W3CDTF">2018-02-23T19:47:00Z</dcterms:created>
  <dcterms:modified xsi:type="dcterms:W3CDTF">2018-03-02T19:11:00Z</dcterms:modified>
</cp:coreProperties>
</file>