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AECBF" w14:textId="27397CD6" w:rsidR="008467D5" w:rsidRDefault="00703B9D" w:rsidP="00013360">
      <w:pPr>
        <w:tabs>
          <w:tab w:val="left" w:pos="-1440"/>
          <w:tab w:val="left" w:pos="-720"/>
          <w:tab w:val="left" w:pos="1"/>
          <w:tab w:val="right" w:pos="9360"/>
        </w:tabs>
        <w:jc w:val="both"/>
        <w:rPr>
          <w:rFonts w:ascii="Arial" w:hAnsi="Arial"/>
          <w:sz w:val="24"/>
        </w:rPr>
      </w:pPr>
      <w:r w:rsidRPr="00703B9D">
        <w:rPr>
          <w:rFonts w:ascii="Arial" w:hAnsi="Arial"/>
          <w:b/>
          <w:noProof/>
          <w:sz w:val="24"/>
          <w:lang w:eastAsia="en-GB"/>
        </w:rPr>
        <w:drawing>
          <wp:inline distT="0" distB="0" distL="0" distR="0" wp14:anchorId="6376E299" wp14:editId="62E00503">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7C746C2" w14:textId="77777777" w:rsidR="00856D9F" w:rsidRPr="00703B9D" w:rsidRDefault="00856D9F" w:rsidP="008467D5">
      <w:pPr>
        <w:pBdr>
          <w:bottom w:val="single" w:sz="18" w:space="1" w:color="auto"/>
        </w:pBdr>
        <w:tabs>
          <w:tab w:val="left" w:pos="-1440"/>
          <w:tab w:val="left" w:pos="-720"/>
          <w:tab w:val="left" w:pos="1"/>
        </w:tabs>
        <w:jc w:val="both"/>
        <w:rPr>
          <w:rFonts w:ascii="Arial" w:hAnsi="Arial"/>
          <w:b/>
          <w:sz w:val="8"/>
        </w:rPr>
      </w:pPr>
    </w:p>
    <w:p w14:paraId="72F25298" w14:textId="662E6D23" w:rsidR="00D75295" w:rsidRDefault="00703B9D" w:rsidP="00C75B16">
      <w:pPr>
        <w:pStyle w:val="ProductNumber"/>
        <w:outlineLvl w:val="0"/>
      </w:pPr>
      <w:r>
        <w:t>9B18E</w:t>
      </w:r>
      <w:r w:rsidR="00E95805">
        <w:t>007</w:t>
      </w:r>
    </w:p>
    <w:p w14:paraId="5557946B" w14:textId="77777777" w:rsidR="00D75295" w:rsidRDefault="00D75295" w:rsidP="00D75295">
      <w:pPr>
        <w:jc w:val="right"/>
        <w:rPr>
          <w:rFonts w:ascii="Arial" w:hAnsi="Arial"/>
          <w:b/>
          <w:sz w:val="28"/>
          <w:szCs w:val="28"/>
        </w:rPr>
      </w:pPr>
    </w:p>
    <w:p w14:paraId="1BE5A8D0" w14:textId="77777777" w:rsidR="00866F6D" w:rsidRDefault="00866F6D" w:rsidP="00D75295">
      <w:pPr>
        <w:jc w:val="right"/>
        <w:rPr>
          <w:rFonts w:ascii="Arial" w:hAnsi="Arial"/>
          <w:b/>
          <w:sz w:val="28"/>
          <w:szCs w:val="28"/>
        </w:rPr>
      </w:pPr>
    </w:p>
    <w:p w14:paraId="5489E22B" w14:textId="7D626F05" w:rsidR="00013360" w:rsidRPr="00361C8E" w:rsidRDefault="00EB0869" w:rsidP="00013360">
      <w:pPr>
        <w:pStyle w:val="CaseTitle"/>
        <w:spacing w:after="0" w:line="240" w:lineRule="auto"/>
      </w:pPr>
      <w:r>
        <w:t>TD Bank Group</w:t>
      </w:r>
      <w:r w:rsidR="00734E94">
        <w:t>: Building an Effective Enterprise Data Management Policy</w:t>
      </w:r>
    </w:p>
    <w:p w14:paraId="48B664B6" w14:textId="77777777" w:rsidR="00013360" w:rsidRDefault="00013360" w:rsidP="00013360">
      <w:pPr>
        <w:pStyle w:val="CaseTitle"/>
        <w:spacing w:after="0" w:line="240" w:lineRule="auto"/>
        <w:rPr>
          <w:sz w:val="20"/>
          <w:szCs w:val="20"/>
        </w:rPr>
      </w:pPr>
    </w:p>
    <w:p w14:paraId="483C319E" w14:textId="77777777" w:rsidR="00013360" w:rsidRPr="00013360" w:rsidRDefault="00013360" w:rsidP="00013360">
      <w:pPr>
        <w:pStyle w:val="CaseTitle"/>
        <w:spacing w:after="0" w:line="240" w:lineRule="auto"/>
        <w:rPr>
          <w:sz w:val="20"/>
          <w:szCs w:val="20"/>
        </w:rPr>
      </w:pPr>
    </w:p>
    <w:p w14:paraId="484844E1" w14:textId="211326F3" w:rsidR="00013360" w:rsidRDefault="00734E94" w:rsidP="00104567">
      <w:pPr>
        <w:pStyle w:val="StyleCopyrightStatementAfter0ptBottomSinglesolidline1"/>
      </w:pPr>
      <w:r>
        <w:t xml:space="preserve">Murat Kristal, Glenda Crisp, </w:t>
      </w:r>
      <w:r w:rsidR="00BD201C">
        <w:t>Connie</w:t>
      </w:r>
      <w:r>
        <w:t xml:space="preserve"> Bonello, and Katherine Heighington</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17873459" w14:textId="77777777" w:rsidR="00013360" w:rsidRDefault="00013360" w:rsidP="00104567">
      <w:pPr>
        <w:pStyle w:val="StyleCopyrightStatementAfter0ptBottomSinglesolidline1"/>
      </w:pPr>
    </w:p>
    <w:p w14:paraId="36E818FA" w14:textId="733B1D2F" w:rsidR="00703B9D" w:rsidRPr="000E27F1" w:rsidRDefault="00703B9D" w:rsidP="0050100D">
      <w:pPr>
        <w:jc w:val="both"/>
        <w:rPr>
          <w:rFonts w:ascii="Arial" w:hAnsi="Arial" w:cs="Arial"/>
          <w:i/>
          <w:iCs/>
          <w:sz w:val="16"/>
          <w:szCs w:val="16"/>
        </w:rPr>
      </w:pPr>
      <w:r w:rsidRPr="000E27F1">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E27F1">
          <w:rPr>
            <w:rFonts w:ascii="Arial" w:hAnsi="Arial" w:cs="Arial"/>
            <w:i/>
            <w:iCs/>
            <w:sz w:val="16"/>
            <w:szCs w:val="16"/>
          </w:rPr>
          <w:t>cases@ivey.ca</w:t>
        </w:r>
      </w:hyperlink>
      <w:r w:rsidRPr="000E27F1">
        <w:rPr>
          <w:rFonts w:ascii="Arial" w:hAnsi="Arial" w:cs="Arial"/>
          <w:i/>
          <w:iCs/>
          <w:sz w:val="16"/>
          <w:szCs w:val="16"/>
        </w:rPr>
        <w:t xml:space="preserve">; </w:t>
      </w:r>
      <w:hyperlink r:id="rId10" w:history="1">
        <w:r w:rsidRPr="000E27F1">
          <w:rPr>
            <w:rFonts w:ascii="Arial" w:hAnsi="Arial" w:cs="Arial"/>
            <w:i/>
            <w:iCs/>
            <w:sz w:val="16"/>
            <w:szCs w:val="16"/>
          </w:rPr>
          <w:t>www.iveycases.com</w:t>
        </w:r>
      </w:hyperlink>
      <w:r w:rsidRPr="000E27F1">
        <w:rPr>
          <w:rFonts w:ascii="Arial" w:hAnsi="Arial" w:cs="Arial"/>
          <w:i/>
          <w:iCs/>
          <w:sz w:val="16"/>
          <w:szCs w:val="16"/>
        </w:rPr>
        <w:t>.</w:t>
      </w:r>
    </w:p>
    <w:p w14:paraId="011303CB" w14:textId="77777777" w:rsidR="00703B9D" w:rsidRPr="000E27F1" w:rsidRDefault="00703B9D" w:rsidP="0050100D">
      <w:pPr>
        <w:pStyle w:val="StyleCopyrightStatementAfter0ptBottomSinglesolidline1"/>
        <w:pBdr>
          <w:top w:val="none" w:sz="0" w:space="0" w:color="auto"/>
        </w:pBdr>
      </w:pPr>
    </w:p>
    <w:p w14:paraId="61D0702C" w14:textId="152EA7FD" w:rsidR="003B7EF2" w:rsidRDefault="00703B9D" w:rsidP="00703B9D">
      <w:pPr>
        <w:pStyle w:val="StyleStyleCopyrightStatementAfter0ptBottomSinglesolid"/>
      </w:pPr>
      <w:r>
        <w:t>Copyright © 2018, Ivey Business School Foundation</w:t>
      </w:r>
      <w:r w:rsidR="003B7EF2">
        <w:tab/>
        <w:t xml:space="preserve">Version: </w:t>
      </w:r>
      <w:r w:rsidR="00361C8E">
        <w:t>201</w:t>
      </w:r>
      <w:r>
        <w:t>8</w:t>
      </w:r>
      <w:r w:rsidR="00361C8E">
        <w:t>-</w:t>
      </w:r>
      <w:r w:rsidR="009464B0">
        <w:t>03</w:t>
      </w:r>
      <w:r w:rsidR="00361C8E">
        <w:t>-</w:t>
      </w:r>
      <w:r w:rsidR="00DE3A7E">
        <w:t>14</w:t>
      </w:r>
    </w:p>
    <w:p w14:paraId="146C323C" w14:textId="77777777" w:rsidR="003B7EF2" w:rsidRPr="003B7EF2" w:rsidRDefault="003B7EF2" w:rsidP="00104567">
      <w:pPr>
        <w:pStyle w:val="StyleCopyrightStatementAfter0ptBottomSinglesolidline1"/>
        <w:rPr>
          <w:rFonts w:ascii="Times New Roman" w:hAnsi="Times New Roman"/>
          <w:sz w:val="20"/>
        </w:rPr>
      </w:pPr>
    </w:p>
    <w:p w14:paraId="15CFF101" w14:textId="77777777" w:rsidR="003B7EF2" w:rsidRDefault="003B7EF2" w:rsidP="00734E94">
      <w:pPr>
        <w:pStyle w:val="BodyTextMain"/>
      </w:pPr>
    </w:p>
    <w:p w14:paraId="655D7898" w14:textId="6EAB7580" w:rsidR="00734E94" w:rsidRPr="0087613A" w:rsidRDefault="00734E94" w:rsidP="00734E94">
      <w:pPr>
        <w:pStyle w:val="BodyTextMain"/>
      </w:pPr>
      <w:r w:rsidRPr="0087613A">
        <w:t>In October 2015, Glenda Crisp stepped into her new office on the 17</w:t>
      </w:r>
      <w:r w:rsidRPr="00734E94">
        <w:t xml:space="preserve">th </w:t>
      </w:r>
      <w:r w:rsidRPr="0087613A">
        <w:t>floo</w:t>
      </w:r>
      <w:r>
        <w:t>r of TD Bank Group</w:t>
      </w:r>
      <w:r w:rsidR="00A678AD">
        <w:t>’s</w:t>
      </w:r>
      <w:r>
        <w:t xml:space="preserve"> </w:t>
      </w:r>
      <w:r w:rsidRPr="0087613A">
        <w:t>headquarters</w:t>
      </w:r>
      <w:r w:rsidR="00A678AD">
        <w:t>. Crisp w</w:t>
      </w:r>
      <w:r w:rsidRPr="0087613A">
        <w:t xml:space="preserve">as the new </w:t>
      </w:r>
      <w:r w:rsidR="0010025C" w:rsidRPr="0087613A">
        <w:t xml:space="preserve">chief data officer </w:t>
      </w:r>
      <w:r w:rsidRPr="0087613A">
        <w:t>(CDO). She had moved from the 5</w:t>
      </w:r>
      <w:r w:rsidRPr="00C30478">
        <w:t>th</w:t>
      </w:r>
      <w:r w:rsidRPr="0087613A">
        <w:t xml:space="preserve"> floor, where she had been the </w:t>
      </w:r>
      <w:r w:rsidR="0010025C" w:rsidRPr="0087613A">
        <w:t xml:space="preserve">corporate technology chief intelligence officer </w:t>
      </w:r>
      <w:r w:rsidRPr="0087613A">
        <w:t xml:space="preserve">at </w:t>
      </w:r>
      <w:r w:rsidR="0044676C">
        <w:t>the bank</w:t>
      </w:r>
      <w:r w:rsidR="0044676C" w:rsidRPr="0087613A">
        <w:t xml:space="preserve"> </w:t>
      </w:r>
      <w:r w:rsidRPr="0087613A">
        <w:t xml:space="preserve">for the past four years. In </w:t>
      </w:r>
      <w:r w:rsidR="00A678AD">
        <w:t>her</w:t>
      </w:r>
      <w:r w:rsidR="00A678AD" w:rsidRPr="0087613A">
        <w:t xml:space="preserve"> </w:t>
      </w:r>
      <w:r w:rsidRPr="0087613A">
        <w:t>new role, Crisp knew she needed to assess, validate, and deliver on promises made by her predecessor. Her main focus was to move the theoretical ideas into tangible results.</w:t>
      </w:r>
      <w:r w:rsidR="00C75B16">
        <w:t xml:space="preserve"> </w:t>
      </w:r>
    </w:p>
    <w:p w14:paraId="4DE85920" w14:textId="77777777" w:rsidR="00734E94" w:rsidRPr="0087613A" w:rsidRDefault="00734E94" w:rsidP="00734E94">
      <w:pPr>
        <w:pStyle w:val="BodyTextMain"/>
      </w:pPr>
    </w:p>
    <w:p w14:paraId="65B00EC5" w14:textId="4118EFB6" w:rsidR="00734E94" w:rsidRPr="0087613A" w:rsidRDefault="00734E94" w:rsidP="00734E94">
      <w:pPr>
        <w:pStyle w:val="BodyTextMain"/>
      </w:pPr>
      <w:bookmarkStart w:id="0" w:name="_Hlk478480289"/>
      <w:r w:rsidRPr="0087613A">
        <w:t>Crisp saw issues in a variety of areas, such as organizational structure, the processes used to manage data governance practices, and technology</w:t>
      </w:r>
      <w:r w:rsidR="00770504">
        <w:t>—</w:t>
      </w:r>
      <w:r w:rsidRPr="0087613A">
        <w:t>all of which needed to be identified, prioritized, and then acted upon. In order to be efficient in her implementation</w:t>
      </w:r>
      <w:r w:rsidR="00770504">
        <w:t>,</w:t>
      </w:r>
      <w:r w:rsidRPr="0087613A">
        <w:t xml:space="preserve"> Crisp made it her mission to set deliverable results for each month, but she needed to determine what to prioritize and address first. </w:t>
      </w:r>
    </w:p>
    <w:bookmarkEnd w:id="0"/>
    <w:p w14:paraId="2E3375DB" w14:textId="77777777" w:rsidR="00734E94" w:rsidRDefault="00734E94" w:rsidP="00734E94">
      <w:pPr>
        <w:pStyle w:val="BodyTextMain"/>
      </w:pPr>
    </w:p>
    <w:p w14:paraId="073D27AE" w14:textId="77777777" w:rsidR="00734E94" w:rsidRPr="0087613A" w:rsidRDefault="00734E94" w:rsidP="00734E94">
      <w:pPr>
        <w:pStyle w:val="BodyTextMain"/>
      </w:pPr>
    </w:p>
    <w:p w14:paraId="5027FEE0" w14:textId="77777777" w:rsidR="00734E94" w:rsidRDefault="00734E94" w:rsidP="00C75B16">
      <w:pPr>
        <w:pStyle w:val="Casehead1"/>
        <w:outlineLvl w:val="0"/>
      </w:pPr>
      <w:r w:rsidRPr="00734E94">
        <w:t>Background</w:t>
      </w:r>
    </w:p>
    <w:p w14:paraId="2969A7DA" w14:textId="77777777" w:rsidR="00734E94" w:rsidRPr="00734E94" w:rsidRDefault="00734E94" w:rsidP="00734E94">
      <w:pPr>
        <w:pStyle w:val="BodyTextMain"/>
      </w:pPr>
    </w:p>
    <w:p w14:paraId="4B4392AF" w14:textId="4C8D4C53" w:rsidR="00393A19" w:rsidRDefault="00BA33BD" w:rsidP="00734E94">
      <w:pPr>
        <w:pStyle w:val="BodyTextMain"/>
      </w:pPr>
      <w:r>
        <w:t xml:space="preserve">The </w:t>
      </w:r>
      <w:r w:rsidR="00734E94">
        <w:t>T</w:t>
      </w:r>
      <w:r w:rsidR="00770504">
        <w:t>oronto-</w:t>
      </w:r>
      <w:r w:rsidR="00734E94">
        <w:t>D</w:t>
      </w:r>
      <w:r w:rsidR="00770504">
        <w:t>ominion Bank</w:t>
      </w:r>
      <w:r w:rsidR="00734E94" w:rsidRPr="0087613A">
        <w:t xml:space="preserve"> </w:t>
      </w:r>
      <w:r w:rsidR="00770504">
        <w:t>and its subsidiaries, collectively known as TD Bank Group</w:t>
      </w:r>
      <w:r w:rsidR="0044676C">
        <w:t xml:space="preserve"> (TD)</w:t>
      </w:r>
      <w:r w:rsidR="00770504">
        <w:t xml:space="preserve">, </w:t>
      </w:r>
      <w:r w:rsidR="00734E94" w:rsidRPr="0087613A">
        <w:t xml:space="preserve">was one of the top five big banks in Canada and was often ranked as number one or two in terms of total assets, deposits, and market capitalization. The bank was created in 1955 </w:t>
      </w:r>
      <w:r w:rsidR="0044676C">
        <w:t>when</w:t>
      </w:r>
      <w:r w:rsidR="0044676C" w:rsidRPr="0087613A">
        <w:t xml:space="preserve"> </w:t>
      </w:r>
      <w:r w:rsidR="00734E94" w:rsidRPr="0087613A">
        <w:t>the</w:t>
      </w:r>
      <w:r w:rsidR="00C75B16">
        <w:t xml:space="preserve"> </w:t>
      </w:r>
      <w:r w:rsidR="00734E94" w:rsidRPr="0087613A">
        <w:t>Bank of Toronto</w:t>
      </w:r>
      <w:r w:rsidR="00C75B16">
        <w:t xml:space="preserve"> </w:t>
      </w:r>
      <w:r w:rsidR="00734E94" w:rsidRPr="0087613A">
        <w:t>and</w:t>
      </w:r>
      <w:r w:rsidR="00C75B16">
        <w:t xml:space="preserve"> </w:t>
      </w:r>
      <w:r w:rsidR="00734E94" w:rsidRPr="0087613A">
        <w:t xml:space="preserve">the Dominion Bank merged, </w:t>
      </w:r>
      <w:r w:rsidR="0044676C">
        <w:t>subsequently declaring its arrival with a new, high-profile head office that marked Toronto’s skyline with what was then the tallest building in Canada</w:t>
      </w:r>
      <w:r w:rsidR="00734E94" w:rsidRPr="0087613A">
        <w:t>.</w:t>
      </w:r>
      <w:r w:rsidR="009D703E">
        <w:rPr>
          <w:rStyle w:val="FootnoteReference"/>
        </w:rPr>
        <w:footnoteReference w:id="1"/>
      </w:r>
      <w:r w:rsidR="00734E94" w:rsidRPr="0087613A">
        <w:t xml:space="preserve"> </w:t>
      </w:r>
    </w:p>
    <w:p w14:paraId="30B2BDC1" w14:textId="77777777" w:rsidR="00393A19" w:rsidRDefault="00393A19" w:rsidP="00734E94">
      <w:pPr>
        <w:pStyle w:val="BodyTextMain"/>
      </w:pPr>
    </w:p>
    <w:p w14:paraId="55590CD1" w14:textId="6BDFE99C" w:rsidR="00734E94" w:rsidRPr="0087613A" w:rsidRDefault="00734E94" w:rsidP="00734E94">
      <w:pPr>
        <w:pStyle w:val="BodyTextMain"/>
      </w:pPr>
      <w:r w:rsidRPr="0087613A">
        <w:t xml:space="preserve">In 2002, </w:t>
      </w:r>
      <w:r>
        <w:t>TD</w:t>
      </w:r>
      <w:r w:rsidRPr="0087613A">
        <w:t xml:space="preserve"> started to expand into the United States</w:t>
      </w:r>
      <w:r w:rsidR="009D703E">
        <w:t xml:space="preserve">, leading to </w:t>
      </w:r>
      <w:r w:rsidRPr="0087613A">
        <w:t xml:space="preserve">significant </w:t>
      </w:r>
      <w:r w:rsidR="00BA33BD">
        <w:t xml:space="preserve">and continual </w:t>
      </w:r>
      <w:r w:rsidRPr="0087613A">
        <w:t xml:space="preserve">growth. </w:t>
      </w:r>
      <w:r w:rsidR="00BA33BD">
        <w:t>The m</w:t>
      </w:r>
      <w:r w:rsidRPr="0087613A">
        <w:t xml:space="preserve">arket cap increased from </w:t>
      </w:r>
      <w:r>
        <w:t>CA</w:t>
      </w:r>
      <w:r w:rsidRPr="0087613A">
        <w:t>$1</w:t>
      </w:r>
      <w:r>
        <w:t>8.2 billion</w:t>
      </w:r>
      <w:r w:rsidR="00393A19">
        <w:rPr>
          <w:rStyle w:val="FootnoteReference"/>
        </w:rPr>
        <w:footnoteReference w:id="2"/>
      </w:r>
      <w:r>
        <w:t xml:space="preserve"> </w:t>
      </w:r>
      <w:r w:rsidR="0010025C">
        <w:t xml:space="preserve">in </w:t>
      </w:r>
      <w:r w:rsidR="00EB0869">
        <w:t>2002</w:t>
      </w:r>
      <w:r w:rsidR="0010025C">
        <w:t xml:space="preserve"> </w:t>
      </w:r>
      <w:r>
        <w:t>to $103.5 billion by</w:t>
      </w:r>
      <w:r w:rsidRPr="0087613A">
        <w:t xml:space="preserve"> 2016. </w:t>
      </w:r>
      <w:r w:rsidR="000C048C">
        <w:t>The bank more than doubled its b</w:t>
      </w:r>
      <w:r w:rsidRPr="0087613A">
        <w:t>usiness locations, initially 1,328 branches</w:t>
      </w:r>
      <w:r w:rsidR="000C048C">
        <w:t xml:space="preserve"> in </w:t>
      </w:r>
      <w:r w:rsidR="00EB0869">
        <w:t>2016</w:t>
      </w:r>
      <w:r w:rsidRPr="0087613A">
        <w:t xml:space="preserve">, </w:t>
      </w:r>
      <w:r w:rsidR="000C048C">
        <w:t>by adding</w:t>
      </w:r>
      <w:r w:rsidRPr="0087613A">
        <w:t xml:space="preserve"> many new locations along the east coast of the United States</w:t>
      </w:r>
      <w:r w:rsidR="000C048C">
        <w:t>,</w:t>
      </w:r>
      <w:r w:rsidRPr="0087613A">
        <w:t xml:space="preserve"> primarily in the </w:t>
      </w:r>
      <w:r w:rsidR="000C048C">
        <w:t>n</w:t>
      </w:r>
      <w:r w:rsidRPr="0087613A">
        <w:t>ortheast and in Florida. TD focuse</w:t>
      </w:r>
      <w:r>
        <w:t>d its expansion into the U</w:t>
      </w:r>
      <w:r w:rsidR="00393A19">
        <w:t xml:space="preserve">nited </w:t>
      </w:r>
      <w:r>
        <w:t>S</w:t>
      </w:r>
      <w:r w:rsidR="00393A19">
        <w:t>tates</w:t>
      </w:r>
      <w:r>
        <w:t xml:space="preserve"> on</w:t>
      </w:r>
      <w:r w:rsidRPr="0087613A">
        <w:t xml:space="preserve"> the retail banking industry</w:t>
      </w:r>
      <w:r w:rsidR="00393A19">
        <w:t>,</w:t>
      </w:r>
      <w:r w:rsidRPr="0087613A">
        <w:t xml:space="preserve"> </w:t>
      </w:r>
      <w:r w:rsidR="00393A19">
        <w:t xml:space="preserve">growing through </w:t>
      </w:r>
      <w:r w:rsidRPr="0087613A">
        <w:t xml:space="preserve">acquisitions of smaller American </w:t>
      </w:r>
      <w:r w:rsidR="00393A19">
        <w:t>b</w:t>
      </w:r>
      <w:r w:rsidRPr="0087613A">
        <w:t>anks. As a result of the expansion, TD</w:t>
      </w:r>
      <w:r w:rsidR="00DE3A7E">
        <w:t xml:space="preserve"> would</w:t>
      </w:r>
      <w:r w:rsidRPr="0087613A">
        <w:t xml:space="preserve"> </w:t>
      </w:r>
      <w:r w:rsidR="00DE3A7E">
        <w:t>also more than double</w:t>
      </w:r>
      <w:r w:rsidR="000C048C">
        <w:t xml:space="preserve"> its </w:t>
      </w:r>
      <w:r w:rsidRPr="0087613A">
        <w:t>number of employees</w:t>
      </w:r>
      <w:r w:rsidR="000C048C">
        <w:t xml:space="preserve">, growing </w:t>
      </w:r>
      <w:r w:rsidRPr="0087613A">
        <w:t xml:space="preserve">from 42,817 employees </w:t>
      </w:r>
      <w:r w:rsidR="000C048C">
        <w:t xml:space="preserve">in </w:t>
      </w:r>
      <w:r w:rsidR="00EB0869">
        <w:t>2002</w:t>
      </w:r>
      <w:r w:rsidR="000C048C">
        <w:t xml:space="preserve"> </w:t>
      </w:r>
      <w:r w:rsidRPr="0087613A">
        <w:t>to over 85,000</w:t>
      </w:r>
      <w:r w:rsidR="000C048C">
        <w:t xml:space="preserve"> in </w:t>
      </w:r>
      <w:r w:rsidR="00EB0869">
        <w:t>2016</w:t>
      </w:r>
      <w:r w:rsidRPr="0087613A">
        <w:t>.</w:t>
      </w:r>
    </w:p>
    <w:p w14:paraId="544D97B9" w14:textId="77777777" w:rsidR="00734E94" w:rsidRPr="0087613A" w:rsidRDefault="00734E94" w:rsidP="00734E94">
      <w:pPr>
        <w:pStyle w:val="BodyTextMain"/>
      </w:pPr>
    </w:p>
    <w:p w14:paraId="3FC28054" w14:textId="7BB0D674" w:rsidR="00734E94" w:rsidRPr="0087613A" w:rsidRDefault="00EB0869" w:rsidP="00734E94">
      <w:pPr>
        <w:pStyle w:val="BodyTextMain"/>
      </w:pPr>
      <w:r>
        <w:t>In 2015, TD Bank Group</w:t>
      </w:r>
      <w:r w:rsidR="0010025C" w:rsidRPr="0087613A">
        <w:t xml:space="preserve"> </w:t>
      </w:r>
      <w:r w:rsidR="00734E94" w:rsidRPr="0087613A">
        <w:t xml:space="preserve">announced a seventh consecutive year of record adjusted earnings ($8.8 billion), which was driven by TD’s strong performance in retail businesses and good results in the wholesale segment. </w:t>
      </w:r>
      <w:r w:rsidR="00734E94">
        <w:t>TD</w:t>
      </w:r>
      <w:r w:rsidR="00734E94" w:rsidRPr="0087613A">
        <w:t xml:space="preserve"> also had positive shareholder returns in fiscal 2015, which made </w:t>
      </w:r>
      <w:r w:rsidR="0010025C">
        <w:t>it</w:t>
      </w:r>
      <w:r w:rsidR="0010025C" w:rsidRPr="0087613A">
        <w:t xml:space="preserve"> </w:t>
      </w:r>
      <w:r w:rsidR="00734E94" w:rsidRPr="0087613A">
        <w:t xml:space="preserve">one of two Canadian banks to achieve this result. </w:t>
      </w:r>
      <w:r w:rsidR="00734E94">
        <w:t xml:space="preserve">TD </w:t>
      </w:r>
      <w:r w:rsidR="00734E94" w:rsidRPr="0087613A">
        <w:t>had strong growth in operations, financial positions, share</w:t>
      </w:r>
      <w:r w:rsidR="00734E94">
        <w:t xml:space="preserve"> value</w:t>
      </w:r>
      <w:r w:rsidR="00734E94" w:rsidRPr="0087613A">
        <w:t>, and financial ratios</w:t>
      </w:r>
      <w:r w:rsidR="00734E94">
        <w:t xml:space="preserve"> (see Exhibit 1)</w:t>
      </w:r>
      <w:r w:rsidR="00734E94" w:rsidRPr="0087613A">
        <w:t>.</w:t>
      </w:r>
      <w:bookmarkStart w:id="1" w:name="_Ref500169725"/>
      <w:r w:rsidR="00AC3282" w:rsidRPr="0087613A">
        <w:rPr>
          <w:rStyle w:val="FootnoteReference"/>
        </w:rPr>
        <w:footnoteReference w:id="3"/>
      </w:r>
      <w:bookmarkEnd w:id="1"/>
      <w:r w:rsidR="00734E94" w:rsidRPr="0087613A">
        <w:t xml:space="preserve"> </w:t>
      </w:r>
    </w:p>
    <w:p w14:paraId="23C1F47A" w14:textId="77777777" w:rsidR="00734E94" w:rsidRDefault="00734E94" w:rsidP="00734E94">
      <w:pPr>
        <w:pStyle w:val="BodyTextMain"/>
      </w:pPr>
    </w:p>
    <w:p w14:paraId="62CCBD9E" w14:textId="77777777" w:rsidR="00734E94" w:rsidRPr="0087613A" w:rsidRDefault="00734E94" w:rsidP="00734E94">
      <w:pPr>
        <w:pStyle w:val="BodyTextMain"/>
      </w:pPr>
    </w:p>
    <w:p w14:paraId="6393334F" w14:textId="77777777" w:rsidR="00734E94" w:rsidRDefault="00734E94" w:rsidP="00C75B16">
      <w:pPr>
        <w:pStyle w:val="Casehead1"/>
        <w:outlineLvl w:val="0"/>
      </w:pPr>
      <w:r w:rsidRPr="0087613A">
        <w:t xml:space="preserve">Identifying the Need for a Data Transformation Program </w:t>
      </w:r>
    </w:p>
    <w:p w14:paraId="21244088" w14:textId="77777777" w:rsidR="00734E94" w:rsidRPr="0087613A" w:rsidRDefault="00734E94" w:rsidP="00734E94">
      <w:pPr>
        <w:pStyle w:val="BodyTextMain"/>
      </w:pPr>
    </w:p>
    <w:p w14:paraId="4014FA89" w14:textId="4E49894C" w:rsidR="000C048C" w:rsidRDefault="00734E94" w:rsidP="00703B9D">
      <w:pPr>
        <w:pStyle w:val="BodyTextMain"/>
      </w:pPr>
      <w:r w:rsidRPr="0087613A">
        <w:t>Prior to embarking on its data transformation program in 2013, TD, like many large organizations, faced some key data challenges.</w:t>
      </w:r>
      <w:r w:rsidR="00C75B16">
        <w:t xml:space="preserve"> </w:t>
      </w:r>
      <w:r w:rsidR="008E0C1B">
        <w:t>It had</w:t>
      </w:r>
      <w:r w:rsidRPr="0087613A">
        <w:t xml:space="preserve"> well</w:t>
      </w:r>
      <w:r w:rsidR="000C048C">
        <w:t>-</w:t>
      </w:r>
      <w:r w:rsidRPr="0087613A">
        <w:t>established policies, processes</w:t>
      </w:r>
      <w:r w:rsidR="000C048C">
        <w:t>,</w:t>
      </w:r>
      <w:r w:rsidRPr="0087613A">
        <w:t xml:space="preserve"> and controls covering privacy and </w:t>
      </w:r>
      <w:r w:rsidR="00620EB9">
        <w:t xml:space="preserve">the </w:t>
      </w:r>
      <w:r w:rsidRPr="0087613A">
        <w:t>security of data, but the emerging hypothesis within the bank was that more could be done to meet growing customer expectations that the bank use the data available to enhance and add value to the customer</w:t>
      </w:r>
      <w:r w:rsidR="000C048C">
        <w:t>’</w:t>
      </w:r>
      <w:r w:rsidRPr="0087613A">
        <w:t>s experience and relationship with the bank.</w:t>
      </w:r>
      <w:r w:rsidR="00C75B16">
        <w:t xml:space="preserve"> </w:t>
      </w:r>
    </w:p>
    <w:p w14:paraId="3EA06EBD" w14:textId="77777777" w:rsidR="000C048C" w:rsidRDefault="000C048C" w:rsidP="00703B9D">
      <w:pPr>
        <w:pStyle w:val="BodyTextMain"/>
      </w:pPr>
    </w:p>
    <w:p w14:paraId="4CD4764E" w14:textId="77777777" w:rsidR="00EB0869" w:rsidRDefault="00734E94" w:rsidP="00703B9D">
      <w:pPr>
        <w:pStyle w:val="BodyTextMain"/>
      </w:pPr>
      <w:r w:rsidRPr="0087613A">
        <w:t>In order to gain a deeper understanding of its data challenges, TD conducted interviews with over 200 of its key business and technology leaders.</w:t>
      </w:r>
      <w:r w:rsidR="000C048C">
        <w:t xml:space="preserve"> </w:t>
      </w:r>
      <w:r>
        <w:t xml:space="preserve">Several </w:t>
      </w:r>
      <w:r w:rsidRPr="0087613A">
        <w:t>key themes emerged from these interviews</w:t>
      </w:r>
      <w:r>
        <w:t xml:space="preserve">. </w:t>
      </w:r>
      <w:r w:rsidR="00EB0869">
        <w:t>While data was managed primarily at the business level, the data quality processes, goals, and governance needed to be formalized at an enterprise level. Also at an enterprise level, TD could enhance its ability to identify data sources</w:t>
      </w:r>
      <w:r w:rsidR="00EB0869" w:rsidRPr="00FC7A3F">
        <w:t xml:space="preserve"> </w:t>
      </w:r>
      <w:r w:rsidR="00EB0869">
        <w:t>and trace the flow of data. This was particularly relevant because data usually needed to be extracted from multiple systems to gain insight that was valuable. Finally, keeping analytics within each business line and dispersing reporting among several teams and systems resulted in inefficiencies and ineffective data management.</w:t>
      </w:r>
    </w:p>
    <w:p w14:paraId="02E320A5" w14:textId="49B979ED" w:rsidR="00734E94" w:rsidRPr="0087613A" w:rsidRDefault="00734E94" w:rsidP="00734E94">
      <w:pPr>
        <w:pStyle w:val="BodyTextMain"/>
      </w:pPr>
    </w:p>
    <w:p w14:paraId="59E8A742" w14:textId="7624FD20" w:rsidR="00734E94" w:rsidRPr="009464B0" w:rsidRDefault="00734E94" w:rsidP="00734E94">
      <w:pPr>
        <w:pStyle w:val="BodyTextMain"/>
        <w:rPr>
          <w:spacing w:val="-4"/>
          <w:kern w:val="22"/>
        </w:rPr>
      </w:pPr>
      <w:r w:rsidRPr="009464B0">
        <w:rPr>
          <w:spacing w:val="-4"/>
          <w:kern w:val="22"/>
        </w:rPr>
        <w:t>These challenges created operational inefficiencies and resulted in underutilized employee capabilities.</w:t>
      </w:r>
      <w:r w:rsidR="00C75B16" w:rsidRPr="009464B0">
        <w:rPr>
          <w:spacing w:val="-4"/>
          <w:kern w:val="22"/>
        </w:rPr>
        <w:t xml:space="preserve"> </w:t>
      </w:r>
      <w:r w:rsidRPr="009464B0">
        <w:rPr>
          <w:spacing w:val="-4"/>
          <w:kern w:val="22"/>
        </w:rPr>
        <w:t>The business implications and the ever</w:t>
      </w:r>
      <w:r w:rsidR="00296D0F" w:rsidRPr="009464B0">
        <w:rPr>
          <w:spacing w:val="-4"/>
          <w:kern w:val="22"/>
        </w:rPr>
        <w:t>-</w:t>
      </w:r>
      <w:r w:rsidRPr="009464B0">
        <w:rPr>
          <w:spacing w:val="-4"/>
          <w:kern w:val="22"/>
        </w:rPr>
        <w:t xml:space="preserve">growing amount of data warranted the need for TD to embark on a data transformation program. TD needed to examine the way it managed and governed its data to realize </w:t>
      </w:r>
      <w:r w:rsidR="00AD1EE0" w:rsidRPr="009464B0">
        <w:rPr>
          <w:spacing w:val="-4"/>
          <w:kern w:val="22"/>
        </w:rPr>
        <w:t xml:space="preserve">its </w:t>
      </w:r>
      <w:r w:rsidRPr="009464B0">
        <w:rPr>
          <w:spacing w:val="-4"/>
          <w:kern w:val="22"/>
        </w:rPr>
        <w:t>full business benefit. The data transformation journey required TD to develop an enterprise data strategy, build a team of people to govern and oversee the data, design and implement data standards and policies</w:t>
      </w:r>
      <w:r w:rsidR="001C792A" w:rsidRPr="009464B0">
        <w:rPr>
          <w:spacing w:val="-4"/>
          <w:kern w:val="22"/>
        </w:rPr>
        <w:t>,</w:t>
      </w:r>
      <w:r w:rsidRPr="009464B0">
        <w:rPr>
          <w:spacing w:val="-4"/>
          <w:kern w:val="22"/>
        </w:rPr>
        <w:t xml:space="preserve"> </w:t>
      </w:r>
      <w:r w:rsidR="001C792A" w:rsidRPr="009464B0">
        <w:rPr>
          <w:spacing w:val="-4"/>
          <w:kern w:val="22"/>
        </w:rPr>
        <w:t>and</w:t>
      </w:r>
      <w:r w:rsidRPr="009464B0">
        <w:rPr>
          <w:spacing w:val="-4"/>
          <w:kern w:val="22"/>
        </w:rPr>
        <w:t xml:space="preserve"> implement processes and tools to monitor and enforce the data management policies and overall governance of its data.</w:t>
      </w:r>
      <w:r w:rsidR="00C75B16" w:rsidRPr="009464B0">
        <w:rPr>
          <w:spacing w:val="-4"/>
          <w:kern w:val="22"/>
        </w:rPr>
        <w:t xml:space="preserve"> </w:t>
      </w:r>
    </w:p>
    <w:p w14:paraId="4D657780" w14:textId="77777777" w:rsidR="00734E94" w:rsidRPr="0087613A" w:rsidRDefault="00734E94" w:rsidP="00734E94">
      <w:pPr>
        <w:pStyle w:val="BodyTextMain"/>
      </w:pPr>
    </w:p>
    <w:p w14:paraId="48A65240" w14:textId="17D90507" w:rsidR="00734E94" w:rsidRDefault="00734E94" w:rsidP="00734E94">
      <w:pPr>
        <w:pStyle w:val="BodyTextMain"/>
      </w:pPr>
      <w:r w:rsidRPr="0087613A">
        <w:t>TD was the first of the five major banks in Canada to establish a CDO role</w:t>
      </w:r>
      <w:r w:rsidR="00260472">
        <w:t>, created</w:t>
      </w:r>
      <w:r w:rsidRPr="0087613A">
        <w:t xml:space="preserve"> </w:t>
      </w:r>
      <w:r w:rsidR="00AD1EE0">
        <w:t xml:space="preserve">at TD </w:t>
      </w:r>
      <w:r w:rsidRPr="0087613A">
        <w:t>in 2013</w:t>
      </w:r>
      <w:r w:rsidR="00260472">
        <w:t xml:space="preserve">. The CDO was </w:t>
      </w:r>
      <w:r w:rsidRPr="0087613A">
        <w:t>responsibl</w:t>
      </w:r>
      <w:r w:rsidR="00260472">
        <w:t>e</w:t>
      </w:r>
      <w:r w:rsidRPr="0087613A">
        <w:t xml:space="preserve"> for enterprise-wide data governance and the </w:t>
      </w:r>
      <w:r w:rsidR="00260472">
        <w:t>use</w:t>
      </w:r>
      <w:r w:rsidR="00260472" w:rsidRPr="0087613A">
        <w:t xml:space="preserve"> </w:t>
      </w:r>
      <w:r w:rsidRPr="0087613A">
        <w:t xml:space="preserve">of information as an asset. The CDO </w:t>
      </w:r>
      <w:r w:rsidR="00260472">
        <w:t>wa</w:t>
      </w:r>
      <w:r w:rsidRPr="0087613A">
        <w:t>s also responsible for driving enterprise innovation, transformation</w:t>
      </w:r>
      <w:r w:rsidR="00260472">
        <w:t>,</w:t>
      </w:r>
      <w:r w:rsidRPr="0087613A">
        <w:t xml:space="preserve"> and market-facing competitive advantage through the combination of data and analytics.</w:t>
      </w:r>
      <w:r w:rsidR="00C75B16">
        <w:t xml:space="preserve"> </w:t>
      </w:r>
      <w:r w:rsidRPr="0087613A">
        <w:t xml:space="preserve">As a member of the senior management team at </w:t>
      </w:r>
      <w:r>
        <w:t>TD</w:t>
      </w:r>
      <w:r w:rsidRPr="0087613A">
        <w:t xml:space="preserve">, the CDO </w:t>
      </w:r>
      <w:r w:rsidR="00260472">
        <w:t xml:space="preserve">was able to monitor and </w:t>
      </w:r>
      <w:r w:rsidR="00620EB9">
        <w:t xml:space="preserve">to </w:t>
      </w:r>
      <w:r w:rsidR="00260472">
        <w:t>contribute to the</w:t>
      </w:r>
      <w:r w:rsidRPr="0087613A">
        <w:t xml:space="preserve"> strategic priorities of the organization. This help</w:t>
      </w:r>
      <w:r w:rsidR="00260472">
        <w:t>ed</w:t>
      </w:r>
      <w:r w:rsidRPr="0087613A">
        <w:t xml:space="preserve"> to </w:t>
      </w:r>
      <w:r w:rsidR="00260472">
        <w:t xml:space="preserve">align the </w:t>
      </w:r>
      <w:r w:rsidRPr="0087613A">
        <w:t xml:space="preserve">enterprise data strategy </w:t>
      </w:r>
      <w:r w:rsidR="00260472">
        <w:t>with</w:t>
      </w:r>
      <w:r w:rsidRPr="0087613A">
        <w:t xml:space="preserve"> business priorities</w:t>
      </w:r>
      <w:r w:rsidR="00260472">
        <w:t>,</w:t>
      </w:r>
      <w:r w:rsidRPr="0087613A">
        <w:t xml:space="preserve"> and </w:t>
      </w:r>
      <w:r w:rsidR="00260472">
        <w:t xml:space="preserve">ensure that </w:t>
      </w:r>
      <w:r w:rsidRPr="0087613A">
        <w:t xml:space="preserve">the data implications of these priorities </w:t>
      </w:r>
      <w:r w:rsidR="00260472">
        <w:t>were</w:t>
      </w:r>
      <w:r w:rsidR="00260472" w:rsidRPr="0087613A">
        <w:t xml:space="preserve"> </w:t>
      </w:r>
      <w:r w:rsidRPr="0087613A">
        <w:t>understood and consider</w:t>
      </w:r>
      <w:r w:rsidR="00260472">
        <w:t>ed</w:t>
      </w:r>
      <w:r w:rsidRPr="0087613A">
        <w:t xml:space="preserve"> when prioritizing the key business initiatives.</w:t>
      </w:r>
      <w:r w:rsidR="00C75B16">
        <w:t xml:space="preserve"> </w:t>
      </w:r>
    </w:p>
    <w:p w14:paraId="2FAE388B" w14:textId="77777777" w:rsidR="00F61682" w:rsidRPr="0087613A" w:rsidRDefault="00F61682" w:rsidP="00734E94">
      <w:pPr>
        <w:pStyle w:val="BodyTextMain"/>
      </w:pPr>
    </w:p>
    <w:p w14:paraId="74CCB0AD" w14:textId="433065D1" w:rsidR="00E95DD3" w:rsidRDefault="00734E94" w:rsidP="00734E94">
      <w:pPr>
        <w:pStyle w:val="BodyTextMain"/>
      </w:pPr>
      <w:r w:rsidRPr="0087613A">
        <w:t xml:space="preserve">Upon joining TD in 2013, the previous CDO established the Office of the Chief Data Officer (OCDO) </w:t>
      </w:r>
      <w:r w:rsidR="00E95DD3">
        <w:t xml:space="preserve">with a presence both </w:t>
      </w:r>
      <w:r w:rsidRPr="0087613A">
        <w:t xml:space="preserve">in </w:t>
      </w:r>
      <w:r w:rsidR="00E95DD3">
        <w:t xml:space="preserve">Canada—in </w:t>
      </w:r>
      <w:r w:rsidRPr="0087613A">
        <w:t xml:space="preserve">Toronto, </w:t>
      </w:r>
      <w:r w:rsidR="00E95DD3">
        <w:t>Ontario— and in the United States—in</w:t>
      </w:r>
      <w:r w:rsidRPr="0087613A">
        <w:t xml:space="preserve"> </w:t>
      </w:r>
      <w:r>
        <w:t>Mount Laurel, New Jersey</w:t>
      </w:r>
      <w:r w:rsidRPr="0087613A">
        <w:t>.</w:t>
      </w:r>
      <w:r>
        <w:t xml:space="preserve"> </w:t>
      </w:r>
      <w:r w:rsidR="00E95DD3" w:rsidRPr="0087613A">
        <w:t xml:space="preserve">The </w:t>
      </w:r>
      <w:r w:rsidR="00E95DD3">
        <w:t>O</w:t>
      </w:r>
      <w:r w:rsidR="00E95DD3" w:rsidRPr="0087613A">
        <w:t xml:space="preserve">CDO worked with multiple lines of business across the bank to establish data governance policies and ensure that </w:t>
      </w:r>
      <w:r w:rsidR="00E95DD3">
        <w:t>the</w:t>
      </w:r>
      <w:r w:rsidR="00E95DD3" w:rsidRPr="0087613A">
        <w:t xml:space="preserve"> departments adhere</w:t>
      </w:r>
      <w:r w:rsidR="00E95DD3">
        <w:t>d</w:t>
      </w:r>
      <w:r w:rsidR="00E95DD3" w:rsidRPr="0087613A">
        <w:t xml:space="preserve"> to </w:t>
      </w:r>
      <w:r w:rsidR="00E95DD3">
        <w:t>these</w:t>
      </w:r>
      <w:r w:rsidR="00E95DD3" w:rsidRPr="0087613A">
        <w:t xml:space="preserve"> policies and regulations.</w:t>
      </w:r>
    </w:p>
    <w:p w14:paraId="49BBF76D" w14:textId="68F80201" w:rsidR="00734E94" w:rsidRDefault="00734E94" w:rsidP="00734E94">
      <w:pPr>
        <w:pStyle w:val="BodyTextMain"/>
      </w:pPr>
      <w:r>
        <w:t>The</w:t>
      </w:r>
      <w:r w:rsidRPr="0087613A">
        <w:t xml:space="preserve"> </w:t>
      </w:r>
      <w:r>
        <w:t>first task was</w:t>
      </w:r>
      <w:r w:rsidRPr="0087613A">
        <w:t xml:space="preserve"> to develop the </w:t>
      </w:r>
      <w:r w:rsidR="00260472">
        <w:t>e</w:t>
      </w:r>
      <w:r w:rsidRPr="0087613A">
        <w:t xml:space="preserve">nterprise </w:t>
      </w:r>
      <w:r w:rsidR="00260472">
        <w:t>d</w:t>
      </w:r>
      <w:r w:rsidRPr="0087613A">
        <w:t xml:space="preserve">ata </w:t>
      </w:r>
      <w:r w:rsidR="00260472">
        <w:t>s</w:t>
      </w:r>
      <w:r w:rsidRPr="0087613A">
        <w:t>trategy</w:t>
      </w:r>
      <w:r w:rsidR="00620EB9">
        <w:t>;</w:t>
      </w:r>
      <w:r w:rsidRPr="0087613A">
        <w:t xml:space="preserve"> establish data stewardship roles within the lines of business</w:t>
      </w:r>
      <w:r w:rsidR="00620EB9">
        <w:t>;</w:t>
      </w:r>
      <w:r w:rsidRPr="0087613A">
        <w:t xml:space="preserve"> and pilot the </w:t>
      </w:r>
      <w:r w:rsidR="00450D56">
        <w:t>d</w:t>
      </w:r>
      <w:r w:rsidRPr="0087613A">
        <w:t xml:space="preserve">ata </w:t>
      </w:r>
      <w:r w:rsidR="00450D56">
        <w:t>i</w:t>
      </w:r>
      <w:r w:rsidRPr="0087613A">
        <w:t>ssue</w:t>
      </w:r>
      <w:r w:rsidR="00A11BBD">
        <w:t>,</w:t>
      </w:r>
      <w:r w:rsidRPr="0087613A">
        <w:t xml:space="preserve"> </w:t>
      </w:r>
      <w:r w:rsidR="00450D56">
        <w:t>c</w:t>
      </w:r>
      <w:r w:rsidRPr="0087613A">
        <w:t>hange</w:t>
      </w:r>
      <w:r w:rsidR="00A11BBD">
        <w:t>,</w:t>
      </w:r>
      <w:r w:rsidRPr="0087613A">
        <w:t xml:space="preserve"> and </w:t>
      </w:r>
      <w:r w:rsidR="00450D56">
        <w:t>q</w:t>
      </w:r>
      <w:r w:rsidRPr="0087613A">
        <w:t xml:space="preserve">uality </w:t>
      </w:r>
      <w:r w:rsidR="00450D56">
        <w:t>m</w:t>
      </w:r>
      <w:r w:rsidRPr="0087613A">
        <w:t xml:space="preserve">anagement processes. These activities were critical to establishing the foundation for the management and governance of enterprise data. </w:t>
      </w:r>
      <w:r>
        <w:t>TD</w:t>
      </w:r>
      <w:r w:rsidRPr="008E1D5F">
        <w:t xml:space="preserve"> enlisted </w:t>
      </w:r>
      <w:r w:rsidRPr="008E1D5F">
        <w:lastRenderedPageBreak/>
        <w:t xml:space="preserve">external analytical and technical expertise from a variety of consulting firms. Throughout the data transformation journey, IBM had been a key partner in </w:t>
      </w:r>
      <w:r w:rsidR="00450D56">
        <w:t>implementing the</w:t>
      </w:r>
      <w:r w:rsidR="00450D56" w:rsidRPr="008E1D5F">
        <w:t xml:space="preserve"> </w:t>
      </w:r>
      <w:r w:rsidRPr="008E1D5F">
        <w:t>application</w:t>
      </w:r>
      <w:r w:rsidR="00450D56">
        <w:t>s</w:t>
      </w:r>
      <w:r w:rsidRPr="008E1D5F">
        <w:t xml:space="preserve"> and </w:t>
      </w:r>
      <w:r w:rsidR="00450D56">
        <w:t xml:space="preserve">doing the </w:t>
      </w:r>
      <w:r w:rsidRPr="008E1D5F">
        <w:t>related process work (</w:t>
      </w:r>
      <w:r w:rsidR="00F61682">
        <w:t>see E</w:t>
      </w:r>
      <w:r w:rsidRPr="008E1D5F">
        <w:t>xhibit 2).</w:t>
      </w:r>
    </w:p>
    <w:p w14:paraId="4B0FDCA6" w14:textId="77777777" w:rsidR="00F61682" w:rsidRPr="0087613A" w:rsidRDefault="00F61682" w:rsidP="00734E94">
      <w:pPr>
        <w:pStyle w:val="BodyTextMain"/>
      </w:pPr>
    </w:p>
    <w:p w14:paraId="3A90B428" w14:textId="0D71C153" w:rsidR="00734E94" w:rsidRPr="009464B0" w:rsidRDefault="00734E94" w:rsidP="00734E94">
      <w:pPr>
        <w:pStyle w:val="BodyTextMain"/>
        <w:rPr>
          <w:spacing w:val="-2"/>
          <w:kern w:val="22"/>
        </w:rPr>
      </w:pPr>
      <w:r w:rsidRPr="009464B0">
        <w:rPr>
          <w:spacing w:val="-2"/>
          <w:kern w:val="22"/>
        </w:rPr>
        <w:t xml:space="preserve">Executive sponsorship and commitment to the data transformation program </w:t>
      </w:r>
      <w:r w:rsidR="00C0491C" w:rsidRPr="009464B0">
        <w:rPr>
          <w:spacing w:val="-2"/>
          <w:kern w:val="22"/>
        </w:rPr>
        <w:t>were</w:t>
      </w:r>
      <w:r w:rsidRPr="009464B0">
        <w:rPr>
          <w:spacing w:val="-2"/>
          <w:kern w:val="22"/>
        </w:rPr>
        <w:t xml:space="preserve"> important </w:t>
      </w:r>
      <w:r w:rsidR="00450D56" w:rsidRPr="009464B0">
        <w:rPr>
          <w:spacing w:val="-2"/>
          <w:kern w:val="22"/>
        </w:rPr>
        <w:t xml:space="preserve">to </w:t>
      </w:r>
      <w:r w:rsidRPr="009464B0">
        <w:rPr>
          <w:spacing w:val="-2"/>
          <w:kern w:val="22"/>
        </w:rPr>
        <w:t>ensur</w:t>
      </w:r>
      <w:r w:rsidR="00450D56" w:rsidRPr="009464B0">
        <w:rPr>
          <w:spacing w:val="-2"/>
          <w:kern w:val="22"/>
        </w:rPr>
        <w:t>e</w:t>
      </w:r>
      <w:r w:rsidRPr="009464B0">
        <w:rPr>
          <w:spacing w:val="-2"/>
          <w:kern w:val="22"/>
        </w:rPr>
        <w:t xml:space="preserve"> resources </w:t>
      </w:r>
      <w:r w:rsidR="00450D56" w:rsidRPr="009464B0">
        <w:rPr>
          <w:spacing w:val="-2"/>
          <w:kern w:val="22"/>
        </w:rPr>
        <w:t xml:space="preserve">were committed </w:t>
      </w:r>
      <w:r w:rsidRPr="009464B0">
        <w:rPr>
          <w:spacing w:val="-2"/>
          <w:kern w:val="22"/>
        </w:rPr>
        <w:t>and expectations</w:t>
      </w:r>
      <w:r w:rsidR="00450D56" w:rsidRPr="009464B0">
        <w:rPr>
          <w:spacing w:val="-2"/>
          <w:kern w:val="22"/>
        </w:rPr>
        <w:t xml:space="preserve"> managed</w:t>
      </w:r>
      <w:r w:rsidRPr="009464B0">
        <w:rPr>
          <w:spacing w:val="-2"/>
          <w:kern w:val="22"/>
        </w:rPr>
        <w:t>.</w:t>
      </w:r>
      <w:r w:rsidR="00C75B16" w:rsidRPr="009464B0">
        <w:rPr>
          <w:spacing w:val="-2"/>
          <w:kern w:val="22"/>
        </w:rPr>
        <w:t xml:space="preserve"> </w:t>
      </w:r>
      <w:r w:rsidRPr="009464B0">
        <w:rPr>
          <w:spacing w:val="-2"/>
          <w:kern w:val="22"/>
        </w:rPr>
        <w:t xml:space="preserve">In addition to appointing a CDO, TD also engaged senior executives from each line of business as </w:t>
      </w:r>
      <w:r w:rsidR="00450D56" w:rsidRPr="009464B0">
        <w:rPr>
          <w:spacing w:val="-2"/>
          <w:kern w:val="22"/>
        </w:rPr>
        <w:t>an “e</w:t>
      </w:r>
      <w:r w:rsidRPr="009464B0">
        <w:rPr>
          <w:spacing w:val="-2"/>
          <w:kern w:val="22"/>
        </w:rPr>
        <w:t xml:space="preserve">xecutive </w:t>
      </w:r>
      <w:r w:rsidR="00450D56" w:rsidRPr="009464B0">
        <w:rPr>
          <w:spacing w:val="-2"/>
          <w:kern w:val="22"/>
        </w:rPr>
        <w:t>d</w:t>
      </w:r>
      <w:r w:rsidRPr="009464B0">
        <w:rPr>
          <w:spacing w:val="-2"/>
          <w:kern w:val="22"/>
        </w:rPr>
        <w:t xml:space="preserve">ata </w:t>
      </w:r>
      <w:r w:rsidR="00450D56" w:rsidRPr="009464B0">
        <w:rPr>
          <w:spacing w:val="-2"/>
          <w:kern w:val="22"/>
        </w:rPr>
        <w:t>s</w:t>
      </w:r>
      <w:r w:rsidRPr="009464B0">
        <w:rPr>
          <w:spacing w:val="-2"/>
          <w:kern w:val="22"/>
        </w:rPr>
        <w:t>ponsor</w:t>
      </w:r>
      <w:r w:rsidR="00450D56" w:rsidRPr="009464B0">
        <w:rPr>
          <w:spacing w:val="-2"/>
          <w:kern w:val="22"/>
        </w:rPr>
        <w:t>”</w:t>
      </w:r>
      <w:r w:rsidRPr="009464B0">
        <w:rPr>
          <w:spacing w:val="-2"/>
          <w:kern w:val="22"/>
        </w:rPr>
        <w:t xml:space="preserve"> to ensure that the line</w:t>
      </w:r>
      <w:r w:rsidR="00342537" w:rsidRPr="009464B0">
        <w:rPr>
          <w:spacing w:val="-2"/>
          <w:kern w:val="22"/>
        </w:rPr>
        <w:t>s</w:t>
      </w:r>
      <w:r w:rsidRPr="009464B0">
        <w:rPr>
          <w:spacing w:val="-2"/>
          <w:kern w:val="22"/>
        </w:rPr>
        <w:t xml:space="preserve"> of business data strategies </w:t>
      </w:r>
      <w:r w:rsidR="00450D56" w:rsidRPr="009464B0">
        <w:rPr>
          <w:spacing w:val="-2"/>
          <w:kern w:val="22"/>
        </w:rPr>
        <w:t xml:space="preserve">were </w:t>
      </w:r>
      <w:r w:rsidRPr="009464B0">
        <w:rPr>
          <w:spacing w:val="-2"/>
          <w:kern w:val="22"/>
        </w:rPr>
        <w:t xml:space="preserve">aligned </w:t>
      </w:r>
      <w:r w:rsidR="00620EB9" w:rsidRPr="009464B0">
        <w:rPr>
          <w:spacing w:val="-2"/>
          <w:kern w:val="22"/>
        </w:rPr>
        <w:t>with</w:t>
      </w:r>
      <w:r w:rsidRPr="009464B0">
        <w:rPr>
          <w:spacing w:val="-2"/>
          <w:kern w:val="22"/>
        </w:rPr>
        <w:t xml:space="preserve"> </w:t>
      </w:r>
      <w:r w:rsidR="00450D56" w:rsidRPr="009464B0">
        <w:rPr>
          <w:spacing w:val="-2"/>
          <w:kern w:val="22"/>
        </w:rPr>
        <w:t>the e</w:t>
      </w:r>
      <w:r w:rsidRPr="009464B0">
        <w:rPr>
          <w:spacing w:val="-2"/>
          <w:kern w:val="22"/>
        </w:rPr>
        <w:t xml:space="preserve">nterprise </w:t>
      </w:r>
      <w:r w:rsidR="00450D56" w:rsidRPr="009464B0">
        <w:rPr>
          <w:spacing w:val="-2"/>
          <w:kern w:val="22"/>
        </w:rPr>
        <w:t>d</w:t>
      </w:r>
      <w:r w:rsidRPr="009464B0">
        <w:rPr>
          <w:spacing w:val="-2"/>
          <w:kern w:val="22"/>
        </w:rPr>
        <w:t xml:space="preserve">ata </w:t>
      </w:r>
      <w:r w:rsidR="00450D56" w:rsidRPr="009464B0">
        <w:rPr>
          <w:spacing w:val="-2"/>
          <w:kern w:val="22"/>
        </w:rPr>
        <w:t>s</w:t>
      </w:r>
      <w:r w:rsidRPr="009464B0">
        <w:rPr>
          <w:spacing w:val="-2"/>
          <w:kern w:val="22"/>
        </w:rPr>
        <w:t xml:space="preserve">trategy and policy. The </w:t>
      </w:r>
      <w:r w:rsidR="00450D56" w:rsidRPr="009464B0">
        <w:rPr>
          <w:spacing w:val="-2"/>
          <w:kern w:val="22"/>
        </w:rPr>
        <w:t>e</w:t>
      </w:r>
      <w:r w:rsidRPr="009464B0">
        <w:rPr>
          <w:spacing w:val="-2"/>
          <w:kern w:val="22"/>
        </w:rPr>
        <w:t xml:space="preserve">xecutive </w:t>
      </w:r>
      <w:r w:rsidR="00450D56" w:rsidRPr="009464B0">
        <w:rPr>
          <w:spacing w:val="-2"/>
          <w:kern w:val="22"/>
        </w:rPr>
        <w:t>d</w:t>
      </w:r>
      <w:r w:rsidRPr="009464B0">
        <w:rPr>
          <w:spacing w:val="-2"/>
          <w:kern w:val="22"/>
        </w:rPr>
        <w:t xml:space="preserve">ata </w:t>
      </w:r>
      <w:r w:rsidR="00450D56" w:rsidRPr="009464B0">
        <w:rPr>
          <w:spacing w:val="-2"/>
          <w:kern w:val="22"/>
        </w:rPr>
        <w:t>s</w:t>
      </w:r>
      <w:r w:rsidRPr="009464B0">
        <w:rPr>
          <w:spacing w:val="-2"/>
          <w:kern w:val="22"/>
        </w:rPr>
        <w:t xml:space="preserve">ponsor role </w:t>
      </w:r>
      <w:r w:rsidR="00450D56" w:rsidRPr="009464B0">
        <w:rPr>
          <w:spacing w:val="-2"/>
          <w:kern w:val="22"/>
        </w:rPr>
        <w:t>wa</w:t>
      </w:r>
      <w:r w:rsidRPr="009464B0">
        <w:rPr>
          <w:spacing w:val="-2"/>
          <w:kern w:val="22"/>
        </w:rPr>
        <w:t>s to provide funding, drive data governance and quality, escalate issues</w:t>
      </w:r>
      <w:r w:rsidR="00450D56" w:rsidRPr="009464B0">
        <w:rPr>
          <w:spacing w:val="-2"/>
          <w:kern w:val="22"/>
        </w:rPr>
        <w:t>,</w:t>
      </w:r>
      <w:r w:rsidRPr="009464B0">
        <w:rPr>
          <w:spacing w:val="-2"/>
          <w:kern w:val="22"/>
        </w:rPr>
        <w:t xml:space="preserve"> and appoint data stewards.</w:t>
      </w:r>
    </w:p>
    <w:p w14:paraId="5C5C32EE" w14:textId="77777777" w:rsidR="00734E94" w:rsidRDefault="00734E94" w:rsidP="00734E94">
      <w:pPr>
        <w:pStyle w:val="BodyTextMain"/>
      </w:pPr>
    </w:p>
    <w:p w14:paraId="581AAA7A" w14:textId="77777777" w:rsidR="00734E94" w:rsidRPr="0087613A" w:rsidRDefault="00734E94" w:rsidP="00734E94">
      <w:pPr>
        <w:pStyle w:val="BodyTextMain"/>
      </w:pPr>
    </w:p>
    <w:p w14:paraId="120AF83E" w14:textId="77777777" w:rsidR="00734E94" w:rsidRDefault="00734E94" w:rsidP="00C75B16">
      <w:pPr>
        <w:pStyle w:val="Casehead1"/>
        <w:outlineLvl w:val="0"/>
      </w:pPr>
      <w:r w:rsidRPr="0087613A">
        <w:t>Competitors</w:t>
      </w:r>
    </w:p>
    <w:p w14:paraId="49E227E8" w14:textId="77777777" w:rsidR="00734E94" w:rsidRPr="0087613A" w:rsidRDefault="00734E94" w:rsidP="00734E94">
      <w:pPr>
        <w:pStyle w:val="BodyTextMain"/>
      </w:pPr>
    </w:p>
    <w:p w14:paraId="0421D0C4" w14:textId="2130F428" w:rsidR="00734E94" w:rsidRPr="0087613A" w:rsidRDefault="00734E94" w:rsidP="00734E94">
      <w:pPr>
        <w:pStyle w:val="BodyTextMain"/>
      </w:pPr>
      <w:r w:rsidRPr="0087613A">
        <w:t xml:space="preserve">Many organizations were drowning in a sea of data but were unable to leverage this data for business insight. Banks, in particular, </w:t>
      </w:r>
      <w:r w:rsidR="00BA6FFC">
        <w:t xml:space="preserve">were dealing with </w:t>
      </w:r>
      <w:r w:rsidRPr="0087613A">
        <w:t>increas</w:t>
      </w:r>
      <w:r w:rsidR="00BA6FFC">
        <w:t>ing</w:t>
      </w:r>
      <w:r w:rsidRPr="0087613A">
        <w:t xml:space="preserve"> amount</w:t>
      </w:r>
      <w:r w:rsidR="00BA6FFC">
        <w:t>s</w:t>
      </w:r>
      <w:r w:rsidRPr="0087613A">
        <w:t xml:space="preserve"> of available data as mobile and online services increased the </w:t>
      </w:r>
      <w:r w:rsidR="00BA6FFC">
        <w:t xml:space="preserve">amount of </w:t>
      </w:r>
      <w:r w:rsidR="00F61682">
        <w:t xml:space="preserve">personalized data </w:t>
      </w:r>
      <w:r w:rsidR="00BA6FFC">
        <w:t xml:space="preserve">collected from </w:t>
      </w:r>
      <w:r w:rsidR="00F61682">
        <w:t>customers.</w:t>
      </w:r>
      <w:r w:rsidRPr="0087613A">
        <w:t xml:space="preserve"> </w:t>
      </w:r>
      <w:r w:rsidR="00BA6FFC">
        <w:t>The question was h</w:t>
      </w:r>
      <w:r w:rsidRPr="0087613A">
        <w:t xml:space="preserve">ow to capitalize on the potential value </w:t>
      </w:r>
      <w:r w:rsidR="00BA6FFC">
        <w:t>in the</w:t>
      </w:r>
      <w:r w:rsidR="00BA6FFC" w:rsidRPr="0087613A">
        <w:t xml:space="preserve"> </w:t>
      </w:r>
      <w:r w:rsidRPr="0087613A">
        <w:t>data</w:t>
      </w:r>
      <w:r w:rsidR="00BA6FFC">
        <w:t>.</w:t>
      </w:r>
      <w:r w:rsidRPr="0087613A">
        <w:t xml:space="preserve"> Data underpin</w:t>
      </w:r>
      <w:r w:rsidR="00BA6FFC">
        <w:t>ned</w:t>
      </w:r>
      <w:r w:rsidRPr="0087613A">
        <w:t xml:space="preserve"> every transaction, operation</w:t>
      </w:r>
      <w:r w:rsidR="00BA6FFC">
        <w:t>,</w:t>
      </w:r>
      <w:r w:rsidRPr="0087613A">
        <w:t xml:space="preserve"> and interaction in an organization</w:t>
      </w:r>
      <w:r w:rsidR="00BA6FFC">
        <w:t>, but</w:t>
      </w:r>
      <w:r w:rsidRPr="0087613A">
        <w:t xml:space="preserve"> the ability to extract the power and value of </w:t>
      </w:r>
      <w:r w:rsidR="00BA6FFC">
        <w:t xml:space="preserve">the </w:t>
      </w:r>
      <w:r w:rsidRPr="0087613A">
        <w:t xml:space="preserve">data and convert it into real actionable business insight remained elusive to many organizations. </w:t>
      </w:r>
      <w:r>
        <w:t>TD</w:t>
      </w:r>
      <w:r w:rsidRPr="0087613A">
        <w:t xml:space="preserve"> was determined to be an industry leader </w:t>
      </w:r>
      <w:r w:rsidR="00BA6FFC">
        <w:t>with</w:t>
      </w:r>
      <w:r w:rsidR="00BA6FFC" w:rsidRPr="0087613A">
        <w:t xml:space="preserve"> </w:t>
      </w:r>
      <w:r w:rsidR="007E4B6D">
        <w:t>its</w:t>
      </w:r>
      <w:r w:rsidRPr="0087613A">
        <w:t xml:space="preserve"> analytical capabilities and technological developments. </w:t>
      </w:r>
    </w:p>
    <w:p w14:paraId="2052AEBF" w14:textId="77777777" w:rsidR="00734E94" w:rsidRDefault="00734E94" w:rsidP="00734E94">
      <w:pPr>
        <w:pStyle w:val="BodyTextMain"/>
      </w:pPr>
    </w:p>
    <w:p w14:paraId="1F068A10" w14:textId="150C41E2" w:rsidR="00734E94" w:rsidRPr="00416B0A" w:rsidRDefault="0066110F" w:rsidP="00734E94">
      <w:pPr>
        <w:pStyle w:val="BodyTextMain"/>
      </w:pPr>
      <w:r w:rsidRPr="0066110F">
        <w:rPr>
          <w:lang w:val="en-US"/>
        </w:rPr>
        <w:t>Deloitte Touche Tohmatsu Limited</w:t>
      </w:r>
      <w:r>
        <w:rPr>
          <w:lang w:val="en-US"/>
        </w:rPr>
        <w:t xml:space="preserve"> (Deloitte) </w:t>
      </w:r>
      <w:r w:rsidR="00734E94" w:rsidRPr="0087613A">
        <w:t xml:space="preserve">evaluated the </w:t>
      </w:r>
      <w:r w:rsidR="00734E94">
        <w:t>banks across Canada and the U</w:t>
      </w:r>
      <w:r w:rsidR="00F61682">
        <w:t xml:space="preserve">nited </w:t>
      </w:r>
      <w:r w:rsidR="00734E94">
        <w:t>S</w:t>
      </w:r>
      <w:r w:rsidR="00F61682">
        <w:t>tates</w:t>
      </w:r>
      <w:r w:rsidR="00734E94">
        <w:t xml:space="preserve">, looking at their </w:t>
      </w:r>
      <w:r w:rsidR="00734E94" w:rsidRPr="0087613A">
        <w:t xml:space="preserve">data management and analytical capabilities by breaking </w:t>
      </w:r>
      <w:r w:rsidR="00984782">
        <w:t xml:space="preserve">them </w:t>
      </w:r>
      <w:r w:rsidR="00734E94" w:rsidRPr="0087613A">
        <w:t xml:space="preserve">down into six </w:t>
      </w:r>
      <w:r w:rsidR="00734E94">
        <w:t>areas</w:t>
      </w:r>
      <w:r w:rsidR="00435C35">
        <w:t xml:space="preserve">: (1) </w:t>
      </w:r>
      <w:r w:rsidR="00984782">
        <w:t xml:space="preserve">data </w:t>
      </w:r>
      <w:r w:rsidR="00435C35">
        <w:t>g</w:t>
      </w:r>
      <w:r w:rsidR="00734E94">
        <w:t xml:space="preserve">overnance </w:t>
      </w:r>
      <w:r w:rsidR="00984782">
        <w:t xml:space="preserve">evaluated how the bank owned and managed </w:t>
      </w:r>
      <w:r w:rsidR="00734E94">
        <w:t xml:space="preserve">data across the organization, including </w:t>
      </w:r>
      <w:r w:rsidR="00984782">
        <w:t xml:space="preserve">how it controlled </w:t>
      </w:r>
      <w:r w:rsidR="00734E94">
        <w:t xml:space="preserve">access </w:t>
      </w:r>
      <w:r w:rsidR="00984782">
        <w:t>to the data</w:t>
      </w:r>
      <w:r w:rsidR="00435C35">
        <w:t xml:space="preserve">; (2) data </w:t>
      </w:r>
      <w:r w:rsidR="00734E94">
        <w:t>management</w:t>
      </w:r>
      <w:r w:rsidR="00984782">
        <w:t xml:space="preserve"> evaluated </w:t>
      </w:r>
      <w:r w:rsidR="00734E94">
        <w:t xml:space="preserve">how effectively </w:t>
      </w:r>
      <w:r w:rsidR="00984782">
        <w:t xml:space="preserve">the bank </w:t>
      </w:r>
      <w:r w:rsidR="00734E94">
        <w:t>manage</w:t>
      </w:r>
      <w:r w:rsidR="00BA6FFC">
        <w:t>d</w:t>
      </w:r>
      <w:r w:rsidR="00734E94">
        <w:t xml:space="preserve"> </w:t>
      </w:r>
      <w:r w:rsidR="00BA6FFC">
        <w:t>m</w:t>
      </w:r>
      <w:r w:rsidR="00734E94">
        <w:t xml:space="preserve">aster </w:t>
      </w:r>
      <w:r w:rsidR="00BA6FFC">
        <w:t>d</w:t>
      </w:r>
      <w:r w:rsidR="00734E94">
        <w:t xml:space="preserve">ata, </w:t>
      </w:r>
      <w:r w:rsidR="00984782">
        <w:t xml:space="preserve">the </w:t>
      </w:r>
      <w:r w:rsidR="00734E94">
        <w:t xml:space="preserve">quality of the data, and </w:t>
      </w:r>
      <w:r w:rsidR="00BA6FFC">
        <w:t>m</w:t>
      </w:r>
      <w:r w:rsidR="00734E94">
        <w:t>etadata</w:t>
      </w:r>
      <w:r w:rsidR="00435C35">
        <w:t>; (3) data</w:t>
      </w:r>
      <w:r w:rsidR="00BA6FFC">
        <w:t xml:space="preserve"> </w:t>
      </w:r>
      <w:r w:rsidR="00734E94">
        <w:t>a</w:t>
      </w:r>
      <w:r w:rsidR="00734E94" w:rsidRPr="00416B0A">
        <w:t>cqui</w:t>
      </w:r>
      <w:r w:rsidR="00BA6FFC">
        <w:t>sition</w:t>
      </w:r>
      <w:r w:rsidR="00E247DF">
        <w:t xml:space="preserve"> </w:t>
      </w:r>
      <w:r w:rsidR="00734E94" w:rsidRPr="00416B0A">
        <w:t xml:space="preserve">measured the </w:t>
      </w:r>
      <w:r w:rsidR="00BA6FFC">
        <w:t xml:space="preserve">bank’s </w:t>
      </w:r>
      <w:r w:rsidR="00734E94" w:rsidRPr="00416B0A">
        <w:t xml:space="preserve">ability </w:t>
      </w:r>
      <w:r w:rsidR="00435C35">
        <w:t xml:space="preserve">to </w:t>
      </w:r>
      <w:r w:rsidR="00734E94" w:rsidRPr="00416B0A">
        <w:t>acquire data from multiple sources</w:t>
      </w:r>
      <w:r w:rsidR="00435C35">
        <w:t xml:space="preserve"> and how efficiently it did </w:t>
      </w:r>
      <w:r w:rsidR="00FB18A5">
        <w:t>this</w:t>
      </w:r>
      <w:r w:rsidR="00435C35">
        <w:t xml:space="preserve">; (4) data preparation </w:t>
      </w:r>
      <w:r w:rsidR="00E247DF">
        <w:t>assess</w:t>
      </w:r>
      <w:r w:rsidR="00984782">
        <w:t>ed</w:t>
      </w:r>
      <w:r w:rsidR="00E247DF">
        <w:t xml:space="preserve"> how the bank p</w:t>
      </w:r>
      <w:r w:rsidR="00734E94" w:rsidRPr="00416B0A">
        <w:t>repar</w:t>
      </w:r>
      <w:r w:rsidR="00E247DF">
        <w:t>ed</w:t>
      </w:r>
      <w:r w:rsidR="00734E94" w:rsidRPr="00416B0A">
        <w:t xml:space="preserve"> data from multiple sources and </w:t>
      </w:r>
      <w:r w:rsidR="00E247DF">
        <w:t xml:space="preserve">what </w:t>
      </w:r>
      <w:r w:rsidR="00734E94" w:rsidRPr="00416B0A">
        <w:t xml:space="preserve">formats </w:t>
      </w:r>
      <w:r w:rsidR="00FB18A5">
        <w:t>it</w:t>
      </w:r>
      <w:r w:rsidR="00E247DF">
        <w:t xml:space="preserve"> used </w:t>
      </w:r>
      <w:r w:rsidR="00734E94" w:rsidRPr="00416B0A">
        <w:t>for consolidation</w:t>
      </w:r>
      <w:r w:rsidR="00E247DF">
        <w:t xml:space="preserve">; (5) </w:t>
      </w:r>
      <w:r w:rsidR="00984782">
        <w:t>data consumption looked at the bank’s ability</w:t>
      </w:r>
      <w:r w:rsidR="00734E94" w:rsidRPr="00416B0A">
        <w:t xml:space="preserve"> to </w:t>
      </w:r>
      <w:r w:rsidR="00984782">
        <w:t>use the</w:t>
      </w:r>
      <w:r w:rsidR="00984782" w:rsidRPr="00416B0A">
        <w:t xml:space="preserve"> </w:t>
      </w:r>
      <w:r w:rsidR="00734E94" w:rsidRPr="00416B0A">
        <w:t>data to reveal insights</w:t>
      </w:r>
      <w:r w:rsidR="00984782">
        <w:t xml:space="preserve">; and (6) data analytics evaluated </w:t>
      </w:r>
      <w:r w:rsidR="00734E94" w:rsidRPr="00416B0A">
        <w:t>the business value</w:t>
      </w:r>
      <w:r w:rsidR="00734E94">
        <w:t xml:space="preserve"> </w:t>
      </w:r>
      <w:r w:rsidR="00984782">
        <w:t xml:space="preserve">the bank </w:t>
      </w:r>
      <w:r w:rsidR="00734E94">
        <w:t>gain</w:t>
      </w:r>
      <w:r w:rsidR="00984782">
        <w:t>ed</w:t>
      </w:r>
      <w:r w:rsidR="00734E94">
        <w:t xml:space="preserve"> from </w:t>
      </w:r>
      <w:r w:rsidR="00984782">
        <w:t xml:space="preserve">its </w:t>
      </w:r>
      <w:r w:rsidR="00734E94">
        <w:t>data analytics</w:t>
      </w:r>
      <w:r w:rsidR="00734E94" w:rsidRPr="00416B0A">
        <w:t>.</w:t>
      </w:r>
      <w:r w:rsidR="00C75B16">
        <w:t xml:space="preserve"> </w:t>
      </w:r>
    </w:p>
    <w:p w14:paraId="58EB55E3" w14:textId="77777777" w:rsidR="00734E94" w:rsidRPr="00703B9D" w:rsidRDefault="00734E94" w:rsidP="00734E94">
      <w:pPr>
        <w:pStyle w:val="BodyTextMain"/>
        <w:rPr>
          <w:sz w:val="18"/>
        </w:rPr>
      </w:pPr>
    </w:p>
    <w:p w14:paraId="574AC9A5" w14:textId="12482B35" w:rsidR="00734E94" w:rsidRPr="0087613A" w:rsidRDefault="00734E94" w:rsidP="00734E94">
      <w:pPr>
        <w:pStyle w:val="BodyTextMain"/>
      </w:pPr>
      <w:r w:rsidRPr="0087613A">
        <w:t>According to</w:t>
      </w:r>
      <w:r>
        <w:t xml:space="preserve"> </w:t>
      </w:r>
      <w:r w:rsidR="0066110F">
        <w:t>Deloitte</w:t>
      </w:r>
      <w:r w:rsidRPr="0087613A">
        <w:t xml:space="preserve">, </w:t>
      </w:r>
      <w:r>
        <w:t>TD</w:t>
      </w:r>
      <w:r w:rsidRPr="0087613A">
        <w:t xml:space="preserve"> was developing </w:t>
      </w:r>
      <w:r w:rsidR="00FB18A5">
        <w:t>its</w:t>
      </w:r>
      <w:r w:rsidRPr="0087613A">
        <w:t xml:space="preserve"> ability to govern, manage, and acquire data, but </w:t>
      </w:r>
      <w:r w:rsidR="007972F9">
        <w:t xml:space="preserve">it </w:t>
      </w:r>
      <w:r w:rsidRPr="0087613A">
        <w:t xml:space="preserve">was in the infancy stage </w:t>
      </w:r>
      <w:r w:rsidR="00984782">
        <w:t>of</w:t>
      </w:r>
      <w:r w:rsidR="00984782" w:rsidRPr="0087613A">
        <w:t xml:space="preserve"> </w:t>
      </w:r>
      <w:r w:rsidR="007972F9">
        <w:t>its</w:t>
      </w:r>
      <w:r w:rsidR="007972F9" w:rsidRPr="0087613A">
        <w:t xml:space="preserve"> </w:t>
      </w:r>
      <w:r w:rsidRPr="0087613A">
        <w:t xml:space="preserve">ability to prepare, consume, and measure </w:t>
      </w:r>
      <w:r>
        <w:t xml:space="preserve">the </w:t>
      </w:r>
      <w:r w:rsidRPr="0087613A">
        <w:t xml:space="preserve">data. </w:t>
      </w:r>
      <w:r>
        <w:t>TD</w:t>
      </w:r>
      <w:r w:rsidRPr="0087613A">
        <w:t xml:space="preserve"> had yet to develop mature capabilities in any of the </w:t>
      </w:r>
      <w:r w:rsidR="00984782">
        <w:t xml:space="preserve">six </w:t>
      </w:r>
      <w:r w:rsidRPr="0087613A">
        <w:t xml:space="preserve">functions. While TD was ahead or on par with the majority of Canadian banks, </w:t>
      </w:r>
      <w:r w:rsidR="00984782">
        <w:t xml:space="preserve">the assessment concluded that it </w:t>
      </w:r>
      <w:r w:rsidRPr="0087613A">
        <w:t xml:space="preserve">fell behind </w:t>
      </w:r>
      <w:r w:rsidR="00984782">
        <w:t>its</w:t>
      </w:r>
      <w:r w:rsidR="00984782" w:rsidRPr="0087613A">
        <w:t xml:space="preserve"> </w:t>
      </w:r>
      <w:r w:rsidRPr="0087613A">
        <w:t>American competitors.</w:t>
      </w:r>
      <w:r w:rsidR="00C75B16">
        <w:t xml:space="preserve"> </w:t>
      </w:r>
    </w:p>
    <w:p w14:paraId="6B269329" w14:textId="77777777" w:rsidR="00734E94" w:rsidRDefault="00734E94" w:rsidP="00734E94">
      <w:pPr>
        <w:pStyle w:val="BodyTextMain"/>
      </w:pPr>
    </w:p>
    <w:p w14:paraId="4A4911BA" w14:textId="77777777" w:rsidR="00703B9D" w:rsidRPr="00703B9D" w:rsidRDefault="00703B9D" w:rsidP="00C75B16">
      <w:pPr>
        <w:pStyle w:val="Casehead1"/>
        <w:outlineLvl w:val="0"/>
        <w:rPr>
          <w:sz w:val="16"/>
        </w:rPr>
      </w:pPr>
    </w:p>
    <w:p w14:paraId="0C85242F" w14:textId="233BDAE4" w:rsidR="00734E94" w:rsidRDefault="00734E94" w:rsidP="00C75B16">
      <w:pPr>
        <w:pStyle w:val="Casehead1"/>
        <w:outlineLvl w:val="0"/>
      </w:pPr>
      <w:r w:rsidRPr="0087613A">
        <w:t>Regulation Requirements</w:t>
      </w:r>
    </w:p>
    <w:p w14:paraId="6AC9D82B" w14:textId="77777777" w:rsidR="00734E94" w:rsidRPr="0087613A" w:rsidRDefault="00734E94" w:rsidP="00734E94">
      <w:pPr>
        <w:pStyle w:val="BodyTextMain"/>
      </w:pPr>
    </w:p>
    <w:p w14:paraId="5C76D332" w14:textId="75AE5B41" w:rsidR="00734E94" w:rsidRPr="0087613A" w:rsidRDefault="00734E94" w:rsidP="00734E94">
      <w:pPr>
        <w:pStyle w:val="BodyTextMain"/>
      </w:pPr>
      <w:r w:rsidRPr="0087613A">
        <w:t xml:space="preserve">Other challenges that </w:t>
      </w:r>
      <w:r>
        <w:t>TD</w:t>
      </w:r>
      <w:r w:rsidRPr="0087613A">
        <w:t xml:space="preserve"> faced were the risk management regulations involving data management</w:t>
      </w:r>
      <w:r w:rsidR="00016916">
        <w:t>,</w:t>
      </w:r>
      <w:r w:rsidRPr="0087613A">
        <w:t xml:space="preserve"> such as the </w:t>
      </w:r>
      <w:bookmarkStart w:id="2" w:name="_Hlk478480766"/>
      <w:r w:rsidRPr="0087613A">
        <w:t>Basel Committee on Banking Supervision</w:t>
      </w:r>
      <w:r w:rsidR="00016916">
        <w:t>’</w:t>
      </w:r>
      <w:r w:rsidRPr="0087613A">
        <w:t>s regulation number 239 (BCBS-239)</w:t>
      </w:r>
      <w:r w:rsidR="00E624BF">
        <w:t>.</w:t>
      </w:r>
      <w:r w:rsidR="00244E60">
        <w:rPr>
          <w:rStyle w:val="FootnoteReference"/>
        </w:rPr>
        <w:footnoteReference w:id="4"/>
      </w:r>
      <w:bookmarkEnd w:id="2"/>
      <w:r w:rsidRPr="0087613A">
        <w:t xml:space="preserve"> The Basel Committee </w:t>
      </w:r>
      <w:r w:rsidR="00244E60">
        <w:t>wa</w:t>
      </w:r>
      <w:r w:rsidRPr="0087613A">
        <w:t xml:space="preserve">s an international risk management committee that </w:t>
      </w:r>
      <w:r w:rsidR="00244E60">
        <w:t>issued</w:t>
      </w:r>
      <w:r w:rsidR="00244E60" w:rsidRPr="0087613A">
        <w:t xml:space="preserve"> </w:t>
      </w:r>
      <w:r w:rsidRPr="0087613A">
        <w:t>international regulation</w:t>
      </w:r>
      <w:r w:rsidR="00244E60">
        <w:t>s and</w:t>
      </w:r>
      <w:r w:rsidRPr="0087613A">
        <w:t xml:space="preserve"> guidelines for financial institutions. BCBS-239 was </w:t>
      </w:r>
      <w:r w:rsidR="00244E60">
        <w:t>issued</w:t>
      </w:r>
      <w:r w:rsidRPr="0087613A">
        <w:t xml:space="preserve"> in 2013 </w:t>
      </w:r>
      <w:r w:rsidR="00244E60">
        <w:t xml:space="preserve">to </w:t>
      </w:r>
      <w:r w:rsidRPr="0087613A">
        <w:t xml:space="preserve">address risk involving data aggregation and reporting. The regulation </w:t>
      </w:r>
      <w:r w:rsidR="00662D74">
        <w:t>consisted of</w:t>
      </w:r>
      <w:r w:rsidRPr="0087613A">
        <w:t xml:space="preserve"> 14 principl</w:t>
      </w:r>
      <w:r w:rsidR="00662D74">
        <w:t>e</w:t>
      </w:r>
      <w:r w:rsidRPr="0087613A">
        <w:t>s that span</w:t>
      </w:r>
      <w:r w:rsidR="00662D74">
        <w:t>ned</w:t>
      </w:r>
      <w:r w:rsidRPr="0087613A">
        <w:t xml:space="preserve"> four main topics: overarching governance and infrastructure, risk data aggregation capabilities, supervisory review, </w:t>
      </w:r>
      <w:r w:rsidR="00662D74">
        <w:t xml:space="preserve">and </w:t>
      </w:r>
      <w:r w:rsidRPr="0087613A">
        <w:t>tools and co</w:t>
      </w:r>
      <w:r w:rsidR="00662D74">
        <w:t>-</w:t>
      </w:r>
      <w:r w:rsidRPr="0087613A">
        <w:t>operation (</w:t>
      </w:r>
      <w:r w:rsidR="00F61682">
        <w:t xml:space="preserve">see </w:t>
      </w:r>
      <w:r w:rsidRPr="0087613A">
        <w:lastRenderedPageBreak/>
        <w:t xml:space="preserve">Exhibit </w:t>
      </w:r>
      <w:r w:rsidR="00194FB2">
        <w:t>3</w:t>
      </w:r>
      <w:r w:rsidRPr="0087613A">
        <w:t>)</w:t>
      </w:r>
      <w:r w:rsidR="00662D74">
        <w:t>.</w:t>
      </w:r>
      <w:r w:rsidRPr="0087613A">
        <w:rPr>
          <w:rStyle w:val="FootnoteReference"/>
        </w:rPr>
        <w:footnoteReference w:id="5"/>
      </w:r>
      <w:r w:rsidR="00662D74" w:rsidRPr="00662D74">
        <w:t xml:space="preserve"> </w:t>
      </w:r>
      <w:r w:rsidR="00662D74">
        <w:t>T</w:t>
      </w:r>
      <w:r w:rsidR="00662D74" w:rsidRPr="0087613A">
        <w:t>he Canadian Office of the Superintendent of Financial Institution requir</w:t>
      </w:r>
      <w:r w:rsidR="00662D74">
        <w:t>ed that</w:t>
      </w:r>
      <w:r w:rsidR="00662D74" w:rsidRPr="0087613A">
        <w:t xml:space="preserve"> all Canadian banks adhere to </w:t>
      </w:r>
      <w:r w:rsidR="00662D74">
        <w:t xml:space="preserve">the regulation and its principles </w:t>
      </w:r>
      <w:r w:rsidR="00662D74" w:rsidRPr="0087613A">
        <w:t>by 2017.</w:t>
      </w:r>
    </w:p>
    <w:p w14:paraId="5590FC74" w14:textId="77777777" w:rsidR="00734E94" w:rsidRPr="0087613A" w:rsidRDefault="00734E94" w:rsidP="00734E94">
      <w:pPr>
        <w:pStyle w:val="BodyTextMain"/>
      </w:pPr>
    </w:p>
    <w:p w14:paraId="3631DF6F" w14:textId="7FE520B5" w:rsidR="00734E94" w:rsidRPr="0087613A" w:rsidRDefault="00734E94" w:rsidP="00734E94">
      <w:pPr>
        <w:pStyle w:val="BodyTextMain"/>
      </w:pPr>
      <w:r w:rsidRPr="0087613A">
        <w:t xml:space="preserve">More urgently, </w:t>
      </w:r>
      <w:r w:rsidR="003968BF">
        <w:t>because</w:t>
      </w:r>
      <w:r w:rsidR="003968BF" w:rsidRPr="0087613A">
        <w:t xml:space="preserve"> </w:t>
      </w:r>
      <w:r>
        <w:t>TD</w:t>
      </w:r>
      <w:r w:rsidR="003968BF">
        <w:t xml:space="preserve"> had such a</w:t>
      </w:r>
      <w:r w:rsidRPr="0087613A">
        <w:t xml:space="preserve"> large presence in the United States, Crisp was anticipating </w:t>
      </w:r>
      <w:r w:rsidR="00662D74">
        <w:t xml:space="preserve">that U.S. regulators would </w:t>
      </w:r>
      <w:r w:rsidRPr="0087613A">
        <w:t xml:space="preserve">review </w:t>
      </w:r>
      <w:r>
        <w:t>TD</w:t>
      </w:r>
      <w:r w:rsidRPr="0087613A">
        <w:t>’s plans to meet the new regulations imposed in the U</w:t>
      </w:r>
      <w:r w:rsidR="00662D74">
        <w:t xml:space="preserve">nited </w:t>
      </w:r>
      <w:r w:rsidRPr="0087613A">
        <w:t>S</w:t>
      </w:r>
      <w:r w:rsidR="00662D74">
        <w:t>tates</w:t>
      </w:r>
      <w:r w:rsidRPr="0087613A">
        <w:t xml:space="preserve"> by the Dodd-Frank </w:t>
      </w:r>
      <w:r w:rsidR="00E95DD3">
        <w:t>r</w:t>
      </w:r>
      <w:r w:rsidRPr="0087613A">
        <w:t>eform</w:t>
      </w:r>
      <w:r w:rsidR="00E95DD3">
        <w:t>s</w:t>
      </w:r>
      <w:r w:rsidRPr="0087613A">
        <w:t>.</w:t>
      </w:r>
      <w:r w:rsidR="00B0300F">
        <w:rPr>
          <w:rStyle w:val="FootnoteReference"/>
        </w:rPr>
        <w:footnoteReference w:id="6"/>
      </w:r>
      <w:r w:rsidRPr="0087613A">
        <w:t xml:space="preserve"> </w:t>
      </w:r>
      <w:r w:rsidR="00E95DD3">
        <w:t xml:space="preserve">The </w:t>
      </w:r>
      <w:r w:rsidRPr="00C30478">
        <w:rPr>
          <w:i/>
        </w:rPr>
        <w:t xml:space="preserve">Dodd-Frank Wall Street </w:t>
      </w:r>
      <w:r w:rsidR="00E95DD3" w:rsidRPr="00C30478">
        <w:rPr>
          <w:i/>
        </w:rPr>
        <w:t>R</w:t>
      </w:r>
      <w:r w:rsidRPr="00C30478">
        <w:rPr>
          <w:i/>
        </w:rPr>
        <w:t>eform and Consumer Protection Act</w:t>
      </w:r>
      <w:r w:rsidRPr="0087613A">
        <w:t xml:space="preserve"> was signed into </w:t>
      </w:r>
      <w:r w:rsidR="00E95DD3">
        <w:t xml:space="preserve">American </w:t>
      </w:r>
      <w:r w:rsidRPr="0087613A">
        <w:t xml:space="preserve">federal law in August 2010 as a response to the 2008 financial crisis. One component of the reform </w:t>
      </w:r>
      <w:r w:rsidR="00E95DD3">
        <w:t>imposed</w:t>
      </w:r>
      <w:r w:rsidR="00E95DD3" w:rsidRPr="0087613A">
        <w:t xml:space="preserve"> </w:t>
      </w:r>
      <w:r w:rsidRPr="0087613A">
        <w:t>regulations on data record keeping and reporting requirements</w:t>
      </w:r>
      <w:r w:rsidR="00E95DD3">
        <w:t>.</w:t>
      </w:r>
      <w:r w:rsidRPr="0087613A">
        <w:rPr>
          <w:rStyle w:val="FootnoteReference"/>
        </w:rPr>
        <w:footnoteReference w:id="7"/>
      </w:r>
      <w:r w:rsidRPr="0087613A">
        <w:t xml:space="preserve"> </w:t>
      </w:r>
    </w:p>
    <w:p w14:paraId="32557161" w14:textId="77777777" w:rsidR="00734E94" w:rsidRDefault="00734E94" w:rsidP="00734E94">
      <w:pPr>
        <w:pStyle w:val="BodyTextMain"/>
      </w:pPr>
    </w:p>
    <w:p w14:paraId="12EB57BB" w14:textId="77777777" w:rsidR="00734E94" w:rsidRPr="0087613A" w:rsidRDefault="00734E94" w:rsidP="00734E94">
      <w:pPr>
        <w:pStyle w:val="BodyTextMain"/>
      </w:pPr>
    </w:p>
    <w:p w14:paraId="69914AF7" w14:textId="77777777" w:rsidR="00734E94" w:rsidRDefault="00734E94" w:rsidP="00C75B16">
      <w:pPr>
        <w:pStyle w:val="Casehead1"/>
        <w:outlineLvl w:val="0"/>
      </w:pPr>
      <w:r w:rsidRPr="0087613A">
        <w:t>Redefining Employee Roles and Responsibilities</w:t>
      </w:r>
    </w:p>
    <w:p w14:paraId="05F5E21E" w14:textId="77777777" w:rsidR="00734E94" w:rsidRPr="0087613A" w:rsidRDefault="00734E94" w:rsidP="00734E94">
      <w:pPr>
        <w:pStyle w:val="BodyTextMain"/>
      </w:pPr>
    </w:p>
    <w:p w14:paraId="44F03A17" w14:textId="3CEFC5FF" w:rsidR="00734E94" w:rsidRPr="0087613A" w:rsidRDefault="00734E94" w:rsidP="00734E94">
      <w:pPr>
        <w:pStyle w:val="BodyTextMain"/>
      </w:pPr>
      <w:r w:rsidRPr="0087613A">
        <w:t xml:space="preserve">Before Crisp accepted the role as CDO, the position </w:t>
      </w:r>
      <w:r w:rsidR="00E95DD3">
        <w:t>had been</w:t>
      </w:r>
      <w:r w:rsidR="00E95DD3" w:rsidRPr="0087613A">
        <w:t xml:space="preserve"> </w:t>
      </w:r>
      <w:r w:rsidRPr="0087613A">
        <w:t xml:space="preserve">vacant for nine months. The extended period </w:t>
      </w:r>
      <w:r w:rsidR="00E95DD3">
        <w:t>without a</w:t>
      </w:r>
      <w:r w:rsidRPr="0087613A">
        <w:t xml:space="preserve"> leader had left the </w:t>
      </w:r>
      <w:bookmarkStart w:id="3" w:name="_Hlk478481462"/>
      <w:r w:rsidRPr="0087613A">
        <w:t xml:space="preserve">department fragmented and </w:t>
      </w:r>
      <w:r w:rsidR="007972F9">
        <w:t>without</w:t>
      </w:r>
      <w:r w:rsidR="007972F9" w:rsidRPr="0087613A">
        <w:t xml:space="preserve"> </w:t>
      </w:r>
      <w:r w:rsidRPr="0087613A">
        <w:t>direction</w:t>
      </w:r>
      <w:bookmarkEnd w:id="3"/>
      <w:r w:rsidRPr="0087613A">
        <w:t>. Many of the team members were focused on other goals and priorities</w:t>
      </w:r>
      <w:r w:rsidR="00E95DD3">
        <w:t>,</w:t>
      </w:r>
      <w:r w:rsidRPr="0087613A">
        <w:t xml:space="preserve"> which </w:t>
      </w:r>
      <w:r w:rsidR="00FB18A5">
        <w:t>affected</w:t>
      </w:r>
      <w:r w:rsidRPr="0087613A">
        <w:t xml:space="preserve"> the cohesiveness of the department. Being a seasoned executive, Crisp recognized that successful data transformation </w:t>
      </w:r>
      <w:r w:rsidR="00E95DD3">
        <w:t xml:space="preserve">was going to </w:t>
      </w:r>
      <w:r w:rsidRPr="0087613A">
        <w:t xml:space="preserve">require input from all stakeholders. She needed to bring </w:t>
      </w:r>
      <w:r>
        <w:t>her</w:t>
      </w:r>
      <w:r w:rsidRPr="0087613A">
        <w:t xml:space="preserve"> team members</w:t>
      </w:r>
      <w:r>
        <w:t xml:space="preserve"> </w:t>
      </w:r>
      <w:r w:rsidR="00E95DD3" w:rsidRPr="0087613A">
        <w:t>together</w:t>
      </w:r>
      <w:r w:rsidR="00E95DD3">
        <w:t>, and bring them together</w:t>
      </w:r>
      <w:r w:rsidR="00E95DD3" w:rsidRPr="0087613A">
        <w:t xml:space="preserve"> </w:t>
      </w:r>
      <w:r>
        <w:t>with other stakeholders</w:t>
      </w:r>
      <w:r w:rsidRPr="0087613A">
        <w:t xml:space="preserve"> across the different lines of business to modify and implement an effective data strategy. </w:t>
      </w:r>
    </w:p>
    <w:p w14:paraId="4EF1701A" w14:textId="77777777" w:rsidR="00734E94" w:rsidRPr="0087613A" w:rsidRDefault="00734E94" w:rsidP="00734E94">
      <w:pPr>
        <w:pStyle w:val="BodyTextMain"/>
      </w:pPr>
    </w:p>
    <w:p w14:paraId="7450F18E" w14:textId="555AC108" w:rsidR="009F23D0" w:rsidRDefault="00734E94" w:rsidP="00734E94">
      <w:pPr>
        <w:pStyle w:val="BodyTextMain"/>
      </w:pPr>
      <w:r w:rsidRPr="0087613A">
        <w:t xml:space="preserve">One method that TD used to ensure </w:t>
      </w:r>
      <w:r w:rsidR="00FB18A5">
        <w:t xml:space="preserve">that </w:t>
      </w:r>
      <w:r w:rsidRPr="0087613A">
        <w:t xml:space="preserve">data management </w:t>
      </w:r>
      <w:r w:rsidR="00E95DD3">
        <w:t xml:space="preserve">was </w:t>
      </w:r>
      <w:r w:rsidR="00E95DD3" w:rsidRPr="0087613A">
        <w:t xml:space="preserve">consistent </w:t>
      </w:r>
      <w:r w:rsidRPr="0087613A">
        <w:t xml:space="preserve">across the large organization was </w:t>
      </w:r>
      <w:r w:rsidR="00785C27">
        <w:t>to designate d</w:t>
      </w:r>
      <w:r w:rsidRPr="0087613A">
        <w:t xml:space="preserve">ata </w:t>
      </w:r>
      <w:r w:rsidR="00785C27">
        <w:t>s</w:t>
      </w:r>
      <w:r w:rsidRPr="0087613A">
        <w:t xml:space="preserve">tewards. TD had over 300 </w:t>
      </w:r>
      <w:r w:rsidR="00785C27">
        <w:t>d</w:t>
      </w:r>
      <w:r w:rsidRPr="0087613A">
        <w:t xml:space="preserve">ata </w:t>
      </w:r>
      <w:r w:rsidR="00785C27">
        <w:t>s</w:t>
      </w:r>
      <w:r w:rsidRPr="0087613A">
        <w:t xml:space="preserve">tewards </w:t>
      </w:r>
      <w:r w:rsidR="00785C27">
        <w:t xml:space="preserve">among </w:t>
      </w:r>
      <w:r w:rsidRPr="0087613A">
        <w:t>the line</w:t>
      </w:r>
      <w:r w:rsidR="00785C27">
        <w:t>s</w:t>
      </w:r>
      <w:r w:rsidRPr="0087613A">
        <w:t xml:space="preserve"> of business</w:t>
      </w:r>
      <w:r w:rsidR="0098134A">
        <w:t>.</w:t>
      </w:r>
      <w:r w:rsidRPr="0087613A">
        <w:t xml:space="preserve"> </w:t>
      </w:r>
      <w:r w:rsidR="009F23D0" w:rsidRPr="0087613A">
        <w:t>The</w:t>
      </w:r>
      <w:r w:rsidR="007D3E17">
        <w:t>y</w:t>
      </w:r>
      <w:r w:rsidR="009F23D0" w:rsidRPr="0087613A">
        <w:t xml:space="preserve"> “lived the issues”</w:t>
      </w:r>
      <w:r w:rsidR="009F23D0">
        <w:t xml:space="preserve"> and</w:t>
      </w:r>
      <w:r w:rsidR="009F23D0" w:rsidRPr="0087613A">
        <w:t xml:space="preserve"> played a critical role in executing TD’s data governance and management standards and </w:t>
      </w:r>
      <w:r w:rsidR="003D3E39">
        <w:t xml:space="preserve">in </w:t>
      </w:r>
      <w:r w:rsidR="009F23D0">
        <w:t>realizing</w:t>
      </w:r>
      <w:r w:rsidR="009F23D0" w:rsidRPr="0087613A">
        <w:t xml:space="preserve"> project delivery outcomes. </w:t>
      </w:r>
      <w:r w:rsidRPr="0087613A">
        <w:t>They were responsible for identifying critical data elements, managing data issues and data changes across their line of business</w:t>
      </w:r>
      <w:r w:rsidR="00785C27">
        <w:t>,</w:t>
      </w:r>
      <w:r w:rsidRPr="0087613A">
        <w:t xml:space="preserve"> and executing the data quality standards.</w:t>
      </w:r>
      <w:r w:rsidR="00C75B16">
        <w:t xml:space="preserve"> </w:t>
      </w:r>
    </w:p>
    <w:p w14:paraId="6F0DF8DF" w14:textId="77777777" w:rsidR="009F23D0" w:rsidRDefault="009F23D0" w:rsidP="00734E94">
      <w:pPr>
        <w:pStyle w:val="BodyTextMain"/>
      </w:pPr>
    </w:p>
    <w:p w14:paraId="01F0030B" w14:textId="76EF3D29" w:rsidR="00734E94" w:rsidRPr="009464B0" w:rsidRDefault="00734E94" w:rsidP="009F23D0">
      <w:pPr>
        <w:pStyle w:val="BodyTextMain"/>
        <w:rPr>
          <w:spacing w:val="-4"/>
          <w:kern w:val="22"/>
        </w:rPr>
      </w:pPr>
      <w:r w:rsidRPr="009464B0">
        <w:rPr>
          <w:spacing w:val="-4"/>
          <w:kern w:val="22"/>
        </w:rPr>
        <w:t xml:space="preserve">To ensure success, </w:t>
      </w:r>
      <w:r w:rsidR="009F23D0" w:rsidRPr="009464B0">
        <w:rPr>
          <w:spacing w:val="-4"/>
          <w:kern w:val="22"/>
        </w:rPr>
        <w:t>the</w:t>
      </w:r>
      <w:r w:rsidRPr="009464B0">
        <w:rPr>
          <w:spacing w:val="-4"/>
          <w:kern w:val="22"/>
        </w:rPr>
        <w:t xml:space="preserve"> </w:t>
      </w:r>
      <w:r w:rsidR="009F23D0" w:rsidRPr="009464B0">
        <w:rPr>
          <w:spacing w:val="-4"/>
          <w:kern w:val="22"/>
        </w:rPr>
        <w:t>d</w:t>
      </w:r>
      <w:r w:rsidRPr="009464B0">
        <w:rPr>
          <w:spacing w:val="-4"/>
          <w:kern w:val="22"/>
        </w:rPr>
        <w:t xml:space="preserve">ata </w:t>
      </w:r>
      <w:r w:rsidR="009F23D0" w:rsidRPr="009464B0">
        <w:rPr>
          <w:spacing w:val="-4"/>
          <w:kern w:val="22"/>
        </w:rPr>
        <w:t>s</w:t>
      </w:r>
      <w:r w:rsidRPr="009464B0">
        <w:rPr>
          <w:spacing w:val="-4"/>
          <w:kern w:val="22"/>
        </w:rPr>
        <w:t xml:space="preserve">tewards </w:t>
      </w:r>
      <w:r w:rsidR="009F23D0" w:rsidRPr="009464B0">
        <w:rPr>
          <w:spacing w:val="-4"/>
          <w:kern w:val="22"/>
        </w:rPr>
        <w:t xml:space="preserve">needed to be </w:t>
      </w:r>
      <w:r w:rsidRPr="009464B0">
        <w:rPr>
          <w:spacing w:val="-4"/>
          <w:kern w:val="22"/>
        </w:rPr>
        <w:t xml:space="preserve">accountable </w:t>
      </w:r>
      <w:r w:rsidR="004F2952" w:rsidRPr="009464B0">
        <w:rPr>
          <w:spacing w:val="-4"/>
          <w:kern w:val="22"/>
        </w:rPr>
        <w:t xml:space="preserve">for </w:t>
      </w:r>
      <w:r w:rsidRPr="009464B0">
        <w:rPr>
          <w:spacing w:val="-4"/>
          <w:kern w:val="22"/>
        </w:rPr>
        <w:t xml:space="preserve">and committed to resolving data issues, </w:t>
      </w:r>
      <w:r w:rsidR="009F23D0" w:rsidRPr="009464B0">
        <w:rPr>
          <w:spacing w:val="-4"/>
          <w:kern w:val="22"/>
        </w:rPr>
        <w:t>willing to drive</w:t>
      </w:r>
      <w:r w:rsidRPr="009464B0">
        <w:rPr>
          <w:spacing w:val="-4"/>
          <w:kern w:val="22"/>
        </w:rPr>
        <w:t xml:space="preserve"> measurable results, </w:t>
      </w:r>
      <w:r w:rsidR="009F23D0" w:rsidRPr="009464B0">
        <w:rPr>
          <w:spacing w:val="-4"/>
          <w:kern w:val="22"/>
        </w:rPr>
        <w:t xml:space="preserve">have </w:t>
      </w:r>
      <w:r w:rsidRPr="009464B0">
        <w:rPr>
          <w:spacing w:val="-4"/>
          <w:kern w:val="22"/>
        </w:rPr>
        <w:t xml:space="preserve">the appropriate level of involvement, </w:t>
      </w:r>
      <w:r w:rsidR="009F23D0" w:rsidRPr="009464B0">
        <w:rPr>
          <w:spacing w:val="-4"/>
          <w:kern w:val="22"/>
        </w:rPr>
        <w:t xml:space="preserve">and </w:t>
      </w:r>
      <w:r w:rsidRPr="009464B0">
        <w:rPr>
          <w:spacing w:val="-4"/>
          <w:kern w:val="22"/>
        </w:rPr>
        <w:t>understand that data was a valuable corporate asset.</w:t>
      </w:r>
      <w:r w:rsidR="00C75B16" w:rsidRPr="009464B0">
        <w:rPr>
          <w:spacing w:val="-4"/>
          <w:kern w:val="22"/>
        </w:rPr>
        <w:t xml:space="preserve"> </w:t>
      </w:r>
      <w:r w:rsidR="009F23D0" w:rsidRPr="009464B0">
        <w:rPr>
          <w:spacing w:val="-4"/>
          <w:kern w:val="22"/>
        </w:rPr>
        <w:t xml:space="preserve">To </w:t>
      </w:r>
      <w:r w:rsidRPr="009464B0">
        <w:rPr>
          <w:spacing w:val="-4"/>
          <w:kern w:val="22"/>
        </w:rPr>
        <w:t xml:space="preserve">progress </w:t>
      </w:r>
      <w:r w:rsidR="009F23D0" w:rsidRPr="009464B0">
        <w:rPr>
          <w:spacing w:val="-4"/>
          <w:kern w:val="22"/>
        </w:rPr>
        <w:t xml:space="preserve">with </w:t>
      </w:r>
      <w:r w:rsidRPr="009464B0">
        <w:rPr>
          <w:spacing w:val="-4"/>
          <w:kern w:val="22"/>
        </w:rPr>
        <w:t>data transformation</w:t>
      </w:r>
      <w:r w:rsidR="009F23D0" w:rsidRPr="009464B0">
        <w:rPr>
          <w:spacing w:val="-4"/>
          <w:kern w:val="22"/>
        </w:rPr>
        <w:t>, the d</w:t>
      </w:r>
      <w:r w:rsidRPr="009464B0">
        <w:rPr>
          <w:spacing w:val="-4"/>
          <w:kern w:val="22"/>
        </w:rPr>
        <w:t xml:space="preserve">ata </w:t>
      </w:r>
      <w:r w:rsidR="009F23D0" w:rsidRPr="009464B0">
        <w:rPr>
          <w:spacing w:val="-4"/>
          <w:kern w:val="22"/>
        </w:rPr>
        <w:t>s</w:t>
      </w:r>
      <w:r w:rsidRPr="009464B0">
        <w:rPr>
          <w:spacing w:val="-4"/>
          <w:kern w:val="22"/>
        </w:rPr>
        <w:t xml:space="preserve">tewards </w:t>
      </w:r>
      <w:r w:rsidR="009F23D0" w:rsidRPr="009464B0">
        <w:rPr>
          <w:spacing w:val="-4"/>
          <w:kern w:val="22"/>
        </w:rPr>
        <w:t xml:space="preserve">needed </w:t>
      </w:r>
      <w:r w:rsidRPr="009464B0">
        <w:rPr>
          <w:spacing w:val="-4"/>
          <w:kern w:val="22"/>
        </w:rPr>
        <w:t>to have clearly defined responsibilities and accountabilities</w:t>
      </w:r>
      <w:r w:rsidR="009F23D0" w:rsidRPr="009464B0">
        <w:rPr>
          <w:spacing w:val="-4"/>
          <w:kern w:val="22"/>
        </w:rPr>
        <w:t>, an</w:t>
      </w:r>
      <w:r w:rsidRPr="009464B0">
        <w:rPr>
          <w:spacing w:val="-4"/>
          <w:kern w:val="22"/>
        </w:rPr>
        <w:t xml:space="preserve"> essential set of capabilities</w:t>
      </w:r>
      <w:r w:rsidR="009F23D0" w:rsidRPr="009464B0">
        <w:rPr>
          <w:spacing w:val="-4"/>
          <w:kern w:val="22"/>
        </w:rPr>
        <w:t>,</w:t>
      </w:r>
      <w:r w:rsidRPr="009464B0">
        <w:rPr>
          <w:spacing w:val="-4"/>
          <w:kern w:val="22"/>
        </w:rPr>
        <w:t xml:space="preserve"> and </w:t>
      </w:r>
      <w:r w:rsidR="009F23D0" w:rsidRPr="009464B0">
        <w:rPr>
          <w:spacing w:val="-4"/>
          <w:kern w:val="22"/>
        </w:rPr>
        <w:t xml:space="preserve">a </w:t>
      </w:r>
      <w:r w:rsidRPr="009464B0">
        <w:rPr>
          <w:spacing w:val="-4"/>
          <w:kern w:val="22"/>
        </w:rPr>
        <w:t xml:space="preserve">data-driven culture that </w:t>
      </w:r>
      <w:r w:rsidR="009F23D0" w:rsidRPr="009464B0">
        <w:rPr>
          <w:spacing w:val="-4"/>
          <w:kern w:val="22"/>
        </w:rPr>
        <w:t>allowed them to</w:t>
      </w:r>
      <w:r w:rsidRPr="009464B0">
        <w:rPr>
          <w:spacing w:val="-4"/>
          <w:kern w:val="22"/>
        </w:rPr>
        <w:t xml:space="preserve"> make the right impact.</w:t>
      </w:r>
      <w:r w:rsidR="00C75B16" w:rsidRPr="009464B0">
        <w:rPr>
          <w:spacing w:val="-4"/>
          <w:kern w:val="22"/>
        </w:rPr>
        <w:t xml:space="preserve"> </w:t>
      </w:r>
      <w:r w:rsidR="009F23D0" w:rsidRPr="009464B0">
        <w:rPr>
          <w:spacing w:val="-4"/>
          <w:kern w:val="22"/>
        </w:rPr>
        <w:t>S</w:t>
      </w:r>
      <w:r w:rsidRPr="009464B0">
        <w:rPr>
          <w:spacing w:val="-4"/>
          <w:kern w:val="22"/>
        </w:rPr>
        <w:t xml:space="preserve">uccess also </w:t>
      </w:r>
      <w:r w:rsidR="009F23D0" w:rsidRPr="009464B0">
        <w:rPr>
          <w:spacing w:val="-4"/>
          <w:kern w:val="22"/>
        </w:rPr>
        <w:t xml:space="preserve">depended on </w:t>
      </w:r>
      <w:r w:rsidRPr="009464B0">
        <w:rPr>
          <w:spacing w:val="-4"/>
          <w:kern w:val="22"/>
        </w:rPr>
        <w:t xml:space="preserve">having the right processes and tools to enable these professionals to manage, care, protect, and govern enterprise data successfully as an enterprise asset. </w:t>
      </w:r>
    </w:p>
    <w:p w14:paraId="6FB164B5" w14:textId="77777777" w:rsidR="00734E94" w:rsidRPr="0087613A" w:rsidRDefault="00734E94" w:rsidP="00734E94">
      <w:pPr>
        <w:pStyle w:val="BodyTextMain"/>
      </w:pPr>
    </w:p>
    <w:p w14:paraId="11DC204F" w14:textId="6881EDB4" w:rsidR="009F23D0" w:rsidRDefault="00734E94" w:rsidP="00734E94">
      <w:pPr>
        <w:pStyle w:val="BodyTextMain"/>
      </w:pPr>
      <w:r w:rsidRPr="0087613A">
        <w:t>Initially</w:t>
      </w:r>
      <w:r w:rsidR="009F23D0">
        <w:t>,</w:t>
      </w:r>
      <w:r w:rsidRPr="0087613A">
        <w:t xml:space="preserve"> when the </w:t>
      </w:r>
      <w:r w:rsidR="002B738E">
        <w:t>first</w:t>
      </w:r>
      <w:r w:rsidR="002B738E" w:rsidRPr="0087613A">
        <w:t xml:space="preserve"> </w:t>
      </w:r>
      <w:r w:rsidRPr="0087613A">
        <w:t xml:space="preserve">CDO </w:t>
      </w:r>
      <w:r w:rsidR="002B738E">
        <w:t>assumed</w:t>
      </w:r>
      <w:r w:rsidRPr="0087613A">
        <w:t xml:space="preserve"> the </w:t>
      </w:r>
      <w:r w:rsidR="002B738E">
        <w:t>role</w:t>
      </w:r>
      <w:r w:rsidRPr="0087613A">
        <w:t xml:space="preserve">, </w:t>
      </w:r>
      <w:r w:rsidR="009F23D0">
        <w:t>d</w:t>
      </w:r>
      <w:r w:rsidRPr="0087613A">
        <w:t xml:space="preserve">ata </w:t>
      </w:r>
      <w:r w:rsidR="009F23D0">
        <w:t>s</w:t>
      </w:r>
      <w:r w:rsidRPr="0087613A">
        <w:t>tewards had other duties in their lines of business and typically spent only 25</w:t>
      </w:r>
      <w:r w:rsidR="009F23D0">
        <w:t xml:space="preserve"> per cent</w:t>
      </w:r>
      <w:r w:rsidRPr="0087613A">
        <w:t xml:space="preserve"> of their time on data governance and data management. </w:t>
      </w:r>
      <w:r w:rsidR="009F23D0">
        <w:t>And because</w:t>
      </w:r>
      <w:r w:rsidR="009F23D0" w:rsidRPr="0087613A">
        <w:t xml:space="preserve"> </w:t>
      </w:r>
      <w:r w:rsidRPr="0087613A">
        <w:t xml:space="preserve">the CDO position had been vacant for nine months, some departments had shifted </w:t>
      </w:r>
      <w:r w:rsidR="009F23D0">
        <w:t xml:space="preserve">what </w:t>
      </w:r>
      <w:r w:rsidRPr="0087613A">
        <w:t xml:space="preserve">resources </w:t>
      </w:r>
      <w:r w:rsidR="009F23D0">
        <w:t>had been committed to</w:t>
      </w:r>
      <w:r w:rsidRPr="0087613A">
        <w:t xml:space="preserve"> data governance and management to other tasks. </w:t>
      </w:r>
      <w:bookmarkStart w:id="4" w:name="_Hlk478481425"/>
      <w:r w:rsidR="009F23D0">
        <w:t>Thus, w</w:t>
      </w:r>
      <w:r w:rsidRPr="0087613A">
        <w:t>hen Crisp started implementing new policies</w:t>
      </w:r>
      <w:r w:rsidR="009F23D0">
        <w:t>,</w:t>
      </w:r>
      <w:r w:rsidRPr="0087613A">
        <w:t xml:space="preserve"> the </w:t>
      </w:r>
      <w:r w:rsidR="009F23D0">
        <w:t>d</w:t>
      </w:r>
      <w:r w:rsidRPr="0087613A">
        <w:t xml:space="preserve">ata </w:t>
      </w:r>
      <w:r w:rsidR="009F23D0">
        <w:t>s</w:t>
      </w:r>
      <w:r w:rsidRPr="0087613A">
        <w:t xml:space="preserve">tewards’ workload drastically increased. </w:t>
      </w:r>
      <w:bookmarkEnd w:id="4"/>
    </w:p>
    <w:p w14:paraId="0344B720" w14:textId="77777777" w:rsidR="009F23D0" w:rsidRDefault="009F23D0" w:rsidP="00734E94">
      <w:pPr>
        <w:pStyle w:val="BodyTextMain"/>
      </w:pPr>
    </w:p>
    <w:p w14:paraId="01E33E6E" w14:textId="558BAB5E" w:rsidR="00734E94" w:rsidRPr="0087613A" w:rsidRDefault="008B6466" w:rsidP="00734E94">
      <w:pPr>
        <w:pStyle w:val="BodyTextMain"/>
      </w:pPr>
      <w:r>
        <w:t>T</w:t>
      </w:r>
      <w:r w:rsidR="00734E94" w:rsidRPr="0087613A">
        <w:t>o ensure a consistent approach across the lines of business</w:t>
      </w:r>
      <w:r>
        <w:t>, policy now required certain processes for data management</w:t>
      </w:r>
      <w:r w:rsidR="00734E94" w:rsidRPr="0087613A">
        <w:t xml:space="preserve">. </w:t>
      </w:r>
      <w:r>
        <w:t>Among the changes, d</w:t>
      </w:r>
      <w:r w:rsidR="00734E94" w:rsidRPr="0087613A">
        <w:t>ata quality processes were required to be completed on an annual basis.</w:t>
      </w:r>
      <w:r>
        <w:t xml:space="preserve"> </w:t>
      </w:r>
      <w:r w:rsidR="00734E94" w:rsidRPr="0087613A">
        <w:t xml:space="preserve">Data </w:t>
      </w:r>
      <w:r>
        <w:t>i</w:t>
      </w:r>
      <w:r w:rsidR="00734E94" w:rsidRPr="0087613A">
        <w:t xml:space="preserve">mpact </w:t>
      </w:r>
      <w:r>
        <w:t>a</w:t>
      </w:r>
      <w:r w:rsidR="00734E94" w:rsidRPr="0087613A">
        <w:t xml:space="preserve">ssessments were </w:t>
      </w:r>
      <w:r>
        <w:t xml:space="preserve">also </w:t>
      </w:r>
      <w:r w:rsidR="00734E94" w:rsidRPr="0087613A">
        <w:t xml:space="preserve">required of all large projects across the bank to provide evidence </w:t>
      </w:r>
      <w:r>
        <w:t xml:space="preserve">that the projects </w:t>
      </w:r>
      <w:r w:rsidR="00734E94" w:rsidRPr="0087613A">
        <w:t>align</w:t>
      </w:r>
      <w:r>
        <w:t>ed</w:t>
      </w:r>
      <w:r w:rsidR="00734E94" w:rsidRPr="0087613A">
        <w:t xml:space="preserve"> </w:t>
      </w:r>
      <w:r>
        <w:t>with</w:t>
      </w:r>
      <w:r w:rsidRPr="0087613A">
        <w:t xml:space="preserve"> </w:t>
      </w:r>
      <w:r w:rsidR="00734E94" w:rsidRPr="0087613A">
        <w:t xml:space="preserve">the </w:t>
      </w:r>
      <w:r>
        <w:t>e</w:t>
      </w:r>
      <w:r w:rsidR="00734E94" w:rsidRPr="0087613A">
        <w:t xml:space="preserve">nterprise </w:t>
      </w:r>
      <w:r>
        <w:t>d</w:t>
      </w:r>
      <w:r w:rsidR="00734E94" w:rsidRPr="0087613A">
        <w:t xml:space="preserve">ata </w:t>
      </w:r>
      <w:r>
        <w:t>s</w:t>
      </w:r>
      <w:r w:rsidR="00734E94" w:rsidRPr="0087613A">
        <w:t xml:space="preserve">trategy. </w:t>
      </w:r>
      <w:r>
        <w:t>T</w:t>
      </w:r>
      <w:r w:rsidR="00734E94" w:rsidRPr="0087613A">
        <w:t>he new policy implementations and the increasing number of data-related projects</w:t>
      </w:r>
      <w:r>
        <w:t xml:space="preserve"> placed</w:t>
      </w:r>
      <w:r w:rsidR="00734E94" w:rsidRPr="0087613A">
        <w:t xml:space="preserve"> more demands on </w:t>
      </w:r>
      <w:r>
        <w:t>the d</w:t>
      </w:r>
      <w:r w:rsidR="00734E94" w:rsidRPr="0087613A">
        <w:t xml:space="preserve">ata </w:t>
      </w:r>
      <w:r>
        <w:t>s</w:t>
      </w:r>
      <w:r w:rsidR="00734E94" w:rsidRPr="0087613A">
        <w:t>tewards</w:t>
      </w:r>
      <w:r>
        <w:t>, who were</w:t>
      </w:r>
      <w:r w:rsidR="00734E94" w:rsidRPr="0087613A">
        <w:t xml:space="preserve"> provid</w:t>
      </w:r>
      <w:r>
        <w:t>ing</w:t>
      </w:r>
      <w:r w:rsidR="00734E94" w:rsidRPr="0087613A">
        <w:t xml:space="preserve"> expertise </w:t>
      </w:r>
      <w:r w:rsidR="00734E94" w:rsidRPr="0087613A">
        <w:lastRenderedPageBreak/>
        <w:t>and assistance.</w:t>
      </w:r>
      <w:r>
        <w:t xml:space="preserve"> </w:t>
      </w:r>
      <w:r w:rsidR="00734E94" w:rsidRPr="0087613A">
        <w:t>As the</w:t>
      </w:r>
      <w:r>
        <w:t>ir</w:t>
      </w:r>
      <w:r w:rsidR="00734E94" w:rsidRPr="0087613A">
        <w:t xml:space="preserve"> roles and responsibilities expanded, Crisp knew she needed to find a way to address the</w:t>
      </w:r>
      <w:r>
        <w:t>ir increasing</w:t>
      </w:r>
      <w:r w:rsidR="00734E94" w:rsidRPr="0087613A">
        <w:t xml:space="preserve"> workload. The challenge</w:t>
      </w:r>
      <w:r>
        <w:t>, however,</w:t>
      </w:r>
      <w:r w:rsidR="00734E94" w:rsidRPr="0087613A">
        <w:t xml:space="preserve"> was that none of the </w:t>
      </w:r>
      <w:r>
        <w:t>d</w:t>
      </w:r>
      <w:r w:rsidR="00734E94" w:rsidRPr="0087613A">
        <w:t xml:space="preserve">ata </w:t>
      </w:r>
      <w:r>
        <w:t>s</w:t>
      </w:r>
      <w:r w:rsidR="00734E94" w:rsidRPr="0087613A">
        <w:t xml:space="preserve">tewards reported directly to </w:t>
      </w:r>
      <w:r>
        <w:t xml:space="preserve">the CDO; </w:t>
      </w:r>
      <w:r w:rsidR="00734E94" w:rsidRPr="0087613A">
        <w:t>rather</w:t>
      </w:r>
      <w:r>
        <w:t>, they</w:t>
      </w:r>
      <w:r w:rsidR="00734E94" w:rsidRPr="0087613A">
        <w:t xml:space="preserve"> reported to the manager in their specific line of business. </w:t>
      </w:r>
    </w:p>
    <w:p w14:paraId="05DEB7FD" w14:textId="77777777" w:rsidR="00734E94" w:rsidRDefault="00734E94" w:rsidP="00734E94">
      <w:pPr>
        <w:pStyle w:val="BodyTextMain"/>
      </w:pPr>
    </w:p>
    <w:p w14:paraId="4C4516F7" w14:textId="77777777" w:rsidR="00734E94" w:rsidRPr="0087613A" w:rsidRDefault="00734E94" w:rsidP="00734E94">
      <w:pPr>
        <w:pStyle w:val="BodyTextMain"/>
      </w:pPr>
    </w:p>
    <w:p w14:paraId="118ED917" w14:textId="0077C378" w:rsidR="00734E94" w:rsidRDefault="00734E94" w:rsidP="00C75B16">
      <w:pPr>
        <w:pStyle w:val="Casehead1"/>
        <w:outlineLvl w:val="0"/>
      </w:pPr>
      <w:r w:rsidRPr="0087613A">
        <w:t>Restructuring of TD</w:t>
      </w:r>
      <w:r w:rsidR="00274CE2">
        <w:t>’s</w:t>
      </w:r>
      <w:r w:rsidRPr="0087613A">
        <w:t xml:space="preserve"> Data Capabilities </w:t>
      </w:r>
    </w:p>
    <w:p w14:paraId="302B09F8" w14:textId="77777777" w:rsidR="00734E94" w:rsidRPr="0087613A" w:rsidRDefault="00734E94" w:rsidP="00734E94">
      <w:pPr>
        <w:pStyle w:val="BodyTextMain"/>
      </w:pPr>
    </w:p>
    <w:p w14:paraId="7E2A34EC" w14:textId="6C7A4601" w:rsidR="00734E94" w:rsidRPr="0087613A" w:rsidRDefault="00D53685" w:rsidP="00734E94">
      <w:pPr>
        <w:pStyle w:val="BodyTextMain"/>
      </w:pPr>
      <w:r>
        <w:t>In</w:t>
      </w:r>
      <w:r w:rsidRPr="0087613A">
        <w:t xml:space="preserve"> </w:t>
      </w:r>
      <w:r w:rsidR="00734E94" w:rsidRPr="0087613A">
        <w:t>2015</w:t>
      </w:r>
      <w:r w:rsidR="00A15AB2">
        <w:t>,</w:t>
      </w:r>
      <w:r w:rsidR="00734E94" w:rsidRPr="0087613A">
        <w:t xml:space="preserve"> </w:t>
      </w:r>
      <w:r w:rsidR="00734E94">
        <w:t>TD</w:t>
      </w:r>
      <w:r w:rsidR="00734E94" w:rsidRPr="0087613A">
        <w:t xml:space="preserve"> </w:t>
      </w:r>
      <w:r>
        <w:t xml:space="preserve">launched </w:t>
      </w:r>
      <w:r w:rsidR="00734E94" w:rsidRPr="0087613A">
        <w:t>wide</w:t>
      </w:r>
      <w:r w:rsidR="004F2952">
        <w:t>-</w:t>
      </w:r>
      <w:r w:rsidR="00734E94" w:rsidRPr="0087613A">
        <w:t xml:space="preserve">scale restructuring, </w:t>
      </w:r>
      <w:r>
        <w:t xml:space="preserve">which </w:t>
      </w:r>
      <w:r w:rsidR="00734E94" w:rsidRPr="0087613A">
        <w:t>includ</w:t>
      </w:r>
      <w:r w:rsidR="004F2952">
        <w:t>ed</w:t>
      </w:r>
      <w:r w:rsidR="00734E94" w:rsidRPr="0087613A">
        <w:t xml:space="preserve"> the enterprise data capabilities</w:t>
      </w:r>
      <w:r>
        <w:t xml:space="preserve"> and</w:t>
      </w:r>
      <w:r w:rsidR="00734E94" w:rsidRPr="0087613A">
        <w:t xml:space="preserve"> </w:t>
      </w:r>
      <w:r w:rsidR="00A15AB2">
        <w:t>resulted in</w:t>
      </w:r>
      <w:r w:rsidR="00734E94" w:rsidRPr="0087613A">
        <w:t xml:space="preserve"> Crisp having to establish new types of relationships with </w:t>
      </w:r>
      <w:r w:rsidR="00A15AB2">
        <w:t>changed</w:t>
      </w:r>
      <w:r w:rsidR="00A15AB2" w:rsidRPr="0087613A">
        <w:t xml:space="preserve"> </w:t>
      </w:r>
      <w:r w:rsidR="00734E94" w:rsidRPr="0087613A">
        <w:t xml:space="preserve">departments. </w:t>
      </w:r>
      <w:r w:rsidR="00A15AB2">
        <w:t xml:space="preserve">She also had </w:t>
      </w:r>
      <w:r w:rsidR="00734E94" w:rsidRPr="0087613A">
        <w:t xml:space="preserve">difficulties </w:t>
      </w:r>
      <w:r w:rsidR="00A15AB2">
        <w:t>collecting</w:t>
      </w:r>
      <w:r w:rsidR="00A15AB2" w:rsidRPr="0087613A">
        <w:t xml:space="preserve"> </w:t>
      </w:r>
      <w:r w:rsidR="00734E94" w:rsidRPr="0087613A">
        <w:t>the data necessary for the key performance indicators.</w:t>
      </w:r>
      <w:r w:rsidR="00C75B16">
        <w:t xml:space="preserve"> </w:t>
      </w:r>
      <w:r w:rsidR="00734E94" w:rsidRPr="0087613A">
        <w:t>For example, the prior CDO</w:t>
      </w:r>
      <w:r w:rsidR="00A15AB2">
        <w:t>’s</w:t>
      </w:r>
      <w:r w:rsidR="00734E94" w:rsidRPr="0087613A">
        <w:t xml:space="preserve"> mandate </w:t>
      </w:r>
      <w:r w:rsidR="004F2952">
        <w:t xml:space="preserve">had </w:t>
      </w:r>
      <w:r w:rsidR="00734E94" w:rsidRPr="0087613A">
        <w:t xml:space="preserve">included </w:t>
      </w:r>
      <w:r w:rsidR="00A15AB2">
        <w:t>an a</w:t>
      </w:r>
      <w:r w:rsidR="00734E94" w:rsidRPr="0087613A">
        <w:t xml:space="preserve">dvanced </w:t>
      </w:r>
      <w:r w:rsidR="00A15AB2">
        <w:t>a</w:t>
      </w:r>
      <w:r w:rsidR="00734E94" w:rsidRPr="0087613A">
        <w:t>nalytics</w:t>
      </w:r>
      <w:r w:rsidR="00A15AB2">
        <w:t xml:space="preserve"> department</w:t>
      </w:r>
      <w:r w:rsidR="00734E94" w:rsidRPr="0087613A">
        <w:t xml:space="preserve">; however, </w:t>
      </w:r>
      <w:r w:rsidR="00A15AB2">
        <w:t>with restructuring</w:t>
      </w:r>
      <w:r w:rsidR="00734E94" w:rsidRPr="0087613A">
        <w:t xml:space="preserve">, the </w:t>
      </w:r>
      <w:r w:rsidR="00A15AB2">
        <w:t>a</w:t>
      </w:r>
      <w:r w:rsidR="00734E94" w:rsidRPr="0087613A">
        <w:t xml:space="preserve">dvanced </w:t>
      </w:r>
      <w:r w:rsidR="00A15AB2">
        <w:t>a</w:t>
      </w:r>
      <w:r w:rsidR="00734E94" w:rsidRPr="0087613A">
        <w:t xml:space="preserve">nalytics department had been realigned under </w:t>
      </w:r>
      <w:r w:rsidR="00A15AB2">
        <w:t>m</w:t>
      </w:r>
      <w:r w:rsidR="00734E94" w:rsidRPr="0087613A">
        <w:t>arketing (</w:t>
      </w:r>
      <w:r w:rsidR="00F61682">
        <w:t xml:space="preserve">see </w:t>
      </w:r>
      <w:r w:rsidR="00734E94" w:rsidRPr="0087613A">
        <w:t xml:space="preserve">Exhibit </w:t>
      </w:r>
      <w:r w:rsidR="00430AF6">
        <w:t>4</w:t>
      </w:r>
      <w:r w:rsidR="00734E94" w:rsidRPr="0087613A">
        <w:t xml:space="preserve">). </w:t>
      </w:r>
      <w:r w:rsidR="00A15AB2">
        <w:t>Also, t</w:t>
      </w:r>
      <w:r w:rsidR="00734E94" w:rsidRPr="0087613A">
        <w:t xml:space="preserve">he </w:t>
      </w:r>
      <w:r w:rsidR="00A15AB2">
        <w:t>e</w:t>
      </w:r>
      <w:r w:rsidR="00734E94" w:rsidRPr="0087613A">
        <w:t xml:space="preserve">nterprise </w:t>
      </w:r>
      <w:r w:rsidR="00A15AB2">
        <w:t>a</w:t>
      </w:r>
      <w:r w:rsidR="00734E94" w:rsidRPr="0087613A">
        <w:t xml:space="preserve">nalytics department changed the metrics </w:t>
      </w:r>
      <w:r w:rsidR="00A15AB2">
        <w:t>for</w:t>
      </w:r>
      <w:r w:rsidR="00734E94" w:rsidRPr="0087613A">
        <w:t xml:space="preserve"> reporting data. </w:t>
      </w:r>
      <w:r w:rsidR="00A15AB2">
        <w:t>The consequence was</w:t>
      </w:r>
      <w:r w:rsidR="00734E94" w:rsidRPr="0087613A">
        <w:t xml:space="preserve"> the </w:t>
      </w:r>
      <w:r w:rsidR="00A15AB2">
        <w:t>O</w:t>
      </w:r>
      <w:r w:rsidR="00734E94" w:rsidRPr="0087613A">
        <w:t>CDO did</w:t>
      </w:r>
      <w:r w:rsidR="00A15AB2">
        <w:t xml:space="preserve"> </w:t>
      </w:r>
      <w:r w:rsidR="00734E94" w:rsidRPr="0087613A">
        <w:t>n</w:t>
      </w:r>
      <w:r w:rsidR="00A15AB2">
        <w:t>o</w:t>
      </w:r>
      <w:r w:rsidR="00734E94" w:rsidRPr="0087613A">
        <w:t xml:space="preserve">t have access to the proper data and metadata, which meant </w:t>
      </w:r>
      <w:r w:rsidR="00A15AB2">
        <w:t>it</w:t>
      </w:r>
      <w:r w:rsidR="00A15AB2" w:rsidRPr="0087613A">
        <w:t xml:space="preserve"> </w:t>
      </w:r>
      <w:r w:rsidR="00734E94" w:rsidRPr="0087613A">
        <w:t>could</w:t>
      </w:r>
      <w:r w:rsidR="00A15AB2">
        <w:t xml:space="preserve"> </w:t>
      </w:r>
      <w:r w:rsidR="00734E94" w:rsidRPr="0087613A">
        <w:t>n</w:t>
      </w:r>
      <w:r w:rsidR="00A15AB2">
        <w:t>o</w:t>
      </w:r>
      <w:r w:rsidR="00734E94" w:rsidRPr="0087613A">
        <w:t xml:space="preserve">t properly measure the </w:t>
      </w:r>
      <w:r w:rsidR="004F2952">
        <w:t>key performance indicators</w:t>
      </w:r>
      <w:r w:rsidR="00A15AB2">
        <w:t>.</w:t>
      </w:r>
      <w:r w:rsidR="00EB0869" w:rsidRPr="0087613A">
        <w:t xml:space="preserve"> </w:t>
      </w:r>
    </w:p>
    <w:p w14:paraId="343D4D07" w14:textId="043F8928" w:rsidR="00734E94" w:rsidRPr="0087613A" w:rsidRDefault="00734E94" w:rsidP="00734E94">
      <w:pPr>
        <w:pStyle w:val="BodyTextMain"/>
      </w:pPr>
    </w:p>
    <w:p w14:paraId="2EC0D2CC" w14:textId="7053FC01" w:rsidR="00734E94" w:rsidRPr="009464B0" w:rsidRDefault="00A15AB2" w:rsidP="00734E94">
      <w:pPr>
        <w:pStyle w:val="BodyTextMain"/>
        <w:rPr>
          <w:spacing w:val="-2"/>
          <w:kern w:val="22"/>
        </w:rPr>
      </w:pPr>
      <w:r w:rsidRPr="009464B0">
        <w:rPr>
          <w:spacing w:val="-2"/>
          <w:kern w:val="22"/>
        </w:rPr>
        <w:t xml:space="preserve">Because </w:t>
      </w:r>
      <w:r w:rsidR="00734E94" w:rsidRPr="009464B0">
        <w:rPr>
          <w:spacing w:val="-2"/>
          <w:kern w:val="22"/>
        </w:rPr>
        <w:t xml:space="preserve">the </w:t>
      </w:r>
      <w:r w:rsidRPr="009464B0">
        <w:rPr>
          <w:spacing w:val="-2"/>
          <w:kern w:val="22"/>
        </w:rPr>
        <w:t xml:space="preserve">role of </w:t>
      </w:r>
      <w:r w:rsidR="00734E94" w:rsidRPr="009464B0">
        <w:rPr>
          <w:spacing w:val="-2"/>
          <w:kern w:val="22"/>
        </w:rPr>
        <w:t xml:space="preserve">CDO was fairly new in all organizations, the position lacked consistently defined responsibilities. </w:t>
      </w:r>
      <w:r w:rsidR="00AB6D4A" w:rsidRPr="009464B0">
        <w:rPr>
          <w:spacing w:val="-2"/>
          <w:kern w:val="22"/>
        </w:rPr>
        <w:t xml:space="preserve">Crisp therefore needed to work continuously with other executives to differentiate what fell under her domain from what fell under theirs. </w:t>
      </w:r>
      <w:r w:rsidR="00734E94" w:rsidRPr="009464B0">
        <w:rPr>
          <w:spacing w:val="-2"/>
          <w:kern w:val="22"/>
        </w:rPr>
        <w:t xml:space="preserve">For example, data life cycle management, which </w:t>
      </w:r>
      <w:r w:rsidRPr="009464B0">
        <w:rPr>
          <w:spacing w:val="-2"/>
          <w:kern w:val="22"/>
        </w:rPr>
        <w:t>included</w:t>
      </w:r>
      <w:r w:rsidR="00734E94" w:rsidRPr="009464B0">
        <w:rPr>
          <w:spacing w:val="-2"/>
          <w:kern w:val="22"/>
        </w:rPr>
        <w:t xml:space="preserve"> current records retention, could fall under the domain</w:t>
      </w:r>
      <w:r w:rsidRPr="009464B0">
        <w:rPr>
          <w:spacing w:val="-2"/>
          <w:kern w:val="22"/>
        </w:rPr>
        <w:t>s</w:t>
      </w:r>
      <w:r w:rsidR="00734E94" w:rsidRPr="009464B0">
        <w:rPr>
          <w:spacing w:val="-2"/>
          <w:kern w:val="22"/>
        </w:rPr>
        <w:t xml:space="preserve"> of the </w:t>
      </w:r>
      <w:r w:rsidRPr="009464B0">
        <w:rPr>
          <w:spacing w:val="-2"/>
          <w:kern w:val="22"/>
        </w:rPr>
        <w:t>chief risk officer</w:t>
      </w:r>
      <w:r w:rsidR="00734E94" w:rsidRPr="009464B0">
        <w:rPr>
          <w:spacing w:val="-2"/>
          <w:kern w:val="22"/>
        </w:rPr>
        <w:t xml:space="preserve">, </w:t>
      </w:r>
      <w:r w:rsidRPr="009464B0">
        <w:rPr>
          <w:spacing w:val="-2"/>
          <w:kern w:val="22"/>
        </w:rPr>
        <w:t>chief information officer</w:t>
      </w:r>
      <w:r w:rsidR="00734E94" w:rsidRPr="009464B0">
        <w:rPr>
          <w:spacing w:val="-2"/>
          <w:kern w:val="22"/>
        </w:rPr>
        <w:t xml:space="preserve">, </w:t>
      </w:r>
      <w:r w:rsidRPr="009464B0">
        <w:rPr>
          <w:spacing w:val="-2"/>
          <w:kern w:val="22"/>
        </w:rPr>
        <w:t>chief operating officer</w:t>
      </w:r>
      <w:r w:rsidR="00734E94" w:rsidRPr="009464B0">
        <w:rPr>
          <w:spacing w:val="-2"/>
          <w:kern w:val="22"/>
        </w:rPr>
        <w:t xml:space="preserve">, </w:t>
      </w:r>
      <w:r w:rsidRPr="009464B0">
        <w:rPr>
          <w:spacing w:val="-2"/>
          <w:kern w:val="22"/>
        </w:rPr>
        <w:t>general counsel</w:t>
      </w:r>
      <w:r w:rsidR="00734E94" w:rsidRPr="009464B0">
        <w:rPr>
          <w:spacing w:val="-2"/>
          <w:kern w:val="22"/>
        </w:rPr>
        <w:t>, or the CDO.</w:t>
      </w:r>
      <w:r w:rsidR="00C75B16" w:rsidRPr="009464B0">
        <w:rPr>
          <w:spacing w:val="-2"/>
          <w:kern w:val="22"/>
        </w:rPr>
        <w:t xml:space="preserve"> </w:t>
      </w:r>
      <w:r w:rsidR="00734E94" w:rsidRPr="009464B0">
        <w:rPr>
          <w:spacing w:val="-2"/>
          <w:kern w:val="22"/>
        </w:rPr>
        <w:t xml:space="preserve">Crisp recognized that TD’s data life cycle management policy needed updating to reduce costs and risks associated with keeping files and data longer than necessary. </w:t>
      </w:r>
      <w:r w:rsidR="00AB6D4A" w:rsidRPr="009464B0">
        <w:rPr>
          <w:spacing w:val="-2"/>
          <w:kern w:val="22"/>
        </w:rPr>
        <w:t>And a</w:t>
      </w:r>
      <w:r w:rsidR="00734E94" w:rsidRPr="009464B0">
        <w:rPr>
          <w:spacing w:val="-2"/>
          <w:kern w:val="22"/>
        </w:rPr>
        <w:t xml:space="preserve">lthough Deloitte </w:t>
      </w:r>
      <w:r w:rsidR="00AB6D4A" w:rsidRPr="009464B0">
        <w:rPr>
          <w:spacing w:val="-2"/>
          <w:kern w:val="22"/>
        </w:rPr>
        <w:t xml:space="preserve">had </w:t>
      </w:r>
      <w:r w:rsidR="00734E94" w:rsidRPr="009464B0">
        <w:rPr>
          <w:spacing w:val="-2"/>
          <w:kern w:val="22"/>
        </w:rPr>
        <w:t>recommend</w:t>
      </w:r>
      <w:r w:rsidR="00AB6D4A" w:rsidRPr="009464B0">
        <w:rPr>
          <w:spacing w:val="-2"/>
          <w:kern w:val="22"/>
        </w:rPr>
        <w:t>ed</w:t>
      </w:r>
      <w:r w:rsidR="00734E94" w:rsidRPr="009464B0">
        <w:rPr>
          <w:spacing w:val="-2"/>
          <w:kern w:val="22"/>
        </w:rPr>
        <w:t xml:space="preserve"> </w:t>
      </w:r>
      <w:r w:rsidR="00AB6D4A" w:rsidRPr="009464B0">
        <w:rPr>
          <w:spacing w:val="-2"/>
          <w:kern w:val="22"/>
        </w:rPr>
        <w:t xml:space="preserve">that </w:t>
      </w:r>
      <w:r w:rsidR="00734E94" w:rsidRPr="009464B0">
        <w:rPr>
          <w:spacing w:val="-2"/>
          <w:kern w:val="22"/>
        </w:rPr>
        <w:t>the responsibility fall under the domain of the CDO, Crisp was unsure if she should take on the task or, for that matter, how her fellow executives would react</w:t>
      </w:r>
      <w:r w:rsidR="00AB6D4A" w:rsidRPr="009464B0">
        <w:rPr>
          <w:spacing w:val="-2"/>
          <w:kern w:val="22"/>
        </w:rPr>
        <w:t xml:space="preserve"> if she did</w:t>
      </w:r>
      <w:r w:rsidR="00734E94" w:rsidRPr="009464B0">
        <w:rPr>
          <w:spacing w:val="-2"/>
          <w:kern w:val="22"/>
        </w:rPr>
        <w:t xml:space="preserve">. </w:t>
      </w:r>
    </w:p>
    <w:p w14:paraId="36639A00" w14:textId="77777777" w:rsidR="00734E94" w:rsidRDefault="00734E94" w:rsidP="00734E94">
      <w:pPr>
        <w:pStyle w:val="BodyTextMain"/>
      </w:pPr>
    </w:p>
    <w:p w14:paraId="2617CD31" w14:textId="77777777" w:rsidR="00734E94" w:rsidRPr="0087613A" w:rsidRDefault="00734E94" w:rsidP="00734E94">
      <w:pPr>
        <w:pStyle w:val="BodyTextMain"/>
      </w:pPr>
    </w:p>
    <w:p w14:paraId="7A278672" w14:textId="77777777" w:rsidR="00734E94" w:rsidRDefault="00734E94" w:rsidP="00C75B16">
      <w:pPr>
        <w:pStyle w:val="Casehead1"/>
        <w:outlineLvl w:val="0"/>
      </w:pPr>
      <w:r w:rsidRPr="0087613A">
        <w:t>Simplifying Processes</w:t>
      </w:r>
    </w:p>
    <w:p w14:paraId="595DC5B7" w14:textId="77777777" w:rsidR="00734E94" w:rsidRPr="0087613A" w:rsidRDefault="00734E94" w:rsidP="00C30478">
      <w:pPr>
        <w:pStyle w:val="BodyTextMain"/>
      </w:pPr>
    </w:p>
    <w:p w14:paraId="7D76D285" w14:textId="6FC4D8C6" w:rsidR="00734E94" w:rsidRPr="0087613A" w:rsidRDefault="00734E94" w:rsidP="00734E94">
      <w:pPr>
        <w:pStyle w:val="BodyTextMain"/>
      </w:pPr>
      <w:r w:rsidRPr="0087613A">
        <w:t xml:space="preserve">Before Crisp stepped into the CDO position, she made a point </w:t>
      </w:r>
      <w:r w:rsidR="00AB6D4A">
        <w:t>of</w:t>
      </w:r>
      <w:r w:rsidR="00AB6D4A" w:rsidRPr="0087613A">
        <w:t xml:space="preserve"> </w:t>
      </w:r>
      <w:r w:rsidRPr="0087613A">
        <w:t>meet</w:t>
      </w:r>
      <w:r w:rsidR="00AB6D4A">
        <w:t>ing</w:t>
      </w:r>
      <w:r w:rsidRPr="0087613A">
        <w:t xml:space="preserve"> with the </w:t>
      </w:r>
      <w:r w:rsidR="00AB6D4A">
        <w:t>e</w:t>
      </w:r>
      <w:r w:rsidRPr="0087613A">
        <w:t xml:space="preserve">xecutive </w:t>
      </w:r>
      <w:r w:rsidR="00AB6D4A">
        <w:t>d</w:t>
      </w:r>
      <w:r w:rsidRPr="0087613A">
        <w:t xml:space="preserve">ata </w:t>
      </w:r>
      <w:r w:rsidR="00AB6D4A">
        <w:t>s</w:t>
      </w:r>
      <w:r w:rsidRPr="0087613A">
        <w:t xml:space="preserve">ponsors across the lines of business to see what needed to be addressed. The </w:t>
      </w:r>
      <w:r w:rsidR="00AB6D4A">
        <w:t>primary</w:t>
      </w:r>
      <w:r w:rsidR="00AB6D4A" w:rsidRPr="0087613A">
        <w:t xml:space="preserve"> </w:t>
      </w:r>
      <w:r w:rsidRPr="0087613A">
        <w:t xml:space="preserve">piece of advice she received was to be more direct and concise with policy and </w:t>
      </w:r>
      <w:r w:rsidR="00D53685">
        <w:t xml:space="preserve">how it was </w:t>
      </w:r>
      <w:r w:rsidRPr="0087613A">
        <w:t>document</w:t>
      </w:r>
      <w:r w:rsidR="00D53685">
        <w:t>ed</w:t>
      </w:r>
      <w:r w:rsidRPr="0087613A">
        <w:t xml:space="preserve"> to ensure </w:t>
      </w:r>
      <w:r w:rsidR="00AB6D4A">
        <w:t xml:space="preserve">the </w:t>
      </w:r>
      <w:r w:rsidRPr="0087613A">
        <w:t>line</w:t>
      </w:r>
      <w:r w:rsidR="00AB6D4A">
        <w:t>s</w:t>
      </w:r>
      <w:r w:rsidRPr="0087613A">
        <w:t xml:space="preserve"> of business </w:t>
      </w:r>
      <w:r w:rsidR="00AB6D4A">
        <w:t xml:space="preserve">would </w:t>
      </w:r>
      <w:r w:rsidR="00AB6D4A" w:rsidRPr="0087613A">
        <w:t>adopt</w:t>
      </w:r>
      <w:r w:rsidR="00AB6D4A">
        <w:t xml:space="preserve"> the processes</w:t>
      </w:r>
      <w:r w:rsidRPr="0087613A">
        <w:t xml:space="preserve">. </w:t>
      </w:r>
    </w:p>
    <w:p w14:paraId="52773EBD" w14:textId="77777777" w:rsidR="00734E94" w:rsidRPr="0087613A" w:rsidRDefault="00734E94" w:rsidP="00734E94">
      <w:pPr>
        <w:pStyle w:val="BodyTextMain"/>
      </w:pPr>
    </w:p>
    <w:p w14:paraId="43AEAD67" w14:textId="3BCDAC5F" w:rsidR="00734E94" w:rsidRPr="0087613A" w:rsidRDefault="00734E94" w:rsidP="00734E94">
      <w:pPr>
        <w:pStyle w:val="BodyTextMain"/>
      </w:pPr>
      <w:r w:rsidRPr="0087613A">
        <w:t xml:space="preserve">The </w:t>
      </w:r>
      <w:r w:rsidR="00AB6D4A">
        <w:t>O</w:t>
      </w:r>
      <w:r w:rsidRPr="0087613A">
        <w:t xml:space="preserve">CDO was responsible for producing </w:t>
      </w:r>
      <w:bookmarkStart w:id="5" w:name="_Hlk478481983"/>
      <w:r w:rsidRPr="0087613A">
        <w:t xml:space="preserve">the </w:t>
      </w:r>
      <w:r w:rsidR="00AB6D4A" w:rsidRPr="0087613A">
        <w:t xml:space="preserve">enterprise data governance </w:t>
      </w:r>
      <w:r w:rsidRPr="0087613A">
        <w:t>policies</w:t>
      </w:r>
      <w:bookmarkEnd w:id="5"/>
      <w:r w:rsidRPr="0087613A">
        <w:t>, standards, and processes. These policies provided a common approach across the organization</w:t>
      </w:r>
      <w:r>
        <w:t xml:space="preserve"> for effective data management.</w:t>
      </w:r>
      <w:r w:rsidRPr="0087613A">
        <w:t xml:space="preserve"> TD</w:t>
      </w:r>
      <w:r w:rsidR="00733DC6">
        <w:t xml:space="preserve"> had implemented</w:t>
      </w:r>
      <w:r w:rsidRPr="0087613A">
        <w:t xml:space="preserve"> a number of common processes, programs, and tools to enable a consistent approach </w:t>
      </w:r>
      <w:r w:rsidR="00733DC6">
        <w:t>to data</w:t>
      </w:r>
      <w:r w:rsidR="00733DC6" w:rsidRPr="0087613A">
        <w:t xml:space="preserve"> gover</w:t>
      </w:r>
      <w:r w:rsidR="00733DC6">
        <w:t>nance</w:t>
      </w:r>
      <w:r w:rsidR="00733DC6" w:rsidRPr="0087613A" w:rsidDel="00733DC6">
        <w:t xml:space="preserve"> </w:t>
      </w:r>
      <w:r w:rsidR="00733DC6" w:rsidRPr="0087613A">
        <w:t xml:space="preserve">and </w:t>
      </w:r>
      <w:r w:rsidRPr="0087613A">
        <w:t>management</w:t>
      </w:r>
      <w:r>
        <w:t xml:space="preserve">. </w:t>
      </w:r>
      <w:r w:rsidRPr="009A1674">
        <w:t xml:space="preserve">These included a data issue and change governance process, data quality management process, and a data impact assessment for projects. The data issue and change governance process ensured a single, consistent approach to manage and govern data issues and changes across all </w:t>
      </w:r>
      <w:r w:rsidR="00733DC6">
        <w:t>b</w:t>
      </w:r>
      <w:r w:rsidRPr="009A1674">
        <w:t>usiness</w:t>
      </w:r>
      <w:r w:rsidR="00733DC6">
        <w:t xml:space="preserve"> lin</w:t>
      </w:r>
      <w:r w:rsidRPr="009A1674">
        <w:t>es. The data quality and management process assessed the quality of critical data elements across the enterprise</w:t>
      </w:r>
      <w:r w:rsidR="00733DC6">
        <w:t>, and t</w:t>
      </w:r>
      <w:r w:rsidRPr="009A1674">
        <w:t xml:space="preserve">he data impact assessment for projects ensured </w:t>
      </w:r>
      <w:r w:rsidR="00733DC6">
        <w:t xml:space="preserve">the projects </w:t>
      </w:r>
      <w:r w:rsidRPr="009A1674">
        <w:t>align</w:t>
      </w:r>
      <w:r w:rsidR="00733DC6">
        <w:t>ed</w:t>
      </w:r>
      <w:r w:rsidRPr="009A1674">
        <w:t xml:space="preserve"> </w:t>
      </w:r>
      <w:r w:rsidR="00733DC6">
        <w:t>with</w:t>
      </w:r>
      <w:r w:rsidR="00733DC6" w:rsidRPr="009A1674">
        <w:t xml:space="preserve"> </w:t>
      </w:r>
      <w:r w:rsidRPr="009A1674">
        <w:t xml:space="preserve">the </w:t>
      </w:r>
      <w:r w:rsidR="00733DC6" w:rsidRPr="009A1674">
        <w:t>enterprise data strategy</w:t>
      </w:r>
      <w:r w:rsidR="00733DC6">
        <w:t>. It also</w:t>
      </w:r>
      <w:r w:rsidRPr="009A1674">
        <w:t xml:space="preserve"> assist</w:t>
      </w:r>
      <w:r w:rsidR="00733DC6">
        <w:t>ed</w:t>
      </w:r>
      <w:r w:rsidRPr="009A1674">
        <w:t xml:space="preserve"> the </w:t>
      </w:r>
      <w:r w:rsidR="00733DC6" w:rsidRPr="009A1674">
        <w:t xml:space="preserve">data stewards </w:t>
      </w:r>
      <w:r w:rsidR="00733DC6">
        <w:t xml:space="preserve">in </w:t>
      </w:r>
      <w:r w:rsidRPr="009A1674">
        <w:t>assessing typical areas of challenge in projects.</w:t>
      </w:r>
      <w:r>
        <w:t xml:space="preserve"> </w:t>
      </w:r>
      <w:r w:rsidR="00733DC6">
        <w:t xml:space="preserve">When Crisp </w:t>
      </w:r>
      <w:r w:rsidRPr="0087613A">
        <w:t>evaluat</w:t>
      </w:r>
      <w:r w:rsidR="00733DC6">
        <w:t>ed</w:t>
      </w:r>
      <w:r w:rsidRPr="0087613A">
        <w:t xml:space="preserve"> the original data quality process document, </w:t>
      </w:r>
      <w:r w:rsidR="00733DC6">
        <w:t>she</w:t>
      </w:r>
      <w:r w:rsidR="00733DC6" w:rsidRPr="0087613A">
        <w:t xml:space="preserve"> </w:t>
      </w:r>
      <w:r w:rsidRPr="0087613A">
        <w:t>noted that it was 141 pages long</w:t>
      </w:r>
      <w:r w:rsidR="00733DC6">
        <w:t>,</w:t>
      </w:r>
      <w:r w:rsidRPr="0087613A">
        <w:t xml:space="preserve"> including 46 steps. She saw </w:t>
      </w:r>
      <w:r w:rsidR="00733DC6">
        <w:t xml:space="preserve">what the executive data sponsors were referring to and noted </w:t>
      </w:r>
      <w:r w:rsidRPr="0087613A">
        <w:t xml:space="preserve">areas where </w:t>
      </w:r>
      <w:r w:rsidR="00733DC6">
        <w:t>the document</w:t>
      </w:r>
      <w:r w:rsidR="00733DC6" w:rsidRPr="0087613A">
        <w:t xml:space="preserve"> </w:t>
      </w:r>
      <w:r w:rsidRPr="0087613A">
        <w:t xml:space="preserve">could be more concise and streamlined. </w:t>
      </w:r>
    </w:p>
    <w:p w14:paraId="1F3F32F8" w14:textId="77777777" w:rsidR="00734E94" w:rsidRPr="0087613A" w:rsidRDefault="00734E94" w:rsidP="00734E94">
      <w:pPr>
        <w:pStyle w:val="BodyTextMain"/>
      </w:pPr>
    </w:p>
    <w:p w14:paraId="569312CF" w14:textId="302085CA" w:rsidR="00734E94" w:rsidRPr="0087613A" w:rsidRDefault="00734E94" w:rsidP="00734E94">
      <w:pPr>
        <w:pStyle w:val="BodyTextMain"/>
      </w:pPr>
      <w:r w:rsidRPr="0087613A">
        <w:t xml:space="preserve">Crisp </w:t>
      </w:r>
      <w:r w:rsidR="00733DC6">
        <w:t>could</w:t>
      </w:r>
      <w:r w:rsidRPr="0087613A">
        <w:t xml:space="preserve"> engage IBM </w:t>
      </w:r>
      <w:r w:rsidR="00733DC6">
        <w:t>for</w:t>
      </w:r>
      <w:r w:rsidR="00733DC6" w:rsidRPr="0087613A">
        <w:t xml:space="preserve"> </w:t>
      </w:r>
      <w:r w:rsidRPr="0087613A">
        <w:t xml:space="preserve">a full-day </w:t>
      </w:r>
      <w:r w:rsidR="00733DC6">
        <w:t>“</w:t>
      </w:r>
      <w:r w:rsidRPr="0087613A">
        <w:t>Design Thinking</w:t>
      </w:r>
      <w:r w:rsidR="00733DC6">
        <w:t>”</w:t>
      </w:r>
      <w:r w:rsidRPr="0087613A">
        <w:t xml:space="preserve"> workshop, which would lead some experienced </w:t>
      </w:r>
      <w:r w:rsidR="00733DC6" w:rsidRPr="0087613A">
        <w:t xml:space="preserve">data stewards </w:t>
      </w:r>
      <w:r w:rsidRPr="0087613A">
        <w:t xml:space="preserve">through exercises to help them simplify the </w:t>
      </w:r>
      <w:r w:rsidR="00733DC6">
        <w:t xml:space="preserve">data quality management </w:t>
      </w:r>
      <w:r>
        <w:t>process</w:t>
      </w:r>
      <w:r w:rsidRPr="0087613A">
        <w:t>. Crisp needed to determine if th</w:t>
      </w:r>
      <w:r w:rsidR="00733DC6">
        <w:t>at was th</w:t>
      </w:r>
      <w:r w:rsidRPr="0087613A">
        <w:t>e best approach to streamlining the documentation</w:t>
      </w:r>
      <w:r w:rsidR="00733DC6">
        <w:t>, or if she should</w:t>
      </w:r>
      <w:r w:rsidRPr="0087613A">
        <w:t xml:space="preserve"> use only internal expertise. </w:t>
      </w:r>
    </w:p>
    <w:p w14:paraId="63456A4F" w14:textId="77777777" w:rsidR="00734E94" w:rsidRDefault="00734E94" w:rsidP="00734E94">
      <w:pPr>
        <w:pStyle w:val="BodyTextMain"/>
      </w:pPr>
    </w:p>
    <w:p w14:paraId="69036FDD" w14:textId="77777777" w:rsidR="00734E94" w:rsidRDefault="00734E94" w:rsidP="00C75B16">
      <w:pPr>
        <w:pStyle w:val="Casehead1"/>
        <w:outlineLvl w:val="0"/>
      </w:pPr>
      <w:r w:rsidRPr="0087613A">
        <w:lastRenderedPageBreak/>
        <w:t>Technology</w:t>
      </w:r>
    </w:p>
    <w:p w14:paraId="43E76C64" w14:textId="77777777" w:rsidR="00734E94" w:rsidRPr="0087613A" w:rsidRDefault="00734E94" w:rsidP="00734E94">
      <w:pPr>
        <w:pStyle w:val="BodyTextMain"/>
      </w:pPr>
    </w:p>
    <w:p w14:paraId="203622E1" w14:textId="41997F45" w:rsidR="00734E94" w:rsidRPr="0087613A" w:rsidRDefault="00734E94" w:rsidP="00734E94">
      <w:pPr>
        <w:pStyle w:val="BodyTextMain"/>
      </w:pPr>
      <w:r w:rsidRPr="0087613A">
        <w:t xml:space="preserve">Another </w:t>
      </w:r>
      <w:r w:rsidR="001E582D">
        <w:t xml:space="preserve">of the CDO’s </w:t>
      </w:r>
      <w:r w:rsidRPr="0087613A">
        <w:t xml:space="preserve">important </w:t>
      </w:r>
      <w:r w:rsidR="001E582D">
        <w:t>responsibilities</w:t>
      </w:r>
      <w:r w:rsidR="001E582D" w:rsidRPr="0087613A">
        <w:t xml:space="preserve"> </w:t>
      </w:r>
      <w:r w:rsidRPr="0087613A">
        <w:t xml:space="preserve">was </w:t>
      </w:r>
      <w:r w:rsidR="001E582D">
        <w:t xml:space="preserve">to </w:t>
      </w:r>
      <w:r w:rsidRPr="0087613A">
        <w:t>determin</w:t>
      </w:r>
      <w:r w:rsidR="001E582D">
        <w:t>e</w:t>
      </w:r>
      <w:r w:rsidRPr="0087613A">
        <w:t xml:space="preserve"> the </w:t>
      </w:r>
      <w:r w:rsidR="001E582D">
        <w:t>correct</w:t>
      </w:r>
      <w:r w:rsidR="001E582D" w:rsidRPr="0087613A">
        <w:t xml:space="preserve"> </w:t>
      </w:r>
      <w:r w:rsidRPr="0087613A">
        <w:t xml:space="preserve">and effective technology to </w:t>
      </w:r>
      <w:r w:rsidR="001E582D">
        <w:t>use</w:t>
      </w:r>
      <w:r w:rsidRPr="0087613A">
        <w:t xml:space="preserve">. Technology and tools were important enablers </w:t>
      </w:r>
      <w:bookmarkStart w:id="6" w:name="_Hlk478483839"/>
      <w:r w:rsidRPr="0087613A">
        <w:t>for driving data quality, traceability, lineage, monitoring, and accountability</w:t>
      </w:r>
      <w:bookmarkEnd w:id="6"/>
      <w:r w:rsidRPr="0087613A">
        <w:t>.</w:t>
      </w:r>
      <w:r w:rsidR="00C75B16">
        <w:t xml:space="preserve"> </w:t>
      </w:r>
      <w:r w:rsidRPr="0087613A">
        <w:t xml:space="preserve">TD took both a “build your own” approach and a licensed solution approach for tools to manage its data. For example, TD chose to build its own </w:t>
      </w:r>
      <w:r w:rsidR="001E582D" w:rsidRPr="0087613A">
        <w:t xml:space="preserve">data issue </w:t>
      </w:r>
      <w:r w:rsidR="001E582D">
        <w:t>and</w:t>
      </w:r>
      <w:r w:rsidR="001E582D" w:rsidRPr="0087613A">
        <w:t xml:space="preserve"> change governance </w:t>
      </w:r>
      <w:r w:rsidRPr="0087613A">
        <w:t xml:space="preserve">tool, which was an enterprise repository of all data issues and proposed data changes. This tool </w:t>
      </w:r>
      <w:r w:rsidR="001E582D">
        <w:t>enabled</w:t>
      </w:r>
      <w:r w:rsidR="001E582D" w:rsidRPr="0087613A">
        <w:t xml:space="preserve"> </w:t>
      </w:r>
      <w:r w:rsidRPr="0087613A">
        <w:t xml:space="preserve">the CDO </w:t>
      </w:r>
      <w:r w:rsidR="001E582D">
        <w:t>to see</w:t>
      </w:r>
      <w:r w:rsidR="001E582D" w:rsidRPr="0087613A">
        <w:t xml:space="preserve"> </w:t>
      </w:r>
      <w:r w:rsidRPr="0087613A">
        <w:t xml:space="preserve">across the organization and </w:t>
      </w:r>
      <w:r w:rsidR="001E582D">
        <w:t>identify</w:t>
      </w:r>
      <w:r w:rsidRPr="0087613A">
        <w:t xml:space="preserve"> thematic issues that, solved once, would benefit multiple parts of the organization.</w:t>
      </w:r>
      <w:r w:rsidR="00C75B16">
        <w:t xml:space="preserve"> </w:t>
      </w:r>
      <w:r w:rsidRPr="0087613A">
        <w:t xml:space="preserve"> </w:t>
      </w:r>
    </w:p>
    <w:p w14:paraId="57E4D074" w14:textId="77777777" w:rsidR="00734E94" w:rsidRPr="0087613A" w:rsidRDefault="00734E94" w:rsidP="00734E94">
      <w:pPr>
        <w:pStyle w:val="BodyTextMain"/>
      </w:pPr>
    </w:p>
    <w:p w14:paraId="001DCD42" w14:textId="60F7933E" w:rsidR="00734E94" w:rsidRPr="0087613A" w:rsidRDefault="009B06AD" w:rsidP="00734E94">
      <w:pPr>
        <w:pStyle w:val="BodyTextMain"/>
      </w:pPr>
      <w:r>
        <w:t xml:space="preserve">For </w:t>
      </w:r>
      <w:bookmarkStart w:id="7" w:name="_Hlk478483903"/>
      <w:r>
        <w:t>m</w:t>
      </w:r>
      <w:r w:rsidR="00734E94" w:rsidRPr="0087613A">
        <w:t xml:space="preserve">etadata </w:t>
      </w:r>
      <w:r>
        <w:t>m</w:t>
      </w:r>
      <w:r w:rsidR="00734E94" w:rsidRPr="0087613A">
        <w:t xml:space="preserve">anagement and </w:t>
      </w:r>
      <w:r w:rsidRPr="0087613A">
        <w:t xml:space="preserve">data quality </w:t>
      </w:r>
      <w:r w:rsidR="00734E94" w:rsidRPr="0087613A">
        <w:t xml:space="preserve">tooling, </w:t>
      </w:r>
      <w:bookmarkEnd w:id="7"/>
      <w:r w:rsidR="00734E94" w:rsidRPr="0087613A">
        <w:t>TD chose to implement IBM</w:t>
      </w:r>
      <w:r>
        <w:rPr>
          <w:rFonts w:cstheme="minorHAnsi"/>
        </w:rPr>
        <w:t>’s</w:t>
      </w:r>
      <w:r w:rsidR="00734E94" w:rsidRPr="0087613A">
        <w:t xml:space="preserve"> </w:t>
      </w:r>
      <w:proofErr w:type="spellStart"/>
      <w:r w:rsidR="00734E94" w:rsidRPr="0087613A">
        <w:t>InfoSphere</w:t>
      </w:r>
      <w:proofErr w:type="spellEnd"/>
      <w:r w:rsidR="00734E94">
        <w:rPr>
          <w:rFonts w:cstheme="minorHAnsi"/>
        </w:rPr>
        <w:t>®</w:t>
      </w:r>
      <w:r w:rsidR="00734E94">
        <w:rPr>
          <w:rStyle w:val="FootnoteReference"/>
          <w:rFonts w:cstheme="minorHAnsi"/>
        </w:rPr>
        <w:footnoteReference w:id="8"/>
      </w:r>
      <w:r w:rsidR="00734E94" w:rsidRPr="0087613A">
        <w:t xml:space="preserve"> Information Governance </w:t>
      </w:r>
      <w:proofErr w:type="spellStart"/>
      <w:r w:rsidR="00734E94" w:rsidRPr="0087613A">
        <w:t>Catalog</w:t>
      </w:r>
      <w:proofErr w:type="spellEnd"/>
      <w:r w:rsidR="00734E94" w:rsidRPr="0087613A">
        <w:t xml:space="preserve"> and </w:t>
      </w:r>
      <w:bookmarkStart w:id="8" w:name="_Hlk478483926"/>
      <w:r w:rsidR="00DE4E6E">
        <w:t>its</w:t>
      </w:r>
      <w:r w:rsidRPr="0087613A">
        <w:t xml:space="preserve"> </w:t>
      </w:r>
      <w:proofErr w:type="spellStart"/>
      <w:r w:rsidR="00734E94" w:rsidRPr="0087613A">
        <w:t>InfoSphere</w:t>
      </w:r>
      <w:bookmarkEnd w:id="8"/>
      <w:proofErr w:type="spellEnd"/>
      <w:r w:rsidR="00734E94" w:rsidRPr="0087613A">
        <w:t xml:space="preserve"> Information </w:t>
      </w:r>
      <w:proofErr w:type="spellStart"/>
      <w:r w:rsidR="00734E94" w:rsidRPr="0087613A">
        <w:t>Analyzer</w:t>
      </w:r>
      <w:proofErr w:type="spellEnd"/>
      <w:r w:rsidR="00734E94" w:rsidRPr="0087613A">
        <w:t xml:space="preserve">. The </w:t>
      </w:r>
      <w:r>
        <w:t>g</w:t>
      </w:r>
      <w:r w:rsidR="00734E94" w:rsidRPr="0087613A">
        <w:t xml:space="preserve">overnance </w:t>
      </w:r>
      <w:r>
        <w:t>c</w:t>
      </w:r>
      <w:r w:rsidR="00734E94" w:rsidRPr="0087613A">
        <w:t>atalog</w:t>
      </w:r>
      <w:r>
        <w:t>ue</w:t>
      </w:r>
      <w:r w:rsidR="00734E94" w:rsidRPr="0087613A">
        <w:t xml:space="preserve"> was a metadata management, business glossary, and data lineage solution that encouraged a standardized approach to understanding data assets. </w:t>
      </w:r>
      <w:r>
        <w:t>The</w:t>
      </w:r>
      <w:r w:rsidR="00734E94" w:rsidRPr="0087613A">
        <w:t xml:space="preserve"> </w:t>
      </w:r>
      <w:r>
        <w:t>i</w:t>
      </w:r>
      <w:r w:rsidR="00734E94" w:rsidRPr="0087613A">
        <w:t xml:space="preserve">nformation </w:t>
      </w:r>
      <w:proofErr w:type="spellStart"/>
      <w:r>
        <w:t>a</w:t>
      </w:r>
      <w:r w:rsidR="00734E94" w:rsidRPr="0087613A">
        <w:t>nalyzer</w:t>
      </w:r>
      <w:proofErr w:type="spellEnd"/>
      <w:r w:rsidR="00734E94" w:rsidRPr="0087613A">
        <w:t xml:space="preserve"> </w:t>
      </w:r>
      <w:r>
        <w:t xml:space="preserve">profiled </w:t>
      </w:r>
      <w:r w:rsidR="00734E94" w:rsidRPr="0087613A">
        <w:t xml:space="preserve">data quality and </w:t>
      </w:r>
      <w:r>
        <w:t xml:space="preserve">classified data for </w:t>
      </w:r>
      <w:r w:rsidRPr="0087613A">
        <w:t>analy</w:t>
      </w:r>
      <w:r>
        <w:t>sis, which</w:t>
      </w:r>
      <w:r w:rsidR="00734E94" w:rsidRPr="0087613A">
        <w:t xml:space="preserve"> helped </w:t>
      </w:r>
      <w:r>
        <w:t>the bank</w:t>
      </w:r>
      <w:r w:rsidRPr="0087613A">
        <w:t xml:space="preserve"> </w:t>
      </w:r>
      <w:r w:rsidR="00734E94" w:rsidRPr="0087613A">
        <w:t xml:space="preserve">derive more meaning from enterprise data, reduced </w:t>
      </w:r>
      <w:r>
        <w:t>its</w:t>
      </w:r>
      <w:r w:rsidRPr="0087613A">
        <w:t xml:space="preserve"> </w:t>
      </w:r>
      <w:r w:rsidR="00734E94" w:rsidRPr="0087613A">
        <w:t xml:space="preserve">risk of proliferating incorrect information, facilitated the delivery of trusted content, and helped to lower data integration costs. These tools could handle large volumes of data and </w:t>
      </w:r>
      <w:r w:rsidR="00346A52">
        <w:t>were</w:t>
      </w:r>
      <w:r w:rsidR="00346A52" w:rsidRPr="0087613A">
        <w:t xml:space="preserve"> </w:t>
      </w:r>
      <w:r w:rsidR="00734E94" w:rsidRPr="0087613A">
        <w:t>robust and scalable, allowing them to handle drastic growth in data.</w:t>
      </w:r>
    </w:p>
    <w:p w14:paraId="12580BA9" w14:textId="77777777" w:rsidR="00734E94" w:rsidRDefault="00734E94" w:rsidP="00734E94">
      <w:pPr>
        <w:pStyle w:val="BodyTextMain"/>
      </w:pPr>
    </w:p>
    <w:p w14:paraId="56C40C17" w14:textId="77777777" w:rsidR="00734E94" w:rsidRPr="0087613A" w:rsidRDefault="00734E94" w:rsidP="00734E94">
      <w:pPr>
        <w:pStyle w:val="BodyTextMain"/>
      </w:pPr>
    </w:p>
    <w:p w14:paraId="3A10B151" w14:textId="77777777" w:rsidR="00734E94" w:rsidRDefault="00734E94" w:rsidP="00C75B16">
      <w:pPr>
        <w:pStyle w:val="Casehead1"/>
        <w:outlineLvl w:val="0"/>
      </w:pPr>
      <w:r w:rsidRPr="0087613A">
        <w:t>Next Steps</w:t>
      </w:r>
    </w:p>
    <w:p w14:paraId="2D6F501C" w14:textId="77777777" w:rsidR="00734E94" w:rsidRPr="0087613A" w:rsidRDefault="00734E94" w:rsidP="00734E94">
      <w:pPr>
        <w:pStyle w:val="BodyTextMain"/>
      </w:pPr>
    </w:p>
    <w:p w14:paraId="22611A4A" w14:textId="17EDBF89" w:rsidR="00734E94" w:rsidRPr="0087613A" w:rsidRDefault="00734E94" w:rsidP="00734E94">
      <w:pPr>
        <w:pStyle w:val="BodyTextMain"/>
      </w:pPr>
      <w:r w:rsidRPr="0087613A">
        <w:t xml:space="preserve">In </w:t>
      </w:r>
      <w:r w:rsidR="00346A52">
        <w:t xml:space="preserve">her </w:t>
      </w:r>
      <w:r w:rsidRPr="0087613A">
        <w:t xml:space="preserve">review of the industry </w:t>
      </w:r>
      <w:r w:rsidR="00346A52">
        <w:t>and</w:t>
      </w:r>
      <w:r w:rsidRPr="0087613A">
        <w:t xml:space="preserve"> internal and external pressures</w:t>
      </w:r>
      <w:r w:rsidR="00346A52">
        <w:t xml:space="preserve"> at the bank</w:t>
      </w:r>
      <w:r w:rsidRPr="0087613A">
        <w:t>, Crisp needed to prioritize and create an action plan for the various issues</w:t>
      </w:r>
      <w:r w:rsidR="00346A52">
        <w:t xml:space="preserve"> she identified</w:t>
      </w:r>
      <w:r w:rsidRPr="0087613A">
        <w:t xml:space="preserve">. She needed to address impending regulation requirements in </w:t>
      </w:r>
      <w:r>
        <w:t xml:space="preserve">both </w:t>
      </w:r>
      <w:r w:rsidRPr="0087613A">
        <w:t>the U</w:t>
      </w:r>
      <w:r w:rsidR="00346A52">
        <w:t xml:space="preserve">nited </w:t>
      </w:r>
      <w:r w:rsidRPr="0087613A">
        <w:t>S</w:t>
      </w:r>
      <w:r w:rsidR="00346A52">
        <w:t>tates</w:t>
      </w:r>
      <w:r w:rsidRPr="0087613A">
        <w:t xml:space="preserve"> </w:t>
      </w:r>
      <w:r w:rsidR="00346A52">
        <w:t>and</w:t>
      </w:r>
      <w:r>
        <w:t xml:space="preserve"> Canada</w:t>
      </w:r>
      <w:r w:rsidR="00346A52">
        <w:t>,</w:t>
      </w:r>
      <w:r>
        <w:t xml:space="preserve"> </w:t>
      </w:r>
      <w:r w:rsidRPr="0087613A">
        <w:t xml:space="preserve">and align the people, processes, and technology </w:t>
      </w:r>
      <w:r w:rsidR="00346A52">
        <w:t>for</w:t>
      </w:r>
      <w:r w:rsidR="00346A52" w:rsidRPr="0087613A">
        <w:t xml:space="preserve"> </w:t>
      </w:r>
      <w:r w:rsidR="00346A52">
        <w:t>consistent e</w:t>
      </w:r>
      <w:r w:rsidRPr="0087613A">
        <w:t xml:space="preserve">nterprise </w:t>
      </w:r>
      <w:r w:rsidR="00346A52">
        <w:t>d</w:t>
      </w:r>
      <w:r w:rsidRPr="0087613A">
        <w:t xml:space="preserve">ata </w:t>
      </w:r>
      <w:r w:rsidR="00346A52">
        <w:t>m</w:t>
      </w:r>
      <w:r w:rsidRPr="0087613A">
        <w:t xml:space="preserve">anagement across the organization. </w:t>
      </w:r>
      <w:r w:rsidR="00346A52">
        <w:t>She also</w:t>
      </w:r>
      <w:r w:rsidR="00346A52" w:rsidRPr="0087613A">
        <w:t xml:space="preserve"> </w:t>
      </w:r>
      <w:r w:rsidRPr="0087613A">
        <w:t xml:space="preserve">needed to manage and address the expanding role of </w:t>
      </w:r>
      <w:r w:rsidR="00346A52">
        <w:t>d</w:t>
      </w:r>
      <w:r w:rsidRPr="0087613A">
        <w:t xml:space="preserve">ata </w:t>
      </w:r>
      <w:r w:rsidR="00346A52">
        <w:t>s</w:t>
      </w:r>
      <w:r w:rsidRPr="0087613A">
        <w:t>tewards</w:t>
      </w:r>
      <w:r w:rsidR="00DE4E6E">
        <w:t>,</w:t>
      </w:r>
      <w:r w:rsidRPr="0087613A">
        <w:t xml:space="preserve"> </w:t>
      </w:r>
      <w:r w:rsidR="00346A52">
        <w:t>and</w:t>
      </w:r>
      <w:r w:rsidRPr="0087613A">
        <w:t xml:space="preserve"> work with her colleagues to define the responsibilities of the </w:t>
      </w:r>
      <w:r w:rsidR="00346A52">
        <w:t>O</w:t>
      </w:r>
      <w:r w:rsidRPr="0087613A">
        <w:t xml:space="preserve">CDO. </w:t>
      </w:r>
      <w:r w:rsidR="00346A52">
        <w:t>And</w:t>
      </w:r>
      <w:r w:rsidR="00DE4E6E">
        <w:t>,</w:t>
      </w:r>
      <w:r w:rsidR="00346A52">
        <w:t xml:space="preserve"> not least, Crisp </w:t>
      </w:r>
      <w:r w:rsidRPr="0087613A">
        <w:t xml:space="preserve">needed to simplify the overly complex </w:t>
      </w:r>
      <w:r w:rsidR="00346A52" w:rsidRPr="0087613A">
        <w:t xml:space="preserve">enterprise data governance </w:t>
      </w:r>
      <w:r w:rsidRPr="0087613A">
        <w:t xml:space="preserve">policies </w:t>
      </w:r>
      <w:bookmarkStart w:id="9" w:name="_Hlk478482015"/>
      <w:r w:rsidR="00346A52">
        <w:t>to</w:t>
      </w:r>
      <w:r w:rsidR="00346A52" w:rsidRPr="0087613A">
        <w:t xml:space="preserve"> </w:t>
      </w:r>
      <w:r w:rsidRPr="0087613A">
        <w:t xml:space="preserve">ensure </w:t>
      </w:r>
      <w:r w:rsidR="00346A52">
        <w:t xml:space="preserve">they were </w:t>
      </w:r>
      <w:r w:rsidRPr="0087613A">
        <w:t>adopt</w:t>
      </w:r>
      <w:r w:rsidR="00346A52">
        <w:t>ed</w:t>
      </w:r>
      <w:r w:rsidRPr="0087613A">
        <w:t xml:space="preserve"> and </w:t>
      </w:r>
      <w:r w:rsidR="00346A52">
        <w:t>followed</w:t>
      </w:r>
      <w:r w:rsidR="00346A52" w:rsidRPr="0087613A">
        <w:t xml:space="preserve"> </w:t>
      </w:r>
      <w:r w:rsidRPr="0087613A">
        <w:t xml:space="preserve">across the </w:t>
      </w:r>
      <w:r w:rsidR="00346A52">
        <w:t xml:space="preserve">bank’s various </w:t>
      </w:r>
      <w:r w:rsidRPr="0087613A">
        <w:t>lines of business</w:t>
      </w:r>
      <w:bookmarkEnd w:id="9"/>
      <w:r w:rsidRPr="0087613A">
        <w:t xml:space="preserve">. </w:t>
      </w:r>
    </w:p>
    <w:p w14:paraId="023A53BE" w14:textId="77777777" w:rsidR="00734E94" w:rsidRPr="0087613A" w:rsidRDefault="00734E94" w:rsidP="00734E94">
      <w:pPr>
        <w:pStyle w:val="BodyTextMain"/>
      </w:pPr>
    </w:p>
    <w:p w14:paraId="12AB3EBF" w14:textId="07BAF024" w:rsidR="00734E94" w:rsidRPr="007F6CEB" w:rsidRDefault="00734E94" w:rsidP="00734E94">
      <w:pPr>
        <w:pStyle w:val="BodyTextMain"/>
      </w:pPr>
      <w:r w:rsidRPr="0087613A">
        <w:t>Taking into account the need for compliance, increase</w:t>
      </w:r>
      <w:r w:rsidR="00346A52">
        <w:t>d</w:t>
      </w:r>
      <w:r w:rsidRPr="0087613A">
        <w:t xml:space="preserve"> efficienc</w:t>
      </w:r>
      <w:r w:rsidR="00346A52">
        <w:t>y</w:t>
      </w:r>
      <w:r w:rsidRPr="0087613A">
        <w:t>, and maximize</w:t>
      </w:r>
      <w:r w:rsidR="00346A52">
        <w:t>d</w:t>
      </w:r>
      <w:r w:rsidRPr="0087613A">
        <w:t xml:space="preserve"> value </w:t>
      </w:r>
      <w:r w:rsidR="00346A52">
        <w:t>from the</w:t>
      </w:r>
      <w:r w:rsidR="00346A52" w:rsidRPr="0087613A">
        <w:t xml:space="preserve"> </w:t>
      </w:r>
      <w:r w:rsidRPr="0087613A">
        <w:t xml:space="preserve">data, Crisp </w:t>
      </w:r>
      <w:r w:rsidR="00346A52">
        <w:t>had</w:t>
      </w:r>
      <w:r w:rsidR="00346A52" w:rsidRPr="0087613A">
        <w:t xml:space="preserve"> </w:t>
      </w:r>
      <w:r w:rsidRPr="0087613A">
        <w:t xml:space="preserve">to not only address the issues but also devise an effective implementation plan. </w:t>
      </w:r>
      <w:r w:rsidR="00346A52">
        <w:t xml:space="preserve">With </w:t>
      </w:r>
      <w:r>
        <w:t>TD</w:t>
      </w:r>
      <w:r w:rsidRPr="0087613A">
        <w:t>’s operations in both Canada and the U</w:t>
      </w:r>
      <w:r w:rsidR="00346A52">
        <w:t xml:space="preserve">nited </w:t>
      </w:r>
      <w:r w:rsidRPr="0087613A">
        <w:t>S</w:t>
      </w:r>
      <w:r w:rsidR="00346A52">
        <w:t>tates, Crisp needed to determine whether</w:t>
      </w:r>
      <w:r w:rsidRPr="0087613A">
        <w:t xml:space="preserve"> </w:t>
      </w:r>
      <w:r w:rsidR="00346A52">
        <w:t>to</w:t>
      </w:r>
      <w:r w:rsidRPr="0087613A">
        <w:t xml:space="preserve"> devise</w:t>
      </w:r>
      <w:r w:rsidR="00346A52">
        <w:t xml:space="preserve"> a</w:t>
      </w:r>
      <w:r w:rsidRPr="0087613A">
        <w:t xml:space="preserve"> plan </w:t>
      </w:r>
      <w:r w:rsidR="00346A52">
        <w:t>that would</w:t>
      </w:r>
      <w:r w:rsidR="00346A52" w:rsidRPr="0087613A">
        <w:t xml:space="preserve"> </w:t>
      </w:r>
      <w:r w:rsidRPr="0087613A">
        <w:t xml:space="preserve">be initially implemented in both countries or </w:t>
      </w:r>
      <w:r w:rsidR="00346A52">
        <w:t xml:space="preserve">in </w:t>
      </w:r>
      <w:r w:rsidRPr="0087613A">
        <w:t>just one</w:t>
      </w:r>
      <w:r w:rsidR="00346A52">
        <w:t xml:space="preserve"> country at a time</w:t>
      </w:r>
      <w:r w:rsidRPr="0087613A">
        <w:t>.</w:t>
      </w:r>
      <w:r w:rsidRPr="007F6CEB">
        <w:t xml:space="preserve"> </w:t>
      </w:r>
    </w:p>
    <w:p w14:paraId="4E92EAFF" w14:textId="1E206971" w:rsidR="00F61682" w:rsidRDefault="009464B0">
      <w:pPr>
        <w:spacing w:after="200" w:line="276" w:lineRule="auto"/>
        <w:rPr>
          <w:i/>
          <w:sz w:val="22"/>
          <w:szCs w:val="22"/>
        </w:rPr>
      </w:pPr>
      <w:r w:rsidRPr="009464B0">
        <w:rPr>
          <w:i/>
          <w:noProof/>
          <w:lang w:eastAsia="en-GB"/>
        </w:rPr>
        <mc:AlternateContent>
          <mc:Choice Requires="wps">
            <w:drawing>
              <wp:anchor distT="45720" distB="45720" distL="114300" distR="114300" simplePos="0" relativeHeight="251659264" behindDoc="0" locked="0" layoutInCell="1" allowOverlap="1" wp14:anchorId="5C79E366" wp14:editId="3BE2120F">
                <wp:simplePos x="0" y="0"/>
                <wp:positionH relativeFrom="margin">
                  <wp:align>center</wp:align>
                </wp:positionH>
                <wp:positionV relativeFrom="paragraph">
                  <wp:posOffset>383293</wp:posOffset>
                </wp:positionV>
                <wp:extent cx="3718560" cy="1404620"/>
                <wp:effectExtent l="0" t="0" r="152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1404620"/>
                        </a:xfrm>
                        <a:prstGeom prst="rect">
                          <a:avLst/>
                        </a:prstGeom>
                        <a:solidFill>
                          <a:srgbClr val="FFFFFF"/>
                        </a:solidFill>
                        <a:ln w="9525">
                          <a:solidFill>
                            <a:srgbClr val="000000"/>
                          </a:solidFill>
                          <a:miter lim="800000"/>
                          <a:headEnd/>
                          <a:tailEnd/>
                        </a:ln>
                      </wps:spPr>
                      <wps:txbx>
                        <w:txbxContent>
                          <w:p w14:paraId="36F63372" w14:textId="6FEA76DB" w:rsidR="009464B0" w:rsidRDefault="009464B0" w:rsidP="009464B0">
                            <w:pPr>
                              <w:pStyle w:val="Footnote"/>
                            </w:pPr>
                            <w:r>
                              <w:t xml:space="preserve">This case was made possible with the contributions of Social Sciences and Humanities Research Council (SSHRC) Grant Number 430-2014-00487.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79E366" id="_x0000_t202" coordsize="21600,21600" o:spt="202" path="m,l,21600r21600,l21600,xe">
                <v:stroke joinstyle="miter"/>
                <v:path gradientshapeok="t" o:connecttype="rect"/>
              </v:shapetype>
              <v:shape id="Text Box 2" o:spid="_x0000_s1026" type="#_x0000_t202" style="position:absolute;margin-left:0;margin-top:30.2pt;width:292.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">
                <v:textbox style="mso-fit-shape-to-text:t">
                  <w:txbxContent>
                    <w:p w14:paraId="36F63372" w14:textId="6FEA76DB" w:rsidR="009464B0" w:rsidRDefault="009464B0" w:rsidP="009464B0">
                      <w:pPr>
                        <w:pStyle w:val="Footnote"/>
                      </w:pPr>
                      <w:r>
                        <w:t xml:space="preserve">This case was made possible with the contributions of Social Sciences and Humanities Research Council (SSHRC) Grant Number 430-2014-00487. </w:t>
                      </w:r>
                    </w:p>
                  </w:txbxContent>
                </v:textbox>
                <w10:wrap type="square" anchorx="margin"/>
              </v:shape>
            </w:pict>
          </mc:Fallback>
        </mc:AlternateContent>
      </w:r>
      <w:r w:rsidR="00F61682">
        <w:rPr>
          <w:i/>
        </w:rPr>
        <w:br w:type="page"/>
      </w:r>
    </w:p>
    <w:p w14:paraId="754E1FA9" w14:textId="1AF18B35" w:rsidR="00734E94" w:rsidRDefault="00F61682" w:rsidP="00C75B16">
      <w:pPr>
        <w:pStyle w:val="ExhibitHeading"/>
        <w:outlineLvl w:val="0"/>
      </w:pPr>
      <w:r>
        <w:lastRenderedPageBreak/>
        <w:t xml:space="preserve">exhibit 1: </w:t>
      </w:r>
      <w:r w:rsidR="00415DDF">
        <w:t xml:space="preserve">TD Bank Group, </w:t>
      </w:r>
      <w:r>
        <w:t xml:space="preserve">Key Financial </w:t>
      </w:r>
    </w:p>
    <w:p w14:paraId="51218D3B" w14:textId="77777777" w:rsidR="00F61682" w:rsidRPr="00F61682" w:rsidRDefault="00F61682" w:rsidP="00C30478">
      <w:pPr>
        <w:pStyle w:val="ExhibitText"/>
      </w:pPr>
    </w:p>
    <w:tbl>
      <w:tblPr>
        <w:tblW w:w="5000" w:type="pct"/>
        <w:jc w:val="center"/>
        <w:tblLook w:val="04A0" w:firstRow="1" w:lastRow="0" w:firstColumn="1" w:lastColumn="0" w:noHBand="0" w:noVBand="1"/>
      </w:tblPr>
      <w:tblGrid>
        <w:gridCol w:w="6165"/>
        <w:gridCol w:w="1065"/>
        <w:gridCol w:w="1065"/>
        <w:gridCol w:w="1065"/>
      </w:tblGrid>
      <w:tr w:rsidR="00415DDF" w:rsidRPr="00F61682" w14:paraId="0C5DC016"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0F33ED93" w14:textId="57AD73B1" w:rsidR="00415DDF" w:rsidRPr="00734E94" w:rsidRDefault="00415DDF" w:rsidP="00415DDF">
            <w:pPr>
              <w:pStyle w:val="ExhibitText"/>
              <w:jc w:val="left"/>
              <w:rPr>
                <w:lang w:eastAsia="en-GB"/>
              </w:rPr>
            </w:pPr>
            <w:r w:rsidRPr="00734E94">
              <w:rPr>
                <w:lang w:eastAsia="en-GB"/>
              </w:rPr>
              <w:t>Key Financial Metrics</w:t>
            </w:r>
            <w:r w:rsidRPr="00415DDF">
              <w:rPr>
                <w:vertAlign w:val="superscript"/>
                <w:lang w:eastAsia="en-GB"/>
              </w:rPr>
              <w:t>1</w:t>
            </w:r>
          </w:p>
        </w:tc>
        <w:tc>
          <w:tcPr>
            <w:tcW w:w="960" w:type="dxa"/>
            <w:tcBorders>
              <w:top w:val="nil"/>
              <w:left w:val="nil"/>
              <w:bottom w:val="nil"/>
              <w:right w:val="nil"/>
            </w:tcBorders>
            <w:vAlign w:val="center"/>
          </w:tcPr>
          <w:p w14:paraId="653B8B82"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vAlign w:val="center"/>
          </w:tcPr>
          <w:p w14:paraId="0D763497"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shd w:val="clear" w:color="auto" w:fill="auto"/>
            <w:noWrap/>
            <w:vAlign w:val="center"/>
            <w:hideMark/>
          </w:tcPr>
          <w:p w14:paraId="562DCB69" w14:textId="04A6C8E9" w:rsidR="00415DDF" w:rsidRPr="00734E94" w:rsidRDefault="00415DDF" w:rsidP="00415DDF">
            <w:pPr>
              <w:pStyle w:val="ExhibitText"/>
              <w:jc w:val="right"/>
              <w:rPr>
                <w:lang w:eastAsia="en-GB"/>
              </w:rPr>
            </w:pPr>
          </w:p>
        </w:tc>
      </w:tr>
      <w:tr w:rsidR="00415DDF" w:rsidRPr="00F61682" w14:paraId="72DA6DC5" w14:textId="77777777" w:rsidTr="00415DDF">
        <w:trPr>
          <w:trHeight w:val="360"/>
          <w:jc w:val="center"/>
        </w:trPr>
        <w:tc>
          <w:tcPr>
            <w:tcW w:w="5560" w:type="dxa"/>
            <w:tcBorders>
              <w:top w:val="single" w:sz="4" w:space="0" w:color="auto"/>
              <w:left w:val="nil"/>
              <w:bottom w:val="single" w:sz="4" w:space="0" w:color="auto"/>
              <w:right w:val="nil"/>
            </w:tcBorders>
            <w:shd w:val="clear" w:color="auto" w:fill="auto"/>
            <w:noWrap/>
            <w:vAlign w:val="center"/>
            <w:hideMark/>
          </w:tcPr>
          <w:p w14:paraId="039EBFB2" w14:textId="473204D9" w:rsidR="00415DDF" w:rsidRPr="00734E94" w:rsidRDefault="00415DDF" w:rsidP="00F90006">
            <w:pPr>
              <w:pStyle w:val="ExhibitText"/>
              <w:jc w:val="left"/>
              <w:rPr>
                <w:sz w:val="16"/>
                <w:szCs w:val="16"/>
                <w:lang w:eastAsia="en-GB"/>
              </w:rPr>
            </w:pPr>
          </w:p>
        </w:tc>
        <w:tc>
          <w:tcPr>
            <w:tcW w:w="960" w:type="dxa"/>
            <w:tcBorders>
              <w:top w:val="single" w:sz="4" w:space="0" w:color="auto"/>
              <w:left w:val="nil"/>
              <w:bottom w:val="single" w:sz="4" w:space="0" w:color="auto"/>
              <w:right w:val="nil"/>
            </w:tcBorders>
            <w:vAlign w:val="center"/>
          </w:tcPr>
          <w:p w14:paraId="6ABF8B58" w14:textId="12DF40D7" w:rsidR="00415DDF" w:rsidRPr="00415DDF" w:rsidRDefault="00415DDF" w:rsidP="00415DDF">
            <w:pPr>
              <w:pStyle w:val="ExhibitText"/>
              <w:jc w:val="center"/>
              <w:rPr>
                <w:b/>
              </w:rPr>
            </w:pPr>
            <w:r w:rsidRPr="00415DDF">
              <w:rPr>
                <w:b/>
              </w:rPr>
              <w:t>2013</w:t>
            </w:r>
          </w:p>
        </w:tc>
        <w:tc>
          <w:tcPr>
            <w:tcW w:w="960" w:type="dxa"/>
            <w:tcBorders>
              <w:top w:val="single" w:sz="4" w:space="0" w:color="auto"/>
              <w:left w:val="nil"/>
              <w:bottom w:val="single" w:sz="4" w:space="0" w:color="auto"/>
              <w:right w:val="nil"/>
            </w:tcBorders>
            <w:vAlign w:val="center"/>
          </w:tcPr>
          <w:p w14:paraId="593AB3CC" w14:textId="19E3D550" w:rsidR="00415DDF" w:rsidRPr="00415DDF" w:rsidRDefault="00415DDF" w:rsidP="00415DDF">
            <w:pPr>
              <w:pStyle w:val="ExhibitText"/>
              <w:jc w:val="center"/>
              <w:rPr>
                <w:b/>
              </w:rPr>
            </w:pPr>
            <w:r w:rsidRPr="00415DDF">
              <w:rPr>
                <w:b/>
              </w:rPr>
              <w:t>2014</w:t>
            </w:r>
          </w:p>
        </w:tc>
        <w:tc>
          <w:tcPr>
            <w:tcW w:w="960" w:type="dxa"/>
            <w:tcBorders>
              <w:top w:val="single" w:sz="4" w:space="0" w:color="auto"/>
              <w:left w:val="nil"/>
              <w:bottom w:val="single" w:sz="4" w:space="0" w:color="auto"/>
              <w:right w:val="nil"/>
            </w:tcBorders>
            <w:shd w:val="clear" w:color="auto" w:fill="auto"/>
            <w:noWrap/>
            <w:vAlign w:val="center"/>
            <w:hideMark/>
          </w:tcPr>
          <w:p w14:paraId="7C2CCFE0" w14:textId="0ACC4333" w:rsidR="00415DDF" w:rsidRPr="00415DDF" w:rsidRDefault="00415DDF" w:rsidP="00415DDF">
            <w:pPr>
              <w:pStyle w:val="ExhibitText"/>
              <w:jc w:val="center"/>
              <w:rPr>
                <w:b/>
              </w:rPr>
            </w:pPr>
            <w:r w:rsidRPr="00415DDF">
              <w:rPr>
                <w:b/>
              </w:rPr>
              <w:t>2015</w:t>
            </w:r>
          </w:p>
        </w:tc>
      </w:tr>
      <w:tr w:rsidR="00415DDF" w:rsidRPr="00F61682" w14:paraId="2F58C7FA"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40B21FD1" w14:textId="56F20C77" w:rsidR="00415DDF" w:rsidRPr="00734E94" w:rsidRDefault="00415DDF" w:rsidP="00415DDF">
            <w:pPr>
              <w:pStyle w:val="ExhibitText"/>
              <w:jc w:val="left"/>
              <w:rPr>
                <w:lang w:eastAsia="en-GB"/>
              </w:rPr>
            </w:pPr>
            <w:r w:rsidRPr="00734E94">
              <w:rPr>
                <w:lang w:eastAsia="en-GB"/>
              </w:rPr>
              <w:t>Results of operations</w:t>
            </w:r>
            <w:r w:rsidR="000D7C24">
              <w:rPr>
                <w:lang w:eastAsia="en-GB"/>
              </w:rPr>
              <w:t xml:space="preserve"> (CA$ millions)</w:t>
            </w:r>
          </w:p>
        </w:tc>
        <w:tc>
          <w:tcPr>
            <w:tcW w:w="960" w:type="dxa"/>
            <w:tcBorders>
              <w:top w:val="nil"/>
              <w:left w:val="nil"/>
              <w:bottom w:val="nil"/>
              <w:right w:val="nil"/>
            </w:tcBorders>
            <w:vAlign w:val="center"/>
          </w:tcPr>
          <w:p w14:paraId="41AF2B37"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vAlign w:val="center"/>
          </w:tcPr>
          <w:p w14:paraId="60752AA9"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shd w:val="clear" w:color="auto" w:fill="auto"/>
            <w:noWrap/>
            <w:vAlign w:val="center"/>
            <w:hideMark/>
          </w:tcPr>
          <w:p w14:paraId="0C7B7B82" w14:textId="3C1082C2" w:rsidR="00415DDF" w:rsidRPr="00734E94" w:rsidRDefault="00415DDF" w:rsidP="00415DDF">
            <w:pPr>
              <w:pStyle w:val="ExhibitText"/>
              <w:jc w:val="right"/>
              <w:rPr>
                <w:lang w:eastAsia="en-GB"/>
              </w:rPr>
            </w:pPr>
          </w:p>
        </w:tc>
      </w:tr>
      <w:tr w:rsidR="00415DDF" w:rsidRPr="00F61682" w14:paraId="04895562"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7BFC7D63" w14:textId="5D646AAD" w:rsidR="00415DDF" w:rsidRPr="00734E94" w:rsidRDefault="00415DDF" w:rsidP="00F90006">
            <w:pPr>
              <w:pStyle w:val="ExhibitText"/>
              <w:jc w:val="left"/>
              <w:rPr>
                <w:lang w:eastAsia="en-GB"/>
              </w:rPr>
            </w:pPr>
            <w:r w:rsidRPr="00734E94">
              <w:rPr>
                <w:lang w:eastAsia="en-GB"/>
              </w:rPr>
              <w:t>Total revenues</w:t>
            </w:r>
            <w:r w:rsidR="00DE3A7E">
              <w:rPr>
                <w:lang w:eastAsia="en-GB"/>
              </w:rPr>
              <w:t>—</w:t>
            </w:r>
            <w:r w:rsidRPr="00734E94">
              <w:rPr>
                <w:lang w:eastAsia="en-GB"/>
              </w:rPr>
              <w:t>reported</w:t>
            </w:r>
          </w:p>
        </w:tc>
        <w:tc>
          <w:tcPr>
            <w:tcW w:w="960" w:type="dxa"/>
            <w:tcBorders>
              <w:top w:val="nil"/>
              <w:left w:val="nil"/>
              <w:bottom w:val="nil"/>
              <w:right w:val="nil"/>
            </w:tcBorders>
            <w:vAlign w:val="center"/>
          </w:tcPr>
          <w:p w14:paraId="0B933E78" w14:textId="03174175" w:rsidR="00415DDF" w:rsidRPr="00734E94" w:rsidRDefault="00415DDF" w:rsidP="00415DDF">
            <w:pPr>
              <w:pStyle w:val="ExhibitText"/>
              <w:jc w:val="right"/>
              <w:rPr>
                <w:lang w:eastAsia="en-GB"/>
              </w:rPr>
            </w:pPr>
            <w:r w:rsidRPr="00734E94">
              <w:rPr>
                <w:lang w:eastAsia="en-GB"/>
              </w:rPr>
              <w:t xml:space="preserve">27,259 </w:t>
            </w:r>
          </w:p>
        </w:tc>
        <w:tc>
          <w:tcPr>
            <w:tcW w:w="960" w:type="dxa"/>
            <w:tcBorders>
              <w:top w:val="nil"/>
              <w:left w:val="nil"/>
              <w:bottom w:val="nil"/>
              <w:right w:val="nil"/>
            </w:tcBorders>
            <w:vAlign w:val="center"/>
          </w:tcPr>
          <w:p w14:paraId="367C6D21" w14:textId="2E36D862" w:rsidR="00415DDF" w:rsidRPr="00734E94" w:rsidRDefault="00415DDF" w:rsidP="00415DDF">
            <w:pPr>
              <w:pStyle w:val="ExhibitText"/>
              <w:jc w:val="right"/>
              <w:rPr>
                <w:lang w:eastAsia="en-GB"/>
              </w:rPr>
            </w:pPr>
            <w:r w:rsidRPr="00734E94">
              <w:rPr>
                <w:lang w:eastAsia="en-GB"/>
              </w:rPr>
              <w:t xml:space="preserve">29,961 </w:t>
            </w:r>
          </w:p>
        </w:tc>
        <w:tc>
          <w:tcPr>
            <w:tcW w:w="960" w:type="dxa"/>
            <w:tcBorders>
              <w:top w:val="nil"/>
              <w:left w:val="nil"/>
              <w:bottom w:val="nil"/>
              <w:right w:val="nil"/>
            </w:tcBorders>
            <w:shd w:val="clear" w:color="auto" w:fill="auto"/>
            <w:noWrap/>
            <w:vAlign w:val="center"/>
            <w:hideMark/>
          </w:tcPr>
          <w:p w14:paraId="20632851" w14:textId="0917E7E5" w:rsidR="00415DDF" w:rsidRPr="00734E94" w:rsidRDefault="00415DDF" w:rsidP="00415DDF">
            <w:pPr>
              <w:pStyle w:val="ExhibitText"/>
              <w:jc w:val="right"/>
              <w:rPr>
                <w:lang w:eastAsia="en-GB"/>
              </w:rPr>
            </w:pPr>
            <w:r w:rsidRPr="00734E94">
              <w:rPr>
                <w:lang w:eastAsia="en-GB"/>
              </w:rPr>
              <w:t xml:space="preserve">31,426 </w:t>
            </w:r>
          </w:p>
        </w:tc>
      </w:tr>
      <w:tr w:rsidR="00415DDF" w:rsidRPr="00F61682" w14:paraId="4426580D"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239D36AB" w14:textId="4BE939D2" w:rsidR="00415DDF" w:rsidRPr="00734E94" w:rsidRDefault="00DE3A7E" w:rsidP="00415DDF">
            <w:pPr>
              <w:pStyle w:val="ExhibitText"/>
              <w:jc w:val="left"/>
              <w:rPr>
                <w:lang w:eastAsia="en-GB"/>
              </w:rPr>
            </w:pPr>
            <w:r>
              <w:rPr>
                <w:lang w:eastAsia="en-GB"/>
              </w:rPr>
              <w:t>Total revenues—</w:t>
            </w:r>
            <w:r w:rsidR="00415DDF" w:rsidRPr="00734E94">
              <w:rPr>
                <w:lang w:eastAsia="en-GB"/>
              </w:rPr>
              <w:t>adjusted</w:t>
            </w:r>
            <w:r w:rsidR="00415DDF" w:rsidRPr="00C30478">
              <w:rPr>
                <w:rStyle w:val="FootnoteReference"/>
              </w:rPr>
              <w:t>2</w:t>
            </w:r>
          </w:p>
        </w:tc>
        <w:tc>
          <w:tcPr>
            <w:tcW w:w="960" w:type="dxa"/>
            <w:tcBorders>
              <w:top w:val="nil"/>
              <w:left w:val="nil"/>
              <w:bottom w:val="nil"/>
              <w:right w:val="nil"/>
            </w:tcBorders>
            <w:vAlign w:val="center"/>
          </w:tcPr>
          <w:p w14:paraId="0EB95A6C" w14:textId="099A9C66" w:rsidR="00415DDF" w:rsidRPr="00734E94" w:rsidRDefault="00415DDF" w:rsidP="00415DDF">
            <w:pPr>
              <w:pStyle w:val="ExhibitText"/>
              <w:jc w:val="right"/>
              <w:rPr>
                <w:lang w:eastAsia="en-GB"/>
              </w:rPr>
            </w:pPr>
            <w:r w:rsidRPr="00734E94">
              <w:rPr>
                <w:lang w:eastAsia="en-GB"/>
              </w:rPr>
              <w:t>27,188</w:t>
            </w:r>
          </w:p>
        </w:tc>
        <w:tc>
          <w:tcPr>
            <w:tcW w:w="960" w:type="dxa"/>
            <w:tcBorders>
              <w:top w:val="nil"/>
              <w:left w:val="nil"/>
              <w:bottom w:val="nil"/>
              <w:right w:val="nil"/>
            </w:tcBorders>
            <w:vAlign w:val="center"/>
          </w:tcPr>
          <w:p w14:paraId="0D73F93B" w14:textId="1430E0B5" w:rsidR="00415DDF" w:rsidRPr="00734E94" w:rsidRDefault="00415DDF" w:rsidP="00415DDF">
            <w:pPr>
              <w:pStyle w:val="ExhibitText"/>
              <w:jc w:val="right"/>
              <w:rPr>
                <w:lang w:eastAsia="en-GB"/>
              </w:rPr>
            </w:pPr>
            <w:r w:rsidRPr="00734E94">
              <w:rPr>
                <w:lang w:eastAsia="en-GB"/>
              </w:rPr>
              <w:t>29,681</w:t>
            </w:r>
          </w:p>
        </w:tc>
        <w:tc>
          <w:tcPr>
            <w:tcW w:w="960" w:type="dxa"/>
            <w:tcBorders>
              <w:top w:val="nil"/>
              <w:left w:val="nil"/>
              <w:bottom w:val="nil"/>
              <w:right w:val="nil"/>
            </w:tcBorders>
            <w:shd w:val="clear" w:color="auto" w:fill="auto"/>
            <w:noWrap/>
            <w:vAlign w:val="center"/>
            <w:hideMark/>
          </w:tcPr>
          <w:p w14:paraId="6146FC16" w14:textId="5E736EF1" w:rsidR="00415DDF" w:rsidRPr="00734E94" w:rsidRDefault="00415DDF" w:rsidP="00415DDF">
            <w:pPr>
              <w:pStyle w:val="ExhibitText"/>
              <w:jc w:val="right"/>
              <w:rPr>
                <w:lang w:eastAsia="en-GB"/>
              </w:rPr>
            </w:pPr>
            <w:r w:rsidRPr="00734E94">
              <w:rPr>
                <w:lang w:eastAsia="en-GB"/>
              </w:rPr>
              <w:t>31,437</w:t>
            </w:r>
          </w:p>
        </w:tc>
      </w:tr>
      <w:tr w:rsidR="00415DDF" w:rsidRPr="00F61682" w14:paraId="17E6BC41"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0E0CC324" w14:textId="54A74747" w:rsidR="00415DDF" w:rsidRPr="00734E94" w:rsidRDefault="00DE3A7E" w:rsidP="00694A36">
            <w:pPr>
              <w:pStyle w:val="ExhibitText"/>
              <w:jc w:val="left"/>
              <w:rPr>
                <w:lang w:eastAsia="en-GB"/>
              </w:rPr>
            </w:pPr>
            <w:r>
              <w:rPr>
                <w:lang w:eastAsia="en-GB"/>
              </w:rPr>
              <w:t>Net income—</w:t>
            </w:r>
            <w:r w:rsidR="00415DDF" w:rsidRPr="00734E94">
              <w:rPr>
                <w:lang w:eastAsia="en-GB"/>
              </w:rPr>
              <w:t>reported</w:t>
            </w:r>
          </w:p>
        </w:tc>
        <w:tc>
          <w:tcPr>
            <w:tcW w:w="960" w:type="dxa"/>
            <w:tcBorders>
              <w:top w:val="nil"/>
              <w:left w:val="nil"/>
              <w:bottom w:val="nil"/>
              <w:right w:val="nil"/>
            </w:tcBorders>
            <w:vAlign w:val="center"/>
          </w:tcPr>
          <w:p w14:paraId="4EA6F3B3" w14:textId="0B6EA8C2" w:rsidR="00415DDF" w:rsidRPr="00734E94" w:rsidRDefault="00415DDF" w:rsidP="00415DDF">
            <w:pPr>
              <w:pStyle w:val="ExhibitText"/>
              <w:jc w:val="right"/>
              <w:rPr>
                <w:lang w:eastAsia="en-GB"/>
              </w:rPr>
            </w:pPr>
            <w:r w:rsidRPr="00734E94">
              <w:rPr>
                <w:lang w:eastAsia="en-GB"/>
              </w:rPr>
              <w:t>6,640</w:t>
            </w:r>
          </w:p>
        </w:tc>
        <w:tc>
          <w:tcPr>
            <w:tcW w:w="960" w:type="dxa"/>
            <w:tcBorders>
              <w:top w:val="nil"/>
              <w:left w:val="nil"/>
              <w:bottom w:val="nil"/>
              <w:right w:val="nil"/>
            </w:tcBorders>
            <w:vAlign w:val="center"/>
          </w:tcPr>
          <w:p w14:paraId="1D2E1F1E" w14:textId="322940F1" w:rsidR="00415DDF" w:rsidRPr="00734E94" w:rsidRDefault="00415DDF" w:rsidP="00415DDF">
            <w:pPr>
              <w:pStyle w:val="ExhibitText"/>
              <w:jc w:val="right"/>
              <w:rPr>
                <w:lang w:eastAsia="en-GB"/>
              </w:rPr>
            </w:pPr>
            <w:r w:rsidRPr="00734E94">
              <w:rPr>
                <w:lang w:eastAsia="en-GB"/>
              </w:rPr>
              <w:t>7,883</w:t>
            </w:r>
          </w:p>
        </w:tc>
        <w:tc>
          <w:tcPr>
            <w:tcW w:w="960" w:type="dxa"/>
            <w:tcBorders>
              <w:top w:val="nil"/>
              <w:left w:val="nil"/>
              <w:bottom w:val="nil"/>
              <w:right w:val="nil"/>
            </w:tcBorders>
            <w:shd w:val="clear" w:color="auto" w:fill="auto"/>
            <w:noWrap/>
            <w:vAlign w:val="center"/>
            <w:hideMark/>
          </w:tcPr>
          <w:p w14:paraId="1AA6FC72" w14:textId="352D1291" w:rsidR="00415DDF" w:rsidRPr="00734E94" w:rsidRDefault="00415DDF" w:rsidP="00415DDF">
            <w:pPr>
              <w:pStyle w:val="ExhibitText"/>
              <w:jc w:val="right"/>
              <w:rPr>
                <w:lang w:eastAsia="en-GB"/>
              </w:rPr>
            </w:pPr>
            <w:r w:rsidRPr="00734E94">
              <w:rPr>
                <w:lang w:eastAsia="en-GB"/>
              </w:rPr>
              <w:t>8,024</w:t>
            </w:r>
          </w:p>
        </w:tc>
      </w:tr>
      <w:tr w:rsidR="00415DDF" w:rsidRPr="00F61682" w14:paraId="63EFA1F4" w14:textId="77777777" w:rsidTr="00415DDF">
        <w:trPr>
          <w:trHeight w:val="360"/>
          <w:jc w:val="center"/>
        </w:trPr>
        <w:tc>
          <w:tcPr>
            <w:tcW w:w="5560" w:type="dxa"/>
            <w:tcBorders>
              <w:top w:val="nil"/>
              <w:left w:val="nil"/>
              <w:bottom w:val="single" w:sz="4" w:space="0" w:color="auto"/>
              <w:right w:val="nil"/>
            </w:tcBorders>
            <w:shd w:val="clear" w:color="auto" w:fill="auto"/>
            <w:noWrap/>
            <w:vAlign w:val="center"/>
            <w:hideMark/>
          </w:tcPr>
          <w:p w14:paraId="09D0B719" w14:textId="5D8A39EA" w:rsidR="00415DDF" w:rsidRPr="00734E94" w:rsidRDefault="00DE3A7E" w:rsidP="00415DDF">
            <w:pPr>
              <w:pStyle w:val="ExhibitText"/>
              <w:jc w:val="left"/>
              <w:rPr>
                <w:lang w:eastAsia="en-GB"/>
              </w:rPr>
            </w:pPr>
            <w:r>
              <w:rPr>
                <w:lang w:eastAsia="en-GB"/>
              </w:rPr>
              <w:t>Net income—</w:t>
            </w:r>
            <w:r w:rsidR="00415DDF" w:rsidRPr="00734E94">
              <w:rPr>
                <w:lang w:eastAsia="en-GB"/>
              </w:rPr>
              <w:t>adjusted</w:t>
            </w:r>
            <w:r w:rsidR="00415DDF" w:rsidRPr="00C30478">
              <w:rPr>
                <w:rStyle w:val="FootnoteReference"/>
              </w:rPr>
              <w:t>2</w:t>
            </w:r>
            <w:r w:rsidR="00415DDF" w:rsidRPr="00734E94">
              <w:rPr>
                <w:lang w:eastAsia="en-GB"/>
              </w:rPr>
              <w:t xml:space="preserve"> </w:t>
            </w:r>
          </w:p>
        </w:tc>
        <w:tc>
          <w:tcPr>
            <w:tcW w:w="960" w:type="dxa"/>
            <w:tcBorders>
              <w:top w:val="nil"/>
              <w:left w:val="nil"/>
              <w:bottom w:val="single" w:sz="4" w:space="0" w:color="auto"/>
              <w:right w:val="nil"/>
            </w:tcBorders>
            <w:vAlign w:val="center"/>
          </w:tcPr>
          <w:p w14:paraId="29CF7204" w14:textId="2F4CDAB1" w:rsidR="00415DDF" w:rsidRPr="00734E94" w:rsidRDefault="00415DDF" w:rsidP="00415DDF">
            <w:pPr>
              <w:pStyle w:val="ExhibitText"/>
              <w:jc w:val="right"/>
              <w:rPr>
                <w:lang w:eastAsia="en-GB"/>
              </w:rPr>
            </w:pPr>
            <w:r w:rsidRPr="00734E94">
              <w:rPr>
                <w:lang w:eastAsia="en-GB"/>
              </w:rPr>
              <w:t>7,136</w:t>
            </w:r>
          </w:p>
        </w:tc>
        <w:tc>
          <w:tcPr>
            <w:tcW w:w="960" w:type="dxa"/>
            <w:tcBorders>
              <w:top w:val="nil"/>
              <w:left w:val="nil"/>
              <w:bottom w:val="single" w:sz="4" w:space="0" w:color="auto"/>
              <w:right w:val="nil"/>
            </w:tcBorders>
            <w:vAlign w:val="center"/>
          </w:tcPr>
          <w:p w14:paraId="164145A5" w14:textId="73AD3870" w:rsidR="00415DDF" w:rsidRPr="00734E94" w:rsidRDefault="00415DDF" w:rsidP="00415DDF">
            <w:pPr>
              <w:pStyle w:val="ExhibitText"/>
              <w:jc w:val="right"/>
              <w:rPr>
                <w:lang w:eastAsia="en-GB"/>
              </w:rPr>
            </w:pPr>
            <w:r w:rsidRPr="00734E94">
              <w:rPr>
                <w:lang w:eastAsia="en-GB"/>
              </w:rPr>
              <w:t>8,127</w:t>
            </w:r>
          </w:p>
        </w:tc>
        <w:tc>
          <w:tcPr>
            <w:tcW w:w="960" w:type="dxa"/>
            <w:tcBorders>
              <w:top w:val="nil"/>
              <w:left w:val="nil"/>
              <w:bottom w:val="single" w:sz="4" w:space="0" w:color="auto"/>
              <w:right w:val="nil"/>
            </w:tcBorders>
            <w:shd w:val="clear" w:color="auto" w:fill="auto"/>
            <w:noWrap/>
            <w:vAlign w:val="center"/>
            <w:hideMark/>
          </w:tcPr>
          <w:p w14:paraId="270CF760" w14:textId="0D6C7E98" w:rsidR="00415DDF" w:rsidRPr="00734E94" w:rsidRDefault="00415DDF" w:rsidP="00415DDF">
            <w:pPr>
              <w:pStyle w:val="ExhibitText"/>
              <w:jc w:val="right"/>
              <w:rPr>
                <w:lang w:eastAsia="en-GB"/>
              </w:rPr>
            </w:pPr>
            <w:r w:rsidRPr="00734E94">
              <w:rPr>
                <w:lang w:eastAsia="en-GB"/>
              </w:rPr>
              <w:t>8,754</w:t>
            </w:r>
          </w:p>
        </w:tc>
      </w:tr>
      <w:tr w:rsidR="00415DDF" w:rsidRPr="00F61682" w14:paraId="1A062DAE"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7B24FEC8" w14:textId="1AB2B22D" w:rsidR="00415DDF" w:rsidRPr="00734E94" w:rsidRDefault="00415DDF" w:rsidP="00694A36">
            <w:pPr>
              <w:pStyle w:val="ExhibitText"/>
              <w:jc w:val="left"/>
              <w:rPr>
                <w:lang w:eastAsia="en-GB"/>
              </w:rPr>
            </w:pPr>
            <w:r w:rsidRPr="00734E94">
              <w:rPr>
                <w:lang w:eastAsia="en-GB"/>
              </w:rPr>
              <w:t>Financial positions at year</w:t>
            </w:r>
            <w:r w:rsidR="00694A36">
              <w:rPr>
                <w:lang w:eastAsia="en-GB"/>
              </w:rPr>
              <w:t xml:space="preserve"> </w:t>
            </w:r>
            <w:r w:rsidRPr="00734E94">
              <w:rPr>
                <w:lang w:eastAsia="en-GB"/>
              </w:rPr>
              <w:t>end (</w:t>
            </w:r>
            <w:r w:rsidR="00694A36">
              <w:rPr>
                <w:lang w:eastAsia="en-GB"/>
              </w:rPr>
              <w:t xml:space="preserve">CA$ </w:t>
            </w:r>
            <w:r w:rsidRPr="00734E94">
              <w:rPr>
                <w:lang w:eastAsia="en-GB"/>
              </w:rPr>
              <w:t>billions)</w:t>
            </w:r>
          </w:p>
        </w:tc>
        <w:tc>
          <w:tcPr>
            <w:tcW w:w="960" w:type="dxa"/>
            <w:tcBorders>
              <w:top w:val="nil"/>
              <w:left w:val="nil"/>
              <w:bottom w:val="nil"/>
              <w:right w:val="nil"/>
            </w:tcBorders>
            <w:vAlign w:val="center"/>
          </w:tcPr>
          <w:p w14:paraId="72600E3B"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vAlign w:val="center"/>
          </w:tcPr>
          <w:p w14:paraId="28C90F6B"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shd w:val="clear" w:color="auto" w:fill="auto"/>
            <w:noWrap/>
            <w:vAlign w:val="center"/>
            <w:hideMark/>
          </w:tcPr>
          <w:p w14:paraId="554F2E99" w14:textId="611975CC" w:rsidR="00415DDF" w:rsidRPr="00734E94" w:rsidRDefault="00415DDF" w:rsidP="00415DDF">
            <w:pPr>
              <w:pStyle w:val="ExhibitText"/>
              <w:jc w:val="right"/>
              <w:rPr>
                <w:lang w:eastAsia="en-GB"/>
              </w:rPr>
            </w:pPr>
          </w:p>
        </w:tc>
      </w:tr>
      <w:tr w:rsidR="00415DDF" w:rsidRPr="00F61682" w14:paraId="4E0DE664"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7A1335A3" w14:textId="77777777" w:rsidR="00415DDF" w:rsidRPr="00734E94" w:rsidRDefault="00415DDF" w:rsidP="00415DDF">
            <w:pPr>
              <w:pStyle w:val="ExhibitText"/>
              <w:jc w:val="left"/>
              <w:rPr>
                <w:lang w:eastAsia="en-GB"/>
              </w:rPr>
            </w:pPr>
            <w:r w:rsidRPr="00734E94">
              <w:rPr>
                <w:lang w:eastAsia="en-GB"/>
              </w:rPr>
              <w:t>Total assets</w:t>
            </w:r>
          </w:p>
        </w:tc>
        <w:tc>
          <w:tcPr>
            <w:tcW w:w="960" w:type="dxa"/>
            <w:tcBorders>
              <w:top w:val="nil"/>
              <w:left w:val="nil"/>
              <w:bottom w:val="nil"/>
              <w:right w:val="nil"/>
            </w:tcBorders>
            <w:vAlign w:val="center"/>
          </w:tcPr>
          <w:p w14:paraId="5A5A90FA" w14:textId="326E8554" w:rsidR="00415DDF" w:rsidRPr="00734E94" w:rsidRDefault="00415DDF" w:rsidP="00415DDF">
            <w:pPr>
              <w:pStyle w:val="ExhibitText"/>
              <w:jc w:val="right"/>
              <w:rPr>
                <w:lang w:eastAsia="en-GB"/>
              </w:rPr>
            </w:pPr>
            <w:r w:rsidRPr="00734E94">
              <w:rPr>
                <w:lang w:eastAsia="en-GB"/>
              </w:rPr>
              <w:t xml:space="preserve">862.0 </w:t>
            </w:r>
          </w:p>
        </w:tc>
        <w:tc>
          <w:tcPr>
            <w:tcW w:w="960" w:type="dxa"/>
            <w:tcBorders>
              <w:top w:val="nil"/>
              <w:left w:val="nil"/>
              <w:bottom w:val="nil"/>
              <w:right w:val="nil"/>
            </w:tcBorders>
            <w:vAlign w:val="center"/>
          </w:tcPr>
          <w:p w14:paraId="6159445F" w14:textId="575B0730" w:rsidR="00415DDF" w:rsidRPr="00734E94" w:rsidRDefault="00415DDF" w:rsidP="00415DDF">
            <w:pPr>
              <w:pStyle w:val="ExhibitText"/>
              <w:jc w:val="right"/>
              <w:rPr>
                <w:lang w:eastAsia="en-GB"/>
              </w:rPr>
            </w:pPr>
            <w:r w:rsidRPr="00734E94">
              <w:rPr>
                <w:lang w:eastAsia="en-GB"/>
              </w:rPr>
              <w:t xml:space="preserve">960.5 </w:t>
            </w:r>
          </w:p>
        </w:tc>
        <w:tc>
          <w:tcPr>
            <w:tcW w:w="960" w:type="dxa"/>
            <w:tcBorders>
              <w:top w:val="nil"/>
              <w:left w:val="nil"/>
              <w:bottom w:val="nil"/>
              <w:right w:val="nil"/>
            </w:tcBorders>
            <w:shd w:val="clear" w:color="auto" w:fill="auto"/>
            <w:noWrap/>
            <w:vAlign w:val="center"/>
            <w:hideMark/>
          </w:tcPr>
          <w:p w14:paraId="4DFDAEB7" w14:textId="44613C76" w:rsidR="00415DDF" w:rsidRPr="00734E94" w:rsidRDefault="00415DDF" w:rsidP="00415DDF">
            <w:pPr>
              <w:pStyle w:val="ExhibitText"/>
              <w:jc w:val="right"/>
              <w:rPr>
                <w:lang w:eastAsia="en-GB"/>
              </w:rPr>
            </w:pPr>
            <w:r w:rsidRPr="00734E94">
              <w:rPr>
                <w:lang w:eastAsia="en-GB"/>
              </w:rPr>
              <w:t xml:space="preserve">1,104.4 </w:t>
            </w:r>
          </w:p>
        </w:tc>
      </w:tr>
      <w:tr w:rsidR="00415DDF" w:rsidRPr="00F61682" w14:paraId="4A7601E8"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064C6EBC" w14:textId="77777777" w:rsidR="00415DDF" w:rsidRPr="00734E94" w:rsidRDefault="00415DDF" w:rsidP="00415DDF">
            <w:pPr>
              <w:pStyle w:val="ExhibitText"/>
              <w:jc w:val="left"/>
              <w:rPr>
                <w:lang w:eastAsia="en-GB"/>
              </w:rPr>
            </w:pPr>
            <w:r w:rsidRPr="00734E94">
              <w:rPr>
                <w:lang w:eastAsia="en-GB"/>
              </w:rPr>
              <w:t>Total deposits</w:t>
            </w:r>
          </w:p>
        </w:tc>
        <w:tc>
          <w:tcPr>
            <w:tcW w:w="960" w:type="dxa"/>
            <w:tcBorders>
              <w:top w:val="nil"/>
              <w:left w:val="nil"/>
              <w:bottom w:val="nil"/>
              <w:right w:val="nil"/>
            </w:tcBorders>
            <w:vAlign w:val="center"/>
          </w:tcPr>
          <w:p w14:paraId="33D78CA0" w14:textId="54FDB6DD" w:rsidR="00415DDF" w:rsidRPr="00734E94" w:rsidRDefault="00415DDF" w:rsidP="00415DDF">
            <w:pPr>
              <w:pStyle w:val="ExhibitText"/>
              <w:jc w:val="right"/>
              <w:rPr>
                <w:lang w:eastAsia="en-GB"/>
              </w:rPr>
            </w:pPr>
            <w:r w:rsidRPr="00734E94">
              <w:rPr>
                <w:lang w:eastAsia="en-GB"/>
              </w:rPr>
              <w:t xml:space="preserve">541.6 </w:t>
            </w:r>
          </w:p>
        </w:tc>
        <w:tc>
          <w:tcPr>
            <w:tcW w:w="960" w:type="dxa"/>
            <w:tcBorders>
              <w:top w:val="nil"/>
              <w:left w:val="nil"/>
              <w:bottom w:val="nil"/>
              <w:right w:val="nil"/>
            </w:tcBorders>
            <w:vAlign w:val="center"/>
          </w:tcPr>
          <w:p w14:paraId="0C9683D3" w14:textId="5A2FA8DC" w:rsidR="00415DDF" w:rsidRPr="00734E94" w:rsidRDefault="00415DDF" w:rsidP="00415DDF">
            <w:pPr>
              <w:pStyle w:val="ExhibitText"/>
              <w:jc w:val="right"/>
              <w:rPr>
                <w:lang w:eastAsia="en-GB"/>
              </w:rPr>
            </w:pPr>
            <w:r w:rsidRPr="00734E94">
              <w:rPr>
                <w:lang w:eastAsia="en-GB"/>
              </w:rPr>
              <w:t xml:space="preserve">600.7 </w:t>
            </w:r>
          </w:p>
        </w:tc>
        <w:tc>
          <w:tcPr>
            <w:tcW w:w="960" w:type="dxa"/>
            <w:tcBorders>
              <w:top w:val="nil"/>
              <w:left w:val="nil"/>
              <w:bottom w:val="nil"/>
              <w:right w:val="nil"/>
            </w:tcBorders>
            <w:shd w:val="clear" w:color="auto" w:fill="auto"/>
            <w:noWrap/>
            <w:vAlign w:val="center"/>
            <w:hideMark/>
          </w:tcPr>
          <w:p w14:paraId="3D40E50F" w14:textId="38A0D19F" w:rsidR="00415DDF" w:rsidRPr="00734E94" w:rsidRDefault="00415DDF" w:rsidP="00415DDF">
            <w:pPr>
              <w:pStyle w:val="ExhibitText"/>
              <w:jc w:val="right"/>
              <w:rPr>
                <w:lang w:eastAsia="en-GB"/>
              </w:rPr>
            </w:pPr>
            <w:r w:rsidRPr="00734E94">
              <w:rPr>
                <w:lang w:eastAsia="en-GB"/>
              </w:rPr>
              <w:t xml:space="preserve">695.6 </w:t>
            </w:r>
          </w:p>
        </w:tc>
      </w:tr>
      <w:tr w:rsidR="00415DDF" w:rsidRPr="00F61682" w14:paraId="2673A79D" w14:textId="77777777" w:rsidTr="00415DDF">
        <w:trPr>
          <w:trHeight w:val="360"/>
          <w:jc w:val="center"/>
        </w:trPr>
        <w:tc>
          <w:tcPr>
            <w:tcW w:w="5560" w:type="dxa"/>
            <w:tcBorders>
              <w:top w:val="nil"/>
              <w:left w:val="nil"/>
              <w:bottom w:val="single" w:sz="4" w:space="0" w:color="auto"/>
              <w:right w:val="nil"/>
            </w:tcBorders>
            <w:shd w:val="clear" w:color="auto" w:fill="auto"/>
            <w:noWrap/>
            <w:vAlign w:val="center"/>
            <w:hideMark/>
          </w:tcPr>
          <w:p w14:paraId="2C33FE7E" w14:textId="77777777" w:rsidR="00415DDF" w:rsidRPr="00734E94" w:rsidRDefault="00415DDF" w:rsidP="00415DDF">
            <w:pPr>
              <w:pStyle w:val="ExhibitText"/>
              <w:jc w:val="left"/>
              <w:rPr>
                <w:lang w:eastAsia="en-GB"/>
              </w:rPr>
            </w:pPr>
            <w:r w:rsidRPr="00734E94">
              <w:rPr>
                <w:lang w:eastAsia="en-GB"/>
              </w:rPr>
              <w:t>Total loans net of allowance for loan losses</w:t>
            </w:r>
          </w:p>
        </w:tc>
        <w:tc>
          <w:tcPr>
            <w:tcW w:w="960" w:type="dxa"/>
            <w:tcBorders>
              <w:top w:val="nil"/>
              <w:left w:val="nil"/>
              <w:bottom w:val="single" w:sz="4" w:space="0" w:color="auto"/>
              <w:right w:val="nil"/>
            </w:tcBorders>
            <w:vAlign w:val="center"/>
          </w:tcPr>
          <w:p w14:paraId="37AE9D3A" w14:textId="245D23D7" w:rsidR="00415DDF" w:rsidRPr="00734E94" w:rsidRDefault="00415DDF" w:rsidP="00415DDF">
            <w:pPr>
              <w:pStyle w:val="ExhibitText"/>
              <w:jc w:val="right"/>
              <w:rPr>
                <w:lang w:eastAsia="en-GB"/>
              </w:rPr>
            </w:pPr>
            <w:r w:rsidRPr="00734E94">
              <w:rPr>
                <w:lang w:eastAsia="en-GB"/>
              </w:rPr>
              <w:t xml:space="preserve">444.9 </w:t>
            </w:r>
          </w:p>
        </w:tc>
        <w:tc>
          <w:tcPr>
            <w:tcW w:w="960" w:type="dxa"/>
            <w:tcBorders>
              <w:top w:val="nil"/>
              <w:left w:val="nil"/>
              <w:bottom w:val="single" w:sz="4" w:space="0" w:color="auto"/>
              <w:right w:val="nil"/>
            </w:tcBorders>
            <w:vAlign w:val="center"/>
          </w:tcPr>
          <w:p w14:paraId="4F7FE307" w14:textId="716DD364" w:rsidR="00415DDF" w:rsidRPr="00734E94" w:rsidRDefault="00415DDF" w:rsidP="00415DDF">
            <w:pPr>
              <w:pStyle w:val="ExhibitText"/>
              <w:jc w:val="right"/>
              <w:rPr>
                <w:lang w:eastAsia="en-GB"/>
              </w:rPr>
            </w:pPr>
            <w:r w:rsidRPr="00734E94">
              <w:rPr>
                <w:lang w:eastAsia="en-GB"/>
              </w:rPr>
              <w:t xml:space="preserve">478.9 </w:t>
            </w:r>
          </w:p>
        </w:tc>
        <w:tc>
          <w:tcPr>
            <w:tcW w:w="960" w:type="dxa"/>
            <w:tcBorders>
              <w:top w:val="nil"/>
              <w:left w:val="nil"/>
              <w:bottom w:val="single" w:sz="4" w:space="0" w:color="auto"/>
              <w:right w:val="nil"/>
            </w:tcBorders>
            <w:shd w:val="clear" w:color="auto" w:fill="auto"/>
            <w:noWrap/>
            <w:vAlign w:val="center"/>
            <w:hideMark/>
          </w:tcPr>
          <w:p w14:paraId="61B7001D" w14:textId="054BFEF0" w:rsidR="00415DDF" w:rsidRPr="00734E94" w:rsidRDefault="00415DDF" w:rsidP="00415DDF">
            <w:pPr>
              <w:pStyle w:val="ExhibitText"/>
              <w:jc w:val="right"/>
              <w:rPr>
                <w:lang w:eastAsia="en-GB"/>
              </w:rPr>
            </w:pPr>
            <w:r w:rsidRPr="00734E94">
              <w:rPr>
                <w:lang w:eastAsia="en-GB"/>
              </w:rPr>
              <w:t xml:space="preserve">544.4 </w:t>
            </w:r>
          </w:p>
        </w:tc>
      </w:tr>
      <w:tr w:rsidR="00415DDF" w:rsidRPr="00F61682" w14:paraId="76D24C34"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3DF1F77E" w14:textId="546A203E" w:rsidR="00415DDF" w:rsidRPr="00734E94" w:rsidRDefault="00415DDF" w:rsidP="00694A36">
            <w:pPr>
              <w:pStyle w:val="ExhibitText"/>
              <w:jc w:val="left"/>
              <w:rPr>
                <w:lang w:eastAsia="en-GB"/>
              </w:rPr>
            </w:pPr>
            <w:r w:rsidRPr="00734E94">
              <w:rPr>
                <w:lang w:eastAsia="en-GB"/>
              </w:rPr>
              <w:t>Per common share (</w:t>
            </w:r>
            <w:r w:rsidR="00694A36">
              <w:rPr>
                <w:lang w:eastAsia="en-GB"/>
              </w:rPr>
              <w:t>CA$</w:t>
            </w:r>
            <w:r w:rsidRPr="00734E94">
              <w:rPr>
                <w:lang w:eastAsia="en-GB"/>
              </w:rPr>
              <w:t>, except where noted)</w:t>
            </w:r>
          </w:p>
        </w:tc>
        <w:tc>
          <w:tcPr>
            <w:tcW w:w="960" w:type="dxa"/>
            <w:tcBorders>
              <w:top w:val="nil"/>
              <w:left w:val="nil"/>
              <w:bottom w:val="nil"/>
              <w:right w:val="nil"/>
            </w:tcBorders>
            <w:vAlign w:val="center"/>
          </w:tcPr>
          <w:p w14:paraId="656512A6"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vAlign w:val="center"/>
          </w:tcPr>
          <w:p w14:paraId="30BCBC40"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shd w:val="clear" w:color="auto" w:fill="auto"/>
            <w:noWrap/>
            <w:vAlign w:val="center"/>
            <w:hideMark/>
          </w:tcPr>
          <w:p w14:paraId="06B0853A" w14:textId="783552F7" w:rsidR="00415DDF" w:rsidRPr="00734E94" w:rsidRDefault="00415DDF" w:rsidP="00415DDF">
            <w:pPr>
              <w:pStyle w:val="ExhibitText"/>
              <w:jc w:val="right"/>
              <w:rPr>
                <w:lang w:eastAsia="en-GB"/>
              </w:rPr>
            </w:pPr>
          </w:p>
        </w:tc>
      </w:tr>
      <w:tr w:rsidR="00415DDF" w:rsidRPr="00F61682" w14:paraId="4DA57133"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7CC25CE6" w14:textId="5FEEEC7E" w:rsidR="00415DDF" w:rsidRPr="00734E94" w:rsidRDefault="00DE3A7E" w:rsidP="00415DDF">
            <w:pPr>
              <w:pStyle w:val="ExhibitText"/>
              <w:jc w:val="left"/>
              <w:rPr>
                <w:lang w:eastAsia="en-GB"/>
              </w:rPr>
            </w:pPr>
            <w:r>
              <w:rPr>
                <w:lang w:eastAsia="en-GB"/>
              </w:rPr>
              <w:t>Diluted earnings—</w:t>
            </w:r>
            <w:r w:rsidR="00415DDF" w:rsidRPr="00734E94">
              <w:rPr>
                <w:lang w:eastAsia="en-GB"/>
              </w:rPr>
              <w:t>reported</w:t>
            </w:r>
          </w:p>
        </w:tc>
        <w:tc>
          <w:tcPr>
            <w:tcW w:w="960" w:type="dxa"/>
            <w:tcBorders>
              <w:top w:val="nil"/>
              <w:left w:val="nil"/>
              <w:bottom w:val="nil"/>
              <w:right w:val="nil"/>
            </w:tcBorders>
            <w:vAlign w:val="center"/>
          </w:tcPr>
          <w:p w14:paraId="3BC87CF0" w14:textId="2434A3A2" w:rsidR="00415DDF" w:rsidRPr="00734E94" w:rsidRDefault="00415DDF" w:rsidP="00415DDF">
            <w:pPr>
              <w:pStyle w:val="ExhibitText"/>
              <w:jc w:val="right"/>
              <w:rPr>
                <w:lang w:eastAsia="en-GB"/>
              </w:rPr>
            </w:pPr>
            <w:r w:rsidRPr="00734E94">
              <w:rPr>
                <w:lang w:eastAsia="en-GB"/>
              </w:rPr>
              <w:t>3.44</w:t>
            </w:r>
          </w:p>
        </w:tc>
        <w:tc>
          <w:tcPr>
            <w:tcW w:w="960" w:type="dxa"/>
            <w:tcBorders>
              <w:top w:val="nil"/>
              <w:left w:val="nil"/>
              <w:bottom w:val="nil"/>
              <w:right w:val="nil"/>
            </w:tcBorders>
            <w:vAlign w:val="center"/>
          </w:tcPr>
          <w:p w14:paraId="2585F234" w14:textId="1D538A82" w:rsidR="00415DDF" w:rsidRPr="00734E94" w:rsidRDefault="00415DDF" w:rsidP="00415DDF">
            <w:pPr>
              <w:pStyle w:val="ExhibitText"/>
              <w:jc w:val="right"/>
              <w:rPr>
                <w:lang w:eastAsia="en-GB"/>
              </w:rPr>
            </w:pPr>
            <w:r w:rsidRPr="00734E94">
              <w:rPr>
                <w:lang w:eastAsia="en-GB"/>
              </w:rPr>
              <w:t>4.14</w:t>
            </w:r>
          </w:p>
        </w:tc>
        <w:tc>
          <w:tcPr>
            <w:tcW w:w="960" w:type="dxa"/>
            <w:tcBorders>
              <w:top w:val="nil"/>
              <w:left w:val="nil"/>
              <w:bottom w:val="nil"/>
              <w:right w:val="nil"/>
            </w:tcBorders>
            <w:shd w:val="clear" w:color="auto" w:fill="auto"/>
            <w:noWrap/>
            <w:vAlign w:val="center"/>
            <w:hideMark/>
          </w:tcPr>
          <w:p w14:paraId="4772E70E" w14:textId="538EBA17" w:rsidR="00415DDF" w:rsidRPr="00734E94" w:rsidRDefault="00415DDF" w:rsidP="00415DDF">
            <w:pPr>
              <w:pStyle w:val="ExhibitText"/>
              <w:jc w:val="right"/>
              <w:rPr>
                <w:lang w:eastAsia="en-GB"/>
              </w:rPr>
            </w:pPr>
            <w:r w:rsidRPr="00734E94">
              <w:rPr>
                <w:lang w:eastAsia="en-GB"/>
              </w:rPr>
              <w:t>4.21</w:t>
            </w:r>
          </w:p>
        </w:tc>
      </w:tr>
      <w:tr w:rsidR="00415DDF" w:rsidRPr="00F61682" w14:paraId="7B91B4D3"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5EF4A298" w14:textId="2D3F2284" w:rsidR="00415DDF" w:rsidRPr="00734E94" w:rsidRDefault="00DE3A7E" w:rsidP="00415DDF">
            <w:pPr>
              <w:pStyle w:val="ExhibitText"/>
              <w:jc w:val="left"/>
              <w:rPr>
                <w:lang w:eastAsia="en-GB"/>
              </w:rPr>
            </w:pPr>
            <w:r>
              <w:rPr>
                <w:lang w:eastAsia="en-GB"/>
              </w:rPr>
              <w:t>Diluted earnings—</w:t>
            </w:r>
            <w:r w:rsidR="00415DDF" w:rsidRPr="00734E94">
              <w:rPr>
                <w:lang w:eastAsia="en-GB"/>
              </w:rPr>
              <w:t>adjusted</w:t>
            </w:r>
            <w:r w:rsidR="00415DDF" w:rsidRPr="00C30478">
              <w:rPr>
                <w:rStyle w:val="FootnoteReference"/>
              </w:rPr>
              <w:t>2</w:t>
            </w:r>
          </w:p>
        </w:tc>
        <w:tc>
          <w:tcPr>
            <w:tcW w:w="960" w:type="dxa"/>
            <w:tcBorders>
              <w:top w:val="nil"/>
              <w:left w:val="nil"/>
              <w:bottom w:val="nil"/>
              <w:right w:val="nil"/>
            </w:tcBorders>
            <w:vAlign w:val="center"/>
          </w:tcPr>
          <w:p w14:paraId="341E17B2" w14:textId="12763DFE" w:rsidR="00415DDF" w:rsidRPr="00734E94" w:rsidRDefault="00415DDF" w:rsidP="00415DDF">
            <w:pPr>
              <w:pStyle w:val="ExhibitText"/>
              <w:jc w:val="right"/>
              <w:rPr>
                <w:lang w:eastAsia="en-GB"/>
              </w:rPr>
            </w:pPr>
            <w:r w:rsidRPr="00734E94">
              <w:rPr>
                <w:lang w:eastAsia="en-GB"/>
              </w:rPr>
              <w:t>3.71</w:t>
            </w:r>
          </w:p>
        </w:tc>
        <w:tc>
          <w:tcPr>
            <w:tcW w:w="960" w:type="dxa"/>
            <w:tcBorders>
              <w:top w:val="nil"/>
              <w:left w:val="nil"/>
              <w:bottom w:val="nil"/>
              <w:right w:val="nil"/>
            </w:tcBorders>
            <w:vAlign w:val="center"/>
          </w:tcPr>
          <w:p w14:paraId="65B95CF0" w14:textId="28F55559" w:rsidR="00415DDF" w:rsidRPr="00734E94" w:rsidRDefault="00415DDF" w:rsidP="00415DDF">
            <w:pPr>
              <w:pStyle w:val="ExhibitText"/>
              <w:jc w:val="right"/>
              <w:rPr>
                <w:lang w:eastAsia="en-GB"/>
              </w:rPr>
            </w:pPr>
            <w:r w:rsidRPr="00734E94">
              <w:rPr>
                <w:lang w:eastAsia="en-GB"/>
              </w:rPr>
              <w:t>4.27</w:t>
            </w:r>
          </w:p>
        </w:tc>
        <w:tc>
          <w:tcPr>
            <w:tcW w:w="960" w:type="dxa"/>
            <w:tcBorders>
              <w:top w:val="nil"/>
              <w:left w:val="nil"/>
              <w:bottom w:val="nil"/>
              <w:right w:val="nil"/>
            </w:tcBorders>
            <w:shd w:val="clear" w:color="auto" w:fill="auto"/>
            <w:noWrap/>
            <w:vAlign w:val="center"/>
            <w:hideMark/>
          </w:tcPr>
          <w:p w14:paraId="6A0E7EBA" w14:textId="1EA9734F" w:rsidR="00415DDF" w:rsidRPr="00734E94" w:rsidRDefault="00415DDF" w:rsidP="00415DDF">
            <w:pPr>
              <w:pStyle w:val="ExhibitText"/>
              <w:jc w:val="right"/>
              <w:rPr>
                <w:lang w:eastAsia="en-GB"/>
              </w:rPr>
            </w:pPr>
            <w:r w:rsidRPr="00734E94">
              <w:rPr>
                <w:lang w:eastAsia="en-GB"/>
              </w:rPr>
              <w:t>4.61</w:t>
            </w:r>
          </w:p>
        </w:tc>
      </w:tr>
      <w:tr w:rsidR="00415DDF" w:rsidRPr="00F61682" w14:paraId="13D00B26"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1FD30808" w14:textId="7EBE41F0" w:rsidR="00415DDF" w:rsidRPr="00734E94" w:rsidRDefault="00DE3A7E" w:rsidP="00415DDF">
            <w:pPr>
              <w:pStyle w:val="ExhibitText"/>
              <w:jc w:val="left"/>
              <w:rPr>
                <w:lang w:eastAsia="en-GB"/>
              </w:rPr>
            </w:pPr>
            <w:r>
              <w:rPr>
                <w:lang w:eastAsia="en-GB"/>
              </w:rPr>
              <w:t xml:space="preserve">Dividend </w:t>
            </w:r>
            <w:proofErr w:type="spellStart"/>
            <w:r>
              <w:rPr>
                <w:lang w:eastAsia="en-GB"/>
              </w:rPr>
              <w:t>payout</w:t>
            </w:r>
            <w:proofErr w:type="spellEnd"/>
            <w:r>
              <w:rPr>
                <w:lang w:eastAsia="en-GB"/>
              </w:rPr>
              <w:t xml:space="preserve"> ratio—</w:t>
            </w:r>
            <w:r w:rsidR="00415DDF" w:rsidRPr="00734E94">
              <w:rPr>
                <w:lang w:eastAsia="en-GB"/>
              </w:rPr>
              <w:t>adjusted</w:t>
            </w:r>
            <w:r w:rsidR="00415DDF" w:rsidRPr="00C30478">
              <w:rPr>
                <w:rStyle w:val="FootnoteReference"/>
              </w:rPr>
              <w:t>2</w:t>
            </w:r>
          </w:p>
        </w:tc>
        <w:tc>
          <w:tcPr>
            <w:tcW w:w="960" w:type="dxa"/>
            <w:tcBorders>
              <w:top w:val="nil"/>
              <w:left w:val="nil"/>
              <w:bottom w:val="nil"/>
              <w:right w:val="nil"/>
            </w:tcBorders>
            <w:vAlign w:val="center"/>
          </w:tcPr>
          <w:p w14:paraId="228A9D12" w14:textId="5D34FF54" w:rsidR="00415DDF" w:rsidRPr="00734E94" w:rsidRDefault="00415DDF" w:rsidP="00415DDF">
            <w:pPr>
              <w:pStyle w:val="ExhibitText"/>
              <w:jc w:val="right"/>
              <w:rPr>
                <w:lang w:eastAsia="en-GB"/>
              </w:rPr>
            </w:pPr>
            <w:r w:rsidRPr="00734E94">
              <w:rPr>
                <w:lang w:eastAsia="en-GB"/>
              </w:rPr>
              <w:t>43.5%</w:t>
            </w:r>
          </w:p>
        </w:tc>
        <w:tc>
          <w:tcPr>
            <w:tcW w:w="960" w:type="dxa"/>
            <w:tcBorders>
              <w:top w:val="nil"/>
              <w:left w:val="nil"/>
              <w:bottom w:val="nil"/>
              <w:right w:val="nil"/>
            </w:tcBorders>
            <w:vAlign w:val="center"/>
          </w:tcPr>
          <w:p w14:paraId="1805730B" w14:textId="66D8130B" w:rsidR="00415DDF" w:rsidRPr="00734E94" w:rsidRDefault="00415DDF" w:rsidP="00415DDF">
            <w:pPr>
              <w:pStyle w:val="ExhibitText"/>
              <w:jc w:val="right"/>
              <w:rPr>
                <w:lang w:eastAsia="en-GB"/>
              </w:rPr>
            </w:pPr>
            <w:r w:rsidRPr="00734E94">
              <w:rPr>
                <w:lang w:eastAsia="en-GB"/>
              </w:rPr>
              <w:t>43.0%</w:t>
            </w:r>
          </w:p>
        </w:tc>
        <w:tc>
          <w:tcPr>
            <w:tcW w:w="960" w:type="dxa"/>
            <w:tcBorders>
              <w:top w:val="nil"/>
              <w:left w:val="nil"/>
              <w:bottom w:val="nil"/>
              <w:right w:val="nil"/>
            </w:tcBorders>
            <w:shd w:val="clear" w:color="auto" w:fill="auto"/>
            <w:noWrap/>
            <w:vAlign w:val="center"/>
            <w:hideMark/>
          </w:tcPr>
          <w:p w14:paraId="7DE7CB62" w14:textId="132F48B8" w:rsidR="00415DDF" w:rsidRPr="00734E94" w:rsidRDefault="00415DDF" w:rsidP="00415DDF">
            <w:pPr>
              <w:pStyle w:val="ExhibitText"/>
              <w:jc w:val="right"/>
              <w:rPr>
                <w:lang w:eastAsia="en-GB"/>
              </w:rPr>
            </w:pPr>
            <w:r w:rsidRPr="00734E94">
              <w:rPr>
                <w:lang w:eastAsia="en-GB"/>
              </w:rPr>
              <w:t>43.3%</w:t>
            </w:r>
          </w:p>
        </w:tc>
      </w:tr>
      <w:tr w:rsidR="00415DDF" w:rsidRPr="00F61682" w14:paraId="05EF8732"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2F4867E1" w14:textId="77777777" w:rsidR="00415DDF" w:rsidRPr="00734E94" w:rsidRDefault="00415DDF" w:rsidP="00415DDF">
            <w:pPr>
              <w:pStyle w:val="ExhibitText"/>
              <w:jc w:val="left"/>
              <w:rPr>
                <w:lang w:eastAsia="en-GB"/>
              </w:rPr>
            </w:pPr>
            <w:r w:rsidRPr="00734E94">
              <w:rPr>
                <w:lang w:eastAsia="en-GB"/>
              </w:rPr>
              <w:t>Total shareholder return (1 year)</w:t>
            </w:r>
            <w:r w:rsidRPr="00C30478">
              <w:rPr>
                <w:rStyle w:val="FootnoteReference"/>
              </w:rPr>
              <w:t>2</w:t>
            </w:r>
          </w:p>
        </w:tc>
        <w:tc>
          <w:tcPr>
            <w:tcW w:w="960" w:type="dxa"/>
            <w:tcBorders>
              <w:top w:val="nil"/>
              <w:left w:val="nil"/>
              <w:bottom w:val="nil"/>
              <w:right w:val="nil"/>
            </w:tcBorders>
            <w:vAlign w:val="center"/>
          </w:tcPr>
          <w:p w14:paraId="541420C2" w14:textId="55343359" w:rsidR="00415DDF" w:rsidRPr="00734E94" w:rsidRDefault="00415DDF" w:rsidP="00415DDF">
            <w:pPr>
              <w:pStyle w:val="ExhibitText"/>
              <w:jc w:val="right"/>
              <w:rPr>
                <w:lang w:eastAsia="en-GB"/>
              </w:rPr>
            </w:pPr>
            <w:r w:rsidRPr="00734E94">
              <w:rPr>
                <w:lang w:eastAsia="en-GB"/>
              </w:rPr>
              <w:t>22.3%</w:t>
            </w:r>
          </w:p>
        </w:tc>
        <w:tc>
          <w:tcPr>
            <w:tcW w:w="960" w:type="dxa"/>
            <w:tcBorders>
              <w:top w:val="nil"/>
              <w:left w:val="nil"/>
              <w:bottom w:val="nil"/>
              <w:right w:val="nil"/>
            </w:tcBorders>
            <w:vAlign w:val="center"/>
          </w:tcPr>
          <w:p w14:paraId="410CC45E" w14:textId="0A5F736D" w:rsidR="00415DDF" w:rsidRPr="00734E94" w:rsidRDefault="00415DDF" w:rsidP="00415DDF">
            <w:pPr>
              <w:pStyle w:val="ExhibitText"/>
              <w:jc w:val="right"/>
              <w:rPr>
                <w:lang w:eastAsia="en-GB"/>
              </w:rPr>
            </w:pPr>
            <w:r w:rsidRPr="00734E94">
              <w:rPr>
                <w:lang w:eastAsia="en-GB"/>
              </w:rPr>
              <w:t>20.1%</w:t>
            </w:r>
          </w:p>
        </w:tc>
        <w:tc>
          <w:tcPr>
            <w:tcW w:w="960" w:type="dxa"/>
            <w:tcBorders>
              <w:top w:val="nil"/>
              <w:left w:val="nil"/>
              <w:bottom w:val="nil"/>
              <w:right w:val="nil"/>
            </w:tcBorders>
            <w:shd w:val="clear" w:color="auto" w:fill="auto"/>
            <w:noWrap/>
            <w:vAlign w:val="center"/>
            <w:hideMark/>
          </w:tcPr>
          <w:p w14:paraId="07C5E9A0" w14:textId="241B2951" w:rsidR="00415DDF" w:rsidRPr="00734E94" w:rsidRDefault="00415DDF" w:rsidP="00415DDF">
            <w:pPr>
              <w:pStyle w:val="ExhibitText"/>
              <w:jc w:val="right"/>
              <w:rPr>
                <w:lang w:eastAsia="en-GB"/>
              </w:rPr>
            </w:pPr>
            <w:r w:rsidRPr="00734E94">
              <w:rPr>
                <w:lang w:eastAsia="en-GB"/>
              </w:rPr>
              <w:t>0.4%</w:t>
            </w:r>
          </w:p>
        </w:tc>
      </w:tr>
      <w:tr w:rsidR="00415DDF" w:rsidRPr="00F61682" w14:paraId="0CF13A06" w14:textId="77777777" w:rsidTr="00415DDF">
        <w:trPr>
          <w:trHeight w:val="360"/>
          <w:jc w:val="center"/>
        </w:trPr>
        <w:tc>
          <w:tcPr>
            <w:tcW w:w="5560" w:type="dxa"/>
            <w:tcBorders>
              <w:top w:val="nil"/>
              <w:left w:val="nil"/>
              <w:bottom w:val="single" w:sz="4" w:space="0" w:color="auto"/>
              <w:right w:val="nil"/>
            </w:tcBorders>
            <w:shd w:val="clear" w:color="auto" w:fill="auto"/>
            <w:noWrap/>
            <w:vAlign w:val="center"/>
            <w:hideMark/>
          </w:tcPr>
          <w:p w14:paraId="5122373F" w14:textId="77777777" w:rsidR="00415DDF" w:rsidRPr="00734E94" w:rsidRDefault="00415DDF" w:rsidP="00415DDF">
            <w:pPr>
              <w:pStyle w:val="ExhibitText"/>
              <w:jc w:val="left"/>
              <w:rPr>
                <w:lang w:eastAsia="en-GB"/>
              </w:rPr>
            </w:pPr>
            <w:r w:rsidRPr="00734E94">
              <w:rPr>
                <w:lang w:eastAsia="en-GB"/>
              </w:rPr>
              <w:t>Closing market price (fiscal year end)</w:t>
            </w:r>
            <w:r w:rsidRPr="00C30478">
              <w:rPr>
                <w:rStyle w:val="FootnoteReference"/>
              </w:rPr>
              <w:t>4</w:t>
            </w:r>
            <w:r w:rsidRPr="00734E94">
              <w:rPr>
                <w:vertAlign w:val="superscript"/>
                <w:lang w:eastAsia="en-GB"/>
              </w:rPr>
              <w:t xml:space="preserve"> </w:t>
            </w:r>
          </w:p>
        </w:tc>
        <w:tc>
          <w:tcPr>
            <w:tcW w:w="960" w:type="dxa"/>
            <w:tcBorders>
              <w:top w:val="nil"/>
              <w:left w:val="nil"/>
              <w:bottom w:val="single" w:sz="4" w:space="0" w:color="auto"/>
              <w:right w:val="nil"/>
            </w:tcBorders>
            <w:vAlign w:val="center"/>
          </w:tcPr>
          <w:p w14:paraId="74389508" w14:textId="4EA2C482" w:rsidR="00415DDF" w:rsidRPr="00734E94" w:rsidRDefault="00415DDF" w:rsidP="00415DDF">
            <w:pPr>
              <w:pStyle w:val="ExhibitText"/>
              <w:jc w:val="right"/>
              <w:rPr>
                <w:lang w:eastAsia="en-GB"/>
              </w:rPr>
            </w:pPr>
            <w:r w:rsidRPr="00734E94">
              <w:rPr>
                <w:lang w:eastAsia="en-GB"/>
              </w:rPr>
              <w:t>47.82</w:t>
            </w:r>
          </w:p>
        </w:tc>
        <w:tc>
          <w:tcPr>
            <w:tcW w:w="960" w:type="dxa"/>
            <w:tcBorders>
              <w:top w:val="nil"/>
              <w:left w:val="nil"/>
              <w:bottom w:val="single" w:sz="4" w:space="0" w:color="auto"/>
              <w:right w:val="nil"/>
            </w:tcBorders>
            <w:vAlign w:val="center"/>
          </w:tcPr>
          <w:p w14:paraId="30FB5DE4" w14:textId="0ADBDBB1" w:rsidR="00415DDF" w:rsidRPr="00734E94" w:rsidRDefault="00415DDF" w:rsidP="00415DDF">
            <w:pPr>
              <w:pStyle w:val="ExhibitText"/>
              <w:jc w:val="right"/>
              <w:rPr>
                <w:lang w:eastAsia="en-GB"/>
              </w:rPr>
            </w:pPr>
            <w:r w:rsidRPr="00734E94">
              <w:rPr>
                <w:lang w:eastAsia="en-GB"/>
              </w:rPr>
              <w:t>55.47</w:t>
            </w:r>
          </w:p>
        </w:tc>
        <w:tc>
          <w:tcPr>
            <w:tcW w:w="960" w:type="dxa"/>
            <w:tcBorders>
              <w:top w:val="nil"/>
              <w:left w:val="nil"/>
              <w:bottom w:val="single" w:sz="4" w:space="0" w:color="auto"/>
              <w:right w:val="nil"/>
            </w:tcBorders>
            <w:shd w:val="clear" w:color="auto" w:fill="auto"/>
            <w:noWrap/>
            <w:vAlign w:val="center"/>
            <w:hideMark/>
          </w:tcPr>
          <w:p w14:paraId="28AE3A90" w14:textId="21D62FFA" w:rsidR="00415DDF" w:rsidRPr="00734E94" w:rsidRDefault="00415DDF" w:rsidP="00415DDF">
            <w:pPr>
              <w:pStyle w:val="ExhibitText"/>
              <w:jc w:val="right"/>
              <w:rPr>
                <w:lang w:eastAsia="en-GB"/>
              </w:rPr>
            </w:pPr>
            <w:r w:rsidRPr="00734E94">
              <w:rPr>
                <w:lang w:eastAsia="en-GB"/>
              </w:rPr>
              <w:t>53.68</w:t>
            </w:r>
          </w:p>
        </w:tc>
      </w:tr>
      <w:tr w:rsidR="00415DDF" w:rsidRPr="00F61682" w14:paraId="2411CE87"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1D4BB792" w14:textId="365ADD8C" w:rsidR="00415DDF" w:rsidRPr="00734E94" w:rsidRDefault="00415DDF" w:rsidP="00415DDF">
            <w:pPr>
              <w:pStyle w:val="ExhibitText"/>
              <w:jc w:val="left"/>
              <w:rPr>
                <w:lang w:eastAsia="en-GB"/>
              </w:rPr>
            </w:pPr>
            <w:r w:rsidRPr="00734E94">
              <w:rPr>
                <w:lang w:eastAsia="en-GB"/>
              </w:rPr>
              <w:t>Financial ratios</w:t>
            </w:r>
            <w:r w:rsidR="000D7C24">
              <w:rPr>
                <w:lang w:eastAsia="en-GB"/>
              </w:rPr>
              <w:t xml:space="preserve"> (%)</w:t>
            </w:r>
          </w:p>
        </w:tc>
        <w:tc>
          <w:tcPr>
            <w:tcW w:w="960" w:type="dxa"/>
            <w:tcBorders>
              <w:top w:val="nil"/>
              <w:left w:val="nil"/>
              <w:bottom w:val="nil"/>
              <w:right w:val="nil"/>
            </w:tcBorders>
            <w:vAlign w:val="center"/>
          </w:tcPr>
          <w:p w14:paraId="3A5F3D55"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vAlign w:val="center"/>
          </w:tcPr>
          <w:p w14:paraId="60B2B7FC" w14:textId="77777777" w:rsidR="00415DDF" w:rsidRPr="00734E94" w:rsidRDefault="00415DDF" w:rsidP="00415DDF">
            <w:pPr>
              <w:pStyle w:val="ExhibitText"/>
              <w:jc w:val="right"/>
              <w:rPr>
                <w:lang w:eastAsia="en-GB"/>
              </w:rPr>
            </w:pPr>
          </w:p>
        </w:tc>
        <w:tc>
          <w:tcPr>
            <w:tcW w:w="960" w:type="dxa"/>
            <w:tcBorders>
              <w:top w:val="nil"/>
              <w:left w:val="nil"/>
              <w:bottom w:val="nil"/>
              <w:right w:val="nil"/>
            </w:tcBorders>
            <w:shd w:val="clear" w:color="auto" w:fill="auto"/>
            <w:noWrap/>
            <w:vAlign w:val="center"/>
            <w:hideMark/>
          </w:tcPr>
          <w:p w14:paraId="7CCE2923" w14:textId="364DC606" w:rsidR="00415DDF" w:rsidRPr="00734E94" w:rsidRDefault="00415DDF" w:rsidP="00415DDF">
            <w:pPr>
              <w:pStyle w:val="ExhibitText"/>
              <w:jc w:val="right"/>
              <w:rPr>
                <w:lang w:eastAsia="en-GB"/>
              </w:rPr>
            </w:pPr>
          </w:p>
        </w:tc>
      </w:tr>
      <w:tr w:rsidR="00415DDF" w:rsidRPr="00F61682" w14:paraId="42FA9409"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5A2CCDCF" w14:textId="77777777" w:rsidR="00415DDF" w:rsidRPr="00734E94" w:rsidRDefault="00415DDF" w:rsidP="00415DDF">
            <w:pPr>
              <w:pStyle w:val="ExhibitText"/>
              <w:jc w:val="left"/>
              <w:rPr>
                <w:lang w:eastAsia="en-GB"/>
              </w:rPr>
            </w:pPr>
            <w:r w:rsidRPr="00734E94">
              <w:rPr>
                <w:lang w:eastAsia="en-GB"/>
              </w:rPr>
              <w:t>Common Equity Tier 1 Capital ratio</w:t>
            </w:r>
            <w:r w:rsidRPr="00C30478">
              <w:rPr>
                <w:rStyle w:val="FootnoteReference"/>
              </w:rPr>
              <w:t>5,6</w:t>
            </w:r>
          </w:p>
        </w:tc>
        <w:tc>
          <w:tcPr>
            <w:tcW w:w="960" w:type="dxa"/>
            <w:tcBorders>
              <w:top w:val="nil"/>
              <w:left w:val="nil"/>
              <w:bottom w:val="nil"/>
              <w:right w:val="nil"/>
            </w:tcBorders>
            <w:vAlign w:val="center"/>
          </w:tcPr>
          <w:p w14:paraId="67F7E278" w14:textId="3F569417" w:rsidR="00415DDF" w:rsidRPr="00734E94" w:rsidRDefault="00415DDF" w:rsidP="00415DDF">
            <w:pPr>
              <w:pStyle w:val="ExhibitText"/>
              <w:jc w:val="right"/>
              <w:rPr>
                <w:lang w:eastAsia="en-GB"/>
              </w:rPr>
            </w:pPr>
            <w:r w:rsidRPr="00734E94">
              <w:rPr>
                <w:lang w:eastAsia="en-GB"/>
              </w:rPr>
              <w:t>9.0</w:t>
            </w:r>
          </w:p>
        </w:tc>
        <w:tc>
          <w:tcPr>
            <w:tcW w:w="960" w:type="dxa"/>
            <w:tcBorders>
              <w:top w:val="nil"/>
              <w:left w:val="nil"/>
              <w:bottom w:val="nil"/>
              <w:right w:val="nil"/>
            </w:tcBorders>
            <w:vAlign w:val="center"/>
          </w:tcPr>
          <w:p w14:paraId="65E8E341" w14:textId="777C1AAE" w:rsidR="00415DDF" w:rsidRPr="00734E94" w:rsidRDefault="00415DDF" w:rsidP="00415DDF">
            <w:pPr>
              <w:pStyle w:val="ExhibitText"/>
              <w:jc w:val="right"/>
              <w:rPr>
                <w:lang w:eastAsia="en-GB"/>
              </w:rPr>
            </w:pPr>
            <w:r w:rsidRPr="00734E94">
              <w:rPr>
                <w:lang w:eastAsia="en-GB"/>
              </w:rPr>
              <w:t>9.4</w:t>
            </w:r>
          </w:p>
        </w:tc>
        <w:tc>
          <w:tcPr>
            <w:tcW w:w="960" w:type="dxa"/>
            <w:tcBorders>
              <w:top w:val="nil"/>
              <w:left w:val="nil"/>
              <w:bottom w:val="nil"/>
              <w:right w:val="nil"/>
            </w:tcBorders>
            <w:shd w:val="clear" w:color="auto" w:fill="auto"/>
            <w:noWrap/>
            <w:vAlign w:val="center"/>
            <w:hideMark/>
          </w:tcPr>
          <w:p w14:paraId="03E063F5" w14:textId="6F188DBA" w:rsidR="00415DDF" w:rsidRPr="00734E94" w:rsidRDefault="00415DDF" w:rsidP="00415DDF">
            <w:pPr>
              <w:pStyle w:val="ExhibitText"/>
              <w:jc w:val="right"/>
              <w:rPr>
                <w:lang w:eastAsia="en-GB"/>
              </w:rPr>
            </w:pPr>
            <w:r w:rsidRPr="00734E94">
              <w:rPr>
                <w:lang w:eastAsia="en-GB"/>
              </w:rPr>
              <w:t>9.9</w:t>
            </w:r>
          </w:p>
        </w:tc>
      </w:tr>
      <w:tr w:rsidR="00415DDF" w:rsidRPr="00F61682" w14:paraId="1B974CA5"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220DF889" w14:textId="77777777" w:rsidR="00415DDF" w:rsidRPr="00734E94" w:rsidRDefault="00415DDF" w:rsidP="00415DDF">
            <w:pPr>
              <w:pStyle w:val="ExhibitText"/>
              <w:jc w:val="left"/>
              <w:rPr>
                <w:lang w:eastAsia="en-GB"/>
              </w:rPr>
            </w:pPr>
            <w:r w:rsidRPr="00734E94">
              <w:rPr>
                <w:lang w:eastAsia="en-GB"/>
              </w:rPr>
              <w:t>Tier 1 Capital ratio</w:t>
            </w:r>
            <w:r w:rsidRPr="00C30478">
              <w:rPr>
                <w:rStyle w:val="FootnoteReference"/>
              </w:rPr>
              <w:t>5,6</w:t>
            </w:r>
          </w:p>
        </w:tc>
        <w:tc>
          <w:tcPr>
            <w:tcW w:w="960" w:type="dxa"/>
            <w:tcBorders>
              <w:top w:val="nil"/>
              <w:left w:val="nil"/>
              <w:bottom w:val="nil"/>
              <w:right w:val="nil"/>
            </w:tcBorders>
            <w:vAlign w:val="center"/>
          </w:tcPr>
          <w:p w14:paraId="4F03D1F9" w14:textId="679B7AF5" w:rsidR="00415DDF" w:rsidRPr="00734E94" w:rsidRDefault="00415DDF" w:rsidP="00415DDF">
            <w:pPr>
              <w:pStyle w:val="ExhibitText"/>
              <w:jc w:val="right"/>
              <w:rPr>
                <w:lang w:eastAsia="en-GB"/>
              </w:rPr>
            </w:pPr>
            <w:r w:rsidRPr="00734E94">
              <w:rPr>
                <w:lang w:eastAsia="en-GB"/>
              </w:rPr>
              <w:t xml:space="preserve">11.0 </w:t>
            </w:r>
          </w:p>
        </w:tc>
        <w:tc>
          <w:tcPr>
            <w:tcW w:w="960" w:type="dxa"/>
            <w:tcBorders>
              <w:top w:val="nil"/>
              <w:left w:val="nil"/>
              <w:bottom w:val="nil"/>
              <w:right w:val="nil"/>
            </w:tcBorders>
            <w:vAlign w:val="center"/>
          </w:tcPr>
          <w:p w14:paraId="22E847DC" w14:textId="06D80FD9" w:rsidR="00415DDF" w:rsidRPr="00734E94" w:rsidRDefault="00415DDF" w:rsidP="00415DDF">
            <w:pPr>
              <w:pStyle w:val="ExhibitText"/>
              <w:jc w:val="right"/>
              <w:rPr>
                <w:lang w:eastAsia="en-GB"/>
              </w:rPr>
            </w:pPr>
            <w:r w:rsidRPr="00734E94">
              <w:rPr>
                <w:lang w:eastAsia="en-GB"/>
              </w:rPr>
              <w:t xml:space="preserve">10.9 </w:t>
            </w:r>
          </w:p>
        </w:tc>
        <w:tc>
          <w:tcPr>
            <w:tcW w:w="960" w:type="dxa"/>
            <w:tcBorders>
              <w:top w:val="nil"/>
              <w:left w:val="nil"/>
              <w:bottom w:val="nil"/>
              <w:right w:val="nil"/>
            </w:tcBorders>
            <w:shd w:val="clear" w:color="auto" w:fill="auto"/>
            <w:noWrap/>
            <w:vAlign w:val="center"/>
            <w:hideMark/>
          </w:tcPr>
          <w:p w14:paraId="0D045C64" w14:textId="326334AB" w:rsidR="00415DDF" w:rsidRPr="00734E94" w:rsidRDefault="00415DDF" w:rsidP="00415DDF">
            <w:pPr>
              <w:pStyle w:val="ExhibitText"/>
              <w:jc w:val="right"/>
              <w:rPr>
                <w:lang w:eastAsia="en-GB"/>
              </w:rPr>
            </w:pPr>
            <w:r w:rsidRPr="00734E94">
              <w:rPr>
                <w:lang w:eastAsia="en-GB"/>
              </w:rPr>
              <w:t xml:space="preserve">11.3 </w:t>
            </w:r>
          </w:p>
        </w:tc>
      </w:tr>
      <w:tr w:rsidR="00415DDF" w:rsidRPr="00F61682" w14:paraId="3A930D4A"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16642106" w14:textId="77777777" w:rsidR="00415DDF" w:rsidRPr="00734E94" w:rsidRDefault="00415DDF" w:rsidP="00415DDF">
            <w:pPr>
              <w:pStyle w:val="ExhibitText"/>
              <w:jc w:val="left"/>
              <w:rPr>
                <w:lang w:eastAsia="en-GB"/>
              </w:rPr>
            </w:pPr>
            <w:r w:rsidRPr="00734E94">
              <w:rPr>
                <w:lang w:eastAsia="en-GB"/>
              </w:rPr>
              <w:t>Total Capital ratio</w:t>
            </w:r>
            <w:r w:rsidRPr="00C30478">
              <w:rPr>
                <w:rStyle w:val="FootnoteReference"/>
              </w:rPr>
              <w:t>5,6</w:t>
            </w:r>
          </w:p>
        </w:tc>
        <w:tc>
          <w:tcPr>
            <w:tcW w:w="960" w:type="dxa"/>
            <w:tcBorders>
              <w:top w:val="nil"/>
              <w:left w:val="nil"/>
              <w:bottom w:val="nil"/>
              <w:right w:val="nil"/>
            </w:tcBorders>
            <w:vAlign w:val="center"/>
          </w:tcPr>
          <w:p w14:paraId="388913E7" w14:textId="52C8F38D" w:rsidR="00415DDF" w:rsidRPr="00734E94" w:rsidRDefault="00415DDF" w:rsidP="00415DDF">
            <w:pPr>
              <w:pStyle w:val="ExhibitText"/>
              <w:jc w:val="right"/>
              <w:rPr>
                <w:lang w:eastAsia="en-GB"/>
              </w:rPr>
            </w:pPr>
            <w:r w:rsidRPr="00734E94">
              <w:rPr>
                <w:lang w:eastAsia="en-GB"/>
              </w:rPr>
              <w:t xml:space="preserve">14.2 </w:t>
            </w:r>
          </w:p>
        </w:tc>
        <w:tc>
          <w:tcPr>
            <w:tcW w:w="960" w:type="dxa"/>
            <w:tcBorders>
              <w:top w:val="nil"/>
              <w:left w:val="nil"/>
              <w:bottom w:val="nil"/>
              <w:right w:val="nil"/>
            </w:tcBorders>
            <w:vAlign w:val="center"/>
          </w:tcPr>
          <w:p w14:paraId="210AEB47" w14:textId="29E4B367" w:rsidR="00415DDF" w:rsidRPr="00734E94" w:rsidRDefault="00415DDF" w:rsidP="00415DDF">
            <w:pPr>
              <w:pStyle w:val="ExhibitText"/>
              <w:jc w:val="right"/>
              <w:rPr>
                <w:lang w:eastAsia="en-GB"/>
              </w:rPr>
            </w:pPr>
            <w:r w:rsidRPr="00734E94">
              <w:rPr>
                <w:lang w:eastAsia="en-GB"/>
              </w:rPr>
              <w:t xml:space="preserve">13.4 </w:t>
            </w:r>
          </w:p>
        </w:tc>
        <w:tc>
          <w:tcPr>
            <w:tcW w:w="960" w:type="dxa"/>
            <w:tcBorders>
              <w:top w:val="nil"/>
              <w:left w:val="nil"/>
              <w:bottom w:val="nil"/>
              <w:right w:val="nil"/>
            </w:tcBorders>
            <w:shd w:val="clear" w:color="auto" w:fill="auto"/>
            <w:noWrap/>
            <w:vAlign w:val="center"/>
            <w:hideMark/>
          </w:tcPr>
          <w:p w14:paraId="1A5396CF" w14:textId="44197E31" w:rsidR="00415DDF" w:rsidRPr="00734E94" w:rsidRDefault="00415DDF" w:rsidP="00415DDF">
            <w:pPr>
              <w:pStyle w:val="ExhibitText"/>
              <w:jc w:val="right"/>
              <w:rPr>
                <w:lang w:eastAsia="en-GB"/>
              </w:rPr>
            </w:pPr>
            <w:r w:rsidRPr="00734E94">
              <w:rPr>
                <w:lang w:eastAsia="en-GB"/>
              </w:rPr>
              <w:t xml:space="preserve">14.0 </w:t>
            </w:r>
          </w:p>
        </w:tc>
      </w:tr>
      <w:tr w:rsidR="00415DDF" w:rsidRPr="00F61682" w14:paraId="6CDC0FAC" w14:textId="77777777" w:rsidTr="00415DDF">
        <w:trPr>
          <w:trHeight w:val="360"/>
          <w:jc w:val="center"/>
        </w:trPr>
        <w:tc>
          <w:tcPr>
            <w:tcW w:w="5560" w:type="dxa"/>
            <w:tcBorders>
              <w:top w:val="nil"/>
              <w:left w:val="nil"/>
              <w:bottom w:val="nil"/>
              <w:right w:val="nil"/>
            </w:tcBorders>
            <w:shd w:val="clear" w:color="auto" w:fill="auto"/>
            <w:noWrap/>
            <w:vAlign w:val="center"/>
            <w:hideMark/>
          </w:tcPr>
          <w:p w14:paraId="36719498" w14:textId="2C32495F" w:rsidR="00415DDF" w:rsidRPr="00734E94" w:rsidRDefault="00415DDF" w:rsidP="00415DDF">
            <w:pPr>
              <w:pStyle w:val="ExhibitText"/>
              <w:jc w:val="left"/>
              <w:rPr>
                <w:lang w:eastAsia="en-GB"/>
              </w:rPr>
            </w:pPr>
            <w:r w:rsidRPr="00734E94">
              <w:rPr>
                <w:lang w:eastAsia="en-GB"/>
              </w:rPr>
              <w:t>Efficienc</w:t>
            </w:r>
            <w:r w:rsidR="000D7C24">
              <w:rPr>
                <w:lang w:eastAsia="en-GB"/>
              </w:rPr>
              <w:t>y</w:t>
            </w:r>
            <w:r w:rsidR="00DE3A7E">
              <w:rPr>
                <w:lang w:eastAsia="en-GB"/>
              </w:rPr>
              <w:t xml:space="preserve"> ratio—</w:t>
            </w:r>
            <w:r w:rsidRPr="00734E94">
              <w:rPr>
                <w:lang w:eastAsia="en-GB"/>
              </w:rPr>
              <w:t>reported</w:t>
            </w:r>
          </w:p>
        </w:tc>
        <w:tc>
          <w:tcPr>
            <w:tcW w:w="960" w:type="dxa"/>
            <w:tcBorders>
              <w:top w:val="nil"/>
              <w:left w:val="nil"/>
              <w:bottom w:val="nil"/>
              <w:right w:val="nil"/>
            </w:tcBorders>
            <w:vAlign w:val="center"/>
          </w:tcPr>
          <w:p w14:paraId="4AB34A68" w14:textId="02344D4E" w:rsidR="00415DDF" w:rsidRPr="00734E94" w:rsidRDefault="00415DDF" w:rsidP="00415DDF">
            <w:pPr>
              <w:pStyle w:val="ExhibitText"/>
              <w:jc w:val="right"/>
              <w:rPr>
                <w:lang w:eastAsia="en-GB"/>
              </w:rPr>
            </w:pPr>
            <w:r w:rsidRPr="00734E94">
              <w:rPr>
                <w:lang w:eastAsia="en-GB"/>
              </w:rPr>
              <w:t xml:space="preserve">55.3 </w:t>
            </w:r>
          </w:p>
        </w:tc>
        <w:tc>
          <w:tcPr>
            <w:tcW w:w="960" w:type="dxa"/>
            <w:tcBorders>
              <w:top w:val="nil"/>
              <w:left w:val="nil"/>
              <w:bottom w:val="nil"/>
              <w:right w:val="nil"/>
            </w:tcBorders>
            <w:vAlign w:val="center"/>
          </w:tcPr>
          <w:p w14:paraId="443ED0AE" w14:textId="45C33967" w:rsidR="00415DDF" w:rsidRPr="00734E94" w:rsidRDefault="00415DDF" w:rsidP="00415DDF">
            <w:pPr>
              <w:pStyle w:val="ExhibitText"/>
              <w:jc w:val="right"/>
              <w:rPr>
                <w:lang w:eastAsia="en-GB"/>
              </w:rPr>
            </w:pPr>
            <w:r w:rsidRPr="00734E94">
              <w:rPr>
                <w:lang w:eastAsia="en-GB"/>
              </w:rPr>
              <w:t xml:space="preserve">55.1 </w:t>
            </w:r>
          </w:p>
        </w:tc>
        <w:tc>
          <w:tcPr>
            <w:tcW w:w="960" w:type="dxa"/>
            <w:tcBorders>
              <w:top w:val="nil"/>
              <w:left w:val="nil"/>
              <w:bottom w:val="nil"/>
              <w:right w:val="nil"/>
            </w:tcBorders>
            <w:shd w:val="clear" w:color="auto" w:fill="auto"/>
            <w:noWrap/>
            <w:vAlign w:val="center"/>
            <w:hideMark/>
          </w:tcPr>
          <w:p w14:paraId="3E5E5459" w14:textId="3AF0D597" w:rsidR="00415DDF" w:rsidRPr="00734E94" w:rsidRDefault="00415DDF" w:rsidP="00415DDF">
            <w:pPr>
              <w:pStyle w:val="ExhibitText"/>
              <w:jc w:val="right"/>
              <w:rPr>
                <w:lang w:eastAsia="en-GB"/>
              </w:rPr>
            </w:pPr>
            <w:r w:rsidRPr="00734E94">
              <w:rPr>
                <w:lang w:eastAsia="en-GB"/>
              </w:rPr>
              <w:t xml:space="preserve">57.5 </w:t>
            </w:r>
          </w:p>
        </w:tc>
      </w:tr>
      <w:tr w:rsidR="00415DDF" w:rsidRPr="00F61682" w14:paraId="06F7CDF2" w14:textId="77777777" w:rsidTr="00415DDF">
        <w:trPr>
          <w:trHeight w:val="360"/>
          <w:jc w:val="center"/>
        </w:trPr>
        <w:tc>
          <w:tcPr>
            <w:tcW w:w="5560" w:type="dxa"/>
            <w:tcBorders>
              <w:top w:val="nil"/>
              <w:left w:val="nil"/>
              <w:bottom w:val="single" w:sz="4" w:space="0" w:color="auto"/>
              <w:right w:val="nil"/>
            </w:tcBorders>
            <w:shd w:val="clear" w:color="auto" w:fill="auto"/>
            <w:noWrap/>
            <w:vAlign w:val="center"/>
            <w:hideMark/>
          </w:tcPr>
          <w:p w14:paraId="51523DA8" w14:textId="5D7AF237" w:rsidR="00415DDF" w:rsidRPr="00734E94" w:rsidRDefault="00415DDF" w:rsidP="00415DDF">
            <w:pPr>
              <w:pStyle w:val="ExhibitText"/>
              <w:jc w:val="left"/>
              <w:rPr>
                <w:lang w:eastAsia="en-GB"/>
              </w:rPr>
            </w:pPr>
            <w:r w:rsidRPr="00734E94">
              <w:rPr>
                <w:lang w:eastAsia="en-GB"/>
              </w:rPr>
              <w:t>Efficienc</w:t>
            </w:r>
            <w:r w:rsidR="000D7C24">
              <w:rPr>
                <w:lang w:eastAsia="en-GB"/>
              </w:rPr>
              <w:t>y</w:t>
            </w:r>
            <w:r w:rsidR="00DE3A7E">
              <w:rPr>
                <w:lang w:eastAsia="en-GB"/>
              </w:rPr>
              <w:t xml:space="preserve"> ratio—</w:t>
            </w:r>
            <w:r w:rsidRPr="00734E94">
              <w:rPr>
                <w:lang w:eastAsia="en-GB"/>
              </w:rPr>
              <w:t>adjusted</w:t>
            </w:r>
          </w:p>
        </w:tc>
        <w:tc>
          <w:tcPr>
            <w:tcW w:w="960" w:type="dxa"/>
            <w:tcBorders>
              <w:top w:val="nil"/>
              <w:left w:val="nil"/>
              <w:bottom w:val="single" w:sz="4" w:space="0" w:color="auto"/>
              <w:right w:val="nil"/>
            </w:tcBorders>
            <w:vAlign w:val="center"/>
          </w:tcPr>
          <w:p w14:paraId="688504FB" w14:textId="2B865E16" w:rsidR="00415DDF" w:rsidRPr="00734E94" w:rsidRDefault="00415DDF" w:rsidP="00415DDF">
            <w:pPr>
              <w:pStyle w:val="ExhibitText"/>
              <w:jc w:val="right"/>
              <w:rPr>
                <w:lang w:eastAsia="en-GB"/>
              </w:rPr>
            </w:pPr>
            <w:r w:rsidRPr="00734E94">
              <w:rPr>
                <w:lang w:eastAsia="en-GB"/>
              </w:rPr>
              <w:t xml:space="preserve">52.9 </w:t>
            </w:r>
          </w:p>
        </w:tc>
        <w:tc>
          <w:tcPr>
            <w:tcW w:w="960" w:type="dxa"/>
            <w:tcBorders>
              <w:top w:val="nil"/>
              <w:left w:val="nil"/>
              <w:bottom w:val="single" w:sz="4" w:space="0" w:color="auto"/>
              <w:right w:val="nil"/>
            </w:tcBorders>
            <w:vAlign w:val="center"/>
          </w:tcPr>
          <w:p w14:paraId="64C0A7B4" w14:textId="6D7E0D17" w:rsidR="00415DDF" w:rsidRPr="00734E94" w:rsidRDefault="00415DDF" w:rsidP="00415DDF">
            <w:pPr>
              <w:pStyle w:val="ExhibitText"/>
              <w:jc w:val="right"/>
              <w:rPr>
                <w:lang w:eastAsia="en-GB"/>
              </w:rPr>
            </w:pPr>
            <w:r w:rsidRPr="00734E94">
              <w:rPr>
                <w:lang w:eastAsia="en-GB"/>
              </w:rPr>
              <w:t xml:space="preserve">53.4 </w:t>
            </w:r>
          </w:p>
        </w:tc>
        <w:tc>
          <w:tcPr>
            <w:tcW w:w="960" w:type="dxa"/>
            <w:tcBorders>
              <w:top w:val="nil"/>
              <w:left w:val="nil"/>
              <w:bottom w:val="single" w:sz="4" w:space="0" w:color="auto"/>
              <w:right w:val="nil"/>
            </w:tcBorders>
            <w:shd w:val="clear" w:color="auto" w:fill="auto"/>
            <w:noWrap/>
            <w:vAlign w:val="center"/>
            <w:hideMark/>
          </w:tcPr>
          <w:p w14:paraId="5B143FC1" w14:textId="38D88059" w:rsidR="00415DDF" w:rsidRPr="00734E94" w:rsidRDefault="00415DDF" w:rsidP="00415DDF">
            <w:pPr>
              <w:pStyle w:val="ExhibitText"/>
              <w:jc w:val="right"/>
              <w:rPr>
                <w:lang w:eastAsia="en-GB"/>
              </w:rPr>
            </w:pPr>
            <w:r w:rsidRPr="00734E94">
              <w:rPr>
                <w:lang w:eastAsia="en-GB"/>
              </w:rPr>
              <w:t xml:space="preserve">54.3 </w:t>
            </w:r>
          </w:p>
        </w:tc>
      </w:tr>
    </w:tbl>
    <w:p w14:paraId="6BA476FB" w14:textId="77777777" w:rsidR="00F61682" w:rsidRDefault="00F61682" w:rsidP="00C30478">
      <w:pPr>
        <w:pStyle w:val="ExhibitText"/>
      </w:pPr>
    </w:p>
    <w:p w14:paraId="1F75729F" w14:textId="233BDF8B" w:rsidR="00F61682" w:rsidRPr="00DE3A7E" w:rsidRDefault="00F61682" w:rsidP="00F61682">
      <w:pPr>
        <w:pStyle w:val="Footnote"/>
        <w:rPr>
          <w:spacing w:val="-2"/>
          <w:kern w:val="17"/>
        </w:rPr>
      </w:pPr>
      <w:r w:rsidRPr="00DE3A7E">
        <w:rPr>
          <w:spacing w:val="-2"/>
          <w:kern w:val="17"/>
        </w:rPr>
        <w:t xml:space="preserve">Note: </w:t>
      </w:r>
      <w:r w:rsidRPr="00DE3A7E">
        <w:rPr>
          <w:rStyle w:val="FootnoteReference"/>
          <w:spacing w:val="-2"/>
          <w:kern w:val="17"/>
        </w:rPr>
        <w:t>1</w:t>
      </w:r>
      <w:r w:rsidRPr="00DE3A7E">
        <w:rPr>
          <w:spacing w:val="-2"/>
          <w:kern w:val="17"/>
        </w:rPr>
        <w:t xml:space="preserve">Certain comparative amounts have been restated, where applicable, as a result of the implementation of the 2015 IFRS Standards and Amendments; </w:t>
      </w:r>
      <w:r w:rsidRPr="00DE3A7E">
        <w:rPr>
          <w:rStyle w:val="FootnoteReference"/>
          <w:spacing w:val="-2"/>
          <w:kern w:val="17"/>
        </w:rPr>
        <w:t>2</w:t>
      </w:r>
      <w:r w:rsidRPr="00DE3A7E">
        <w:rPr>
          <w:spacing w:val="-2"/>
          <w:kern w:val="17"/>
        </w:rPr>
        <w:t xml:space="preserve">Refer to footnote </w:t>
      </w:r>
      <w:r w:rsidR="00F90006" w:rsidRPr="00DE3A7E">
        <w:rPr>
          <w:spacing w:val="-2"/>
          <w:kern w:val="17"/>
        </w:rPr>
        <w:fldChar w:fldCharType="begin"/>
      </w:r>
      <w:r w:rsidR="00F90006" w:rsidRPr="00DE3A7E">
        <w:rPr>
          <w:spacing w:val="-2"/>
          <w:kern w:val="17"/>
        </w:rPr>
        <w:instrText xml:space="preserve"> NOTEREF _Ref500169725 \h </w:instrText>
      </w:r>
      <w:r w:rsidR="00F90006" w:rsidRPr="00DE3A7E">
        <w:rPr>
          <w:spacing w:val="-2"/>
          <w:kern w:val="17"/>
        </w:rPr>
      </w:r>
      <w:r w:rsidR="00DE3A7E">
        <w:rPr>
          <w:spacing w:val="-2"/>
          <w:kern w:val="17"/>
        </w:rPr>
        <w:instrText xml:space="preserve"> \* MERGEFORMAT </w:instrText>
      </w:r>
      <w:r w:rsidR="00F90006" w:rsidRPr="00DE3A7E">
        <w:rPr>
          <w:spacing w:val="-2"/>
          <w:kern w:val="17"/>
        </w:rPr>
        <w:fldChar w:fldCharType="separate"/>
      </w:r>
      <w:r w:rsidR="00BA33BD" w:rsidRPr="00DE3A7E">
        <w:rPr>
          <w:spacing w:val="-2"/>
          <w:kern w:val="17"/>
        </w:rPr>
        <w:t>3</w:t>
      </w:r>
      <w:r w:rsidR="00F90006" w:rsidRPr="00DE3A7E">
        <w:rPr>
          <w:spacing w:val="-2"/>
          <w:kern w:val="17"/>
        </w:rPr>
        <w:fldChar w:fldCharType="end"/>
      </w:r>
      <w:r w:rsidR="00DE4E6E" w:rsidRPr="00DE3A7E">
        <w:rPr>
          <w:spacing w:val="-2"/>
          <w:kern w:val="17"/>
        </w:rPr>
        <w:t>;</w:t>
      </w:r>
      <w:r w:rsidRPr="00DE3A7E">
        <w:rPr>
          <w:spacing w:val="-2"/>
          <w:kern w:val="17"/>
        </w:rPr>
        <w:t xml:space="preserve"> </w:t>
      </w:r>
      <w:r w:rsidRPr="00DE3A7E">
        <w:rPr>
          <w:rStyle w:val="FootnoteReference"/>
          <w:spacing w:val="-2"/>
          <w:kern w:val="17"/>
        </w:rPr>
        <w:t>4</w:t>
      </w:r>
      <w:r w:rsidRPr="00DE3A7E">
        <w:rPr>
          <w:spacing w:val="-2"/>
          <w:kern w:val="17"/>
        </w:rPr>
        <w:t xml:space="preserve">Toronto Stock Exchange (TSX) closing market price; </w:t>
      </w:r>
      <w:r w:rsidRPr="00DE3A7E">
        <w:rPr>
          <w:rStyle w:val="FootnoteReference"/>
          <w:spacing w:val="-2"/>
          <w:kern w:val="17"/>
        </w:rPr>
        <w:t>5</w:t>
      </w:r>
      <w:r w:rsidRPr="00DE3A7E">
        <w:rPr>
          <w:spacing w:val="-2"/>
          <w:kern w:val="17"/>
        </w:rPr>
        <w:t xml:space="preserve">The 2015 IFRS Standards and Amendments were not incorporated into the regulatory capital disclosures presented prior to fiscal </w:t>
      </w:r>
      <w:r w:rsidR="00F90006" w:rsidRPr="00DE3A7E">
        <w:rPr>
          <w:spacing w:val="-2"/>
          <w:kern w:val="17"/>
        </w:rPr>
        <w:t>2</w:t>
      </w:r>
      <w:r w:rsidRPr="00DE3A7E">
        <w:rPr>
          <w:spacing w:val="-2"/>
          <w:kern w:val="17"/>
        </w:rPr>
        <w:t xml:space="preserve">015. </w:t>
      </w:r>
      <w:r w:rsidR="00F90006" w:rsidRPr="00DE3A7E">
        <w:rPr>
          <w:spacing w:val="-2"/>
          <w:kern w:val="17"/>
        </w:rPr>
        <w:t>(</w:t>
      </w:r>
      <w:r w:rsidRPr="00DE3A7E">
        <w:rPr>
          <w:spacing w:val="-2"/>
          <w:kern w:val="17"/>
        </w:rPr>
        <w:t xml:space="preserve">For more information on </w:t>
      </w:r>
      <w:r w:rsidR="00BC5D28" w:rsidRPr="00DE3A7E">
        <w:rPr>
          <w:spacing w:val="-2"/>
          <w:kern w:val="17"/>
        </w:rPr>
        <w:t xml:space="preserve">the </w:t>
      </w:r>
      <w:r w:rsidRPr="00DE3A7E">
        <w:rPr>
          <w:spacing w:val="-2"/>
          <w:kern w:val="17"/>
        </w:rPr>
        <w:t>2015 IFRS Standards and Amendments, refer to Note 4 of the 2015 Consolidated Financial Statements</w:t>
      </w:r>
      <w:r w:rsidR="00F90006" w:rsidRPr="00DE3A7E">
        <w:rPr>
          <w:spacing w:val="-2"/>
          <w:kern w:val="17"/>
        </w:rPr>
        <w:t>.)</w:t>
      </w:r>
      <w:r w:rsidRPr="00DE3A7E">
        <w:rPr>
          <w:spacing w:val="-2"/>
          <w:kern w:val="17"/>
        </w:rPr>
        <w:t xml:space="preserve">; </w:t>
      </w:r>
      <w:r w:rsidRPr="00DE3A7E">
        <w:rPr>
          <w:rStyle w:val="FootnoteReference"/>
          <w:spacing w:val="-2"/>
          <w:kern w:val="17"/>
        </w:rPr>
        <w:t>6</w:t>
      </w:r>
      <w:r w:rsidRPr="00DE3A7E">
        <w:rPr>
          <w:spacing w:val="-2"/>
          <w:kern w:val="17"/>
        </w:rPr>
        <w:t xml:space="preserve">Effective the third quarter of 2014, each capital ratio has its own risk-weighted assets (RWA) measure due to </w:t>
      </w:r>
      <w:r w:rsidR="00F90006" w:rsidRPr="00DE3A7E">
        <w:rPr>
          <w:spacing w:val="-2"/>
          <w:kern w:val="17"/>
        </w:rPr>
        <w:t xml:space="preserve">the </w:t>
      </w:r>
      <w:r w:rsidRPr="00DE3A7E">
        <w:rPr>
          <w:spacing w:val="-2"/>
          <w:kern w:val="17"/>
        </w:rPr>
        <w:t xml:space="preserve">scalar </w:t>
      </w:r>
      <w:r w:rsidR="00F90006" w:rsidRPr="00DE3A7E">
        <w:rPr>
          <w:spacing w:val="-2"/>
          <w:kern w:val="17"/>
        </w:rPr>
        <w:t xml:space="preserve">prescribed by the Office of the Superintendent of Financial Institutions (OSFI) </w:t>
      </w:r>
      <w:r w:rsidRPr="00DE3A7E">
        <w:rPr>
          <w:spacing w:val="-2"/>
          <w:kern w:val="17"/>
        </w:rPr>
        <w:t xml:space="preserve">for inclusion of the </w:t>
      </w:r>
      <w:r w:rsidR="00F90006" w:rsidRPr="00DE3A7E">
        <w:rPr>
          <w:spacing w:val="-2"/>
          <w:kern w:val="17"/>
        </w:rPr>
        <w:t>c</w:t>
      </w:r>
      <w:r w:rsidRPr="00DE3A7E">
        <w:rPr>
          <w:spacing w:val="-2"/>
          <w:kern w:val="17"/>
        </w:rPr>
        <w:t xml:space="preserve">redit </w:t>
      </w:r>
      <w:r w:rsidR="00F90006" w:rsidRPr="00DE3A7E">
        <w:rPr>
          <w:spacing w:val="-2"/>
          <w:kern w:val="17"/>
        </w:rPr>
        <w:t>v</w:t>
      </w:r>
      <w:r w:rsidRPr="00DE3A7E">
        <w:rPr>
          <w:spacing w:val="-2"/>
          <w:kern w:val="17"/>
        </w:rPr>
        <w:t xml:space="preserve">aluation </w:t>
      </w:r>
      <w:r w:rsidR="00F90006" w:rsidRPr="00DE3A7E">
        <w:rPr>
          <w:spacing w:val="-2"/>
          <w:kern w:val="17"/>
        </w:rPr>
        <w:t>a</w:t>
      </w:r>
      <w:r w:rsidRPr="00DE3A7E">
        <w:rPr>
          <w:spacing w:val="-2"/>
          <w:kern w:val="17"/>
        </w:rPr>
        <w:t xml:space="preserve">djustment (CVA). Effective the third quarter of 2014, the scalars for inclusion of the CVA for Common Equity Tier 1 (CET1), Tier 1, and Total Capital RWA are 57%, 65%, and 77% respectively. For fiscal 2015, the scalars are 64%, 71%, and 77% respectively. </w:t>
      </w:r>
    </w:p>
    <w:p w14:paraId="6A12CF1B" w14:textId="09E4EABD" w:rsidR="00F90006" w:rsidRPr="00F61682" w:rsidRDefault="00F90006" w:rsidP="00F61682">
      <w:pPr>
        <w:pStyle w:val="Footnote"/>
      </w:pPr>
      <w:r>
        <w:t xml:space="preserve">Source: </w:t>
      </w:r>
      <w:r w:rsidRPr="00F90006">
        <w:t xml:space="preserve">TD Bank Group, </w:t>
      </w:r>
      <w:r w:rsidRPr="00F90006">
        <w:rPr>
          <w:i/>
        </w:rPr>
        <w:t xml:space="preserve">Building the Even Better Bank: 2015 Annual Report, </w:t>
      </w:r>
      <w:r w:rsidRPr="00F90006">
        <w:t>accessed August 27, 2017, www.td.com/document/PDF/ar2015/ar2015-Complete-Report.pdf</w:t>
      </w:r>
    </w:p>
    <w:p w14:paraId="77BB05EA" w14:textId="77777777" w:rsidR="00F61682" w:rsidRDefault="00F61682" w:rsidP="00F61682">
      <w:pPr>
        <w:pStyle w:val="Footnote"/>
      </w:pPr>
    </w:p>
    <w:p w14:paraId="5CDEDF23" w14:textId="77777777" w:rsidR="00F61682" w:rsidRDefault="00F61682">
      <w:pPr>
        <w:spacing w:after="200" w:line="276" w:lineRule="auto"/>
        <w:rPr>
          <w:rFonts w:ascii="Arial" w:hAnsi="Arial" w:cs="Arial"/>
          <w:sz w:val="17"/>
          <w:szCs w:val="17"/>
        </w:rPr>
        <w:sectPr w:rsidR="00F61682" w:rsidSect="00EB5410">
          <w:headerReference w:type="default" r:id="rId11"/>
          <w:endnotePr>
            <w:numFmt w:val="decimal"/>
          </w:endnotePr>
          <w:pgSz w:w="12240" w:h="15840"/>
          <w:pgMar w:top="1080" w:right="1440" w:bottom="1440" w:left="1440" w:header="1080" w:footer="720" w:gutter="0"/>
          <w:cols w:space="720"/>
          <w:titlePg/>
          <w:docGrid w:linePitch="360"/>
        </w:sectPr>
      </w:pPr>
    </w:p>
    <w:p w14:paraId="6D2328BD" w14:textId="77777777" w:rsidR="00F61682" w:rsidRDefault="00F61682" w:rsidP="00C75B16">
      <w:pPr>
        <w:pStyle w:val="ExhibitHeading"/>
        <w:outlineLvl w:val="0"/>
      </w:pPr>
      <w:r>
        <w:lastRenderedPageBreak/>
        <w:t>Exhibit 2: IBM Suggested Data Transformation Journey</w:t>
      </w:r>
    </w:p>
    <w:p w14:paraId="78DED17E" w14:textId="77777777" w:rsidR="00F61682" w:rsidRDefault="00F61682" w:rsidP="00C30478">
      <w:pPr>
        <w:pStyle w:val="ExhibitText"/>
      </w:pPr>
    </w:p>
    <w:p w14:paraId="1717D247" w14:textId="77777777" w:rsidR="00F61682" w:rsidRPr="00EE5639" w:rsidRDefault="00F61682" w:rsidP="00C30478">
      <w:pPr>
        <w:pStyle w:val="ExhibitText"/>
        <w:jc w:val="center"/>
      </w:pPr>
      <w:r>
        <w:rPr>
          <w:noProof/>
          <w:lang w:eastAsia="en-GB"/>
        </w:rPr>
        <w:drawing>
          <wp:inline distT="0" distB="0" distL="0" distR="0" wp14:anchorId="33818B28" wp14:editId="2824CB3E">
            <wp:extent cx="8229600" cy="479620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grayscl/>
                    </a:blip>
                    <a:stretch>
                      <a:fillRect/>
                    </a:stretch>
                  </pic:blipFill>
                  <pic:spPr>
                    <a:xfrm>
                      <a:off x="0" y="0"/>
                      <a:ext cx="8229600" cy="4796204"/>
                    </a:xfrm>
                    <a:prstGeom prst="rect">
                      <a:avLst/>
                    </a:prstGeom>
                  </pic:spPr>
                </pic:pic>
              </a:graphicData>
            </a:graphic>
          </wp:inline>
        </w:drawing>
      </w:r>
    </w:p>
    <w:p w14:paraId="07EA98E1" w14:textId="77777777" w:rsidR="00F61682" w:rsidRDefault="00F61682" w:rsidP="00C30478">
      <w:pPr>
        <w:pStyle w:val="ExhibitText"/>
      </w:pPr>
    </w:p>
    <w:p w14:paraId="4DF7B439" w14:textId="527C10CF" w:rsidR="00194FB2" w:rsidRDefault="00F61682" w:rsidP="00194FB2">
      <w:pPr>
        <w:pStyle w:val="Footnote"/>
        <w:jc w:val="left"/>
        <w:sectPr w:rsidR="00194FB2" w:rsidSect="00F61682">
          <w:headerReference w:type="default" r:id="rId13"/>
          <w:endnotePr>
            <w:numFmt w:val="decimal"/>
          </w:endnotePr>
          <w:pgSz w:w="15840" w:h="12240" w:orient="landscape"/>
          <w:pgMar w:top="1440" w:right="1440" w:bottom="1440" w:left="1440" w:header="1080" w:footer="720" w:gutter="0"/>
          <w:cols w:space="720"/>
          <w:docGrid w:linePitch="360"/>
        </w:sectPr>
      </w:pPr>
      <w:r w:rsidRPr="00F61682">
        <w:t xml:space="preserve">Source: </w:t>
      </w:r>
      <w:r w:rsidR="000D7C24">
        <w:t xml:space="preserve">Connie </w:t>
      </w:r>
      <w:r w:rsidRPr="00F61682">
        <w:t xml:space="preserve">Bonello, </w:t>
      </w:r>
      <w:r w:rsidRPr="00C30478">
        <w:rPr>
          <w:i/>
        </w:rPr>
        <w:t>IBM Data Strategy</w:t>
      </w:r>
      <w:r w:rsidR="000D7C24">
        <w:t xml:space="preserve"> (</w:t>
      </w:r>
      <w:r w:rsidRPr="00F61682">
        <w:t>Toronto</w:t>
      </w:r>
      <w:r w:rsidR="000D7C24">
        <w:t>, ON</w:t>
      </w:r>
      <w:r w:rsidRPr="00F61682">
        <w:t>: IBM, 2017</w:t>
      </w:r>
      <w:r w:rsidR="000D7C24">
        <w:t>)</w:t>
      </w:r>
      <w:r w:rsidRPr="00F61682">
        <w:t xml:space="preserve">. Used with permission. </w:t>
      </w:r>
    </w:p>
    <w:p w14:paraId="26D30592" w14:textId="77777777" w:rsidR="006F4A7B" w:rsidRDefault="00194FB2" w:rsidP="00194FB2">
      <w:pPr>
        <w:pStyle w:val="ExhibitHeading"/>
      </w:pPr>
      <w:r>
        <w:lastRenderedPageBreak/>
        <w:t xml:space="preserve">Exhibit 3: </w:t>
      </w:r>
      <w:r w:rsidRPr="00515DBD">
        <w:t>Summary of the Basel Committee on Banking Supervision</w:t>
      </w:r>
      <w:r w:rsidR="00430AF6">
        <w:t>,</w:t>
      </w:r>
    </w:p>
    <w:p w14:paraId="32C9C94C" w14:textId="4A256F39" w:rsidR="00194FB2" w:rsidRDefault="00194FB2" w:rsidP="00194FB2">
      <w:pPr>
        <w:pStyle w:val="ExhibitHeading"/>
      </w:pPr>
      <w:r w:rsidRPr="00515DBD">
        <w:t>regulation</w:t>
      </w:r>
      <w:r w:rsidR="00430AF6">
        <w:t xml:space="preserve"> 239</w:t>
      </w:r>
    </w:p>
    <w:p w14:paraId="023C333E" w14:textId="77777777" w:rsidR="00194FB2" w:rsidRPr="00E06D5D" w:rsidRDefault="00194FB2" w:rsidP="00C30478">
      <w:pPr>
        <w:pStyle w:val="ExhibitText"/>
        <w:rPr>
          <w:sz w:val="14"/>
        </w:rPr>
      </w:pPr>
    </w:p>
    <w:tbl>
      <w:tblPr>
        <w:tblStyle w:val="TableGrid"/>
        <w:tblW w:w="4827" w:type="pct"/>
        <w:jc w:val="center"/>
        <w:tblLook w:val="04A0" w:firstRow="1" w:lastRow="0" w:firstColumn="1" w:lastColumn="0" w:noHBand="0" w:noVBand="1"/>
      </w:tblPr>
      <w:tblGrid>
        <w:gridCol w:w="1857"/>
        <w:gridCol w:w="7169"/>
      </w:tblGrid>
      <w:tr w:rsidR="00194FB2" w:rsidRPr="000D7C24" w14:paraId="0089DDB1" w14:textId="77777777" w:rsidTr="00703B9D">
        <w:trPr>
          <w:jc w:val="center"/>
        </w:trPr>
        <w:tc>
          <w:tcPr>
            <w:tcW w:w="1688" w:type="dxa"/>
            <w:vAlign w:val="center"/>
          </w:tcPr>
          <w:p w14:paraId="5A8681B3" w14:textId="7D3C5E0C" w:rsidR="00194FB2" w:rsidRPr="000D7C24" w:rsidRDefault="00194FB2" w:rsidP="009464B0">
            <w:pPr>
              <w:pStyle w:val="ExhibitText"/>
              <w:jc w:val="center"/>
              <w:rPr>
                <w:b/>
                <w:sz w:val="18"/>
                <w:szCs w:val="18"/>
              </w:rPr>
            </w:pPr>
            <w:r w:rsidRPr="000D7C24">
              <w:rPr>
                <w:b/>
                <w:sz w:val="18"/>
                <w:szCs w:val="18"/>
              </w:rPr>
              <w:t>Principl</w:t>
            </w:r>
            <w:r w:rsidR="00444CD3">
              <w:rPr>
                <w:b/>
                <w:sz w:val="18"/>
                <w:szCs w:val="18"/>
              </w:rPr>
              <w:t>e</w:t>
            </w:r>
            <w:r w:rsidRPr="000D7C24">
              <w:rPr>
                <w:b/>
                <w:sz w:val="18"/>
                <w:szCs w:val="18"/>
              </w:rPr>
              <w:t>s</w:t>
            </w:r>
          </w:p>
        </w:tc>
        <w:tc>
          <w:tcPr>
            <w:tcW w:w="7556" w:type="dxa"/>
            <w:vAlign w:val="center"/>
          </w:tcPr>
          <w:p w14:paraId="752AA85D" w14:textId="77777777" w:rsidR="00194FB2" w:rsidRPr="000D7C24" w:rsidRDefault="00194FB2" w:rsidP="009464B0">
            <w:pPr>
              <w:pStyle w:val="ExhibitText"/>
              <w:jc w:val="center"/>
              <w:rPr>
                <w:b/>
                <w:sz w:val="18"/>
                <w:szCs w:val="18"/>
              </w:rPr>
            </w:pPr>
            <w:r w:rsidRPr="000D7C24">
              <w:rPr>
                <w:b/>
                <w:sz w:val="18"/>
                <w:szCs w:val="18"/>
              </w:rPr>
              <w:t>Explanation</w:t>
            </w:r>
          </w:p>
        </w:tc>
      </w:tr>
      <w:tr w:rsidR="00194FB2" w:rsidRPr="000D7C24" w14:paraId="5E81CFD5" w14:textId="77777777" w:rsidTr="00703B9D">
        <w:trPr>
          <w:jc w:val="center"/>
        </w:trPr>
        <w:tc>
          <w:tcPr>
            <w:tcW w:w="1688" w:type="dxa"/>
            <w:vAlign w:val="center"/>
          </w:tcPr>
          <w:p w14:paraId="440A83FA" w14:textId="77777777" w:rsidR="00194FB2" w:rsidRPr="000D7C24" w:rsidRDefault="00194FB2" w:rsidP="000D7C24">
            <w:pPr>
              <w:pStyle w:val="ExhibitText"/>
              <w:jc w:val="left"/>
              <w:rPr>
                <w:sz w:val="18"/>
                <w:szCs w:val="18"/>
              </w:rPr>
            </w:pPr>
            <w:r w:rsidRPr="000D7C24">
              <w:rPr>
                <w:sz w:val="18"/>
                <w:szCs w:val="18"/>
              </w:rPr>
              <w:t>Governance</w:t>
            </w:r>
          </w:p>
        </w:tc>
        <w:tc>
          <w:tcPr>
            <w:tcW w:w="7556" w:type="dxa"/>
            <w:vAlign w:val="center"/>
          </w:tcPr>
          <w:p w14:paraId="6275DBE5" w14:textId="77777777" w:rsidR="00194FB2" w:rsidRPr="000D7C24" w:rsidRDefault="00194FB2" w:rsidP="00E06D5D">
            <w:pPr>
              <w:pStyle w:val="ExhibitText"/>
              <w:rPr>
                <w:sz w:val="18"/>
                <w:szCs w:val="18"/>
              </w:rPr>
            </w:pPr>
            <w:r w:rsidRPr="000D7C24">
              <w:rPr>
                <w:sz w:val="18"/>
                <w:szCs w:val="18"/>
              </w:rPr>
              <w:t>A bank’s risk data aggregation capabilities and risk reporting practices should be subject to strong governance arrangements consistent with other principles and guidance established by the Basel Committee.</w:t>
            </w:r>
          </w:p>
        </w:tc>
      </w:tr>
      <w:tr w:rsidR="00194FB2" w:rsidRPr="000D7C24" w14:paraId="7C6348C2" w14:textId="77777777" w:rsidTr="00703B9D">
        <w:trPr>
          <w:jc w:val="center"/>
        </w:trPr>
        <w:tc>
          <w:tcPr>
            <w:tcW w:w="1688" w:type="dxa"/>
            <w:vAlign w:val="center"/>
          </w:tcPr>
          <w:p w14:paraId="350F10F2" w14:textId="4CD967B7" w:rsidR="00194FB2" w:rsidRPr="000D7C24" w:rsidRDefault="00194FB2" w:rsidP="000D7C24">
            <w:pPr>
              <w:pStyle w:val="ExhibitText"/>
              <w:jc w:val="left"/>
              <w:rPr>
                <w:sz w:val="18"/>
                <w:szCs w:val="18"/>
              </w:rPr>
            </w:pPr>
            <w:r w:rsidRPr="000D7C24">
              <w:rPr>
                <w:sz w:val="18"/>
                <w:szCs w:val="18"/>
              </w:rPr>
              <w:t xml:space="preserve">Data </w:t>
            </w:r>
            <w:r w:rsidR="000D7C24">
              <w:rPr>
                <w:sz w:val="18"/>
                <w:szCs w:val="18"/>
              </w:rPr>
              <w:t>A</w:t>
            </w:r>
            <w:r w:rsidRPr="000D7C24">
              <w:rPr>
                <w:sz w:val="18"/>
                <w:szCs w:val="18"/>
              </w:rPr>
              <w:t xml:space="preserve">rchitecture and IT </w:t>
            </w:r>
            <w:r w:rsidR="000D7C24">
              <w:rPr>
                <w:sz w:val="18"/>
                <w:szCs w:val="18"/>
              </w:rPr>
              <w:t>I</w:t>
            </w:r>
            <w:r w:rsidRPr="000D7C24">
              <w:rPr>
                <w:sz w:val="18"/>
                <w:szCs w:val="18"/>
              </w:rPr>
              <w:t>nfrastructure</w:t>
            </w:r>
          </w:p>
        </w:tc>
        <w:tc>
          <w:tcPr>
            <w:tcW w:w="7556" w:type="dxa"/>
            <w:vAlign w:val="center"/>
          </w:tcPr>
          <w:p w14:paraId="1E09E357" w14:textId="506AE699" w:rsidR="00194FB2" w:rsidRPr="000D7C24" w:rsidRDefault="00194FB2" w:rsidP="009464B0">
            <w:pPr>
              <w:pStyle w:val="ExhibitText"/>
              <w:rPr>
                <w:spacing w:val="-4"/>
                <w:kern w:val="18"/>
                <w:sz w:val="18"/>
                <w:szCs w:val="18"/>
              </w:rPr>
            </w:pPr>
            <w:r w:rsidRPr="000D7C24">
              <w:rPr>
                <w:spacing w:val="-4"/>
                <w:kern w:val="18"/>
                <w:sz w:val="18"/>
                <w:szCs w:val="18"/>
              </w:rPr>
              <w:t xml:space="preserve">A bank should design, build and maintain data architecture and IT infrastructure </w:t>
            </w:r>
            <w:r w:rsidR="009464B0">
              <w:rPr>
                <w:spacing w:val="-4"/>
                <w:kern w:val="18"/>
                <w:sz w:val="18"/>
                <w:szCs w:val="18"/>
              </w:rPr>
              <w:t>that</w:t>
            </w:r>
            <w:r w:rsidRPr="000D7C24">
              <w:rPr>
                <w:spacing w:val="-4"/>
                <w:kern w:val="18"/>
                <w:sz w:val="18"/>
                <w:szCs w:val="18"/>
              </w:rPr>
              <w:t xml:space="preserve"> fully supports its risk data aggregation capabilities and risk reporting practices not only in normal times but also during times of stress or crisis, while still meeting the other Principles.</w:t>
            </w:r>
          </w:p>
        </w:tc>
      </w:tr>
      <w:tr w:rsidR="00194FB2" w:rsidRPr="000D7C24" w14:paraId="3C68DFB7" w14:textId="77777777" w:rsidTr="00703B9D">
        <w:trPr>
          <w:jc w:val="center"/>
        </w:trPr>
        <w:tc>
          <w:tcPr>
            <w:tcW w:w="1688" w:type="dxa"/>
            <w:vAlign w:val="center"/>
          </w:tcPr>
          <w:p w14:paraId="07EB379C" w14:textId="77777777" w:rsidR="00194FB2" w:rsidRPr="000D7C24" w:rsidRDefault="00194FB2" w:rsidP="000D7C24">
            <w:pPr>
              <w:pStyle w:val="ExhibitText"/>
              <w:jc w:val="left"/>
              <w:rPr>
                <w:sz w:val="18"/>
                <w:szCs w:val="18"/>
              </w:rPr>
            </w:pPr>
            <w:r w:rsidRPr="000D7C24">
              <w:rPr>
                <w:sz w:val="18"/>
                <w:szCs w:val="18"/>
              </w:rPr>
              <w:t>Accuracy and Integrity</w:t>
            </w:r>
          </w:p>
        </w:tc>
        <w:tc>
          <w:tcPr>
            <w:tcW w:w="7556" w:type="dxa"/>
            <w:vAlign w:val="center"/>
          </w:tcPr>
          <w:p w14:paraId="65C11C55" w14:textId="77777777" w:rsidR="00194FB2" w:rsidRPr="000D7C24" w:rsidRDefault="00194FB2" w:rsidP="00E06D5D">
            <w:pPr>
              <w:pStyle w:val="ExhibitText"/>
              <w:rPr>
                <w:sz w:val="18"/>
                <w:szCs w:val="18"/>
              </w:rPr>
            </w:pPr>
            <w:r w:rsidRPr="000D7C24">
              <w:rPr>
                <w:sz w:val="18"/>
                <w:szCs w:val="18"/>
              </w:rPr>
              <w:t xml:space="preserve">A bank should be able to generate accurate and reliable risk data to meet normal and stress/crisis reporting accuracy requirements. Data should be aggregated on a largely automated basis so as to minimize the probability of errors. </w:t>
            </w:r>
          </w:p>
        </w:tc>
      </w:tr>
      <w:tr w:rsidR="00194FB2" w:rsidRPr="000D7C24" w14:paraId="765E07A9" w14:textId="77777777" w:rsidTr="00703B9D">
        <w:trPr>
          <w:jc w:val="center"/>
        </w:trPr>
        <w:tc>
          <w:tcPr>
            <w:tcW w:w="1688" w:type="dxa"/>
            <w:vAlign w:val="center"/>
          </w:tcPr>
          <w:p w14:paraId="1E5B4C78" w14:textId="77777777" w:rsidR="00194FB2" w:rsidRPr="000D7C24" w:rsidRDefault="00194FB2" w:rsidP="000D7C24">
            <w:pPr>
              <w:pStyle w:val="ExhibitText"/>
              <w:jc w:val="left"/>
              <w:rPr>
                <w:sz w:val="18"/>
                <w:szCs w:val="18"/>
              </w:rPr>
            </w:pPr>
            <w:r w:rsidRPr="000D7C24">
              <w:rPr>
                <w:sz w:val="18"/>
                <w:szCs w:val="18"/>
              </w:rPr>
              <w:t>Completeness</w:t>
            </w:r>
          </w:p>
        </w:tc>
        <w:tc>
          <w:tcPr>
            <w:tcW w:w="7556" w:type="dxa"/>
            <w:vAlign w:val="center"/>
          </w:tcPr>
          <w:p w14:paraId="2F915B08" w14:textId="32720410" w:rsidR="00194FB2" w:rsidRPr="000D7C24" w:rsidRDefault="00194FB2" w:rsidP="00444CD3">
            <w:pPr>
              <w:pStyle w:val="ExhibitText"/>
              <w:rPr>
                <w:sz w:val="18"/>
                <w:szCs w:val="18"/>
              </w:rPr>
            </w:pPr>
            <w:r w:rsidRPr="000D7C24">
              <w:rPr>
                <w:sz w:val="18"/>
                <w:szCs w:val="18"/>
              </w:rPr>
              <w:t xml:space="preserve">A bank should be able to capture and aggregate all material risk data across the banking group. Data should be available by business </w:t>
            </w:r>
            <w:r w:rsidR="009464B0">
              <w:rPr>
                <w:sz w:val="18"/>
                <w:szCs w:val="18"/>
              </w:rPr>
              <w:t>line, legal entity, asset type.</w:t>
            </w:r>
            <w:r w:rsidRPr="000D7C24">
              <w:rPr>
                <w:sz w:val="18"/>
                <w:szCs w:val="18"/>
              </w:rPr>
              <w:t xml:space="preserve"> For instance, the Basel Committee’s Principles for Enhancing Corporate Governance (October 2010) and Enhancements to the Basel II framework (July 2009). </w:t>
            </w:r>
            <w:r w:rsidR="00444CD3">
              <w:rPr>
                <w:sz w:val="18"/>
                <w:szCs w:val="18"/>
              </w:rPr>
              <w:t>I</w:t>
            </w:r>
            <w:r w:rsidRPr="000D7C24">
              <w:rPr>
                <w:sz w:val="18"/>
                <w:szCs w:val="18"/>
              </w:rPr>
              <w:t>ndustry, region and other groupings, as relevant for the risk in question, that permit identifying and reporting risk exposures, concentrations and emerging risks.</w:t>
            </w:r>
          </w:p>
        </w:tc>
      </w:tr>
      <w:tr w:rsidR="00194FB2" w:rsidRPr="000D7C24" w14:paraId="0A3FC7BC" w14:textId="77777777" w:rsidTr="00703B9D">
        <w:trPr>
          <w:jc w:val="center"/>
        </w:trPr>
        <w:tc>
          <w:tcPr>
            <w:tcW w:w="1688" w:type="dxa"/>
            <w:vAlign w:val="center"/>
          </w:tcPr>
          <w:p w14:paraId="1058E2B9" w14:textId="77777777" w:rsidR="00194FB2" w:rsidRPr="000D7C24" w:rsidRDefault="00194FB2" w:rsidP="000D7C24">
            <w:pPr>
              <w:pStyle w:val="ExhibitText"/>
              <w:jc w:val="left"/>
              <w:rPr>
                <w:sz w:val="18"/>
                <w:szCs w:val="18"/>
              </w:rPr>
            </w:pPr>
            <w:r w:rsidRPr="000D7C24">
              <w:rPr>
                <w:sz w:val="18"/>
                <w:szCs w:val="18"/>
              </w:rPr>
              <w:t>Timeliness</w:t>
            </w:r>
          </w:p>
        </w:tc>
        <w:tc>
          <w:tcPr>
            <w:tcW w:w="7556" w:type="dxa"/>
            <w:vAlign w:val="center"/>
          </w:tcPr>
          <w:p w14:paraId="3CFE7E4B" w14:textId="77777777" w:rsidR="00194FB2" w:rsidRPr="000D7C24" w:rsidRDefault="00194FB2" w:rsidP="00E06D5D">
            <w:pPr>
              <w:pStyle w:val="ExhibitText"/>
              <w:rPr>
                <w:sz w:val="18"/>
                <w:szCs w:val="18"/>
              </w:rPr>
            </w:pPr>
            <w:r w:rsidRPr="000D7C24">
              <w:rPr>
                <w:sz w:val="18"/>
                <w:szCs w:val="18"/>
              </w:rPr>
              <w:t xml:space="preserve">A bank should be able to generate aggregate and up-to-date risk data in a timely manner while also meeting the principles relating to accuracy and integrity, completeness and adaptability. The precise timing will depend upon the nature and potential volatility of the risk being measured as well as its criticality to the overall risk profile of the bank. The precise timing will also depend on the bank-specific frequency requirements for risk management reporting, under both normal and stress/crisis situations, set based on the characteristics and overall risk profile of the bank. </w:t>
            </w:r>
          </w:p>
        </w:tc>
      </w:tr>
      <w:tr w:rsidR="00194FB2" w:rsidRPr="000D7C24" w14:paraId="0352733F" w14:textId="77777777" w:rsidTr="00703B9D">
        <w:trPr>
          <w:jc w:val="center"/>
        </w:trPr>
        <w:tc>
          <w:tcPr>
            <w:tcW w:w="1688" w:type="dxa"/>
            <w:vAlign w:val="center"/>
          </w:tcPr>
          <w:p w14:paraId="4BDE2B86" w14:textId="77777777" w:rsidR="00194FB2" w:rsidRPr="000D7C24" w:rsidRDefault="00194FB2" w:rsidP="000D7C24">
            <w:pPr>
              <w:pStyle w:val="ExhibitText"/>
              <w:jc w:val="left"/>
              <w:rPr>
                <w:sz w:val="18"/>
                <w:szCs w:val="18"/>
              </w:rPr>
            </w:pPr>
            <w:r w:rsidRPr="000D7C24">
              <w:rPr>
                <w:sz w:val="18"/>
                <w:szCs w:val="18"/>
              </w:rPr>
              <w:t>Adaptability</w:t>
            </w:r>
          </w:p>
        </w:tc>
        <w:tc>
          <w:tcPr>
            <w:tcW w:w="7556" w:type="dxa"/>
            <w:vAlign w:val="center"/>
          </w:tcPr>
          <w:p w14:paraId="25387E4F" w14:textId="77777777" w:rsidR="00194FB2" w:rsidRPr="000D7C24" w:rsidRDefault="00194FB2" w:rsidP="00E06D5D">
            <w:pPr>
              <w:pStyle w:val="ExhibitText"/>
              <w:rPr>
                <w:spacing w:val="-4"/>
                <w:kern w:val="18"/>
                <w:sz w:val="18"/>
                <w:szCs w:val="18"/>
              </w:rPr>
            </w:pPr>
            <w:r w:rsidRPr="000D7C24">
              <w:rPr>
                <w:spacing w:val="-4"/>
                <w:kern w:val="18"/>
                <w:sz w:val="18"/>
                <w:szCs w:val="18"/>
              </w:rPr>
              <w:t>A bank should be able to generate aggregate risk data to meet a broad range of on-demand, ad hoc risk management reporting requests, including requests during stress/crisis situations, requests due to changing internal needs and requests to meet supervisory queries.</w:t>
            </w:r>
          </w:p>
        </w:tc>
      </w:tr>
      <w:tr w:rsidR="00194FB2" w:rsidRPr="000D7C24" w14:paraId="6E05AA5D" w14:textId="77777777" w:rsidTr="00703B9D">
        <w:trPr>
          <w:jc w:val="center"/>
        </w:trPr>
        <w:tc>
          <w:tcPr>
            <w:tcW w:w="1688" w:type="dxa"/>
            <w:vAlign w:val="center"/>
          </w:tcPr>
          <w:p w14:paraId="0D1BE380" w14:textId="77777777" w:rsidR="00194FB2" w:rsidRPr="000D7C24" w:rsidRDefault="00194FB2" w:rsidP="000D7C24">
            <w:pPr>
              <w:pStyle w:val="ExhibitText"/>
              <w:jc w:val="left"/>
              <w:rPr>
                <w:sz w:val="18"/>
                <w:szCs w:val="18"/>
              </w:rPr>
            </w:pPr>
            <w:r w:rsidRPr="000D7C24">
              <w:rPr>
                <w:sz w:val="18"/>
                <w:szCs w:val="18"/>
              </w:rPr>
              <w:t>Accuracy</w:t>
            </w:r>
          </w:p>
        </w:tc>
        <w:tc>
          <w:tcPr>
            <w:tcW w:w="7556" w:type="dxa"/>
            <w:vAlign w:val="center"/>
          </w:tcPr>
          <w:p w14:paraId="01F34E0B" w14:textId="77777777" w:rsidR="00194FB2" w:rsidRPr="000D7C24" w:rsidRDefault="00194FB2" w:rsidP="00E06D5D">
            <w:pPr>
              <w:pStyle w:val="ExhibitText"/>
              <w:rPr>
                <w:sz w:val="18"/>
                <w:szCs w:val="18"/>
              </w:rPr>
            </w:pPr>
            <w:r w:rsidRPr="000D7C24">
              <w:rPr>
                <w:sz w:val="18"/>
                <w:szCs w:val="18"/>
              </w:rPr>
              <w:t>Risk management reports should accurately and precisely convey aggregated risk data and reflect risk in an exact manner. Reports should be reconciled and validated.</w:t>
            </w:r>
          </w:p>
        </w:tc>
      </w:tr>
      <w:tr w:rsidR="00194FB2" w:rsidRPr="000D7C24" w14:paraId="0CDF2D6F" w14:textId="77777777" w:rsidTr="00703B9D">
        <w:trPr>
          <w:jc w:val="center"/>
        </w:trPr>
        <w:tc>
          <w:tcPr>
            <w:tcW w:w="1688" w:type="dxa"/>
            <w:vAlign w:val="center"/>
          </w:tcPr>
          <w:p w14:paraId="6A65B370" w14:textId="77777777" w:rsidR="00194FB2" w:rsidRPr="000D7C24" w:rsidRDefault="00194FB2" w:rsidP="000D7C24">
            <w:pPr>
              <w:pStyle w:val="ExhibitText"/>
              <w:jc w:val="left"/>
              <w:rPr>
                <w:sz w:val="18"/>
                <w:szCs w:val="18"/>
              </w:rPr>
            </w:pPr>
            <w:r w:rsidRPr="000D7C24">
              <w:rPr>
                <w:sz w:val="18"/>
                <w:szCs w:val="18"/>
              </w:rPr>
              <w:t>Comprehensiveness</w:t>
            </w:r>
          </w:p>
        </w:tc>
        <w:tc>
          <w:tcPr>
            <w:tcW w:w="7556" w:type="dxa"/>
            <w:vAlign w:val="center"/>
          </w:tcPr>
          <w:p w14:paraId="5AA1D116" w14:textId="77777777" w:rsidR="00194FB2" w:rsidRPr="00E06D5D" w:rsidRDefault="00194FB2" w:rsidP="00E06D5D">
            <w:pPr>
              <w:pStyle w:val="ExhibitText"/>
              <w:rPr>
                <w:spacing w:val="-4"/>
                <w:kern w:val="18"/>
                <w:sz w:val="18"/>
                <w:szCs w:val="18"/>
              </w:rPr>
            </w:pPr>
            <w:r w:rsidRPr="00E06D5D">
              <w:rPr>
                <w:spacing w:val="-4"/>
                <w:kern w:val="18"/>
                <w:sz w:val="18"/>
                <w:szCs w:val="18"/>
              </w:rPr>
              <w:t xml:space="preserve">Risk management reports should cover all material risk areas within the organization. The depth and scope of these reports should be consistent with the size and complexity of the bank’s operations and risk profile, as well as the requirements of the recipients. </w:t>
            </w:r>
          </w:p>
        </w:tc>
      </w:tr>
      <w:tr w:rsidR="00194FB2" w:rsidRPr="000D7C24" w14:paraId="71A139BD" w14:textId="77777777" w:rsidTr="00703B9D">
        <w:trPr>
          <w:jc w:val="center"/>
        </w:trPr>
        <w:tc>
          <w:tcPr>
            <w:tcW w:w="1688" w:type="dxa"/>
            <w:vAlign w:val="center"/>
          </w:tcPr>
          <w:p w14:paraId="68DEB923" w14:textId="4B6CC6E6" w:rsidR="00194FB2" w:rsidRPr="000D7C24" w:rsidRDefault="00194FB2" w:rsidP="000D7C24">
            <w:pPr>
              <w:pStyle w:val="ExhibitText"/>
              <w:jc w:val="left"/>
              <w:rPr>
                <w:sz w:val="18"/>
                <w:szCs w:val="18"/>
              </w:rPr>
            </w:pPr>
            <w:r w:rsidRPr="000D7C24">
              <w:rPr>
                <w:sz w:val="18"/>
                <w:szCs w:val="18"/>
              </w:rPr>
              <w:t xml:space="preserve">Clarity and </w:t>
            </w:r>
            <w:r w:rsidR="000D7C24">
              <w:rPr>
                <w:sz w:val="18"/>
                <w:szCs w:val="18"/>
              </w:rPr>
              <w:t>U</w:t>
            </w:r>
            <w:r w:rsidRPr="000D7C24">
              <w:rPr>
                <w:sz w:val="18"/>
                <w:szCs w:val="18"/>
              </w:rPr>
              <w:t>sefulness</w:t>
            </w:r>
          </w:p>
        </w:tc>
        <w:tc>
          <w:tcPr>
            <w:tcW w:w="7556" w:type="dxa"/>
            <w:vAlign w:val="center"/>
          </w:tcPr>
          <w:p w14:paraId="43716E4C" w14:textId="77777777" w:rsidR="00194FB2" w:rsidRPr="000D7C24" w:rsidRDefault="00194FB2" w:rsidP="00E06D5D">
            <w:pPr>
              <w:pStyle w:val="ExhibitText"/>
              <w:rPr>
                <w:sz w:val="18"/>
                <w:szCs w:val="18"/>
              </w:rPr>
            </w:pPr>
            <w:r w:rsidRPr="000D7C24">
              <w:rPr>
                <w:sz w:val="18"/>
                <w:szCs w:val="18"/>
              </w:rPr>
              <w:t>Risk management reports should communicate information in a clear and concise manner. Reports should be easy to understand yet comprehensive enough to facilitate informed decision-making. Reports should include an appropriate balance between risk data, analysis and interpretation, and qualitative explanations. Reports should include meaningful information tailored to the needs of the recipients.</w:t>
            </w:r>
          </w:p>
        </w:tc>
      </w:tr>
      <w:tr w:rsidR="00194FB2" w:rsidRPr="000D7C24" w14:paraId="5F5E259E" w14:textId="77777777" w:rsidTr="00703B9D">
        <w:trPr>
          <w:jc w:val="center"/>
        </w:trPr>
        <w:tc>
          <w:tcPr>
            <w:tcW w:w="1688" w:type="dxa"/>
            <w:vAlign w:val="center"/>
          </w:tcPr>
          <w:p w14:paraId="51310996" w14:textId="77777777" w:rsidR="00194FB2" w:rsidRPr="000D7C24" w:rsidRDefault="00194FB2" w:rsidP="000D7C24">
            <w:pPr>
              <w:pStyle w:val="ExhibitText"/>
              <w:jc w:val="left"/>
              <w:rPr>
                <w:sz w:val="18"/>
                <w:szCs w:val="18"/>
              </w:rPr>
            </w:pPr>
            <w:r w:rsidRPr="000D7C24">
              <w:rPr>
                <w:sz w:val="18"/>
                <w:szCs w:val="18"/>
              </w:rPr>
              <w:t>Frequency</w:t>
            </w:r>
          </w:p>
        </w:tc>
        <w:tc>
          <w:tcPr>
            <w:tcW w:w="7556" w:type="dxa"/>
            <w:vAlign w:val="center"/>
          </w:tcPr>
          <w:p w14:paraId="61499821" w14:textId="77777777" w:rsidR="00194FB2" w:rsidRPr="00E06D5D" w:rsidRDefault="00194FB2" w:rsidP="00E06D5D">
            <w:pPr>
              <w:pStyle w:val="ExhibitText"/>
              <w:rPr>
                <w:spacing w:val="-2"/>
                <w:kern w:val="18"/>
                <w:sz w:val="18"/>
                <w:szCs w:val="18"/>
              </w:rPr>
            </w:pPr>
            <w:r w:rsidRPr="00E06D5D">
              <w:rPr>
                <w:spacing w:val="-2"/>
                <w:kern w:val="18"/>
                <w:sz w:val="18"/>
                <w:szCs w:val="18"/>
              </w:rPr>
              <w:t>The board and senior management (or other recipients as appropriate) should set the frequency of risk management report production and distribution. Frequency requirements should reflect the needs of the recipients, the nature of the risk reported, and the speed at which the risk can change, as well as the importance of reports in contributing to sound risk management and effective and efficient decision-making across the bank. The frequency of reports should be increased during times of stress/crisis.</w:t>
            </w:r>
          </w:p>
        </w:tc>
      </w:tr>
      <w:tr w:rsidR="00194FB2" w:rsidRPr="000D7C24" w14:paraId="0D2E3A31" w14:textId="77777777" w:rsidTr="00703B9D">
        <w:trPr>
          <w:jc w:val="center"/>
        </w:trPr>
        <w:tc>
          <w:tcPr>
            <w:tcW w:w="1688" w:type="dxa"/>
            <w:vAlign w:val="center"/>
          </w:tcPr>
          <w:p w14:paraId="39D6135D" w14:textId="77777777" w:rsidR="00194FB2" w:rsidRPr="000D7C24" w:rsidRDefault="00194FB2" w:rsidP="000D7C24">
            <w:pPr>
              <w:pStyle w:val="ExhibitText"/>
              <w:jc w:val="left"/>
              <w:rPr>
                <w:sz w:val="18"/>
                <w:szCs w:val="18"/>
              </w:rPr>
            </w:pPr>
            <w:r w:rsidRPr="000D7C24">
              <w:rPr>
                <w:sz w:val="18"/>
                <w:szCs w:val="18"/>
              </w:rPr>
              <w:t>Distribution</w:t>
            </w:r>
          </w:p>
        </w:tc>
        <w:tc>
          <w:tcPr>
            <w:tcW w:w="7556" w:type="dxa"/>
            <w:vAlign w:val="center"/>
          </w:tcPr>
          <w:p w14:paraId="64B19F04" w14:textId="77777777" w:rsidR="00194FB2" w:rsidRPr="000D7C24" w:rsidRDefault="00194FB2" w:rsidP="00E06D5D">
            <w:pPr>
              <w:pStyle w:val="ExhibitText"/>
              <w:rPr>
                <w:sz w:val="18"/>
                <w:szCs w:val="18"/>
              </w:rPr>
            </w:pPr>
            <w:r w:rsidRPr="000D7C24">
              <w:rPr>
                <w:sz w:val="18"/>
                <w:szCs w:val="18"/>
              </w:rPr>
              <w:t>Risk management reports should be distributed to the relevant parties and while ensuring confidentiality is maintained.</w:t>
            </w:r>
          </w:p>
        </w:tc>
      </w:tr>
      <w:tr w:rsidR="00194FB2" w:rsidRPr="000D7C24" w14:paraId="21D02D9C" w14:textId="77777777" w:rsidTr="00703B9D">
        <w:trPr>
          <w:jc w:val="center"/>
        </w:trPr>
        <w:tc>
          <w:tcPr>
            <w:tcW w:w="1688" w:type="dxa"/>
            <w:vAlign w:val="center"/>
          </w:tcPr>
          <w:p w14:paraId="417B2631" w14:textId="77777777" w:rsidR="00194FB2" w:rsidRPr="000D7C24" w:rsidRDefault="00194FB2" w:rsidP="000D7C24">
            <w:pPr>
              <w:pStyle w:val="ExhibitText"/>
              <w:jc w:val="left"/>
              <w:rPr>
                <w:sz w:val="18"/>
                <w:szCs w:val="18"/>
              </w:rPr>
            </w:pPr>
            <w:r w:rsidRPr="000D7C24">
              <w:rPr>
                <w:sz w:val="18"/>
                <w:szCs w:val="18"/>
              </w:rPr>
              <w:t>Review</w:t>
            </w:r>
          </w:p>
        </w:tc>
        <w:tc>
          <w:tcPr>
            <w:tcW w:w="7556" w:type="dxa"/>
            <w:vAlign w:val="center"/>
          </w:tcPr>
          <w:p w14:paraId="2C750F14" w14:textId="77777777" w:rsidR="00194FB2" w:rsidRPr="000D7C24" w:rsidRDefault="00194FB2" w:rsidP="00E06D5D">
            <w:pPr>
              <w:pStyle w:val="ExhibitText"/>
              <w:rPr>
                <w:sz w:val="18"/>
                <w:szCs w:val="18"/>
              </w:rPr>
            </w:pPr>
            <w:r w:rsidRPr="000D7C24">
              <w:rPr>
                <w:sz w:val="18"/>
                <w:szCs w:val="18"/>
              </w:rPr>
              <w:t>Supervisors should periodically review and evaluate a bank’s compliance with the eleven Principles above.</w:t>
            </w:r>
          </w:p>
        </w:tc>
      </w:tr>
      <w:tr w:rsidR="00194FB2" w:rsidRPr="000D7C24" w14:paraId="7AA14D99" w14:textId="77777777" w:rsidTr="00703B9D">
        <w:trPr>
          <w:jc w:val="center"/>
        </w:trPr>
        <w:tc>
          <w:tcPr>
            <w:tcW w:w="1688" w:type="dxa"/>
            <w:vAlign w:val="center"/>
          </w:tcPr>
          <w:p w14:paraId="4A728E1E" w14:textId="6E44FC99" w:rsidR="00194FB2" w:rsidRPr="000D7C24" w:rsidRDefault="00194FB2" w:rsidP="000D7C24">
            <w:pPr>
              <w:pStyle w:val="ExhibitText"/>
              <w:jc w:val="left"/>
              <w:rPr>
                <w:sz w:val="18"/>
                <w:szCs w:val="18"/>
              </w:rPr>
            </w:pPr>
            <w:r w:rsidRPr="000D7C24">
              <w:rPr>
                <w:sz w:val="18"/>
                <w:szCs w:val="18"/>
              </w:rPr>
              <w:t xml:space="preserve">Remedial </w:t>
            </w:r>
            <w:r w:rsidR="000D7C24">
              <w:rPr>
                <w:sz w:val="18"/>
                <w:szCs w:val="18"/>
              </w:rPr>
              <w:t>A</w:t>
            </w:r>
            <w:r w:rsidRPr="000D7C24">
              <w:rPr>
                <w:sz w:val="18"/>
                <w:szCs w:val="18"/>
              </w:rPr>
              <w:t xml:space="preserve">ctions and </w:t>
            </w:r>
            <w:r w:rsidR="000D7C24">
              <w:rPr>
                <w:sz w:val="18"/>
                <w:szCs w:val="18"/>
              </w:rPr>
              <w:t>S</w:t>
            </w:r>
            <w:r w:rsidRPr="000D7C24">
              <w:rPr>
                <w:sz w:val="18"/>
                <w:szCs w:val="18"/>
              </w:rPr>
              <w:t xml:space="preserve">upervisory </w:t>
            </w:r>
            <w:r w:rsidR="000D7C24">
              <w:rPr>
                <w:sz w:val="18"/>
                <w:szCs w:val="18"/>
              </w:rPr>
              <w:t>M</w:t>
            </w:r>
            <w:r w:rsidRPr="000D7C24">
              <w:rPr>
                <w:sz w:val="18"/>
                <w:szCs w:val="18"/>
              </w:rPr>
              <w:t>easures</w:t>
            </w:r>
          </w:p>
        </w:tc>
        <w:tc>
          <w:tcPr>
            <w:tcW w:w="7556" w:type="dxa"/>
            <w:vAlign w:val="center"/>
          </w:tcPr>
          <w:p w14:paraId="27C2E393" w14:textId="77777777" w:rsidR="00194FB2" w:rsidRPr="000D7C24" w:rsidRDefault="00194FB2" w:rsidP="00E06D5D">
            <w:pPr>
              <w:pStyle w:val="ExhibitText"/>
              <w:rPr>
                <w:sz w:val="18"/>
                <w:szCs w:val="18"/>
              </w:rPr>
            </w:pPr>
            <w:r w:rsidRPr="000D7C24">
              <w:rPr>
                <w:sz w:val="18"/>
                <w:szCs w:val="18"/>
              </w:rPr>
              <w:t>Supervisors should have and use the appropriate tools and resources to require effective and timely remedial action by a bank to address deficiencies in its risk data aggregation capabilities and risk reporting practices. Supervisors should have the ability to use a range of tools, including Pillar 2.</w:t>
            </w:r>
          </w:p>
        </w:tc>
      </w:tr>
      <w:tr w:rsidR="00194FB2" w:rsidRPr="000D7C24" w14:paraId="1709E805" w14:textId="77777777" w:rsidTr="00703B9D">
        <w:trPr>
          <w:jc w:val="center"/>
        </w:trPr>
        <w:tc>
          <w:tcPr>
            <w:tcW w:w="1688" w:type="dxa"/>
            <w:vAlign w:val="center"/>
          </w:tcPr>
          <w:p w14:paraId="192AE690" w14:textId="4DFB9B0C" w:rsidR="00194FB2" w:rsidRPr="000D7C24" w:rsidRDefault="00194FB2" w:rsidP="000D7C24">
            <w:pPr>
              <w:pStyle w:val="ExhibitText"/>
              <w:jc w:val="left"/>
              <w:rPr>
                <w:sz w:val="18"/>
                <w:szCs w:val="18"/>
              </w:rPr>
            </w:pPr>
            <w:r w:rsidRPr="000D7C24">
              <w:rPr>
                <w:sz w:val="18"/>
                <w:szCs w:val="18"/>
              </w:rPr>
              <w:t>Home/</w:t>
            </w:r>
            <w:r w:rsidR="000D7C24">
              <w:rPr>
                <w:sz w:val="18"/>
                <w:szCs w:val="18"/>
              </w:rPr>
              <w:t>H</w:t>
            </w:r>
            <w:r w:rsidRPr="000D7C24">
              <w:rPr>
                <w:sz w:val="18"/>
                <w:szCs w:val="18"/>
              </w:rPr>
              <w:t xml:space="preserve">ost </w:t>
            </w:r>
            <w:r w:rsidR="000D7C24">
              <w:rPr>
                <w:sz w:val="18"/>
                <w:szCs w:val="18"/>
              </w:rPr>
              <w:t>C</w:t>
            </w:r>
            <w:r w:rsidRPr="000D7C24">
              <w:rPr>
                <w:sz w:val="18"/>
                <w:szCs w:val="18"/>
              </w:rPr>
              <w:t>o</w:t>
            </w:r>
            <w:r w:rsidR="000D7C24">
              <w:rPr>
                <w:sz w:val="18"/>
                <w:szCs w:val="18"/>
              </w:rPr>
              <w:t>-</w:t>
            </w:r>
            <w:r w:rsidRPr="000D7C24">
              <w:rPr>
                <w:sz w:val="18"/>
                <w:szCs w:val="18"/>
              </w:rPr>
              <w:t>operation</w:t>
            </w:r>
          </w:p>
        </w:tc>
        <w:tc>
          <w:tcPr>
            <w:tcW w:w="7556" w:type="dxa"/>
            <w:vAlign w:val="center"/>
          </w:tcPr>
          <w:p w14:paraId="1DDBDF15" w14:textId="77777777" w:rsidR="00194FB2" w:rsidRPr="000D7C24" w:rsidRDefault="00194FB2" w:rsidP="00E06D5D">
            <w:pPr>
              <w:pStyle w:val="ExhibitText"/>
              <w:rPr>
                <w:sz w:val="18"/>
                <w:szCs w:val="18"/>
              </w:rPr>
            </w:pPr>
            <w:r w:rsidRPr="000D7C24">
              <w:rPr>
                <w:sz w:val="18"/>
                <w:szCs w:val="18"/>
              </w:rPr>
              <w:t>Supervisors should cooperate with relevant supervisors in other jurisdictions regarding the supervision and review of the Principles, and the implementation of any remedial action if necessary.</w:t>
            </w:r>
          </w:p>
        </w:tc>
      </w:tr>
    </w:tbl>
    <w:p w14:paraId="7216D4EA" w14:textId="77777777" w:rsidR="00194FB2" w:rsidRDefault="00194FB2" w:rsidP="00194FB2">
      <w:pPr>
        <w:pStyle w:val="Footnote"/>
      </w:pPr>
    </w:p>
    <w:p w14:paraId="37FA705E" w14:textId="190929B3" w:rsidR="00194FB2" w:rsidRDefault="00194FB2" w:rsidP="00C30478">
      <w:pPr>
        <w:pStyle w:val="Footnote"/>
      </w:pPr>
      <w:r w:rsidRPr="00194FB2">
        <w:t xml:space="preserve">Source: </w:t>
      </w:r>
      <w:r w:rsidR="000D7C24" w:rsidRPr="00194FB2">
        <w:t xml:space="preserve">Bank for International Settlements, </w:t>
      </w:r>
      <w:r w:rsidR="00DD6281">
        <w:t xml:space="preserve">“Summary of the Principles,” Annex 2 in </w:t>
      </w:r>
      <w:r w:rsidRPr="00C30478">
        <w:rPr>
          <w:i/>
        </w:rPr>
        <w:t>Basel</w:t>
      </w:r>
      <w:r w:rsidR="000D7C24" w:rsidRPr="00C30478">
        <w:rPr>
          <w:i/>
        </w:rPr>
        <w:t xml:space="preserve"> Committee on Banking Supervision</w:t>
      </w:r>
      <w:r w:rsidRPr="00C30478">
        <w:rPr>
          <w:i/>
        </w:rPr>
        <w:t xml:space="preserve">: Principles for </w:t>
      </w:r>
      <w:r w:rsidR="000D7C24" w:rsidRPr="00C30478">
        <w:rPr>
          <w:i/>
        </w:rPr>
        <w:t>E</w:t>
      </w:r>
      <w:r w:rsidRPr="00C30478">
        <w:rPr>
          <w:i/>
        </w:rPr>
        <w:t xml:space="preserve">ffective </w:t>
      </w:r>
      <w:r w:rsidR="000D7C24" w:rsidRPr="00C30478">
        <w:rPr>
          <w:i/>
        </w:rPr>
        <w:t>R</w:t>
      </w:r>
      <w:r w:rsidRPr="00C30478">
        <w:rPr>
          <w:i/>
        </w:rPr>
        <w:t xml:space="preserve">isk </w:t>
      </w:r>
      <w:r w:rsidR="000D7C24" w:rsidRPr="00C30478">
        <w:rPr>
          <w:i/>
        </w:rPr>
        <w:t>D</w:t>
      </w:r>
      <w:r w:rsidRPr="00C30478">
        <w:rPr>
          <w:i/>
        </w:rPr>
        <w:t xml:space="preserve">ata </w:t>
      </w:r>
      <w:r w:rsidR="000D7C24" w:rsidRPr="00C30478">
        <w:rPr>
          <w:i/>
        </w:rPr>
        <w:t>A</w:t>
      </w:r>
      <w:r w:rsidRPr="00C30478">
        <w:rPr>
          <w:i/>
        </w:rPr>
        <w:t xml:space="preserve">ggregation and </w:t>
      </w:r>
      <w:r w:rsidR="000D7C24" w:rsidRPr="00C30478">
        <w:rPr>
          <w:i/>
        </w:rPr>
        <w:t>R</w:t>
      </w:r>
      <w:r w:rsidRPr="00C30478">
        <w:rPr>
          <w:i/>
        </w:rPr>
        <w:t xml:space="preserve">isk </w:t>
      </w:r>
      <w:r w:rsidR="000D7C24" w:rsidRPr="00C30478">
        <w:rPr>
          <w:i/>
        </w:rPr>
        <w:t>R</w:t>
      </w:r>
      <w:r w:rsidRPr="00C30478">
        <w:rPr>
          <w:i/>
        </w:rPr>
        <w:t>eporting</w:t>
      </w:r>
      <w:r w:rsidR="00C75B16">
        <w:t xml:space="preserve"> </w:t>
      </w:r>
      <w:r w:rsidRPr="00194FB2">
        <w:t>(</w:t>
      </w:r>
      <w:r w:rsidR="000D7C24">
        <w:t>r</w:t>
      </w:r>
      <w:r w:rsidRPr="00194FB2">
        <w:t>ep</w:t>
      </w:r>
      <w:r w:rsidR="000D7C24">
        <w:t xml:space="preserve">ort, </w:t>
      </w:r>
      <w:r w:rsidRPr="00194FB2">
        <w:t xml:space="preserve">2013), </w:t>
      </w:r>
      <w:r w:rsidR="00DD6281">
        <w:t xml:space="preserve">accessed December 4, 2017, </w:t>
      </w:r>
      <w:r w:rsidRPr="00194FB2">
        <w:t>www.bis.org/publ/bcbs239.pdf</w:t>
      </w:r>
      <w:r>
        <w:t>.</w:t>
      </w:r>
      <w:r>
        <w:br w:type="page"/>
      </w:r>
    </w:p>
    <w:p w14:paraId="1DB5A17D" w14:textId="58C4C64F" w:rsidR="00194FB2" w:rsidRDefault="00194FB2" w:rsidP="00C75B16">
      <w:pPr>
        <w:pStyle w:val="ExhibitHeading"/>
        <w:outlineLvl w:val="0"/>
      </w:pPr>
      <w:r>
        <w:lastRenderedPageBreak/>
        <w:t>Exhibit 4</w:t>
      </w:r>
      <w:r w:rsidRPr="00BD0E51">
        <w:t xml:space="preserve">: restructuring </w:t>
      </w:r>
      <w:r w:rsidR="00430AF6">
        <w:t xml:space="preserve">of </w:t>
      </w:r>
      <w:r w:rsidRPr="00BD0E51">
        <w:t>TD’s Enterprise Data Capabilities</w:t>
      </w:r>
    </w:p>
    <w:p w14:paraId="5C00FBFE" w14:textId="77777777" w:rsidR="00194FB2" w:rsidRDefault="00194FB2" w:rsidP="00C30478">
      <w:pPr>
        <w:pStyle w:val="ExhibitText"/>
      </w:pPr>
    </w:p>
    <w:p w14:paraId="2CD03955" w14:textId="77777777" w:rsidR="00194FB2" w:rsidRPr="00BD0E51" w:rsidRDefault="00194FB2" w:rsidP="00C30478">
      <w:pPr>
        <w:pStyle w:val="ExhibitText"/>
        <w:jc w:val="center"/>
      </w:pPr>
      <w:bookmarkStart w:id="10" w:name="_GoBack"/>
      <w:r>
        <w:rPr>
          <w:noProof/>
          <w:lang w:eastAsia="en-GB"/>
        </w:rPr>
        <w:drawing>
          <wp:inline distT="0" distB="0" distL="0" distR="0" wp14:anchorId="36EEE29F" wp14:editId="5680DD91">
            <wp:extent cx="5943600" cy="449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grayscl/>
                      <a:extLst>
                        <a:ext uri="{BEBA8EAE-BF5A-486C-A8C5-ECC9F3942E4B}">
                          <a14:imgProps xmlns:a14="http://schemas.microsoft.com/office/drawing/2010/main">
                            <a14:imgLayer r:embed="rId15">
                              <a14:imgEffect>
                                <a14:colorTemperature colorTemp="11200"/>
                              </a14:imgEffect>
                            </a14:imgLayer>
                          </a14:imgProps>
                        </a:ext>
                      </a:extLst>
                    </a:blip>
                    <a:stretch>
                      <a:fillRect/>
                    </a:stretch>
                  </pic:blipFill>
                  <pic:spPr>
                    <a:xfrm>
                      <a:off x="0" y="0"/>
                      <a:ext cx="5943600" cy="4499610"/>
                    </a:xfrm>
                    <a:prstGeom prst="rect">
                      <a:avLst/>
                    </a:prstGeom>
                  </pic:spPr>
                </pic:pic>
              </a:graphicData>
            </a:graphic>
          </wp:inline>
        </w:drawing>
      </w:r>
      <w:bookmarkEnd w:id="10"/>
    </w:p>
    <w:p w14:paraId="11843A2C" w14:textId="77777777" w:rsidR="006F4A7B" w:rsidRDefault="006F4A7B" w:rsidP="00C30478">
      <w:pPr>
        <w:pStyle w:val="ExhibitText"/>
        <w:rPr>
          <w:lang w:val="it-IT"/>
        </w:rPr>
      </w:pPr>
    </w:p>
    <w:p w14:paraId="2FAB8AA1" w14:textId="288AFC2A" w:rsidR="00703B9D" w:rsidRDefault="00194FB2" w:rsidP="00194FB2">
      <w:pPr>
        <w:pStyle w:val="Footnote"/>
      </w:pPr>
      <w:r w:rsidRPr="000A681E">
        <w:rPr>
          <w:lang w:val="it-IT"/>
        </w:rPr>
        <w:t xml:space="preserve">Source: </w:t>
      </w:r>
      <w:r w:rsidR="00703B9D">
        <w:rPr>
          <w:lang w:val="it-IT"/>
        </w:rPr>
        <w:t>Comp</w:t>
      </w:r>
      <w:r w:rsidR="00EC1DCE">
        <w:rPr>
          <w:lang w:val="it-IT"/>
        </w:rPr>
        <w:t>a</w:t>
      </w:r>
      <w:r w:rsidR="00703B9D">
        <w:rPr>
          <w:lang w:val="it-IT"/>
        </w:rPr>
        <w:t xml:space="preserve">ny documents.  </w:t>
      </w:r>
    </w:p>
    <w:p w14:paraId="1A0C4D17" w14:textId="77777777" w:rsidR="00703B9D" w:rsidRPr="00703B9D" w:rsidRDefault="00703B9D" w:rsidP="00703B9D"/>
    <w:p w14:paraId="7D76BCC0" w14:textId="3D5972E3" w:rsidR="00703B9D" w:rsidRDefault="00703B9D" w:rsidP="00703B9D"/>
    <w:p w14:paraId="2B994C0D" w14:textId="625A3E89" w:rsidR="00F61682" w:rsidRPr="00703B9D" w:rsidRDefault="00703B9D" w:rsidP="00703B9D">
      <w:pPr>
        <w:tabs>
          <w:tab w:val="left" w:pos="5438"/>
        </w:tabs>
      </w:pPr>
      <w:r>
        <w:tab/>
      </w:r>
    </w:p>
    <w:sectPr w:rsidR="00F61682" w:rsidRPr="00703B9D" w:rsidSect="00194FB2">
      <w:headerReference w:type="default" r:id="rId16"/>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BDBE1" w14:textId="77777777" w:rsidR="00EA7077" w:rsidRDefault="00EA7077" w:rsidP="00D75295">
      <w:r>
        <w:separator/>
      </w:r>
    </w:p>
  </w:endnote>
  <w:endnote w:type="continuationSeparator" w:id="0">
    <w:p w14:paraId="6DB4BF9F" w14:textId="77777777" w:rsidR="00EA7077" w:rsidRDefault="00EA707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1DEA6" w14:textId="77777777" w:rsidR="00EA7077" w:rsidRDefault="00EA7077" w:rsidP="00D75295">
      <w:r>
        <w:separator/>
      </w:r>
    </w:p>
  </w:footnote>
  <w:footnote w:type="continuationSeparator" w:id="0">
    <w:p w14:paraId="0B63D9AE" w14:textId="77777777" w:rsidR="00EA7077" w:rsidRDefault="00EA7077" w:rsidP="00D75295">
      <w:r>
        <w:continuationSeparator/>
      </w:r>
    </w:p>
  </w:footnote>
  <w:footnote w:id="1">
    <w:p w14:paraId="1A935CAD" w14:textId="21713F44" w:rsidR="00E95DD3" w:rsidRDefault="00E95DD3" w:rsidP="00C30478">
      <w:pPr>
        <w:pStyle w:val="Footnote"/>
      </w:pPr>
      <w:r>
        <w:rPr>
          <w:rStyle w:val="FootnoteReference"/>
        </w:rPr>
        <w:footnoteRef/>
      </w:r>
      <w:r>
        <w:t xml:space="preserve"> “From the Beginning,” Toronto-Dominion Bank, accessed December 4, 2017, </w:t>
      </w:r>
      <w:r w:rsidRPr="009D703E">
        <w:t>www.td.com/about-tdbfg/corporate-information/tds-history/from-the-beginning.jsp</w:t>
      </w:r>
      <w:r>
        <w:t>.</w:t>
      </w:r>
    </w:p>
  </w:footnote>
  <w:footnote w:id="2">
    <w:p w14:paraId="230E9285" w14:textId="1626AB34" w:rsidR="00E95DD3" w:rsidRDefault="00E95DD3" w:rsidP="00C30478">
      <w:pPr>
        <w:pStyle w:val="Footnote"/>
      </w:pPr>
      <w:r>
        <w:rPr>
          <w:rStyle w:val="FootnoteReference"/>
        </w:rPr>
        <w:footnoteRef/>
      </w:r>
      <w:r>
        <w:t xml:space="preserve"> All dollar amounts are in CA</w:t>
      </w:r>
      <w:r w:rsidR="00703B9D">
        <w:t>$</w:t>
      </w:r>
      <w:r>
        <w:t xml:space="preserve"> unless otherwise indicated.</w:t>
      </w:r>
    </w:p>
  </w:footnote>
  <w:footnote w:id="3">
    <w:p w14:paraId="7BDAA96A" w14:textId="41189FD0" w:rsidR="00E95DD3" w:rsidRPr="00F61682" w:rsidRDefault="00E95DD3" w:rsidP="00AC3282">
      <w:pPr>
        <w:pStyle w:val="Footnote"/>
      </w:pPr>
      <w:r w:rsidRPr="00F61682">
        <w:rPr>
          <w:rStyle w:val="FootnoteReference"/>
        </w:rPr>
        <w:footnoteRef/>
      </w:r>
      <w:r w:rsidRPr="00F61682">
        <w:t xml:space="preserve"> TD </w:t>
      </w:r>
      <w:r>
        <w:t>Bank Group</w:t>
      </w:r>
      <w:r w:rsidRPr="00F61682">
        <w:t xml:space="preserve">, </w:t>
      </w:r>
      <w:r w:rsidRPr="00C30478">
        <w:rPr>
          <w:i/>
        </w:rPr>
        <w:t xml:space="preserve">Building the Even Better Bank: 2015 </w:t>
      </w:r>
      <w:r w:rsidRPr="00450D56">
        <w:rPr>
          <w:i/>
        </w:rPr>
        <w:t>Annual Report</w:t>
      </w:r>
      <w:r>
        <w:rPr>
          <w:i/>
        </w:rPr>
        <w:t>,</w:t>
      </w:r>
      <w:r w:rsidRPr="00F61682">
        <w:rPr>
          <w:i/>
        </w:rPr>
        <w:t xml:space="preserve"> </w:t>
      </w:r>
      <w:r w:rsidRPr="00F61682">
        <w:t>3, accessed August 27, 2017, www.td.com/document/PDF/ar2015/ar2015-Complete-Report.pdf</w:t>
      </w:r>
      <w:r>
        <w:t>.</w:t>
      </w:r>
    </w:p>
  </w:footnote>
  <w:footnote w:id="4">
    <w:p w14:paraId="0220129A" w14:textId="7B426E1F" w:rsidR="00E95DD3" w:rsidRDefault="00E95DD3" w:rsidP="00C30478">
      <w:pPr>
        <w:pStyle w:val="Footnote"/>
      </w:pPr>
      <w:r>
        <w:rPr>
          <w:rStyle w:val="FootnoteReference"/>
        </w:rPr>
        <w:footnoteRef/>
      </w:r>
      <w:r>
        <w:t xml:space="preserve"> </w:t>
      </w:r>
      <w:r w:rsidRPr="00C30478">
        <w:t>Basel Committee on Banking Supervision</w:t>
      </w:r>
      <w:r>
        <w:t>,</w:t>
      </w:r>
      <w:r w:rsidRPr="004C07EA">
        <w:rPr>
          <w:i/>
        </w:rPr>
        <w:t xml:space="preserve"> </w:t>
      </w:r>
      <w:r>
        <w:t>“</w:t>
      </w:r>
      <w:r w:rsidRPr="00C30478">
        <w:t xml:space="preserve">Principles for Effective Risk Data Aggregation and Risk </w:t>
      </w:r>
      <w:proofErr w:type="gramStart"/>
      <w:r w:rsidRPr="00C30478">
        <w:t>Reporting</w:t>
      </w:r>
      <w:proofErr w:type="gramEnd"/>
      <w:r>
        <w:rPr>
          <w:i/>
        </w:rPr>
        <w:t>,</w:t>
      </w:r>
      <w:r>
        <w:t>”</w:t>
      </w:r>
      <w:r>
        <w:rPr>
          <w:i/>
        </w:rPr>
        <w:t xml:space="preserve"> </w:t>
      </w:r>
      <w:r>
        <w:t>Regulation 239 (</w:t>
      </w:r>
      <w:r w:rsidRPr="00194FB2">
        <w:t xml:space="preserve">2013), </w:t>
      </w:r>
      <w:r>
        <w:t xml:space="preserve">accessed December 4, 2017, </w:t>
      </w:r>
      <w:r w:rsidRPr="00194FB2">
        <w:t>www.bis.org/publ/bcbs239.pdf</w:t>
      </w:r>
      <w:r>
        <w:t>.</w:t>
      </w:r>
    </w:p>
  </w:footnote>
  <w:footnote w:id="5">
    <w:p w14:paraId="1D71F8B0" w14:textId="6C427817" w:rsidR="00E95DD3" w:rsidRPr="00F61682" w:rsidRDefault="00E95DD3" w:rsidP="00F61682">
      <w:pPr>
        <w:pStyle w:val="Footnote"/>
      </w:pPr>
      <w:r w:rsidRPr="00F61682">
        <w:rPr>
          <w:rStyle w:val="FootnoteReference"/>
        </w:rPr>
        <w:footnoteRef/>
      </w:r>
      <w:r w:rsidRPr="00F61682">
        <w:t xml:space="preserve"> </w:t>
      </w:r>
      <w:r w:rsidRPr="006F4A7B">
        <w:t>Bank for International Settlements, “Summary of the Principles</w:t>
      </w:r>
      <w:r>
        <w:t xml:space="preserve">,” Annex 2 in </w:t>
      </w:r>
      <w:r w:rsidRPr="004C07EA">
        <w:rPr>
          <w:i/>
        </w:rPr>
        <w:t>Basel Committee on Banking Supervision: Principles for Effective Risk Data Aggregation and Risk Reporting</w:t>
      </w:r>
      <w:r>
        <w:t xml:space="preserve"> </w:t>
      </w:r>
      <w:r w:rsidRPr="00194FB2">
        <w:t>(</w:t>
      </w:r>
      <w:r>
        <w:t>r</w:t>
      </w:r>
      <w:r w:rsidRPr="00194FB2">
        <w:t>ep</w:t>
      </w:r>
      <w:r>
        <w:t xml:space="preserve">ort, </w:t>
      </w:r>
      <w:r w:rsidRPr="00194FB2">
        <w:t xml:space="preserve">2013), </w:t>
      </w:r>
      <w:r>
        <w:t xml:space="preserve">accessed December 4, 2017, </w:t>
      </w:r>
      <w:r w:rsidRPr="00194FB2">
        <w:t>www.bis.org/publ/bcbs239.pdf</w:t>
      </w:r>
      <w:r>
        <w:t>.</w:t>
      </w:r>
    </w:p>
  </w:footnote>
  <w:footnote w:id="6">
    <w:p w14:paraId="67A9FA82" w14:textId="2BBB26B2" w:rsidR="00E95DD3" w:rsidRDefault="00E95DD3" w:rsidP="00C30478">
      <w:pPr>
        <w:pStyle w:val="Footnote"/>
      </w:pPr>
      <w:r>
        <w:rPr>
          <w:rStyle w:val="FootnoteReference"/>
        </w:rPr>
        <w:footnoteRef/>
      </w:r>
      <w:r>
        <w:t xml:space="preserve"> </w:t>
      </w:r>
      <w:r w:rsidRPr="00C30478">
        <w:rPr>
          <w:i/>
        </w:rPr>
        <w:t>Dodd-Frank Wall Street Reform and Consumer Protection Act</w:t>
      </w:r>
      <w:r>
        <w:t xml:space="preserve">, Pub. L. No. 111-203, H.R. 4173, 111th Congress, accessed December 5, 2017, </w:t>
      </w:r>
      <w:r w:rsidRPr="008868AC">
        <w:t>www.sec.gov/about/laws/wallstreetreform-cpa.pdf</w:t>
      </w:r>
      <w:r>
        <w:t>.</w:t>
      </w:r>
    </w:p>
  </w:footnote>
  <w:footnote w:id="7">
    <w:p w14:paraId="385E4530" w14:textId="280188AB" w:rsidR="00E95DD3" w:rsidRPr="00F61682" w:rsidRDefault="00E95DD3" w:rsidP="00F61682">
      <w:pPr>
        <w:pStyle w:val="Footnote"/>
      </w:pPr>
      <w:r w:rsidRPr="00F61682">
        <w:rPr>
          <w:rStyle w:val="FootnoteReference"/>
        </w:rPr>
        <w:footnoteRef/>
      </w:r>
      <w:r w:rsidRPr="00F61682">
        <w:t xml:space="preserve"> </w:t>
      </w:r>
      <w:r>
        <w:t>“</w:t>
      </w:r>
      <w:r w:rsidRPr="00C30478">
        <w:t xml:space="preserve">Final Rules, Guidance, </w:t>
      </w:r>
      <w:proofErr w:type="spellStart"/>
      <w:r w:rsidRPr="00C30478">
        <w:t>Exemptive</w:t>
      </w:r>
      <w:proofErr w:type="spellEnd"/>
      <w:r w:rsidRPr="00C30478">
        <w:t xml:space="preserve"> Orders, and Other Actions,</w:t>
      </w:r>
      <w:r>
        <w:t>”</w:t>
      </w:r>
      <w:r w:rsidRPr="00F61682">
        <w:t xml:space="preserve"> U.S. Commodity Futures Trading Commission,</w:t>
      </w:r>
      <w:r w:rsidRPr="00F61682">
        <w:rPr>
          <w:shd w:val="clear" w:color="auto" w:fill="FFFFFF"/>
        </w:rPr>
        <w:t xml:space="preserve"> May 31, 2016, </w:t>
      </w:r>
      <w:r>
        <w:rPr>
          <w:shd w:val="clear" w:color="auto" w:fill="FFFFFF"/>
        </w:rPr>
        <w:t>a</w:t>
      </w:r>
      <w:r w:rsidRPr="00F61682">
        <w:rPr>
          <w:shd w:val="clear" w:color="auto" w:fill="FFFFFF"/>
        </w:rPr>
        <w:t>ccessed March 12, 2017, www.cftc.gov/LawRegulation/DoddFrankAct/Dodd-FrankFinalRules/2016-12612</w:t>
      </w:r>
      <w:r>
        <w:rPr>
          <w:shd w:val="clear" w:color="auto" w:fill="FFFFFF"/>
        </w:rPr>
        <w:t>.</w:t>
      </w:r>
    </w:p>
  </w:footnote>
  <w:footnote w:id="8">
    <w:p w14:paraId="42862F7D" w14:textId="54B75AFF" w:rsidR="00E95DD3" w:rsidRPr="00F61682" w:rsidRDefault="00E95DD3" w:rsidP="00F61682">
      <w:pPr>
        <w:pStyle w:val="Footnote"/>
        <w:rPr>
          <w:color w:val="000000"/>
        </w:rPr>
      </w:pPr>
      <w:r w:rsidRPr="00F61682">
        <w:rPr>
          <w:rStyle w:val="FootnoteReference"/>
        </w:rPr>
        <w:footnoteRef/>
      </w:r>
      <w:r w:rsidRPr="00F61682">
        <w:t xml:space="preserve"> </w:t>
      </w:r>
      <w:r w:rsidRPr="00F61682">
        <w:rPr>
          <w:color w:val="000000"/>
        </w:rPr>
        <w:t xml:space="preserve">IBM and </w:t>
      </w:r>
      <w:proofErr w:type="spellStart"/>
      <w:r w:rsidRPr="00F61682">
        <w:rPr>
          <w:color w:val="000000"/>
        </w:rPr>
        <w:t>InfoSphere</w:t>
      </w:r>
      <w:proofErr w:type="spellEnd"/>
      <w:r w:rsidRPr="00F61682">
        <w:rPr>
          <w:color w:val="000000"/>
        </w:rPr>
        <w:t xml:space="preserve"> </w:t>
      </w:r>
      <w:r>
        <w:rPr>
          <w:color w:val="000000"/>
        </w:rPr>
        <w:t>were</w:t>
      </w:r>
      <w:r w:rsidRPr="00F61682">
        <w:rPr>
          <w:color w:val="000000"/>
        </w:rPr>
        <w:t xml:space="preserve"> trademarks of International Business Machines Corp., registered in many jurisdictions worldwide. Other product and service names might be trademarks of IBM or other companies. A current list of IBM trademarks is available at “Copyright and </w:t>
      </w:r>
      <w:r>
        <w:rPr>
          <w:color w:val="000000"/>
        </w:rPr>
        <w:t>T</w:t>
      </w:r>
      <w:r w:rsidRPr="00F61682">
        <w:rPr>
          <w:color w:val="000000"/>
        </w:rPr>
        <w:t xml:space="preserve">rademark </w:t>
      </w:r>
      <w:r>
        <w:rPr>
          <w:color w:val="000000"/>
        </w:rPr>
        <w:t>I</w:t>
      </w:r>
      <w:r w:rsidRPr="00F61682">
        <w:rPr>
          <w:color w:val="000000"/>
        </w:rPr>
        <w:t>nformation</w:t>
      </w:r>
      <w:r>
        <w:rPr>
          <w:color w:val="000000"/>
        </w:rPr>
        <w:t>,</w:t>
      </w:r>
      <w:r w:rsidRPr="00F61682">
        <w:rPr>
          <w:color w:val="000000"/>
        </w:rPr>
        <w:t>”</w:t>
      </w:r>
      <w:r>
        <w:rPr>
          <w:color w:val="000000"/>
        </w:rPr>
        <w:t xml:space="preserve"> IBM (website), accessed December 4, 2017, </w:t>
      </w:r>
      <w:r w:rsidRPr="00F61682">
        <w:t>www.ibm.com/legal/copytrade.shtml.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96EF9" w14:textId="7E7F9C5F" w:rsidR="00E95DD3" w:rsidRDefault="00E95DD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0621E">
      <w:rPr>
        <w:rFonts w:ascii="Arial" w:hAnsi="Arial"/>
        <w:b/>
        <w:noProof/>
      </w:rPr>
      <w:t>7</w:t>
    </w:r>
    <w:r>
      <w:rPr>
        <w:rFonts w:ascii="Arial" w:hAnsi="Arial"/>
        <w:b/>
      </w:rPr>
      <w:fldChar w:fldCharType="end"/>
    </w:r>
    <w:r>
      <w:rPr>
        <w:rFonts w:ascii="Arial" w:hAnsi="Arial"/>
        <w:b/>
      </w:rPr>
      <w:tab/>
    </w:r>
    <w:r w:rsidR="00703B9D">
      <w:rPr>
        <w:rFonts w:ascii="Arial" w:hAnsi="Arial"/>
        <w:b/>
      </w:rPr>
      <w:t>9B18E</w:t>
    </w:r>
    <w:r w:rsidR="009464B0">
      <w:rPr>
        <w:rFonts w:ascii="Arial" w:hAnsi="Arial"/>
        <w:b/>
      </w:rPr>
      <w:t>007</w:t>
    </w:r>
  </w:p>
  <w:p w14:paraId="66A33833" w14:textId="77777777" w:rsidR="00E95DD3" w:rsidRPr="00C92CC4" w:rsidRDefault="00E95DD3">
    <w:pPr>
      <w:pStyle w:val="Header"/>
      <w:rPr>
        <w:sz w:val="18"/>
        <w:szCs w:val="18"/>
      </w:rPr>
    </w:pPr>
  </w:p>
  <w:p w14:paraId="1EAFD791" w14:textId="77777777" w:rsidR="00E95DD3" w:rsidRPr="00C92CC4" w:rsidRDefault="00E95DD3">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FE0ED" w14:textId="4DA7D9CE" w:rsidR="00E95DD3" w:rsidRDefault="00E95DD3" w:rsidP="00F61682">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0621E">
      <w:rPr>
        <w:rFonts w:ascii="Arial" w:hAnsi="Arial"/>
        <w:b/>
        <w:noProof/>
      </w:rPr>
      <w:t>8</w:t>
    </w:r>
    <w:r>
      <w:rPr>
        <w:rFonts w:ascii="Arial" w:hAnsi="Arial"/>
        <w:b/>
      </w:rPr>
      <w:fldChar w:fldCharType="end"/>
    </w:r>
    <w:r>
      <w:rPr>
        <w:rFonts w:ascii="Arial" w:hAnsi="Arial"/>
        <w:b/>
      </w:rPr>
      <w:tab/>
    </w:r>
    <w:r w:rsidR="00703B9D">
      <w:rPr>
        <w:rFonts w:ascii="Arial" w:hAnsi="Arial"/>
        <w:b/>
      </w:rPr>
      <w:t>9B18E</w:t>
    </w:r>
    <w:r w:rsidR="009464B0">
      <w:rPr>
        <w:rFonts w:ascii="Arial" w:hAnsi="Arial"/>
        <w:b/>
      </w:rPr>
      <w:t>007</w:t>
    </w:r>
  </w:p>
  <w:p w14:paraId="1B54DEAF" w14:textId="77777777" w:rsidR="00E95DD3" w:rsidRPr="00C92CC4" w:rsidRDefault="00E95DD3" w:rsidP="00F61682">
    <w:pPr>
      <w:pStyle w:val="Header"/>
      <w:tabs>
        <w:tab w:val="clear" w:pos="4680"/>
        <w:tab w:val="clear" w:pos="9360"/>
        <w:tab w:val="right" w:pos="12960"/>
      </w:tabs>
      <w:rPr>
        <w:sz w:val="18"/>
        <w:szCs w:val="18"/>
      </w:rPr>
    </w:pPr>
  </w:p>
  <w:p w14:paraId="21EF9959" w14:textId="77777777" w:rsidR="00E95DD3" w:rsidRPr="00C92CC4" w:rsidRDefault="00E95DD3" w:rsidP="00F61682">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D59E7" w14:textId="1B511996" w:rsidR="00E95DD3" w:rsidRDefault="00E95DD3" w:rsidP="00194FB2">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0621E">
      <w:rPr>
        <w:rFonts w:ascii="Arial" w:hAnsi="Arial"/>
        <w:b/>
        <w:noProof/>
      </w:rPr>
      <w:t>10</w:t>
    </w:r>
    <w:r>
      <w:rPr>
        <w:rFonts w:ascii="Arial" w:hAnsi="Arial"/>
        <w:b/>
      </w:rPr>
      <w:fldChar w:fldCharType="end"/>
    </w:r>
    <w:r>
      <w:rPr>
        <w:rFonts w:ascii="Arial" w:hAnsi="Arial"/>
        <w:b/>
      </w:rPr>
      <w:tab/>
    </w:r>
    <w:r w:rsidR="00703B9D">
      <w:rPr>
        <w:rFonts w:ascii="Arial" w:hAnsi="Arial"/>
        <w:b/>
      </w:rPr>
      <w:t>9B18E</w:t>
    </w:r>
    <w:r w:rsidR="009464B0">
      <w:rPr>
        <w:rFonts w:ascii="Arial" w:hAnsi="Arial"/>
        <w:b/>
      </w:rPr>
      <w:t>007</w:t>
    </w:r>
  </w:p>
  <w:p w14:paraId="0F7E93F7" w14:textId="77777777" w:rsidR="00E95DD3" w:rsidRPr="00C92CC4" w:rsidRDefault="00E95DD3" w:rsidP="00194FB2">
    <w:pPr>
      <w:pStyle w:val="Header"/>
      <w:tabs>
        <w:tab w:val="clear" w:pos="4680"/>
      </w:tabs>
      <w:rPr>
        <w:sz w:val="18"/>
        <w:szCs w:val="18"/>
      </w:rPr>
    </w:pPr>
  </w:p>
  <w:p w14:paraId="05FF222F" w14:textId="77777777" w:rsidR="00E95DD3" w:rsidRPr="00C92CC4" w:rsidRDefault="00E95DD3" w:rsidP="00194FB2">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77C34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9044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2A86F8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A1CE5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CA42CB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32D3E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334C19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992048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DFCFEA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8C26C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076D7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916"/>
    <w:rsid w:val="00016BF1"/>
    <w:rsid w:val="000216CE"/>
    <w:rsid w:val="00025DC7"/>
    <w:rsid w:val="00026486"/>
    <w:rsid w:val="00044ECC"/>
    <w:rsid w:val="000531D3"/>
    <w:rsid w:val="0005646B"/>
    <w:rsid w:val="0008102D"/>
    <w:rsid w:val="00094C0E"/>
    <w:rsid w:val="00096EBC"/>
    <w:rsid w:val="000A29B8"/>
    <w:rsid w:val="000C048C"/>
    <w:rsid w:val="000D3A89"/>
    <w:rsid w:val="000D7C24"/>
    <w:rsid w:val="000F0C22"/>
    <w:rsid w:val="000F21E4"/>
    <w:rsid w:val="000F6B09"/>
    <w:rsid w:val="000F6FDC"/>
    <w:rsid w:val="0010025C"/>
    <w:rsid w:val="00104567"/>
    <w:rsid w:val="0012732D"/>
    <w:rsid w:val="00154FC9"/>
    <w:rsid w:val="0019241A"/>
    <w:rsid w:val="00194FB2"/>
    <w:rsid w:val="001A5335"/>
    <w:rsid w:val="001A752D"/>
    <w:rsid w:val="001C792A"/>
    <w:rsid w:val="001E582D"/>
    <w:rsid w:val="00203AA1"/>
    <w:rsid w:val="00213E98"/>
    <w:rsid w:val="00244E60"/>
    <w:rsid w:val="00260472"/>
    <w:rsid w:val="00274CE2"/>
    <w:rsid w:val="00296D0F"/>
    <w:rsid w:val="002B738E"/>
    <w:rsid w:val="002D5C41"/>
    <w:rsid w:val="002F2322"/>
    <w:rsid w:val="002F460C"/>
    <w:rsid w:val="002F48D6"/>
    <w:rsid w:val="00300118"/>
    <w:rsid w:val="00326E77"/>
    <w:rsid w:val="00342537"/>
    <w:rsid w:val="00346A52"/>
    <w:rsid w:val="0034764A"/>
    <w:rsid w:val="00354899"/>
    <w:rsid w:val="00355FD6"/>
    <w:rsid w:val="00361C8E"/>
    <w:rsid w:val="00364A5C"/>
    <w:rsid w:val="00373FB1"/>
    <w:rsid w:val="00393A19"/>
    <w:rsid w:val="003968BF"/>
    <w:rsid w:val="003A6905"/>
    <w:rsid w:val="003B30D8"/>
    <w:rsid w:val="003B7EF2"/>
    <w:rsid w:val="003C3FA4"/>
    <w:rsid w:val="003D3E39"/>
    <w:rsid w:val="003D4979"/>
    <w:rsid w:val="003F2B0C"/>
    <w:rsid w:val="0040621E"/>
    <w:rsid w:val="00415DDF"/>
    <w:rsid w:val="004221E4"/>
    <w:rsid w:val="00430AF6"/>
    <w:rsid w:val="00435C35"/>
    <w:rsid w:val="00444CD3"/>
    <w:rsid w:val="0044676C"/>
    <w:rsid w:val="00450D56"/>
    <w:rsid w:val="00471088"/>
    <w:rsid w:val="00483AF9"/>
    <w:rsid w:val="004B1CCB"/>
    <w:rsid w:val="004D73A5"/>
    <w:rsid w:val="004F2952"/>
    <w:rsid w:val="00532CF5"/>
    <w:rsid w:val="0055243A"/>
    <w:rsid w:val="005528CB"/>
    <w:rsid w:val="0056566A"/>
    <w:rsid w:val="00566771"/>
    <w:rsid w:val="00581E2E"/>
    <w:rsid w:val="00584F15"/>
    <w:rsid w:val="005A2816"/>
    <w:rsid w:val="005E37FD"/>
    <w:rsid w:val="00610407"/>
    <w:rsid w:val="006163F7"/>
    <w:rsid w:val="00620EB9"/>
    <w:rsid w:val="00640EC9"/>
    <w:rsid w:val="00646048"/>
    <w:rsid w:val="00652606"/>
    <w:rsid w:val="0066110F"/>
    <w:rsid w:val="00662D74"/>
    <w:rsid w:val="00682754"/>
    <w:rsid w:val="00694A36"/>
    <w:rsid w:val="006A58A9"/>
    <w:rsid w:val="006A606D"/>
    <w:rsid w:val="006C0371"/>
    <w:rsid w:val="006C08B6"/>
    <w:rsid w:val="006C0B1A"/>
    <w:rsid w:val="006C4384"/>
    <w:rsid w:val="006C6065"/>
    <w:rsid w:val="006C7F9F"/>
    <w:rsid w:val="006E2F6D"/>
    <w:rsid w:val="006E58F6"/>
    <w:rsid w:val="006E77E1"/>
    <w:rsid w:val="006F131D"/>
    <w:rsid w:val="006F4A7B"/>
    <w:rsid w:val="00703B9D"/>
    <w:rsid w:val="00733DC6"/>
    <w:rsid w:val="00734E94"/>
    <w:rsid w:val="00752BCD"/>
    <w:rsid w:val="0076020E"/>
    <w:rsid w:val="00766DA1"/>
    <w:rsid w:val="00770504"/>
    <w:rsid w:val="00785C27"/>
    <w:rsid w:val="007866A6"/>
    <w:rsid w:val="007972F9"/>
    <w:rsid w:val="007A130D"/>
    <w:rsid w:val="007B600D"/>
    <w:rsid w:val="007D3E17"/>
    <w:rsid w:val="007D4102"/>
    <w:rsid w:val="007E4B6D"/>
    <w:rsid w:val="007E5921"/>
    <w:rsid w:val="00821FFC"/>
    <w:rsid w:val="008271CA"/>
    <w:rsid w:val="008467D5"/>
    <w:rsid w:val="00856D9F"/>
    <w:rsid w:val="00866F6D"/>
    <w:rsid w:val="008868AC"/>
    <w:rsid w:val="008A4DC4"/>
    <w:rsid w:val="008B6466"/>
    <w:rsid w:val="008E0C1B"/>
    <w:rsid w:val="009067A4"/>
    <w:rsid w:val="0090722E"/>
    <w:rsid w:val="009340DB"/>
    <w:rsid w:val="009464B0"/>
    <w:rsid w:val="00972498"/>
    <w:rsid w:val="00974CC6"/>
    <w:rsid w:val="00976AD4"/>
    <w:rsid w:val="0098134A"/>
    <w:rsid w:val="00984782"/>
    <w:rsid w:val="009A312F"/>
    <w:rsid w:val="009A5348"/>
    <w:rsid w:val="009B06AD"/>
    <w:rsid w:val="009B17C9"/>
    <w:rsid w:val="009C76D5"/>
    <w:rsid w:val="009D703E"/>
    <w:rsid w:val="009F23D0"/>
    <w:rsid w:val="009F7AA4"/>
    <w:rsid w:val="00A11BBD"/>
    <w:rsid w:val="00A14317"/>
    <w:rsid w:val="00A15AB2"/>
    <w:rsid w:val="00A559DB"/>
    <w:rsid w:val="00A678AD"/>
    <w:rsid w:val="00AB6D4A"/>
    <w:rsid w:val="00AC3282"/>
    <w:rsid w:val="00AD1EE0"/>
    <w:rsid w:val="00AF35FC"/>
    <w:rsid w:val="00B0300F"/>
    <w:rsid w:val="00B03639"/>
    <w:rsid w:val="00B0652A"/>
    <w:rsid w:val="00B302B7"/>
    <w:rsid w:val="00B3757D"/>
    <w:rsid w:val="00B40937"/>
    <w:rsid w:val="00B423EF"/>
    <w:rsid w:val="00B453DE"/>
    <w:rsid w:val="00B4742F"/>
    <w:rsid w:val="00B705FE"/>
    <w:rsid w:val="00B901F9"/>
    <w:rsid w:val="00BA33BD"/>
    <w:rsid w:val="00BA6FFC"/>
    <w:rsid w:val="00BC5D28"/>
    <w:rsid w:val="00BD201C"/>
    <w:rsid w:val="00BD6EFB"/>
    <w:rsid w:val="00C0491C"/>
    <w:rsid w:val="00C15BE2"/>
    <w:rsid w:val="00C22219"/>
    <w:rsid w:val="00C30478"/>
    <w:rsid w:val="00C3447F"/>
    <w:rsid w:val="00C75B16"/>
    <w:rsid w:val="00C81491"/>
    <w:rsid w:val="00C81676"/>
    <w:rsid w:val="00C92CC4"/>
    <w:rsid w:val="00CA0AFB"/>
    <w:rsid w:val="00CA2CE1"/>
    <w:rsid w:val="00CA3976"/>
    <w:rsid w:val="00CA757B"/>
    <w:rsid w:val="00CC1787"/>
    <w:rsid w:val="00CC182C"/>
    <w:rsid w:val="00CD0824"/>
    <w:rsid w:val="00CD2908"/>
    <w:rsid w:val="00D03A82"/>
    <w:rsid w:val="00D05A88"/>
    <w:rsid w:val="00D15344"/>
    <w:rsid w:val="00D31BEC"/>
    <w:rsid w:val="00D53685"/>
    <w:rsid w:val="00D63150"/>
    <w:rsid w:val="00D64A32"/>
    <w:rsid w:val="00D64EFC"/>
    <w:rsid w:val="00D70036"/>
    <w:rsid w:val="00D75295"/>
    <w:rsid w:val="00D76CE9"/>
    <w:rsid w:val="00D940A6"/>
    <w:rsid w:val="00D97F12"/>
    <w:rsid w:val="00DB42E7"/>
    <w:rsid w:val="00DC71DC"/>
    <w:rsid w:val="00DD6281"/>
    <w:rsid w:val="00DE3A7E"/>
    <w:rsid w:val="00DE4E6E"/>
    <w:rsid w:val="00DF32C2"/>
    <w:rsid w:val="00E06D5D"/>
    <w:rsid w:val="00E247DF"/>
    <w:rsid w:val="00E471A7"/>
    <w:rsid w:val="00E624BF"/>
    <w:rsid w:val="00E635CF"/>
    <w:rsid w:val="00E95805"/>
    <w:rsid w:val="00E95DD3"/>
    <w:rsid w:val="00EA7077"/>
    <w:rsid w:val="00EB0869"/>
    <w:rsid w:val="00EB5410"/>
    <w:rsid w:val="00EC1DCE"/>
    <w:rsid w:val="00EC6E0A"/>
    <w:rsid w:val="00ED4E18"/>
    <w:rsid w:val="00EE1F37"/>
    <w:rsid w:val="00F0159C"/>
    <w:rsid w:val="00F105B7"/>
    <w:rsid w:val="00F17A21"/>
    <w:rsid w:val="00F20DB8"/>
    <w:rsid w:val="00F23DB9"/>
    <w:rsid w:val="00F3213F"/>
    <w:rsid w:val="00F50E91"/>
    <w:rsid w:val="00F57D29"/>
    <w:rsid w:val="00F61682"/>
    <w:rsid w:val="00F90006"/>
    <w:rsid w:val="00F92A99"/>
    <w:rsid w:val="00F96201"/>
    <w:rsid w:val="00FB18A5"/>
    <w:rsid w:val="00FC30E9"/>
    <w:rsid w:val="00FC7A3F"/>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7DBE199"/>
  <w15:docId w15:val="{04FDA357-1EEC-4658-A5AB-1A25869A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232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F61682"/>
    <w:pPr>
      <w:jc w:val="both"/>
    </w:pPr>
    <w:rPr>
      <w:rFonts w:ascii="Arial" w:hAnsi="Arial" w:cs="Arial"/>
      <w:sz w:val="17"/>
      <w:szCs w:val="17"/>
    </w:rPr>
  </w:style>
  <w:style w:type="character" w:customStyle="1" w:styleId="FootnoteChar">
    <w:name w:val="Footnote Char"/>
    <w:basedOn w:val="FootnoteTextChar"/>
    <w:link w:val="Footnote"/>
    <w:rsid w:val="00F61682"/>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rsid w:val="00734E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346">
      <w:bodyDiv w:val="1"/>
      <w:marLeft w:val="0"/>
      <w:marRight w:val="0"/>
      <w:marTop w:val="0"/>
      <w:marBottom w:val="0"/>
      <w:divBdr>
        <w:top w:val="none" w:sz="0" w:space="0" w:color="auto"/>
        <w:left w:val="none" w:sz="0" w:space="0" w:color="auto"/>
        <w:bottom w:val="none" w:sz="0" w:space="0" w:color="auto"/>
        <w:right w:val="none" w:sz="0" w:space="0" w:color="auto"/>
      </w:divBdr>
    </w:div>
    <w:div w:id="330987972">
      <w:bodyDiv w:val="1"/>
      <w:marLeft w:val="0"/>
      <w:marRight w:val="0"/>
      <w:marTop w:val="0"/>
      <w:marBottom w:val="0"/>
      <w:divBdr>
        <w:top w:val="none" w:sz="0" w:space="0" w:color="auto"/>
        <w:left w:val="none" w:sz="0" w:space="0" w:color="auto"/>
        <w:bottom w:val="none" w:sz="0" w:space="0" w:color="auto"/>
        <w:right w:val="none" w:sz="0" w:space="0" w:color="auto"/>
      </w:divBdr>
    </w:div>
    <w:div w:id="955868551">
      <w:bodyDiv w:val="1"/>
      <w:marLeft w:val="0"/>
      <w:marRight w:val="0"/>
      <w:marTop w:val="0"/>
      <w:marBottom w:val="0"/>
      <w:divBdr>
        <w:top w:val="none" w:sz="0" w:space="0" w:color="auto"/>
        <w:left w:val="none" w:sz="0" w:space="0" w:color="auto"/>
        <w:bottom w:val="none" w:sz="0" w:space="0" w:color="auto"/>
        <w:right w:val="none" w:sz="0" w:space="0" w:color="auto"/>
      </w:divBdr>
    </w:div>
    <w:div w:id="1683313848">
      <w:bodyDiv w:val="1"/>
      <w:marLeft w:val="0"/>
      <w:marRight w:val="0"/>
      <w:marTop w:val="0"/>
      <w:marBottom w:val="0"/>
      <w:divBdr>
        <w:top w:val="none" w:sz="0" w:space="0" w:color="auto"/>
        <w:left w:val="none" w:sz="0" w:space="0" w:color="auto"/>
        <w:bottom w:val="none" w:sz="0" w:space="0" w:color="auto"/>
        <w:right w:val="none" w:sz="0" w:space="0" w:color="auto"/>
      </w:divBdr>
    </w:div>
    <w:div w:id="1868131959">
      <w:bodyDiv w:val="1"/>
      <w:marLeft w:val="0"/>
      <w:marRight w:val="0"/>
      <w:marTop w:val="0"/>
      <w:marBottom w:val="0"/>
      <w:divBdr>
        <w:top w:val="none" w:sz="0" w:space="0" w:color="auto"/>
        <w:left w:val="none" w:sz="0" w:space="0" w:color="auto"/>
        <w:bottom w:val="none" w:sz="0" w:space="0" w:color="auto"/>
        <w:right w:val="none" w:sz="0" w:space="0" w:color="auto"/>
      </w:divBdr>
    </w:div>
    <w:div w:id="212017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E1859-6D99-4EC8-90F6-F6A40099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4090</Words>
  <Characters>23316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3</cp:revision>
  <cp:lastPrinted>2018-02-09T19:32:00Z</cp:lastPrinted>
  <dcterms:created xsi:type="dcterms:W3CDTF">2018-03-12T13:32:00Z</dcterms:created>
  <dcterms:modified xsi:type="dcterms:W3CDTF">2018-03-14T13:30:00Z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iteId">
    <vt:lpwstr>d9da684f-2c03-432a-a7b6-ed714ffc7683</vt:lpwstr>
  </property>
  <property fmtid="{D5CDD505-2E9C-101B-9397-08002B2CF9AE}" pid="4" name="MSIP_Label_88c63503-0fb3-4712-a32e-7ecb4b7d79e8_Ref">
    <vt:lpwstr>https://api.informationprotection.azure.com/api/d9da684f-2c03-432a-a7b6-ed714ffc7683</vt:lpwstr>
  </property>
  <property fmtid="{D5CDD505-2E9C-101B-9397-08002B2CF9AE}" pid="5" name="MSIP_Label_88c63503-0fb3-4712-a32e-7ecb4b7d79e8_SetBy">
    <vt:lpwstr>Glenda.Crisp@TDSECURITIES.COM</vt:lpwstr>
  </property>
  <property fmtid="{D5CDD505-2E9C-101B-9397-08002B2CF9AE}" pid="6" name="MSIP_Label_88c63503-0fb3-4712-a32e-7ecb4b7d79e8_SetDate">
    <vt:lpwstr>2018-01-29T18:58:24.9605647-05:00</vt:lpwstr>
  </property>
  <property fmtid="{D5CDD505-2E9C-101B-9397-08002B2CF9AE}" pid="7" name="MSIP_Label_88c63503-0fb3-4712-a32e-7ecb4b7d79e8_Name">
    <vt:lpwstr>Internal</vt:lpwstr>
  </property>
  <property fmtid="{D5CDD505-2E9C-101B-9397-08002B2CF9AE}" pid="8" name="MSIP_Label_88c63503-0fb3-4712-a32e-7ecb4b7d79e8_Application">
    <vt:lpwstr>Microsoft Azure Information Protection</vt:lpwstr>
  </property>
  <property fmtid="{D5CDD505-2E9C-101B-9397-08002B2CF9AE}" pid="9" name="MSIP_Label_88c63503-0fb3-4712-a32e-7ecb4b7d79e8_Extended_MSFT_Method">
    <vt:lpwstr>Automatic</vt:lpwstr>
  </property>
  <property fmtid="{D5CDD505-2E9C-101B-9397-08002B2CF9AE}" pid="10" name="TD_Classification">
    <vt:lpwstr>Internal</vt:lpwstr>
  </property>
</Properties>
</file>