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79210B" w:rsidRPr="0079210B" w14:paraId="497C4ABE" w14:textId="77777777" w:rsidTr="00785B42">
        <w:tc>
          <w:tcPr>
            <w:tcW w:w="4788" w:type="dxa"/>
          </w:tcPr>
          <w:p w14:paraId="2EC0A81E" w14:textId="77777777" w:rsidR="0079210B" w:rsidRPr="0079210B" w:rsidRDefault="0079210B" w:rsidP="0079210B">
            <w:pPr>
              <w:tabs>
                <w:tab w:val="left" w:pos="-1440"/>
                <w:tab w:val="left" w:pos="-720"/>
                <w:tab w:val="left" w:pos="1"/>
              </w:tabs>
              <w:jc w:val="both"/>
              <w:rPr>
                <w:rFonts w:ascii="Arial" w:hAnsi="Arial"/>
                <w:b/>
                <w:sz w:val="24"/>
              </w:rPr>
            </w:pPr>
            <w:r w:rsidRPr="0079210B">
              <w:rPr>
                <w:rFonts w:ascii="Arial" w:hAnsi="Arial"/>
                <w:b/>
                <w:noProof/>
                <w:sz w:val="24"/>
              </w:rPr>
              <w:drawing>
                <wp:inline distT="0" distB="0" distL="0" distR="0" wp14:anchorId="25737769" wp14:editId="59B8B0C3">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2FFE4A7C" w14:textId="77777777" w:rsidR="0079210B" w:rsidRPr="0079210B" w:rsidRDefault="0079210B" w:rsidP="0079210B">
            <w:pPr>
              <w:tabs>
                <w:tab w:val="left" w:pos="-1440"/>
                <w:tab w:val="left" w:pos="-720"/>
                <w:tab w:val="left" w:pos="1"/>
              </w:tabs>
              <w:jc w:val="both"/>
              <w:rPr>
                <w:rFonts w:ascii="Arial" w:hAnsi="Arial"/>
                <w:b/>
                <w:sz w:val="24"/>
              </w:rPr>
            </w:pPr>
            <w:r w:rsidRPr="0079210B">
              <w:rPr>
                <w:rFonts w:ascii="Arial" w:hAnsi="Arial"/>
                <w:b/>
                <w:noProof/>
                <w:sz w:val="24"/>
              </w:rPr>
              <w:drawing>
                <wp:anchor distT="0" distB="0" distL="114300" distR="114300" simplePos="0" relativeHeight="251659264" behindDoc="1" locked="0" layoutInCell="1" allowOverlap="1" wp14:anchorId="1D621CD5" wp14:editId="57F8D1BF">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logo_greys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04C30BE" w14:textId="77777777" w:rsidR="0079210B" w:rsidRPr="0079210B" w:rsidRDefault="0079210B" w:rsidP="0079210B">
      <w:pPr>
        <w:pBdr>
          <w:bottom w:val="single" w:sz="18" w:space="1" w:color="auto"/>
        </w:pBdr>
        <w:tabs>
          <w:tab w:val="left" w:pos="-1440"/>
          <w:tab w:val="left" w:pos="-720"/>
          <w:tab w:val="left" w:pos="1"/>
        </w:tabs>
        <w:jc w:val="both"/>
        <w:rPr>
          <w:rFonts w:ascii="Arial" w:hAnsi="Arial"/>
          <w:b/>
          <w:sz w:val="2"/>
          <w:szCs w:val="2"/>
          <w:lang w:val="en-CA"/>
        </w:rPr>
      </w:pPr>
    </w:p>
    <w:p w14:paraId="45F6BB12" w14:textId="19F21916" w:rsidR="0079210B" w:rsidRPr="0079210B" w:rsidRDefault="003A109E" w:rsidP="0079210B">
      <w:pPr>
        <w:jc w:val="right"/>
        <w:rPr>
          <w:rFonts w:ascii="Arial" w:hAnsi="Arial"/>
          <w:b/>
          <w:caps/>
          <w:sz w:val="24"/>
          <w:lang w:val="en-CA"/>
        </w:rPr>
      </w:pPr>
      <w:r>
        <w:rPr>
          <w:rFonts w:ascii="Arial" w:hAnsi="Arial"/>
          <w:b/>
          <w:caps/>
          <w:sz w:val="24"/>
          <w:lang w:val="en-CA"/>
        </w:rPr>
        <w:t>9B18E008</w:t>
      </w:r>
    </w:p>
    <w:p w14:paraId="4A125593" w14:textId="77777777" w:rsidR="00D75295" w:rsidRPr="00265A99" w:rsidRDefault="00D75295" w:rsidP="00D75295">
      <w:pPr>
        <w:jc w:val="right"/>
        <w:rPr>
          <w:rFonts w:ascii="Arial" w:hAnsi="Arial"/>
          <w:b/>
          <w:sz w:val="28"/>
          <w:szCs w:val="28"/>
          <w:lang w:val="en-GB"/>
        </w:rPr>
      </w:pPr>
    </w:p>
    <w:p w14:paraId="3C69D5CC" w14:textId="77777777" w:rsidR="00013360" w:rsidRPr="00265A99" w:rsidRDefault="00013360" w:rsidP="00D75295">
      <w:pPr>
        <w:jc w:val="right"/>
        <w:rPr>
          <w:rFonts w:ascii="Arial" w:hAnsi="Arial"/>
          <w:b/>
          <w:sz w:val="28"/>
          <w:szCs w:val="28"/>
          <w:lang w:val="en-GB"/>
        </w:rPr>
      </w:pPr>
    </w:p>
    <w:p w14:paraId="433BD471" w14:textId="143882B5" w:rsidR="00013360" w:rsidRPr="00265A99" w:rsidRDefault="00001524" w:rsidP="00013360">
      <w:pPr>
        <w:pStyle w:val="CaseTitle"/>
        <w:spacing w:after="0" w:line="240" w:lineRule="auto"/>
        <w:rPr>
          <w:sz w:val="20"/>
          <w:szCs w:val="20"/>
          <w:lang w:val="en-GB"/>
        </w:rPr>
      </w:pPr>
      <w:r w:rsidRPr="00265A99">
        <w:rPr>
          <w:rFonts w:eastAsia="Times New Roman"/>
          <w:szCs w:val="20"/>
          <w:lang w:val="en-GB"/>
        </w:rPr>
        <w:t>SIKA: OPTIM</w:t>
      </w:r>
      <w:r w:rsidR="00AE0E12" w:rsidRPr="00265A99">
        <w:rPr>
          <w:rFonts w:eastAsia="Times New Roman"/>
          <w:szCs w:val="20"/>
          <w:lang w:val="en-GB"/>
        </w:rPr>
        <w:t>izing</w:t>
      </w:r>
      <w:r w:rsidRPr="00265A99">
        <w:rPr>
          <w:rFonts w:eastAsia="Times New Roman"/>
          <w:szCs w:val="20"/>
          <w:lang w:val="en-GB"/>
        </w:rPr>
        <w:t xml:space="preserve"> </w:t>
      </w:r>
      <w:r w:rsidR="00AE0E12" w:rsidRPr="00265A99">
        <w:rPr>
          <w:rFonts w:eastAsia="Times New Roman"/>
          <w:szCs w:val="20"/>
          <w:lang w:val="en-GB"/>
        </w:rPr>
        <w:t xml:space="preserve">the apac </w:t>
      </w:r>
      <w:r w:rsidRPr="00265A99">
        <w:rPr>
          <w:rFonts w:eastAsia="Times New Roman"/>
          <w:szCs w:val="20"/>
          <w:lang w:val="en-GB"/>
        </w:rPr>
        <w:t>EPOXY FLOORING SUPPLY CHAIN</w:t>
      </w:r>
    </w:p>
    <w:p w14:paraId="6951CB04" w14:textId="77777777" w:rsidR="00CA3976" w:rsidRPr="00265A99" w:rsidRDefault="00CA3976" w:rsidP="00013360">
      <w:pPr>
        <w:pStyle w:val="CaseTitle"/>
        <w:spacing w:after="0" w:line="240" w:lineRule="auto"/>
        <w:rPr>
          <w:sz w:val="20"/>
          <w:szCs w:val="20"/>
          <w:lang w:val="en-GB"/>
        </w:rPr>
      </w:pPr>
    </w:p>
    <w:p w14:paraId="01E63BBD" w14:textId="77777777" w:rsidR="00013360" w:rsidRPr="00265A99" w:rsidRDefault="00013360" w:rsidP="00013360">
      <w:pPr>
        <w:pStyle w:val="CaseTitle"/>
        <w:spacing w:after="0" w:line="240" w:lineRule="auto"/>
        <w:rPr>
          <w:sz w:val="20"/>
          <w:szCs w:val="20"/>
          <w:lang w:val="en-GB"/>
        </w:rPr>
      </w:pPr>
    </w:p>
    <w:p w14:paraId="788E689F" w14:textId="77777777" w:rsidR="00627C63" w:rsidRPr="00265A99" w:rsidRDefault="00001524" w:rsidP="00627C63">
      <w:pPr>
        <w:pStyle w:val="StyleCopyrightStatementAfter0ptBottomSinglesolidline1"/>
        <w:rPr>
          <w:lang w:val="en-GB"/>
        </w:rPr>
      </w:pPr>
      <w:r w:rsidRPr="00265A99">
        <w:rPr>
          <w:color w:val="auto"/>
          <w:lang w:val="en-GB"/>
        </w:rPr>
        <w:t xml:space="preserve">Bruno Oehy and Professor Singfat Chu </w:t>
      </w:r>
      <w:r w:rsidR="004B632F" w:rsidRPr="00265A99">
        <w:rPr>
          <w:lang w:val="en-GB"/>
        </w:rPr>
        <w:t xml:space="preserve">wrote this </w:t>
      </w:r>
      <w:r w:rsidR="00152682" w:rsidRPr="00265A99">
        <w:rPr>
          <w:lang w:val="en-GB"/>
        </w:rPr>
        <w:t>case</w:t>
      </w:r>
      <w:r w:rsidR="004B632F" w:rsidRPr="00265A99">
        <w:rPr>
          <w:lang w:val="en-GB"/>
        </w:rPr>
        <w:t xml:space="preserve"> </w:t>
      </w:r>
      <w:r w:rsidR="00152682" w:rsidRPr="00265A99">
        <w:rPr>
          <w:lang w:val="en-GB"/>
        </w:rPr>
        <w:t>solely to provide material for class discussion. The</w:t>
      </w:r>
      <w:r w:rsidR="001C7777" w:rsidRPr="00265A99">
        <w:rPr>
          <w:lang w:val="en-GB"/>
        </w:rPr>
        <w:t xml:space="preserve"> author</w:t>
      </w:r>
      <w:r w:rsidR="001A22D1" w:rsidRPr="00265A99">
        <w:rPr>
          <w:lang w:val="en-GB"/>
        </w:rPr>
        <w:t>s</w:t>
      </w:r>
      <w:r w:rsidR="00152682" w:rsidRPr="00265A99">
        <w:rPr>
          <w:lang w:val="en-GB"/>
        </w:rPr>
        <w:t xml:space="preserve"> do not intend to illustrate either effective or ineffective handling of a managerial situation. The author</w:t>
      </w:r>
      <w:r w:rsidR="001A22D1" w:rsidRPr="00265A99">
        <w:rPr>
          <w:lang w:val="en-GB"/>
        </w:rPr>
        <w:t>s</w:t>
      </w:r>
      <w:r w:rsidR="00152682" w:rsidRPr="00265A99">
        <w:rPr>
          <w:lang w:val="en-GB"/>
        </w:rPr>
        <w:t xml:space="preserve"> may have disguised certain names and other identifying information to protect confidentiality.</w:t>
      </w:r>
    </w:p>
    <w:p w14:paraId="0A5086FD" w14:textId="77777777" w:rsidR="00751E0B" w:rsidRPr="00265A99" w:rsidRDefault="00751E0B" w:rsidP="00751E0B">
      <w:pPr>
        <w:pStyle w:val="StyleCopyrightStatementAfter0ptBottomSinglesolidline1"/>
        <w:rPr>
          <w:lang w:val="en-GB"/>
        </w:rPr>
      </w:pPr>
    </w:p>
    <w:p w14:paraId="745583BA" w14:textId="77777777" w:rsidR="0079210B" w:rsidRDefault="0079210B" w:rsidP="0079210B">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0FAB59EE" w14:textId="77777777" w:rsidR="0079210B" w:rsidRDefault="0079210B" w:rsidP="0079210B">
      <w:pPr>
        <w:pStyle w:val="StyleCopyrightStatementAfter0ptBottomSinglesolidline1"/>
        <w:pBdr>
          <w:top w:val="none" w:sz="0" w:space="0" w:color="auto"/>
        </w:pBdr>
      </w:pPr>
    </w:p>
    <w:p w14:paraId="3BAE0466" w14:textId="163791AA" w:rsidR="00751E0B" w:rsidRPr="00265A99" w:rsidRDefault="0079210B" w:rsidP="0079210B">
      <w:pPr>
        <w:pStyle w:val="StyleStyleCopyrightStatementAfter0ptBottomSinglesolid"/>
        <w:rPr>
          <w:lang w:val="en-GB"/>
        </w:rPr>
      </w:pPr>
      <w:r>
        <w:t xml:space="preserve">Copyright © 2018, </w:t>
      </w:r>
      <w:r w:rsidRPr="004415A3">
        <w:rPr>
          <w:lang w:val="en-CA"/>
        </w:rPr>
        <w:t>National University of Singapore and Ivey School of Business Foundation</w:t>
      </w:r>
      <w:r w:rsidRPr="00007B22">
        <w:rPr>
          <w:lang w:val="en-CA"/>
        </w:rPr>
        <w:tab/>
        <w:t xml:space="preserve">Version: </w:t>
      </w:r>
      <w:r w:rsidR="00124B49">
        <w:rPr>
          <w:lang w:val="en-CA"/>
        </w:rPr>
        <w:t>2018-03-</w:t>
      </w:r>
      <w:r w:rsidR="00F65584">
        <w:rPr>
          <w:lang w:val="en-CA"/>
        </w:rPr>
        <w:t>29</w:t>
      </w:r>
    </w:p>
    <w:p w14:paraId="1DEB7E9F" w14:textId="77777777" w:rsidR="00751E0B" w:rsidRPr="00265A99" w:rsidRDefault="00751E0B" w:rsidP="00751E0B">
      <w:pPr>
        <w:pStyle w:val="StyleCopyrightStatementAfter0ptBottomSinglesolidline1"/>
        <w:rPr>
          <w:rFonts w:ascii="Times New Roman" w:hAnsi="Times New Roman"/>
          <w:sz w:val="20"/>
          <w:lang w:val="en-GB"/>
        </w:rPr>
      </w:pPr>
    </w:p>
    <w:p w14:paraId="6E654AC3" w14:textId="77777777" w:rsidR="004B632F" w:rsidRPr="00265A99" w:rsidRDefault="004B632F" w:rsidP="004B632F">
      <w:pPr>
        <w:pStyle w:val="StyleCopyrightStatementAfter0ptBottomSinglesolidline1"/>
        <w:rPr>
          <w:rFonts w:ascii="Times New Roman" w:hAnsi="Times New Roman"/>
          <w:sz w:val="20"/>
          <w:lang w:val="en-GB"/>
        </w:rPr>
      </w:pPr>
    </w:p>
    <w:p w14:paraId="3EF2131A" w14:textId="13AA034A" w:rsidR="00001524" w:rsidRPr="00EA6217" w:rsidRDefault="00227E96" w:rsidP="00001524">
      <w:pPr>
        <w:pStyle w:val="BodyTextMain"/>
        <w:rPr>
          <w:spacing w:val="-4"/>
          <w:lang w:val="en-GB"/>
        </w:rPr>
      </w:pPr>
      <w:r w:rsidRPr="00EA6217">
        <w:rPr>
          <w:spacing w:val="-4"/>
          <w:lang w:val="en-GB"/>
        </w:rPr>
        <w:t>It was 8:00 a.m. on</w:t>
      </w:r>
      <w:r w:rsidR="00001524" w:rsidRPr="00EA6217">
        <w:rPr>
          <w:spacing w:val="-4"/>
          <w:lang w:val="en-GB"/>
        </w:rPr>
        <w:t xml:space="preserve"> July </w:t>
      </w:r>
      <w:r w:rsidRPr="00EA6217">
        <w:rPr>
          <w:spacing w:val="-4"/>
          <w:lang w:val="en-GB"/>
        </w:rPr>
        <w:t xml:space="preserve">4, </w:t>
      </w:r>
      <w:r w:rsidR="00001524" w:rsidRPr="00EA6217">
        <w:rPr>
          <w:spacing w:val="-4"/>
          <w:lang w:val="en-GB"/>
        </w:rPr>
        <w:t>2017</w:t>
      </w:r>
      <w:r w:rsidRPr="00EA6217">
        <w:rPr>
          <w:spacing w:val="-4"/>
          <w:lang w:val="en-GB"/>
        </w:rPr>
        <w:t>, and</w:t>
      </w:r>
      <w:r w:rsidR="00001524" w:rsidRPr="00EA6217">
        <w:rPr>
          <w:spacing w:val="-4"/>
          <w:lang w:val="en-GB"/>
        </w:rPr>
        <w:t xml:space="preserve"> Dorothy Kwok, </w:t>
      </w:r>
      <w:r w:rsidRPr="00EA6217">
        <w:rPr>
          <w:spacing w:val="-4"/>
          <w:lang w:val="en-GB"/>
        </w:rPr>
        <w:t>r</w:t>
      </w:r>
      <w:r w:rsidR="00001524" w:rsidRPr="00EA6217">
        <w:rPr>
          <w:spacing w:val="-4"/>
          <w:lang w:val="en-GB"/>
        </w:rPr>
        <w:t xml:space="preserve">egional </w:t>
      </w:r>
      <w:r w:rsidRPr="00EA6217">
        <w:rPr>
          <w:spacing w:val="-4"/>
          <w:lang w:val="en-GB"/>
        </w:rPr>
        <w:t>h</w:t>
      </w:r>
      <w:r w:rsidR="00001524" w:rsidRPr="00EA6217">
        <w:rPr>
          <w:spacing w:val="-4"/>
          <w:lang w:val="en-GB"/>
        </w:rPr>
        <w:t>ead of Operations and Supply Chain</w:t>
      </w:r>
      <w:r w:rsidRPr="00EA6217">
        <w:rPr>
          <w:spacing w:val="-4"/>
          <w:lang w:val="en-GB"/>
        </w:rPr>
        <w:t xml:space="preserve"> at Sika AG (Sika)</w:t>
      </w:r>
      <w:r w:rsidR="00001524" w:rsidRPr="00EA6217">
        <w:rPr>
          <w:spacing w:val="-4"/>
          <w:lang w:val="en-GB"/>
        </w:rPr>
        <w:t xml:space="preserve">, had just squeezed into the </w:t>
      </w:r>
      <w:r w:rsidRPr="00EA6217">
        <w:rPr>
          <w:spacing w:val="-4"/>
          <w:lang w:val="en-GB"/>
        </w:rPr>
        <w:t>elevator</w:t>
      </w:r>
      <w:r w:rsidR="00001524" w:rsidRPr="00EA6217">
        <w:rPr>
          <w:spacing w:val="-4"/>
          <w:lang w:val="en-GB"/>
        </w:rPr>
        <w:t xml:space="preserve"> that would take her to her office on the 17th floor. </w:t>
      </w:r>
      <w:r w:rsidR="003C4ED3" w:rsidRPr="00EA6217">
        <w:rPr>
          <w:spacing w:val="-4"/>
          <w:lang w:val="en-GB"/>
        </w:rPr>
        <w:t>Having a quick read of an</w:t>
      </w:r>
      <w:r w:rsidR="00001524" w:rsidRPr="00EA6217">
        <w:rPr>
          <w:spacing w:val="-4"/>
          <w:lang w:val="en-GB"/>
        </w:rPr>
        <w:t xml:space="preserve"> email on her mobile phone, </w:t>
      </w:r>
      <w:r w:rsidRPr="00EA6217">
        <w:rPr>
          <w:spacing w:val="-4"/>
          <w:lang w:val="en-GB"/>
        </w:rPr>
        <w:t xml:space="preserve">Kwok </w:t>
      </w:r>
      <w:r w:rsidR="00001524" w:rsidRPr="00EA6217">
        <w:rPr>
          <w:spacing w:val="-4"/>
          <w:lang w:val="en-GB"/>
        </w:rPr>
        <w:t xml:space="preserve">noted another quarter of significant capacity underutilization in the Asia Pacific </w:t>
      </w:r>
      <w:r w:rsidR="00267D47" w:rsidRPr="00EA6217">
        <w:rPr>
          <w:spacing w:val="-4"/>
          <w:lang w:val="en-GB"/>
        </w:rPr>
        <w:t xml:space="preserve">(APAC) </w:t>
      </w:r>
      <w:r w:rsidR="00001524" w:rsidRPr="00EA6217">
        <w:rPr>
          <w:spacing w:val="-4"/>
          <w:lang w:val="en-GB"/>
        </w:rPr>
        <w:t xml:space="preserve">supply chain for </w:t>
      </w:r>
      <w:r w:rsidRPr="00EA6217">
        <w:rPr>
          <w:spacing w:val="-4"/>
          <w:lang w:val="en-GB"/>
        </w:rPr>
        <w:t>one of Sika’s</w:t>
      </w:r>
      <w:r w:rsidR="00001524" w:rsidRPr="00EA6217">
        <w:rPr>
          <w:spacing w:val="-4"/>
          <w:lang w:val="en-GB"/>
        </w:rPr>
        <w:t xml:space="preserve"> epoxy flooring product</w:t>
      </w:r>
      <w:r w:rsidRPr="00EA6217">
        <w:rPr>
          <w:spacing w:val="-4"/>
          <w:lang w:val="en-GB"/>
        </w:rPr>
        <w:t>s</w:t>
      </w:r>
      <w:r w:rsidR="00001524" w:rsidRPr="00EA6217">
        <w:rPr>
          <w:spacing w:val="-4"/>
          <w:lang w:val="en-GB"/>
        </w:rPr>
        <w:t xml:space="preserve">. </w:t>
      </w:r>
      <w:r w:rsidR="00A13704" w:rsidRPr="00EA6217">
        <w:rPr>
          <w:spacing w:val="-4"/>
          <w:lang w:val="en-GB"/>
        </w:rPr>
        <w:t>Stepping out of</w:t>
      </w:r>
      <w:r w:rsidR="003C4ED3" w:rsidRPr="00EA6217">
        <w:rPr>
          <w:spacing w:val="-4"/>
          <w:lang w:val="en-GB"/>
        </w:rPr>
        <w:t xml:space="preserve"> the elevator</w:t>
      </w:r>
      <w:r w:rsidR="00A13704" w:rsidRPr="00EA6217">
        <w:rPr>
          <w:spacing w:val="-4"/>
          <w:lang w:val="en-GB"/>
        </w:rPr>
        <w:t>,</w:t>
      </w:r>
      <w:r w:rsidR="003C4ED3" w:rsidRPr="00EA6217">
        <w:rPr>
          <w:spacing w:val="-4"/>
          <w:lang w:val="en-GB"/>
        </w:rPr>
        <w:t xml:space="preserve"> she</w:t>
      </w:r>
      <w:r w:rsidR="00A13704" w:rsidRPr="00EA6217">
        <w:rPr>
          <w:spacing w:val="-4"/>
          <w:lang w:val="en-GB"/>
        </w:rPr>
        <w:t xml:space="preserve"> wondered,</w:t>
      </w:r>
      <w:r w:rsidR="003C4ED3" w:rsidRPr="00EA6217">
        <w:rPr>
          <w:spacing w:val="-4"/>
          <w:lang w:val="en-GB"/>
        </w:rPr>
        <w:t xml:space="preserve"> </w:t>
      </w:r>
      <w:r w:rsidR="00001524" w:rsidRPr="00EA6217">
        <w:rPr>
          <w:spacing w:val="-4"/>
          <w:lang w:val="en-GB"/>
        </w:rPr>
        <w:t>“Is it time to review our current decentralized supply chain model?”</w:t>
      </w:r>
    </w:p>
    <w:p w14:paraId="67D39473" w14:textId="77777777" w:rsidR="00001524" w:rsidRPr="00265A99" w:rsidRDefault="00001524" w:rsidP="00001524">
      <w:pPr>
        <w:pStyle w:val="BodyTextMain"/>
        <w:rPr>
          <w:lang w:val="en-GB"/>
        </w:rPr>
      </w:pPr>
    </w:p>
    <w:p w14:paraId="3AF2EEF9" w14:textId="77777777" w:rsidR="003C4ED3" w:rsidRPr="00265A99" w:rsidRDefault="003C4ED3" w:rsidP="00001524">
      <w:pPr>
        <w:pStyle w:val="BodyTextMain"/>
        <w:rPr>
          <w:lang w:val="en-GB"/>
        </w:rPr>
      </w:pPr>
    </w:p>
    <w:p w14:paraId="14C68F37" w14:textId="77777777" w:rsidR="003C4ED3" w:rsidRPr="00265A99" w:rsidRDefault="003C4ED3" w:rsidP="000D4E57">
      <w:pPr>
        <w:pStyle w:val="Casehead1"/>
        <w:rPr>
          <w:lang w:val="en-GB"/>
        </w:rPr>
      </w:pPr>
      <w:r w:rsidRPr="00265A99">
        <w:rPr>
          <w:lang w:val="en-GB"/>
        </w:rPr>
        <w:t>SIKA</w:t>
      </w:r>
    </w:p>
    <w:p w14:paraId="2070F2C5" w14:textId="77777777" w:rsidR="003C4ED3" w:rsidRPr="00265A99" w:rsidRDefault="003C4ED3" w:rsidP="00001524">
      <w:pPr>
        <w:pStyle w:val="BodyTextMain"/>
        <w:rPr>
          <w:lang w:val="en-GB"/>
        </w:rPr>
      </w:pPr>
    </w:p>
    <w:p w14:paraId="281E357A" w14:textId="5AE42AA9" w:rsidR="00001524" w:rsidRPr="00265A99" w:rsidRDefault="00001524" w:rsidP="00001524">
      <w:pPr>
        <w:pStyle w:val="BodyTextMain"/>
        <w:rPr>
          <w:lang w:val="en-GB"/>
        </w:rPr>
      </w:pPr>
      <w:r w:rsidRPr="00265A99">
        <w:rPr>
          <w:lang w:val="en-GB"/>
        </w:rPr>
        <w:t>Sika was a Swiss specialty chemicals leader in the development and production of solutions for the building and automotive industries.</w:t>
      </w:r>
      <w:r w:rsidR="00006C01" w:rsidRPr="00265A99">
        <w:rPr>
          <w:rStyle w:val="FootnoteReference"/>
          <w:lang w:val="en-GB"/>
        </w:rPr>
        <w:footnoteReference w:id="1"/>
      </w:r>
      <w:r w:rsidRPr="00265A99">
        <w:rPr>
          <w:lang w:val="en-GB"/>
        </w:rPr>
        <w:t xml:space="preserve"> Its business activities straddled seven markets: concrete, waterproofing, refurbishment, roofing, flooring, sealing</w:t>
      </w:r>
      <w:r w:rsidR="003C4ED3" w:rsidRPr="00265A99">
        <w:rPr>
          <w:lang w:val="en-GB"/>
        </w:rPr>
        <w:t>,</w:t>
      </w:r>
      <w:r w:rsidRPr="00265A99">
        <w:rPr>
          <w:lang w:val="en-GB"/>
        </w:rPr>
        <w:t xml:space="preserve"> and bonding. </w:t>
      </w:r>
    </w:p>
    <w:p w14:paraId="29F64EDB" w14:textId="77777777" w:rsidR="00001524" w:rsidRPr="00265A99" w:rsidRDefault="00001524" w:rsidP="00001524">
      <w:pPr>
        <w:pStyle w:val="BodyTextMain"/>
        <w:rPr>
          <w:lang w:val="en-GB"/>
        </w:rPr>
      </w:pPr>
    </w:p>
    <w:p w14:paraId="693BF09D" w14:textId="3E426247" w:rsidR="00001524" w:rsidRPr="00265A99" w:rsidRDefault="00001524" w:rsidP="00001524">
      <w:pPr>
        <w:pStyle w:val="BodyTextMain"/>
        <w:rPr>
          <w:lang w:val="en-GB"/>
        </w:rPr>
      </w:pPr>
      <w:r w:rsidRPr="00265A99">
        <w:rPr>
          <w:lang w:val="en-GB"/>
        </w:rPr>
        <w:t xml:space="preserve">Kaspar Winkler laid the cornerstone of the firm in 1910 with his invention of waterproofing agents for mortar. Sika’s first breakthrough came with its contribution to the sealing of </w:t>
      </w:r>
      <w:r w:rsidR="00A13704" w:rsidRPr="00265A99">
        <w:rPr>
          <w:lang w:val="en-GB"/>
        </w:rPr>
        <w:t xml:space="preserve">Swiss Federal Railways’ </w:t>
      </w:r>
      <w:r w:rsidRPr="00265A99">
        <w:rPr>
          <w:lang w:val="en-GB"/>
        </w:rPr>
        <w:t>15</w:t>
      </w:r>
      <w:r w:rsidR="00006C01" w:rsidRPr="00265A99">
        <w:rPr>
          <w:lang w:val="en-GB"/>
        </w:rPr>
        <w:t>-</w:t>
      </w:r>
      <w:r w:rsidRPr="00265A99">
        <w:rPr>
          <w:lang w:val="en-GB"/>
        </w:rPr>
        <w:t>k</w:t>
      </w:r>
      <w:r w:rsidR="00006C01" w:rsidRPr="00265A99">
        <w:rPr>
          <w:lang w:val="en-GB"/>
        </w:rPr>
        <w:t>ilo</w:t>
      </w:r>
      <w:r w:rsidRPr="00265A99">
        <w:rPr>
          <w:lang w:val="en-GB"/>
        </w:rPr>
        <w:t>m</w:t>
      </w:r>
      <w:r w:rsidR="00006C01" w:rsidRPr="00265A99">
        <w:rPr>
          <w:lang w:val="en-GB"/>
        </w:rPr>
        <w:t>etre</w:t>
      </w:r>
      <w:r w:rsidRPr="00265A99">
        <w:rPr>
          <w:lang w:val="en-GB"/>
        </w:rPr>
        <w:t xml:space="preserve"> Gotthard </w:t>
      </w:r>
      <w:r w:rsidR="00A13704" w:rsidRPr="00265A99">
        <w:rPr>
          <w:lang w:val="en-GB"/>
        </w:rPr>
        <w:t xml:space="preserve">Base </w:t>
      </w:r>
      <w:r w:rsidRPr="00265A99">
        <w:rPr>
          <w:lang w:val="en-GB"/>
        </w:rPr>
        <w:t xml:space="preserve">Tunnel in 1918. An innovative type of waterproofing mortar designed to protect against water ingress allowed electric trains to use the tunnel. Following an early expansion in Europe in the 1920s, Sika established its first Asian subsidiary in Japan in 1932. </w:t>
      </w:r>
    </w:p>
    <w:p w14:paraId="3B8A94B2" w14:textId="77777777" w:rsidR="00001524" w:rsidRPr="00265A99" w:rsidRDefault="00001524" w:rsidP="00001524">
      <w:pPr>
        <w:pStyle w:val="BodyTextMain"/>
        <w:rPr>
          <w:lang w:val="en-GB"/>
        </w:rPr>
      </w:pPr>
    </w:p>
    <w:p w14:paraId="4E774C73" w14:textId="278B83CA" w:rsidR="00001524" w:rsidRDefault="00001524" w:rsidP="00001524">
      <w:pPr>
        <w:pStyle w:val="BodyTextMain"/>
        <w:rPr>
          <w:lang w:val="en-GB"/>
        </w:rPr>
      </w:pPr>
      <w:r w:rsidRPr="00265A99">
        <w:rPr>
          <w:lang w:val="en-GB"/>
        </w:rPr>
        <w:t xml:space="preserve">By 2017, Sika had expanded globally with national subsidiaries and </w:t>
      </w:r>
      <w:r w:rsidR="001362C6">
        <w:rPr>
          <w:lang w:val="en-GB"/>
        </w:rPr>
        <w:t>more than</w:t>
      </w:r>
      <w:r w:rsidR="001362C6" w:rsidRPr="00265A99">
        <w:rPr>
          <w:lang w:val="en-GB"/>
        </w:rPr>
        <w:t xml:space="preserve"> </w:t>
      </w:r>
      <w:r w:rsidRPr="00265A99">
        <w:rPr>
          <w:lang w:val="en-GB"/>
        </w:rPr>
        <w:t>190 production plants in 100 countries. Its workforce of more than 17,000 employees generated annual sales of</w:t>
      </w:r>
      <w:r w:rsidR="00AB5B8D" w:rsidRPr="00265A99">
        <w:rPr>
          <w:lang w:val="en-GB"/>
        </w:rPr>
        <w:t xml:space="preserve"> </w:t>
      </w:r>
      <w:r w:rsidR="00006C01" w:rsidRPr="00265A99">
        <w:rPr>
          <w:lang w:val="en-GB"/>
        </w:rPr>
        <w:t>SFr</w:t>
      </w:r>
      <w:r w:rsidRPr="00265A99">
        <w:rPr>
          <w:lang w:val="en-GB"/>
        </w:rPr>
        <w:t>5.75 billion</w:t>
      </w:r>
      <w:r w:rsidR="00006C01" w:rsidRPr="00265A99">
        <w:rPr>
          <w:rStyle w:val="FootnoteReference"/>
          <w:lang w:val="en-GB"/>
        </w:rPr>
        <w:footnoteReference w:id="2"/>
      </w:r>
      <w:r w:rsidRPr="00265A99">
        <w:rPr>
          <w:lang w:val="en-GB"/>
        </w:rPr>
        <w:t xml:space="preserve"> in 2016</w:t>
      </w:r>
      <w:r w:rsidR="00006C01" w:rsidRPr="00265A99">
        <w:rPr>
          <w:lang w:val="en-GB"/>
        </w:rPr>
        <w:t>.</w:t>
      </w:r>
      <w:r w:rsidRPr="00265A99">
        <w:rPr>
          <w:rStyle w:val="FootnoteReference"/>
          <w:lang w:val="en-GB"/>
        </w:rPr>
        <w:footnoteReference w:id="3"/>
      </w:r>
      <w:r w:rsidRPr="00265A99">
        <w:rPr>
          <w:lang w:val="en-GB"/>
        </w:rPr>
        <w:t xml:space="preserve"> Its market capitalization was </w:t>
      </w:r>
      <w:r w:rsidR="0067285B">
        <w:rPr>
          <w:lang w:val="en-GB"/>
        </w:rPr>
        <w:t>approximately</w:t>
      </w:r>
      <w:r w:rsidR="0067285B" w:rsidRPr="00265A99">
        <w:rPr>
          <w:lang w:val="en-GB"/>
        </w:rPr>
        <w:t xml:space="preserve"> </w:t>
      </w:r>
      <w:r w:rsidR="00006C01" w:rsidRPr="00265A99">
        <w:rPr>
          <w:lang w:val="en-GB"/>
        </w:rPr>
        <w:t>SFr</w:t>
      </w:r>
      <w:r w:rsidRPr="00265A99">
        <w:rPr>
          <w:lang w:val="en-GB"/>
        </w:rPr>
        <w:t>16 billion in November 2017</w:t>
      </w:r>
      <w:r w:rsidR="003C4ED3" w:rsidRPr="00265A99">
        <w:rPr>
          <w:lang w:val="en-GB"/>
        </w:rPr>
        <w:t>.</w:t>
      </w:r>
      <w:r w:rsidRPr="00265A99">
        <w:rPr>
          <w:rStyle w:val="FootnoteReference"/>
          <w:lang w:val="en-GB"/>
        </w:rPr>
        <w:footnoteReference w:id="4"/>
      </w:r>
      <w:r w:rsidRPr="00265A99">
        <w:rPr>
          <w:lang w:val="en-GB"/>
        </w:rPr>
        <w:t xml:space="preserve"> The</w:t>
      </w:r>
      <w:r w:rsidR="00AB5B8D" w:rsidRPr="00265A99">
        <w:rPr>
          <w:lang w:val="en-GB"/>
        </w:rPr>
        <w:t xml:space="preserve"> APAC</w:t>
      </w:r>
      <w:r w:rsidRPr="00265A99">
        <w:rPr>
          <w:lang w:val="en-GB"/>
        </w:rPr>
        <w:t xml:space="preserve"> region, where Sika ha</w:t>
      </w:r>
      <w:r w:rsidR="00AB5B8D" w:rsidRPr="00265A99">
        <w:rPr>
          <w:lang w:val="en-GB"/>
        </w:rPr>
        <w:t>d</w:t>
      </w:r>
      <w:r w:rsidRPr="00265A99">
        <w:rPr>
          <w:lang w:val="en-GB"/>
        </w:rPr>
        <w:t xml:space="preserve"> a presence in 19 countries, contribute</w:t>
      </w:r>
      <w:r w:rsidR="00AB5B8D" w:rsidRPr="00265A99">
        <w:rPr>
          <w:lang w:val="en-GB"/>
        </w:rPr>
        <w:t>d</w:t>
      </w:r>
      <w:r w:rsidRPr="00265A99">
        <w:rPr>
          <w:lang w:val="en-GB"/>
        </w:rPr>
        <w:t xml:space="preserve"> 19</w:t>
      </w:r>
      <w:r w:rsidR="00006C01" w:rsidRPr="00265A99">
        <w:rPr>
          <w:lang w:val="en-GB"/>
        </w:rPr>
        <w:t xml:space="preserve"> per cent</w:t>
      </w:r>
      <w:r w:rsidR="0079210B">
        <w:rPr>
          <w:lang w:val="en-GB"/>
        </w:rPr>
        <w:t xml:space="preserve"> to its turnover.</w:t>
      </w:r>
    </w:p>
    <w:p w14:paraId="22B57D10" w14:textId="77777777" w:rsidR="0079210B" w:rsidRDefault="0079210B" w:rsidP="00001524">
      <w:pPr>
        <w:pStyle w:val="BodyTextMain"/>
        <w:rPr>
          <w:lang w:val="en-GB"/>
        </w:rPr>
      </w:pPr>
    </w:p>
    <w:p w14:paraId="76B3D65E" w14:textId="77777777" w:rsidR="0079210B" w:rsidRPr="00265A99" w:rsidRDefault="0079210B" w:rsidP="00001524">
      <w:pPr>
        <w:pStyle w:val="BodyTextMain"/>
        <w:rPr>
          <w:lang w:val="en-GB"/>
        </w:rPr>
      </w:pPr>
    </w:p>
    <w:p w14:paraId="5AC99D64" w14:textId="77777777" w:rsidR="00001524" w:rsidRPr="00265A99" w:rsidRDefault="00001524" w:rsidP="00001524">
      <w:pPr>
        <w:pStyle w:val="Casehead1"/>
        <w:keepNext/>
        <w:rPr>
          <w:lang w:val="en-GB"/>
        </w:rPr>
      </w:pPr>
      <w:r w:rsidRPr="00265A99">
        <w:rPr>
          <w:lang w:val="en-GB"/>
        </w:rPr>
        <w:lastRenderedPageBreak/>
        <w:t>FLOORING AND COATING PRODUCTS</w:t>
      </w:r>
    </w:p>
    <w:p w14:paraId="03A7E89D" w14:textId="77777777" w:rsidR="00001524" w:rsidRPr="00265A99" w:rsidRDefault="00001524" w:rsidP="00001524">
      <w:pPr>
        <w:pStyle w:val="BodyTextMain"/>
        <w:keepNext/>
        <w:rPr>
          <w:lang w:val="en-GB"/>
        </w:rPr>
      </w:pPr>
    </w:p>
    <w:p w14:paraId="5B9375FF" w14:textId="16751C86" w:rsidR="00001524" w:rsidRPr="00265A99" w:rsidRDefault="00001524" w:rsidP="00001524">
      <w:pPr>
        <w:pStyle w:val="BodyTextMain"/>
        <w:keepNext/>
        <w:rPr>
          <w:lang w:val="en-GB"/>
        </w:rPr>
      </w:pPr>
      <w:r w:rsidRPr="00265A99">
        <w:rPr>
          <w:lang w:val="en-GB"/>
        </w:rPr>
        <w:t>Sika’s flooring and coating solutions were based on synthetic resin and cementitious systems. They were used in different functional areas in buildings and facilities used by various industries such as manufacturing, food and beverage, pharma, warehousing, car park, commercial</w:t>
      </w:r>
      <w:r w:rsidR="00AB5B8D" w:rsidRPr="00265A99">
        <w:rPr>
          <w:lang w:val="en-GB"/>
        </w:rPr>
        <w:t>,</w:t>
      </w:r>
      <w:r w:rsidRPr="00265A99">
        <w:rPr>
          <w:lang w:val="en-GB"/>
        </w:rPr>
        <w:t xml:space="preserve"> and institutional (e.g.</w:t>
      </w:r>
      <w:r w:rsidR="00AB5B8D" w:rsidRPr="00265A99">
        <w:rPr>
          <w:lang w:val="en-GB"/>
        </w:rPr>
        <w:t>,</w:t>
      </w:r>
      <w:r w:rsidRPr="00265A99">
        <w:rPr>
          <w:lang w:val="en-GB"/>
        </w:rPr>
        <w:t xml:space="preserve"> schools, hospitals, </w:t>
      </w:r>
      <w:r w:rsidR="00265A99">
        <w:rPr>
          <w:lang w:val="en-GB"/>
        </w:rPr>
        <w:t xml:space="preserve">and </w:t>
      </w:r>
      <w:r w:rsidRPr="00265A99">
        <w:rPr>
          <w:lang w:val="en-GB"/>
        </w:rPr>
        <w:t xml:space="preserve">sports complexes). Each of these markets had specific requirements for floors in terms of traffic and mechanical wear, chemical resistance, temperature, slip resistance, impact resistance, permeability to liquids, fire resistance, </w:t>
      </w:r>
      <w:r w:rsidR="00AB5B8D" w:rsidRPr="00265A99">
        <w:rPr>
          <w:lang w:val="en-GB"/>
        </w:rPr>
        <w:t xml:space="preserve">and </w:t>
      </w:r>
      <w:r w:rsidRPr="00265A99">
        <w:rPr>
          <w:lang w:val="en-GB"/>
        </w:rPr>
        <w:t xml:space="preserve">rapid curing. Sika introduced the modular concept for epoxy systems in the early 1980s and followed </w:t>
      </w:r>
      <w:r w:rsidR="003F2171" w:rsidRPr="00265A99">
        <w:rPr>
          <w:lang w:val="en-GB"/>
        </w:rPr>
        <w:t>this</w:t>
      </w:r>
      <w:r w:rsidRPr="00265A99">
        <w:rPr>
          <w:lang w:val="en-GB"/>
        </w:rPr>
        <w:t xml:space="preserve"> </w:t>
      </w:r>
      <w:r w:rsidR="00BE0443">
        <w:rPr>
          <w:lang w:val="en-GB"/>
        </w:rPr>
        <w:t>initiative</w:t>
      </w:r>
      <w:r w:rsidR="00265A99">
        <w:rPr>
          <w:lang w:val="en-GB"/>
        </w:rPr>
        <w:t xml:space="preserve"> </w:t>
      </w:r>
      <w:r w:rsidR="003F2171" w:rsidRPr="00265A99">
        <w:rPr>
          <w:lang w:val="en-GB"/>
        </w:rPr>
        <w:t>with</w:t>
      </w:r>
      <w:r w:rsidRPr="00265A99">
        <w:rPr>
          <w:lang w:val="en-GB"/>
        </w:rPr>
        <w:t xml:space="preserve"> </w:t>
      </w:r>
      <w:r w:rsidR="00265A99">
        <w:rPr>
          <w:lang w:val="en-GB"/>
        </w:rPr>
        <w:t>numerous</w:t>
      </w:r>
      <w:r w:rsidRPr="00265A99">
        <w:rPr>
          <w:lang w:val="en-GB"/>
        </w:rPr>
        <w:t xml:space="preserve"> other innovations. It was also the market pioneer in hybrid and self-levelling solutions. </w:t>
      </w:r>
    </w:p>
    <w:p w14:paraId="4322A2DC" w14:textId="77777777" w:rsidR="00001524" w:rsidRPr="00265A99" w:rsidRDefault="00001524" w:rsidP="00001524">
      <w:pPr>
        <w:pStyle w:val="BodyTextMain"/>
        <w:rPr>
          <w:lang w:val="en-GB"/>
        </w:rPr>
      </w:pPr>
    </w:p>
    <w:p w14:paraId="22CEA8FE" w14:textId="25D3F80E" w:rsidR="00001524" w:rsidRPr="00265A99" w:rsidRDefault="00001524" w:rsidP="00001524">
      <w:pPr>
        <w:pStyle w:val="BodyTextMain"/>
        <w:rPr>
          <w:lang w:val="en-GB"/>
        </w:rPr>
      </w:pPr>
      <w:r w:rsidRPr="00265A99">
        <w:rPr>
          <w:lang w:val="en-GB"/>
        </w:rPr>
        <w:t xml:space="preserve">In the APAC region, Sika </w:t>
      </w:r>
      <w:r w:rsidR="00265A99">
        <w:rPr>
          <w:lang w:val="en-GB"/>
        </w:rPr>
        <w:t>operated more than</w:t>
      </w:r>
      <w:r w:rsidRPr="00265A99">
        <w:rPr>
          <w:lang w:val="en-GB"/>
        </w:rPr>
        <w:t xml:space="preserve"> 50 production facilities in 18 countries. The epoxy flooring solution</w:t>
      </w:r>
      <w:r w:rsidR="00265A99">
        <w:rPr>
          <w:lang w:val="en-GB"/>
        </w:rPr>
        <w:t>,</w:t>
      </w:r>
      <w:r w:rsidRPr="00265A99">
        <w:rPr>
          <w:lang w:val="en-GB"/>
        </w:rPr>
        <w:t xml:space="preserve"> </w:t>
      </w:r>
      <w:r w:rsidR="00267D47" w:rsidRPr="00265A99">
        <w:rPr>
          <w:lang w:val="en-GB"/>
        </w:rPr>
        <w:t xml:space="preserve">whose capacity underutilization was </w:t>
      </w:r>
      <w:r w:rsidRPr="00265A99">
        <w:rPr>
          <w:lang w:val="en-GB"/>
        </w:rPr>
        <w:t xml:space="preserve">of </w:t>
      </w:r>
      <w:r w:rsidR="00267D47" w:rsidRPr="00265A99">
        <w:rPr>
          <w:lang w:val="en-GB"/>
        </w:rPr>
        <w:t>concern</w:t>
      </w:r>
      <w:r w:rsidRPr="00265A99">
        <w:rPr>
          <w:lang w:val="en-GB"/>
        </w:rPr>
        <w:t xml:space="preserve"> </w:t>
      </w:r>
      <w:r w:rsidR="00267D47" w:rsidRPr="00265A99">
        <w:rPr>
          <w:lang w:val="en-GB"/>
        </w:rPr>
        <w:t>to Kwok</w:t>
      </w:r>
      <w:r w:rsidR="00265A99">
        <w:rPr>
          <w:lang w:val="en-GB"/>
        </w:rPr>
        <w:t>,</w:t>
      </w:r>
      <w:r w:rsidRPr="00265A99">
        <w:rPr>
          <w:lang w:val="en-GB"/>
        </w:rPr>
        <w:t xml:space="preserve"> was produced in </w:t>
      </w:r>
      <w:r w:rsidR="00AB5B8D" w:rsidRPr="00265A99">
        <w:rPr>
          <w:lang w:val="en-GB"/>
        </w:rPr>
        <w:t>six</w:t>
      </w:r>
      <w:r w:rsidRPr="00265A99">
        <w:rPr>
          <w:lang w:val="en-GB"/>
        </w:rPr>
        <w:t xml:space="preserve"> countries and sold in </w:t>
      </w:r>
      <w:r w:rsidR="00AB5B8D" w:rsidRPr="00265A99">
        <w:rPr>
          <w:lang w:val="en-GB"/>
        </w:rPr>
        <w:t>eight</w:t>
      </w:r>
      <w:r w:rsidRPr="00265A99">
        <w:rPr>
          <w:lang w:val="en-GB"/>
        </w:rPr>
        <w:t xml:space="preserve"> countries, mostly in China, India</w:t>
      </w:r>
      <w:r w:rsidR="00267D47" w:rsidRPr="00265A99">
        <w:rPr>
          <w:lang w:val="en-GB"/>
        </w:rPr>
        <w:t>,</w:t>
      </w:r>
      <w:r w:rsidRPr="00265A99">
        <w:rPr>
          <w:lang w:val="en-GB"/>
        </w:rPr>
        <w:t xml:space="preserve"> and Indonesia. </w:t>
      </w:r>
      <w:r w:rsidR="00267D47" w:rsidRPr="00265A99">
        <w:rPr>
          <w:lang w:val="en-GB"/>
        </w:rPr>
        <w:t>While i</w:t>
      </w:r>
      <w:r w:rsidRPr="00265A99">
        <w:rPr>
          <w:lang w:val="en-GB"/>
        </w:rPr>
        <w:t>ts production in different countries was very similar</w:t>
      </w:r>
      <w:r w:rsidR="00267D47" w:rsidRPr="00265A99">
        <w:rPr>
          <w:lang w:val="en-GB"/>
        </w:rPr>
        <w:t>,</w:t>
      </w:r>
      <w:r w:rsidRPr="00265A99">
        <w:rPr>
          <w:lang w:val="en-GB"/>
        </w:rPr>
        <w:t xml:space="preserve"> its formulation varied due to local climate (hot/cold) and colo</w:t>
      </w:r>
      <w:r w:rsidR="00267D47" w:rsidRPr="00265A99">
        <w:rPr>
          <w:lang w:val="en-GB"/>
        </w:rPr>
        <w:t>u</w:t>
      </w:r>
      <w:r w:rsidRPr="00265A99">
        <w:rPr>
          <w:lang w:val="en-GB"/>
        </w:rPr>
        <w:t>r preferences.</w:t>
      </w:r>
    </w:p>
    <w:p w14:paraId="6D35CE4B" w14:textId="77777777" w:rsidR="00001524" w:rsidRPr="00265A99" w:rsidRDefault="00001524" w:rsidP="00001524">
      <w:pPr>
        <w:pStyle w:val="BodyTextMain"/>
        <w:rPr>
          <w:lang w:val="en-GB"/>
        </w:rPr>
      </w:pPr>
    </w:p>
    <w:p w14:paraId="44381206" w14:textId="10451ED0" w:rsidR="00001524" w:rsidRPr="00265A99" w:rsidRDefault="00001524" w:rsidP="00001524">
      <w:pPr>
        <w:pStyle w:val="BodyTextMain"/>
        <w:rPr>
          <w:spacing w:val="-4"/>
          <w:lang w:val="en-GB"/>
        </w:rPr>
      </w:pPr>
      <w:r w:rsidRPr="00265A99">
        <w:rPr>
          <w:spacing w:val="-4"/>
          <w:lang w:val="en-GB"/>
        </w:rPr>
        <w:t xml:space="preserve">The epoxy flooring solution was sold mainly to construction projects via contract specifications. The time from </w:t>
      </w:r>
      <w:r w:rsidR="00267D47" w:rsidRPr="00265A99">
        <w:rPr>
          <w:spacing w:val="-4"/>
          <w:lang w:val="en-GB"/>
        </w:rPr>
        <w:t xml:space="preserve">Sika </w:t>
      </w:r>
      <w:r w:rsidRPr="00265A99">
        <w:rPr>
          <w:spacing w:val="-4"/>
          <w:lang w:val="en-GB"/>
        </w:rPr>
        <w:t xml:space="preserve">being awarded a project to </w:t>
      </w:r>
      <w:r w:rsidR="00267D47" w:rsidRPr="00265A99">
        <w:rPr>
          <w:spacing w:val="-4"/>
          <w:lang w:val="en-GB"/>
        </w:rPr>
        <w:t xml:space="preserve">it </w:t>
      </w:r>
      <w:r w:rsidRPr="00265A99">
        <w:rPr>
          <w:spacing w:val="-4"/>
          <w:lang w:val="en-GB"/>
        </w:rPr>
        <w:t xml:space="preserve">supplying the material could be between </w:t>
      </w:r>
      <w:r w:rsidR="006D566D" w:rsidRPr="00265A99">
        <w:rPr>
          <w:spacing w:val="-4"/>
          <w:lang w:val="en-GB"/>
        </w:rPr>
        <w:t>four</w:t>
      </w:r>
      <w:r w:rsidRPr="00265A99">
        <w:rPr>
          <w:spacing w:val="-4"/>
          <w:lang w:val="en-GB"/>
        </w:rPr>
        <w:t xml:space="preserve"> and </w:t>
      </w:r>
      <w:r w:rsidR="006D566D" w:rsidRPr="00265A99">
        <w:rPr>
          <w:spacing w:val="-4"/>
          <w:lang w:val="en-GB"/>
        </w:rPr>
        <w:t>six</w:t>
      </w:r>
      <w:r w:rsidRPr="00265A99">
        <w:rPr>
          <w:spacing w:val="-4"/>
          <w:lang w:val="en-GB"/>
        </w:rPr>
        <w:t xml:space="preserve"> weeks. As a result, the demand throughout each quarter was project</w:t>
      </w:r>
      <w:r w:rsidR="00267D47" w:rsidRPr="00265A99">
        <w:rPr>
          <w:spacing w:val="-4"/>
          <w:lang w:val="en-GB"/>
        </w:rPr>
        <w:t>-</w:t>
      </w:r>
      <w:r w:rsidRPr="00265A99">
        <w:rPr>
          <w:spacing w:val="-4"/>
          <w:lang w:val="en-GB"/>
        </w:rPr>
        <w:t xml:space="preserve">based and could fluctuate in volume and </w:t>
      </w:r>
      <w:r w:rsidR="00267D47" w:rsidRPr="00265A99">
        <w:rPr>
          <w:spacing w:val="-4"/>
          <w:lang w:val="en-GB"/>
        </w:rPr>
        <w:t xml:space="preserve">in </w:t>
      </w:r>
      <w:r w:rsidRPr="00265A99">
        <w:rPr>
          <w:spacing w:val="-4"/>
          <w:lang w:val="en-GB"/>
        </w:rPr>
        <w:t xml:space="preserve">product variations. To reduce net working capital and the risk of expiration of the product in stock, Sika produced the epoxy flooring </w:t>
      </w:r>
      <w:r w:rsidR="00267D47" w:rsidRPr="00265A99">
        <w:rPr>
          <w:spacing w:val="-4"/>
          <w:lang w:val="en-GB"/>
        </w:rPr>
        <w:t xml:space="preserve">solution </w:t>
      </w:r>
      <w:r w:rsidRPr="00265A99">
        <w:rPr>
          <w:spacing w:val="-4"/>
          <w:lang w:val="en-GB"/>
        </w:rPr>
        <w:t>on a make-to-order basis. In the past, Sika had lost projects due to too long a lead</w:t>
      </w:r>
      <w:r w:rsidR="00267D47" w:rsidRPr="00265A99">
        <w:rPr>
          <w:spacing w:val="-4"/>
          <w:lang w:val="en-GB"/>
        </w:rPr>
        <w:t xml:space="preserve"> </w:t>
      </w:r>
      <w:r w:rsidRPr="00265A99">
        <w:rPr>
          <w:spacing w:val="-4"/>
          <w:lang w:val="en-GB"/>
        </w:rPr>
        <w:t xml:space="preserve">time. Since then, Sika had instituted a maximum lead time of 30 days in the epoxy flooring product supply chain. </w:t>
      </w:r>
    </w:p>
    <w:p w14:paraId="361856E8" w14:textId="77777777" w:rsidR="00001524" w:rsidRPr="00265A99" w:rsidRDefault="00001524" w:rsidP="00001524">
      <w:pPr>
        <w:pStyle w:val="BodyTextMain"/>
        <w:rPr>
          <w:spacing w:val="-4"/>
          <w:kern w:val="22"/>
          <w:lang w:val="en-GB"/>
        </w:rPr>
      </w:pPr>
    </w:p>
    <w:p w14:paraId="5ECADD3E" w14:textId="77777777" w:rsidR="00001524" w:rsidRPr="00265A99" w:rsidRDefault="00001524" w:rsidP="00001524">
      <w:pPr>
        <w:pStyle w:val="BodyTextMain"/>
        <w:rPr>
          <w:lang w:val="en-GB"/>
        </w:rPr>
      </w:pPr>
    </w:p>
    <w:p w14:paraId="279680FF" w14:textId="77777777" w:rsidR="00001524" w:rsidRPr="00265A99" w:rsidRDefault="00001524" w:rsidP="00001524">
      <w:pPr>
        <w:pStyle w:val="Casehead1"/>
        <w:rPr>
          <w:lang w:val="en-GB"/>
        </w:rPr>
      </w:pPr>
      <w:r w:rsidRPr="00265A99">
        <w:rPr>
          <w:lang w:val="en-GB"/>
        </w:rPr>
        <w:t>Current APAC Epoxy Flooring Supply Chain</w:t>
      </w:r>
    </w:p>
    <w:p w14:paraId="53DF7893" w14:textId="77777777" w:rsidR="00001524" w:rsidRPr="00265A99" w:rsidRDefault="00001524" w:rsidP="00001524">
      <w:pPr>
        <w:pStyle w:val="BodyTextMain"/>
        <w:rPr>
          <w:lang w:val="en-GB"/>
        </w:rPr>
      </w:pPr>
    </w:p>
    <w:p w14:paraId="3F21733F" w14:textId="51B5DBB1" w:rsidR="00001524" w:rsidRPr="00265A99" w:rsidRDefault="00001524" w:rsidP="00001524">
      <w:pPr>
        <w:pStyle w:val="BodyTextMain"/>
        <w:rPr>
          <w:lang w:val="en-GB"/>
        </w:rPr>
      </w:pPr>
      <w:r w:rsidRPr="00265A99">
        <w:rPr>
          <w:lang w:val="en-GB"/>
        </w:rPr>
        <w:t xml:space="preserve">To allow </w:t>
      </w:r>
      <w:r w:rsidR="0022355A" w:rsidRPr="00265A99">
        <w:rPr>
          <w:lang w:val="en-GB"/>
        </w:rPr>
        <w:t>quick</w:t>
      </w:r>
      <w:r w:rsidRPr="00265A99">
        <w:rPr>
          <w:lang w:val="en-GB"/>
        </w:rPr>
        <w:t xml:space="preserve"> decision making in the </w:t>
      </w:r>
      <w:r w:rsidR="00AB5B8D" w:rsidRPr="00265A99">
        <w:rPr>
          <w:lang w:val="en-GB"/>
        </w:rPr>
        <w:t>eight</w:t>
      </w:r>
      <w:r w:rsidRPr="00265A99">
        <w:rPr>
          <w:lang w:val="en-GB"/>
        </w:rPr>
        <w:t xml:space="preserve"> APAC countries where it sold the epoxy flooring product, Sika operated in a decentralized organization model</w:t>
      </w:r>
      <w:r w:rsidR="0022355A" w:rsidRPr="00265A99">
        <w:rPr>
          <w:lang w:val="en-GB"/>
        </w:rPr>
        <w:t>,</w:t>
      </w:r>
      <w:r w:rsidRPr="00265A99">
        <w:rPr>
          <w:lang w:val="en-GB"/>
        </w:rPr>
        <w:t xml:space="preserve"> </w:t>
      </w:r>
      <w:r w:rsidR="00F65584">
        <w:rPr>
          <w:lang w:val="en-GB"/>
        </w:rPr>
        <w:t>(</w:t>
      </w:r>
      <w:r w:rsidRPr="00265A99">
        <w:rPr>
          <w:lang w:val="en-GB"/>
        </w:rPr>
        <w:t>i.e.</w:t>
      </w:r>
      <w:r w:rsidR="0022355A" w:rsidRPr="00265A99">
        <w:rPr>
          <w:lang w:val="en-GB"/>
        </w:rPr>
        <w:t>,</w:t>
      </w:r>
      <w:r w:rsidRPr="00265A99">
        <w:rPr>
          <w:lang w:val="en-GB"/>
        </w:rPr>
        <w:t xml:space="preserve"> </w:t>
      </w:r>
      <w:r w:rsidR="00F65584">
        <w:rPr>
          <w:lang w:val="en-GB"/>
        </w:rPr>
        <w:t xml:space="preserve">a model that enabled </w:t>
      </w:r>
      <w:r w:rsidRPr="00265A99">
        <w:rPr>
          <w:lang w:val="en-GB"/>
        </w:rPr>
        <w:t>free choice of supply partners with no formal coordination through the Regional Operations and Supply Chain function</w:t>
      </w:r>
      <w:r w:rsidR="00F65584">
        <w:rPr>
          <w:lang w:val="en-GB"/>
        </w:rPr>
        <w:t>.)</w:t>
      </w:r>
      <w:r w:rsidRPr="00265A99">
        <w:rPr>
          <w:lang w:val="en-GB"/>
        </w:rPr>
        <w:t xml:space="preserve"> Demand </w:t>
      </w:r>
      <w:r w:rsidR="0022355A" w:rsidRPr="00265A99">
        <w:rPr>
          <w:lang w:val="en-GB"/>
        </w:rPr>
        <w:t>for</w:t>
      </w:r>
      <w:r w:rsidRPr="00265A99">
        <w:rPr>
          <w:lang w:val="en-GB"/>
        </w:rPr>
        <w:t xml:space="preserve"> epoxy flooring in these countries was satisfied by local production </w:t>
      </w:r>
      <w:r w:rsidR="006E70CF" w:rsidRPr="00265A99">
        <w:rPr>
          <w:lang w:val="en-GB"/>
        </w:rPr>
        <w:t>or</w:t>
      </w:r>
      <w:r w:rsidRPr="00265A99">
        <w:rPr>
          <w:lang w:val="en-GB"/>
        </w:rPr>
        <w:t xml:space="preserve"> through imports from neighbouring Sika plants </w:t>
      </w:r>
      <w:r w:rsidR="006E70CF" w:rsidRPr="00265A99">
        <w:rPr>
          <w:lang w:val="en-GB"/>
        </w:rPr>
        <w:t>when</w:t>
      </w:r>
      <w:r w:rsidRPr="00265A99">
        <w:rPr>
          <w:lang w:val="en-GB"/>
        </w:rPr>
        <w:t xml:space="preserve"> there w</w:t>
      </w:r>
      <w:r w:rsidR="006E70CF" w:rsidRPr="00265A99">
        <w:rPr>
          <w:lang w:val="en-GB"/>
        </w:rPr>
        <w:t>as</w:t>
      </w:r>
      <w:r w:rsidRPr="00265A99">
        <w:rPr>
          <w:lang w:val="en-GB"/>
        </w:rPr>
        <w:t xml:space="preserve"> no local production.</w:t>
      </w:r>
      <w:r w:rsidR="00265A99" w:rsidRPr="00265A99">
        <w:rPr>
          <w:lang w:val="en-GB"/>
        </w:rPr>
        <w:t xml:space="preserve"> </w:t>
      </w:r>
    </w:p>
    <w:p w14:paraId="014F1B8C" w14:textId="77777777" w:rsidR="00001524" w:rsidRPr="00265A99" w:rsidRDefault="00001524" w:rsidP="00001524">
      <w:pPr>
        <w:pStyle w:val="BodyTextMain"/>
        <w:rPr>
          <w:lang w:val="en-GB"/>
        </w:rPr>
      </w:pPr>
    </w:p>
    <w:p w14:paraId="52E06D4D" w14:textId="635AAECA" w:rsidR="00001524" w:rsidRPr="00265A99" w:rsidRDefault="00001524" w:rsidP="00001524">
      <w:pPr>
        <w:pStyle w:val="BodyTextMain"/>
        <w:rPr>
          <w:lang w:val="en-GB"/>
        </w:rPr>
      </w:pPr>
      <w:r w:rsidRPr="00265A99">
        <w:rPr>
          <w:lang w:val="en-GB"/>
        </w:rPr>
        <w:t xml:space="preserve">Exhibit 1 illustrates the supply chain in the second quarter of 2017. Each of the </w:t>
      </w:r>
      <w:r w:rsidR="006D566D" w:rsidRPr="00265A99">
        <w:rPr>
          <w:lang w:val="en-GB"/>
        </w:rPr>
        <w:t>six</w:t>
      </w:r>
      <w:r w:rsidRPr="00265A99">
        <w:rPr>
          <w:lang w:val="en-GB"/>
        </w:rPr>
        <w:t xml:space="preserve"> producing countries primarily supplied its local market</w:t>
      </w:r>
      <w:r w:rsidR="006D566D" w:rsidRPr="00265A99">
        <w:rPr>
          <w:lang w:val="en-GB"/>
        </w:rPr>
        <w:t>,</w:t>
      </w:r>
      <w:r w:rsidRPr="00265A99">
        <w:rPr>
          <w:lang w:val="en-GB"/>
        </w:rPr>
        <w:t xml:space="preserve"> while the plant in Country 3</w:t>
      </w:r>
      <w:r w:rsidR="006D566D" w:rsidRPr="00265A99">
        <w:rPr>
          <w:lang w:val="en-GB"/>
        </w:rPr>
        <w:t>,</w:t>
      </w:r>
      <w:r w:rsidRPr="00265A99">
        <w:rPr>
          <w:lang w:val="en-GB"/>
        </w:rPr>
        <w:t xml:space="preserve"> which had the highest quarterly production capacity (5</w:t>
      </w:r>
      <w:r w:rsidR="006D566D" w:rsidRPr="00265A99">
        <w:rPr>
          <w:lang w:val="en-GB"/>
        </w:rPr>
        <w:t>,</w:t>
      </w:r>
      <w:r w:rsidRPr="00265A99">
        <w:rPr>
          <w:lang w:val="en-GB"/>
        </w:rPr>
        <w:t>286 tons)</w:t>
      </w:r>
      <w:r w:rsidR="006D566D" w:rsidRPr="00265A99">
        <w:rPr>
          <w:lang w:val="en-GB"/>
        </w:rPr>
        <w:t>,</w:t>
      </w:r>
      <w:r w:rsidRPr="00265A99">
        <w:rPr>
          <w:lang w:val="en-GB"/>
        </w:rPr>
        <w:t xml:space="preserve"> also fulfilled the demand in </w:t>
      </w:r>
      <w:r w:rsidR="006D566D" w:rsidRPr="00265A99">
        <w:rPr>
          <w:lang w:val="en-GB"/>
        </w:rPr>
        <w:t>C</w:t>
      </w:r>
      <w:r w:rsidRPr="00265A99">
        <w:rPr>
          <w:lang w:val="en-GB"/>
        </w:rPr>
        <w:t>ountr</w:t>
      </w:r>
      <w:r w:rsidR="006D566D" w:rsidRPr="00265A99">
        <w:rPr>
          <w:lang w:val="en-GB"/>
        </w:rPr>
        <w:t>y</w:t>
      </w:r>
      <w:r w:rsidRPr="00265A99">
        <w:rPr>
          <w:lang w:val="en-GB"/>
        </w:rPr>
        <w:t xml:space="preserve"> 7 and </w:t>
      </w:r>
      <w:r w:rsidR="006D566D" w:rsidRPr="00265A99">
        <w:rPr>
          <w:lang w:val="en-GB"/>
        </w:rPr>
        <w:t xml:space="preserve">Country </w:t>
      </w:r>
      <w:r w:rsidRPr="00265A99">
        <w:rPr>
          <w:lang w:val="en-GB"/>
        </w:rPr>
        <w:t>8</w:t>
      </w:r>
      <w:r w:rsidR="006D566D" w:rsidRPr="00265A99">
        <w:rPr>
          <w:lang w:val="en-GB"/>
        </w:rPr>
        <w:t>,</w:t>
      </w:r>
      <w:r w:rsidRPr="00265A99">
        <w:rPr>
          <w:lang w:val="en-GB"/>
        </w:rPr>
        <w:t xml:space="preserve"> </w:t>
      </w:r>
      <w:r w:rsidR="00C40AB4">
        <w:rPr>
          <w:lang w:val="en-GB"/>
        </w:rPr>
        <w:t>which had</w:t>
      </w:r>
      <w:r w:rsidRPr="00265A99">
        <w:rPr>
          <w:lang w:val="en-GB"/>
        </w:rPr>
        <w:t xml:space="preserve"> no Sika production plant</w:t>
      </w:r>
      <w:r w:rsidR="006D566D" w:rsidRPr="00265A99">
        <w:rPr>
          <w:lang w:val="en-GB"/>
        </w:rPr>
        <w:t>s</w:t>
      </w:r>
      <w:r w:rsidRPr="00265A99">
        <w:rPr>
          <w:lang w:val="en-GB"/>
        </w:rPr>
        <w:t>. Under th</w:t>
      </w:r>
      <w:r w:rsidR="006D566D" w:rsidRPr="00265A99">
        <w:rPr>
          <w:lang w:val="en-GB"/>
        </w:rPr>
        <w:t>e</w:t>
      </w:r>
      <w:r w:rsidRPr="00265A99">
        <w:rPr>
          <w:lang w:val="en-GB"/>
        </w:rPr>
        <w:t xml:space="preserve"> “freedom of choice” model, the total supply chain cost</w:t>
      </w:r>
      <w:r w:rsidR="006D566D" w:rsidRPr="00265A99">
        <w:rPr>
          <w:lang w:val="en-GB"/>
        </w:rPr>
        <w:t>,</w:t>
      </w:r>
      <w:r w:rsidRPr="00265A99">
        <w:rPr>
          <w:lang w:val="en-GB"/>
        </w:rPr>
        <w:t xml:space="preserve"> comprising fixed operating costs plus landed costs</w:t>
      </w:r>
      <w:r w:rsidR="006D566D" w:rsidRPr="00265A99">
        <w:rPr>
          <w:lang w:val="en-GB"/>
        </w:rPr>
        <w:t>,</w:t>
      </w:r>
      <w:r w:rsidRPr="00265A99">
        <w:rPr>
          <w:lang w:val="en-GB"/>
        </w:rPr>
        <w:t xml:space="preserve"> was </w:t>
      </w:r>
      <w:r w:rsidR="006D566D" w:rsidRPr="00265A99">
        <w:rPr>
          <w:lang w:val="en-GB"/>
        </w:rPr>
        <w:t>US</w:t>
      </w:r>
      <w:r w:rsidRPr="00265A99">
        <w:rPr>
          <w:lang w:val="en-GB"/>
        </w:rPr>
        <w:t>$50,537,164</w:t>
      </w:r>
      <w:r w:rsidR="0079210B">
        <w:rPr>
          <w:lang w:val="en-GB"/>
        </w:rPr>
        <w:t>.</w:t>
      </w:r>
      <w:r w:rsidRPr="00265A99">
        <w:rPr>
          <w:lang w:val="en-GB"/>
        </w:rPr>
        <w:t xml:space="preserve"> </w:t>
      </w:r>
    </w:p>
    <w:p w14:paraId="06CDF998" w14:textId="77777777" w:rsidR="00001524" w:rsidRPr="00265A99" w:rsidRDefault="00001524" w:rsidP="00001524">
      <w:pPr>
        <w:pStyle w:val="BodyTextMain"/>
        <w:rPr>
          <w:lang w:val="en-GB"/>
        </w:rPr>
      </w:pPr>
    </w:p>
    <w:p w14:paraId="26ECFA43" w14:textId="77777777" w:rsidR="00001524" w:rsidRPr="00265A99" w:rsidRDefault="00001524" w:rsidP="00001524">
      <w:pPr>
        <w:pStyle w:val="BodyTextMain"/>
        <w:rPr>
          <w:lang w:val="en-GB"/>
        </w:rPr>
      </w:pPr>
    </w:p>
    <w:p w14:paraId="6C499F19" w14:textId="7C842D54" w:rsidR="00001524" w:rsidRPr="00265A99" w:rsidRDefault="00001524" w:rsidP="00001524">
      <w:pPr>
        <w:pStyle w:val="Casehead1"/>
        <w:rPr>
          <w:lang w:val="en-GB"/>
        </w:rPr>
      </w:pPr>
      <w:r w:rsidRPr="00265A99">
        <w:rPr>
          <w:lang w:val="en-GB"/>
        </w:rPr>
        <w:t>The win</w:t>
      </w:r>
      <w:r w:rsidR="006D566D" w:rsidRPr="00265A99">
        <w:rPr>
          <w:lang w:val="en-GB"/>
        </w:rPr>
        <w:t>–</w:t>
      </w:r>
      <w:r w:rsidRPr="00265A99">
        <w:rPr>
          <w:lang w:val="en-GB"/>
        </w:rPr>
        <w:t xml:space="preserve">win Coffee Break </w:t>
      </w:r>
    </w:p>
    <w:p w14:paraId="5F697C37" w14:textId="77777777" w:rsidR="00001524" w:rsidRPr="00265A99" w:rsidRDefault="00001524" w:rsidP="00001524">
      <w:pPr>
        <w:pStyle w:val="BodyTextMain"/>
        <w:rPr>
          <w:lang w:val="en-GB"/>
        </w:rPr>
      </w:pPr>
    </w:p>
    <w:p w14:paraId="6CCF26D0" w14:textId="0A8BAEB4" w:rsidR="00001524" w:rsidRPr="00265A99" w:rsidRDefault="006D566D" w:rsidP="00001524">
      <w:pPr>
        <w:pStyle w:val="BodyTextMain"/>
        <w:rPr>
          <w:lang w:val="en-GB"/>
        </w:rPr>
      </w:pPr>
      <w:r w:rsidRPr="00265A99">
        <w:rPr>
          <w:lang w:val="en-GB"/>
        </w:rPr>
        <w:t>Kwok</w:t>
      </w:r>
      <w:r w:rsidR="00001524" w:rsidRPr="00265A99">
        <w:rPr>
          <w:lang w:val="en-GB"/>
        </w:rPr>
        <w:t xml:space="preserve"> had been concerned about the efficiency of the APAC epoxy flooring product supply chain since 2016. Leaving supply chain decisions to the local units had resulted in significant capacity and price inefficiencies. She had noted</w:t>
      </w:r>
      <w:r w:rsidRPr="00265A99">
        <w:rPr>
          <w:lang w:val="en-GB"/>
        </w:rPr>
        <w:t>,</w:t>
      </w:r>
      <w:r w:rsidR="00001524" w:rsidRPr="00265A99">
        <w:rPr>
          <w:lang w:val="en-GB"/>
        </w:rPr>
        <w:t xml:space="preserve"> for instance</w:t>
      </w:r>
      <w:r w:rsidRPr="00265A99">
        <w:rPr>
          <w:lang w:val="en-GB"/>
        </w:rPr>
        <w:t>,</w:t>
      </w:r>
      <w:r w:rsidR="00001524" w:rsidRPr="00265A99">
        <w:rPr>
          <w:lang w:val="en-GB"/>
        </w:rPr>
        <w:t xml:space="preserve"> that for the second quarter of 2017, capacity utilization ranged from 53</w:t>
      </w:r>
      <w:r w:rsidRPr="00265A99">
        <w:rPr>
          <w:lang w:val="en-GB"/>
        </w:rPr>
        <w:t xml:space="preserve"> per cent</w:t>
      </w:r>
      <w:r w:rsidR="00001524" w:rsidRPr="00265A99">
        <w:rPr>
          <w:lang w:val="en-GB"/>
        </w:rPr>
        <w:t xml:space="preserve"> (Country 2) to 88</w:t>
      </w:r>
      <w:r w:rsidRPr="00265A99">
        <w:rPr>
          <w:lang w:val="en-GB"/>
        </w:rPr>
        <w:t xml:space="preserve"> per cent</w:t>
      </w:r>
      <w:r w:rsidR="00001524" w:rsidRPr="00265A99">
        <w:rPr>
          <w:lang w:val="en-GB"/>
        </w:rPr>
        <w:t xml:space="preserve"> (Country 6)</w:t>
      </w:r>
      <w:r w:rsidR="009B26AB" w:rsidRPr="00265A99">
        <w:rPr>
          <w:lang w:val="en-GB"/>
        </w:rPr>
        <w:t>,</w:t>
      </w:r>
      <w:r w:rsidR="00001524" w:rsidRPr="00265A99">
        <w:rPr>
          <w:lang w:val="en-GB"/>
        </w:rPr>
        <w:t xml:space="preserve"> with an average of 71</w:t>
      </w:r>
      <w:r w:rsidRPr="00265A99">
        <w:rPr>
          <w:lang w:val="en-GB"/>
        </w:rPr>
        <w:t xml:space="preserve"> per cent</w:t>
      </w:r>
      <w:r w:rsidR="00001524" w:rsidRPr="00265A99">
        <w:rPr>
          <w:lang w:val="en-GB"/>
        </w:rPr>
        <w:t xml:space="preserve"> across the </w:t>
      </w:r>
      <w:r w:rsidR="009B26AB" w:rsidRPr="00265A99">
        <w:rPr>
          <w:lang w:val="en-GB"/>
        </w:rPr>
        <w:t>six</w:t>
      </w:r>
      <w:r w:rsidR="00001524" w:rsidRPr="00265A99">
        <w:rPr>
          <w:lang w:val="en-GB"/>
        </w:rPr>
        <w:t xml:space="preserve"> producing countries. She believed that </w:t>
      </w:r>
      <w:r w:rsidR="009B26AB" w:rsidRPr="00265A99">
        <w:rPr>
          <w:lang w:val="en-GB"/>
        </w:rPr>
        <w:t xml:space="preserve">having </w:t>
      </w:r>
      <w:r w:rsidR="00001524" w:rsidRPr="00265A99">
        <w:rPr>
          <w:lang w:val="en-GB"/>
        </w:rPr>
        <w:t xml:space="preserve">production concentrated in fewer countries could meet the demand in the </w:t>
      </w:r>
      <w:r w:rsidR="009B26AB" w:rsidRPr="00265A99">
        <w:rPr>
          <w:lang w:val="en-GB"/>
        </w:rPr>
        <w:t>eight</w:t>
      </w:r>
      <w:r w:rsidR="00001524" w:rsidRPr="00265A99">
        <w:rPr>
          <w:lang w:val="en-GB"/>
        </w:rPr>
        <w:t xml:space="preserve"> markets at a lower total cost. Production plants that w</w:t>
      </w:r>
      <w:r w:rsidR="009B26AB" w:rsidRPr="00265A99">
        <w:rPr>
          <w:lang w:val="en-GB"/>
        </w:rPr>
        <w:t>ere</w:t>
      </w:r>
      <w:r w:rsidR="00001524" w:rsidRPr="00265A99">
        <w:rPr>
          <w:lang w:val="en-GB"/>
        </w:rPr>
        <w:t xml:space="preserve"> not needed could readily be reassigned to other products for which capacity was lacking.</w:t>
      </w:r>
    </w:p>
    <w:p w14:paraId="6210FBC9" w14:textId="77777777" w:rsidR="00001524" w:rsidRPr="00265A99" w:rsidRDefault="00001524" w:rsidP="00001524">
      <w:pPr>
        <w:pStyle w:val="BodyTextMain"/>
        <w:rPr>
          <w:lang w:val="en-GB"/>
        </w:rPr>
      </w:pPr>
    </w:p>
    <w:p w14:paraId="40984289" w14:textId="3EF064F5" w:rsidR="00001524" w:rsidRPr="00265A99" w:rsidRDefault="00001524" w:rsidP="00001524">
      <w:pPr>
        <w:pStyle w:val="BodyTextMain"/>
        <w:rPr>
          <w:lang w:val="en-GB"/>
        </w:rPr>
      </w:pPr>
      <w:r w:rsidRPr="00265A99">
        <w:rPr>
          <w:lang w:val="en-GB"/>
        </w:rPr>
        <w:lastRenderedPageBreak/>
        <w:t xml:space="preserve">On July </w:t>
      </w:r>
      <w:r w:rsidR="009B26AB" w:rsidRPr="00265A99">
        <w:rPr>
          <w:lang w:val="en-GB"/>
        </w:rPr>
        <w:t xml:space="preserve">5, </w:t>
      </w:r>
      <w:r w:rsidRPr="00265A99">
        <w:rPr>
          <w:lang w:val="en-GB"/>
        </w:rPr>
        <w:t xml:space="preserve">2017, </w:t>
      </w:r>
      <w:r w:rsidR="009B26AB" w:rsidRPr="00265A99">
        <w:rPr>
          <w:lang w:val="en-GB"/>
        </w:rPr>
        <w:t>Kwok</w:t>
      </w:r>
      <w:r w:rsidRPr="00265A99">
        <w:rPr>
          <w:lang w:val="en-GB"/>
        </w:rPr>
        <w:t xml:space="preserve"> was sharing a morning coffee break with her colleague Roger Nadal</w:t>
      </w:r>
      <w:r w:rsidR="009B26AB" w:rsidRPr="00265A99">
        <w:rPr>
          <w:lang w:val="en-GB"/>
        </w:rPr>
        <w:t>,</w:t>
      </w:r>
      <w:r w:rsidRPr="00265A99">
        <w:rPr>
          <w:lang w:val="en-GB"/>
        </w:rPr>
        <w:t xml:space="preserve"> who had just returned from the first residential segment of an </w:t>
      </w:r>
      <w:r w:rsidR="009B26AB" w:rsidRPr="00265A99">
        <w:rPr>
          <w:lang w:val="en-GB"/>
        </w:rPr>
        <w:t>e</w:t>
      </w:r>
      <w:r w:rsidRPr="00265A99">
        <w:rPr>
          <w:lang w:val="en-GB"/>
        </w:rPr>
        <w:t xml:space="preserve">xecutive MBA program. When she described her supply chain concern to </w:t>
      </w:r>
      <w:r w:rsidR="009B26AB" w:rsidRPr="00265A99">
        <w:rPr>
          <w:lang w:val="en-GB"/>
        </w:rPr>
        <w:t>Nadal</w:t>
      </w:r>
      <w:r w:rsidRPr="00265A99">
        <w:rPr>
          <w:lang w:val="en-GB"/>
        </w:rPr>
        <w:t xml:space="preserve">, </w:t>
      </w:r>
      <w:r w:rsidR="009B26AB" w:rsidRPr="00265A99">
        <w:rPr>
          <w:lang w:val="en-GB"/>
        </w:rPr>
        <w:t>he</w:t>
      </w:r>
      <w:r w:rsidRPr="00265A99">
        <w:rPr>
          <w:lang w:val="en-GB"/>
        </w:rPr>
        <w:t xml:space="preserve"> could not believe his luck</w:t>
      </w:r>
      <w:r w:rsidR="009B26AB" w:rsidRPr="00265A99">
        <w:rPr>
          <w:lang w:val="en-GB"/>
        </w:rPr>
        <w:t>—Nadal</w:t>
      </w:r>
      <w:r w:rsidRPr="00265A99">
        <w:rPr>
          <w:lang w:val="en-GB"/>
        </w:rPr>
        <w:t xml:space="preserve"> was looking for a problem to work on for an “Analytics@Workplace” project that was required for the completion of his Business Analytics for Decision Makers course. If he was provided the pertinent data, </w:t>
      </w:r>
      <w:r w:rsidR="009B26AB" w:rsidRPr="00265A99">
        <w:rPr>
          <w:lang w:val="en-GB"/>
        </w:rPr>
        <w:t>Nadal</w:t>
      </w:r>
      <w:r w:rsidRPr="00265A99">
        <w:rPr>
          <w:lang w:val="en-GB"/>
        </w:rPr>
        <w:t xml:space="preserve"> believed he could optimize the supply chain and improve its cost efficiency.</w:t>
      </w:r>
      <w:r w:rsidR="00265A99" w:rsidRPr="00265A99">
        <w:rPr>
          <w:lang w:val="en-GB"/>
        </w:rPr>
        <w:t xml:space="preserve"> </w:t>
      </w:r>
    </w:p>
    <w:p w14:paraId="2C3D468E" w14:textId="77777777" w:rsidR="00001524" w:rsidRPr="00265A99" w:rsidRDefault="00001524" w:rsidP="00001524">
      <w:pPr>
        <w:pStyle w:val="BodyTextMain"/>
        <w:rPr>
          <w:lang w:val="en-GB"/>
        </w:rPr>
      </w:pPr>
    </w:p>
    <w:p w14:paraId="45C885AF" w14:textId="300E502F" w:rsidR="00001524" w:rsidRPr="00265A99" w:rsidRDefault="00001524" w:rsidP="00001524">
      <w:pPr>
        <w:pStyle w:val="BodyTextMain"/>
        <w:rPr>
          <w:lang w:val="en-GB"/>
        </w:rPr>
      </w:pPr>
      <w:r w:rsidRPr="00265A99">
        <w:rPr>
          <w:lang w:val="en-GB"/>
        </w:rPr>
        <w:t xml:space="preserve">On the same afternoon, </w:t>
      </w:r>
      <w:r w:rsidR="009B26AB" w:rsidRPr="00265A99">
        <w:rPr>
          <w:lang w:val="en-GB"/>
        </w:rPr>
        <w:t>Nadal</w:t>
      </w:r>
      <w:r w:rsidRPr="00265A99">
        <w:rPr>
          <w:lang w:val="en-GB"/>
        </w:rPr>
        <w:t xml:space="preserve"> received data pertaining to the current quarterly capacity and fixed operating cost for each of the </w:t>
      </w:r>
      <w:r w:rsidR="009B26AB" w:rsidRPr="00265A99">
        <w:rPr>
          <w:lang w:val="en-GB"/>
        </w:rPr>
        <w:t>six</w:t>
      </w:r>
      <w:r w:rsidRPr="00265A99">
        <w:rPr>
          <w:lang w:val="en-GB"/>
        </w:rPr>
        <w:t xml:space="preserve"> production plants</w:t>
      </w:r>
      <w:r w:rsidR="00F27A76" w:rsidRPr="00265A99">
        <w:rPr>
          <w:lang w:val="en-GB"/>
        </w:rPr>
        <w:t>;</w:t>
      </w:r>
      <w:r w:rsidRPr="00265A99">
        <w:rPr>
          <w:lang w:val="en-GB"/>
        </w:rPr>
        <w:t xml:space="preserve"> </w:t>
      </w:r>
      <w:r w:rsidR="00F27A76" w:rsidRPr="00265A99">
        <w:rPr>
          <w:lang w:val="en-GB"/>
        </w:rPr>
        <w:t>for example</w:t>
      </w:r>
      <w:r w:rsidR="009B26AB" w:rsidRPr="00265A99">
        <w:rPr>
          <w:lang w:val="en-GB"/>
        </w:rPr>
        <w:t>,</w:t>
      </w:r>
      <w:r w:rsidRPr="00265A99">
        <w:rPr>
          <w:lang w:val="en-GB"/>
        </w:rPr>
        <w:t xml:space="preserve"> 1</w:t>
      </w:r>
      <w:r w:rsidR="009B26AB" w:rsidRPr="00265A99">
        <w:rPr>
          <w:lang w:val="en-GB"/>
        </w:rPr>
        <w:t>,</w:t>
      </w:r>
      <w:r w:rsidRPr="00265A99">
        <w:rPr>
          <w:lang w:val="en-GB"/>
        </w:rPr>
        <w:t xml:space="preserve">725 tons and </w:t>
      </w:r>
      <w:r w:rsidR="009B26AB" w:rsidRPr="00265A99">
        <w:rPr>
          <w:lang w:val="en-GB"/>
        </w:rPr>
        <w:t>US</w:t>
      </w:r>
      <w:r w:rsidRPr="00265A99">
        <w:rPr>
          <w:lang w:val="en-GB"/>
        </w:rPr>
        <w:t>$1,380,000 in Country 1</w:t>
      </w:r>
      <w:r w:rsidR="009B26AB" w:rsidRPr="00265A99">
        <w:rPr>
          <w:lang w:val="en-GB"/>
        </w:rPr>
        <w:t>, and so on for the other countries</w:t>
      </w:r>
      <w:r w:rsidRPr="00265A99">
        <w:rPr>
          <w:lang w:val="en-GB"/>
        </w:rPr>
        <w:t>. He was also provided matrices of landed costs (comprising production, transportation</w:t>
      </w:r>
      <w:r w:rsidR="00F27A76" w:rsidRPr="00265A99">
        <w:rPr>
          <w:lang w:val="en-GB"/>
        </w:rPr>
        <w:t>,</w:t>
      </w:r>
      <w:r w:rsidRPr="00265A99">
        <w:rPr>
          <w:lang w:val="en-GB"/>
        </w:rPr>
        <w:t xml:space="preserve"> and import tax costs) and lead times (for order processing and transportation) from </w:t>
      </w:r>
      <w:r w:rsidR="00F27A76" w:rsidRPr="00265A99">
        <w:rPr>
          <w:lang w:val="en-GB"/>
        </w:rPr>
        <w:t xml:space="preserve">the </w:t>
      </w:r>
      <w:r w:rsidRPr="00265A99">
        <w:rPr>
          <w:lang w:val="en-GB"/>
        </w:rPr>
        <w:t>production plant to market</w:t>
      </w:r>
      <w:r w:rsidR="00F27A76" w:rsidRPr="00265A99">
        <w:rPr>
          <w:lang w:val="en-GB"/>
        </w:rPr>
        <w:t>;</w:t>
      </w:r>
      <w:r w:rsidRPr="00265A99">
        <w:rPr>
          <w:lang w:val="en-GB"/>
        </w:rPr>
        <w:t xml:space="preserve"> </w:t>
      </w:r>
      <w:r w:rsidR="00F27A76" w:rsidRPr="00265A99">
        <w:rPr>
          <w:lang w:val="en-GB"/>
        </w:rPr>
        <w:t>for example,</w:t>
      </w:r>
      <w:r w:rsidRPr="00265A99">
        <w:rPr>
          <w:lang w:val="en-GB"/>
        </w:rPr>
        <w:t xml:space="preserve"> </w:t>
      </w:r>
      <w:r w:rsidR="007F38EB" w:rsidRPr="00265A99">
        <w:rPr>
          <w:lang w:val="en-GB"/>
        </w:rPr>
        <w:t>US</w:t>
      </w:r>
      <w:r w:rsidRPr="00265A99">
        <w:rPr>
          <w:lang w:val="en-GB"/>
        </w:rPr>
        <w:t>$4,900/ton and 18 days for shipments from Country 1 to Country 2</w:t>
      </w:r>
      <w:r w:rsidR="00F27A76" w:rsidRPr="00265A99">
        <w:rPr>
          <w:lang w:val="en-GB"/>
        </w:rPr>
        <w:t>, and so on</w:t>
      </w:r>
      <w:r w:rsidRPr="00265A99">
        <w:rPr>
          <w:lang w:val="en-GB"/>
        </w:rPr>
        <w:t xml:space="preserve"> </w:t>
      </w:r>
      <w:r w:rsidR="00F27A76" w:rsidRPr="00265A99">
        <w:rPr>
          <w:lang w:val="en-GB"/>
        </w:rPr>
        <w:t>(</w:t>
      </w:r>
      <w:r w:rsidRPr="00265A99">
        <w:rPr>
          <w:lang w:val="en-GB"/>
        </w:rPr>
        <w:t>see Exhibits 2 and 3</w:t>
      </w:r>
      <w:r w:rsidR="00F27A76" w:rsidRPr="00265A99">
        <w:rPr>
          <w:lang w:val="en-GB"/>
        </w:rPr>
        <w:t>)</w:t>
      </w:r>
      <w:r w:rsidRPr="00265A99">
        <w:rPr>
          <w:lang w:val="en-GB"/>
        </w:rPr>
        <w:t>. Lead time was not an issue when a production plant supplied its local market</w:t>
      </w:r>
      <w:r w:rsidR="00F27A76" w:rsidRPr="00265A99">
        <w:rPr>
          <w:lang w:val="en-GB"/>
        </w:rPr>
        <w:t>,</w:t>
      </w:r>
      <w:r w:rsidRPr="00265A99">
        <w:rPr>
          <w:lang w:val="en-GB"/>
        </w:rPr>
        <w:t xml:space="preserve"> and in such cases the lead time was at most </w:t>
      </w:r>
      <w:r w:rsidR="00F27A76" w:rsidRPr="00265A99">
        <w:rPr>
          <w:lang w:val="en-GB"/>
        </w:rPr>
        <w:t>seven</w:t>
      </w:r>
      <w:r w:rsidRPr="00265A99">
        <w:rPr>
          <w:lang w:val="en-GB"/>
        </w:rPr>
        <w:t xml:space="preserve"> days. However, for overseas shipments, the lead time varied widely between 12 and 49 days. As Sika imposed a 30-day maximum lead</w:t>
      </w:r>
      <w:r w:rsidR="00F27A76" w:rsidRPr="00265A99">
        <w:rPr>
          <w:lang w:val="en-GB"/>
        </w:rPr>
        <w:t xml:space="preserve"> </w:t>
      </w:r>
      <w:r w:rsidRPr="00265A99">
        <w:rPr>
          <w:lang w:val="en-GB"/>
        </w:rPr>
        <w:t>time, a producing plant could therefore only serve some markets. For instance, the plant in Country 1 could service countries 1, 2, 3, 4</w:t>
      </w:r>
      <w:r w:rsidR="00F27A76" w:rsidRPr="00265A99">
        <w:rPr>
          <w:lang w:val="en-GB"/>
        </w:rPr>
        <w:t>,</w:t>
      </w:r>
      <w:r w:rsidRPr="00265A99">
        <w:rPr>
          <w:lang w:val="en-GB"/>
        </w:rPr>
        <w:t xml:space="preserve"> and 7</w:t>
      </w:r>
      <w:r w:rsidR="00577D4D" w:rsidRPr="00265A99">
        <w:rPr>
          <w:lang w:val="en-GB"/>
        </w:rPr>
        <w:t>,</w:t>
      </w:r>
      <w:r w:rsidRPr="00265A99">
        <w:rPr>
          <w:lang w:val="en-GB"/>
        </w:rPr>
        <w:t xml:space="preserve"> but not 5,</w:t>
      </w:r>
      <w:r w:rsidR="007F38EB" w:rsidRPr="00265A99">
        <w:rPr>
          <w:lang w:val="en-GB"/>
        </w:rPr>
        <w:t xml:space="preserve"> </w:t>
      </w:r>
      <w:r w:rsidRPr="00265A99">
        <w:rPr>
          <w:lang w:val="en-GB"/>
        </w:rPr>
        <w:t>6</w:t>
      </w:r>
      <w:r w:rsidR="007F38EB" w:rsidRPr="00265A99">
        <w:rPr>
          <w:lang w:val="en-GB"/>
        </w:rPr>
        <w:t>,</w:t>
      </w:r>
      <w:r w:rsidRPr="00265A99">
        <w:rPr>
          <w:lang w:val="en-GB"/>
        </w:rPr>
        <w:t xml:space="preserve"> and 8</w:t>
      </w:r>
      <w:r w:rsidR="00B414A8">
        <w:rPr>
          <w:lang w:val="en-GB"/>
        </w:rPr>
        <w:t xml:space="preserve"> (see Exhibit 3)</w:t>
      </w:r>
      <w:r w:rsidRPr="00265A99">
        <w:rPr>
          <w:lang w:val="en-GB"/>
        </w:rPr>
        <w:t>.</w:t>
      </w:r>
    </w:p>
    <w:p w14:paraId="38BD6B15" w14:textId="77777777" w:rsidR="00001524" w:rsidRPr="00265A99" w:rsidRDefault="00001524" w:rsidP="00001524">
      <w:pPr>
        <w:pStyle w:val="BodyTextMain"/>
        <w:rPr>
          <w:lang w:val="en-GB"/>
        </w:rPr>
      </w:pPr>
    </w:p>
    <w:p w14:paraId="55C1DCAB" w14:textId="2445E8A3" w:rsidR="00001524" w:rsidRPr="00265A99" w:rsidRDefault="00F27A76" w:rsidP="00001524">
      <w:pPr>
        <w:pStyle w:val="BodyTextMain"/>
        <w:rPr>
          <w:lang w:val="en-GB"/>
        </w:rPr>
      </w:pPr>
      <w:r w:rsidRPr="00265A99">
        <w:rPr>
          <w:lang w:val="en-GB"/>
        </w:rPr>
        <w:t>Nadal</w:t>
      </w:r>
      <w:r w:rsidR="00001524" w:rsidRPr="00265A99">
        <w:rPr>
          <w:lang w:val="en-GB"/>
        </w:rPr>
        <w:t xml:space="preserve"> quickly applied the knowledge gained in his </w:t>
      </w:r>
      <w:r w:rsidRPr="00265A99">
        <w:rPr>
          <w:lang w:val="en-GB"/>
        </w:rPr>
        <w:t>a</w:t>
      </w:r>
      <w:r w:rsidR="00001524" w:rsidRPr="00265A99">
        <w:rPr>
          <w:lang w:val="en-GB"/>
        </w:rPr>
        <w:t xml:space="preserve">nalytics course to develop an </w:t>
      </w:r>
      <w:r w:rsidRPr="00265A99">
        <w:rPr>
          <w:lang w:val="en-GB"/>
        </w:rPr>
        <w:t>o</w:t>
      </w:r>
      <w:r w:rsidR="00001524" w:rsidRPr="00265A99">
        <w:rPr>
          <w:lang w:val="en-GB"/>
        </w:rPr>
        <w:t>ptimization template for the epoxy flooring supply chain problem.</w:t>
      </w:r>
      <w:r w:rsidR="00265A99" w:rsidRPr="00265A99">
        <w:rPr>
          <w:lang w:val="en-GB"/>
        </w:rPr>
        <w:t xml:space="preserve"> </w:t>
      </w:r>
    </w:p>
    <w:p w14:paraId="093B7660" w14:textId="77777777" w:rsidR="00001524" w:rsidRPr="00265A99" w:rsidRDefault="00001524" w:rsidP="00001524">
      <w:pPr>
        <w:pStyle w:val="BodyTextMain"/>
        <w:rPr>
          <w:lang w:val="en-GB"/>
        </w:rPr>
      </w:pPr>
    </w:p>
    <w:p w14:paraId="4938E3B7" w14:textId="77777777" w:rsidR="00001524" w:rsidRPr="00265A99" w:rsidRDefault="00001524" w:rsidP="00001524">
      <w:pPr>
        <w:pStyle w:val="BodyTextMain"/>
        <w:rPr>
          <w:lang w:val="en-GB"/>
        </w:rPr>
      </w:pPr>
    </w:p>
    <w:p w14:paraId="2684CF14" w14:textId="7D4DB540" w:rsidR="00001524" w:rsidRPr="00265A99" w:rsidRDefault="00001524" w:rsidP="00001524">
      <w:pPr>
        <w:pStyle w:val="Casehead1"/>
        <w:rPr>
          <w:lang w:val="en-GB"/>
        </w:rPr>
      </w:pPr>
      <w:r w:rsidRPr="00265A99">
        <w:rPr>
          <w:lang w:val="en-GB"/>
        </w:rPr>
        <w:t>REPLY</w:t>
      </w:r>
      <w:r w:rsidR="00F27A76" w:rsidRPr="00265A99">
        <w:rPr>
          <w:lang w:val="en-GB"/>
        </w:rPr>
        <w:t xml:space="preserve"> from headquarters</w:t>
      </w:r>
    </w:p>
    <w:p w14:paraId="500905CF" w14:textId="77777777" w:rsidR="00001524" w:rsidRPr="00265A99" w:rsidRDefault="00001524" w:rsidP="000D4E57">
      <w:pPr>
        <w:pStyle w:val="BodyTextMain"/>
        <w:rPr>
          <w:lang w:val="en-GB"/>
        </w:rPr>
      </w:pPr>
    </w:p>
    <w:p w14:paraId="0530C459" w14:textId="67D7A305" w:rsidR="00001524" w:rsidRPr="00265A99" w:rsidRDefault="00001524" w:rsidP="00001524">
      <w:pPr>
        <w:pStyle w:val="BodyTextMain"/>
        <w:rPr>
          <w:lang w:val="en-GB"/>
        </w:rPr>
      </w:pPr>
      <w:r w:rsidRPr="00265A99">
        <w:rPr>
          <w:lang w:val="en-GB"/>
        </w:rPr>
        <w:t xml:space="preserve">Soon after </w:t>
      </w:r>
      <w:r w:rsidR="00F27A76" w:rsidRPr="00265A99">
        <w:rPr>
          <w:lang w:val="en-GB"/>
        </w:rPr>
        <w:t>Kwok</w:t>
      </w:r>
      <w:r w:rsidRPr="00265A99">
        <w:rPr>
          <w:lang w:val="en-GB"/>
        </w:rPr>
        <w:t xml:space="preserve"> forwarded </w:t>
      </w:r>
      <w:r w:rsidR="00F27A76" w:rsidRPr="00265A99">
        <w:rPr>
          <w:lang w:val="en-GB"/>
        </w:rPr>
        <w:t>Nadal</w:t>
      </w:r>
      <w:r w:rsidRPr="00265A99">
        <w:rPr>
          <w:lang w:val="en-GB"/>
        </w:rPr>
        <w:t>’s solution to the company</w:t>
      </w:r>
      <w:r w:rsidR="00F27A76" w:rsidRPr="00265A99">
        <w:rPr>
          <w:lang w:val="en-GB"/>
        </w:rPr>
        <w:t>’s</w:t>
      </w:r>
      <w:r w:rsidRPr="00265A99">
        <w:rPr>
          <w:lang w:val="en-GB"/>
        </w:rPr>
        <w:t xml:space="preserve"> headquarter</w:t>
      </w:r>
      <w:r w:rsidR="00F27A76" w:rsidRPr="00265A99">
        <w:rPr>
          <w:lang w:val="en-GB"/>
        </w:rPr>
        <w:t>s (</w:t>
      </w:r>
      <w:r w:rsidR="003F2171" w:rsidRPr="00265A99">
        <w:rPr>
          <w:lang w:val="en-GB"/>
        </w:rPr>
        <w:t>H</w:t>
      </w:r>
      <w:r w:rsidR="00F27A76" w:rsidRPr="00265A99">
        <w:rPr>
          <w:lang w:val="en-GB"/>
        </w:rPr>
        <w:t>Q)</w:t>
      </w:r>
      <w:r w:rsidRPr="00265A99">
        <w:rPr>
          <w:lang w:val="en-GB"/>
        </w:rPr>
        <w:t xml:space="preserve"> in Baar, Switzerland, </w:t>
      </w:r>
      <w:r w:rsidR="00F27A76" w:rsidRPr="00265A99">
        <w:rPr>
          <w:lang w:val="en-GB"/>
        </w:rPr>
        <w:t xml:space="preserve">she received </w:t>
      </w:r>
      <w:r w:rsidRPr="00265A99">
        <w:rPr>
          <w:lang w:val="en-GB"/>
        </w:rPr>
        <w:t>an urgent email:</w:t>
      </w:r>
    </w:p>
    <w:p w14:paraId="3AE93E42" w14:textId="77777777" w:rsidR="00001524" w:rsidRPr="00265A99" w:rsidRDefault="00001524" w:rsidP="00001524">
      <w:pPr>
        <w:pStyle w:val="BodyTextMain"/>
        <w:rPr>
          <w:lang w:val="en-GB"/>
        </w:rPr>
      </w:pPr>
    </w:p>
    <w:p w14:paraId="21063F19" w14:textId="4283369D" w:rsidR="00001524" w:rsidRPr="00265A99" w:rsidRDefault="00001524" w:rsidP="000D4E57">
      <w:pPr>
        <w:pStyle w:val="BodyTextMain"/>
        <w:ind w:left="720"/>
        <w:rPr>
          <w:lang w:val="en-GB"/>
        </w:rPr>
      </w:pPr>
      <w:r w:rsidRPr="00265A99">
        <w:rPr>
          <w:lang w:val="en-GB"/>
        </w:rPr>
        <w:t xml:space="preserve">HQ loves the supply chain rationalization proposal. Ultimately, we want a ROBUST solution </w:t>
      </w:r>
      <w:r w:rsidR="00B365DB" w:rsidRPr="00265A99">
        <w:rPr>
          <w:lang w:val="en-GB"/>
        </w:rPr>
        <w:t xml:space="preserve">that </w:t>
      </w:r>
      <w:r w:rsidRPr="00265A99">
        <w:rPr>
          <w:lang w:val="en-GB"/>
        </w:rPr>
        <w:t>can be implemented for the next few years. According to our collaborative forecast model, the demand for this epoxy flooring product will grow moderately in the near future. Also, the landed cost and lead time matrices are expected to remain stable due to long</w:t>
      </w:r>
      <w:r w:rsidR="00F27A76" w:rsidRPr="00265A99">
        <w:rPr>
          <w:lang w:val="en-GB"/>
        </w:rPr>
        <w:t>-</w:t>
      </w:r>
      <w:r w:rsidRPr="00265A99">
        <w:rPr>
          <w:lang w:val="en-GB"/>
        </w:rPr>
        <w:t>term contracts with our strategic supply and transportation partners</w:t>
      </w:r>
      <w:r w:rsidR="004E566A" w:rsidRPr="00265A99">
        <w:rPr>
          <w:lang w:val="en-GB"/>
        </w:rPr>
        <w:t>;</w:t>
      </w:r>
      <w:r w:rsidRPr="00265A99">
        <w:rPr>
          <w:lang w:val="en-GB"/>
        </w:rPr>
        <w:t xml:space="preserve"> i.e.</w:t>
      </w:r>
      <w:r w:rsidR="00F27A76" w:rsidRPr="00265A99">
        <w:rPr>
          <w:lang w:val="en-GB"/>
        </w:rPr>
        <w:t>,</w:t>
      </w:r>
      <w:r w:rsidRPr="00265A99">
        <w:rPr>
          <w:lang w:val="en-GB"/>
        </w:rPr>
        <w:t xml:space="preserve"> they will not change much. </w:t>
      </w:r>
    </w:p>
    <w:p w14:paraId="07AF62C0" w14:textId="77777777" w:rsidR="00001524" w:rsidRPr="00265A99" w:rsidRDefault="00001524" w:rsidP="00001524">
      <w:pPr>
        <w:pStyle w:val="BodyTextMain"/>
        <w:rPr>
          <w:lang w:val="en-GB"/>
        </w:rPr>
      </w:pPr>
    </w:p>
    <w:p w14:paraId="6E6C09DB" w14:textId="34BAE2F6" w:rsidR="00001524" w:rsidRPr="00265A99" w:rsidRDefault="00001524" w:rsidP="000D4E57">
      <w:pPr>
        <w:pStyle w:val="BodyTextMain"/>
        <w:ind w:left="720"/>
        <w:rPr>
          <w:lang w:val="en-GB"/>
        </w:rPr>
      </w:pPr>
      <w:r w:rsidRPr="00265A99">
        <w:rPr>
          <w:lang w:val="en-GB"/>
        </w:rPr>
        <w:t xml:space="preserve">In light of these, </w:t>
      </w:r>
      <w:r w:rsidR="00B365DB" w:rsidRPr="00265A99">
        <w:rPr>
          <w:lang w:val="en-GB"/>
        </w:rPr>
        <w:t>please</w:t>
      </w:r>
      <w:r w:rsidRPr="00265A99">
        <w:rPr>
          <w:lang w:val="en-GB"/>
        </w:rPr>
        <w:t xml:space="preserve"> forward us a ROBUST solution </w:t>
      </w:r>
      <w:r w:rsidR="00B365DB" w:rsidRPr="00265A99">
        <w:rPr>
          <w:lang w:val="en-GB"/>
        </w:rPr>
        <w:t xml:space="preserve">that </w:t>
      </w:r>
      <w:r w:rsidRPr="00265A99">
        <w:rPr>
          <w:lang w:val="en-GB"/>
        </w:rPr>
        <w:t>(1) has at least 700 tons</w:t>
      </w:r>
      <w:r w:rsidR="004E566A" w:rsidRPr="00265A99">
        <w:rPr>
          <w:lang w:val="en-GB"/>
        </w:rPr>
        <w:t xml:space="preserve"> [of]</w:t>
      </w:r>
      <w:r w:rsidRPr="00265A99">
        <w:rPr>
          <w:lang w:val="en-GB"/>
        </w:rPr>
        <w:t xml:space="preserve"> spare capacity to accommodate future growth in demand and (2) can satisfy a shorter lead time, which we think will be required by more of our customers. Can we hear from you by tomorrow?</w:t>
      </w:r>
    </w:p>
    <w:p w14:paraId="41C319E8" w14:textId="77777777" w:rsidR="00001524" w:rsidRPr="00265A99" w:rsidRDefault="00001524">
      <w:pPr>
        <w:spacing w:after="200" w:line="276" w:lineRule="auto"/>
        <w:rPr>
          <w:sz w:val="22"/>
          <w:szCs w:val="22"/>
          <w:lang w:val="en-GB"/>
        </w:rPr>
      </w:pPr>
      <w:r w:rsidRPr="00265A99">
        <w:rPr>
          <w:lang w:val="en-GB"/>
        </w:rPr>
        <w:br w:type="page"/>
      </w:r>
    </w:p>
    <w:p w14:paraId="74C5C327" w14:textId="77777777" w:rsidR="00001524" w:rsidRPr="00265A99" w:rsidRDefault="00001524" w:rsidP="00001524">
      <w:pPr>
        <w:pStyle w:val="BodyTextMain"/>
        <w:rPr>
          <w:lang w:val="en-GB"/>
        </w:rPr>
        <w:sectPr w:rsidR="00001524" w:rsidRPr="00265A99" w:rsidSect="00751E0B">
          <w:headerReference w:type="default" r:id="rId12"/>
          <w:pgSz w:w="12240" w:h="15840" w:code="1"/>
          <w:pgMar w:top="1080" w:right="1440" w:bottom="1440" w:left="1440" w:header="1080" w:footer="720" w:gutter="0"/>
          <w:cols w:space="720"/>
          <w:titlePg/>
          <w:docGrid w:linePitch="360"/>
        </w:sectPr>
      </w:pPr>
    </w:p>
    <w:p w14:paraId="61DCA242" w14:textId="5D971CD8" w:rsidR="00001524" w:rsidRPr="00265A99" w:rsidRDefault="00001524" w:rsidP="00001524">
      <w:pPr>
        <w:pStyle w:val="ExhibitHeading"/>
        <w:rPr>
          <w:lang w:val="en-GB"/>
        </w:rPr>
      </w:pPr>
      <w:bookmarkStart w:id="0" w:name="_Hlk499643487"/>
      <w:r w:rsidRPr="00265A99">
        <w:rPr>
          <w:lang w:val="en-GB"/>
        </w:rPr>
        <w:lastRenderedPageBreak/>
        <w:t xml:space="preserve">Exhibit 1: </w:t>
      </w:r>
      <w:r w:rsidR="006B70C7">
        <w:rPr>
          <w:lang w:val="en-GB"/>
        </w:rPr>
        <w:t xml:space="preserve">Production in Sika’s </w:t>
      </w:r>
      <w:r w:rsidR="006D566D" w:rsidRPr="00265A99">
        <w:rPr>
          <w:lang w:val="en-GB"/>
        </w:rPr>
        <w:t>APAC REGION</w:t>
      </w:r>
      <w:r w:rsidRPr="00265A99">
        <w:rPr>
          <w:lang w:val="en-GB"/>
        </w:rPr>
        <w:t xml:space="preserve"> Supply Chain</w:t>
      </w:r>
      <w:r w:rsidR="006D566D" w:rsidRPr="00265A99">
        <w:rPr>
          <w:lang w:val="en-GB"/>
        </w:rPr>
        <w:t>, Q</w:t>
      </w:r>
      <w:r w:rsidR="004E566A" w:rsidRPr="00265A99">
        <w:rPr>
          <w:lang w:val="en-GB"/>
        </w:rPr>
        <w:t xml:space="preserve">uarter </w:t>
      </w:r>
      <w:r w:rsidR="006D566D" w:rsidRPr="00265A99">
        <w:rPr>
          <w:lang w:val="en-GB"/>
        </w:rPr>
        <w:t>2</w:t>
      </w:r>
      <w:r w:rsidR="004E566A" w:rsidRPr="00265A99">
        <w:rPr>
          <w:lang w:val="en-GB"/>
        </w:rPr>
        <w:t>,</w:t>
      </w:r>
      <w:r w:rsidR="006D566D" w:rsidRPr="00265A99">
        <w:rPr>
          <w:lang w:val="en-GB"/>
        </w:rPr>
        <w:t xml:space="preserve"> 2017</w:t>
      </w:r>
      <w:r w:rsidRPr="00265A99">
        <w:rPr>
          <w:lang w:val="en-GB"/>
        </w:rPr>
        <w:t xml:space="preserve"> </w:t>
      </w:r>
    </w:p>
    <w:bookmarkEnd w:id="0"/>
    <w:p w14:paraId="684997D0" w14:textId="77777777" w:rsidR="00001524" w:rsidRPr="00265A99" w:rsidRDefault="00001524" w:rsidP="00001524">
      <w:pPr>
        <w:pStyle w:val="ExhibitHeading"/>
        <w:rPr>
          <w:lang w:val="en-GB"/>
        </w:rPr>
      </w:pPr>
    </w:p>
    <w:tbl>
      <w:tblPr>
        <w:tblW w:w="12997" w:type="dxa"/>
        <w:tblLook w:val="04A0" w:firstRow="1" w:lastRow="0" w:firstColumn="1" w:lastColumn="0" w:noHBand="0" w:noVBand="1"/>
      </w:tblPr>
      <w:tblGrid>
        <w:gridCol w:w="1177"/>
        <w:gridCol w:w="1071"/>
        <w:gridCol w:w="1496"/>
        <w:gridCol w:w="1677"/>
        <w:gridCol w:w="947"/>
        <w:gridCol w:w="947"/>
        <w:gridCol w:w="947"/>
        <w:gridCol w:w="947"/>
        <w:gridCol w:w="947"/>
        <w:gridCol w:w="947"/>
        <w:gridCol w:w="947"/>
        <w:gridCol w:w="947"/>
      </w:tblGrid>
      <w:tr w:rsidR="00150A56" w:rsidRPr="00265A99" w14:paraId="0908D26F" w14:textId="77777777" w:rsidTr="00953B69">
        <w:trPr>
          <w:trHeight w:val="310"/>
        </w:trPr>
        <w:tc>
          <w:tcPr>
            <w:tcW w:w="3744" w:type="dxa"/>
            <w:gridSpan w:val="3"/>
            <w:tcBorders>
              <w:top w:val="nil"/>
              <w:left w:val="nil"/>
              <w:bottom w:val="nil"/>
              <w:right w:val="nil"/>
            </w:tcBorders>
            <w:shd w:val="clear" w:color="auto" w:fill="auto"/>
            <w:noWrap/>
            <w:vAlign w:val="bottom"/>
            <w:hideMark/>
          </w:tcPr>
          <w:p w14:paraId="6A51FE98" w14:textId="77777777" w:rsidR="00150A56" w:rsidRPr="00265A99" w:rsidRDefault="00150A56" w:rsidP="00267D47">
            <w:pPr>
              <w:rPr>
                <w:rFonts w:ascii="Arial" w:hAnsi="Arial" w:cs="Arial"/>
                <w:b/>
                <w:bCs/>
                <w:sz w:val="18"/>
                <w:szCs w:val="18"/>
                <w:lang w:val="en-GB" w:eastAsia="zh-CN"/>
              </w:rPr>
            </w:pPr>
            <w:r w:rsidRPr="00265A99">
              <w:rPr>
                <w:rFonts w:ascii="Arial" w:hAnsi="Arial" w:cs="Arial"/>
                <w:b/>
                <w:bCs/>
                <w:sz w:val="18"/>
                <w:szCs w:val="18"/>
                <w:lang w:val="en-GB" w:eastAsia="zh-CN"/>
              </w:rPr>
              <w:t>Quarterly Production Parameters</w:t>
            </w:r>
          </w:p>
        </w:tc>
        <w:tc>
          <w:tcPr>
            <w:tcW w:w="1677" w:type="dxa"/>
            <w:tcBorders>
              <w:top w:val="nil"/>
              <w:left w:val="nil"/>
              <w:bottom w:val="nil"/>
              <w:right w:val="nil"/>
            </w:tcBorders>
            <w:shd w:val="clear" w:color="auto" w:fill="auto"/>
            <w:noWrap/>
            <w:vAlign w:val="bottom"/>
            <w:hideMark/>
          </w:tcPr>
          <w:p w14:paraId="66A10CF8" w14:textId="77777777" w:rsidR="00150A56" w:rsidRPr="00265A99" w:rsidRDefault="00150A56" w:rsidP="00267D47">
            <w:pPr>
              <w:rPr>
                <w:rFonts w:ascii="Arial" w:hAnsi="Arial" w:cs="Arial"/>
                <w:b/>
                <w:bCs/>
                <w:sz w:val="18"/>
                <w:szCs w:val="18"/>
                <w:lang w:val="en-GB" w:eastAsia="zh-CN"/>
              </w:rPr>
            </w:pPr>
          </w:p>
        </w:tc>
        <w:tc>
          <w:tcPr>
            <w:tcW w:w="7576" w:type="dxa"/>
            <w:gridSpan w:val="8"/>
            <w:tcBorders>
              <w:top w:val="nil"/>
              <w:left w:val="nil"/>
              <w:bottom w:val="nil"/>
              <w:right w:val="nil"/>
            </w:tcBorders>
            <w:shd w:val="clear" w:color="auto" w:fill="auto"/>
            <w:noWrap/>
            <w:vAlign w:val="bottom"/>
            <w:hideMark/>
          </w:tcPr>
          <w:p w14:paraId="37EC8DCD" w14:textId="04D93EC7" w:rsidR="00150A56" w:rsidRPr="00265A99" w:rsidRDefault="00150A56" w:rsidP="00EA6217">
            <w:pPr>
              <w:jc w:val="center"/>
              <w:rPr>
                <w:rFonts w:ascii="Arial" w:hAnsi="Arial" w:cs="Arial"/>
                <w:lang w:val="en-GB" w:eastAsia="zh-CN"/>
              </w:rPr>
            </w:pPr>
            <w:r w:rsidRPr="00265A99">
              <w:rPr>
                <w:rFonts w:ascii="Arial" w:hAnsi="Arial" w:cs="Arial"/>
                <w:b/>
                <w:bCs/>
                <w:color w:val="000000"/>
                <w:sz w:val="18"/>
                <w:szCs w:val="18"/>
                <w:lang w:val="en-GB" w:eastAsia="zh-CN"/>
              </w:rPr>
              <w:t>Supply Chain (</w:t>
            </w:r>
            <w:r>
              <w:rPr>
                <w:rFonts w:ascii="Arial" w:hAnsi="Arial" w:cs="Arial"/>
                <w:b/>
                <w:bCs/>
                <w:color w:val="000000"/>
                <w:sz w:val="18"/>
                <w:szCs w:val="18"/>
                <w:lang w:val="en-GB" w:eastAsia="zh-CN"/>
              </w:rPr>
              <w:t xml:space="preserve">in </w:t>
            </w:r>
            <w:r w:rsidRPr="00265A99">
              <w:rPr>
                <w:rFonts w:ascii="Arial" w:hAnsi="Arial" w:cs="Arial"/>
                <w:b/>
                <w:bCs/>
                <w:color w:val="000000"/>
                <w:sz w:val="18"/>
                <w:szCs w:val="18"/>
                <w:lang w:val="en-GB" w:eastAsia="zh-CN"/>
              </w:rPr>
              <w:t>tons)</w:t>
            </w:r>
          </w:p>
        </w:tc>
      </w:tr>
      <w:tr w:rsidR="00AA7CAC" w:rsidRPr="00265A99" w14:paraId="5C40B782" w14:textId="77777777" w:rsidTr="00F65584">
        <w:trPr>
          <w:trHeight w:val="310"/>
        </w:trPr>
        <w:tc>
          <w:tcPr>
            <w:tcW w:w="11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DA173" w14:textId="77777777" w:rsidR="00001524" w:rsidRPr="00265A99" w:rsidRDefault="00001524" w:rsidP="00F65584">
            <w:pPr>
              <w:rPr>
                <w:rFonts w:ascii="Arial" w:hAnsi="Arial" w:cs="Arial"/>
                <w:b/>
                <w:bCs/>
                <w:color w:val="000000"/>
                <w:sz w:val="18"/>
                <w:szCs w:val="18"/>
                <w:lang w:val="en-GB" w:eastAsia="zh-CN"/>
              </w:rPr>
            </w:pPr>
            <w:r w:rsidRPr="00265A99">
              <w:rPr>
                <w:rFonts w:ascii="Arial" w:hAnsi="Arial" w:cs="Arial"/>
                <w:b/>
                <w:bCs/>
                <w:color w:val="000000"/>
                <w:sz w:val="18"/>
                <w:szCs w:val="18"/>
                <w:lang w:val="en-GB" w:eastAsia="zh-CN"/>
              </w:rPr>
              <w:t>Operating?</w:t>
            </w:r>
          </w:p>
        </w:tc>
        <w:tc>
          <w:tcPr>
            <w:tcW w:w="1071" w:type="dxa"/>
            <w:tcBorders>
              <w:top w:val="single" w:sz="4" w:space="0" w:color="auto"/>
              <w:left w:val="nil"/>
              <w:bottom w:val="single" w:sz="4" w:space="0" w:color="auto"/>
              <w:right w:val="single" w:sz="4" w:space="0" w:color="auto"/>
            </w:tcBorders>
            <w:shd w:val="clear" w:color="auto" w:fill="auto"/>
            <w:noWrap/>
            <w:vAlign w:val="center"/>
            <w:hideMark/>
          </w:tcPr>
          <w:p w14:paraId="18A78A4D" w14:textId="0B378E52"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Capacity</w:t>
            </w:r>
            <w:r w:rsidR="004E566A" w:rsidRPr="00265A99">
              <w:rPr>
                <w:rFonts w:ascii="Arial" w:hAnsi="Arial" w:cs="Arial"/>
                <w:sz w:val="18"/>
                <w:szCs w:val="18"/>
                <w:lang w:val="en-GB" w:eastAsia="zh-CN"/>
              </w:rPr>
              <w:t xml:space="preserve"> (</w:t>
            </w:r>
            <w:r w:rsidR="00B414A8">
              <w:rPr>
                <w:rFonts w:ascii="Arial" w:hAnsi="Arial" w:cs="Arial"/>
                <w:sz w:val="18"/>
                <w:szCs w:val="18"/>
                <w:lang w:val="en-GB" w:eastAsia="zh-CN"/>
              </w:rPr>
              <w:t xml:space="preserve">in </w:t>
            </w:r>
            <w:r w:rsidR="004E566A" w:rsidRPr="00265A99">
              <w:rPr>
                <w:rFonts w:ascii="Arial" w:hAnsi="Arial" w:cs="Arial"/>
                <w:sz w:val="18"/>
                <w:szCs w:val="18"/>
                <w:lang w:val="en-GB" w:eastAsia="zh-CN"/>
              </w:rPr>
              <w:t>tons)</w:t>
            </w:r>
          </w:p>
        </w:tc>
        <w:tc>
          <w:tcPr>
            <w:tcW w:w="1496" w:type="dxa"/>
            <w:tcBorders>
              <w:top w:val="single" w:sz="4" w:space="0" w:color="auto"/>
              <w:left w:val="nil"/>
              <w:bottom w:val="single" w:sz="4" w:space="0" w:color="auto"/>
              <w:right w:val="single" w:sz="4" w:space="0" w:color="auto"/>
            </w:tcBorders>
            <w:shd w:val="clear" w:color="auto" w:fill="auto"/>
            <w:noWrap/>
            <w:vAlign w:val="bottom"/>
            <w:hideMark/>
          </w:tcPr>
          <w:p w14:paraId="6E71776C" w14:textId="30275F4F" w:rsidR="00001524" w:rsidRPr="00265A99" w:rsidRDefault="00001524" w:rsidP="000D4E57">
            <w:pPr>
              <w:jc w:val="center"/>
              <w:rPr>
                <w:rFonts w:ascii="Arial" w:hAnsi="Arial" w:cs="Arial"/>
                <w:sz w:val="18"/>
                <w:szCs w:val="18"/>
                <w:lang w:val="en-GB" w:eastAsia="zh-CN"/>
              </w:rPr>
            </w:pPr>
            <w:r w:rsidRPr="00265A99">
              <w:rPr>
                <w:rFonts w:ascii="Arial" w:hAnsi="Arial" w:cs="Arial"/>
                <w:sz w:val="18"/>
                <w:szCs w:val="18"/>
                <w:lang w:val="en-GB" w:eastAsia="zh-CN"/>
              </w:rPr>
              <w:t>Fixed Operating Cost</w:t>
            </w:r>
            <w:r w:rsidR="004E566A" w:rsidRPr="00265A99">
              <w:rPr>
                <w:rFonts w:ascii="Arial" w:hAnsi="Arial" w:cs="Arial"/>
                <w:sz w:val="18"/>
                <w:szCs w:val="18"/>
                <w:lang w:val="en-GB" w:eastAsia="zh-CN"/>
              </w:rPr>
              <w:t xml:space="preserve"> (US$)</w:t>
            </w:r>
          </w:p>
        </w:tc>
        <w:tc>
          <w:tcPr>
            <w:tcW w:w="1677" w:type="dxa"/>
            <w:tcBorders>
              <w:top w:val="single" w:sz="4" w:space="0" w:color="auto"/>
              <w:left w:val="nil"/>
              <w:bottom w:val="single" w:sz="4" w:space="0" w:color="auto"/>
              <w:right w:val="single" w:sz="4" w:space="0" w:color="auto"/>
            </w:tcBorders>
            <w:shd w:val="clear" w:color="auto" w:fill="auto"/>
            <w:noWrap/>
            <w:vAlign w:val="center"/>
            <w:hideMark/>
          </w:tcPr>
          <w:p w14:paraId="11FF6711" w14:textId="50272406"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Production</w:t>
            </w:r>
            <w:r w:rsidR="004E566A" w:rsidRPr="00265A99">
              <w:rPr>
                <w:rFonts w:ascii="Arial" w:hAnsi="Arial" w:cs="Arial"/>
                <w:sz w:val="18"/>
                <w:szCs w:val="18"/>
                <w:lang w:val="en-GB" w:eastAsia="zh-CN"/>
              </w:rPr>
              <w:t>/</w:t>
            </w:r>
            <w:r w:rsidRPr="00265A99">
              <w:rPr>
                <w:rFonts w:ascii="Arial" w:hAnsi="Arial" w:cs="Arial"/>
                <w:sz w:val="18"/>
                <w:szCs w:val="18"/>
                <w:lang w:val="en-GB" w:eastAsia="zh-CN"/>
              </w:rPr>
              <w:t>Market</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0E21C255" w14:textId="77777777"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Country1</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4028F179" w14:textId="77777777"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Country2</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7DC48A71" w14:textId="77777777"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Country3</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780008EF" w14:textId="77777777"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Country4</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3463AAA4" w14:textId="77777777"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Country5</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6E962C1E" w14:textId="77777777"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Country6</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1227733D" w14:textId="77777777"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Country7</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0E7C93D9" w14:textId="77777777"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Country8</w:t>
            </w:r>
          </w:p>
        </w:tc>
      </w:tr>
      <w:tr w:rsidR="00AA7CAC" w:rsidRPr="00265A99" w14:paraId="20DBCF3D" w14:textId="77777777" w:rsidTr="00836639">
        <w:trPr>
          <w:trHeight w:val="60"/>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14:paraId="39CCE199" w14:textId="77777777" w:rsidR="00AA7CAC" w:rsidRPr="00265A99" w:rsidRDefault="00AA7CAC" w:rsidP="00F65584">
            <w:pPr>
              <w:jc w:val="center"/>
              <w:rPr>
                <w:rFonts w:ascii="Arial" w:hAnsi="Arial" w:cs="Arial"/>
                <w:b/>
                <w:bCs/>
                <w:color w:val="000000"/>
                <w:sz w:val="18"/>
                <w:szCs w:val="18"/>
                <w:lang w:val="en-GB" w:eastAsia="zh-CN"/>
              </w:rPr>
            </w:pPr>
            <w:r w:rsidRPr="00265A99">
              <w:rPr>
                <w:rFonts w:ascii="Arial" w:hAnsi="Arial" w:cs="Arial"/>
                <w:b/>
                <w:bCs/>
                <w:color w:val="000000"/>
                <w:sz w:val="18"/>
                <w:szCs w:val="18"/>
                <w:lang w:val="en-GB" w:eastAsia="zh-CN"/>
              </w:rPr>
              <w:t>1</w:t>
            </w:r>
          </w:p>
        </w:tc>
        <w:tc>
          <w:tcPr>
            <w:tcW w:w="1071" w:type="dxa"/>
            <w:tcBorders>
              <w:top w:val="nil"/>
              <w:left w:val="nil"/>
              <w:bottom w:val="single" w:sz="4" w:space="0" w:color="auto"/>
              <w:right w:val="single" w:sz="4" w:space="0" w:color="auto"/>
            </w:tcBorders>
            <w:shd w:val="clear" w:color="auto" w:fill="auto"/>
            <w:noWrap/>
            <w:vAlign w:val="bottom"/>
            <w:hideMark/>
          </w:tcPr>
          <w:p w14:paraId="03F78F97" w14:textId="7AC76D17"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1,725</w:t>
            </w:r>
          </w:p>
        </w:tc>
        <w:tc>
          <w:tcPr>
            <w:tcW w:w="1496" w:type="dxa"/>
            <w:tcBorders>
              <w:top w:val="nil"/>
              <w:left w:val="nil"/>
              <w:bottom w:val="single" w:sz="4" w:space="0" w:color="auto"/>
              <w:right w:val="single" w:sz="4" w:space="0" w:color="auto"/>
            </w:tcBorders>
            <w:shd w:val="clear" w:color="auto" w:fill="auto"/>
            <w:noWrap/>
            <w:vAlign w:val="bottom"/>
            <w:hideMark/>
          </w:tcPr>
          <w:p w14:paraId="4B4C41A3" w14:textId="77777777"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$1,380,000</w:t>
            </w:r>
          </w:p>
        </w:tc>
        <w:tc>
          <w:tcPr>
            <w:tcW w:w="1677" w:type="dxa"/>
            <w:tcBorders>
              <w:top w:val="nil"/>
              <w:left w:val="nil"/>
              <w:bottom w:val="single" w:sz="4" w:space="0" w:color="auto"/>
              <w:right w:val="single" w:sz="4" w:space="0" w:color="auto"/>
            </w:tcBorders>
            <w:shd w:val="clear" w:color="auto" w:fill="auto"/>
            <w:noWrap/>
            <w:vAlign w:val="bottom"/>
            <w:hideMark/>
          </w:tcPr>
          <w:p w14:paraId="477EE361" w14:textId="0A998776" w:rsidR="00AA7CAC" w:rsidRPr="00265A99" w:rsidRDefault="00AA7CAC" w:rsidP="00AA7CAC">
            <w:pPr>
              <w:rPr>
                <w:rFonts w:ascii="Arial" w:hAnsi="Arial" w:cs="Arial"/>
                <w:sz w:val="18"/>
                <w:szCs w:val="18"/>
                <w:lang w:val="en-GB" w:eastAsia="zh-CN"/>
              </w:rPr>
            </w:pPr>
            <w:r w:rsidRPr="00265A99">
              <w:rPr>
                <w:rFonts w:ascii="Arial" w:hAnsi="Arial" w:cs="Arial"/>
                <w:sz w:val="18"/>
                <w:szCs w:val="18"/>
                <w:lang w:val="en-GB" w:eastAsia="zh-CN"/>
              </w:rPr>
              <w:t>Country 1</w:t>
            </w:r>
          </w:p>
        </w:tc>
        <w:tc>
          <w:tcPr>
            <w:tcW w:w="947" w:type="dxa"/>
            <w:tcBorders>
              <w:top w:val="nil"/>
              <w:left w:val="nil"/>
              <w:bottom w:val="single" w:sz="4" w:space="0" w:color="auto"/>
              <w:right w:val="single" w:sz="4" w:space="0" w:color="auto"/>
            </w:tcBorders>
            <w:shd w:val="clear" w:color="auto" w:fill="auto"/>
            <w:noWrap/>
            <w:vAlign w:val="bottom"/>
            <w:hideMark/>
          </w:tcPr>
          <w:p w14:paraId="69E5DFEB" w14:textId="6C6C5D5A" w:rsidR="00AA7CAC" w:rsidRPr="00EA6217" w:rsidRDefault="00AA7CAC" w:rsidP="00EA6217">
            <w:pPr>
              <w:jc w:val="right"/>
              <w:rPr>
                <w:rFonts w:ascii="Arial" w:hAnsi="Arial" w:cs="Arial"/>
                <w:bCs/>
                <w:sz w:val="18"/>
                <w:szCs w:val="18"/>
                <w:lang w:val="en-GB" w:eastAsia="zh-CN"/>
              </w:rPr>
            </w:pPr>
            <w:r w:rsidRPr="00EA6217">
              <w:rPr>
                <w:rFonts w:ascii="Arial" w:hAnsi="Arial" w:cs="Arial"/>
                <w:bCs/>
                <w:sz w:val="18"/>
                <w:szCs w:val="18"/>
                <w:lang w:val="en-GB" w:eastAsia="zh-CN"/>
              </w:rPr>
              <w:t>1,120</w:t>
            </w:r>
          </w:p>
        </w:tc>
        <w:tc>
          <w:tcPr>
            <w:tcW w:w="947" w:type="dxa"/>
            <w:tcBorders>
              <w:top w:val="nil"/>
              <w:left w:val="nil"/>
              <w:bottom w:val="single" w:sz="4" w:space="0" w:color="auto"/>
              <w:right w:val="single" w:sz="4" w:space="0" w:color="auto"/>
            </w:tcBorders>
            <w:shd w:val="clear" w:color="auto" w:fill="auto"/>
            <w:noWrap/>
            <w:vAlign w:val="bottom"/>
            <w:hideMark/>
          </w:tcPr>
          <w:p w14:paraId="32CC38DA" w14:textId="14463E1C"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5FADCE0C" w14:textId="65C967C0"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29C68DCF" w14:textId="7A9E17B3"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413B03CF" w14:textId="1E001DE6"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100DEC3A" w14:textId="0587BB61"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012C2040" w14:textId="432C1BE7"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14DDED0D" w14:textId="0E375872"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r>
      <w:tr w:rsidR="00AA7CAC" w:rsidRPr="00265A99" w14:paraId="472B12EB" w14:textId="77777777" w:rsidTr="00836639">
        <w:trPr>
          <w:trHeight w:val="60"/>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14:paraId="2BAA0907" w14:textId="77777777" w:rsidR="00AA7CAC" w:rsidRPr="00265A99" w:rsidRDefault="00AA7CAC" w:rsidP="00F65584">
            <w:pPr>
              <w:jc w:val="center"/>
              <w:rPr>
                <w:rFonts w:ascii="Arial" w:hAnsi="Arial" w:cs="Arial"/>
                <w:b/>
                <w:bCs/>
                <w:color w:val="000000"/>
                <w:sz w:val="18"/>
                <w:szCs w:val="18"/>
                <w:lang w:val="en-GB" w:eastAsia="zh-CN"/>
              </w:rPr>
            </w:pPr>
            <w:r w:rsidRPr="00265A99">
              <w:rPr>
                <w:rFonts w:ascii="Arial" w:hAnsi="Arial" w:cs="Arial"/>
                <w:b/>
                <w:bCs/>
                <w:color w:val="000000"/>
                <w:sz w:val="18"/>
                <w:szCs w:val="18"/>
                <w:lang w:val="en-GB" w:eastAsia="zh-CN"/>
              </w:rPr>
              <w:t>1</w:t>
            </w:r>
          </w:p>
        </w:tc>
        <w:tc>
          <w:tcPr>
            <w:tcW w:w="1071" w:type="dxa"/>
            <w:tcBorders>
              <w:top w:val="nil"/>
              <w:left w:val="nil"/>
              <w:bottom w:val="single" w:sz="4" w:space="0" w:color="auto"/>
              <w:right w:val="single" w:sz="4" w:space="0" w:color="auto"/>
            </w:tcBorders>
            <w:shd w:val="clear" w:color="auto" w:fill="auto"/>
            <w:noWrap/>
            <w:vAlign w:val="bottom"/>
            <w:hideMark/>
          </w:tcPr>
          <w:p w14:paraId="352913AB" w14:textId="77777777"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800</w:t>
            </w:r>
          </w:p>
        </w:tc>
        <w:tc>
          <w:tcPr>
            <w:tcW w:w="1496" w:type="dxa"/>
            <w:tcBorders>
              <w:top w:val="nil"/>
              <w:left w:val="nil"/>
              <w:bottom w:val="single" w:sz="4" w:space="0" w:color="auto"/>
              <w:right w:val="single" w:sz="4" w:space="0" w:color="auto"/>
            </w:tcBorders>
            <w:shd w:val="clear" w:color="auto" w:fill="auto"/>
            <w:noWrap/>
            <w:vAlign w:val="bottom"/>
            <w:hideMark/>
          </w:tcPr>
          <w:p w14:paraId="03E45936" w14:textId="77777777"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$1,050,000</w:t>
            </w:r>
          </w:p>
        </w:tc>
        <w:tc>
          <w:tcPr>
            <w:tcW w:w="1677" w:type="dxa"/>
            <w:tcBorders>
              <w:top w:val="nil"/>
              <w:left w:val="nil"/>
              <w:bottom w:val="single" w:sz="4" w:space="0" w:color="auto"/>
              <w:right w:val="single" w:sz="4" w:space="0" w:color="auto"/>
            </w:tcBorders>
            <w:shd w:val="clear" w:color="auto" w:fill="auto"/>
            <w:noWrap/>
            <w:vAlign w:val="bottom"/>
            <w:hideMark/>
          </w:tcPr>
          <w:p w14:paraId="6A3F0C6C" w14:textId="3EEE7B21" w:rsidR="00AA7CAC" w:rsidRPr="00265A99" w:rsidRDefault="00AA7CAC" w:rsidP="00AA7CAC">
            <w:pPr>
              <w:rPr>
                <w:rFonts w:ascii="Arial" w:hAnsi="Arial" w:cs="Arial"/>
                <w:sz w:val="18"/>
                <w:szCs w:val="18"/>
                <w:lang w:val="en-GB" w:eastAsia="zh-CN"/>
              </w:rPr>
            </w:pPr>
            <w:r w:rsidRPr="00265A99">
              <w:rPr>
                <w:rFonts w:ascii="Arial" w:hAnsi="Arial" w:cs="Arial"/>
                <w:sz w:val="18"/>
                <w:szCs w:val="18"/>
                <w:lang w:val="en-GB" w:eastAsia="zh-CN"/>
              </w:rPr>
              <w:t>Country 2</w:t>
            </w:r>
          </w:p>
        </w:tc>
        <w:tc>
          <w:tcPr>
            <w:tcW w:w="947" w:type="dxa"/>
            <w:tcBorders>
              <w:top w:val="nil"/>
              <w:left w:val="nil"/>
              <w:bottom w:val="single" w:sz="4" w:space="0" w:color="auto"/>
              <w:right w:val="single" w:sz="4" w:space="0" w:color="auto"/>
            </w:tcBorders>
            <w:shd w:val="clear" w:color="auto" w:fill="auto"/>
            <w:noWrap/>
            <w:vAlign w:val="bottom"/>
            <w:hideMark/>
          </w:tcPr>
          <w:p w14:paraId="0FCC7C58" w14:textId="7C48B3A0"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32CAE362" w14:textId="0C1FF365" w:rsidR="00AA7CAC" w:rsidRPr="00EA6217" w:rsidRDefault="00AA7CAC" w:rsidP="00545E9C">
            <w:pPr>
              <w:jc w:val="right"/>
              <w:rPr>
                <w:rFonts w:ascii="Arial" w:hAnsi="Arial" w:cs="Arial"/>
                <w:bCs/>
                <w:sz w:val="18"/>
                <w:szCs w:val="18"/>
                <w:lang w:val="en-GB" w:eastAsia="zh-CN"/>
              </w:rPr>
            </w:pPr>
            <w:r w:rsidRPr="00EA6217">
              <w:rPr>
                <w:rFonts w:ascii="Arial" w:hAnsi="Arial" w:cs="Arial"/>
                <w:bCs/>
                <w:sz w:val="18"/>
                <w:szCs w:val="18"/>
                <w:lang w:val="en-GB" w:eastAsia="zh-CN"/>
              </w:rPr>
              <w:t>425</w:t>
            </w:r>
          </w:p>
        </w:tc>
        <w:tc>
          <w:tcPr>
            <w:tcW w:w="947" w:type="dxa"/>
            <w:tcBorders>
              <w:top w:val="nil"/>
              <w:left w:val="nil"/>
              <w:bottom w:val="single" w:sz="4" w:space="0" w:color="auto"/>
              <w:right w:val="single" w:sz="4" w:space="0" w:color="auto"/>
            </w:tcBorders>
            <w:shd w:val="clear" w:color="auto" w:fill="auto"/>
            <w:noWrap/>
            <w:vAlign w:val="bottom"/>
            <w:hideMark/>
          </w:tcPr>
          <w:p w14:paraId="2C81EEE9" w14:textId="40C91D51"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0FB71EFD" w14:textId="7E768C08"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7F2C882E" w14:textId="24E7066B"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6A71365C" w14:textId="4DEE05EB"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143F45C2" w14:textId="3F65FA6A"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5A63F140" w14:textId="46447984"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r>
      <w:tr w:rsidR="00AA7CAC" w:rsidRPr="00265A99" w14:paraId="50B33D6C" w14:textId="77777777" w:rsidTr="00F65584">
        <w:trPr>
          <w:trHeight w:val="188"/>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14:paraId="5A81A613" w14:textId="77777777" w:rsidR="00AA7CAC" w:rsidRPr="00265A99" w:rsidRDefault="00AA7CAC" w:rsidP="00F65584">
            <w:pPr>
              <w:jc w:val="center"/>
              <w:rPr>
                <w:rFonts w:ascii="Arial" w:hAnsi="Arial" w:cs="Arial"/>
                <w:b/>
                <w:bCs/>
                <w:color w:val="000000"/>
                <w:sz w:val="18"/>
                <w:szCs w:val="18"/>
                <w:lang w:val="en-GB" w:eastAsia="zh-CN"/>
              </w:rPr>
            </w:pPr>
            <w:r w:rsidRPr="00265A99">
              <w:rPr>
                <w:rFonts w:ascii="Arial" w:hAnsi="Arial" w:cs="Arial"/>
                <w:b/>
                <w:bCs/>
                <w:color w:val="000000"/>
                <w:sz w:val="18"/>
                <w:szCs w:val="18"/>
                <w:lang w:val="en-GB" w:eastAsia="zh-CN"/>
              </w:rPr>
              <w:t>1</w:t>
            </w:r>
          </w:p>
        </w:tc>
        <w:tc>
          <w:tcPr>
            <w:tcW w:w="1071" w:type="dxa"/>
            <w:tcBorders>
              <w:top w:val="nil"/>
              <w:left w:val="nil"/>
              <w:bottom w:val="single" w:sz="4" w:space="0" w:color="auto"/>
              <w:right w:val="single" w:sz="4" w:space="0" w:color="auto"/>
            </w:tcBorders>
            <w:shd w:val="clear" w:color="auto" w:fill="auto"/>
            <w:noWrap/>
            <w:vAlign w:val="bottom"/>
            <w:hideMark/>
          </w:tcPr>
          <w:p w14:paraId="3ACD058A" w14:textId="4FB1160C"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5,286</w:t>
            </w:r>
          </w:p>
        </w:tc>
        <w:tc>
          <w:tcPr>
            <w:tcW w:w="1496" w:type="dxa"/>
            <w:tcBorders>
              <w:top w:val="nil"/>
              <w:left w:val="nil"/>
              <w:bottom w:val="single" w:sz="4" w:space="0" w:color="auto"/>
              <w:right w:val="single" w:sz="4" w:space="0" w:color="auto"/>
            </w:tcBorders>
            <w:shd w:val="clear" w:color="auto" w:fill="auto"/>
            <w:noWrap/>
            <w:vAlign w:val="bottom"/>
            <w:hideMark/>
          </w:tcPr>
          <w:p w14:paraId="665A426B" w14:textId="77777777"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$3,171,600</w:t>
            </w:r>
          </w:p>
        </w:tc>
        <w:tc>
          <w:tcPr>
            <w:tcW w:w="1677" w:type="dxa"/>
            <w:tcBorders>
              <w:top w:val="nil"/>
              <w:left w:val="nil"/>
              <w:bottom w:val="single" w:sz="4" w:space="0" w:color="auto"/>
              <w:right w:val="single" w:sz="4" w:space="0" w:color="auto"/>
            </w:tcBorders>
            <w:shd w:val="clear" w:color="auto" w:fill="auto"/>
            <w:noWrap/>
            <w:vAlign w:val="bottom"/>
            <w:hideMark/>
          </w:tcPr>
          <w:p w14:paraId="2FB2E10F" w14:textId="5DF682D8" w:rsidR="00AA7CAC" w:rsidRPr="00265A99" w:rsidRDefault="00AA7CAC" w:rsidP="00AA7CAC">
            <w:pPr>
              <w:rPr>
                <w:rFonts w:ascii="Arial" w:hAnsi="Arial" w:cs="Arial"/>
                <w:sz w:val="18"/>
                <w:szCs w:val="18"/>
                <w:lang w:val="en-GB" w:eastAsia="zh-CN"/>
              </w:rPr>
            </w:pPr>
            <w:r w:rsidRPr="00265A99">
              <w:rPr>
                <w:rFonts w:ascii="Arial" w:hAnsi="Arial" w:cs="Arial"/>
                <w:sz w:val="18"/>
                <w:szCs w:val="18"/>
                <w:lang w:val="en-GB" w:eastAsia="zh-CN"/>
              </w:rPr>
              <w:t>Country 3</w:t>
            </w:r>
          </w:p>
        </w:tc>
        <w:tc>
          <w:tcPr>
            <w:tcW w:w="947" w:type="dxa"/>
            <w:tcBorders>
              <w:top w:val="nil"/>
              <w:left w:val="nil"/>
              <w:bottom w:val="single" w:sz="4" w:space="0" w:color="auto"/>
              <w:right w:val="single" w:sz="4" w:space="0" w:color="auto"/>
            </w:tcBorders>
            <w:shd w:val="clear" w:color="auto" w:fill="auto"/>
            <w:noWrap/>
            <w:vAlign w:val="bottom"/>
            <w:hideMark/>
          </w:tcPr>
          <w:p w14:paraId="7C70BC49" w14:textId="4BF6A1F5"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0BF4336F" w14:textId="4FB00826"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3265E6FE" w14:textId="2F3572F9" w:rsidR="00AA7CAC" w:rsidRPr="00EA6217" w:rsidRDefault="00AA7CAC" w:rsidP="00EA6217">
            <w:pPr>
              <w:jc w:val="right"/>
              <w:rPr>
                <w:rFonts w:ascii="Arial" w:hAnsi="Arial" w:cs="Arial"/>
                <w:bCs/>
                <w:sz w:val="18"/>
                <w:szCs w:val="18"/>
                <w:lang w:val="en-GB" w:eastAsia="zh-CN"/>
              </w:rPr>
            </w:pPr>
            <w:r w:rsidRPr="00EA6217">
              <w:rPr>
                <w:rFonts w:ascii="Arial" w:hAnsi="Arial" w:cs="Arial"/>
                <w:bCs/>
                <w:sz w:val="18"/>
                <w:szCs w:val="18"/>
                <w:lang w:val="en-GB" w:eastAsia="zh-CN"/>
              </w:rPr>
              <w:t>3,225</w:t>
            </w:r>
          </w:p>
        </w:tc>
        <w:tc>
          <w:tcPr>
            <w:tcW w:w="947" w:type="dxa"/>
            <w:tcBorders>
              <w:top w:val="nil"/>
              <w:left w:val="nil"/>
              <w:bottom w:val="single" w:sz="4" w:space="0" w:color="auto"/>
              <w:right w:val="single" w:sz="4" w:space="0" w:color="auto"/>
            </w:tcBorders>
            <w:shd w:val="clear" w:color="auto" w:fill="auto"/>
            <w:noWrap/>
            <w:vAlign w:val="bottom"/>
            <w:hideMark/>
          </w:tcPr>
          <w:p w14:paraId="0A5B648F" w14:textId="308873C7"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6F2D83F5" w14:textId="7DCE7168"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402C4F2E" w14:textId="73E193FF"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7EE6773E" w14:textId="2FF78929" w:rsidR="00AA7CAC" w:rsidRPr="00EA6217" w:rsidRDefault="00AA7CAC" w:rsidP="00545E9C">
            <w:pPr>
              <w:jc w:val="right"/>
              <w:rPr>
                <w:rFonts w:ascii="Arial" w:hAnsi="Arial" w:cs="Arial"/>
                <w:bCs/>
                <w:sz w:val="18"/>
                <w:szCs w:val="18"/>
                <w:lang w:val="en-GB" w:eastAsia="zh-CN"/>
              </w:rPr>
            </w:pPr>
            <w:r w:rsidRPr="00EA6217">
              <w:rPr>
                <w:rFonts w:ascii="Arial" w:hAnsi="Arial" w:cs="Arial"/>
                <w:bCs/>
                <w:sz w:val="18"/>
                <w:szCs w:val="18"/>
                <w:lang w:val="en-GB" w:eastAsia="zh-CN"/>
              </w:rPr>
              <w:t>247</w:t>
            </w:r>
          </w:p>
        </w:tc>
        <w:tc>
          <w:tcPr>
            <w:tcW w:w="947" w:type="dxa"/>
            <w:tcBorders>
              <w:top w:val="nil"/>
              <w:left w:val="nil"/>
              <w:bottom w:val="single" w:sz="4" w:space="0" w:color="auto"/>
              <w:right w:val="single" w:sz="4" w:space="0" w:color="auto"/>
            </w:tcBorders>
            <w:shd w:val="clear" w:color="auto" w:fill="auto"/>
            <w:noWrap/>
            <w:vAlign w:val="bottom"/>
            <w:hideMark/>
          </w:tcPr>
          <w:p w14:paraId="6A797610" w14:textId="4655B68C" w:rsidR="00AA7CAC" w:rsidRPr="00EA6217" w:rsidRDefault="00AA7CAC" w:rsidP="00545E9C">
            <w:pPr>
              <w:jc w:val="right"/>
              <w:rPr>
                <w:rFonts w:ascii="Arial" w:hAnsi="Arial" w:cs="Arial"/>
                <w:bCs/>
                <w:sz w:val="18"/>
                <w:szCs w:val="18"/>
                <w:lang w:val="en-GB" w:eastAsia="zh-CN"/>
              </w:rPr>
            </w:pPr>
            <w:r w:rsidRPr="00EA6217">
              <w:rPr>
                <w:rFonts w:ascii="Arial" w:hAnsi="Arial" w:cs="Arial"/>
                <w:bCs/>
                <w:sz w:val="18"/>
                <w:szCs w:val="18"/>
                <w:lang w:val="en-GB" w:eastAsia="zh-CN"/>
              </w:rPr>
              <w:t>180</w:t>
            </w:r>
          </w:p>
        </w:tc>
      </w:tr>
      <w:tr w:rsidR="00AA7CAC" w:rsidRPr="00265A99" w14:paraId="6DDE8311" w14:textId="77777777" w:rsidTr="00836639">
        <w:trPr>
          <w:trHeight w:val="60"/>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14:paraId="07482A82" w14:textId="77777777" w:rsidR="00AA7CAC" w:rsidRPr="00265A99" w:rsidRDefault="00AA7CAC" w:rsidP="00F65584">
            <w:pPr>
              <w:jc w:val="center"/>
              <w:rPr>
                <w:rFonts w:ascii="Arial" w:hAnsi="Arial" w:cs="Arial"/>
                <w:b/>
                <w:bCs/>
                <w:color w:val="000000"/>
                <w:sz w:val="18"/>
                <w:szCs w:val="18"/>
                <w:lang w:val="en-GB" w:eastAsia="zh-CN"/>
              </w:rPr>
            </w:pPr>
            <w:r w:rsidRPr="00265A99">
              <w:rPr>
                <w:rFonts w:ascii="Arial" w:hAnsi="Arial" w:cs="Arial"/>
                <w:b/>
                <w:bCs/>
                <w:color w:val="000000"/>
                <w:sz w:val="18"/>
                <w:szCs w:val="18"/>
                <w:lang w:val="en-GB" w:eastAsia="zh-CN"/>
              </w:rPr>
              <w:t>1</w:t>
            </w:r>
          </w:p>
        </w:tc>
        <w:tc>
          <w:tcPr>
            <w:tcW w:w="1071" w:type="dxa"/>
            <w:tcBorders>
              <w:top w:val="nil"/>
              <w:left w:val="nil"/>
              <w:bottom w:val="single" w:sz="4" w:space="0" w:color="auto"/>
              <w:right w:val="single" w:sz="4" w:space="0" w:color="auto"/>
            </w:tcBorders>
            <w:shd w:val="clear" w:color="auto" w:fill="auto"/>
            <w:noWrap/>
            <w:vAlign w:val="bottom"/>
            <w:hideMark/>
          </w:tcPr>
          <w:p w14:paraId="769381A2" w14:textId="77777777"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483</w:t>
            </w:r>
          </w:p>
        </w:tc>
        <w:tc>
          <w:tcPr>
            <w:tcW w:w="1496" w:type="dxa"/>
            <w:tcBorders>
              <w:top w:val="nil"/>
              <w:left w:val="nil"/>
              <w:bottom w:val="single" w:sz="4" w:space="0" w:color="auto"/>
              <w:right w:val="single" w:sz="4" w:space="0" w:color="auto"/>
            </w:tcBorders>
            <w:shd w:val="clear" w:color="auto" w:fill="auto"/>
            <w:noWrap/>
            <w:vAlign w:val="bottom"/>
            <w:hideMark/>
          </w:tcPr>
          <w:p w14:paraId="13E11DD6" w14:textId="77777777"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$618,240</w:t>
            </w:r>
          </w:p>
        </w:tc>
        <w:tc>
          <w:tcPr>
            <w:tcW w:w="1677" w:type="dxa"/>
            <w:tcBorders>
              <w:top w:val="nil"/>
              <w:left w:val="nil"/>
              <w:bottom w:val="single" w:sz="4" w:space="0" w:color="auto"/>
              <w:right w:val="single" w:sz="4" w:space="0" w:color="auto"/>
            </w:tcBorders>
            <w:shd w:val="clear" w:color="auto" w:fill="auto"/>
            <w:noWrap/>
            <w:vAlign w:val="bottom"/>
            <w:hideMark/>
          </w:tcPr>
          <w:p w14:paraId="3E42697E" w14:textId="55067AD9" w:rsidR="00AA7CAC" w:rsidRPr="00265A99" w:rsidRDefault="00AA7CAC" w:rsidP="00AA7CAC">
            <w:pPr>
              <w:rPr>
                <w:rFonts w:ascii="Arial" w:hAnsi="Arial" w:cs="Arial"/>
                <w:sz w:val="18"/>
                <w:szCs w:val="18"/>
                <w:lang w:val="en-GB" w:eastAsia="zh-CN"/>
              </w:rPr>
            </w:pPr>
            <w:r w:rsidRPr="00265A99">
              <w:rPr>
                <w:rFonts w:ascii="Arial" w:hAnsi="Arial" w:cs="Arial"/>
                <w:sz w:val="18"/>
                <w:szCs w:val="18"/>
                <w:lang w:val="en-GB" w:eastAsia="zh-CN"/>
              </w:rPr>
              <w:t>Country 4</w:t>
            </w:r>
          </w:p>
        </w:tc>
        <w:tc>
          <w:tcPr>
            <w:tcW w:w="947" w:type="dxa"/>
            <w:tcBorders>
              <w:top w:val="nil"/>
              <w:left w:val="nil"/>
              <w:bottom w:val="single" w:sz="4" w:space="0" w:color="auto"/>
              <w:right w:val="single" w:sz="4" w:space="0" w:color="auto"/>
            </w:tcBorders>
            <w:shd w:val="clear" w:color="auto" w:fill="auto"/>
            <w:noWrap/>
            <w:vAlign w:val="bottom"/>
            <w:hideMark/>
          </w:tcPr>
          <w:p w14:paraId="14D5DCF2" w14:textId="6148EBBA"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6B89DF0B" w14:textId="45883ABA"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233E8C81" w14:textId="1641CA97"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31A0ECBB" w14:textId="7505AE3C" w:rsidR="00AA7CAC" w:rsidRPr="00EA6217" w:rsidRDefault="00AA7CAC" w:rsidP="00545E9C">
            <w:pPr>
              <w:jc w:val="right"/>
              <w:rPr>
                <w:rFonts w:ascii="Arial" w:hAnsi="Arial" w:cs="Arial"/>
                <w:bCs/>
                <w:sz w:val="18"/>
                <w:szCs w:val="18"/>
                <w:lang w:val="en-GB" w:eastAsia="zh-CN"/>
              </w:rPr>
            </w:pPr>
            <w:r w:rsidRPr="00EA6217">
              <w:rPr>
                <w:rFonts w:ascii="Arial" w:hAnsi="Arial" w:cs="Arial"/>
                <w:bCs/>
                <w:sz w:val="18"/>
                <w:szCs w:val="18"/>
                <w:lang w:val="en-GB" w:eastAsia="zh-CN"/>
              </w:rPr>
              <w:t>292</w:t>
            </w:r>
          </w:p>
        </w:tc>
        <w:tc>
          <w:tcPr>
            <w:tcW w:w="947" w:type="dxa"/>
            <w:tcBorders>
              <w:top w:val="nil"/>
              <w:left w:val="nil"/>
              <w:bottom w:val="single" w:sz="4" w:space="0" w:color="auto"/>
              <w:right w:val="single" w:sz="4" w:space="0" w:color="auto"/>
            </w:tcBorders>
            <w:shd w:val="clear" w:color="auto" w:fill="auto"/>
            <w:noWrap/>
            <w:vAlign w:val="bottom"/>
            <w:hideMark/>
          </w:tcPr>
          <w:p w14:paraId="05A6A0CC" w14:textId="75FA3A84"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647363EF" w14:textId="1BA3CA93"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39CDC003" w14:textId="759F1D2D"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254BF40E" w14:textId="742F34E4"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r>
      <w:tr w:rsidR="00AA7CAC" w:rsidRPr="00265A99" w14:paraId="46AD212B" w14:textId="77777777" w:rsidTr="00836639">
        <w:trPr>
          <w:trHeight w:val="71"/>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14:paraId="0C57160B" w14:textId="77777777" w:rsidR="00AA7CAC" w:rsidRPr="00265A99" w:rsidRDefault="00AA7CAC" w:rsidP="00F65584">
            <w:pPr>
              <w:jc w:val="center"/>
              <w:rPr>
                <w:rFonts w:ascii="Arial" w:hAnsi="Arial" w:cs="Arial"/>
                <w:b/>
                <w:bCs/>
                <w:color w:val="000000"/>
                <w:sz w:val="18"/>
                <w:szCs w:val="18"/>
                <w:lang w:val="en-GB" w:eastAsia="zh-CN"/>
              </w:rPr>
            </w:pPr>
            <w:r w:rsidRPr="00265A99">
              <w:rPr>
                <w:rFonts w:ascii="Arial" w:hAnsi="Arial" w:cs="Arial"/>
                <w:b/>
                <w:bCs/>
                <w:color w:val="000000"/>
                <w:sz w:val="18"/>
                <w:szCs w:val="18"/>
                <w:lang w:val="en-GB" w:eastAsia="zh-CN"/>
              </w:rPr>
              <w:t>1</w:t>
            </w:r>
          </w:p>
        </w:tc>
        <w:tc>
          <w:tcPr>
            <w:tcW w:w="1071" w:type="dxa"/>
            <w:tcBorders>
              <w:top w:val="nil"/>
              <w:left w:val="nil"/>
              <w:bottom w:val="single" w:sz="4" w:space="0" w:color="auto"/>
              <w:right w:val="single" w:sz="4" w:space="0" w:color="auto"/>
            </w:tcBorders>
            <w:shd w:val="clear" w:color="auto" w:fill="auto"/>
            <w:noWrap/>
            <w:vAlign w:val="bottom"/>
            <w:hideMark/>
          </w:tcPr>
          <w:p w14:paraId="03F56902" w14:textId="57A7AC97"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1,050</w:t>
            </w:r>
          </w:p>
        </w:tc>
        <w:tc>
          <w:tcPr>
            <w:tcW w:w="1496" w:type="dxa"/>
            <w:tcBorders>
              <w:top w:val="nil"/>
              <w:left w:val="nil"/>
              <w:bottom w:val="single" w:sz="4" w:space="0" w:color="auto"/>
              <w:right w:val="single" w:sz="4" w:space="0" w:color="auto"/>
            </w:tcBorders>
            <w:shd w:val="clear" w:color="auto" w:fill="auto"/>
            <w:noWrap/>
            <w:vAlign w:val="bottom"/>
            <w:hideMark/>
          </w:tcPr>
          <w:p w14:paraId="78CA305D" w14:textId="77777777"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$1,785,000</w:t>
            </w:r>
          </w:p>
        </w:tc>
        <w:tc>
          <w:tcPr>
            <w:tcW w:w="1677" w:type="dxa"/>
            <w:tcBorders>
              <w:top w:val="nil"/>
              <w:left w:val="nil"/>
              <w:bottom w:val="single" w:sz="4" w:space="0" w:color="auto"/>
              <w:right w:val="single" w:sz="4" w:space="0" w:color="auto"/>
            </w:tcBorders>
            <w:shd w:val="clear" w:color="auto" w:fill="auto"/>
            <w:noWrap/>
            <w:vAlign w:val="bottom"/>
            <w:hideMark/>
          </w:tcPr>
          <w:p w14:paraId="7FAE5A4A" w14:textId="74A3C3A0" w:rsidR="00AA7CAC" w:rsidRPr="00265A99" w:rsidRDefault="00AA7CAC" w:rsidP="00AA7CAC">
            <w:pPr>
              <w:rPr>
                <w:rFonts w:ascii="Arial" w:hAnsi="Arial" w:cs="Arial"/>
                <w:sz w:val="18"/>
                <w:szCs w:val="18"/>
                <w:lang w:val="en-GB" w:eastAsia="zh-CN"/>
              </w:rPr>
            </w:pPr>
            <w:r w:rsidRPr="00265A99">
              <w:rPr>
                <w:rFonts w:ascii="Arial" w:hAnsi="Arial" w:cs="Arial"/>
                <w:sz w:val="18"/>
                <w:szCs w:val="18"/>
                <w:lang w:val="en-GB" w:eastAsia="zh-CN"/>
              </w:rPr>
              <w:t>Country 5</w:t>
            </w:r>
            <w:bookmarkStart w:id="1" w:name="_GoBack"/>
            <w:bookmarkEnd w:id="1"/>
          </w:p>
        </w:tc>
        <w:tc>
          <w:tcPr>
            <w:tcW w:w="947" w:type="dxa"/>
            <w:tcBorders>
              <w:top w:val="nil"/>
              <w:left w:val="nil"/>
              <w:bottom w:val="single" w:sz="4" w:space="0" w:color="auto"/>
              <w:right w:val="single" w:sz="4" w:space="0" w:color="auto"/>
            </w:tcBorders>
            <w:shd w:val="clear" w:color="auto" w:fill="auto"/>
            <w:noWrap/>
            <w:vAlign w:val="bottom"/>
            <w:hideMark/>
          </w:tcPr>
          <w:p w14:paraId="5ECAC87C" w14:textId="520CFE3F"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247A23C7" w14:textId="5782949F"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7CBB3DE4" w14:textId="478C7A84"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3642414D" w14:textId="73450339"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26CFE8FD" w14:textId="3999A9C7" w:rsidR="00AA7CAC" w:rsidRPr="00EA6217" w:rsidRDefault="00AA7CAC" w:rsidP="00545E9C">
            <w:pPr>
              <w:jc w:val="right"/>
              <w:rPr>
                <w:rFonts w:ascii="Arial" w:hAnsi="Arial" w:cs="Arial"/>
                <w:bCs/>
                <w:sz w:val="18"/>
                <w:szCs w:val="18"/>
                <w:lang w:val="en-GB" w:eastAsia="zh-CN"/>
              </w:rPr>
            </w:pPr>
            <w:r w:rsidRPr="00EA6217">
              <w:rPr>
                <w:rFonts w:ascii="Arial" w:hAnsi="Arial" w:cs="Arial"/>
                <w:bCs/>
                <w:sz w:val="18"/>
                <w:szCs w:val="18"/>
                <w:lang w:val="en-GB" w:eastAsia="zh-CN"/>
              </w:rPr>
              <w:t>684</w:t>
            </w:r>
          </w:p>
        </w:tc>
        <w:tc>
          <w:tcPr>
            <w:tcW w:w="947" w:type="dxa"/>
            <w:tcBorders>
              <w:top w:val="nil"/>
              <w:left w:val="nil"/>
              <w:bottom w:val="single" w:sz="4" w:space="0" w:color="auto"/>
              <w:right w:val="single" w:sz="4" w:space="0" w:color="auto"/>
            </w:tcBorders>
            <w:shd w:val="clear" w:color="auto" w:fill="auto"/>
            <w:noWrap/>
            <w:vAlign w:val="bottom"/>
            <w:hideMark/>
          </w:tcPr>
          <w:p w14:paraId="1129E65D" w14:textId="57130BBC"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0F7736F5" w14:textId="10B62057"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6B841F2E" w14:textId="36035271"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r>
      <w:tr w:rsidR="00AA7CAC" w:rsidRPr="00265A99" w14:paraId="7AB1B9B9" w14:textId="77777777" w:rsidTr="00836639">
        <w:trPr>
          <w:trHeight w:val="60"/>
        </w:trPr>
        <w:tc>
          <w:tcPr>
            <w:tcW w:w="1177" w:type="dxa"/>
            <w:tcBorders>
              <w:top w:val="nil"/>
              <w:left w:val="single" w:sz="4" w:space="0" w:color="auto"/>
              <w:bottom w:val="single" w:sz="4" w:space="0" w:color="auto"/>
              <w:right w:val="single" w:sz="4" w:space="0" w:color="auto"/>
            </w:tcBorders>
            <w:shd w:val="clear" w:color="auto" w:fill="auto"/>
            <w:noWrap/>
            <w:vAlign w:val="center"/>
            <w:hideMark/>
          </w:tcPr>
          <w:p w14:paraId="7ADE5964" w14:textId="77777777" w:rsidR="00AA7CAC" w:rsidRPr="00265A99" w:rsidRDefault="00AA7CAC" w:rsidP="00F65584">
            <w:pPr>
              <w:jc w:val="center"/>
              <w:rPr>
                <w:rFonts w:ascii="Arial" w:hAnsi="Arial" w:cs="Arial"/>
                <w:b/>
                <w:bCs/>
                <w:color w:val="000000"/>
                <w:sz w:val="18"/>
                <w:szCs w:val="18"/>
                <w:lang w:val="en-GB" w:eastAsia="zh-CN"/>
              </w:rPr>
            </w:pPr>
            <w:r w:rsidRPr="00265A99">
              <w:rPr>
                <w:rFonts w:ascii="Arial" w:hAnsi="Arial" w:cs="Arial"/>
                <w:b/>
                <w:bCs/>
                <w:color w:val="000000"/>
                <w:sz w:val="18"/>
                <w:szCs w:val="18"/>
                <w:lang w:val="en-GB" w:eastAsia="zh-CN"/>
              </w:rPr>
              <w:t>1</w:t>
            </w:r>
          </w:p>
        </w:tc>
        <w:tc>
          <w:tcPr>
            <w:tcW w:w="1071" w:type="dxa"/>
            <w:tcBorders>
              <w:top w:val="nil"/>
              <w:left w:val="nil"/>
              <w:bottom w:val="single" w:sz="4" w:space="0" w:color="auto"/>
              <w:right w:val="single" w:sz="4" w:space="0" w:color="auto"/>
            </w:tcBorders>
            <w:shd w:val="clear" w:color="auto" w:fill="auto"/>
            <w:noWrap/>
            <w:vAlign w:val="bottom"/>
            <w:hideMark/>
          </w:tcPr>
          <w:p w14:paraId="3F184B50" w14:textId="5694FBB7"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2,334</w:t>
            </w:r>
          </w:p>
        </w:tc>
        <w:tc>
          <w:tcPr>
            <w:tcW w:w="1496" w:type="dxa"/>
            <w:tcBorders>
              <w:top w:val="nil"/>
              <w:left w:val="nil"/>
              <w:bottom w:val="single" w:sz="4" w:space="0" w:color="auto"/>
              <w:right w:val="single" w:sz="4" w:space="0" w:color="auto"/>
            </w:tcBorders>
            <w:shd w:val="clear" w:color="auto" w:fill="auto"/>
            <w:noWrap/>
            <w:vAlign w:val="bottom"/>
            <w:hideMark/>
          </w:tcPr>
          <w:p w14:paraId="220E0AD0" w14:textId="77777777" w:rsidR="00AA7CAC" w:rsidRPr="00265A99" w:rsidRDefault="00AA7CAC" w:rsidP="00AA7CAC">
            <w:pPr>
              <w:jc w:val="right"/>
              <w:rPr>
                <w:rFonts w:ascii="Arial" w:hAnsi="Arial" w:cs="Arial"/>
                <w:sz w:val="18"/>
                <w:szCs w:val="18"/>
                <w:lang w:val="en-GB" w:eastAsia="zh-CN"/>
              </w:rPr>
            </w:pPr>
            <w:r w:rsidRPr="00265A99">
              <w:rPr>
                <w:rFonts w:ascii="Arial" w:hAnsi="Arial" w:cs="Arial"/>
                <w:sz w:val="18"/>
                <w:szCs w:val="18"/>
                <w:lang w:val="en-GB" w:eastAsia="zh-CN"/>
              </w:rPr>
              <w:t>$1,633,800</w:t>
            </w:r>
          </w:p>
        </w:tc>
        <w:tc>
          <w:tcPr>
            <w:tcW w:w="1677" w:type="dxa"/>
            <w:tcBorders>
              <w:top w:val="nil"/>
              <w:left w:val="nil"/>
              <w:bottom w:val="single" w:sz="4" w:space="0" w:color="auto"/>
              <w:right w:val="single" w:sz="4" w:space="0" w:color="auto"/>
            </w:tcBorders>
            <w:shd w:val="clear" w:color="auto" w:fill="auto"/>
            <w:noWrap/>
            <w:vAlign w:val="bottom"/>
            <w:hideMark/>
          </w:tcPr>
          <w:p w14:paraId="0FC1A3BC" w14:textId="4994C770" w:rsidR="00AA7CAC" w:rsidRPr="00265A99" w:rsidRDefault="00AA7CAC" w:rsidP="00AA7CAC">
            <w:pPr>
              <w:rPr>
                <w:rFonts w:ascii="Arial" w:hAnsi="Arial" w:cs="Arial"/>
                <w:sz w:val="18"/>
                <w:szCs w:val="18"/>
                <w:lang w:val="en-GB" w:eastAsia="zh-CN"/>
              </w:rPr>
            </w:pPr>
            <w:r w:rsidRPr="00265A99">
              <w:rPr>
                <w:rFonts w:ascii="Arial" w:hAnsi="Arial" w:cs="Arial"/>
                <w:sz w:val="18"/>
                <w:szCs w:val="18"/>
                <w:lang w:val="en-GB" w:eastAsia="zh-CN"/>
              </w:rPr>
              <w:t>Country 6</w:t>
            </w:r>
          </w:p>
        </w:tc>
        <w:tc>
          <w:tcPr>
            <w:tcW w:w="947" w:type="dxa"/>
            <w:tcBorders>
              <w:top w:val="nil"/>
              <w:left w:val="nil"/>
              <w:bottom w:val="single" w:sz="4" w:space="0" w:color="auto"/>
              <w:right w:val="single" w:sz="4" w:space="0" w:color="auto"/>
            </w:tcBorders>
            <w:shd w:val="clear" w:color="auto" w:fill="auto"/>
            <w:noWrap/>
            <w:vAlign w:val="bottom"/>
            <w:hideMark/>
          </w:tcPr>
          <w:p w14:paraId="12B3126E" w14:textId="387E92AA"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7AD6C319" w14:textId="6ACD66E3"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1C079EAE" w14:textId="64F0F837"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6B5F31C8" w14:textId="0B6F4999"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3E05A4D1" w14:textId="47673079"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7990B3C6" w14:textId="5CBB6D25" w:rsidR="00AA7CAC" w:rsidRPr="00EA6217" w:rsidRDefault="00AA7CAC" w:rsidP="00EA6217">
            <w:pPr>
              <w:jc w:val="right"/>
              <w:rPr>
                <w:rFonts w:ascii="Arial" w:hAnsi="Arial" w:cs="Arial"/>
                <w:bCs/>
                <w:sz w:val="18"/>
                <w:szCs w:val="18"/>
                <w:lang w:val="en-GB" w:eastAsia="zh-CN"/>
              </w:rPr>
            </w:pPr>
            <w:r w:rsidRPr="00EA6217">
              <w:rPr>
                <w:rFonts w:ascii="Arial" w:hAnsi="Arial" w:cs="Arial"/>
                <w:bCs/>
                <w:sz w:val="18"/>
                <w:szCs w:val="18"/>
                <w:lang w:val="en-GB" w:eastAsia="zh-CN"/>
              </w:rPr>
              <w:t>2,065</w:t>
            </w:r>
          </w:p>
        </w:tc>
        <w:tc>
          <w:tcPr>
            <w:tcW w:w="947" w:type="dxa"/>
            <w:tcBorders>
              <w:top w:val="nil"/>
              <w:left w:val="nil"/>
              <w:bottom w:val="single" w:sz="4" w:space="0" w:color="auto"/>
              <w:right w:val="single" w:sz="4" w:space="0" w:color="auto"/>
            </w:tcBorders>
            <w:shd w:val="clear" w:color="auto" w:fill="auto"/>
            <w:noWrap/>
            <w:vAlign w:val="bottom"/>
            <w:hideMark/>
          </w:tcPr>
          <w:p w14:paraId="3F4DA891" w14:textId="1D570075"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2148A369" w14:textId="2DB93E14" w:rsidR="00AA7CAC" w:rsidRPr="00265A99" w:rsidRDefault="00150A56" w:rsidP="00AA7CAC">
            <w:pPr>
              <w:jc w:val="right"/>
              <w:rPr>
                <w:rFonts w:ascii="Arial" w:hAnsi="Arial" w:cs="Arial"/>
                <w:b/>
                <w:bCs/>
                <w:sz w:val="18"/>
                <w:szCs w:val="18"/>
                <w:lang w:val="en-GB" w:eastAsia="zh-CN"/>
              </w:rPr>
            </w:pPr>
            <w:r>
              <w:rPr>
                <w:rFonts w:ascii="Arial" w:hAnsi="Arial" w:cs="Arial"/>
                <w:b/>
                <w:bCs/>
                <w:sz w:val="18"/>
                <w:szCs w:val="18"/>
                <w:lang w:val="en-GB" w:eastAsia="zh-CN"/>
              </w:rPr>
              <w:t>–</w:t>
            </w:r>
          </w:p>
        </w:tc>
      </w:tr>
      <w:tr w:rsidR="00AA7CAC" w:rsidRPr="00265A99" w14:paraId="09C7F4B7" w14:textId="77777777" w:rsidTr="00836639">
        <w:trPr>
          <w:trHeight w:val="60"/>
        </w:trPr>
        <w:tc>
          <w:tcPr>
            <w:tcW w:w="1177" w:type="dxa"/>
            <w:tcBorders>
              <w:top w:val="nil"/>
              <w:left w:val="nil"/>
              <w:bottom w:val="nil"/>
              <w:right w:val="nil"/>
            </w:tcBorders>
            <w:shd w:val="clear" w:color="auto" w:fill="auto"/>
            <w:noWrap/>
            <w:vAlign w:val="bottom"/>
            <w:hideMark/>
          </w:tcPr>
          <w:p w14:paraId="0F2EF275" w14:textId="77777777" w:rsidR="00001524" w:rsidRPr="00265A99" w:rsidRDefault="00001524" w:rsidP="00267D47">
            <w:pPr>
              <w:rPr>
                <w:rFonts w:ascii="Arial" w:hAnsi="Arial" w:cs="Arial"/>
                <w:b/>
                <w:bCs/>
                <w:sz w:val="18"/>
                <w:szCs w:val="18"/>
                <w:lang w:val="en-GB" w:eastAsia="zh-CN"/>
              </w:rPr>
            </w:pPr>
          </w:p>
        </w:tc>
        <w:tc>
          <w:tcPr>
            <w:tcW w:w="1071" w:type="dxa"/>
            <w:tcBorders>
              <w:top w:val="nil"/>
              <w:left w:val="nil"/>
              <w:bottom w:val="nil"/>
              <w:right w:val="nil"/>
            </w:tcBorders>
            <w:shd w:val="clear" w:color="auto" w:fill="auto"/>
            <w:noWrap/>
            <w:vAlign w:val="bottom"/>
            <w:hideMark/>
          </w:tcPr>
          <w:p w14:paraId="17183CE9" w14:textId="77777777" w:rsidR="00001524" w:rsidRPr="00265A99" w:rsidRDefault="00001524" w:rsidP="00267D47">
            <w:pPr>
              <w:rPr>
                <w:rFonts w:ascii="Arial" w:hAnsi="Arial" w:cs="Arial"/>
                <w:lang w:val="en-GB" w:eastAsia="zh-CN"/>
              </w:rPr>
            </w:pPr>
          </w:p>
        </w:tc>
        <w:tc>
          <w:tcPr>
            <w:tcW w:w="1496" w:type="dxa"/>
            <w:tcBorders>
              <w:top w:val="nil"/>
              <w:left w:val="nil"/>
              <w:bottom w:val="nil"/>
              <w:right w:val="nil"/>
            </w:tcBorders>
            <w:shd w:val="clear" w:color="auto" w:fill="auto"/>
            <w:noWrap/>
            <w:vAlign w:val="bottom"/>
            <w:hideMark/>
          </w:tcPr>
          <w:p w14:paraId="17E57849" w14:textId="007A2D7E" w:rsidR="00001524" w:rsidRPr="00265A99" w:rsidRDefault="00001524" w:rsidP="00267D47">
            <w:pPr>
              <w:rPr>
                <w:rFonts w:ascii="Arial" w:hAnsi="Arial" w:cs="Arial"/>
                <w:lang w:val="en-GB" w:eastAsia="zh-CN"/>
              </w:rPr>
            </w:pPr>
          </w:p>
        </w:tc>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5944407D" w14:textId="6F983221"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 xml:space="preserve">Demand </w:t>
            </w:r>
            <w:r w:rsidR="004E566A" w:rsidRPr="00265A99">
              <w:rPr>
                <w:rFonts w:ascii="Arial" w:hAnsi="Arial" w:cs="Arial"/>
                <w:sz w:val="18"/>
                <w:szCs w:val="18"/>
                <w:lang w:val="en-GB" w:eastAsia="zh-CN"/>
              </w:rPr>
              <w:t>(</w:t>
            </w:r>
            <w:r w:rsidRPr="00265A99">
              <w:rPr>
                <w:rFonts w:ascii="Arial" w:hAnsi="Arial" w:cs="Arial"/>
                <w:sz w:val="18"/>
                <w:szCs w:val="18"/>
                <w:lang w:val="en-GB" w:eastAsia="zh-CN"/>
              </w:rPr>
              <w:t>tons</w:t>
            </w:r>
            <w:r w:rsidR="004E566A" w:rsidRPr="00265A99">
              <w:rPr>
                <w:rFonts w:ascii="Arial" w:hAnsi="Arial" w:cs="Arial"/>
                <w:sz w:val="18"/>
                <w:szCs w:val="18"/>
                <w:lang w:val="en-GB" w:eastAsia="zh-CN"/>
              </w:rPr>
              <w:t>)</w:t>
            </w:r>
          </w:p>
        </w:tc>
        <w:tc>
          <w:tcPr>
            <w:tcW w:w="947" w:type="dxa"/>
            <w:tcBorders>
              <w:top w:val="nil"/>
              <w:left w:val="nil"/>
              <w:bottom w:val="single" w:sz="4" w:space="0" w:color="auto"/>
              <w:right w:val="single" w:sz="4" w:space="0" w:color="auto"/>
            </w:tcBorders>
            <w:shd w:val="clear" w:color="auto" w:fill="auto"/>
            <w:noWrap/>
            <w:vAlign w:val="bottom"/>
            <w:hideMark/>
          </w:tcPr>
          <w:p w14:paraId="2A6AEF8D"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1,120</w:t>
            </w:r>
          </w:p>
        </w:tc>
        <w:tc>
          <w:tcPr>
            <w:tcW w:w="947" w:type="dxa"/>
            <w:tcBorders>
              <w:top w:val="nil"/>
              <w:left w:val="nil"/>
              <w:bottom w:val="single" w:sz="4" w:space="0" w:color="auto"/>
              <w:right w:val="single" w:sz="4" w:space="0" w:color="auto"/>
            </w:tcBorders>
            <w:shd w:val="clear" w:color="auto" w:fill="auto"/>
            <w:noWrap/>
            <w:vAlign w:val="bottom"/>
            <w:hideMark/>
          </w:tcPr>
          <w:p w14:paraId="6374BC87"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425</w:t>
            </w:r>
          </w:p>
        </w:tc>
        <w:tc>
          <w:tcPr>
            <w:tcW w:w="947" w:type="dxa"/>
            <w:tcBorders>
              <w:top w:val="nil"/>
              <w:left w:val="nil"/>
              <w:bottom w:val="single" w:sz="4" w:space="0" w:color="auto"/>
              <w:right w:val="single" w:sz="4" w:space="0" w:color="auto"/>
            </w:tcBorders>
            <w:shd w:val="clear" w:color="auto" w:fill="auto"/>
            <w:noWrap/>
            <w:vAlign w:val="bottom"/>
            <w:hideMark/>
          </w:tcPr>
          <w:p w14:paraId="10716BC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3,225</w:t>
            </w:r>
          </w:p>
        </w:tc>
        <w:tc>
          <w:tcPr>
            <w:tcW w:w="947" w:type="dxa"/>
            <w:tcBorders>
              <w:top w:val="nil"/>
              <w:left w:val="nil"/>
              <w:bottom w:val="single" w:sz="4" w:space="0" w:color="auto"/>
              <w:right w:val="single" w:sz="4" w:space="0" w:color="auto"/>
            </w:tcBorders>
            <w:shd w:val="clear" w:color="auto" w:fill="auto"/>
            <w:noWrap/>
            <w:vAlign w:val="bottom"/>
            <w:hideMark/>
          </w:tcPr>
          <w:p w14:paraId="6A3F5D05"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292</w:t>
            </w:r>
          </w:p>
        </w:tc>
        <w:tc>
          <w:tcPr>
            <w:tcW w:w="947" w:type="dxa"/>
            <w:tcBorders>
              <w:top w:val="nil"/>
              <w:left w:val="nil"/>
              <w:bottom w:val="single" w:sz="4" w:space="0" w:color="auto"/>
              <w:right w:val="single" w:sz="4" w:space="0" w:color="auto"/>
            </w:tcBorders>
            <w:shd w:val="clear" w:color="auto" w:fill="auto"/>
            <w:noWrap/>
            <w:vAlign w:val="bottom"/>
            <w:hideMark/>
          </w:tcPr>
          <w:p w14:paraId="1BE07278"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684</w:t>
            </w:r>
          </w:p>
        </w:tc>
        <w:tc>
          <w:tcPr>
            <w:tcW w:w="947" w:type="dxa"/>
            <w:tcBorders>
              <w:top w:val="nil"/>
              <w:left w:val="nil"/>
              <w:bottom w:val="single" w:sz="4" w:space="0" w:color="auto"/>
              <w:right w:val="single" w:sz="4" w:space="0" w:color="auto"/>
            </w:tcBorders>
            <w:shd w:val="clear" w:color="auto" w:fill="auto"/>
            <w:noWrap/>
            <w:vAlign w:val="bottom"/>
            <w:hideMark/>
          </w:tcPr>
          <w:p w14:paraId="0C941D6B"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2,065</w:t>
            </w:r>
          </w:p>
        </w:tc>
        <w:tc>
          <w:tcPr>
            <w:tcW w:w="947" w:type="dxa"/>
            <w:tcBorders>
              <w:top w:val="nil"/>
              <w:left w:val="nil"/>
              <w:bottom w:val="single" w:sz="4" w:space="0" w:color="auto"/>
              <w:right w:val="single" w:sz="4" w:space="0" w:color="auto"/>
            </w:tcBorders>
            <w:shd w:val="clear" w:color="auto" w:fill="auto"/>
            <w:noWrap/>
            <w:vAlign w:val="bottom"/>
            <w:hideMark/>
          </w:tcPr>
          <w:p w14:paraId="293951B6"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247</w:t>
            </w:r>
          </w:p>
        </w:tc>
        <w:tc>
          <w:tcPr>
            <w:tcW w:w="947" w:type="dxa"/>
            <w:tcBorders>
              <w:top w:val="nil"/>
              <w:left w:val="nil"/>
              <w:bottom w:val="single" w:sz="4" w:space="0" w:color="auto"/>
              <w:right w:val="single" w:sz="4" w:space="0" w:color="auto"/>
            </w:tcBorders>
            <w:shd w:val="clear" w:color="auto" w:fill="auto"/>
            <w:noWrap/>
            <w:vAlign w:val="bottom"/>
            <w:hideMark/>
          </w:tcPr>
          <w:p w14:paraId="170083AB"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180</w:t>
            </w:r>
          </w:p>
        </w:tc>
      </w:tr>
    </w:tbl>
    <w:p w14:paraId="5703CFCB" w14:textId="77777777" w:rsidR="00001524" w:rsidRPr="00265A99" w:rsidRDefault="00001524" w:rsidP="00001524">
      <w:pPr>
        <w:pStyle w:val="ExhibitHeading"/>
        <w:rPr>
          <w:lang w:val="en-GB"/>
        </w:rPr>
      </w:pPr>
    </w:p>
    <w:p w14:paraId="093A697B" w14:textId="20ED5373" w:rsidR="006B70C7" w:rsidRDefault="006B70C7" w:rsidP="00001524">
      <w:pPr>
        <w:pStyle w:val="Footnote"/>
        <w:rPr>
          <w:lang w:val="en-GB"/>
        </w:rPr>
      </w:pPr>
      <w:r>
        <w:rPr>
          <w:lang w:val="en-GB"/>
        </w:rPr>
        <w:t>Note: APAC = Asia and Pacific</w:t>
      </w:r>
    </w:p>
    <w:p w14:paraId="48478B3E" w14:textId="089DE8B4" w:rsidR="00001524" w:rsidRPr="00265A99" w:rsidRDefault="00001524" w:rsidP="00001524">
      <w:pPr>
        <w:pStyle w:val="Footnote"/>
        <w:rPr>
          <w:lang w:val="en-GB"/>
        </w:rPr>
      </w:pPr>
      <w:r w:rsidRPr="00265A99">
        <w:rPr>
          <w:lang w:val="en-GB"/>
        </w:rPr>
        <w:t xml:space="preserve">Source: </w:t>
      </w:r>
      <w:r w:rsidR="004E566A" w:rsidRPr="00265A99">
        <w:rPr>
          <w:lang w:val="en-GB"/>
        </w:rPr>
        <w:t>Created</w:t>
      </w:r>
      <w:r w:rsidRPr="00265A99">
        <w:rPr>
          <w:lang w:val="en-GB"/>
        </w:rPr>
        <w:t xml:space="preserve"> by the authors using company information</w:t>
      </w:r>
      <w:r w:rsidR="004E566A" w:rsidRPr="00265A99">
        <w:rPr>
          <w:lang w:val="en-GB"/>
        </w:rPr>
        <w:t>.</w:t>
      </w:r>
    </w:p>
    <w:p w14:paraId="7BB5A3F5" w14:textId="77777777" w:rsidR="00001524" w:rsidRPr="00265A99" w:rsidRDefault="00001524">
      <w:pPr>
        <w:spacing w:after="200" w:line="276" w:lineRule="auto"/>
        <w:rPr>
          <w:rFonts w:ascii="Arial" w:hAnsi="Arial" w:cs="Arial"/>
          <w:i/>
          <w:sz w:val="17"/>
          <w:szCs w:val="17"/>
          <w:lang w:val="en-GB"/>
        </w:rPr>
      </w:pPr>
      <w:r w:rsidRPr="00265A99">
        <w:rPr>
          <w:lang w:val="en-GB"/>
        </w:rPr>
        <w:br w:type="page"/>
      </w:r>
    </w:p>
    <w:p w14:paraId="025FF76D" w14:textId="77777777" w:rsidR="00001524" w:rsidRPr="00265A99" w:rsidRDefault="00001524" w:rsidP="00001524">
      <w:pPr>
        <w:pStyle w:val="Footnote"/>
        <w:rPr>
          <w:lang w:val="en-GB"/>
        </w:rPr>
        <w:sectPr w:rsidR="00001524" w:rsidRPr="00265A99" w:rsidSect="00001524">
          <w:headerReference w:type="default" r:id="rId13"/>
          <w:pgSz w:w="15840" w:h="12240" w:orient="landscape" w:code="1"/>
          <w:pgMar w:top="1440" w:right="1440" w:bottom="1440" w:left="1440" w:header="1080" w:footer="720" w:gutter="0"/>
          <w:cols w:space="720"/>
          <w:docGrid w:linePitch="360"/>
        </w:sectPr>
      </w:pPr>
    </w:p>
    <w:p w14:paraId="36A3C92B" w14:textId="091596C7" w:rsidR="00001524" w:rsidRPr="00265A99" w:rsidRDefault="00001524" w:rsidP="00001524">
      <w:pPr>
        <w:pStyle w:val="ExhibitHeading"/>
        <w:rPr>
          <w:lang w:val="en-GB"/>
        </w:rPr>
      </w:pPr>
      <w:r w:rsidRPr="00265A99">
        <w:rPr>
          <w:lang w:val="en-GB"/>
        </w:rPr>
        <w:lastRenderedPageBreak/>
        <w:t xml:space="preserve">Exhibit 2: </w:t>
      </w:r>
      <w:r w:rsidR="00545E9C">
        <w:rPr>
          <w:lang w:val="en-GB"/>
        </w:rPr>
        <w:t xml:space="preserve">SIKA’s </w:t>
      </w:r>
      <w:r w:rsidRPr="00265A99">
        <w:rPr>
          <w:lang w:val="en-GB"/>
        </w:rPr>
        <w:t>Landed Cost Matrix</w:t>
      </w:r>
      <w:r w:rsidR="00AE0E12" w:rsidRPr="00265A99">
        <w:rPr>
          <w:lang w:val="en-GB"/>
        </w:rPr>
        <w:t xml:space="preserve"> (</w:t>
      </w:r>
      <w:r w:rsidR="00B414A8">
        <w:rPr>
          <w:lang w:val="en-GB"/>
        </w:rPr>
        <w:t xml:space="preserve">in </w:t>
      </w:r>
      <w:r w:rsidR="00AE0E12" w:rsidRPr="00265A99">
        <w:rPr>
          <w:lang w:val="en-GB"/>
        </w:rPr>
        <w:t>US$)</w:t>
      </w:r>
    </w:p>
    <w:p w14:paraId="446955C8" w14:textId="77777777" w:rsidR="00001524" w:rsidRPr="00265A99" w:rsidRDefault="00001524" w:rsidP="00001524">
      <w:pPr>
        <w:pStyle w:val="BodyTextMain"/>
        <w:rPr>
          <w:lang w:val="en-GB"/>
        </w:rPr>
      </w:pPr>
    </w:p>
    <w:p w14:paraId="180CBE5D" w14:textId="2CF4F1CC" w:rsidR="00001524" w:rsidRPr="00265A99" w:rsidRDefault="00001524" w:rsidP="00001524">
      <w:pPr>
        <w:pStyle w:val="Casehead2"/>
        <w:rPr>
          <w:lang w:val="en-GB"/>
        </w:rPr>
      </w:pPr>
      <w:r w:rsidRPr="00265A99">
        <w:rPr>
          <w:lang w:val="en-GB" w:eastAsia="zh-CN"/>
        </w:rPr>
        <w:t>Landed Cost (=</w:t>
      </w:r>
      <w:r w:rsidR="00AE0E12" w:rsidRPr="00265A99">
        <w:rPr>
          <w:lang w:val="en-GB" w:eastAsia="zh-CN"/>
        </w:rPr>
        <w:t xml:space="preserve"> </w:t>
      </w:r>
      <w:r w:rsidRPr="00265A99">
        <w:rPr>
          <w:lang w:val="en-GB" w:eastAsia="zh-CN"/>
        </w:rPr>
        <w:t xml:space="preserve">Production + Transport + Import Tax) per </w:t>
      </w:r>
      <w:r w:rsidR="00AE0E12" w:rsidRPr="00265A99">
        <w:rPr>
          <w:lang w:val="en-GB" w:eastAsia="zh-CN"/>
        </w:rPr>
        <w:t>T</w:t>
      </w:r>
      <w:r w:rsidRPr="00265A99">
        <w:rPr>
          <w:lang w:val="en-GB" w:eastAsia="zh-CN"/>
        </w:rPr>
        <w:t>on</w:t>
      </w:r>
    </w:p>
    <w:p w14:paraId="3BEFAE0F" w14:textId="77777777" w:rsidR="00001524" w:rsidRPr="00265A99" w:rsidRDefault="00001524" w:rsidP="00001524">
      <w:pPr>
        <w:pStyle w:val="BodyTextMain"/>
        <w:rPr>
          <w:lang w:val="en-GB"/>
        </w:rPr>
      </w:pPr>
    </w:p>
    <w:tbl>
      <w:tblPr>
        <w:tblStyle w:val="TableGrid"/>
        <w:tblW w:w="9253" w:type="dxa"/>
        <w:tblLook w:val="04A0" w:firstRow="1" w:lastRow="0" w:firstColumn="1" w:lastColumn="0" w:noHBand="0" w:noVBand="1"/>
      </w:tblPr>
      <w:tblGrid>
        <w:gridCol w:w="1677"/>
        <w:gridCol w:w="947"/>
        <w:gridCol w:w="947"/>
        <w:gridCol w:w="947"/>
        <w:gridCol w:w="947"/>
        <w:gridCol w:w="947"/>
        <w:gridCol w:w="947"/>
        <w:gridCol w:w="947"/>
        <w:gridCol w:w="947"/>
      </w:tblGrid>
      <w:tr w:rsidR="00001524" w:rsidRPr="00265A99" w14:paraId="6AA94DFD" w14:textId="77777777" w:rsidTr="00F65584">
        <w:trPr>
          <w:trHeight w:val="310"/>
        </w:trPr>
        <w:tc>
          <w:tcPr>
            <w:tcW w:w="1677" w:type="dxa"/>
            <w:noWrap/>
            <w:vAlign w:val="center"/>
            <w:hideMark/>
          </w:tcPr>
          <w:p w14:paraId="74F538BB" w14:textId="4BECDF9F"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Production</w:t>
            </w:r>
            <w:r w:rsidR="00AE0E12" w:rsidRPr="00265A99">
              <w:rPr>
                <w:rFonts w:ascii="Arial" w:hAnsi="Arial" w:cs="Arial"/>
                <w:sz w:val="18"/>
                <w:szCs w:val="18"/>
                <w:lang w:val="en-GB" w:eastAsia="zh-CN"/>
              </w:rPr>
              <w:t>/</w:t>
            </w:r>
            <w:r w:rsidRPr="00265A99">
              <w:rPr>
                <w:rFonts w:ascii="Arial" w:hAnsi="Arial" w:cs="Arial"/>
                <w:sz w:val="18"/>
                <w:szCs w:val="18"/>
                <w:lang w:val="en-GB" w:eastAsia="zh-CN"/>
              </w:rPr>
              <w:t>Market</w:t>
            </w:r>
          </w:p>
        </w:tc>
        <w:tc>
          <w:tcPr>
            <w:tcW w:w="947" w:type="dxa"/>
            <w:noWrap/>
            <w:vAlign w:val="center"/>
            <w:hideMark/>
          </w:tcPr>
          <w:p w14:paraId="7E8E627A" w14:textId="5571CC66"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1</w:t>
            </w:r>
          </w:p>
        </w:tc>
        <w:tc>
          <w:tcPr>
            <w:tcW w:w="947" w:type="dxa"/>
            <w:noWrap/>
            <w:vAlign w:val="center"/>
            <w:hideMark/>
          </w:tcPr>
          <w:p w14:paraId="3764EEF6" w14:textId="30662287"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2</w:t>
            </w:r>
          </w:p>
        </w:tc>
        <w:tc>
          <w:tcPr>
            <w:tcW w:w="947" w:type="dxa"/>
            <w:noWrap/>
            <w:vAlign w:val="center"/>
            <w:hideMark/>
          </w:tcPr>
          <w:p w14:paraId="36302AF6" w14:textId="59476CC8"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3</w:t>
            </w:r>
          </w:p>
        </w:tc>
        <w:tc>
          <w:tcPr>
            <w:tcW w:w="947" w:type="dxa"/>
            <w:noWrap/>
            <w:vAlign w:val="center"/>
            <w:hideMark/>
          </w:tcPr>
          <w:p w14:paraId="70ECDFCE" w14:textId="24252966"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4</w:t>
            </w:r>
          </w:p>
        </w:tc>
        <w:tc>
          <w:tcPr>
            <w:tcW w:w="947" w:type="dxa"/>
            <w:noWrap/>
            <w:vAlign w:val="center"/>
            <w:hideMark/>
          </w:tcPr>
          <w:p w14:paraId="4A52C3C4" w14:textId="40B1E161"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5</w:t>
            </w:r>
          </w:p>
        </w:tc>
        <w:tc>
          <w:tcPr>
            <w:tcW w:w="947" w:type="dxa"/>
            <w:noWrap/>
            <w:vAlign w:val="center"/>
            <w:hideMark/>
          </w:tcPr>
          <w:p w14:paraId="642D1FA0" w14:textId="03203057"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6</w:t>
            </w:r>
          </w:p>
        </w:tc>
        <w:tc>
          <w:tcPr>
            <w:tcW w:w="947" w:type="dxa"/>
            <w:noWrap/>
            <w:vAlign w:val="center"/>
            <w:hideMark/>
          </w:tcPr>
          <w:p w14:paraId="32232CC5" w14:textId="04EB34E1"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7</w:t>
            </w:r>
          </w:p>
        </w:tc>
        <w:tc>
          <w:tcPr>
            <w:tcW w:w="947" w:type="dxa"/>
            <w:noWrap/>
            <w:vAlign w:val="center"/>
            <w:hideMark/>
          </w:tcPr>
          <w:p w14:paraId="0A794DC6" w14:textId="4E5842DA"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8</w:t>
            </w:r>
          </w:p>
        </w:tc>
      </w:tr>
      <w:tr w:rsidR="00001524" w:rsidRPr="00265A99" w14:paraId="7E014B7B" w14:textId="77777777" w:rsidTr="00836639">
        <w:trPr>
          <w:trHeight w:val="60"/>
        </w:trPr>
        <w:tc>
          <w:tcPr>
            <w:tcW w:w="1677" w:type="dxa"/>
            <w:noWrap/>
            <w:hideMark/>
          </w:tcPr>
          <w:p w14:paraId="7C21D16D" w14:textId="28BF3663"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1</w:t>
            </w:r>
          </w:p>
        </w:tc>
        <w:tc>
          <w:tcPr>
            <w:tcW w:w="947" w:type="dxa"/>
            <w:noWrap/>
            <w:hideMark/>
          </w:tcPr>
          <w:p w14:paraId="386C3FBB"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$4,840</w:t>
            </w:r>
          </w:p>
        </w:tc>
        <w:tc>
          <w:tcPr>
            <w:tcW w:w="947" w:type="dxa"/>
            <w:noWrap/>
            <w:hideMark/>
          </w:tcPr>
          <w:p w14:paraId="2BD5A999"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$4,900</w:t>
            </w:r>
          </w:p>
        </w:tc>
        <w:tc>
          <w:tcPr>
            <w:tcW w:w="947" w:type="dxa"/>
            <w:noWrap/>
            <w:hideMark/>
          </w:tcPr>
          <w:p w14:paraId="3ED8230E"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$5,484</w:t>
            </w:r>
          </w:p>
        </w:tc>
        <w:tc>
          <w:tcPr>
            <w:tcW w:w="947" w:type="dxa"/>
            <w:noWrap/>
            <w:hideMark/>
          </w:tcPr>
          <w:p w14:paraId="04C5AD13"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$5,501</w:t>
            </w:r>
          </w:p>
        </w:tc>
        <w:tc>
          <w:tcPr>
            <w:tcW w:w="947" w:type="dxa"/>
            <w:noWrap/>
            <w:hideMark/>
          </w:tcPr>
          <w:p w14:paraId="2E8D7557"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$5,182</w:t>
            </w:r>
          </w:p>
        </w:tc>
        <w:tc>
          <w:tcPr>
            <w:tcW w:w="947" w:type="dxa"/>
            <w:noWrap/>
            <w:hideMark/>
          </w:tcPr>
          <w:p w14:paraId="03DB505E"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$5,050</w:t>
            </w:r>
          </w:p>
        </w:tc>
        <w:tc>
          <w:tcPr>
            <w:tcW w:w="947" w:type="dxa"/>
            <w:noWrap/>
            <w:hideMark/>
          </w:tcPr>
          <w:p w14:paraId="0FA6DDC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$5,152</w:t>
            </w:r>
          </w:p>
        </w:tc>
        <w:tc>
          <w:tcPr>
            <w:tcW w:w="947" w:type="dxa"/>
            <w:noWrap/>
            <w:hideMark/>
          </w:tcPr>
          <w:p w14:paraId="0F95B9B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$5,172</w:t>
            </w:r>
          </w:p>
        </w:tc>
      </w:tr>
      <w:tr w:rsidR="00001524" w:rsidRPr="00265A99" w14:paraId="25FC8694" w14:textId="77777777" w:rsidTr="00836639">
        <w:trPr>
          <w:trHeight w:val="60"/>
        </w:trPr>
        <w:tc>
          <w:tcPr>
            <w:tcW w:w="1677" w:type="dxa"/>
            <w:noWrap/>
            <w:hideMark/>
          </w:tcPr>
          <w:p w14:paraId="12B9B6E1" w14:textId="4A962977"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2</w:t>
            </w:r>
          </w:p>
        </w:tc>
        <w:tc>
          <w:tcPr>
            <w:tcW w:w="947" w:type="dxa"/>
            <w:noWrap/>
            <w:hideMark/>
          </w:tcPr>
          <w:p w14:paraId="79A99FB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$5,250</w:t>
            </w:r>
          </w:p>
        </w:tc>
        <w:tc>
          <w:tcPr>
            <w:tcW w:w="947" w:type="dxa"/>
            <w:noWrap/>
            <w:hideMark/>
          </w:tcPr>
          <w:p w14:paraId="7B602DDA"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$5,180</w:t>
            </w:r>
          </w:p>
        </w:tc>
        <w:tc>
          <w:tcPr>
            <w:tcW w:w="947" w:type="dxa"/>
            <w:noWrap/>
            <w:hideMark/>
          </w:tcPr>
          <w:p w14:paraId="33CBFB68"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$5,838</w:t>
            </w:r>
          </w:p>
        </w:tc>
        <w:tc>
          <w:tcPr>
            <w:tcW w:w="947" w:type="dxa"/>
            <w:noWrap/>
            <w:hideMark/>
          </w:tcPr>
          <w:p w14:paraId="33789E52"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$5,872</w:t>
            </w:r>
          </w:p>
        </w:tc>
        <w:tc>
          <w:tcPr>
            <w:tcW w:w="947" w:type="dxa"/>
            <w:noWrap/>
            <w:hideMark/>
          </w:tcPr>
          <w:p w14:paraId="355E8BF4"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$5,415</w:t>
            </w:r>
          </w:p>
        </w:tc>
        <w:tc>
          <w:tcPr>
            <w:tcW w:w="947" w:type="dxa"/>
            <w:noWrap/>
            <w:hideMark/>
          </w:tcPr>
          <w:p w14:paraId="072BD328"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$5,350</w:t>
            </w:r>
          </w:p>
        </w:tc>
        <w:tc>
          <w:tcPr>
            <w:tcW w:w="947" w:type="dxa"/>
            <w:noWrap/>
            <w:hideMark/>
          </w:tcPr>
          <w:p w14:paraId="37504BE5"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$5,509</w:t>
            </w:r>
          </w:p>
        </w:tc>
        <w:tc>
          <w:tcPr>
            <w:tcW w:w="947" w:type="dxa"/>
            <w:noWrap/>
            <w:hideMark/>
          </w:tcPr>
          <w:p w14:paraId="1E7C6A08"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$5,519</w:t>
            </w:r>
          </w:p>
        </w:tc>
      </w:tr>
      <w:tr w:rsidR="00001524" w:rsidRPr="00265A99" w14:paraId="46443E82" w14:textId="77777777" w:rsidTr="00836639">
        <w:trPr>
          <w:trHeight w:val="60"/>
        </w:trPr>
        <w:tc>
          <w:tcPr>
            <w:tcW w:w="1677" w:type="dxa"/>
            <w:noWrap/>
            <w:hideMark/>
          </w:tcPr>
          <w:p w14:paraId="63C3B527" w14:textId="7DC1883A"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3</w:t>
            </w:r>
          </w:p>
        </w:tc>
        <w:tc>
          <w:tcPr>
            <w:tcW w:w="947" w:type="dxa"/>
            <w:noWrap/>
            <w:hideMark/>
          </w:tcPr>
          <w:p w14:paraId="66098DC1"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$5,030</w:t>
            </w:r>
          </w:p>
        </w:tc>
        <w:tc>
          <w:tcPr>
            <w:tcW w:w="947" w:type="dxa"/>
            <w:noWrap/>
            <w:hideMark/>
          </w:tcPr>
          <w:p w14:paraId="1790173B"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$5,508</w:t>
            </w:r>
          </w:p>
        </w:tc>
        <w:tc>
          <w:tcPr>
            <w:tcW w:w="947" w:type="dxa"/>
            <w:noWrap/>
            <w:hideMark/>
          </w:tcPr>
          <w:p w14:paraId="0DD7FE6A"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$4,880</w:t>
            </w:r>
          </w:p>
        </w:tc>
        <w:tc>
          <w:tcPr>
            <w:tcW w:w="947" w:type="dxa"/>
            <w:noWrap/>
            <w:hideMark/>
          </w:tcPr>
          <w:p w14:paraId="3247E307"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$5,626</w:t>
            </w:r>
          </w:p>
        </w:tc>
        <w:tc>
          <w:tcPr>
            <w:tcW w:w="947" w:type="dxa"/>
            <w:noWrap/>
            <w:hideMark/>
          </w:tcPr>
          <w:p w14:paraId="0ADD5811"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$5,236</w:t>
            </w:r>
          </w:p>
        </w:tc>
        <w:tc>
          <w:tcPr>
            <w:tcW w:w="947" w:type="dxa"/>
            <w:noWrap/>
            <w:hideMark/>
          </w:tcPr>
          <w:p w14:paraId="68883374"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$5,080</w:t>
            </w:r>
          </w:p>
        </w:tc>
        <w:tc>
          <w:tcPr>
            <w:tcW w:w="947" w:type="dxa"/>
            <w:noWrap/>
            <w:hideMark/>
          </w:tcPr>
          <w:p w14:paraId="4C2ADA95"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$5,030</w:t>
            </w:r>
          </w:p>
        </w:tc>
        <w:tc>
          <w:tcPr>
            <w:tcW w:w="947" w:type="dxa"/>
            <w:noWrap/>
            <w:hideMark/>
          </w:tcPr>
          <w:p w14:paraId="2310601F"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$5,314</w:t>
            </w:r>
          </w:p>
        </w:tc>
      </w:tr>
      <w:tr w:rsidR="00001524" w:rsidRPr="00265A99" w14:paraId="0623BCD5" w14:textId="77777777" w:rsidTr="00836639">
        <w:trPr>
          <w:trHeight w:val="60"/>
        </w:trPr>
        <w:tc>
          <w:tcPr>
            <w:tcW w:w="1677" w:type="dxa"/>
            <w:noWrap/>
            <w:hideMark/>
          </w:tcPr>
          <w:p w14:paraId="431ED260" w14:textId="04941CA6"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4</w:t>
            </w:r>
          </w:p>
        </w:tc>
        <w:tc>
          <w:tcPr>
            <w:tcW w:w="947" w:type="dxa"/>
            <w:noWrap/>
            <w:hideMark/>
          </w:tcPr>
          <w:p w14:paraId="10797BDA"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$5,020</w:t>
            </w:r>
          </w:p>
        </w:tc>
        <w:tc>
          <w:tcPr>
            <w:tcW w:w="947" w:type="dxa"/>
            <w:noWrap/>
            <w:hideMark/>
          </w:tcPr>
          <w:p w14:paraId="1F911EE8"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$5,504</w:t>
            </w:r>
          </w:p>
        </w:tc>
        <w:tc>
          <w:tcPr>
            <w:tcW w:w="947" w:type="dxa"/>
            <w:noWrap/>
            <w:hideMark/>
          </w:tcPr>
          <w:p w14:paraId="1D5B736A"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$5,594</w:t>
            </w:r>
          </w:p>
        </w:tc>
        <w:tc>
          <w:tcPr>
            <w:tcW w:w="947" w:type="dxa"/>
            <w:noWrap/>
            <w:hideMark/>
          </w:tcPr>
          <w:p w14:paraId="586767C6"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$4,940</w:t>
            </w:r>
          </w:p>
        </w:tc>
        <w:tc>
          <w:tcPr>
            <w:tcW w:w="947" w:type="dxa"/>
            <w:noWrap/>
            <w:hideMark/>
          </w:tcPr>
          <w:p w14:paraId="1204EE99"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$5,198</w:t>
            </w:r>
          </w:p>
        </w:tc>
        <w:tc>
          <w:tcPr>
            <w:tcW w:w="947" w:type="dxa"/>
            <w:noWrap/>
            <w:hideMark/>
          </w:tcPr>
          <w:p w14:paraId="62422AFD"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$5,140</w:t>
            </w:r>
          </w:p>
        </w:tc>
        <w:tc>
          <w:tcPr>
            <w:tcW w:w="947" w:type="dxa"/>
            <w:noWrap/>
            <w:hideMark/>
          </w:tcPr>
          <w:p w14:paraId="1F7809B9"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$5,020</w:t>
            </w:r>
          </w:p>
        </w:tc>
        <w:tc>
          <w:tcPr>
            <w:tcW w:w="947" w:type="dxa"/>
            <w:noWrap/>
            <w:hideMark/>
          </w:tcPr>
          <w:p w14:paraId="5B19C191"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$5,297</w:t>
            </w:r>
          </w:p>
        </w:tc>
      </w:tr>
      <w:tr w:rsidR="00001524" w:rsidRPr="00265A99" w14:paraId="2470E5FB" w14:textId="77777777" w:rsidTr="00836639">
        <w:trPr>
          <w:trHeight w:val="60"/>
        </w:trPr>
        <w:tc>
          <w:tcPr>
            <w:tcW w:w="1677" w:type="dxa"/>
            <w:noWrap/>
            <w:hideMark/>
          </w:tcPr>
          <w:p w14:paraId="240FF319" w14:textId="411BBE48"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5</w:t>
            </w:r>
          </w:p>
        </w:tc>
        <w:tc>
          <w:tcPr>
            <w:tcW w:w="947" w:type="dxa"/>
            <w:noWrap/>
            <w:hideMark/>
          </w:tcPr>
          <w:p w14:paraId="12EDD702"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$5,191</w:t>
            </w:r>
          </w:p>
        </w:tc>
        <w:tc>
          <w:tcPr>
            <w:tcW w:w="947" w:type="dxa"/>
            <w:noWrap/>
            <w:hideMark/>
          </w:tcPr>
          <w:p w14:paraId="495E21CC"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$5,708</w:t>
            </w:r>
          </w:p>
        </w:tc>
        <w:tc>
          <w:tcPr>
            <w:tcW w:w="947" w:type="dxa"/>
            <w:noWrap/>
            <w:hideMark/>
          </w:tcPr>
          <w:p w14:paraId="3B43602F"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$5,788</w:t>
            </w:r>
          </w:p>
        </w:tc>
        <w:tc>
          <w:tcPr>
            <w:tcW w:w="947" w:type="dxa"/>
            <w:noWrap/>
            <w:hideMark/>
          </w:tcPr>
          <w:p w14:paraId="22CDB315"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$5,830</w:t>
            </w:r>
          </w:p>
        </w:tc>
        <w:tc>
          <w:tcPr>
            <w:tcW w:w="947" w:type="dxa"/>
            <w:noWrap/>
            <w:hideMark/>
          </w:tcPr>
          <w:p w14:paraId="485BF576"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$5,071</w:t>
            </w:r>
          </w:p>
        </w:tc>
        <w:tc>
          <w:tcPr>
            <w:tcW w:w="947" w:type="dxa"/>
            <w:noWrap/>
            <w:hideMark/>
          </w:tcPr>
          <w:p w14:paraId="0AE478A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$5,311</w:t>
            </w:r>
          </w:p>
        </w:tc>
        <w:tc>
          <w:tcPr>
            <w:tcW w:w="947" w:type="dxa"/>
            <w:noWrap/>
            <w:hideMark/>
          </w:tcPr>
          <w:p w14:paraId="79F453E9"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$5,211</w:t>
            </w:r>
          </w:p>
        </w:tc>
        <w:tc>
          <w:tcPr>
            <w:tcW w:w="947" w:type="dxa"/>
            <w:noWrap/>
            <w:hideMark/>
          </w:tcPr>
          <w:p w14:paraId="2D43FDEB"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$5,425</w:t>
            </w:r>
          </w:p>
        </w:tc>
      </w:tr>
      <w:tr w:rsidR="00001524" w:rsidRPr="00265A99" w14:paraId="61AF9D87" w14:textId="77777777" w:rsidTr="00836639">
        <w:trPr>
          <w:trHeight w:val="60"/>
        </w:trPr>
        <w:tc>
          <w:tcPr>
            <w:tcW w:w="1677" w:type="dxa"/>
            <w:noWrap/>
            <w:hideMark/>
          </w:tcPr>
          <w:p w14:paraId="1A339E36" w14:textId="605FAFEA"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6</w:t>
            </w:r>
          </w:p>
        </w:tc>
        <w:tc>
          <w:tcPr>
            <w:tcW w:w="947" w:type="dxa"/>
            <w:noWrap/>
            <w:hideMark/>
          </w:tcPr>
          <w:p w14:paraId="494930CB"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$5,423</w:t>
            </w:r>
          </w:p>
        </w:tc>
        <w:tc>
          <w:tcPr>
            <w:tcW w:w="947" w:type="dxa"/>
            <w:noWrap/>
            <w:hideMark/>
          </w:tcPr>
          <w:p w14:paraId="17E1B7E9"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$5,655</w:t>
            </w:r>
          </w:p>
        </w:tc>
        <w:tc>
          <w:tcPr>
            <w:tcW w:w="947" w:type="dxa"/>
            <w:noWrap/>
            <w:hideMark/>
          </w:tcPr>
          <w:p w14:paraId="49592928"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$5,775</w:t>
            </w:r>
          </w:p>
        </w:tc>
        <w:tc>
          <w:tcPr>
            <w:tcW w:w="947" w:type="dxa"/>
            <w:noWrap/>
            <w:hideMark/>
          </w:tcPr>
          <w:p w14:paraId="7C8CB041"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$5,776</w:t>
            </w:r>
          </w:p>
        </w:tc>
        <w:tc>
          <w:tcPr>
            <w:tcW w:w="947" w:type="dxa"/>
            <w:noWrap/>
            <w:hideMark/>
          </w:tcPr>
          <w:p w14:paraId="3C52ADD1"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$5,463</w:t>
            </w:r>
          </w:p>
        </w:tc>
        <w:tc>
          <w:tcPr>
            <w:tcW w:w="947" w:type="dxa"/>
            <w:noWrap/>
            <w:hideMark/>
          </w:tcPr>
          <w:p w14:paraId="4AE2FCAC"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$5,050</w:t>
            </w:r>
          </w:p>
        </w:tc>
        <w:tc>
          <w:tcPr>
            <w:tcW w:w="947" w:type="dxa"/>
            <w:noWrap/>
            <w:hideMark/>
          </w:tcPr>
          <w:p w14:paraId="010432D9"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$5,170</w:t>
            </w:r>
          </w:p>
        </w:tc>
        <w:tc>
          <w:tcPr>
            <w:tcW w:w="947" w:type="dxa"/>
            <w:noWrap/>
            <w:hideMark/>
          </w:tcPr>
          <w:p w14:paraId="191F5293"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$5,493</w:t>
            </w:r>
          </w:p>
        </w:tc>
      </w:tr>
    </w:tbl>
    <w:p w14:paraId="293B3E5D" w14:textId="77777777" w:rsidR="00001524" w:rsidRPr="00265A99" w:rsidRDefault="00001524" w:rsidP="00001524">
      <w:pPr>
        <w:pStyle w:val="ExhibitHeading"/>
        <w:rPr>
          <w:lang w:val="en-GB"/>
        </w:rPr>
      </w:pPr>
    </w:p>
    <w:p w14:paraId="60D450BF" w14:textId="594BBFA9" w:rsidR="00001524" w:rsidRPr="00265A99" w:rsidRDefault="00001524" w:rsidP="00001524">
      <w:pPr>
        <w:pStyle w:val="Footnote"/>
        <w:rPr>
          <w:lang w:val="en-GB"/>
        </w:rPr>
      </w:pPr>
      <w:bookmarkStart w:id="2" w:name="_Hlk499643668"/>
      <w:r w:rsidRPr="00265A99">
        <w:rPr>
          <w:lang w:val="en-GB"/>
        </w:rPr>
        <w:t xml:space="preserve">Source: </w:t>
      </w:r>
      <w:r w:rsidR="00AE0E12" w:rsidRPr="00265A99">
        <w:rPr>
          <w:lang w:val="en-GB"/>
        </w:rPr>
        <w:t>Created</w:t>
      </w:r>
      <w:r w:rsidRPr="00265A99">
        <w:rPr>
          <w:lang w:val="en-GB"/>
        </w:rPr>
        <w:t xml:space="preserve"> by the authors using company information</w:t>
      </w:r>
      <w:r w:rsidR="00AE0E12" w:rsidRPr="00265A99">
        <w:rPr>
          <w:lang w:val="en-GB"/>
        </w:rPr>
        <w:t>.</w:t>
      </w:r>
    </w:p>
    <w:p w14:paraId="4C2A9CDB" w14:textId="77777777" w:rsidR="00001524" w:rsidRPr="00265A99" w:rsidRDefault="00001524" w:rsidP="00001524">
      <w:pPr>
        <w:pStyle w:val="BodyTextMain"/>
        <w:rPr>
          <w:lang w:val="en-GB"/>
        </w:rPr>
      </w:pPr>
    </w:p>
    <w:p w14:paraId="19D065DD" w14:textId="77777777" w:rsidR="00001524" w:rsidRPr="00265A99" w:rsidRDefault="00001524" w:rsidP="00001524">
      <w:pPr>
        <w:pStyle w:val="BodyTextMain"/>
        <w:rPr>
          <w:lang w:val="en-GB"/>
        </w:rPr>
      </w:pPr>
    </w:p>
    <w:bookmarkEnd w:id="2"/>
    <w:p w14:paraId="6AE07CC4" w14:textId="1DC4479F" w:rsidR="00001524" w:rsidRPr="00265A99" w:rsidRDefault="00001524" w:rsidP="00001524">
      <w:pPr>
        <w:pStyle w:val="ExhibitHeading"/>
        <w:rPr>
          <w:lang w:val="en-GB"/>
        </w:rPr>
      </w:pPr>
      <w:r w:rsidRPr="00265A99">
        <w:rPr>
          <w:lang w:val="en-GB"/>
        </w:rPr>
        <w:t xml:space="preserve">Exhibit 3: </w:t>
      </w:r>
      <w:r w:rsidR="00545E9C">
        <w:rPr>
          <w:lang w:val="en-GB"/>
        </w:rPr>
        <w:t xml:space="preserve">Sika’s </w:t>
      </w:r>
      <w:r w:rsidRPr="00265A99">
        <w:rPr>
          <w:lang w:val="en-GB"/>
        </w:rPr>
        <w:t>Lead Time Matrix</w:t>
      </w:r>
    </w:p>
    <w:p w14:paraId="411F4EDC" w14:textId="77777777" w:rsidR="00001524" w:rsidRPr="00265A99" w:rsidRDefault="00001524" w:rsidP="00001524">
      <w:pPr>
        <w:pStyle w:val="BodyTextMain"/>
        <w:rPr>
          <w:lang w:val="en-GB"/>
        </w:rPr>
      </w:pPr>
    </w:p>
    <w:p w14:paraId="692117E0" w14:textId="2DD30BD0" w:rsidR="00001524" w:rsidRPr="00265A99" w:rsidRDefault="00001524" w:rsidP="00001524">
      <w:pPr>
        <w:pStyle w:val="Casehead2"/>
        <w:rPr>
          <w:lang w:val="en-GB"/>
        </w:rPr>
      </w:pPr>
      <w:r w:rsidRPr="00265A99">
        <w:rPr>
          <w:lang w:val="en-GB" w:eastAsia="zh-CN"/>
        </w:rPr>
        <w:t xml:space="preserve">Lead </w:t>
      </w:r>
      <w:r w:rsidR="00AE0E12" w:rsidRPr="00265A99">
        <w:rPr>
          <w:lang w:val="en-GB" w:eastAsia="zh-CN"/>
        </w:rPr>
        <w:t>T</w:t>
      </w:r>
      <w:r w:rsidRPr="00265A99">
        <w:rPr>
          <w:lang w:val="en-GB" w:eastAsia="zh-CN"/>
        </w:rPr>
        <w:t xml:space="preserve">ime Matrix (Order </w:t>
      </w:r>
      <w:r w:rsidR="00AE0E12" w:rsidRPr="00265A99">
        <w:rPr>
          <w:lang w:val="en-GB" w:eastAsia="zh-CN"/>
        </w:rPr>
        <w:t>P</w:t>
      </w:r>
      <w:r w:rsidRPr="00265A99">
        <w:rPr>
          <w:lang w:val="en-GB" w:eastAsia="zh-CN"/>
        </w:rPr>
        <w:t>rocessing &amp; Transportation) Days</w:t>
      </w:r>
    </w:p>
    <w:p w14:paraId="359DD0EE" w14:textId="77777777" w:rsidR="00001524" w:rsidRPr="00265A99" w:rsidRDefault="00001524" w:rsidP="00001524">
      <w:pPr>
        <w:pStyle w:val="BodyTextMain"/>
        <w:rPr>
          <w:lang w:val="en-GB"/>
        </w:rPr>
      </w:pPr>
    </w:p>
    <w:tbl>
      <w:tblPr>
        <w:tblW w:w="9253" w:type="dxa"/>
        <w:tblInd w:w="-5" w:type="dxa"/>
        <w:tblLook w:val="04A0" w:firstRow="1" w:lastRow="0" w:firstColumn="1" w:lastColumn="0" w:noHBand="0" w:noVBand="1"/>
      </w:tblPr>
      <w:tblGrid>
        <w:gridCol w:w="1677"/>
        <w:gridCol w:w="947"/>
        <w:gridCol w:w="947"/>
        <w:gridCol w:w="947"/>
        <w:gridCol w:w="947"/>
        <w:gridCol w:w="947"/>
        <w:gridCol w:w="947"/>
        <w:gridCol w:w="947"/>
        <w:gridCol w:w="947"/>
      </w:tblGrid>
      <w:tr w:rsidR="00001524" w:rsidRPr="00265A99" w14:paraId="25903309" w14:textId="77777777" w:rsidTr="00F65584">
        <w:trPr>
          <w:trHeight w:val="310"/>
        </w:trPr>
        <w:tc>
          <w:tcPr>
            <w:tcW w:w="16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2650B2A" w14:textId="1478F75E"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Production</w:t>
            </w:r>
            <w:r w:rsidR="00AE0E12" w:rsidRPr="00265A99">
              <w:rPr>
                <w:rFonts w:ascii="Arial" w:hAnsi="Arial" w:cs="Arial"/>
                <w:sz w:val="18"/>
                <w:szCs w:val="18"/>
                <w:lang w:val="en-GB" w:eastAsia="zh-CN"/>
              </w:rPr>
              <w:t>/</w:t>
            </w:r>
            <w:r w:rsidRPr="00265A99">
              <w:rPr>
                <w:rFonts w:ascii="Arial" w:hAnsi="Arial" w:cs="Arial"/>
                <w:sz w:val="18"/>
                <w:szCs w:val="18"/>
                <w:lang w:val="en-GB" w:eastAsia="zh-CN"/>
              </w:rPr>
              <w:t>Market</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7969EF6B" w14:textId="2A490898"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1</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7012DFAB" w14:textId="4EDB70DB"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2</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1F1BA75F" w14:textId="53855FE4"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3</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02F0B1EB" w14:textId="3EBCA1F8"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4</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66E64602" w14:textId="659E6F66"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5</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2B189911" w14:textId="0A2480C3"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6</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69B4DF97" w14:textId="356C711D"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7</w:t>
            </w:r>
          </w:p>
        </w:tc>
        <w:tc>
          <w:tcPr>
            <w:tcW w:w="947" w:type="dxa"/>
            <w:tcBorders>
              <w:top w:val="single" w:sz="4" w:space="0" w:color="auto"/>
              <w:left w:val="nil"/>
              <w:bottom w:val="single" w:sz="4" w:space="0" w:color="auto"/>
              <w:right w:val="single" w:sz="4" w:space="0" w:color="auto"/>
            </w:tcBorders>
            <w:shd w:val="clear" w:color="auto" w:fill="auto"/>
            <w:noWrap/>
            <w:vAlign w:val="center"/>
            <w:hideMark/>
          </w:tcPr>
          <w:p w14:paraId="5AF28975" w14:textId="1C3C28D3" w:rsidR="00001524" w:rsidRPr="00265A99" w:rsidRDefault="00001524" w:rsidP="00F65584">
            <w:pPr>
              <w:jc w:val="cente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8</w:t>
            </w:r>
          </w:p>
        </w:tc>
      </w:tr>
      <w:tr w:rsidR="00001524" w:rsidRPr="00265A99" w14:paraId="41A912C2" w14:textId="77777777" w:rsidTr="00836639">
        <w:trPr>
          <w:trHeight w:val="6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28029878" w14:textId="4AE73D45"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1</w:t>
            </w:r>
          </w:p>
        </w:tc>
        <w:tc>
          <w:tcPr>
            <w:tcW w:w="947" w:type="dxa"/>
            <w:tcBorders>
              <w:top w:val="nil"/>
              <w:left w:val="nil"/>
              <w:bottom w:val="single" w:sz="4" w:space="0" w:color="auto"/>
              <w:right w:val="single" w:sz="4" w:space="0" w:color="auto"/>
            </w:tcBorders>
            <w:shd w:val="clear" w:color="auto" w:fill="auto"/>
            <w:noWrap/>
            <w:vAlign w:val="bottom"/>
            <w:hideMark/>
          </w:tcPr>
          <w:p w14:paraId="069FEFEA"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7</w:t>
            </w:r>
          </w:p>
        </w:tc>
        <w:tc>
          <w:tcPr>
            <w:tcW w:w="947" w:type="dxa"/>
            <w:tcBorders>
              <w:top w:val="nil"/>
              <w:left w:val="nil"/>
              <w:bottom w:val="single" w:sz="4" w:space="0" w:color="auto"/>
              <w:right w:val="single" w:sz="4" w:space="0" w:color="auto"/>
            </w:tcBorders>
            <w:shd w:val="clear" w:color="auto" w:fill="auto"/>
            <w:noWrap/>
            <w:vAlign w:val="bottom"/>
            <w:hideMark/>
          </w:tcPr>
          <w:p w14:paraId="40C39FF3"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18</w:t>
            </w:r>
          </w:p>
        </w:tc>
        <w:tc>
          <w:tcPr>
            <w:tcW w:w="947" w:type="dxa"/>
            <w:tcBorders>
              <w:top w:val="nil"/>
              <w:left w:val="nil"/>
              <w:bottom w:val="single" w:sz="4" w:space="0" w:color="auto"/>
              <w:right w:val="single" w:sz="4" w:space="0" w:color="auto"/>
            </w:tcBorders>
            <w:shd w:val="clear" w:color="auto" w:fill="auto"/>
            <w:noWrap/>
            <w:vAlign w:val="bottom"/>
            <w:hideMark/>
          </w:tcPr>
          <w:p w14:paraId="2BDC131B"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24</w:t>
            </w:r>
          </w:p>
        </w:tc>
        <w:tc>
          <w:tcPr>
            <w:tcW w:w="947" w:type="dxa"/>
            <w:tcBorders>
              <w:top w:val="nil"/>
              <w:left w:val="nil"/>
              <w:bottom w:val="single" w:sz="4" w:space="0" w:color="auto"/>
              <w:right w:val="single" w:sz="4" w:space="0" w:color="auto"/>
            </w:tcBorders>
            <w:shd w:val="clear" w:color="auto" w:fill="auto"/>
            <w:noWrap/>
            <w:vAlign w:val="bottom"/>
            <w:hideMark/>
          </w:tcPr>
          <w:p w14:paraId="34D5C6E1"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14</w:t>
            </w:r>
          </w:p>
        </w:tc>
        <w:tc>
          <w:tcPr>
            <w:tcW w:w="947" w:type="dxa"/>
            <w:tcBorders>
              <w:top w:val="nil"/>
              <w:left w:val="nil"/>
              <w:bottom w:val="single" w:sz="4" w:space="0" w:color="auto"/>
              <w:right w:val="single" w:sz="4" w:space="0" w:color="auto"/>
            </w:tcBorders>
            <w:shd w:val="clear" w:color="auto" w:fill="auto"/>
            <w:noWrap/>
            <w:vAlign w:val="bottom"/>
            <w:hideMark/>
          </w:tcPr>
          <w:p w14:paraId="083B77F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31</w:t>
            </w:r>
          </w:p>
        </w:tc>
        <w:tc>
          <w:tcPr>
            <w:tcW w:w="947" w:type="dxa"/>
            <w:tcBorders>
              <w:top w:val="nil"/>
              <w:left w:val="nil"/>
              <w:bottom w:val="single" w:sz="4" w:space="0" w:color="auto"/>
              <w:right w:val="single" w:sz="4" w:space="0" w:color="auto"/>
            </w:tcBorders>
            <w:shd w:val="clear" w:color="auto" w:fill="auto"/>
            <w:noWrap/>
            <w:vAlign w:val="bottom"/>
            <w:hideMark/>
          </w:tcPr>
          <w:p w14:paraId="6C74EFA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31</w:t>
            </w:r>
          </w:p>
        </w:tc>
        <w:tc>
          <w:tcPr>
            <w:tcW w:w="947" w:type="dxa"/>
            <w:tcBorders>
              <w:top w:val="nil"/>
              <w:left w:val="nil"/>
              <w:bottom w:val="single" w:sz="4" w:space="0" w:color="auto"/>
              <w:right w:val="single" w:sz="4" w:space="0" w:color="auto"/>
            </w:tcBorders>
            <w:shd w:val="clear" w:color="auto" w:fill="auto"/>
            <w:noWrap/>
            <w:vAlign w:val="bottom"/>
            <w:hideMark/>
          </w:tcPr>
          <w:p w14:paraId="5D19CB3A"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14</w:t>
            </w:r>
          </w:p>
        </w:tc>
        <w:tc>
          <w:tcPr>
            <w:tcW w:w="947" w:type="dxa"/>
            <w:tcBorders>
              <w:top w:val="nil"/>
              <w:left w:val="nil"/>
              <w:bottom w:val="single" w:sz="4" w:space="0" w:color="auto"/>
              <w:right w:val="single" w:sz="4" w:space="0" w:color="auto"/>
            </w:tcBorders>
            <w:shd w:val="clear" w:color="auto" w:fill="auto"/>
            <w:noWrap/>
            <w:vAlign w:val="bottom"/>
            <w:hideMark/>
          </w:tcPr>
          <w:p w14:paraId="419664E2"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39</w:t>
            </w:r>
          </w:p>
        </w:tc>
      </w:tr>
      <w:tr w:rsidR="00001524" w:rsidRPr="00265A99" w14:paraId="17F68052" w14:textId="77777777" w:rsidTr="00836639">
        <w:trPr>
          <w:trHeight w:val="6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0E418275" w14:textId="24264AD9"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2</w:t>
            </w:r>
          </w:p>
        </w:tc>
        <w:tc>
          <w:tcPr>
            <w:tcW w:w="947" w:type="dxa"/>
            <w:tcBorders>
              <w:top w:val="nil"/>
              <w:left w:val="nil"/>
              <w:bottom w:val="single" w:sz="4" w:space="0" w:color="auto"/>
              <w:right w:val="single" w:sz="4" w:space="0" w:color="auto"/>
            </w:tcBorders>
            <w:shd w:val="clear" w:color="auto" w:fill="auto"/>
            <w:noWrap/>
            <w:vAlign w:val="bottom"/>
            <w:hideMark/>
          </w:tcPr>
          <w:p w14:paraId="02367E27"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12</w:t>
            </w:r>
          </w:p>
        </w:tc>
        <w:tc>
          <w:tcPr>
            <w:tcW w:w="947" w:type="dxa"/>
            <w:tcBorders>
              <w:top w:val="nil"/>
              <w:left w:val="nil"/>
              <w:bottom w:val="single" w:sz="4" w:space="0" w:color="auto"/>
              <w:right w:val="single" w:sz="4" w:space="0" w:color="auto"/>
            </w:tcBorders>
            <w:shd w:val="clear" w:color="auto" w:fill="auto"/>
            <w:noWrap/>
            <w:vAlign w:val="bottom"/>
            <w:hideMark/>
          </w:tcPr>
          <w:p w14:paraId="7F9241C1"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7</w:t>
            </w:r>
          </w:p>
        </w:tc>
        <w:tc>
          <w:tcPr>
            <w:tcW w:w="947" w:type="dxa"/>
            <w:tcBorders>
              <w:top w:val="nil"/>
              <w:left w:val="nil"/>
              <w:bottom w:val="single" w:sz="4" w:space="0" w:color="auto"/>
              <w:right w:val="single" w:sz="4" w:space="0" w:color="auto"/>
            </w:tcBorders>
            <w:shd w:val="clear" w:color="auto" w:fill="auto"/>
            <w:noWrap/>
            <w:vAlign w:val="bottom"/>
            <w:hideMark/>
          </w:tcPr>
          <w:p w14:paraId="28F19409"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15</w:t>
            </w:r>
          </w:p>
        </w:tc>
        <w:tc>
          <w:tcPr>
            <w:tcW w:w="947" w:type="dxa"/>
            <w:tcBorders>
              <w:top w:val="nil"/>
              <w:left w:val="nil"/>
              <w:bottom w:val="single" w:sz="4" w:space="0" w:color="auto"/>
              <w:right w:val="single" w:sz="4" w:space="0" w:color="auto"/>
            </w:tcBorders>
            <w:shd w:val="clear" w:color="auto" w:fill="auto"/>
            <w:noWrap/>
            <w:vAlign w:val="bottom"/>
            <w:hideMark/>
          </w:tcPr>
          <w:p w14:paraId="56C8DEAE"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12</w:t>
            </w:r>
          </w:p>
        </w:tc>
        <w:tc>
          <w:tcPr>
            <w:tcW w:w="947" w:type="dxa"/>
            <w:tcBorders>
              <w:top w:val="nil"/>
              <w:left w:val="nil"/>
              <w:bottom w:val="single" w:sz="4" w:space="0" w:color="auto"/>
              <w:right w:val="single" w:sz="4" w:space="0" w:color="auto"/>
            </w:tcBorders>
            <w:shd w:val="clear" w:color="auto" w:fill="auto"/>
            <w:noWrap/>
            <w:vAlign w:val="bottom"/>
            <w:hideMark/>
          </w:tcPr>
          <w:p w14:paraId="7313A90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25</w:t>
            </w:r>
          </w:p>
        </w:tc>
        <w:tc>
          <w:tcPr>
            <w:tcW w:w="947" w:type="dxa"/>
            <w:tcBorders>
              <w:top w:val="nil"/>
              <w:left w:val="nil"/>
              <w:bottom w:val="single" w:sz="4" w:space="0" w:color="auto"/>
              <w:right w:val="single" w:sz="4" w:space="0" w:color="auto"/>
            </w:tcBorders>
            <w:shd w:val="clear" w:color="auto" w:fill="auto"/>
            <w:noWrap/>
            <w:vAlign w:val="bottom"/>
            <w:hideMark/>
          </w:tcPr>
          <w:p w14:paraId="5447658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20</w:t>
            </w:r>
          </w:p>
        </w:tc>
        <w:tc>
          <w:tcPr>
            <w:tcW w:w="947" w:type="dxa"/>
            <w:tcBorders>
              <w:top w:val="nil"/>
              <w:left w:val="nil"/>
              <w:bottom w:val="single" w:sz="4" w:space="0" w:color="auto"/>
              <w:right w:val="single" w:sz="4" w:space="0" w:color="auto"/>
            </w:tcBorders>
            <w:shd w:val="clear" w:color="auto" w:fill="auto"/>
            <w:noWrap/>
            <w:vAlign w:val="bottom"/>
            <w:hideMark/>
          </w:tcPr>
          <w:p w14:paraId="520DCD1F"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12</w:t>
            </w:r>
          </w:p>
        </w:tc>
        <w:tc>
          <w:tcPr>
            <w:tcW w:w="947" w:type="dxa"/>
            <w:tcBorders>
              <w:top w:val="nil"/>
              <w:left w:val="nil"/>
              <w:bottom w:val="single" w:sz="4" w:space="0" w:color="auto"/>
              <w:right w:val="single" w:sz="4" w:space="0" w:color="auto"/>
            </w:tcBorders>
            <w:shd w:val="clear" w:color="auto" w:fill="auto"/>
            <w:noWrap/>
            <w:vAlign w:val="bottom"/>
            <w:hideMark/>
          </w:tcPr>
          <w:p w14:paraId="7682EE22"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25</w:t>
            </w:r>
          </w:p>
        </w:tc>
      </w:tr>
      <w:tr w:rsidR="00001524" w:rsidRPr="00265A99" w14:paraId="67390A8A" w14:textId="77777777" w:rsidTr="00836639">
        <w:trPr>
          <w:trHeight w:val="6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66A587E7" w14:textId="6C1224F2"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3</w:t>
            </w:r>
          </w:p>
        </w:tc>
        <w:tc>
          <w:tcPr>
            <w:tcW w:w="947" w:type="dxa"/>
            <w:tcBorders>
              <w:top w:val="nil"/>
              <w:left w:val="nil"/>
              <w:bottom w:val="single" w:sz="4" w:space="0" w:color="auto"/>
              <w:right w:val="single" w:sz="4" w:space="0" w:color="auto"/>
            </w:tcBorders>
            <w:shd w:val="clear" w:color="auto" w:fill="auto"/>
            <w:noWrap/>
            <w:vAlign w:val="bottom"/>
            <w:hideMark/>
          </w:tcPr>
          <w:p w14:paraId="775B9902"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16</w:t>
            </w:r>
          </w:p>
        </w:tc>
        <w:tc>
          <w:tcPr>
            <w:tcW w:w="947" w:type="dxa"/>
            <w:tcBorders>
              <w:top w:val="nil"/>
              <w:left w:val="nil"/>
              <w:bottom w:val="single" w:sz="4" w:space="0" w:color="auto"/>
              <w:right w:val="single" w:sz="4" w:space="0" w:color="auto"/>
            </w:tcBorders>
            <w:shd w:val="clear" w:color="auto" w:fill="auto"/>
            <w:noWrap/>
            <w:vAlign w:val="bottom"/>
            <w:hideMark/>
          </w:tcPr>
          <w:p w14:paraId="1009D7BE"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15</w:t>
            </w:r>
          </w:p>
        </w:tc>
        <w:tc>
          <w:tcPr>
            <w:tcW w:w="947" w:type="dxa"/>
            <w:tcBorders>
              <w:top w:val="nil"/>
              <w:left w:val="nil"/>
              <w:bottom w:val="single" w:sz="4" w:space="0" w:color="auto"/>
              <w:right w:val="single" w:sz="4" w:space="0" w:color="auto"/>
            </w:tcBorders>
            <w:shd w:val="clear" w:color="auto" w:fill="auto"/>
            <w:noWrap/>
            <w:vAlign w:val="bottom"/>
            <w:hideMark/>
          </w:tcPr>
          <w:p w14:paraId="64A64ACB"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7</w:t>
            </w:r>
          </w:p>
        </w:tc>
        <w:tc>
          <w:tcPr>
            <w:tcW w:w="947" w:type="dxa"/>
            <w:tcBorders>
              <w:top w:val="nil"/>
              <w:left w:val="nil"/>
              <w:bottom w:val="single" w:sz="4" w:space="0" w:color="auto"/>
              <w:right w:val="single" w:sz="4" w:space="0" w:color="auto"/>
            </w:tcBorders>
            <w:shd w:val="clear" w:color="auto" w:fill="auto"/>
            <w:noWrap/>
            <w:vAlign w:val="bottom"/>
            <w:hideMark/>
          </w:tcPr>
          <w:p w14:paraId="5A90457B"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16</w:t>
            </w:r>
          </w:p>
        </w:tc>
        <w:tc>
          <w:tcPr>
            <w:tcW w:w="947" w:type="dxa"/>
            <w:tcBorders>
              <w:top w:val="nil"/>
              <w:left w:val="nil"/>
              <w:bottom w:val="single" w:sz="4" w:space="0" w:color="auto"/>
              <w:right w:val="single" w:sz="4" w:space="0" w:color="auto"/>
            </w:tcBorders>
            <w:shd w:val="clear" w:color="auto" w:fill="auto"/>
            <w:noWrap/>
            <w:vAlign w:val="bottom"/>
            <w:hideMark/>
          </w:tcPr>
          <w:p w14:paraId="6BC6639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27</w:t>
            </w:r>
          </w:p>
        </w:tc>
        <w:tc>
          <w:tcPr>
            <w:tcW w:w="947" w:type="dxa"/>
            <w:tcBorders>
              <w:top w:val="nil"/>
              <w:left w:val="nil"/>
              <w:bottom w:val="single" w:sz="4" w:space="0" w:color="auto"/>
              <w:right w:val="single" w:sz="4" w:space="0" w:color="auto"/>
            </w:tcBorders>
            <w:shd w:val="clear" w:color="auto" w:fill="auto"/>
            <w:noWrap/>
            <w:vAlign w:val="bottom"/>
            <w:hideMark/>
          </w:tcPr>
          <w:p w14:paraId="34E66A06"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25</w:t>
            </w:r>
          </w:p>
        </w:tc>
        <w:tc>
          <w:tcPr>
            <w:tcW w:w="947" w:type="dxa"/>
            <w:tcBorders>
              <w:top w:val="nil"/>
              <w:left w:val="nil"/>
              <w:bottom w:val="single" w:sz="4" w:space="0" w:color="auto"/>
              <w:right w:val="single" w:sz="4" w:space="0" w:color="auto"/>
            </w:tcBorders>
            <w:shd w:val="clear" w:color="auto" w:fill="auto"/>
            <w:noWrap/>
            <w:vAlign w:val="bottom"/>
            <w:hideMark/>
          </w:tcPr>
          <w:p w14:paraId="067E327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16</w:t>
            </w:r>
          </w:p>
        </w:tc>
        <w:tc>
          <w:tcPr>
            <w:tcW w:w="947" w:type="dxa"/>
            <w:tcBorders>
              <w:top w:val="nil"/>
              <w:left w:val="nil"/>
              <w:bottom w:val="single" w:sz="4" w:space="0" w:color="auto"/>
              <w:right w:val="single" w:sz="4" w:space="0" w:color="auto"/>
            </w:tcBorders>
            <w:shd w:val="clear" w:color="auto" w:fill="auto"/>
            <w:noWrap/>
            <w:vAlign w:val="bottom"/>
            <w:hideMark/>
          </w:tcPr>
          <w:p w14:paraId="3261A664"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29</w:t>
            </w:r>
          </w:p>
        </w:tc>
      </w:tr>
      <w:tr w:rsidR="00001524" w:rsidRPr="00265A99" w14:paraId="4857095F" w14:textId="77777777" w:rsidTr="00836639">
        <w:trPr>
          <w:trHeight w:val="6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12564387" w14:textId="0F204803"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4</w:t>
            </w:r>
          </w:p>
        </w:tc>
        <w:tc>
          <w:tcPr>
            <w:tcW w:w="947" w:type="dxa"/>
            <w:tcBorders>
              <w:top w:val="nil"/>
              <w:left w:val="nil"/>
              <w:bottom w:val="single" w:sz="4" w:space="0" w:color="auto"/>
              <w:right w:val="single" w:sz="4" w:space="0" w:color="auto"/>
            </w:tcBorders>
            <w:shd w:val="clear" w:color="auto" w:fill="auto"/>
            <w:noWrap/>
            <w:vAlign w:val="bottom"/>
            <w:hideMark/>
          </w:tcPr>
          <w:p w14:paraId="12693B08"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18</w:t>
            </w:r>
          </w:p>
        </w:tc>
        <w:tc>
          <w:tcPr>
            <w:tcW w:w="947" w:type="dxa"/>
            <w:tcBorders>
              <w:top w:val="nil"/>
              <w:left w:val="nil"/>
              <w:bottom w:val="single" w:sz="4" w:space="0" w:color="auto"/>
              <w:right w:val="single" w:sz="4" w:space="0" w:color="auto"/>
            </w:tcBorders>
            <w:shd w:val="clear" w:color="auto" w:fill="auto"/>
            <w:noWrap/>
            <w:vAlign w:val="bottom"/>
            <w:hideMark/>
          </w:tcPr>
          <w:p w14:paraId="6A0A6317"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20</w:t>
            </w:r>
          </w:p>
        </w:tc>
        <w:tc>
          <w:tcPr>
            <w:tcW w:w="947" w:type="dxa"/>
            <w:tcBorders>
              <w:top w:val="nil"/>
              <w:left w:val="nil"/>
              <w:bottom w:val="single" w:sz="4" w:space="0" w:color="auto"/>
              <w:right w:val="single" w:sz="4" w:space="0" w:color="auto"/>
            </w:tcBorders>
            <w:shd w:val="clear" w:color="auto" w:fill="auto"/>
            <w:noWrap/>
            <w:vAlign w:val="bottom"/>
            <w:hideMark/>
          </w:tcPr>
          <w:p w14:paraId="2B886A9C"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27</w:t>
            </w:r>
          </w:p>
        </w:tc>
        <w:tc>
          <w:tcPr>
            <w:tcW w:w="947" w:type="dxa"/>
            <w:tcBorders>
              <w:top w:val="nil"/>
              <w:left w:val="nil"/>
              <w:bottom w:val="single" w:sz="4" w:space="0" w:color="auto"/>
              <w:right w:val="single" w:sz="4" w:space="0" w:color="auto"/>
            </w:tcBorders>
            <w:shd w:val="clear" w:color="auto" w:fill="auto"/>
            <w:noWrap/>
            <w:vAlign w:val="bottom"/>
            <w:hideMark/>
          </w:tcPr>
          <w:p w14:paraId="2B6EA2D0"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7</w:t>
            </w:r>
          </w:p>
        </w:tc>
        <w:tc>
          <w:tcPr>
            <w:tcW w:w="947" w:type="dxa"/>
            <w:tcBorders>
              <w:top w:val="nil"/>
              <w:left w:val="nil"/>
              <w:bottom w:val="single" w:sz="4" w:space="0" w:color="auto"/>
              <w:right w:val="single" w:sz="4" w:space="0" w:color="auto"/>
            </w:tcBorders>
            <w:shd w:val="clear" w:color="auto" w:fill="auto"/>
            <w:noWrap/>
            <w:vAlign w:val="bottom"/>
            <w:hideMark/>
          </w:tcPr>
          <w:p w14:paraId="4E68CB9F"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31</w:t>
            </w:r>
          </w:p>
        </w:tc>
        <w:tc>
          <w:tcPr>
            <w:tcW w:w="947" w:type="dxa"/>
            <w:tcBorders>
              <w:top w:val="nil"/>
              <w:left w:val="nil"/>
              <w:bottom w:val="single" w:sz="4" w:space="0" w:color="auto"/>
              <w:right w:val="single" w:sz="4" w:space="0" w:color="auto"/>
            </w:tcBorders>
            <w:shd w:val="clear" w:color="auto" w:fill="auto"/>
            <w:noWrap/>
            <w:vAlign w:val="bottom"/>
            <w:hideMark/>
          </w:tcPr>
          <w:p w14:paraId="2558663C"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21</w:t>
            </w:r>
          </w:p>
        </w:tc>
        <w:tc>
          <w:tcPr>
            <w:tcW w:w="947" w:type="dxa"/>
            <w:tcBorders>
              <w:top w:val="nil"/>
              <w:left w:val="nil"/>
              <w:bottom w:val="single" w:sz="4" w:space="0" w:color="auto"/>
              <w:right w:val="single" w:sz="4" w:space="0" w:color="auto"/>
            </w:tcBorders>
            <w:shd w:val="clear" w:color="auto" w:fill="auto"/>
            <w:noWrap/>
            <w:vAlign w:val="bottom"/>
            <w:hideMark/>
          </w:tcPr>
          <w:p w14:paraId="4B56CC9C"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21</w:t>
            </w:r>
          </w:p>
        </w:tc>
        <w:tc>
          <w:tcPr>
            <w:tcW w:w="947" w:type="dxa"/>
            <w:tcBorders>
              <w:top w:val="nil"/>
              <w:left w:val="nil"/>
              <w:bottom w:val="single" w:sz="4" w:space="0" w:color="auto"/>
              <w:right w:val="single" w:sz="4" w:space="0" w:color="auto"/>
            </w:tcBorders>
            <w:shd w:val="clear" w:color="auto" w:fill="auto"/>
            <w:noWrap/>
            <w:vAlign w:val="bottom"/>
            <w:hideMark/>
          </w:tcPr>
          <w:p w14:paraId="5BF45B15"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33</w:t>
            </w:r>
          </w:p>
        </w:tc>
      </w:tr>
      <w:tr w:rsidR="00001524" w:rsidRPr="00265A99" w14:paraId="575D2A6F" w14:textId="77777777" w:rsidTr="00836639">
        <w:trPr>
          <w:trHeight w:val="6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4E0F6C0F" w14:textId="64774460"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5</w:t>
            </w:r>
          </w:p>
        </w:tc>
        <w:tc>
          <w:tcPr>
            <w:tcW w:w="947" w:type="dxa"/>
            <w:tcBorders>
              <w:top w:val="nil"/>
              <w:left w:val="nil"/>
              <w:bottom w:val="single" w:sz="4" w:space="0" w:color="auto"/>
              <w:right w:val="single" w:sz="4" w:space="0" w:color="auto"/>
            </w:tcBorders>
            <w:shd w:val="clear" w:color="auto" w:fill="auto"/>
            <w:noWrap/>
            <w:vAlign w:val="bottom"/>
            <w:hideMark/>
          </w:tcPr>
          <w:p w14:paraId="40B16087"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31</w:t>
            </w:r>
          </w:p>
        </w:tc>
        <w:tc>
          <w:tcPr>
            <w:tcW w:w="947" w:type="dxa"/>
            <w:tcBorders>
              <w:top w:val="nil"/>
              <w:left w:val="nil"/>
              <w:bottom w:val="single" w:sz="4" w:space="0" w:color="auto"/>
              <w:right w:val="single" w:sz="4" w:space="0" w:color="auto"/>
            </w:tcBorders>
            <w:shd w:val="clear" w:color="auto" w:fill="auto"/>
            <w:noWrap/>
            <w:vAlign w:val="bottom"/>
            <w:hideMark/>
          </w:tcPr>
          <w:p w14:paraId="6FD0F627"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38</w:t>
            </w:r>
          </w:p>
        </w:tc>
        <w:tc>
          <w:tcPr>
            <w:tcW w:w="947" w:type="dxa"/>
            <w:tcBorders>
              <w:top w:val="nil"/>
              <w:left w:val="nil"/>
              <w:bottom w:val="single" w:sz="4" w:space="0" w:color="auto"/>
              <w:right w:val="single" w:sz="4" w:space="0" w:color="auto"/>
            </w:tcBorders>
            <w:shd w:val="clear" w:color="auto" w:fill="auto"/>
            <w:noWrap/>
            <w:vAlign w:val="bottom"/>
            <w:hideMark/>
          </w:tcPr>
          <w:p w14:paraId="3E803193"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38</w:t>
            </w:r>
          </w:p>
        </w:tc>
        <w:tc>
          <w:tcPr>
            <w:tcW w:w="947" w:type="dxa"/>
            <w:tcBorders>
              <w:top w:val="nil"/>
              <w:left w:val="nil"/>
              <w:bottom w:val="single" w:sz="4" w:space="0" w:color="auto"/>
              <w:right w:val="single" w:sz="4" w:space="0" w:color="auto"/>
            </w:tcBorders>
            <w:shd w:val="clear" w:color="auto" w:fill="auto"/>
            <w:noWrap/>
            <w:vAlign w:val="bottom"/>
            <w:hideMark/>
          </w:tcPr>
          <w:p w14:paraId="56FAB489"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38</w:t>
            </w:r>
          </w:p>
        </w:tc>
        <w:tc>
          <w:tcPr>
            <w:tcW w:w="947" w:type="dxa"/>
            <w:tcBorders>
              <w:top w:val="nil"/>
              <w:left w:val="nil"/>
              <w:bottom w:val="single" w:sz="4" w:space="0" w:color="auto"/>
              <w:right w:val="single" w:sz="4" w:space="0" w:color="auto"/>
            </w:tcBorders>
            <w:shd w:val="clear" w:color="auto" w:fill="auto"/>
            <w:noWrap/>
            <w:vAlign w:val="bottom"/>
            <w:hideMark/>
          </w:tcPr>
          <w:p w14:paraId="6AECC754"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7</w:t>
            </w:r>
          </w:p>
        </w:tc>
        <w:tc>
          <w:tcPr>
            <w:tcW w:w="947" w:type="dxa"/>
            <w:tcBorders>
              <w:top w:val="nil"/>
              <w:left w:val="nil"/>
              <w:bottom w:val="single" w:sz="4" w:space="0" w:color="auto"/>
              <w:right w:val="single" w:sz="4" w:space="0" w:color="auto"/>
            </w:tcBorders>
            <w:shd w:val="clear" w:color="auto" w:fill="auto"/>
            <w:noWrap/>
            <w:vAlign w:val="bottom"/>
            <w:hideMark/>
          </w:tcPr>
          <w:p w14:paraId="18A7E05F"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38</w:t>
            </w:r>
          </w:p>
        </w:tc>
        <w:tc>
          <w:tcPr>
            <w:tcW w:w="947" w:type="dxa"/>
            <w:tcBorders>
              <w:top w:val="nil"/>
              <w:left w:val="nil"/>
              <w:bottom w:val="single" w:sz="4" w:space="0" w:color="auto"/>
              <w:right w:val="single" w:sz="4" w:space="0" w:color="auto"/>
            </w:tcBorders>
            <w:shd w:val="clear" w:color="auto" w:fill="auto"/>
            <w:noWrap/>
            <w:vAlign w:val="bottom"/>
            <w:hideMark/>
          </w:tcPr>
          <w:p w14:paraId="7B5763EA"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38</w:t>
            </w:r>
          </w:p>
        </w:tc>
        <w:tc>
          <w:tcPr>
            <w:tcW w:w="947" w:type="dxa"/>
            <w:tcBorders>
              <w:top w:val="nil"/>
              <w:left w:val="nil"/>
              <w:bottom w:val="single" w:sz="4" w:space="0" w:color="auto"/>
              <w:right w:val="single" w:sz="4" w:space="0" w:color="auto"/>
            </w:tcBorders>
            <w:shd w:val="clear" w:color="auto" w:fill="auto"/>
            <w:noWrap/>
            <w:vAlign w:val="bottom"/>
            <w:hideMark/>
          </w:tcPr>
          <w:p w14:paraId="62A10C2E"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24</w:t>
            </w:r>
          </w:p>
        </w:tc>
      </w:tr>
      <w:tr w:rsidR="00001524" w:rsidRPr="00265A99" w14:paraId="02447CBA" w14:textId="77777777" w:rsidTr="00836639">
        <w:trPr>
          <w:trHeight w:val="60"/>
        </w:trPr>
        <w:tc>
          <w:tcPr>
            <w:tcW w:w="1677" w:type="dxa"/>
            <w:tcBorders>
              <w:top w:val="nil"/>
              <w:left w:val="single" w:sz="4" w:space="0" w:color="auto"/>
              <w:bottom w:val="single" w:sz="4" w:space="0" w:color="auto"/>
              <w:right w:val="single" w:sz="4" w:space="0" w:color="auto"/>
            </w:tcBorders>
            <w:shd w:val="clear" w:color="auto" w:fill="auto"/>
            <w:noWrap/>
            <w:vAlign w:val="bottom"/>
            <w:hideMark/>
          </w:tcPr>
          <w:p w14:paraId="2C31C97B" w14:textId="4E86F3EF" w:rsidR="00001524" w:rsidRPr="00265A99" w:rsidRDefault="00001524" w:rsidP="00267D47">
            <w:pPr>
              <w:rPr>
                <w:rFonts w:ascii="Arial" w:hAnsi="Arial" w:cs="Arial"/>
                <w:sz w:val="18"/>
                <w:szCs w:val="18"/>
                <w:lang w:val="en-GB" w:eastAsia="zh-CN"/>
              </w:rPr>
            </w:pPr>
            <w:r w:rsidRPr="00265A99">
              <w:rPr>
                <w:rFonts w:ascii="Arial" w:hAnsi="Arial" w:cs="Arial"/>
                <w:sz w:val="18"/>
                <w:szCs w:val="18"/>
                <w:lang w:val="en-GB" w:eastAsia="zh-CN"/>
              </w:rPr>
              <w:t>Country</w:t>
            </w:r>
            <w:r w:rsidR="00AE0E12" w:rsidRPr="00265A99">
              <w:rPr>
                <w:rFonts w:ascii="Arial" w:hAnsi="Arial" w:cs="Arial"/>
                <w:sz w:val="18"/>
                <w:szCs w:val="18"/>
                <w:lang w:val="en-GB" w:eastAsia="zh-CN"/>
              </w:rPr>
              <w:t xml:space="preserve"> </w:t>
            </w:r>
            <w:r w:rsidRPr="00265A99">
              <w:rPr>
                <w:rFonts w:ascii="Arial" w:hAnsi="Arial" w:cs="Arial"/>
                <w:sz w:val="18"/>
                <w:szCs w:val="18"/>
                <w:lang w:val="en-GB" w:eastAsia="zh-CN"/>
              </w:rPr>
              <w:t>6</w:t>
            </w:r>
          </w:p>
        </w:tc>
        <w:tc>
          <w:tcPr>
            <w:tcW w:w="947" w:type="dxa"/>
            <w:tcBorders>
              <w:top w:val="nil"/>
              <w:left w:val="nil"/>
              <w:bottom w:val="single" w:sz="4" w:space="0" w:color="auto"/>
              <w:right w:val="single" w:sz="4" w:space="0" w:color="auto"/>
            </w:tcBorders>
            <w:shd w:val="clear" w:color="auto" w:fill="auto"/>
            <w:noWrap/>
            <w:vAlign w:val="bottom"/>
            <w:hideMark/>
          </w:tcPr>
          <w:p w14:paraId="0D0B2F68"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36</w:t>
            </w:r>
          </w:p>
        </w:tc>
        <w:tc>
          <w:tcPr>
            <w:tcW w:w="947" w:type="dxa"/>
            <w:tcBorders>
              <w:top w:val="nil"/>
              <w:left w:val="nil"/>
              <w:bottom w:val="single" w:sz="4" w:space="0" w:color="auto"/>
              <w:right w:val="single" w:sz="4" w:space="0" w:color="auto"/>
            </w:tcBorders>
            <w:shd w:val="clear" w:color="auto" w:fill="auto"/>
            <w:noWrap/>
            <w:vAlign w:val="bottom"/>
            <w:hideMark/>
          </w:tcPr>
          <w:p w14:paraId="01265358"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40</w:t>
            </w:r>
          </w:p>
        </w:tc>
        <w:tc>
          <w:tcPr>
            <w:tcW w:w="947" w:type="dxa"/>
            <w:tcBorders>
              <w:top w:val="nil"/>
              <w:left w:val="nil"/>
              <w:bottom w:val="single" w:sz="4" w:space="0" w:color="auto"/>
              <w:right w:val="single" w:sz="4" w:space="0" w:color="auto"/>
            </w:tcBorders>
            <w:shd w:val="clear" w:color="auto" w:fill="auto"/>
            <w:noWrap/>
            <w:vAlign w:val="bottom"/>
            <w:hideMark/>
          </w:tcPr>
          <w:p w14:paraId="3658110A"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33</w:t>
            </w:r>
          </w:p>
        </w:tc>
        <w:tc>
          <w:tcPr>
            <w:tcW w:w="947" w:type="dxa"/>
            <w:tcBorders>
              <w:top w:val="nil"/>
              <w:left w:val="nil"/>
              <w:bottom w:val="single" w:sz="4" w:space="0" w:color="auto"/>
              <w:right w:val="single" w:sz="4" w:space="0" w:color="auto"/>
            </w:tcBorders>
            <w:shd w:val="clear" w:color="auto" w:fill="auto"/>
            <w:noWrap/>
            <w:vAlign w:val="bottom"/>
            <w:hideMark/>
          </w:tcPr>
          <w:p w14:paraId="6B927DB4"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32</w:t>
            </w:r>
          </w:p>
        </w:tc>
        <w:tc>
          <w:tcPr>
            <w:tcW w:w="947" w:type="dxa"/>
            <w:tcBorders>
              <w:top w:val="nil"/>
              <w:left w:val="nil"/>
              <w:bottom w:val="single" w:sz="4" w:space="0" w:color="auto"/>
              <w:right w:val="single" w:sz="4" w:space="0" w:color="auto"/>
            </w:tcBorders>
            <w:shd w:val="clear" w:color="auto" w:fill="auto"/>
            <w:noWrap/>
            <w:vAlign w:val="bottom"/>
            <w:hideMark/>
          </w:tcPr>
          <w:p w14:paraId="6DED5C39"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44</w:t>
            </w:r>
          </w:p>
        </w:tc>
        <w:tc>
          <w:tcPr>
            <w:tcW w:w="947" w:type="dxa"/>
            <w:tcBorders>
              <w:top w:val="nil"/>
              <w:left w:val="nil"/>
              <w:bottom w:val="single" w:sz="4" w:space="0" w:color="auto"/>
              <w:right w:val="single" w:sz="4" w:space="0" w:color="auto"/>
            </w:tcBorders>
            <w:shd w:val="clear" w:color="auto" w:fill="auto"/>
            <w:noWrap/>
            <w:vAlign w:val="bottom"/>
            <w:hideMark/>
          </w:tcPr>
          <w:p w14:paraId="45F7DE08"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7</w:t>
            </w:r>
          </w:p>
        </w:tc>
        <w:tc>
          <w:tcPr>
            <w:tcW w:w="947" w:type="dxa"/>
            <w:tcBorders>
              <w:top w:val="nil"/>
              <w:left w:val="nil"/>
              <w:bottom w:val="single" w:sz="4" w:space="0" w:color="auto"/>
              <w:right w:val="single" w:sz="4" w:space="0" w:color="auto"/>
            </w:tcBorders>
            <w:shd w:val="clear" w:color="auto" w:fill="auto"/>
            <w:noWrap/>
            <w:vAlign w:val="bottom"/>
            <w:hideMark/>
          </w:tcPr>
          <w:p w14:paraId="510DC554"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40</w:t>
            </w:r>
          </w:p>
        </w:tc>
        <w:tc>
          <w:tcPr>
            <w:tcW w:w="947" w:type="dxa"/>
            <w:tcBorders>
              <w:top w:val="nil"/>
              <w:left w:val="nil"/>
              <w:bottom w:val="single" w:sz="4" w:space="0" w:color="auto"/>
              <w:right w:val="single" w:sz="4" w:space="0" w:color="auto"/>
            </w:tcBorders>
            <w:shd w:val="clear" w:color="auto" w:fill="auto"/>
            <w:noWrap/>
            <w:vAlign w:val="bottom"/>
            <w:hideMark/>
          </w:tcPr>
          <w:p w14:paraId="1857FAFD" w14:textId="77777777" w:rsidR="00001524" w:rsidRPr="00265A99" w:rsidRDefault="00001524" w:rsidP="00267D47">
            <w:pPr>
              <w:jc w:val="right"/>
              <w:rPr>
                <w:rFonts w:ascii="Arial" w:hAnsi="Arial" w:cs="Arial"/>
                <w:sz w:val="18"/>
                <w:szCs w:val="18"/>
                <w:lang w:val="en-GB" w:eastAsia="zh-CN"/>
              </w:rPr>
            </w:pPr>
            <w:r w:rsidRPr="00265A99">
              <w:rPr>
                <w:rFonts w:ascii="Arial" w:hAnsi="Arial" w:cs="Arial"/>
                <w:sz w:val="18"/>
                <w:szCs w:val="18"/>
                <w:lang w:val="en-GB" w:eastAsia="zh-CN"/>
              </w:rPr>
              <w:t>49</w:t>
            </w:r>
          </w:p>
        </w:tc>
      </w:tr>
      <w:tr w:rsidR="00001524" w:rsidRPr="00265A99" w14:paraId="6DB835ED" w14:textId="77777777" w:rsidTr="00001524">
        <w:trPr>
          <w:trHeight w:val="310"/>
        </w:trPr>
        <w:tc>
          <w:tcPr>
            <w:tcW w:w="1677" w:type="dxa"/>
            <w:tcBorders>
              <w:top w:val="nil"/>
              <w:left w:val="nil"/>
              <w:bottom w:val="nil"/>
              <w:right w:val="nil"/>
            </w:tcBorders>
            <w:shd w:val="clear" w:color="auto" w:fill="auto"/>
            <w:noWrap/>
            <w:vAlign w:val="bottom"/>
            <w:hideMark/>
          </w:tcPr>
          <w:p w14:paraId="1871A39F" w14:textId="77777777" w:rsidR="00001524" w:rsidRPr="00265A99" w:rsidRDefault="00001524" w:rsidP="00267D47">
            <w:pPr>
              <w:jc w:val="right"/>
              <w:rPr>
                <w:rFonts w:ascii="Arial" w:hAnsi="Arial" w:cs="Arial"/>
                <w:sz w:val="18"/>
                <w:szCs w:val="18"/>
                <w:lang w:val="en-GB" w:eastAsia="zh-CN"/>
              </w:rPr>
            </w:pPr>
          </w:p>
        </w:tc>
        <w:tc>
          <w:tcPr>
            <w:tcW w:w="947" w:type="dxa"/>
            <w:tcBorders>
              <w:top w:val="nil"/>
              <w:left w:val="nil"/>
              <w:bottom w:val="nil"/>
              <w:right w:val="nil"/>
            </w:tcBorders>
            <w:shd w:val="clear" w:color="auto" w:fill="auto"/>
            <w:noWrap/>
            <w:vAlign w:val="bottom"/>
            <w:hideMark/>
          </w:tcPr>
          <w:p w14:paraId="5A9EB925"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16319BA2"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082C4B81"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26594970"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4A6322A8"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5835601F"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12B55DFB"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52E31C0E" w14:textId="77777777" w:rsidR="00001524" w:rsidRPr="00265A99" w:rsidRDefault="00001524" w:rsidP="00267D47">
            <w:pPr>
              <w:rPr>
                <w:lang w:val="en-GB" w:eastAsia="zh-CN"/>
              </w:rPr>
            </w:pPr>
          </w:p>
        </w:tc>
      </w:tr>
      <w:tr w:rsidR="00001524" w:rsidRPr="00265A99" w14:paraId="052B93E1" w14:textId="77777777" w:rsidTr="00001524">
        <w:trPr>
          <w:trHeight w:val="310"/>
        </w:trPr>
        <w:tc>
          <w:tcPr>
            <w:tcW w:w="1677" w:type="dxa"/>
            <w:tcBorders>
              <w:top w:val="nil"/>
              <w:left w:val="nil"/>
              <w:bottom w:val="nil"/>
              <w:right w:val="nil"/>
            </w:tcBorders>
            <w:shd w:val="clear" w:color="auto" w:fill="auto"/>
            <w:noWrap/>
            <w:vAlign w:val="bottom"/>
            <w:hideMark/>
          </w:tcPr>
          <w:p w14:paraId="4EF9B411" w14:textId="7FB68B97" w:rsidR="00001524" w:rsidRPr="00265A99" w:rsidRDefault="00001524" w:rsidP="00AE0E12">
            <w:pPr>
              <w:pStyle w:val="Footnote"/>
              <w:rPr>
                <w:lang w:val="en-GB" w:eastAsia="zh-CN"/>
              </w:rPr>
            </w:pPr>
            <w:r w:rsidRPr="00265A99">
              <w:rPr>
                <w:lang w:val="en-GB" w:eastAsia="zh-CN"/>
              </w:rPr>
              <w:t>Max Lead Time</w:t>
            </w:r>
            <w:r w:rsidR="00AE0E12" w:rsidRPr="00265A99">
              <w:rPr>
                <w:lang w:val="en-GB" w:eastAsia="zh-CN"/>
              </w:rPr>
              <w:t>: 30</w:t>
            </w:r>
          </w:p>
        </w:tc>
        <w:tc>
          <w:tcPr>
            <w:tcW w:w="947" w:type="dxa"/>
            <w:tcBorders>
              <w:top w:val="nil"/>
              <w:left w:val="nil"/>
              <w:bottom w:val="nil"/>
              <w:right w:val="nil"/>
            </w:tcBorders>
            <w:shd w:val="clear" w:color="auto" w:fill="auto"/>
            <w:noWrap/>
            <w:vAlign w:val="bottom"/>
            <w:hideMark/>
          </w:tcPr>
          <w:p w14:paraId="5C7DCA77" w14:textId="191613C6" w:rsidR="00001524" w:rsidRPr="00265A99" w:rsidRDefault="00001524" w:rsidP="00194BC6">
            <w:pPr>
              <w:jc w:val="right"/>
              <w:rPr>
                <w:rFonts w:ascii="Arial" w:hAnsi="Arial" w:cs="Arial"/>
                <w:sz w:val="18"/>
                <w:szCs w:val="18"/>
                <w:lang w:val="en-GB" w:eastAsia="zh-CN"/>
              </w:rPr>
            </w:pPr>
          </w:p>
        </w:tc>
        <w:tc>
          <w:tcPr>
            <w:tcW w:w="947" w:type="dxa"/>
            <w:tcBorders>
              <w:top w:val="nil"/>
              <w:left w:val="nil"/>
              <w:bottom w:val="nil"/>
              <w:right w:val="nil"/>
            </w:tcBorders>
            <w:shd w:val="clear" w:color="auto" w:fill="auto"/>
            <w:noWrap/>
            <w:vAlign w:val="bottom"/>
            <w:hideMark/>
          </w:tcPr>
          <w:p w14:paraId="60CD0C59" w14:textId="77777777" w:rsidR="00001524" w:rsidRPr="00265A99" w:rsidRDefault="00001524" w:rsidP="00267D47">
            <w:pPr>
              <w:jc w:val="right"/>
              <w:rPr>
                <w:rFonts w:ascii="Arial" w:hAnsi="Arial" w:cs="Arial"/>
                <w:sz w:val="18"/>
                <w:szCs w:val="18"/>
                <w:lang w:val="en-GB" w:eastAsia="zh-CN"/>
              </w:rPr>
            </w:pPr>
          </w:p>
        </w:tc>
        <w:tc>
          <w:tcPr>
            <w:tcW w:w="947" w:type="dxa"/>
            <w:tcBorders>
              <w:top w:val="nil"/>
              <w:left w:val="nil"/>
              <w:bottom w:val="nil"/>
              <w:right w:val="nil"/>
            </w:tcBorders>
            <w:shd w:val="clear" w:color="auto" w:fill="auto"/>
            <w:noWrap/>
            <w:vAlign w:val="bottom"/>
            <w:hideMark/>
          </w:tcPr>
          <w:p w14:paraId="355F995C"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2F8B2EE5"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0992E42E"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63487C25"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6ECF838F" w14:textId="77777777" w:rsidR="00001524" w:rsidRPr="00265A99" w:rsidRDefault="00001524" w:rsidP="00267D47">
            <w:pPr>
              <w:rPr>
                <w:lang w:val="en-GB" w:eastAsia="zh-CN"/>
              </w:rPr>
            </w:pPr>
          </w:p>
        </w:tc>
        <w:tc>
          <w:tcPr>
            <w:tcW w:w="947" w:type="dxa"/>
            <w:tcBorders>
              <w:top w:val="nil"/>
              <w:left w:val="nil"/>
              <w:bottom w:val="nil"/>
              <w:right w:val="nil"/>
            </w:tcBorders>
            <w:shd w:val="clear" w:color="auto" w:fill="auto"/>
            <w:noWrap/>
            <w:vAlign w:val="bottom"/>
            <w:hideMark/>
          </w:tcPr>
          <w:p w14:paraId="29F70946" w14:textId="77777777" w:rsidR="00001524" w:rsidRPr="00265A99" w:rsidRDefault="00001524" w:rsidP="00267D47">
            <w:pPr>
              <w:rPr>
                <w:lang w:val="en-GB" w:eastAsia="zh-CN"/>
              </w:rPr>
            </w:pPr>
          </w:p>
        </w:tc>
      </w:tr>
    </w:tbl>
    <w:p w14:paraId="73D4E338" w14:textId="77777777" w:rsidR="00001524" w:rsidRPr="00265A99" w:rsidRDefault="00001524" w:rsidP="00001524">
      <w:pPr>
        <w:pStyle w:val="ExhibitHeading"/>
        <w:rPr>
          <w:lang w:val="en-GB"/>
        </w:rPr>
      </w:pPr>
    </w:p>
    <w:p w14:paraId="491DDC4C" w14:textId="7F014667" w:rsidR="00465348" w:rsidRPr="00265A99" w:rsidRDefault="00001524" w:rsidP="00001524">
      <w:pPr>
        <w:pStyle w:val="Footnote"/>
        <w:rPr>
          <w:lang w:val="en-GB"/>
        </w:rPr>
      </w:pPr>
      <w:r w:rsidRPr="00265A99">
        <w:rPr>
          <w:lang w:val="en-GB"/>
        </w:rPr>
        <w:t xml:space="preserve">Source: </w:t>
      </w:r>
      <w:r w:rsidR="00AE0E12" w:rsidRPr="00265A99">
        <w:rPr>
          <w:lang w:val="en-GB"/>
        </w:rPr>
        <w:t>Created</w:t>
      </w:r>
      <w:r w:rsidRPr="00265A99">
        <w:rPr>
          <w:lang w:val="en-GB"/>
        </w:rPr>
        <w:t xml:space="preserve"> by the authors using company information</w:t>
      </w:r>
      <w:r w:rsidR="00AE0E12" w:rsidRPr="00265A99">
        <w:rPr>
          <w:lang w:val="en-GB"/>
        </w:rPr>
        <w:t>.</w:t>
      </w:r>
    </w:p>
    <w:sectPr w:rsidR="00465348" w:rsidRPr="00265A99" w:rsidSect="00001524">
      <w:headerReference w:type="default" r:id="rId14"/>
      <w:pgSz w:w="12240" w:h="15840" w:code="1"/>
      <w:pgMar w:top="1080" w:right="1440" w:bottom="1440" w:left="1440" w:header="108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B6B94" w16cid:durableId="1E5F3FD2"/>
  <w16cid:commentId w16cid:paraId="65516B33" w16cid:durableId="1E5F40C8"/>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607004" w14:textId="77777777" w:rsidR="00953B69" w:rsidRDefault="00953B69" w:rsidP="00D75295">
      <w:r>
        <w:separator/>
      </w:r>
    </w:p>
  </w:endnote>
  <w:endnote w:type="continuationSeparator" w:id="0">
    <w:p w14:paraId="605C17A6" w14:textId="77777777" w:rsidR="00953B69" w:rsidRDefault="00953B6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D033B0" w14:textId="77777777" w:rsidR="00953B69" w:rsidRDefault="00953B69" w:rsidP="00D75295">
      <w:r>
        <w:separator/>
      </w:r>
    </w:p>
  </w:footnote>
  <w:footnote w:type="continuationSeparator" w:id="0">
    <w:p w14:paraId="3D792399" w14:textId="77777777" w:rsidR="00953B69" w:rsidRDefault="00953B69" w:rsidP="00D75295">
      <w:r>
        <w:continuationSeparator/>
      </w:r>
    </w:p>
  </w:footnote>
  <w:footnote w:id="1">
    <w:p w14:paraId="4ABA1628" w14:textId="5C7DFF73" w:rsidR="00953B69" w:rsidRPr="00001524" w:rsidRDefault="00953B69" w:rsidP="00006C01">
      <w:pPr>
        <w:pStyle w:val="Footnote"/>
      </w:pPr>
      <w:r w:rsidRPr="00001524">
        <w:rPr>
          <w:rStyle w:val="FootnoteReference"/>
        </w:rPr>
        <w:footnoteRef/>
      </w:r>
      <w:r w:rsidRPr="00001524">
        <w:rPr>
          <w:vertAlign w:val="superscript"/>
        </w:rPr>
        <w:t xml:space="preserve"> </w:t>
      </w:r>
      <w:r w:rsidRPr="00001524">
        <w:t>Sika</w:t>
      </w:r>
      <w:r>
        <w:t xml:space="preserve"> website</w:t>
      </w:r>
      <w:r w:rsidRPr="00001524">
        <w:t>, accessed Dec</w:t>
      </w:r>
      <w:r>
        <w:t>ember 1,</w:t>
      </w:r>
      <w:r w:rsidRPr="00001524">
        <w:t xml:space="preserve"> 2017, </w:t>
      </w:r>
      <w:r w:rsidRPr="00265A99">
        <w:t>https://www.sika.com/</w:t>
      </w:r>
      <w:r>
        <w:rPr>
          <w:rStyle w:val="Hyperlink"/>
          <w:color w:val="auto"/>
          <w:u w:val="none"/>
        </w:rPr>
        <w:t>.</w:t>
      </w:r>
    </w:p>
  </w:footnote>
  <w:footnote w:id="2">
    <w:p w14:paraId="348AF5A0" w14:textId="368F5A3C" w:rsidR="00953B69" w:rsidRPr="000D4E57" w:rsidRDefault="00953B69" w:rsidP="000D4E57">
      <w:pPr>
        <w:pStyle w:val="Footnote"/>
        <w:rPr>
          <w:spacing w:val="-4"/>
          <w:lang w:val="en-CA"/>
        </w:rPr>
      </w:pPr>
      <w:r w:rsidRPr="000D4E57">
        <w:rPr>
          <w:rStyle w:val="FootnoteReference"/>
          <w:spacing w:val="-4"/>
        </w:rPr>
        <w:footnoteRef/>
      </w:r>
      <w:r w:rsidRPr="000D4E57">
        <w:rPr>
          <w:spacing w:val="-4"/>
        </w:rPr>
        <w:t xml:space="preserve"> </w:t>
      </w:r>
      <w:r w:rsidRPr="000D4E57">
        <w:rPr>
          <w:spacing w:val="-4"/>
          <w:lang w:val="en-CA"/>
        </w:rPr>
        <w:t>SFr = CHF = Swiss franc; SFr1 = US$0.99721 on November 1, 2017.</w:t>
      </w:r>
    </w:p>
  </w:footnote>
  <w:footnote w:id="3">
    <w:p w14:paraId="51FDCE72" w14:textId="410FD472" w:rsidR="00953B69" w:rsidRPr="00001524" w:rsidRDefault="00953B69" w:rsidP="000D4E57">
      <w:pPr>
        <w:pStyle w:val="Footnote"/>
      </w:pPr>
      <w:r w:rsidRPr="00001524">
        <w:rPr>
          <w:rStyle w:val="FootnoteReference"/>
        </w:rPr>
        <w:footnoteRef/>
      </w:r>
      <w:r w:rsidRPr="00001524">
        <w:t xml:space="preserve"> Sika, “Record </w:t>
      </w:r>
      <w:r>
        <w:t>S</w:t>
      </w:r>
      <w:r w:rsidRPr="00001524">
        <w:t xml:space="preserve">ales with </w:t>
      </w:r>
      <w:r>
        <w:t>G</w:t>
      </w:r>
      <w:r w:rsidRPr="00001524">
        <w:t xml:space="preserve">rowth in </w:t>
      </w:r>
      <w:r>
        <w:t>A</w:t>
      </w:r>
      <w:r w:rsidRPr="00001524">
        <w:t xml:space="preserve">ll </w:t>
      </w:r>
      <w:r>
        <w:t>R</w:t>
      </w:r>
      <w:r w:rsidRPr="00001524">
        <w:t>egions</w:t>
      </w:r>
      <w:r>
        <w:t>,”</w:t>
      </w:r>
      <w:r w:rsidRPr="00001524">
        <w:t xml:space="preserve"> </w:t>
      </w:r>
      <w:r>
        <w:t xml:space="preserve">media release, January 10, 2017, </w:t>
      </w:r>
      <w:r w:rsidRPr="00001524">
        <w:t>accessed Dec</w:t>
      </w:r>
      <w:r>
        <w:t>ember 1,</w:t>
      </w:r>
      <w:r w:rsidRPr="00001524">
        <w:t xml:space="preserve"> 2017, </w:t>
      </w:r>
      <w:r w:rsidRPr="000D4E57">
        <w:t>www.sika.com/en/group/Media/Mediareleases/2017/rekordumsatz-mit-wachstum-in-allen-regionen.html</w:t>
      </w:r>
      <w:r>
        <w:rPr>
          <w:rStyle w:val="Hyperlink"/>
          <w:color w:val="auto"/>
          <w:u w:val="none"/>
        </w:rPr>
        <w:t>.</w:t>
      </w:r>
    </w:p>
  </w:footnote>
  <w:footnote w:id="4">
    <w:p w14:paraId="10E5C4A8" w14:textId="237C87C8" w:rsidR="00953B69" w:rsidRPr="00001524" w:rsidRDefault="00953B69" w:rsidP="00001524">
      <w:pPr>
        <w:pStyle w:val="Footnote"/>
      </w:pPr>
      <w:r w:rsidRPr="00001524">
        <w:rPr>
          <w:rStyle w:val="FootnoteReference"/>
        </w:rPr>
        <w:footnoteRef/>
      </w:r>
      <w:r w:rsidRPr="00001524">
        <w:rPr>
          <w:vertAlign w:val="superscript"/>
        </w:rPr>
        <w:t xml:space="preserve"> </w:t>
      </w:r>
      <w:r>
        <w:t>“</w:t>
      </w:r>
      <w:r w:rsidRPr="00001524">
        <w:t>Sika AG (SIKS.S),</w:t>
      </w:r>
      <w:r>
        <w:t>”</w:t>
      </w:r>
      <w:r w:rsidRPr="00001524">
        <w:t xml:space="preserve"> </w:t>
      </w:r>
      <w:r>
        <w:t xml:space="preserve">Reuters, </w:t>
      </w:r>
      <w:r w:rsidRPr="00001524">
        <w:t>accessed Dec</w:t>
      </w:r>
      <w:r>
        <w:t>ember 1,</w:t>
      </w:r>
      <w:r w:rsidRPr="00001524">
        <w:t xml:space="preserve"> 2017, </w:t>
      </w:r>
      <w:r w:rsidRPr="000D4E57">
        <w:t>www.reuters.com/finance/stocks/overview/SIK.S</w:t>
      </w:r>
      <w:r>
        <w:rPr>
          <w:rStyle w:val="Hyperlink"/>
          <w:color w:val="auto"/>
          <w:u w:val="none"/>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B566B3" w14:textId="427B899D" w:rsidR="00953B69" w:rsidRPr="00C92CC4" w:rsidRDefault="00953B6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36639">
      <w:rPr>
        <w:rFonts w:ascii="Arial" w:hAnsi="Arial"/>
        <w:b/>
        <w:noProof/>
      </w:rPr>
      <w:t>3</w:t>
    </w:r>
    <w:r>
      <w:rPr>
        <w:rFonts w:ascii="Arial" w:hAnsi="Arial"/>
        <w:b/>
      </w:rPr>
      <w:fldChar w:fldCharType="end"/>
    </w:r>
    <w:r>
      <w:rPr>
        <w:rFonts w:ascii="Arial" w:hAnsi="Arial"/>
        <w:b/>
      </w:rPr>
      <w:tab/>
    </w:r>
    <w:r w:rsidR="003A109E">
      <w:rPr>
        <w:rFonts w:ascii="Arial" w:hAnsi="Arial"/>
        <w:b/>
      </w:rPr>
      <w:t>9B18E008</w:t>
    </w:r>
  </w:p>
  <w:p w14:paraId="6131964D" w14:textId="77777777" w:rsidR="00953B69" w:rsidRDefault="00953B69" w:rsidP="00D13667">
    <w:pPr>
      <w:pStyle w:val="Header"/>
      <w:tabs>
        <w:tab w:val="clear" w:pos="4680"/>
      </w:tabs>
      <w:rPr>
        <w:sz w:val="18"/>
        <w:szCs w:val="18"/>
      </w:rPr>
    </w:pPr>
  </w:p>
  <w:p w14:paraId="465FE76E" w14:textId="77777777" w:rsidR="00953B69" w:rsidRPr="00C92CC4" w:rsidRDefault="00953B69"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A46EFD" w14:textId="32F87EEC" w:rsidR="00953B69" w:rsidRPr="00C92CC4" w:rsidRDefault="00953B69" w:rsidP="00001524">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36639">
      <w:rPr>
        <w:rFonts w:ascii="Arial" w:hAnsi="Arial"/>
        <w:b/>
        <w:noProof/>
      </w:rPr>
      <w:t>4</w:t>
    </w:r>
    <w:r>
      <w:rPr>
        <w:rFonts w:ascii="Arial" w:hAnsi="Arial"/>
        <w:b/>
      </w:rPr>
      <w:fldChar w:fldCharType="end"/>
    </w:r>
    <w:r>
      <w:rPr>
        <w:rFonts w:ascii="Arial" w:hAnsi="Arial"/>
        <w:b/>
      </w:rPr>
      <w:tab/>
    </w:r>
    <w:r w:rsidR="003A109E">
      <w:rPr>
        <w:rFonts w:ascii="Arial" w:hAnsi="Arial"/>
        <w:b/>
      </w:rPr>
      <w:t>9B18E008</w:t>
    </w:r>
  </w:p>
  <w:p w14:paraId="7442A3DE" w14:textId="77777777" w:rsidR="00953B69" w:rsidRDefault="00953B69" w:rsidP="00001524">
    <w:pPr>
      <w:pStyle w:val="Header"/>
      <w:tabs>
        <w:tab w:val="clear" w:pos="4680"/>
        <w:tab w:val="clear" w:pos="9360"/>
        <w:tab w:val="right" w:pos="12960"/>
      </w:tabs>
      <w:rPr>
        <w:sz w:val="18"/>
        <w:szCs w:val="18"/>
      </w:rPr>
    </w:pPr>
  </w:p>
  <w:p w14:paraId="3B957230" w14:textId="77777777" w:rsidR="00953B69" w:rsidRPr="00C92CC4" w:rsidRDefault="00953B69" w:rsidP="00001524">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D320E3" w14:textId="0229F137" w:rsidR="00953B69" w:rsidRPr="00C92CC4" w:rsidRDefault="00953B69" w:rsidP="00001524">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836639">
      <w:rPr>
        <w:rFonts w:ascii="Arial" w:hAnsi="Arial"/>
        <w:b/>
        <w:noProof/>
      </w:rPr>
      <w:t>5</w:t>
    </w:r>
    <w:r>
      <w:rPr>
        <w:rFonts w:ascii="Arial" w:hAnsi="Arial"/>
        <w:b/>
      </w:rPr>
      <w:fldChar w:fldCharType="end"/>
    </w:r>
    <w:r>
      <w:rPr>
        <w:rFonts w:ascii="Arial" w:hAnsi="Arial"/>
        <w:b/>
      </w:rPr>
      <w:tab/>
    </w:r>
    <w:r w:rsidR="003A109E">
      <w:rPr>
        <w:rFonts w:ascii="Arial" w:hAnsi="Arial"/>
        <w:b/>
      </w:rPr>
      <w:t>9B18E008</w:t>
    </w:r>
  </w:p>
  <w:p w14:paraId="48A160A2" w14:textId="77777777" w:rsidR="00953B69" w:rsidRDefault="00953B69" w:rsidP="00001524">
    <w:pPr>
      <w:pStyle w:val="Header"/>
      <w:tabs>
        <w:tab w:val="clear" w:pos="4680"/>
      </w:tabs>
      <w:rPr>
        <w:sz w:val="18"/>
        <w:szCs w:val="18"/>
      </w:rPr>
    </w:pPr>
  </w:p>
  <w:p w14:paraId="7204FB38" w14:textId="77777777" w:rsidR="00953B69" w:rsidRPr="00C92CC4" w:rsidRDefault="00953B69" w:rsidP="00001524">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1524"/>
    <w:rsid w:val="00006C01"/>
    <w:rsid w:val="00013360"/>
    <w:rsid w:val="00016759"/>
    <w:rsid w:val="000216CE"/>
    <w:rsid w:val="00024ED4"/>
    <w:rsid w:val="00025DC7"/>
    <w:rsid w:val="00035F09"/>
    <w:rsid w:val="00044ECC"/>
    <w:rsid w:val="000531D3"/>
    <w:rsid w:val="0005646B"/>
    <w:rsid w:val="0008102D"/>
    <w:rsid w:val="000930FE"/>
    <w:rsid w:val="00094C0E"/>
    <w:rsid w:val="000A0846"/>
    <w:rsid w:val="000D4E57"/>
    <w:rsid w:val="000D7091"/>
    <w:rsid w:val="000F0C22"/>
    <w:rsid w:val="000F41EF"/>
    <w:rsid w:val="000F6B09"/>
    <w:rsid w:val="000F6FDC"/>
    <w:rsid w:val="00104567"/>
    <w:rsid w:val="00104916"/>
    <w:rsid w:val="00104AA7"/>
    <w:rsid w:val="00124B49"/>
    <w:rsid w:val="0012732D"/>
    <w:rsid w:val="001362C6"/>
    <w:rsid w:val="00143F25"/>
    <w:rsid w:val="00150A56"/>
    <w:rsid w:val="00152682"/>
    <w:rsid w:val="00154FC9"/>
    <w:rsid w:val="0019241A"/>
    <w:rsid w:val="00194BC6"/>
    <w:rsid w:val="00196FBF"/>
    <w:rsid w:val="001A22D1"/>
    <w:rsid w:val="001A752D"/>
    <w:rsid w:val="001A757E"/>
    <w:rsid w:val="001B5032"/>
    <w:rsid w:val="001C7777"/>
    <w:rsid w:val="001E364F"/>
    <w:rsid w:val="00203AA1"/>
    <w:rsid w:val="00213E98"/>
    <w:rsid w:val="0022355A"/>
    <w:rsid w:val="00227E96"/>
    <w:rsid w:val="0023081A"/>
    <w:rsid w:val="00265A99"/>
    <w:rsid w:val="00267D47"/>
    <w:rsid w:val="002F460C"/>
    <w:rsid w:val="002F48D6"/>
    <w:rsid w:val="00317391"/>
    <w:rsid w:val="00326216"/>
    <w:rsid w:val="00336580"/>
    <w:rsid w:val="00354899"/>
    <w:rsid w:val="00355FD6"/>
    <w:rsid w:val="00364A5C"/>
    <w:rsid w:val="00373FB1"/>
    <w:rsid w:val="00396C76"/>
    <w:rsid w:val="003A109E"/>
    <w:rsid w:val="003A5CC7"/>
    <w:rsid w:val="003B30D8"/>
    <w:rsid w:val="003B7EF2"/>
    <w:rsid w:val="003C3FA4"/>
    <w:rsid w:val="003C4ED3"/>
    <w:rsid w:val="003C7153"/>
    <w:rsid w:val="003E43A5"/>
    <w:rsid w:val="003F2171"/>
    <w:rsid w:val="003F2B0C"/>
    <w:rsid w:val="004105B2"/>
    <w:rsid w:val="004221E4"/>
    <w:rsid w:val="004273F8"/>
    <w:rsid w:val="004355A3"/>
    <w:rsid w:val="00446546"/>
    <w:rsid w:val="00452769"/>
    <w:rsid w:val="00465348"/>
    <w:rsid w:val="004B1CCB"/>
    <w:rsid w:val="004B632F"/>
    <w:rsid w:val="004D04E1"/>
    <w:rsid w:val="004D3FB1"/>
    <w:rsid w:val="004D6F21"/>
    <w:rsid w:val="004D73A5"/>
    <w:rsid w:val="004E566A"/>
    <w:rsid w:val="005160F1"/>
    <w:rsid w:val="00524F2F"/>
    <w:rsid w:val="00527E5C"/>
    <w:rsid w:val="00532CF5"/>
    <w:rsid w:val="00545E9C"/>
    <w:rsid w:val="005528CB"/>
    <w:rsid w:val="00566771"/>
    <w:rsid w:val="00577D4D"/>
    <w:rsid w:val="00581E2E"/>
    <w:rsid w:val="00584F15"/>
    <w:rsid w:val="0059514B"/>
    <w:rsid w:val="005A1B0F"/>
    <w:rsid w:val="006163F7"/>
    <w:rsid w:val="00627C63"/>
    <w:rsid w:val="0063350B"/>
    <w:rsid w:val="00652606"/>
    <w:rsid w:val="0067285B"/>
    <w:rsid w:val="00677F30"/>
    <w:rsid w:val="006946EE"/>
    <w:rsid w:val="006A58A9"/>
    <w:rsid w:val="006A606D"/>
    <w:rsid w:val="006B70C7"/>
    <w:rsid w:val="006C0371"/>
    <w:rsid w:val="006C08B6"/>
    <w:rsid w:val="006C0B1A"/>
    <w:rsid w:val="006C6065"/>
    <w:rsid w:val="006C7F9F"/>
    <w:rsid w:val="006D26D3"/>
    <w:rsid w:val="006D566D"/>
    <w:rsid w:val="006E2F6D"/>
    <w:rsid w:val="006E58F6"/>
    <w:rsid w:val="006E70CF"/>
    <w:rsid w:val="006E77E1"/>
    <w:rsid w:val="006F131D"/>
    <w:rsid w:val="006F6923"/>
    <w:rsid w:val="00711642"/>
    <w:rsid w:val="0074733E"/>
    <w:rsid w:val="007507C6"/>
    <w:rsid w:val="00751E0B"/>
    <w:rsid w:val="00752BCD"/>
    <w:rsid w:val="00766DA1"/>
    <w:rsid w:val="00780D94"/>
    <w:rsid w:val="007866A6"/>
    <w:rsid w:val="0079210B"/>
    <w:rsid w:val="007A130D"/>
    <w:rsid w:val="007D1A2D"/>
    <w:rsid w:val="007D4102"/>
    <w:rsid w:val="007F2DD5"/>
    <w:rsid w:val="007F38EB"/>
    <w:rsid w:val="007F43B7"/>
    <w:rsid w:val="00821FFC"/>
    <w:rsid w:val="008271CA"/>
    <w:rsid w:val="00836639"/>
    <w:rsid w:val="00843D6F"/>
    <w:rsid w:val="008467D5"/>
    <w:rsid w:val="00854925"/>
    <w:rsid w:val="008A4DC4"/>
    <w:rsid w:val="008B438C"/>
    <w:rsid w:val="008D06CA"/>
    <w:rsid w:val="008D3A46"/>
    <w:rsid w:val="009067A4"/>
    <w:rsid w:val="00933D68"/>
    <w:rsid w:val="009340DB"/>
    <w:rsid w:val="0094618C"/>
    <w:rsid w:val="00953B69"/>
    <w:rsid w:val="0095684B"/>
    <w:rsid w:val="00972498"/>
    <w:rsid w:val="0097481F"/>
    <w:rsid w:val="00974CC6"/>
    <w:rsid w:val="00976AD4"/>
    <w:rsid w:val="0098129C"/>
    <w:rsid w:val="00995547"/>
    <w:rsid w:val="009A312F"/>
    <w:rsid w:val="009A5348"/>
    <w:rsid w:val="009B0AB7"/>
    <w:rsid w:val="009B26AB"/>
    <w:rsid w:val="009C76D5"/>
    <w:rsid w:val="009F7AA4"/>
    <w:rsid w:val="00A10AD7"/>
    <w:rsid w:val="00A13704"/>
    <w:rsid w:val="00A559DB"/>
    <w:rsid w:val="00A569EA"/>
    <w:rsid w:val="00AA7CAC"/>
    <w:rsid w:val="00AB5B8D"/>
    <w:rsid w:val="00AE0E12"/>
    <w:rsid w:val="00AF35FC"/>
    <w:rsid w:val="00AF5556"/>
    <w:rsid w:val="00B03639"/>
    <w:rsid w:val="00B0652A"/>
    <w:rsid w:val="00B365DB"/>
    <w:rsid w:val="00B40937"/>
    <w:rsid w:val="00B414A8"/>
    <w:rsid w:val="00B423EF"/>
    <w:rsid w:val="00B453DE"/>
    <w:rsid w:val="00B72597"/>
    <w:rsid w:val="00B901F9"/>
    <w:rsid w:val="00BD58CF"/>
    <w:rsid w:val="00BD6EFB"/>
    <w:rsid w:val="00BE0443"/>
    <w:rsid w:val="00C1584D"/>
    <w:rsid w:val="00C15BE2"/>
    <w:rsid w:val="00C3447F"/>
    <w:rsid w:val="00C40AB4"/>
    <w:rsid w:val="00C67102"/>
    <w:rsid w:val="00C72C2A"/>
    <w:rsid w:val="00C81491"/>
    <w:rsid w:val="00C81676"/>
    <w:rsid w:val="00C8193C"/>
    <w:rsid w:val="00C85C5D"/>
    <w:rsid w:val="00C92CC4"/>
    <w:rsid w:val="00CA0AFB"/>
    <w:rsid w:val="00CA2CE1"/>
    <w:rsid w:val="00CA3976"/>
    <w:rsid w:val="00CA50E3"/>
    <w:rsid w:val="00CA757B"/>
    <w:rsid w:val="00CB297E"/>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87762"/>
    <w:rsid w:val="00D97F12"/>
    <w:rsid w:val="00DA6095"/>
    <w:rsid w:val="00DB42E7"/>
    <w:rsid w:val="00DE01A6"/>
    <w:rsid w:val="00DE7A98"/>
    <w:rsid w:val="00DF32C2"/>
    <w:rsid w:val="00E471A7"/>
    <w:rsid w:val="00E635CF"/>
    <w:rsid w:val="00E6452B"/>
    <w:rsid w:val="00EA4E10"/>
    <w:rsid w:val="00EA6217"/>
    <w:rsid w:val="00EC6E0A"/>
    <w:rsid w:val="00ED4E18"/>
    <w:rsid w:val="00EE1F37"/>
    <w:rsid w:val="00F0159C"/>
    <w:rsid w:val="00F105B7"/>
    <w:rsid w:val="00F13220"/>
    <w:rsid w:val="00F13C78"/>
    <w:rsid w:val="00F17A21"/>
    <w:rsid w:val="00F24BBE"/>
    <w:rsid w:val="00F27A76"/>
    <w:rsid w:val="00F37B27"/>
    <w:rsid w:val="00F46556"/>
    <w:rsid w:val="00F50E91"/>
    <w:rsid w:val="00F57D29"/>
    <w:rsid w:val="00F65584"/>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19D8FBEA"/>
  <w15:docId w15:val="{AB0C559A-46D1-46F7-A0E7-CC79EE91F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001524"/>
    <w:pPr>
      <w:jc w:val="both"/>
    </w:pPr>
    <w:rPr>
      <w:rFonts w:ascii="Arial" w:hAnsi="Arial" w:cs="Arial"/>
      <w:sz w:val="17"/>
      <w:szCs w:val="17"/>
    </w:rPr>
  </w:style>
  <w:style w:type="character" w:customStyle="1" w:styleId="FootnoteChar">
    <w:name w:val="Footnote Char"/>
    <w:basedOn w:val="FootnoteTextChar"/>
    <w:link w:val="Footnote"/>
    <w:rsid w:val="00001524"/>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customStyle="1" w:styleId="TableGrid1">
    <w:name w:val="Table Grid1"/>
    <w:basedOn w:val="TableNormal"/>
    <w:next w:val="TableGrid"/>
    <w:uiPriority w:val="59"/>
    <w:rsid w:val="00B365DB"/>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79210B"/>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B01D2-3601-4087-8659-839E49520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1614</Words>
  <Characters>9206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10799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5</cp:revision>
  <cp:lastPrinted>2018-03-26T16:33:00Z</cp:lastPrinted>
  <dcterms:created xsi:type="dcterms:W3CDTF">2018-03-26T16:32:00Z</dcterms:created>
  <dcterms:modified xsi:type="dcterms:W3CDTF">2018-03-29T18:31:00Z</dcterms:modified>
</cp:coreProperties>
</file>