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14223" w14:textId="299D96D8" w:rsidR="008467D5" w:rsidRPr="00E92F02" w:rsidRDefault="0050274C" w:rsidP="00013360">
      <w:pPr>
        <w:tabs>
          <w:tab w:val="left" w:pos="-1440"/>
          <w:tab w:val="left" w:pos="-720"/>
          <w:tab w:val="left" w:pos="1"/>
          <w:tab w:val="right" w:pos="9360"/>
        </w:tabs>
        <w:jc w:val="both"/>
        <w:rPr>
          <w:rFonts w:ascii="Arial" w:hAnsi="Arial"/>
          <w:sz w:val="24"/>
        </w:rPr>
      </w:pPr>
      <w:r w:rsidRPr="0050274C">
        <w:rPr>
          <w:rFonts w:ascii="Arial" w:hAnsi="Arial"/>
          <w:b/>
          <w:noProof/>
          <w:sz w:val="24"/>
          <w:lang w:val="en-US"/>
        </w:rPr>
        <w:drawing>
          <wp:inline distT="0" distB="0" distL="0" distR="0" wp14:anchorId="1DB0A35A" wp14:editId="1C778718">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B4E66D" w14:textId="77777777" w:rsidR="00856D9F" w:rsidRPr="0050274C" w:rsidRDefault="00856D9F" w:rsidP="008467D5">
      <w:pPr>
        <w:pBdr>
          <w:bottom w:val="single" w:sz="18" w:space="1" w:color="auto"/>
        </w:pBdr>
        <w:tabs>
          <w:tab w:val="left" w:pos="-1440"/>
          <w:tab w:val="left" w:pos="-720"/>
          <w:tab w:val="left" w:pos="1"/>
        </w:tabs>
        <w:jc w:val="both"/>
        <w:rPr>
          <w:rFonts w:ascii="Arial" w:hAnsi="Arial"/>
          <w:b/>
          <w:sz w:val="2"/>
        </w:rPr>
      </w:pPr>
    </w:p>
    <w:p w14:paraId="79F8B5B7" w14:textId="4B4B3B91" w:rsidR="00D75295" w:rsidRPr="00B615FE" w:rsidRDefault="004802FC" w:rsidP="006A0453">
      <w:pPr>
        <w:pStyle w:val="ProductNumber"/>
        <w:outlineLvl w:val="0"/>
      </w:pPr>
      <w:r>
        <w:t>9B18E010</w:t>
      </w:r>
    </w:p>
    <w:p w14:paraId="556030AE" w14:textId="77777777" w:rsidR="00D75295" w:rsidRPr="00B615FE" w:rsidRDefault="00D75295" w:rsidP="00D75295">
      <w:pPr>
        <w:jc w:val="right"/>
        <w:rPr>
          <w:rFonts w:ascii="Arial" w:hAnsi="Arial"/>
          <w:b/>
          <w:sz w:val="28"/>
        </w:rPr>
      </w:pPr>
    </w:p>
    <w:p w14:paraId="66385F25" w14:textId="77777777" w:rsidR="00866F6D" w:rsidRPr="00B615FE" w:rsidRDefault="00866F6D" w:rsidP="00D75295">
      <w:pPr>
        <w:jc w:val="right"/>
        <w:rPr>
          <w:rFonts w:ascii="Arial" w:hAnsi="Arial"/>
          <w:b/>
          <w:sz w:val="28"/>
        </w:rPr>
      </w:pPr>
    </w:p>
    <w:p w14:paraId="1BA709C7" w14:textId="64A10620" w:rsidR="00013360" w:rsidRPr="00E92F02" w:rsidRDefault="008A01AF" w:rsidP="006A0453">
      <w:pPr>
        <w:pStyle w:val="CaseTitle"/>
        <w:spacing w:after="0" w:line="240" w:lineRule="auto"/>
        <w:outlineLvl w:val="0"/>
      </w:pPr>
      <w:r w:rsidRPr="00B615FE">
        <w:t>Ji</w:t>
      </w:r>
      <w:r w:rsidRPr="006A0453">
        <w:rPr>
          <w:spacing w:val="20"/>
        </w:rPr>
        <w:t>o</w:t>
      </w:r>
      <w:r w:rsidRPr="00E92F02">
        <w:t>Money M-Wallet: a cure for the digital economy?</w:t>
      </w:r>
      <w:r w:rsidR="003A3F87">
        <w:rPr>
          <w:rStyle w:val="EndnoteReference"/>
        </w:rPr>
        <w:endnoteReference w:id="2"/>
      </w:r>
    </w:p>
    <w:p w14:paraId="722ECA04" w14:textId="77777777" w:rsidR="00013360" w:rsidRPr="00B615FE" w:rsidRDefault="00013360" w:rsidP="00013360">
      <w:pPr>
        <w:pStyle w:val="CaseTitle"/>
        <w:spacing w:after="0" w:line="240" w:lineRule="auto"/>
        <w:rPr>
          <w:sz w:val="20"/>
        </w:rPr>
      </w:pPr>
    </w:p>
    <w:p w14:paraId="0808FA89" w14:textId="77777777" w:rsidR="00CA3976" w:rsidRPr="00B615FE" w:rsidRDefault="00CA3976" w:rsidP="00013360">
      <w:pPr>
        <w:pStyle w:val="CaseTitle"/>
        <w:spacing w:after="0" w:line="240" w:lineRule="auto"/>
        <w:rPr>
          <w:sz w:val="20"/>
        </w:rPr>
      </w:pPr>
    </w:p>
    <w:p w14:paraId="5B800FA4" w14:textId="77777777" w:rsidR="00013360" w:rsidRPr="00B615FE" w:rsidRDefault="00013360" w:rsidP="00013360">
      <w:pPr>
        <w:pStyle w:val="CaseTitle"/>
        <w:spacing w:after="0" w:line="240" w:lineRule="auto"/>
        <w:rPr>
          <w:sz w:val="20"/>
        </w:rPr>
      </w:pPr>
    </w:p>
    <w:p w14:paraId="5AE4F76B" w14:textId="1184DE3F" w:rsidR="00013360" w:rsidRPr="00B615FE" w:rsidRDefault="005F6408" w:rsidP="00104567">
      <w:pPr>
        <w:pStyle w:val="StyleCopyrightStatementAfter0ptBottomSinglesolidline1"/>
      </w:pPr>
      <w:r w:rsidRPr="00B615FE">
        <w:t>Poonam Garg</w:t>
      </w:r>
      <w:r>
        <w:t>,</w:t>
      </w:r>
      <w:r w:rsidRPr="00B615FE">
        <w:t xml:space="preserve"> </w:t>
      </w:r>
      <w:r>
        <w:t>Rashmi Kumar Aggarwal,</w:t>
      </w:r>
      <w:r w:rsidR="008A01AF" w:rsidRPr="00B615FE">
        <w:t xml:space="preserve"> </w:t>
      </w:r>
      <w:r w:rsidR="00B428D3">
        <w:t>and</w:t>
      </w:r>
      <w:r w:rsidR="00B428D3" w:rsidRPr="00E92F02">
        <w:t xml:space="preserve"> </w:t>
      </w:r>
      <w:r w:rsidR="008A01AF" w:rsidRPr="00E92F02">
        <w:t>Vaibhav Garg</w:t>
      </w:r>
      <w:r w:rsidR="007E5921" w:rsidRPr="00B615FE">
        <w:t xml:space="preserve"> wrote this case sol</w:t>
      </w:r>
      <w:r w:rsidR="00D75295" w:rsidRPr="00B615FE">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CF4B2D8" w14:textId="77777777" w:rsidR="00013360" w:rsidRPr="00B615FE" w:rsidRDefault="00013360" w:rsidP="00104567">
      <w:pPr>
        <w:pStyle w:val="StyleCopyrightStatementAfter0ptBottomSinglesolidline1"/>
      </w:pPr>
    </w:p>
    <w:p w14:paraId="1D12DFFF" w14:textId="5D33701D" w:rsidR="0050274C" w:rsidRPr="000E27F1" w:rsidRDefault="0050274C" w:rsidP="009629BF">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0" w:history="1">
        <w:r w:rsidRPr="000E27F1">
          <w:rPr>
            <w:rFonts w:ascii="Arial" w:hAnsi="Arial" w:cs="Arial"/>
            <w:i/>
            <w:iCs/>
            <w:sz w:val="16"/>
            <w:szCs w:val="16"/>
          </w:rPr>
          <w:t>www.iveycases.com</w:t>
        </w:r>
      </w:hyperlink>
      <w:r w:rsidRPr="000E27F1">
        <w:rPr>
          <w:rFonts w:ascii="Arial" w:hAnsi="Arial" w:cs="Arial"/>
          <w:i/>
          <w:iCs/>
          <w:sz w:val="16"/>
          <w:szCs w:val="16"/>
        </w:rPr>
        <w:t>.</w:t>
      </w:r>
    </w:p>
    <w:p w14:paraId="7827F128" w14:textId="77777777" w:rsidR="0050274C" w:rsidRPr="000E27F1" w:rsidRDefault="0050274C" w:rsidP="009629BF">
      <w:pPr>
        <w:pStyle w:val="StyleCopyrightStatementAfter0ptBottomSinglesolidline1"/>
        <w:pBdr>
          <w:top w:val="none" w:sz="0" w:space="0" w:color="auto"/>
        </w:pBdr>
      </w:pPr>
    </w:p>
    <w:p w14:paraId="4F904AC7" w14:textId="42573053" w:rsidR="003B7EF2" w:rsidRPr="00B615FE" w:rsidRDefault="0050274C" w:rsidP="0050274C">
      <w:pPr>
        <w:pStyle w:val="StyleStyleCopyrightStatementAfter0ptBottomSinglesolid"/>
      </w:pPr>
      <w:r>
        <w:t>Copyright © 2018, Ivey Business School Foundation</w:t>
      </w:r>
      <w:r w:rsidR="003B7EF2" w:rsidRPr="00B615FE">
        <w:tab/>
        <w:t xml:space="preserve">Version: </w:t>
      </w:r>
      <w:r w:rsidR="00361C8E" w:rsidRPr="00B615FE">
        <w:t>201</w:t>
      </w:r>
      <w:r>
        <w:t>8</w:t>
      </w:r>
      <w:r w:rsidR="00361C8E" w:rsidRPr="00B615FE">
        <w:t>-</w:t>
      </w:r>
      <w:r w:rsidR="00FD54E2">
        <w:t>07-</w:t>
      </w:r>
      <w:r w:rsidR="005F6408">
        <w:t>17</w:t>
      </w:r>
    </w:p>
    <w:p w14:paraId="6D919B04" w14:textId="77777777" w:rsidR="003B7EF2" w:rsidRPr="00B615FE" w:rsidRDefault="003B7EF2" w:rsidP="00104567">
      <w:pPr>
        <w:pStyle w:val="StyleCopyrightStatementAfter0ptBottomSinglesolidline1"/>
        <w:rPr>
          <w:rFonts w:ascii="Times New Roman" w:hAnsi="Times New Roman"/>
          <w:sz w:val="20"/>
        </w:rPr>
      </w:pPr>
    </w:p>
    <w:p w14:paraId="05F4E9C9" w14:textId="77777777" w:rsidR="003B7EF2" w:rsidRPr="00B615FE" w:rsidRDefault="003B7EF2" w:rsidP="006F1D9E">
      <w:pPr>
        <w:pStyle w:val="Footnote"/>
      </w:pPr>
    </w:p>
    <w:p w14:paraId="3FC0BE5D" w14:textId="4054C868" w:rsidR="00DA58B8" w:rsidRDefault="00F72079" w:rsidP="009B21DF">
      <w:pPr>
        <w:pStyle w:val="BodyTextMain"/>
        <w:rPr>
          <w:spacing w:val="-2"/>
          <w:kern w:val="22"/>
        </w:rPr>
      </w:pPr>
      <w:r w:rsidRPr="00B615FE">
        <w:rPr>
          <w:spacing w:val="-2"/>
          <w:kern w:val="22"/>
        </w:rPr>
        <w:t>On November 8, 2016, at 8:00 p</w:t>
      </w:r>
      <w:r w:rsidR="00B428D3">
        <w:rPr>
          <w:spacing w:val="-2"/>
          <w:kern w:val="22"/>
        </w:rPr>
        <w:t>.</w:t>
      </w:r>
      <w:r w:rsidRPr="00B615FE">
        <w:rPr>
          <w:spacing w:val="-2"/>
          <w:kern w:val="22"/>
        </w:rPr>
        <w:t>m</w:t>
      </w:r>
      <w:r w:rsidR="00B428D3">
        <w:rPr>
          <w:spacing w:val="-2"/>
          <w:kern w:val="22"/>
        </w:rPr>
        <w:t>.</w:t>
      </w:r>
      <w:r w:rsidRPr="00E92F02">
        <w:rPr>
          <w:spacing w:val="-2"/>
          <w:kern w:val="22"/>
        </w:rPr>
        <w:t xml:space="preserve"> I</w:t>
      </w:r>
      <w:r w:rsidR="0019384C">
        <w:rPr>
          <w:spacing w:val="-2"/>
          <w:kern w:val="22"/>
        </w:rPr>
        <w:t xml:space="preserve">ndian </w:t>
      </w:r>
      <w:r w:rsidRPr="00E92F02">
        <w:rPr>
          <w:spacing w:val="-2"/>
          <w:kern w:val="22"/>
        </w:rPr>
        <w:t>S</w:t>
      </w:r>
      <w:r w:rsidR="0019384C">
        <w:rPr>
          <w:spacing w:val="-2"/>
          <w:kern w:val="22"/>
        </w:rPr>
        <w:t xml:space="preserve">tandard </w:t>
      </w:r>
      <w:r w:rsidRPr="00E92F02">
        <w:rPr>
          <w:spacing w:val="-2"/>
          <w:kern w:val="22"/>
        </w:rPr>
        <w:t>T</w:t>
      </w:r>
      <w:r w:rsidR="0019384C">
        <w:rPr>
          <w:spacing w:val="-2"/>
          <w:kern w:val="22"/>
        </w:rPr>
        <w:t>ime</w:t>
      </w:r>
      <w:r w:rsidRPr="00E92F02">
        <w:rPr>
          <w:spacing w:val="-2"/>
          <w:kern w:val="22"/>
        </w:rPr>
        <w:t xml:space="preserve">, the Prime Minister of India </w:t>
      </w:r>
      <w:r w:rsidR="00B428D3">
        <w:rPr>
          <w:spacing w:val="-2"/>
          <w:kern w:val="22"/>
        </w:rPr>
        <w:t xml:space="preserve">announced </w:t>
      </w:r>
      <w:r w:rsidRPr="00E92F02">
        <w:rPr>
          <w:spacing w:val="-2"/>
          <w:kern w:val="22"/>
        </w:rPr>
        <w:t>in a televised address to the entire nation of 1.34 billion</w:t>
      </w:r>
      <w:r w:rsidR="00B428D3">
        <w:rPr>
          <w:spacing w:val="-2"/>
          <w:kern w:val="22"/>
        </w:rPr>
        <w:t xml:space="preserve"> that</w:t>
      </w:r>
      <w:r w:rsidRPr="00B615FE">
        <w:rPr>
          <w:spacing w:val="-2"/>
          <w:kern w:val="22"/>
        </w:rPr>
        <w:t xml:space="preserve"> </w:t>
      </w:r>
      <w:r w:rsidRPr="00E92F02">
        <w:rPr>
          <w:spacing w:val="-2"/>
          <w:kern w:val="22"/>
        </w:rPr>
        <w:t>two high-value currency notes—</w:t>
      </w:r>
      <w:r w:rsidR="006C5EE7" w:rsidRPr="00E92F02">
        <w:rPr>
          <w:spacing w:val="-2"/>
          <w:kern w:val="22"/>
        </w:rPr>
        <w:t xml:space="preserve"> </w:t>
      </w:r>
      <w:r w:rsidR="006C5EE7" w:rsidRPr="006C5EE7">
        <w:rPr>
          <w:rFonts w:ascii="Arial" w:hAnsi="Arial" w:cs="Tahoma"/>
          <w:spacing w:val="-2"/>
          <w:kern w:val="22"/>
          <w:sz w:val="20"/>
        </w:rPr>
        <w:t>₹</w:t>
      </w:r>
      <w:r w:rsidRPr="00E92F02">
        <w:rPr>
          <w:spacing w:val="-2"/>
          <w:kern w:val="22"/>
        </w:rPr>
        <w:t>500</w:t>
      </w:r>
      <w:r w:rsidR="0019384C">
        <w:rPr>
          <w:rStyle w:val="EndnoteReference"/>
          <w:spacing w:val="-2"/>
          <w:kern w:val="22"/>
        </w:rPr>
        <w:endnoteReference w:id="3"/>
      </w:r>
      <w:r w:rsidRPr="00E92F02">
        <w:rPr>
          <w:spacing w:val="-2"/>
          <w:kern w:val="22"/>
        </w:rPr>
        <w:t xml:space="preserve"> and </w:t>
      </w:r>
      <w:r w:rsidR="006C5EE7" w:rsidRPr="006A0453">
        <w:rPr>
          <w:rFonts w:ascii="Arial" w:hAnsi="Arial"/>
          <w:spacing w:val="-2"/>
          <w:kern w:val="22"/>
          <w:sz w:val="20"/>
        </w:rPr>
        <w:t>₹</w:t>
      </w:r>
      <w:r w:rsidRPr="00E92F02">
        <w:rPr>
          <w:spacing w:val="-2"/>
          <w:kern w:val="22"/>
        </w:rPr>
        <w:t>1,000</w:t>
      </w:r>
      <w:r w:rsidRPr="00B615FE">
        <w:rPr>
          <w:spacing w:val="-2"/>
          <w:kern w:val="22"/>
        </w:rPr>
        <w:t>—</w:t>
      </w:r>
      <w:r w:rsidR="00B428D3">
        <w:rPr>
          <w:spacing w:val="-2"/>
          <w:kern w:val="22"/>
        </w:rPr>
        <w:t xml:space="preserve">would be demonetized as of </w:t>
      </w:r>
      <w:r w:rsidRPr="00E92F02">
        <w:rPr>
          <w:spacing w:val="-2"/>
          <w:kern w:val="22"/>
        </w:rPr>
        <w:t>midnight</w:t>
      </w:r>
      <w:r w:rsidR="00B428D3">
        <w:rPr>
          <w:spacing w:val="-2"/>
          <w:kern w:val="22"/>
        </w:rPr>
        <w:t>,</w:t>
      </w:r>
      <w:r w:rsidRPr="00E92F02">
        <w:rPr>
          <w:spacing w:val="-2"/>
          <w:kern w:val="22"/>
        </w:rPr>
        <w:t xml:space="preserve"> November 9, 2016.</w:t>
      </w:r>
      <w:r w:rsidR="009B21DF" w:rsidRPr="006A0453">
        <w:rPr>
          <w:rStyle w:val="EndnoteReference"/>
        </w:rPr>
        <w:endnoteReference w:id="4"/>
      </w:r>
      <w:r w:rsidR="009B21DF" w:rsidRPr="00E92F02">
        <w:rPr>
          <w:spacing w:val="-2"/>
          <w:kern w:val="22"/>
        </w:rPr>
        <w:t xml:space="preserve"> The move was considered to be a deterrent to corruption, terrorism, and drug peddling. As </w:t>
      </w:r>
      <w:r w:rsidR="002C5586">
        <w:rPr>
          <w:spacing w:val="-2"/>
          <w:kern w:val="22"/>
        </w:rPr>
        <w:t>of</w:t>
      </w:r>
      <w:r w:rsidR="002C5586" w:rsidRPr="00E92F02">
        <w:rPr>
          <w:spacing w:val="-2"/>
          <w:kern w:val="22"/>
        </w:rPr>
        <w:t xml:space="preserve"> </w:t>
      </w:r>
      <w:r w:rsidR="009B21DF" w:rsidRPr="00E92F02">
        <w:rPr>
          <w:spacing w:val="-2"/>
          <w:kern w:val="22"/>
        </w:rPr>
        <w:t xml:space="preserve">March 31, 2016, the total </w:t>
      </w:r>
      <w:r w:rsidR="002C5586">
        <w:rPr>
          <w:spacing w:val="-2"/>
          <w:kern w:val="22"/>
        </w:rPr>
        <w:t xml:space="preserve">Indian </w:t>
      </w:r>
      <w:r w:rsidR="009B21DF" w:rsidRPr="00E92F02">
        <w:rPr>
          <w:spacing w:val="-2"/>
          <w:kern w:val="22"/>
        </w:rPr>
        <w:t xml:space="preserve">currency in circulation amounted to </w:t>
      </w:r>
      <w:r w:rsidR="006C5EE7" w:rsidRPr="006A0453">
        <w:rPr>
          <w:rFonts w:ascii="Arial" w:hAnsi="Arial"/>
          <w:spacing w:val="-2"/>
          <w:kern w:val="22"/>
          <w:sz w:val="20"/>
        </w:rPr>
        <w:t>₹</w:t>
      </w:r>
      <w:r w:rsidR="009B21DF" w:rsidRPr="00E92F02">
        <w:rPr>
          <w:spacing w:val="-2"/>
          <w:kern w:val="22"/>
        </w:rPr>
        <w:t>16,415 billion</w:t>
      </w:r>
      <w:r w:rsidR="009B21DF" w:rsidRPr="00B615FE">
        <w:rPr>
          <w:spacing w:val="-2"/>
          <w:kern w:val="22"/>
        </w:rPr>
        <w:t>,</w:t>
      </w:r>
      <w:r w:rsidR="009B21DF" w:rsidRPr="00E92F02">
        <w:rPr>
          <w:spacing w:val="-2"/>
          <w:kern w:val="22"/>
        </w:rPr>
        <w:t xml:space="preserve"> out of which </w:t>
      </w:r>
      <w:r w:rsidR="002C5586">
        <w:rPr>
          <w:spacing w:val="-2"/>
          <w:kern w:val="22"/>
        </w:rPr>
        <w:t xml:space="preserve">38.6 per cent were </w:t>
      </w:r>
      <w:r w:rsidR="006C5EE7" w:rsidRPr="006C5EE7">
        <w:rPr>
          <w:rFonts w:ascii="Arial" w:hAnsi="Arial" w:cs="Tahoma"/>
          <w:spacing w:val="-2"/>
          <w:kern w:val="22"/>
          <w:sz w:val="20"/>
        </w:rPr>
        <w:t>₹</w:t>
      </w:r>
      <w:r w:rsidR="009B21DF" w:rsidRPr="00E92F02">
        <w:rPr>
          <w:spacing w:val="-2"/>
          <w:kern w:val="22"/>
        </w:rPr>
        <w:t xml:space="preserve">1,000 </w:t>
      </w:r>
      <w:r w:rsidR="002C5586">
        <w:rPr>
          <w:spacing w:val="-2"/>
          <w:kern w:val="22"/>
        </w:rPr>
        <w:t xml:space="preserve">notes </w:t>
      </w:r>
      <w:r w:rsidR="002C5586" w:rsidRPr="00B615FE">
        <w:rPr>
          <w:spacing w:val="-2"/>
          <w:kern w:val="22"/>
        </w:rPr>
        <w:t>(</w:t>
      </w:r>
      <w:r w:rsidR="002C5586" w:rsidRPr="006C5EE7">
        <w:rPr>
          <w:rFonts w:ascii="Arial" w:hAnsi="Arial" w:cs="Tahoma"/>
          <w:spacing w:val="-2"/>
          <w:kern w:val="22"/>
          <w:sz w:val="20"/>
        </w:rPr>
        <w:t>₹</w:t>
      </w:r>
      <w:r w:rsidR="002C5586" w:rsidRPr="00E92F02">
        <w:rPr>
          <w:spacing w:val="-2"/>
          <w:kern w:val="22"/>
        </w:rPr>
        <w:t xml:space="preserve">6,326 billion) and 47.8 </w:t>
      </w:r>
      <w:r w:rsidR="002C5586">
        <w:rPr>
          <w:spacing w:val="-2"/>
          <w:kern w:val="22"/>
        </w:rPr>
        <w:t xml:space="preserve">per cent were </w:t>
      </w:r>
      <w:r w:rsidR="006C5EE7" w:rsidRPr="006C5EE7">
        <w:rPr>
          <w:rFonts w:ascii="Arial" w:hAnsi="Arial" w:cs="Tahoma"/>
          <w:spacing w:val="-2"/>
          <w:kern w:val="22"/>
          <w:sz w:val="20"/>
        </w:rPr>
        <w:t>₹</w:t>
      </w:r>
      <w:r w:rsidR="009B21DF" w:rsidRPr="00B615FE">
        <w:rPr>
          <w:spacing w:val="-2"/>
          <w:kern w:val="22"/>
        </w:rPr>
        <w:t xml:space="preserve">500 </w:t>
      </w:r>
      <w:r w:rsidR="002C5586">
        <w:rPr>
          <w:spacing w:val="-2"/>
          <w:kern w:val="22"/>
        </w:rPr>
        <w:t>notes</w:t>
      </w:r>
      <w:r w:rsidR="002C5586" w:rsidRPr="00B615FE">
        <w:rPr>
          <w:spacing w:val="-2"/>
          <w:kern w:val="22"/>
        </w:rPr>
        <w:t xml:space="preserve"> </w:t>
      </w:r>
      <w:r w:rsidR="009B21DF" w:rsidRPr="00B615FE">
        <w:rPr>
          <w:spacing w:val="-2"/>
          <w:kern w:val="22"/>
        </w:rPr>
        <w:t>(</w:t>
      </w:r>
      <w:r w:rsidR="006C5EE7" w:rsidRPr="006C5EE7">
        <w:rPr>
          <w:rFonts w:ascii="Arial" w:hAnsi="Arial" w:cs="Tahoma"/>
          <w:spacing w:val="-2"/>
          <w:kern w:val="22"/>
          <w:sz w:val="20"/>
        </w:rPr>
        <w:t>₹</w:t>
      </w:r>
      <w:r w:rsidR="009B21DF" w:rsidRPr="00E92F02">
        <w:rPr>
          <w:spacing w:val="-2"/>
          <w:kern w:val="22"/>
        </w:rPr>
        <w:t>7,854 billion</w:t>
      </w:r>
      <w:r w:rsidR="009B21DF" w:rsidRPr="00B615FE">
        <w:rPr>
          <w:spacing w:val="-2"/>
          <w:kern w:val="22"/>
        </w:rPr>
        <w:t>).</w:t>
      </w:r>
      <w:r w:rsidR="009B21DF" w:rsidRPr="006A0453">
        <w:rPr>
          <w:rStyle w:val="EndnoteReference"/>
        </w:rPr>
        <w:endnoteReference w:id="5"/>
      </w:r>
      <w:r w:rsidR="009B21DF" w:rsidRPr="00E92F02">
        <w:rPr>
          <w:spacing w:val="-2"/>
          <w:kern w:val="22"/>
        </w:rPr>
        <w:t xml:space="preserve"> Together, the high-value</w:t>
      </w:r>
      <w:r w:rsidR="009B21DF" w:rsidRPr="00B615FE">
        <w:rPr>
          <w:spacing w:val="-2"/>
          <w:kern w:val="22"/>
        </w:rPr>
        <w:t xml:space="preserve"> denomination</w:t>
      </w:r>
      <w:r w:rsidR="00DA58B8">
        <w:rPr>
          <w:spacing w:val="-2"/>
          <w:kern w:val="22"/>
        </w:rPr>
        <w:t>s</w:t>
      </w:r>
      <w:r w:rsidR="009B21DF" w:rsidRPr="00E92F02">
        <w:rPr>
          <w:spacing w:val="-2"/>
          <w:kern w:val="22"/>
        </w:rPr>
        <w:t xml:space="preserve"> accounted for 86 </w:t>
      </w:r>
      <w:r w:rsidR="009B21DF" w:rsidRPr="00B615FE">
        <w:rPr>
          <w:spacing w:val="-2"/>
          <w:kern w:val="22"/>
        </w:rPr>
        <w:t>per</w:t>
      </w:r>
      <w:r w:rsidR="00DA58B8">
        <w:rPr>
          <w:spacing w:val="-2"/>
          <w:kern w:val="22"/>
        </w:rPr>
        <w:t xml:space="preserve"> </w:t>
      </w:r>
      <w:r w:rsidR="009B21DF" w:rsidRPr="00B615FE">
        <w:rPr>
          <w:spacing w:val="-2"/>
          <w:kern w:val="22"/>
        </w:rPr>
        <w:t>cent</w:t>
      </w:r>
      <w:r w:rsidR="009B21DF" w:rsidRPr="00E92F02">
        <w:rPr>
          <w:spacing w:val="-2"/>
          <w:kern w:val="22"/>
        </w:rPr>
        <w:t xml:space="preserve"> of the value of the notes in circulation. In effect, India pulled 86 </w:t>
      </w:r>
      <w:r w:rsidR="009B21DF" w:rsidRPr="00B615FE">
        <w:rPr>
          <w:spacing w:val="-2"/>
          <w:kern w:val="22"/>
        </w:rPr>
        <w:t>per</w:t>
      </w:r>
      <w:r w:rsidR="00DA58B8">
        <w:rPr>
          <w:spacing w:val="-2"/>
          <w:kern w:val="22"/>
        </w:rPr>
        <w:t xml:space="preserve"> </w:t>
      </w:r>
      <w:r w:rsidR="009B21DF" w:rsidRPr="00B615FE">
        <w:rPr>
          <w:spacing w:val="-2"/>
          <w:kern w:val="22"/>
        </w:rPr>
        <w:t>cent</w:t>
      </w:r>
      <w:r w:rsidR="009B21DF" w:rsidRPr="00E92F02">
        <w:rPr>
          <w:spacing w:val="-2"/>
          <w:kern w:val="22"/>
        </w:rPr>
        <w:t xml:space="preserve"> of</w:t>
      </w:r>
      <w:r w:rsidR="009B21DF" w:rsidRPr="00B615FE">
        <w:rPr>
          <w:spacing w:val="-2"/>
          <w:kern w:val="22"/>
        </w:rPr>
        <w:t xml:space="preserve"> </w:t>
      </w:r>
      <w:r w:rsidR="00DA58B8">
        <w:rPr>
          <w:spacing w:val="-2"/>
          <w:kern w:val="22"/>
        </w:rPr>
        <w:t>its</w:t>
      </w:r>
      <w:r w:rsidR="00DA58B8" w:rsidRPr="00E92F02">
        <w:rPr>
          <w:spacing w:val="-2"/>
          <w:kern w:val="22"/>
        </w:rPr>
        <w:t xml:space="preserve"> </w:t>
      </w:r>
      <w:r w:rsidR="009B21DF" w:rsidRPr="00E92F02">
        <w:rPr>
          <w:spacing w:val="-2"/>
          <w:kern w:val="22"/>
        </w:rPr>
        <w:t xml:space="preserve">cash out of circulation in an economy that was 95 </w:t>
      </w:r>
      <w:r w:rsidR="009B21DF" w:rsidRPr="00B615FE">
        <w:rPr>
          <w:spacing w:val="-2"/>
          <w:kern w:val="22"/>
        </w:rPr>
        <w:t>per</w:t>
      </w:r>
      <w:r w:rsidR="00DA58B8">
        <w:rPr>
          <w:spacing w:val="-2"/>
          <w:kern w:val="22"/>
        </w:rPr>
        <w:t xml:space="preserve"> </w:t>
      </w:r>
      <w:r w:rsidR="009B21DF" w:rsidRPr="00B615FE">
        <w:rPr>
          <w:spacing w:val="-2"/>
          <w:kern w:val="22"/>
        </w:rPr>
        <w:t>cent</w:t>
      </w:r>
      <w:r w:rsidR="009B21DF" w:rsidRPr="00E92F02">
        <w:rPr>
          <w:spacing w:val="-2"/>
          <w:kern w:val="22"/>
        </w:rPr>
        <w:t xml:space="preserve"> cash-reliant.</w:t>
      </w:r>
      <w:r w:rsidR="009B21DF" w:rsidRPr="006A0453">
        <w:rPr>
          <w:rStyle w:val="EndnoteReference"/>
        </w:rPr>
        <w:endnoteReference w:id="6"/>
      </w:r>
      <w:r w:rsidR="009B21DF" w:rsidRPr="00E92F02">
        <w:rPr>
          <w:spacing w:val="-2"/>
          <w:kern w:val="22"/>
        </w:rPr>
        <w:t xml:space="preserve"> </w:t>
      </w:r>
    </w:p>
    <w:p w14:paraId="0A178163" w14:textId="77777777" w:rsidR="00DA58B8" w:rsidRDefault="00DA58B8" w:rsidP="009B21DF">
      <w:pPr>
        <w:pStyle w:val="BodyTextMain"/>
        <w:rPr>
          <w:spacing w:val="-2"/>
          <w:kern w:val="22"/>
        </w:rPr>
      </w:pPr>
    </w:p>
    <w:p w14:paraId="2220844B" w14:textId="6886F134" w:rsidR="004239CF" w:rsidRPr="006A0453" w:rsidRDefault="009B21DF" w:rsidP="009B21DF">
      <w:pPr>
        <w:pStyle w:val="BodyTextMain"/>
        <w:rPr>
          <w:spacing w:val="-2"/>
          <w:kern w:val="22"/>
        </w:rPr>
      </w:pPr>
      <w:r w:rsidRPr="00E92F02">
        <w:rPr>
          <w:spacing w:val="-2"/>
          <w:kern w:val="22"/>
        </w:rPr>
        <w:t xml:space="preserve">New currency notes of </w:t>
      </w:r>
      <w:r w:rsidR="006C5EE7" w:rsidRPr="006A0453">
        <w:rPr>
          <w:rFonts w:ascii="Arial" w:hAnsi="Arial"/>
          <w:spacing w:val="-2"/>
          <w:kern w:val="22"/>
          <w:sz w:val="20"/>
        </w:rPr>
        <w:t>₹</w:t>
      </w:r>
      <w:r w:rsidRPr="00E92F02">
        <w:rPr>
          <w:spacing w:val="-2"/>
          <w:kern w:val="22"/>
        </w:rPr>
        <w:t xml:space="preserve">500 and </w:t>
      </w:r>
      <w:r w:rsidR="006C5EE7" w:rsidRPr="006A0453">
        <w:rPr>
          <w:rFonts w:ascii="Arial" w:hAnsi="Arial"/>
          <w:spacing w:val="-2"/>
          <w:kern w:val="22"/>
          <w:sz w:val="20"/>
        </w:rPr>
        <w:t>₹</w:t>
      </w:r>
      <w:r w:rsidRPr="00E92F02">
        <w:rPr>
          <w:spacing w:val="-2"/>
          <w:kern w:val="22"/>
        </w:rPr>
        <w:t>2,000 were introduced,</w:t>
      </w:r>
      <w:r w:rsidRPr="00B615FE">
        <w:rPr>
          <w:spacing w:val="-2"/>
          <w:kern w:val="22"/>
        </w:rPr>
        <w:t xml:space="preserve"> and the old Indian currency notes had to be returned to the banks by December 30, 2016.</w:t>
      </w:r>
      <w:r w:rsidRPr="006A0453">
        <w:rPr>
          <w:rStyle w:val="EndnoteReference"/>
        </w:rPr>
        <w:endnoteReference w:id="7"/>
      </w:r>
      <w:r w:rsidRPr="00E92F02">
        <w:rPr>
          <w:spacing w:val="-2"/>
          <w:kern w:val="22"/>
        </w:rPr>
        <w:t xml:space="preserve"> From time to time, banks were notified</w:t>
      </w:r>
      <w:r w:rsidRPr="00B615FE">
        <w:rPr>
          <w:spacing w:val="-2"/>
          <w:kern w:val="22"/>
        </w:rPr>
        <w:t xml:space="preserve"> </w:t>
      </w:r>
      <w:r w:rsidR="004239CF">
        <w:rPr>
          <w:spacing w:val="-2"/>
          <w:kern w:val="22"/>
        </w:rPr>
        <w:t>of</w:t>
      </w:r>
      <w:r w:rsidRPr="00E92F02">
        <w:rPr>
          <w:spacing w:val="-2"/>
          <w:kern w:val="22"/>
        </w:rPr>
        <w:t xml:space="preserve"> strict exchange limits and weekly withdrawal limits. The country had 200,000 </w:t>
      </w:r>
      <w:r w:rsidR="00A96F44">
        <w:rPr>
          <w:spacing w:val="-2"/>
          <w:kern w:val="22"/>
        </w:rPr>
        <w:t>automated teller machines (</w:t>
      </w:r>
      <w:r w:rsidRPr="00E92F02">
        <w:rPr>
          <w:spacing w:val="-2"/>
          <w:kern w:val="22"/>
        </w:rPr>
        <w:t>ATMs</w:t>
      </w:r>
      <w:r w:rsidR="00A96F44">
        <w:rPr>
          <w:spacing w:val="-2"/>
          <w:kern w:val="22"/>
        </w:rPr>
        <w:t>),</w:t>
      </w:r>
      <w:r w:rsidRPr="00E92F02">
        <w:rPr>
          <w:spacing w:val="-2"/>
          <w:kern w:val="22"/>
        </w:rPr>
        <w:t xml:space="preserve"> which were not fully calibrated to dispense the new </w:t>
      </w:r>
      <w:r w:rsidR="006C5EE7" w:rsidRPr="006A0453">
        <w:rPr>
          <w:rFonts w:ascii="Arial" w:hAnsi="Arial"/>
          <w:spacing w:val="-2"/>
          <w:kern w:val="22"/>
          <w:sz w:val="20"/>
        </w:rPr>
        <w:t>₹</w:t>
      </w:r>
      <w:r w:rsidRPr="00E92F02">
        <w:rPr>
          <w:spacing w:val="-2"/>
          <w:kern w:val="22"/>
        </w:rPr>
        <w:t xml:space="preserve">500 and </w:t>
      </w:r>
      <w:r w:rsidR="006C5EE7" w:rsidRPr="006A0453">
        <w:rPr>
          <w:rFonts w:ascii="Arial" w:hAnsi="Arial"/>
          <w:spacing w:val="-2"/>
          <w:kern w:val="22"/>
          <w:sz w:val="20"/>
        </w:rPr>
        <w:t>₹</w:t>
      </w:r>
      <w:r w:rsidRPr="00E92F02">
        <w:rPr>
          <w:spacing w:val="-2"/>
          <w:kern w:val="22"/>
        </w:rPr>
        <w:t>2,000 notes</w:t>
      </w:r>
      <w:r w:rsidR="004239CF">
        <w:rPr>
          <w:spacing w:val="-2"/>
          <w:kern w:val="22"/>
        </w:rPr>
        <w:t>.</w:t>
      </w:r>
      <w:r w:rsidR="00F504F9" w:rsidRPr="006A0453">
        <w:rPr>
          <w:rStyle w:val="EndnoteReference"/>
        </w:rPr>
        <w:endnoteReference w:id="8"/>
      </w:r>
      <w:r w:rsidR="004239CF">
        <w:rPr>
          <w:spacing w:val="-2"/>
          <w:kern w:val="22"/>
        </w:rPr>
        <w:t xml:space="preserve"> As well</w:t>
      </w:r>
      <w:r w:rsidRPr="00B615FE">
        <w:rPr>
          <w:spacing w:val="-2"/>
          <w:kern w:val="22"/>
        </w:rPr>
        <w:t>,</w:t>
      </w:r>
      <w:r w:rsidRPr="00E92F02">
        <w:rPr>
          <w:spacing w:val="-2"/>
          <w:kern w:val="22"/>
        </w:rPr>
        <w:t xml:space="preserve"> the banks did not have sufficient newly printed currency to redeem the cancel</w:t>
      </w:r>
      <w:r w:rsidR="004239CF">
        <w:rPr>
          <w:noProof/>
          <w:spacing w:val="-2"/>
          <w:kern w:val="22"/>
        </w:rPr>
        <w:t>l</w:t>
      </w:r>
      <w:r w:rsidRPr="00E92F02">
        <w:rPr>
          <w:spacing w:val="-2"/>
          <w:kern w:val="22"/>
        </w:rPr>
        <w:t xml:space="preserve">ed </w:t>
      </w:r>
      <w:r w:rsidRPr="00B615FE">
        <w:rPr>
          <w:spacing w:val="-2"/>
          <w:kern w:val="22"/>
        </w:rPr>
        <w:t>notes; therefore, the ATMs and banks ran out of cash.</w:t>
      </w:r>
      <w:r w:rsidRPr="006A0453">
        <w:rPr>
          <w:spacing w:val="-2"/>
          <w:kern w:val="22"/>
        </w:rPr>
        <w:t xml:space="preserve"> </w:t>
      </w:r>
    </w:p>
    <w:p w14:paraId="4BE622D1" w14:textId="77777777" w:rsidR="004239CF" w:rsidRPr="006A0453" w:rsidRDefault="004239CF" w:rsidP="009B21DF">
      <w:pPr>
        <w:pStyle w:val="BodyTextMain"/>
        <w:rPr>
          <w:spacing w:val="-2"/>
          <w:kern w:val="22"/>
        </w:rPr>
      </w:pPr>
    </w:p>
    <w:p w14:paraId="1FB964EA" w14:textId="0F991F6B" w:rsidR="009B21DF" w:rsidRPr="00B615FE" w:rsidRDefault="009B21DF" w:rsidP="009B21DF">
      <w:pPr>
        <w:pStyle w:val="BodyTextMain"/>
        <w:rPr>
          <w:color w:val="3D4239"/>
          <w:spacing w:val="-2"/>
          <w:kern w:val="22"/>
          <w:shd w:val="clear" w:color="auto" w:fill="FFFFFF"/>
        </w:rPr>
      </w:pPr>
      <w:r w:rsidRPr="00B615FE">
        <w:rPr>
          <w:spacing w:val="-2"/>
          <w:kern w:val="22"/>
        </w:rPr>
        <w:t xml:space="preserve">The decision to </w:t>
      </w:r>
      <w:r w:rsidRPr="00B615FE">
        <w:rPr>
          <w:noProof/>
          <w:spacing w:val="-2"/>
          <w:kern w:val="22"/>
        </w:rPr>
        <w:t>demonetize</w:t>
      </w:r>
      <w:r w:rsidRPr="00B615FE">
        <w:rPr>
          <w:spacing w:val="-2"/>
          <w:kern w:val="22"/>
        </w:rPr>
        <w:t xml:space="preserve"> put the people of India in </w:t>
      </w:r>
      <w:r w:rsidRPr="00B615FE">
        <w:rPr>
          <w:noProof/>
          <w:spacing w:val="-2"/>
          <w:kern w:val="22"/>
        </w:rPr>
        <w:t>limbo</w:t>
      </w:r>
      <w:r w:rsidR="00E643A4">
        <w:rPr>
          <w:noProof/>
          <w:spacing w:val="-2"/>
          <w:kern w:val="22"/>
        </w:rPr>
        <w:t>:</w:t>
      </w:r>
      <w:r w:rsidRPr="00B615FE">
        <w:rPr>
          <w:spacing w:val="-2"/>
          <w:kern w:val="22"/>
        </w:rPr>
        <w:t xml:space="preserve"> they faced a sudden cash shortage </w:t>
      </w:r>
      <w:r w:rsidR="00E643A4">
        <w:rPr>
          <w:spacing w:val="-2"/>
          <w:kern w:val="22"/>
        </w:rPr>
        <w:t xml:space="preserve">in an economy that required they have cash </w:t>
      </w:r>
      <w:r w:rsidRPr="00B615FE">
        <w:rPr>
          <w:spacing w:val="-2"/>
          <w:kern w:val="22"/>
        </w:rPr>
        <w:t xml:space="preserve">to meet their daily needs. To fill the vacuum </w:t>
      </w:r>
      <w:r w:rsidR="00E643A4">
        <w:rPr>
          <w:spacing w:val="-2"/>
          <w:kern w:val="22"/>
        </w:rPr>
        <w:t>created</w:t>
      </w:r>
      <w:r w:rsidRPr="00B615FE">
        <w:rPr>
          <w:spacing w:val="-2"/>
          <w:kern w:val="22"/>
        </w:rPr>
        <w:t xml:space="preserve"> by the </w:t>
      </w:r>
      <w:r w:rsidRPr="00B615FE">
        <w:rPr>
          <w:noProof/>
          <w:spacing w:val="-2"/>
          <w:kern w:val="22"/>
        </w:rPr>
        <w:t>lack</w:t>
      </w:r>
      <w:r w:rsidRPr="00B615FE">
        <w:rPr>
          <w:spacing w:val="-2"/>
          <w:kern w:val="22"/>
        </w:rPr>
        <w:t xml:space="preserve"> of cash in the economy, millions of citizens were pushed into an ever</w:t>
      </w:r>
      <w:r w:rsidR="00E643A4">
        <w:rPr>
          <w:spacing w:val="-2"/>
          <w:kern w:val="22"/>
        </w:rPr>
        <w:t>-</w:t>
      </w:r>
      <w:r w:rsidRPr="00B615FE">
        <w:rPr>
          <w:spacing w:val="-2"/>
          <w:kern w:val="22"/>
        </w:rPr>
        <w:t>evolving digital economic grid.</w:t>
      </w:r>
      <w:r w:rsidR="006C5EE7">
        <w:rPr>
          <w:spacing w:val="-2"/>
          <w:kern w:val="22"/>
        </w:rPr>
        <w:t xml:space="preserve"> </w:t>
      </w:r>
    </w:p>
    <w:p w14:paraId="53729500" w14:textId="77777777" w:rsidR="009B21DF" w:rsidRPr="00B615FE" w:rsidRDefault="009B21DF" w:rsidP="009B21DF">
      <w:pPr>
        <w:pStyle w:val="BodyTextMain"/>
      </w:pPr>
    </w:p>
    <w:p w14:paraId="266134E2" w14:textId="1BE03B9F" w:rsidR="009B21DF" w:rsidRPr="00E92F02" w:rsidRDefault="009B21DF" w:rsidP="009B21DF">
      <w:pPr>
        <w:pStyle w:val="BodyTextMain"/>
      </w:pPr>
      <w:r w:rsidRPr="00E92F02">
        <w:t xml:space="preserve">In May 2016, Reliance Jio Infocomm Limited </w:t>
      </w:r>
      <w:r w:rsidR="00710853">
        <w:t xml:space="preserve">(Jio) </w:t>
      </w:r>
      <w:r w:rsidRPr="00E92F02">
        <w:t>launched JioMoney</w:t>
      </w:r>
      <w:r w:rsidR="00FC41F1">
        <w:t>, a mobile wallet (m-wallet) service,</w:t>
      </w:r>
      <w:r w:rsidR="00FC41F1" w:rsidRPr="00E92F02">
        <w:t xml:space="preserve"> </w:t>
      </w:r>
      <w:r w:rsidRPr="009B1D76">
        <w:t xml:space="preserve">along with </w:t>
      </w:r>
      <w:r w:rsidR="0086687C" w:rsidRPr="009B1D76">
        <w:t>fourth generation (</w:t>
      </w:r>
      <w:r w:rsidRPr="009B1D76">
        <w:t>4G</w:t>
      </w:r>
      <w:r w:rsidR="0086687C" w:rsidRPr="009B1D76">
        <w:t>)</w:t>
      </w:r>
      <w:r w:rsidRPr="009B1D76">
        <w:t xml:space="preserve"> </w:t>
      </w:r>
      <w:r w:rsidRPr="009B1D76">
        <w:rPr>
          <w:color w:val="000000"/>
        </w:rPr>
        <w:t>voice and data services</w:t>
      </w:r>
      <w:r w:rsidRPr="009B1D76">
        <w:t xml:space="preserve"> and </w:t>
      </w:r>
      <w:r w:rsidRPr="009B1D76">
        <w:rPr>
          <w:color w:val="000000"/>
        </w:rPr>
        <w:t>4G smartphones</w:t>
      </w:r>
      <w:r w:rsidRPr="009B1D76">
        <w:t xml:space="preserve"> </w:t>
      </w:r>
      <w:r w:rsidR="00E643A4" w:rsidRPr="009B1D76">
        <w:t xml:space="preserve">manufactured </w:t>
      </w:r>
      <w:r w:rsidRPr="009B1D76">
        <w:t>by Reliance LYF.</w:t>
      </w:r>
      <w:r w:rsidR="0086687C" w:rsidRPr="009B1D76">
        <w:rPr>
          <w:rStyle w:val="EndnoteReference"/>
        </w:rPr>
        <w:endnoteReference w:id="9"/>
      </w:r>
      <w:r w:rsidRPr="009B1D76">
        <w:t xml:space="preserve"> With JioMoney, users could make utility bill</w:t>
      </w:r>
      <w:r w:rsidR="00DD6BE2" w:rsidRPr="009B1D76">
        <w:t>, insurance,</w:t>
      </w:r>
      <w:r w:rsidRPr="009B1D76">
        <w:t xml:space="preserve"> </w:t>
      </w:r>
      <w:r w:rsidR="00DD6BE2" w:rsidRPr="009B1D76">
        <w:t xml:space="preserve">and </w:t>
      </w:r>
      <w:r w:rsidRPr="009B1D76">
        <w:t>offline payments</w:t>
      </w:r>
      <w:r w:rsidR="00DD6BE2" w:rsidRPr="009B1D76">
        <w:t>;</w:t>
      </w:r>
      <w:r w:rsidRPr="009B1D76">
        <w:t xml:space="preserve"> conduct e-retail transactions</w:t>
      </w:r>
      <w:r w:rsidR="00DD6BE2" w:rsidRPr="009B1D76">
        <w:t xml:space="preserve">; and </w:t>
      </w:r>
      <w:r w:rsidRPr="009B1D76">
        <w:t xml:space="preserve">send and receive money. JioMoney was a new entrant in the </w:t>
      </w:r>
      <w:r w:rsidR="00DD6BE2" w:rsidRPr="009B1D76">
        <w:t>m</w:t>
      </w:r>
      <w:r w:rsidRPr="009B1D76">
        <w:t>-</w:t>
      </w:r>
      <w:r w:rsidR="00DD6BE2" w:rsidRPr="009B1D76">
        <w:t>w</w:t>
      </w:r>
      <w:r w:rsidRPr="009B1D76">
        <w:t>allet industry</w:t>
      </w:r>
      <w:r w:rsidR="00DD6BE2" w:rsidRPr="009B1D76">
        <w:t>,</w:t>
      </w:r>
      <w:r w:rsidRPr="009B1D76">
        <w:t xml:space="preserve"> thus far dominated by established </w:t>
      </w:r>
      <w:r w:rsidR="00DD6BE2" w:rsidRPr="009B1D76">
        <w:t xml:space="preserve">services such as </w:t>
      </w:r>
      <w:r w:rsidRPr="009B1D76">
        <w:t>Mobi</w:t>
      </w:r>
      <w:r w:rsidR="00DD6BE2" w:rsidRPr="009B1D76">
        <w:t>K</w:t>
      </w:r>
      <w:r w:rsidRPr="009B1D76">
        <w:t xml:space="preserve">wik, Paytm, Oxigen, and many others. </w:t>
      </w:r>
      <w:r w:rsidR="00DE2A85" w:rsidRPr="009B1D76">
        <w:t>Could JioMoney</w:t>
      </w:r>
      <w:r w:rsidR="00DE2A85" w:rsidRPr="00B615FE">
        <w:t xml:space="preserve"> successfully compete with the</w:t>
      </w:r>
      <w:r w:rsidR="00DE2A85">
        <w:t>se</w:t>
      </w:r>
      <w:r w:rsidR="00DE2A85" w:rsidRPr="00B615FE">
        <w:t xml:space="preserve"> existing competitors? </w:t>
      </w:r>
      <w:r w:rsidR="00DE2A85">
        <w:t>C</w:t>
      </w:r>
      <w:r w:rsidRPr="00B615FE">
        <w:t xml:space="preserve">ould JioMoney </w:t>
      </w:r>
      <w:r w:rsidRPr="00E92F02">
        <w:t xml:space="preserve">use demonization to its advantage and leverage a network backed by 4G </w:t>
      </w:r>
      <w:r w:rsidR="0086687C">
        <w:t>wireless</w:t>
      </w:r>
      <w:r w:rsidRPr="00E92F02">
        <w:t xml:space="preserve"> services</w:t>
      </w:r>
      <w:r w:rsidR="001739DA">
        <w:t>,</w:t>
      </w:r>
      <w:r w:rsidR="00DE2A85">
        <w:t xml:space="preserve"> or w</w:t>
      </w:r>
      <w:r w:rsidRPr="00B615FE">
        <w:t xml:space="preserve">as </w:t>
      </w:r>
      <w:r w:rsidR="00DE2A85">
        <w:t>demonetization</w:t>
      </w:r>
      <w:r w:rsidR="00DE2A85" w:rsidRPr="00E92F02">
        <w:t xml:space="preserve"> </w:t>
      </w:r>
      <w:r w:rsidRPr="00E92F02">
        <w:t xml:space="preserve">a </w:t>
      </w:r>
      <w:r w:rsidRPr="00B615FE">
        <w:rPr>
          <w:noProof/>
        </w:rPr>
        <w:t>one</w:t>
      </w:r>
      <w:r w:rsidR="00DE2A85">
        <w:rPr>
          <w:noProof/>
        </w:rPr>
        <w:t>-</w:t>
      </w:r>
      <w:r w:rsidRPr="00B615FE">
        <w:rPr>
          <w:noProof/>
        </w:rPr>
        <w:t>time</w:t>
      </w:r>
      <w:r w:rsidRPr="00E92F02">
        <w:t xml:space="preserve"> opportunity for the company to scale up its business?</w:t>
      </w:r>
    </w:p>
    <w:p w14:paraId="6DCAF119" w14:textId="77777777" w:rsidR="009B21DF" w:rsidRPr="00B615FE" w:rsidRDefault="009B21DF" w:rsidP="009B21DF">
      <w:pPr>
        <w:pStyle w:val="BodyTextMain"/>
      </w:pPr>
    </w:p>
    <w:p w14:paraId="1D902C98" w14:textId="77777777" w:rsidR="009B21DF" w:rsidRPr="00B615FE" w:rsidRDefault="009B21DF" w:rsidP="009B21DF">
      <w:pPr>
        <w:pStyle w:val="BodyTextMain"/>
      </w:pPr>
    </w:p>
    <w:p w14:paraId="7A368DB3" w14:textId="11E054C6" w:rsidR="009B21DF" w:rsidRPr="00B615FE" w:rsidRDefault="00703BB7" w:rsidP="006C5EE7">
      <w:pPr>
        <w:pStyle w:val="Casehead1"/>
        <w:keepNext/>
        <w:outlineLvl w:val="0"/>
      </w:pPr>
      <w:r w:rsidRPr="00E92F02">
        <w:lastRenderedPageBreak/>
        <w:t>Reliance Jio Infocomm Limited</w:t>
      </w:r>
      <w:r>
        <w:t xml:space="preserve">: </w:t>
      </w:r>
      <w:r w:rsidR="009B21DF" w:rsidRPr="00B615FE">
        <w:t>Company Background</w:t>
      </w:r>
    </w:p>
    <w:p w14:paraId="3F0B74E6" w14:textId="77777777" w:rsidR="009B21DF" w:rsidRPr="00B615FE" w:rsidRDefault="009B21DF" w:rsidP="00771758">
      <w:pPr>
        <w:pStyle w:val="BodyTextMain"/>
        <w:keepNext/>
      </w:pPr>
    </w:p>
    <w:p w14:paraId="19E716CC" w14:textId="57DB9720" w:rsidR="009B21DF" w:rsidRPr="00E92F02" w:rsidRDefault="009B21DF" w:rsidP="006A0453">
      <w:pPr>
        <w:pStyle w:val="BodyTextMain"/>
      </w:pPr>
      <w:r w:rsidRPr="00B615FE">
        <w:rPr>
          <w:noProof/>
        </w:rPr>
        <w:t>Jio</w:t>
      </w:r>
      <w:r w:rsidR="00DE2A85">
        <w:t xml:space="preserve"> was </w:t>
      </w:r>
      <w:r w:rsidRPr="00B615FE">
        <w:t xml:space="preserve">incorporated in 2007 </w:t>
      </w:r>
      <w:r w:rsidR="00B832E7">
        <w:t xml:space="preserve">as </w:t>
      </w:r>
      <w:r w:rsidR="00B832E7" w:rsidRPr="00E92F02">
        <w:t xml:space="preserve">Infotel Broadband Services Limited, </w:t>
      </w:r>
      <w:r w:rsidRPr="00B615FE">
        <w:t xml:space="preserve">a subsidiary of Reliance </w:t>
      </w:r>
      <w:r w:rsidR="00DE2A85" w:rsidRPr="00B615FE">
        <w:t>Industries</w:t>
      </w:r>
      <w:r w:rsidR="00DE2A85">
        <w:t xml:space="preserve"> Limited.</w:t>
      </w:r>
      <w:r w:rsidRPr="00B615FE">
        <w:t xml:space="preserve"> </w:t>
      </w:r>
      <w:r w:rsidR="00B832E7">
        <w:t>Headquartered</w:t>
      </w:r>
      <w:r w:rsidR="00B832E7" w:rsidRPr="00E92F02">
        <w:t xml:space="preserve"> in Mumbai, India, </w:t>
      </w:r>
      <w:r w:rsidR="00B832E7">
        <w:t xml:space="preserve">Jio adopted its current company name </w:t>
      </w:r>
      <w:r w:rsidR="00B832E7" w:rsidRPr="00E92F02">
        <w:t xml:space="preserve">in January 2013. </w:t>
      </w:r>
    </w:p>
    <w:p w14:paraId="516252DF" w14:textId="77777777" w:rsidR="009B21DF" w:rsidRPr="00B615FE" w:rsidRDefault="009B21DF" w:rsidP="009B21DF">
      <w:pPr>
        <w:pStyle w:val="BodyTextMain"/>
      </w:pPr>
    </w:p>
    <w:p w14:paraId="441208C8" w14:textId="24C22FF9" w:rsidR="009B21DF" w:rsidRPr="00E92F02" w:rsidRDefault="009B21DF" w:rsidP="009B21DF">
      <w:pPr>
        <w:pStyle w:val="BodyTextMain"/>
      </w:pPr>
      <w:r w:rsidRPr="00B615FE">
        <w:t xml:space="preserve">In August 2015, </w:t>
      </w:r>
      <w:r w:rsidRPr="00E92F02">
        <w:t xml:space="preserve">Jio </w:t>
      </w:r>
      <w:r w:rsidRPr="00B615FE">
        <w:t xml:space="preserve">received a </w:t>
      </w:r>
      <w:r w:rsidR="00A74078">
        <w:t>p</w:t>
      </w:r>
      <w:r w:rsidRPr="00B615FE">
        <w:t>ayment</w:t>
      </w:r>
      <w:r w:rsidR="00A74078">
        <w:t>s</w:t>
      </w:r>
      <w:r w:rsidRPr="00B615FE">
        <w:t xml:space="preserve"> </w:t>
      </w:r>
      <w:r w:rsidR="00A74078">
        <w:t>b</w:t>
      </w:r>
      <w:r w:rsidRPr="00B615FE">
        <w:t xml:space="preserve">ank </w:t>
      </w:r>
      <w:r w:rsidR="00A74078">
        <w:t>l</w:t>
      </w:r>
      <w:r w:rsidRPr="00B615FE">
        <w:t>icen</w:t>
      </w:r>
      <w:r w:rsidR="00A74078">
        <w:t>c</w:t>
      </w:r>
      <w:r w:rsidRPr="00B615FE">
        <w:t>e</w:t>
      </w:r>
      <w:r w:rsidRPr="00E92F02">
        <w:t xml:space="preserve"> from </w:t>
      </w:r>
      <w:r w:rsidR="00FC41F1">
        <w:t xml:space="preserve">India’s central bank, </w:t>
      </w:r>
      <w:r w:rsidRPr="00E92F02">
        <w:t>the Reserve Bank of India (RBI</w:t>
      </w:r>
      <w:r w:rsidRPr="00B615FE">
        <w:rPr>
          <w:lang w:eastAsia="en-IN"/>
        </w:rPr>
        <w:t>)</w:t>
      </w:r>
      <w:r w:rsidR="00955344">
        <w:rPr>
          <w:lang w:eastAsia="en-IN"/>
        </w:rPr>
        <w:t>.</w:t>
      </w:r>
      <w:r w:rsidR="00DF4ED9">
        <w:rPr>
          <w:rStyle w:val="EndnoteReference"/>
          <w:lang w:eastAsia="en-IN"/>
        </w:rPr>
        <w:endnoteReference w:id="10"/>
      </w:r>
      <w:r w:rsidR="00955344">
        <w:rPr>
          <w:lang w:eastAsia="en-IN"/>
        </w:rPr>
        <w:t xml:space="preserve"> The licence had been granted to “Jio Payments Bank,” a joint venture between Jio and the</w:t>
      </w:r>
      <w:r w:rsidR="00E95E71" w:rsidRPr="00E92F02">
        <w:t xml:space="preserve"> </w:t>
      </w:r>
      <w:r w:rsidRPr="00E92F02">
        <w:t>State Bank of India (SBI</w:t>
      </w:r>
      <w:r w:rsidRPr="00B615FE">
        <w:t>)</w:t>
      </w:r>
      <w:r w:rsidR="00955344">
        <w:t>,</w:t>
      </w:r>
      <w:r w:rsidRPr="00E92F02">
        <w:t xml:space="preserve"> India’s largest public sector</w:t>
      </w:r>
      <w:r w:rsidR="006C5EE7">
        <w:rPr>
          <w:lang w:eastAsia="en-IN"/>
        </w:rPr>
        <w:t xml:space="preserve"> </w:t>
      </w:r>
      <w:r w:rsidRPr="00E92F02">
        <w:t>bank</w:t>
      </w:r>
      <w:r w:rsidR="00955344">
        <w:rPr>
          <w:lang w:eastAsia="en-IN"/>
        </w:rPr>
        <w:t>.</w:t>
      </w:r>
      <w:r w:rsidR="007E3216">
        <w:rPr>
          <w:rStyle w:val="EndnoteReference"/>
          <w:lang w:eastAsia="en-IN"/>
        </w:rPr>
        <w:endnoteReference w:id="11"/>
      </w:r>
      <w:r w:rsidR="00955344">
        <w:rPr>
          <w:lang w:eastAsia="en-IN"/>
        </w:rPr>
        <w:t xml:space="preserve"> SBI had</w:t>
      </w:r>
      <w:r w:rsidR="00955344" w:rsidRPr="006A0453">
        <w:t xml:space="preserve"> </w:t>
      </w:r>
      <w:r w:rsidRPr="00E92F02">
        <w:rPr>
          <w:color w:val="000000" w:themeColor="text1"/>
        </w:rPr>
        <w:t xml:space="preserve">a network of over 13,000 branches and five </w:t>
      </w:r>
      <w:r w:rsidRPr="00B615FE">
        <w:rPr>
          <w:color w:val="000000" w:themeColor="text1"/>
        </w:rPr>
        <w:t>associate banks located in the remotest parts of India.</w:t>
      </w:r>
      <w:r w:rsidR="00050DD6" w:rsidRPr="006A0453">
        <w:rPr>
          <w:rStyle w:val="EndnoteReference"/>
        </w:rPr>
        <w:endnoteReference w:id="12"/>
      </w:r>
    </w:p>
    <w:p w14:paraId="02E7BD59" w14:textId="77777777" w:rsidR="009B21DF" w:rsidRPr="00B615FE" w:rsidRDefault="009B21DF" w:rsidP="009B21DF">
      <w:pPr>
        <w:pStyle w:val="BodyTextMain"/>
      </w:pPr>
    </w:p>
    <w:p w14:paraId="482A3AD3" w14:textId="77777777" w:rsidR="00E11E2D" w:rsidRDefault="009B21DF" w:rsidP="009B21DF">
      <w:pPr>
        <w:pStyle w:val="BodyTextMain"/>
      </w:pPr>
      <w:r w:rsidRPr="00E92F02">
        <w:t xml:space="preserve">Jio acquired </w:t>
      </w:r>
      <w:r w:rsidR="006D421C">
        <w:t xml:space="preserve">a range of telecommunications radio waves (a </w:t>
      </w:r>
      <w:r w:rsidRPr="00E92F02">
        <w:t>spectrum</w:t>
      </w:r>
      <w:r w:rsidR="006D421C">
        <w:t>)</w:t>
      </w:r>
      <w:r w:rsidRPr="00E92F02">
        <w:t xml:space="preserve"> in </w:t>
      </w:r>
      <w:r w:rsidRPr="00B615FE">
        <w:t>1800</w:t>
      </w:r>
      <w:r w:rsidR="00322819">
        <w:t xml:space="preserve"> megahertz (</w:t>
      </w:r>
      <w:r w:rsidRPr="00B615FE">
        <w:t>MHz</w:t>
      </w:r>
      <w:r w:rsidR="00322819">
        <w:t>)</w:t>
      </w:r>
      <w:r w:rsidRPr="00B615FE">
        <w:t xml:space="preserve"> </w:t>
      </w:r>
      <w:r w:rsidR="006D421C">
        <w:t>that crossed</w:t>
      </w:r>
      <w:r w:rsidR="006D421C" w:rsidRPr="00E92F02">
        <w:t xml:space="preserve"> </w:t>
      </w:r>
      <w:r w:rsidRPr="00E92F02">
        <w:t xml:space="preserve">14 </w:t>
      </w:r>
      <w:r w:rsidR="006D421C">
        <w:t>local calling zones (</w:t>
      </w:r>
      <w:r w:rsidR="006D421C" w:rsidRPr="00E92F02">
        <w:t>circles</w:t>
      </w:r>
      <w:r w:rsidR="006D421C">
        <w:t>),</w:t>
      </w:r>
      <w:r w:rsidR="006D421C" w:rsidRPr="00E92F02">
        <w:t xml:space="preserve"> and </w:t>
      </w:r>
      <w:r w:rsidR="006D421C">
        <w:t xml:space="preserve">a spectrum in </w:t>
      </w:r>
      <w:r w:rsidRPr="00B615FE">
        <w:t xml:space="preserve">2300MHz </w:t>
      </w:r>
      <w:r w:rsidRPr="00E92F02">
        <w:t>across 22 circles</w:t>
      </w:r>
      <w:r w:rsidR="006D421C">
        <w:t>.</w:t>
      </w:r>
      <w:r w:rsidR="00627D5B">
        <w:rPr>
          <w:rStyle w:val="EndnoteReference"/>
        </w:rPr>
        <w:endnoteReference w:id="13"/>
      </w:r>
      <w:r w:rsidRPr="00B615FE">
        <w:t xml:space="preserve"> </w:t>
      </w:r>
      <w:r w:rsidR="0086687C">
        <w:t>The spectrums were</w:t>
      </w:r>
      <w:r w:rsidR="0086687C" w:rsidRPr="00E92F02">
        <w:t xml:space="preserve"> </w:t>
      </w:r>
      <w:r w:rsidRPr="00E92F02">
        <w:t xml:space="preserve">capable of providing </w:t>
      </w:r>
      <w:r w:rsidR="00322819">
        <w:t>4G</w:t>
      </w:r>
      <w:r w:rsidRPr="00E92F02">
        <w:t xml:space="preserve"> wireless services to the highly underserviced Indian market. With an integrated ecosystem, Jio planned to </w:t>
      </w:r>
      <w:r w:rsidR="00F53C18">
        <w:t>use the latest technology</w:t>
      </w:r>
      <w:r w:rsidR="00F53C18" w:rsidRPr="00E92F02">
        <w:t xml:space="preserve"> </w:t>
      </w:r>
      <w:r w:rsidRPr="00E92F02">
        <w:t xml:space="preserve">to provide </w:t>
      </w:r>
      <w:r w:rsidRPr="00B615FE">
        <w:t>high-quality access to digital content, applications</w:t>
      </w:r>
      <w:r w:rsidR="008035A0">
        <w:rPr>
          <w:noProof/>
        </w:rPr>
        <w:t xml:space="preserve"> (apps)</w:t>
      </w:r>
      <w:r w:rsidRPr="00B615FE">
        <w:rPr>
          <w:noProof/>
        </w:rPr>
        <w:t>,</w:t>
      </w:r>
      <w:r w:rsidRPr="00E92F02">
        <w:t xml:space="preserve"> and services</w:t>
      </w:r>
      <w:r w:rsidR="00F53C18">
        <w:t>.</w:t>
      </w:r>
      <w:r w:rsidR="00F53C18" w:rsidRPr="006C5EE7">
        <w:rPr>
          <w:rStyle w:val="EndnoteReference"/>
        </w:rPr>
        <w:endnoteReference w:id="14"/>
      </w:r>
      <w:r w:rsidRPr="00B615FE">
        <w:t xml:space="preserve"> </w:t>
      </w:r>
      <w:r w:rsidRPr="00E92F02">
        <w:t xml:space="preserve">Jio was the only operator to deploy spectrum </w:t>
      </w:r>
      <w:r w:rsidR="006C7840" w:rsidRPr="00E92F02">
        <w:t>across India</w:t>
      </w:r>
      <w:r w:rsidR="006C7840">
        <w:t xml:space="preserve"> </w:t>
      </w:r>
      <w:r w:rsidRPr="00B615FE">
        <w:t xml:space="preserve">in </w:t>
      </w:r>
      <w:r w:rsidR="00E07719">
        <w:t>a low-power, high-range</w:t>
      </w:r>
      <w:r w:rsidRPr="00B615FE">
        <w:t xml:space="preserve"> band</w:t>
      </w:r>
      <w:r w:rsidR="006C7840" w:rsidRPr="00E92F02">
        <w:t xml:space="preserve">, which was </w:t>
      </w:r>
      <w:r w:rsidR="006C7840">
        <w:t>especially suited for devices such as industrial lighting, metering, and other hardware operating on the Internet of Things</w:t>
      </w:r>
      <w:r w:rsidRPr="00B615FE">
        <w:t>.</w:t>
      </w:r>
      <w:r w:rsidRPr="006C5EE7">
        <w:rPr>
          <w:rStyle w:val="EndnoteReference"/>
        </w:rPr>
        <w:endnoteReference w:id="15"/>
      </w:r>
      <w:r w:rsidRPr="00E92F02">
        <w:t xml:space="preserve"> </w:t>
      </w:r>
    </w:p>
    <w:p w14:paraId="30A08EFB" w14:textId="77777777" w:rsidR="00E11E2D" w:rsidRDefault="00E11E2D" w:rsidP="009B21DF">
      <w:pPr>
        <w:pStyle w:val="BodyTextMain"/>
      </w:pPr>
    </w:p>
    <w:p w14:paraId="3B5FCFB7" w14:textId="1A99FE57" w:rsidR="006C7840" w:rsidRPr="00E92F02" w:rsidRDefault="00E11E2D" w:rsidP="009B21DF">
      <w:pPr>
        <w:pStyle w:val="BodyTextMain"/>
      </w:pPr>
      <w:r>
        <w:t xml:space="preserve">In May 2016, it </w:t>
      </w:r>
      <w:r w:rsidRPr="00B615FE">
        <w:t xml:space="preserve">launched </w:t>
      </w:r>
      <w:r>
        <w:t>its</w:t>
      </w:r>
      <w:r w:rsidRPr="00B615FE">
        <w:t xml:space="preserve"> value-added service JioMoney </w:t>
      </w:r>
      <w:r>
        <w:t xml:space="preserve">when it launched </w:t>
      </w:r>
      <w:r w:rsidRPr="00B615FE">
        <w:t>its 4G LTE network.</w:t>
      </w:r>
      <w:r w:rsidRPr="006C5EE7">
        <w:rPr>
          <w:rStyle w:val="EndnoteReference"/>
        </w:rPr>
        <w:endnoteReference w:id="16"/>
      </w:r>
      <w:r>
        <w:t xml:space="preserve"> The company had yet to make a profit, but its financial position was slowly improving (see</w:t>
      </w:r>
      <w:r w:rsidRPr="00E92F02">
        <w:t xml:space="preserve"> Exhibit 1</w:t>
      </w:r>
      <w:r>
        <w:t>)</w:t>
      </w:r>
      <w:r w:rsidRPr="00B615FE">
        <w:t>.</w:t>
      </w:r>
    </w:p>
    <w:p w14:paraId="3D115D23" w14:textId="77777777" w:rsidR="006C7840" w:rsidRDefault="006C7840" w:rsidP="009B21DF">
      <w:pPr>
        <w:pStyle w:val="BodyTextMain"/>
      </w:pPr>
    </w:p>
    <w:p w14:paraId="0F57A6E6" w14:textId="51891D44" w:rsidR="009B21DF" w:rsidRPr="00B615FE" w:rsidRDefault="009B21DF" w:rsidP="009B21DF">
      <w:pPr>
        <w:pStyle w:val="BodyTextMain"/>
      </w:pPr>
      <w:r w:rsidRPr="00B615FE">
        <w:t xml:space="preserve">On September 5, </w:t>
      </w:r>
      <w:r w:rsidRPr="00B615FE">
        <w:rPr>
          <w:noProof/>
        </w:rPr>
        <w:t>2016,</w:t>
      </w:r>
      <w:r w:rsidRPr="00B615FE">
        <w:t xml:space="preserve"> </w:t>
      </w:r>
      <w:r w:rsidRPr="00B615FE">
        <w:rPr>
          <w:noProof/>
        </w:rPr>
        <w:t>Jio</w:t>
      </w:r>
      <w:r w:rsidRPr="00B615FE">
        <w:t xml:space="preserve"> launched </w:t>
      </w:r>
      <w:r w:rsidR="006C7840">
        <w:t>its</w:t>
      </w:r>
      <w:r w:rsidRPr="00B615FE">
        <w:t xml:space="preserve"> 4G welcome offer to consumers.</w:t>
      </w:r>
      <w:r w:rsidRPr="006C5EE7">
        <w:rPr>
          <w:rStyle w:val="EndnoteReference"/>
        </w:rPr>
        <w:endnoteReference w:id="17"/>
      </w:r>
      <w:r w:rsidRPr="00B615FE">
        <w:t xml:space="preserve"> </w:t>
      </w:r>
      <w:r w:rsidRPr="00B615FE">
        <w:rPr>
          <w:noProof/>
        </w:rPr>
        <w:t>Initially, the</w:t>
      </w:r>
      <w:r w:rsidRPr="00B615FE">
        <w:t xml:space="preserve"> </w:t>
      </w:r>
      <w:r w:rsidRPr="00B615FE">
        <w:rPr>
          <w:noProof/>
        </w:rPr>
        <w:t>company</w:t>
      </w:r>
      <w:r w:rsidRPr="00B615FE">
        <w:t xml:space="preserve"> </w:t>
      </w:r>
      <w:r w:rsidR="006C7840">
        <w:t>offered</w:t>
      </w:r>
      <w:r w:rsidRPr="00B615FE">
        <w:t xml:space="preserve"> free access to voice, </w:t>
      </w:r>
      <w:r w:rsidRPr="00B615FE">
        <w:rPr>
          <w:noProof/>
        </w:rPr>
        <w:t>data,</w:t>
      </w:r>
      <w:r w:rsidRPr="00B615FE">
        <w:t xml:space="preserve"> and video </w:t>
      </w:r>
      <w:r w:rsidRPr="00B615FE">
        <w:rPr>
          <w:bCs/>
        </w:rPr>
        <w:t xml:space="preserve">until </w:t>
      </w:r>
      <w:r w:rsidRPr="00B615FE">
        <w:t>December 31, 2016</w:t>
      </w:r>
      <w:r w:rsidR="006C7840">
        <w:t>. Later</w:t>
      </w:r>
      <w:r w:rsidRPr="00B615FE">
        <w:t xml:space="preserve">, </w:t>
      </w:r>
      <w:r w:rsidR="006C7840">
        <w:t xml:space="preserve">the company extended the offer </w:t>
      </w:r>
      <w:r w:rsidRPr="00B615FE">
        <w:t>until March 2017.</w:t>
      </w:r>
      <w:r w:rsidRPr="006C5EE7">
        <w:rPr>
          <w:rStyle w:val="EndnoteReference"/>
        </w:rPr>
        <w:endnoteReference w:id="18"/>
      </w:r>
      <w:r w:rsidRPr="00B615FE">
        <w:t xml:space="preserve"> The company’s </w:t>
      </w:r>
      <w:r w:rsidRPr="00B615FE">
        <w:rPr>
          <w:bCs/>
        </w:rPr>
        <w:t xml:space="preserve">total investment in the </w:t>
      </w:r>
      <w:r w:rsidR="00A2702B">
        <w:rPr>
          <w:bCs/>
        </w:rPr>
        <w:t>telecommunications</w:t>
      </w:r>
      <w:r w:rsidRPr="00B615FE">
        <w:rPr>
          <w:bCs/>
        </w:rPr>
        <w:t xml:space="preserve"> project was </w:t>
      </w:r>
      <w:r w:rsidR="00A2702B">
        <w:rPr>
          <w:bCs/>
        </w:rPr>
        <w:t xml:space="preserve">approximately </w:t>
      </w:r>
      <w:r w:rsidR="006C5EE7">
        <w:rPr>
          <w:bCs/>
        </w:rPr>
        <w:t>US$</w:t>
      </w:r>
      <w:r w:rsidRPr="00B615FE">
        <w:rPr>
          <w:bCs/>
        </w:rPr>
        <w:t>12.5 billion.</w:t>
      </w:r>
      <w:r w:rsidRPr="006C5EE7">
        <w:rPr>
          <w:rStyle w:val="EndnoteReference"/>
        </w:rPr>
        <w:endnoteReference w:id="19"/>
      </w:r>
      <w:r w:rsidR="000E65FD" w:rsidRPr="000E65FD">
        <w:rPr>
          <w:rStyle w:val="FootnoteReference"/>
        </w:rPr>
        <w:t xml:space="preserve"> </w:t>
      </w:r>
    </w:p>
    <w:p w14:paraId="30AA7570" w14:textId="77777777" w:rsidR="009B21DF" w:rsidRPr="00E92F02" w:rsidRDefault="009B21DF" w:rsidP="009B21DF">
      <w:pPr>
        <w:pStyle w:val="BodyTextMain"/>
      </w:pPr>
    </w:p>
    <w:p w14:paraId="35905F71" w14:textId="77777777" w:rsidR="009B21DF" w:rsidRPr="00B615FE" w:rsidRDefault="009B21DF" w:rsidP="009B21DF">
      <w:pPr>
        <w:pStyle w:val="BodyTextMain"/>
      </w:pPr>
    </w:p>
    <w:p w14:paraId="166816CB" w14:textId="77777777" w:rsidR="009B21DF" w:rsidRPr="00B615FE" w:rsidRDefault="009B21DF" w:rsidP="006A0453">
      <w:pPr>
        <w:pStyle w:val="Casehead1"/>
        <w:outlineLvl w:val="0"/>
      </w:pPr>
      <w:r w:rsidRPr="00B615FE">
        <w:rPr>
          <w:shd w:val="clear" w:color="auto" w:fill="FFFFFF"/>
        </w:rPr>
        <w:t>Digital India and</w:t>
      </w:r>
      <w:r w:rsidRPr="00B615FE">
        <w:t xml:space="preserve"> the M-Wallet Market</w:t>
      </w:r>
    </w:p>
    <w:p w14:paraId="323F19B4" w14:textId="63B01835" w:rsidR="009B21DF" w:rsidRPr="00B615FE" w:rsidRDefault="009B21DF" w:rsidP="009B21DF">
      <w:pPr>
        <w:pStyle w:val="BodyTextMain"/>
      </w:pPr>
    </w:p>
    <w:p w14:paraId="7E1A9FD7" w14:textId="1434ACA6" w:rsidR="00C46C24" w:rsidRDefault="009B21DF" w:rsidP="00767CB4">
      <w:pPr>
        <w:pStyle w:val="BodyTextMain"/>
      </w:pPr>
      <w:r w:rsidRPr="00B615FE">
        <w:t xml:space="preserve">In 2016, India was the world’s second most populous country </w:t>
      </w:r>
      <w:r w:rsidR="00BD5B74">
        <w:t xml:space="preserve">with a population of </w:t>
      </w:r>
      <w:r w:rsidRPr="00E92F02">
        <w:t>1.34 billion</w:t>
      </w:r>
      <w:r w:rsidR="00C46C24">
        <w:t>. A</w:t>
      </w:r>
      <w:r w:rsidRPr="00B615FE">
        <w:t>pproximately</w:t>
      </w:r>
      <w:r w:rsidRPr="00E92F02">
        <w:t xml:space="preserve"> 65 </w:t>
      </w:r>
      <w:r w:rsidRPr="00B615FE">
        <w:t>per</w:t>
      </w:r>
      <w:r w:rsidR="00C46C24">
        <w:t xml:space="preserve"> </w:t>
      </w:r>
      <w:r w:rsidRPr="00B615FE">
        <w:t>cent</w:t>
      </w:r>
      <w:r w:rsidRPr="00E92F02">
        <w:t xml:space="preserve"> of its population was under the age of 35. </w:t>
      </w:r>
      <w:r w:rsidR="00C46C24">
        <w:rPr>
          <w:noProof/>
        </w:rPr>
        <w:t>Approximately 72 per cent</w:t>
      </w:r>
      <w:r w:rsidR="00C46C24" w:rsidRPr="00E92F02">
        <w:t xml:space="preserve"> of the</w:t>
      </w:r>
      <w:r w:rsidRPr="00E92F02">
        <w:t xml:space="preserve"> Indian population lived in villages</w:t>
      </w:r>
      <w:r w:rsidR="00C46C24">
        <w:t>—</w:t>
      </w:r>
      <w:r w:rsidR="00C46C24" w:rsidRPr="00B615FE">
        <w:t xml:space="preserve">638,000 </w:t>
      </w:r>
      <w:r w:rsidR="00C46C24">
        <w:t>of them. T</w:t>
      </w:r>
      <w:r w:rsidRPr="00B615FE">
        <w:t>he remain</w:t>
      </w:r>
      <w:r w:rsidR="00C46C24">
        <w:t>der</w:t>
      </w:r>
      <w:r w:rsidRPr="00B615FE">
        <w:t xml:space="preserve"> </w:t>
      </w:r>
      <w:r w:rsidR="00C46C24">
        <w:t>lived</w:t>
      </w:r>
      <w:r w:rsidR="00C46C24" w:rsidRPr="00E92F02">
        <w:t xml:space="preserve"> in</w:t>
      </w:r>
      <w:r w:rsidRPr="00E92F02">
        <w:t xml:space="preserve"> </w:t>
      </w:r>
      <w:r w:rsidR="00C46C24">
        <w:t xml:space="preserve">5,480 </w:t>
      </w:r>
      <w:r w:rsidRPr="00B615FE">
        <w:t>towns and urban agglomerations.</w:t>
      </w:r>
      <w:r w:rsidRPr="006C5EE7">
        <w:rPr>
          <w:rStyle w:val="EndnoteReference"/>
        </w:rPr>
        <w:endnoteReference w:id="20"/>
      </w:r>
      <w:r w:rsidRPr="00B615FE">
        <w:t xml:space="preserve"> The literacy rate was 75 per</w:t>
      </w:r>
      <w:r w:rsidR="00C46C24">
        <w:t xml:space="preserve"> </w:t>
      </w:r>
      <w:r w:rsidRPr="00B615FE">
        <w:t>cent</w:t>
      </w:r>
      <w:r w:rsidRPr="00E92F02">
        <w:t>.</w:t>
      </w:r>
      <w:r w:rsidRPr="00E92F02">
        <w:rPr>
          <w:rStyle w:val="EndnoteReference"/>
        </w:rPr>
        <w:endnoteReference w:id="21"/>
      </w:r>
      <w:r w:rsidRPr="00B615FE">
        <w:t xml:space="preserve"> </w:t>
      </w:r>
    </w:p>
    <w:p w14:paraId="7B4B2103" w14:textId="77777777" w:rsidR="00C46C24" w:rsidRDefault="00C46C24" w:rsidP="00767CB4">
      <w:pPr>
        <w:pStyle w:val="BodyTextMain"/>
      </w:pPr>
    </w:p>
    <w:p w14:paraId="68FDEF55" w14:textId="729074B3" w:rsidR="009B0396" w:rsidRDefault="009B21DF" w:rsidP="00767CB4">
      <w:pPr>
        <w:pStyle w:val="BodyTextMain"/>
      </w:pPr>
      <w:r w:rsidRPr="00E92F02">
        <w:t xml:space="preserve">In 2017, </w:t>
      </w:r>
      <w:r w:rsidR="00BA3DB0">
        <w:t xml:space="preserve">the number of </w:t>
      </w:r>
      <w:r w:rsidRPr="006A0453">
        <w:t>smartphone users in India</w:t>
      </w:r>
      <w:r w:rsidRPr="00E92F02">
        <w:t xml:space="preserve"> </w:t>
      </w:r>
      <w:r w:rsidRPr="00E92F02">
        <w:rPr>
          <w:shd w:val="clear" w:color="auto" w:fill="FFFFFF"/>
        </w:rPr>
        <w:t>w</w:t>
      </w:r>
      <w:r w:rsidR="00BA3DB0">
        <w:rPr>
          <w:shd w:val="clear" w:color="auto" w:fill="FFFFFF"/>
        </w:rPr>
        <w:t>as</w:t>
      </w:r>
      <w:r w:rsidRPr="00E92F02">
        <w:rPr>
          <w:shd w:val="clear" w:color="auto" w:fill="FFFFFF"/>
        </w:rPr>
        <w:t xml:space="preserve"> estimated to </w:t>
      </w:r>
      <w:r w:rsidR="007F02D0">
        <w:rPr>
          <w:shd w:val="clear" w:color="auto" w:fill="FFFFFF"/>
        </w:rPr>
        <w:t xml:space="preserve">have </w:t>
      </w:r>
      <w:r w:rsidRPr="00E92F02">
        <w:rPr>
          <w:shd w:val="clear" w:color="auto" w:fill="FFFFFF"/>
        </w:rPr>
        <w:t>reach</w:t>
      </w:r>
      <w:r w:rsidR="007F02D0">
        <w:rPr>
          <w:shd w:val="clear" w:color="auto" w:fill="FFFFFF"/>
        </w:rPr>
        <w:t>ed</w:t>
      </w:r>
      <w:r w:rsidRPr="00E92F02">
        <w:rPr>
          <w:shd w:val="clear" w:color="auto" w:fill="FFFFFF"/>
        </w:rPr>
        <w:t xml:space="preserve"> </w:t>
      </w:r>
      <w:r w:rsidR="001C763D">
        <w:rPr>
          <w:shd w:val="clear" w:color="auto" w:fill="FFFFFF"/>
        </w:rPr>
        <w:t xml:space="preserve">299.24 </w:t>
      </w:r>
      <w:r w:rsidRPr="00E92F02">
        <w:rPr>
          <w:shd w:val="clear" w:color="auto" w:fill="FFFFFF"/>
        </w:rPr>
        <w:t>million</w:t>
      </w:r>
      <w:r w:rsidR="00BA3DB0">
        <w:rPr>
          <w:shd w:val="clear" w:color="auto" w:fill="FFFFFF"/>
        </w:rPr>
        <w:t>,</w:t>
      </w:r>
      <w:r w:rsidRPr="00E92F02">
        <w:rPr>
          <w:shd w:val="clear" w:color="auto" w:fill="FFFFFF"/>
        </w:rPr>
        <w:t xml:space="preserve"> </w:t>
      </w:r>
      <w:r w:rsidR="00C46C24">
        <w:rPr>
          <w:shd w:val="clear" w:color="auto" w:fill="FFFFFF"/>
        </w:rPr>
        <w:t xml:space="preserve">with an </w:t>
      </w:r>
      <w:r w:rsidR="00C46C24" w:rsidRPr="004D6F8B">
        <w:t>expectation that the number would increase</w:t>
      </w:r>
      <w:r w:rsidRPr="004D6F8B">
        <w:t xml:space="preserve"> to 4</w:t>
      </w:r>
      <w:r w:rsidR="001C763D" w:rsidRPr="004D6F8B">
        <w:t>42.5</w:t>
      </w:r>
      <w:r w:rsidRPr="004D6F8B">
        <w:t xml:space="preserve"> million by 202</w:t>
      </w:r>
      <w:r w:rsidR="001C763D" w:rsidRPr="004D6F8B">
        <w:t>2</w:t>
      </w:r>
      <w:r w:rsidRPr="004D6F8B">
        <w:t xml:space="preserve"> (see Exhibit 2).</w:t>
      </w:r>
      <w:r w:rsidRPr="004D6F8B">
        <w:rPr>
          <w:rStyle w:val="EndnoteReference"/>
        </w:rPr>
        <w:endnoteReference w:id="22"/>
      </w:r>
      <w:r w:rsidRPr="004D6F8B">
        <w:t xml:space="preserve"> </w:t>
      </w:r>
      <w:r w:rsidR="00AC5806" w:rsidRPr="004D6F8B">
        <w:t>Internet users</w:t>
      </w:r>
      <w:r w:rsidR="00AC5806">
        <w:rPr>
          <w:shd w:val="clear" w:color="auto" w:fill="FFFFFF"/>
        </w:rPr>
        <w:t xml:space="preserve"> </w:t>
      </w:r>
      <w:r w:rsidR="00AC5806" w:rsidRPr="000E4C2C">
        <w:t>numbered</w:t>
      </w:r>
      <w:r w:rsidR="00C46C24" w:rsidRPr="000E4C2C">
        <w:t xml:space="preserve"> </w:t>
      </w:r>
      <w:r w:rsidR="00B01699" w:rsidRPr="000E4C2C">
        <w:t>331.8</w:t>
      </w:r>
      <w:r w:rsidR="00AC5806" w:rsidRPr="000E4C2C">
        <w:t xml:space="preserve"> million</w:t>
      </w:r>
      <w:r w:rsidR="00BA3DB0" w:rsidRPr="000E4C2C">
        <w:t>;</w:t>
      </w:r>
      <w:r w:rsidR="00F914C2" w:rsidRPr="000E4C2C">
        <w:t xml:space="preserve"> </w:t>
      </w:r>
      <w:r w:rsidR="00BA3DB0" w:rsidRPr="000E4C2C">
        <w:t>this</w:t>
      </w:r>
      <w:r w:rsidR="00F914C2" w:rsidRPr="000E4C2C">
        <w:t xml:space="preserve"> was </w:t>
      </w:r>
      <w:r w:rsidRPr="000E4C2C">
        <w:t xml:space="preserve">projected to </w:t>
      </w:r>
      <w:r w:rsidR="00C46C24" w:rsidRPr="000E4C2C">
        <w:t>increase</w:t>
      </w:r>
      <w:r w:rsidRPr="000E4C2C">
        <w:t xml:space="preserve"> to </w:t>
      </w:r>
      <w:r w:rsidR="007753F4" w:rsidRPr="000E4C2C">
        <w:t>511.89</w:t>
      </w:r>
      <w:r w:rsidRPr="000E4C2C">
        <w:t xml:space="preserve"> million </w:t>
      </w:r>
      <w:r w:rsidR="00AC5806" w:rsidRPr="000E4C2C">
        <w:t>by</w:t>
      </w:r>
      <w:r w:rsidRPr="000E4C2C">
        <w:t xml:space="preserve"> 202</w:t>
      </w:r>
      <w:r w:rsidR="007753F4" w:rsidRPr="000E4C2C">
        <w:t>2</w:t>
      </w:r>
      <w:r w:rsidRPr="000E4C2C">
        <w:t xml:space="preserve"> (see </w:t>
      </w:r>
      <w:r w:rsidRPr="000E4C2C">
        <w:rPr>
          <w:noProof/>
        </w:rPr>
        <w:t>Exhibit</w:t>
      </w:r>
      <w:r w:rsidRPr="000E4C2C">
        <w:t xml:space="preserve"> 3</w:t>
      </w:r>
      <w:r w:rsidR="001060FE" w:rsidRPr="000E4C2C">
        <w:t>). The majority of Internet users accessed the Internet with their mobile phones.</w:t>
      </w:r>
      <w:r w:rsidRPr="000E4C2C">
        <w:rPr>
          <w:rStyle w:val="EndnoteReference"/>
        </w:rPr>
        <w:endnoteReference w:id="23"/>
      </w:r>
      <w:r w:rsidRPr="000E4C2C">
        <w:t xml:space="preserve"> </w:t>
      </w:r>
      <w:r w:rsidR="00C97CE7" w:rsidRPr="000E4C2C">
        <w:t>This group</w:t>
      </w:r>
      <w:r w:rsidR="00947B07" w:rsidRPr="000E4C2C">
        <w:t>, numbering 320.6 million,</w:t>
      </w:r>
      <w:r w:rsidR="001F1064" w:rsidRPr="000E4C2C">
        <w:rPr>
          <w:rStyle w:val="EndnoteReference"/>
        </w:rPr>
        <w:endnoteReference w:id="24"/>
      </w:r>
      <w:r w:rsidR="00947B07" w:rsidRPr="000E4C2C">
        <w:t xml:space="preserve"> </w:t>
      </w:r>
      <w:r w:rsidR="00C97CE7" w:rsidRPr="000E4C2C">
        <w:t>represented 23.9</w:t>
      </w:r>
      <w:r w:rsidR="001060FE" w:rsidRPr="000E4C2C">
        <w:t xml:space="preserve"> per cent of India’s </w:t>
      </w:r>
      <w:r w:rsidR="00C97CE7" w:rsidRPr="000E4C2C">
        <w:t xml:space="preserve">total </w:t>
      </w:r>
      <w:r w:rsidR="001060FE" w:rsidRPr="000E4C2C">
        <w:t>population</w:t>
      </w:r>
      <w:r w:rsidR="00BA3DB0" w:rsidRPr="000E4C2C">
        <w:t>;</w:t>
      </w:r>
      <w:r w:rsidR="00C97CE7" w:rsidRPr="000E4C2C">
        <w:t xml:space="preserve"> </w:t>
      </w:r>
      <w:r w:rsidR="00BA3DB0" w:rsidRPr="000E4C2C">
        <w:t>this</w:t>
      </w:r>
      <w:r w:rsidR="00C97CE7" w:rsidRPr="000E4C2C">
        <w:t xml:space="preserve"> was </w:t>
      </w:r>
      <w:r w:rsidR="001060FE" w:rsidRPr="000E4C2C">
        <w:t xml:space="preserve">expected to increase to </w:t>
      </w:r>
      <w:r w:rsidR="007753F4" w:rsidRPr="000E4C2C">
        <w:t xml:space="preserve">34.85 </w:t>
      </w:r>
      <w:r w:rsidR="001060FE" w:rsidRPr="000E4C2C">
        <w:t xml:space="preserve">per cent </w:t>
      </w:r>
      <w:r w:rsidR="00F914C2" w:rsidRPr="000E4C2C">
        <w:t xml:space="preserve">of India’s population </w:t>
      </w:r>
      <w:r w:rsidR="001060FE" w:rsidRPr="000E4C2C">
        <w:t xml:space="preserve">by </w:t>
      </w:r>
      <w:r w:rsidR="007753F4" w:rsidRPr="000E4C2C">
        <w:t>2022</w:t>
      </w:r>
      <w:r w:rsidR="00C97CE7" w:rsidRPr="000E4C2C">
        <w:t xml:space="preserve"> </w:t>
      </w:r>
      <w:r w:rsidRPr="000E4C2C">
        <w:t>(see Exhibit 4).</w:t>
      </w:r>
      <w:r w:rsidRPr="000E4C2C">
        <w:rPr>
          <w:rStyle w:val="EndnoteReference"/>
        </w:rPr>
        <w:endnoteReference w:id="25"/>
      </w:r>
    </w:p>
    <w:p w14:paraId="7CBEC4A8" w14:textId="77777777" w:rsidR="009B0396" w:rsidRDefault="009B0396" w:rsidP="00767CB4">
      <w:pPr>
        <w:pStyle w:val="BodyTextMain"/>
      </w:pPr>
    </w:p>
    <w:p w14:paraId="311D5365" w14:textId="20BF0A34" w:rsidR="00F914C2" w:rsidRDefault="009B21DF" w:rsidP="00767CB4">
      <w:pPr>
        <w:pStyle w:val="BodyTextMain"/>
      </w:pPr>
      <w:r w:rsidRPr="00E92F02">
        <w:t>With the rise</w:t>
      </w:r>
      <w:r w:rsidRPr="00B615FE">
        <w:t xml:space="preserve"> of smartphones, the digital payment market in India was </w:t>
      </w:r>
      <w:r w:rsidR="00D314DC">
        <w:t xml:space="preserve">growing exponentially. The market was worth an estimated </w:t>
      </w:r>
      <w:r w:rsidR="00C8285A">
        <w:t>$</w:t>
      </w:r>
      <w:r w:rsidR="00D314DC">
        <w:t>86</w:t>
      </w:r>
      <w:r w:rsidR="00C8285A">
        <w:t xml:space="preserve"> </w:t>
      </w:r>
      <w:r w:rsidR="00D314DC">
        <w:t xml:space="preserve">million in 2011 and was </w:t>
      </w:r>
      <w:r w:rsidR="00D314DC" w:rsidRPr="00E92F02">
        <w:t xml:space="preserve">expected to </w:t>
      </w:r>
      <w:r w:rsidR="00D314DC">
        <w:t>grow to $1.15 billion in 2016, representing a compound annual growth rate (CAGR) of 68 per cent.</w:t>
      </w:r>
      <w:r w:rsidR="00D314DC">
        <w:rPr>
          <w:rStyle w:val="EndnoteReference"/>
        </w:rPr>
        <w:endnoteReference w:id="26"/>
      </w:r>
      <w:r w:rsidR="00D314DC">
        <w:t xml:space="preserve"> </w:t>
      </w:r>
      <w:r w:rsidR="00F914C2">
        <w:t xml:space="preserve">Google </w:t>
      </w:r>
      <w:r w:rsidR="00E11E2D">
        <w:t xml:space="preserve">LLC </w:t>
      </w:r>
      <w:r w:rsidR="00F914C2">
        <w:t>and the Boston Consulting Group</w:t>
      </w:r>
      <w:r w:rsidR="00C8285A">
        <w:t xml:space="preserve"> estimated that the market would further </w:t>
      </w:r>
      <w:r w:rsidR="001F1064">
        <w:t>reach</w:t>
      </w:r>
      <w:r w:rsidRPr="00B615FE">
        <w:t xml:space="preserve"> </w:t>
      </w:r>
      <w:r w:rsidR="006C5EE7">
        <w:t>$</w:t>
      </w:r>
      <w:r w:rsidRPr="00E92F02">
        <w:t>500 billion by 2020</w:t>
      </w:r>
      <w:r w:rsidR="00C8285A">
        <w:t xml:space="preserve">, </w:t>
      </w:r>
      <w:r w:rsidR="00D314DC">
        <w:t>constituting about</w:t>
      </w:r>
      <w:r w:rsidR="00D314DC" w:rsidRPr="00E92F02">
        <w:t xml:space="preserve"> </w:t>
      </w:r>
      <w:r w:rsidRPr="00E92F02">
        <w:t xml:space="preserve">15 </w:t>
      </w:r>
      <w:r w:rsidRPr="00B615FE">
        <w:t>per</w:t>
      </w:r>
      <w:r w:rsidR="001F1064">
        <w:t xml:space="preserve"> </w:t>
      </w:r>
      <w:r w:rsidRPr="00B615FE">
        <w:t>cent</w:t>
      </w:r>
      <w:r w:rsidRPr="00E92F02">
        <w:t xml:space="preserve"> of the total gross domestic product.</w:t>
      </w:r>
      <w:r w:rsidR="00F40236">
        <w:rPr>
          <w:rStyle w:val="EndnoteReference"/>
        </w:rPr>
        <w:endnoteReference w:id="27"/>
      </w:r>
    </w:p>
    <w:p w14:paraId="3EDE6BA1" w14:textId="77777777" w:rsidR="00F914C2" w:rsidRDefault="00F914C2" w:rsidP="00767CB4">
      <w:pPr>
        <w:pStyle w:val="BodyTextMain"/>
      </w:pPr>
    </w:p>
    <w:p w14:paraId="39C9CB75" w14:textId="05F44F5C" w:rsidR="009B21DF" w:rsidRPr="00B615FE" w:rsidRDefault="009B21DF" w:rsidP="00767CB4">
      <w:pPr>
        <w:pStyle w:val="BodyTextMain"/>
      </w:pPr>
      <w:r w:rsidRPr="00E92F02">
        <w:t xml:space="preserve">In a short span of </w:t>
      </w:r>
      <w:r w:rsidRPr="00B615FE">
        <w:t xml:space="preserve">time, the size of the </w:t>
      </w:r>
      <w:r w:rsidR="00AF7858">
        <w:t>m-</w:t>
      </w:r>
      <w:r w:rsidR="00AF7858" w:rsidRPr="00E92F02">
        <w:t>wallet</w:t>
      </w:r>
      <w:r w:rsidRPr="00B615FE">
        <w:t xml:space="preserve"> user base had grown significantly in India</w:t>
      </w:r>
      <w:r w:rsidR="00BA3DB0">
        <w:t>,</w:t>
      </w:r>
      <w:r w:rsidR="00AF7858">
        <w:t xml:space="preserve"> with m-wallets being more popular among the younger population.</w:t>
      </w:r>
      <w:r w:rsidR="00AF7858" w:rsidRPr="00E92F02">
        <w:t xml:space="preserve"> According to the RBI, </w:t>
      </w:r>
      <w:r w:rsidR="00AF7858">
        <w:t>m-w</w:t>
      </w:r>
      <w:r w:rsidRPr="00B615FE">
        <w:t>allets</w:t>
      </w:r>
      <w:r w:rsidRPr="00E92F02">
        <w:t xml:space="preserve"> had already surpassed mobile banking in volume. According to </w:t>
      </w:r>
      <w:r w:rsidR="00BA3DB0">
        <w:t xml:space="preserve">market research company </w:t>
      </w:r>
      <w:r w:rsidR="009F05C0">
        <w:rPr>
          <w:noProof/>
        </w:rPr>
        <w:t>T</w:t>
      </w:r>
      <w:r w:rsidRPr="00E92F02">
        <w:t>ech</w:t>
      </w:r>
      <w:r w:rsidR="00BA3DB0">
        <w:rPr>
          <w:noProof/>
        </w:rPr>
        <w:t>N</w:t>
      </w:r>
      <w:r w:rsidRPr="00E92F02">
        <w:t>avio</w:t>
      </w:r>
      <w:r w:rsidRPr="00B615FE">
        <w:t xml:space="preserve">, the </w:t>
      </w:r>
      <w:r w:rsidR="009F05C0">
        <w:t>m-w</w:t>
      </w:r>
      <w:r w:rsidRPr="00B615FE">
        <w:t>allet</w:t>
      </w:r>
      <w:r w:rsidRPr="00E92F02">
        <w:t xml:space="preserve"> market was </w:t>
      </w:r>
      <w:r w:rsidRPr="00E92F02">
        <w:lastRenderedPageBreak/>
        <w:t xml:space="preserve">expected to grow at a CAGR of 140 </w:t>
      </w:r>
      <w:r w:rsidRPr="00B615FE">
        <w:t>per</w:t>
      </w:r>
      <w:r w:rsidR="009F05C0">
        <w:t xml:space="preserve"> cent by 2018</w:t>
      </w:r>
      <w:r w:rsidR="009F05C0" w:rsidRPr="00E92F02">
        <w:t xml:space="preserve"> i</w:t>
      </w:r>
      <w:r w:rsidRPr="00B615FE">
        <w:t>n India</w:t>
      </w:r>
      <w:r w:rsidR="009F05C0">
        <w:t>, compared to</w:t>
      </w:r>
      <w:r w:rsidR="009F05C0" w:rsidRPr="00E92F02">
        <w:t xml:space="preserve"> a </w:t>
      </w:r>
      <w:r w:rsidRPr="00B615FE">
        <w:t>CAGR of 34 per</w:t>
      </w:r>
      <w:r w:rsidR="009F05C0">
        <w:t xml:space="preserve"> </w:t>
      </w:r>
      <w:r w:rsidRPr="00B615FE">
        <w:t xml:space="preserve">cent </w:t>
      </w:r>
      <w:r w:rsidR="009F05C0">
        <w:t>by 2020</w:t>
      </w:r>
      <w:r w:rsidR="009F05C0" w:rsidRPr="00E92F02">
        <w:t xml:space="preserve"> </w:t>
      </w:r>
      <w:r w:rsidRPr="00B615FE">
        <w:t>in the g</w:t>
      </w:r>
      <w:r w:rsidR="009F05C0">
        <w:t>lobal market</w:t>
      </w:r>
      <w:r w:rsidRPr="00B615FE">
        <w:t>.</w:t>
      </w:r>
      <w:r w:rsidRPr="006C5EE7">
        <w:rPr>
          <w:rStyle w:val="EndnoteReference"/>
        </w:rPr>
        <w:endnoteReference w:id="28"/>
      </w:r>
      <w:r w:rsidR="006C5EE7" w:rsidRPr="00E92F02">
        <w:t xml:space="preserve"> </w:t>
      </w:r>
    </w:p>
    <w:p w14:paraId="759DA329" w14:textId="77777777" w:rsidR="009B21DF" w:rsidRPr="00B615FE" w:rsidRDefault="009B21DF" w:rsidP="00767CB4">
      <w:pPr>
        <w:pStyle w:val="BodyTextMain"/>
      </w:pPr>
    </w:p>
    <w:p w14:paraId="3B894A0A" w14:textId="77777777" w:rsidR="009B21DF" w:rsidRPr="00B615FE" w:rsidRDefault="009B21DF" w:rsidP="00767CB4">
      <w:pPr>
        <w:pStyle w:val="BodyTextMain"/>
      </w:pPr>
    </w:p>
    <w:p w14:paraId="0D8F22C5" w14:textId="2E1E5B22" w:rsidR="009B21DF" w:rsidRPr="00B615FE" w:rsidRDefault="00703BB7" w:rsidP="006A0453">
      <w:pPr>
        <w:pStyle w:val="Casehead1"/>
        <w:outlineLvl w:val="0"/>
      </w:pPr>
      <w:r>
        <w:t>The Nature</w:t>
      </w:r>
      <w:r w:rsidRPr="00E92F02">
        <w:t xml:space="preserve"> of </w:t>
      </w:r>
      <w:r w:rsidR="009B21DF" w:rsidRPr="00B615FE">
        <w:t>M-Wallets</w:t>
      </w:r>
    </w:p>
    <w:p w14:paraId="1CEA3C13" w14:textId="77777777" w:rsidR="009B21DF" w:rsidRPr="00B615FE" w:rsidRDefault="009B21DF" w:rsidP="00767CB4">
      <w:pPr>
        <w:pStyle w:val="BodyTextMain"/>
      </w:pPr>
    </w:p>
    <w:p w14:paraId="012D2D8D" w14:textId="6046E61C" w:rsidR="00286B81" w:rsidRDefault="009B21DF" w:rsidP="006C5EE7">
      <w:pPr>
        <w:pStyle w:val="BodyTextMain"/>
      </w:pPr>
      <w:r w:rsidRPr="00B615FE">
        <w:t xml:space="preserve">An </w:t>
      </w:r>
      <w:r w:rsidR="000F21CE">
        <w:t>m-wallet wa</w:t>
      </w:r>
      <w:r w:rsidRPr="00B615FE">
        <w:t>s</w:t>
      </w:r>
      <w:r w:rsidRPr="00E92F02">
        <w:t xml:space="preserve"> a type of payment service through which </w:t>
      </w:r>
      <w:r w:rsidR="009F05C0">
        <w:t xml:space="preserve">individuals and </w:t>
      </w:r>
      <w:r w:rsidR="009F05C0" w:rsidRPr="00E92F02">
        <w:t>b</w:t>
      </w:r>
      <w:r w:rsidR="009F05C0" w:rsidRPr="00B615FE">
        <w:t xml:space="preserve">usinesses </w:t>
      </w:r>
      <w:r w:rsidR="009F05C0">
        <w:t xml:space="preserve">could </w:t>
      </w:r>
      <w:r w:rsidR="000A4CA4">
        <w:t xml:space="preserve">send </w:t>
      </w:r>
      <w:r w:rsidR="000A4CA4" w:rsidRPr="00E92F02">
        <w:t xml:space="preserve">and </w:t>
      </w:r>
      <w:r w:rsidR="009F05C0" w:rsidRPr="00E92F02">
        <w:t xml:space="preserve">receive </w:t>
      </w:r>
      <w:r w:rsidR="009F05C0">
        <w:t>payment</w:t>
      </w:r>
      <w:r w:rsidR="009F05C0" w:rsidRPr="00B615FE">
        <w:t xml:space="preserve"> </w:t>
      </w:r>
      <w:r w:rsidR="009F05C0">
        <w:t xml:space="preserve">using a </w:t>
      </w:r>
      <w:r w:rsidRPr="00B615FE">
        <w:t xml:space="preserve">mobile device. </w:t>
      </w:r>
      <w:r w:rsidR="005A0DF7">
        <w:t xml:space="preserve">There were </w:t>
      </w:r>
      <w:r w:rsidR="000A4CA4">
        <w:t>several</w:t>
      </w:r>
      <w:r w:rsidR="005A0DF7">
        <w:t xml:space="preserve"> types of m-wallets,</w:t>
      </w:r>
      <w:r w:rsidR="005A0DF7" w:rsidRPr="00E92F02">
        <w:t xml:space="preserve"> </w:t>
      </w:r>
      <w:r w:rsidR="009A0396" w:rsidRPr="00B615FE">
        <w:t xml:space="preserve">classified </w:t>
      </w:r>
      <w:r w:rsidR="009A0396">
        <w:t xml:space="preserve">according to their </w:t>
      </w:r>
      <w:r w:rsidR="000A4CA4">
        <w:t>nature</w:t>
      </w:r>
      <w:r w:rsidR="000A4CA4" w:rsidRPr="00E92F02">
        <w:t xml:space="preserve"> and ownership.</w:t>
      </w:r>
      <w:r w:rsidR="000A4CA4">
        <w:t xml:space="preserve"> </w:t>
      </w:r>
      <w:r w:rsidR="003E3710">
        <w:t>Four</w:t>
      </w:r>
      <w:r w:rsidR="000A4CA4">
        <w:t xml:space="preserve"> types were based on the nature of </w:t>
      </w:r>
      <w:r w:rsidR="000A4CA4" w:rsidRPr="00E92F02">
        <w:t>the</w:t>
      </w:r>
      <w:r w:rsidR="000A4CA4" w:rsidRPr="006A0453">
        <w:t xml:space="preserve"> </w:t>
      </w:r>
      <w:r w:rsidR="000A4CA4">
        <w:t>m-wallet</w:t>
      </w:r>
      <w:r w:rsidR="005A0DF7" w:rsidRPr="00E92F02">
        <w:t xml:space="preserve">: closed, semi-closed, </w:t>
      </w:r>
      <w:r w:rsidR="005A0DF7">
        <w:t>open</w:t>
      </w:r>
      <w:r w:rsidR="003E3710">
        <w:t>,</w:t>
      </w:r>
      <w:r w:rsidR="003E3710" w:rsidRPr="00E92F02">
        <w:t xml:space="preserve"> and semi-open</w:t>
      </w:r>
      <w:r w:rsidR="009A0396">
        <w:t>.</w:t>
      </w:r>
      <w:r w:rsidR="00C73715">
        <w:rPr>
          <w:rStyle w:val="EndnoteReference"/>
        </w:rPr>
        <w:endnoteReference w:id="29"/>
      </w:r>
      <w:r w:rsidR="000A4CA4" w:rsidRPr="00E92F02">
        <w:t xml:space="preserve"> </w:t>
      </w:r>
      <w:r w:rsidRPr="00B615FE">
        <w:t xml:space="preserve">A </w:t>
      </w:r>
      <w:r w:rsidR="000A4CA4" w:rsidRPr="00E92F02">
        <w:t xml:space="preserve">closed </w:t>
      </w:r>
      <w:r w:rsidR="000A4CA4">
        <w:rPr>
          <w:noProof/>
        </w:rPr>
        <w:t xml:space="preserve">m-wallet was limited to </w:t>
      </w:r>
      <w:r w:rsidR="000A4CA4" w:rsidRPr="00E92F02">
        <w:t xml:space="preserve">buying goods and services </w:t>
      </w:r>
      <w:r w:rsidR="000A4CA4">
        <w:rPr>
          <w:noProof/>
        </w:rPr>
        <w:t>(</w:t>
      </w:r>
      <w:r w:rsidRPr="00B615FE">
        <w:rPr>
          <w:noProof/>
        </w:rPr>
        <w:t>m</w:t>
      </w:r>
      <w:r w:rsidR="000A4CA4">
        <w:rPr>
          <w:noProof/>
        </w:rPr>
        <w:t xml:space="preserve">aking payments) or receiving refunds </w:t>
      </w:r>
      <w:r w:rsidRPr="00E92F02">
        <w:t>exclusively from the same company</w:t>
      </w:r>
      <w:r w:rsidR="0071421F">
        <w:t>,</w:t>
      </w:r>
      <w:r w:rsidR="000A4CA4" w:rsidRPr="00E92F02">
        <w:t xml:space="preserve"> </w:t>
      </w:r>
      <w:r w:rsidRPr="00B615FE">
        <w:t>for example, Flipkart</w:t>
      </w:r>
      <w:r w:rsidR="000A4CA4" w:rsidRPr="00E92F02">
        <w:t xml:space="preserve"> </w:t>
      </w:r>
      <w:r w:rsidR="00847635">
        <w:t xml:space="preserve">Pvt. Ltd. </w:t>
      </w:r>
      <w:r w:rsidRPr="00B615FE">
        <w:t>and Jabong</w:t>
      </w:r>
      <w:r w:rsidR="00847635">
        <w:t>.com</w:t>
      </w:r>
      <w:r w:rsidRPr="00B615FE">
        <w:t xml:space="preserve">. </w:t>
      </w:r>
      <w:r w:rsidR="000A4CA4">
        <w:t>C</w:t>
      </w:r>
      <w:r w:rsidRPr="00B615FE">
        <w:t>ash</w:t>
      </w:r>
      <w:r w:rsidRPr="00E92F02">
        <w:t xml:space="preserve"> withdrawals </w:t>
      </w:r>
      <w:r w:rsidR="000A4CA4">
        <w:t xml:space="preserve">were not permitted </w:t>
      </w:r>
      <w:r w:rsidR="000A4CA4" w:rsidRPr="00E92F02">
        <w:t xml:space="preserve">through closed e-wallets. In </w:t>
      </w:r>
      <w:r w:rsidR="000A4CA4">
        <w:t xml:space="preserve">a </w:t>
      </w:r>
      <w:r w:rsidR="000A4CA4" w:rsidRPr="00E92F02">
        <w:t>s</w:t>
      </w:r>
      <w:r w:rsidRPr="00B615FE">
        <w:t xml:space="preserve">emi-closed </w:t>
      </w:r>
      <w:r w:rsidR="000A4CA4">
        <w:rPr>
          <w:noProof/>
        </w:rPr>
        <w:t>m-w</w:t>
      </w:r>
      <w:r w:rsidRPr="00B615FE">
        <w:rPr>
          <w:noProof/>
        </w:rPr>
        <w:t>allet</w:t>
      </w:r>
      <w:r w:rsidRPr="00E92F02">
        <w:t>,</w:t>
      </w:r>
      <w:r w:rsidRPr="00B615FE">
        <w:t xml:space="preserve"> the money </w:t>
      </w:r>
      <w:r w:rsidR="000A4CA4">
        <w:t>could be</w:t>
      </w:r>
      <w:r w:rsidRPr="00E92F02">
        <w:t xml:space="preserve"> loaded and used </w:t>
      </w:r>
      <w:r w:rsidR="000A4CA4">
        <w:t>to make payments</w:t>
      </w:r>
      <w:r w:rsidRPr="00B615FE">
        <w:t xml:space="preserve"> </w:t>
      </w:r>
      <w:r w:rsidRPr="00E92F02">
        <w:t xml:space="preserve">at multiple </w:t>
      </w:r>
      <w:r w:rsidRPr="00B615FE">
        <w:t xml:space="preserve">places, but cash withdrawals and cash redemptions </w:t>
      </w:r>
      <w:r w:rsidR="000A4CA4">
        <w:t>we</w:t>
      </w:r>
      <w:r w:rsidR="000A4CA4" w:rsidRPr="00E92F02">
        <w:t>re</w:t>
      </w:r>
      <w:r w:rsidR="00227C9C">
        <w:t xml:space="preserve"> not permitted. </w:t>
      </w:r>
      <w:r w:rsidR="00286B81">
        <w:t>Some financial services could be performed at listed locations.</w:t>
      </w:r>
      <w:r w:rsidR="00286B81" w:rsidRPr="00E92F02">
        <w:t xml:space="preserve"> </w:t>
      </w:r>
      <w:r w:rsidRPr="00B615FE">
        <w:t>JioMoney and Paytm</w:t>
      </w:r>
      <w:r w:rsidR="007504D4">
        <w:t xml:space="preserve"> </w:t>
      </w:r>
      <w:r w:rsidR="00286B81">
        <w:t>w</w:t>
      </w:r>
      <w:r w:rsidR="007504D4">
        <w:t>ere semi-closed m-wallets.</w:t>
      </w:r>
      <w:r w:rsidRPr="00B615FE">
        <w:t xml:space="preserve"> </w:t>
      </w:r>
    </w:p>
    <w:p w14:paraId="5375F667" w14:textId="77777777" w:rsidR="00286B81" w:rsidRDefault="00286B81" w:rsidP="006C5EE7">
      <w:pPr>
        <w:pStyle w:val="BodyTextMain"/>
      </w:pPr>
    </w:p>
    <w:p w14:paraId="076686FE" w14:textId="7BA05B9E" w:rsidR="00767CB4" w:rsidRPr="006A0453" w:rsidRDefault="007504D4" w:rsidP="006A0453">
      <w:pPr>
        <w:pStyle w:val="BodyTextMain"/>
      </w:pPr>
      <w:r>
        <w:t>O</w:t>
      </w:r>
      <w:r w:rsidR="009B21DF" w:rsidRPr="00B615FE">
        <w:t xml:space="preserve">pen </w:t>
      </w:r>
      <w:r>
        <w:rPr>
          <w:noProof/>
        </w:rPr>
        <w:t>m-w</w:t>
      </w:r>
      <w:r w:rsidR="009B21DF" w:rsidRPr="00B615FE">
        <w:rPr>
          <w:noProof/>
        </w:rPr>
        <w:t>allets</w:t>
      </w:r>
      <w:r>
        <w:rPr>
          <w:noProof/>
        </w:rPr>
        <w:t xml:space="preserve"> allowed</w:t>
      </w:r>
      <w:r w:rsidRPr="00E92F02">
        <w:t xml:space="preserve"> money </w:t>
      </w:r>
      <w:r>
        <w:rPr>
          <w:noProof/>
        </w:rPr>
        <w:t>to be</w:t>
      </w:r>
      <w:r w:rsidR="009B21DF" w:rsidRPr="00E92F02">
        <w:t xml:space="preserve"> loaded</w:t>
      </w:r>
      <w:r w:rsidR="009B21DF" w:rsidRPr="00641858">
        <w:t xml:space="preserve"> </w:t>
      </w:r>
      <w:r w:rsidR="009B21DF" w:rsidRPr="00E92F02">
        <w:t>to purchase products and services</w:t>
      </w:r>
      <w:r w:rsidRPr="00641858">
        <w:t xml:space="preserve">, </w:t>
      </w:r>
      <w:r>
        <w:t xml:space="preserve">and </w:t>
      </w:r>
      <w:r w:rsidR="009B21DF" w:rsidRPr="00E92F02">
        <w:t xml:space="preserve">cash withdrawals </w:t>
      </w:r>
      <w:r>
        <w:t xml:space="preserve">could be made by using </w:t>
      </w:r>
      <w:r w:rsidR="009B21DF" w:rsidRPr="00B615FE">
        <w:t>ATMs</w:t>
      </w:r>
      <w:r>
        <w:t>. Masterpass was an open wallet system that worked with a Mastercard account to make payments or withdraw cash.</w:t>
      </w:r>
      <w:r w:rsidRPr="00E92F02">
        <w:t xml:space="preserve"> Visa </w:t>
      </w:r>
      <w:r>
        <w:t>had a similar system</w:t>
      </w:r>
      <w:r w:rsidR="008802F2">
        <w:t xml:space="preserve"> that worked through the m-wallet resident in a smartphone, such as Apple Pay. RuP</w:t>
      </w:r>
      <w:r w:rsidR="009B21DF" w:rsidRPr="00B615FE">
        <w:t xml:space="preserve">ay </w:t>
      </w:r>
      <w:r w:rsidR="003E3710">
        <w:t>was a domestic payment system that involved almost 600 international, regional, and local banks across India</w:t>
      </w:r>
      <w:r w:rsidR="009B21DF" w:rsidRPr="00B615FE">
        <w:t>.</w:t>
      </w:r>
      <w:r w:rsidR="003E3710">
        <w:rPr>
          <w:rStyle w:val="EndnoteReference"/>
        </w:rPr>
        <w:endnoteReference w:id="30"/>
      </w:r>
      <w:r w:rsidR="009B21DF" w:rsidRPr="00B615FE">
        <w:t xml:space="preserve"> </w:t>
      </w:r>
      <w:r w:rsidR="00286B81">
        <w:t>Semi-</w:t>
      </w:r>
      <w:r w:rsidR="00286B81" w:rsidRPr="00E92F02">
        <w:t xml:space="preserve">open </w:t>
      </w:r>
      <w:r w:rsidR="00286B81">
        <w:t>m</w:t>
      </w:r>
      <w:r w:rsidR="00767CB4">
        <w:t>-wallet</w:t>
      </w:r>
      <w:r w:rsidR="00286B81">
        <w:t xml:space="preserve">s </w:t>
      </w:r>
      <w:r w:rsidR="00767CB4" w:rsidRPr="00767CB4">
        <w:t>allow</w:t>
      </w:r>
      <w:r w:rsidR="00286B81">
        <w:t>ed</w:t>
      </w:r>
      <w:r w:rsidR="00767CB4" w:rsidRPr="00E92F02">
        <w:t xml:space="preserve"> users to transact with merchants that </w:t>
      </w:r>
      <w:r w:rsidR="00286B81" w:rsidRPr="00641858">
        <w:t>ha</w:t>
      </w:r>
      <w:r w:rsidR="00286B81">
        <w:t>d</w:t>
      </w:r>
      <w:r w:rsidR="00767CB4" w:rsidRPr="00E92F02">
        <w:t xml:space="preserve"> a contract with the </w:t>
      </w:r>
      <w:r w:rsidR="00286B81">
        <w:t>company issuing the</w:t>
      </w:r>
      <w:r w:rsidR="001B47BE">
        <w:t xml:space="preserve"> wallet. Airtel Money and Axis B</w:t>
      </w:r>
      <w:r w:rsidR="00286B81">
        <w:t>ank</w:t>
      </w:r>
      <w:r w:rsidR="001B47BE">
        <w:t>’s and Visa’s pre-paid gift</w:t>
      </w:r>
      <w:r w:rsidR="00286B81">
        <w:t xml:space="preserve"> cards were examples of semi-open m-wallets. U</w:t>
      </w:r>
      <w:r w:rsidR="00767CB4" w:rsidRPr="00767CB4">
        <w:t>ser</w:t>
      </w:r>
      <w:r w:rsidR="00286B81">
        <w:t>s could not</w:t>
      </w:r>
      <w:r w:rsidR="00286B81" w:rsidRPr="00E92F02">
        <w:t xml:space="preserve"> w</w:t>
      </w:r>
      <w:r w:rsidR="00767CB4" w:rsidRPr="00641858">
        <w:t xml:space="preserve">ithdraw cash or </w:t>
      </w:r>
      <w:r w:rsidR="00286B81" w:rsidRPr="00641858">
        <w:t xml:space="preserve">get </w:t>
      </w:r>
      <w:r w:rsidR="00286B81">
        <w:t>a redemption through a semi-open m-wallet.</w:t>
      </w:r>
      <w:r w:rsidR="001B47BE">
        <w:rPr>
          <w:rStyle w:val="EndnoteReference"/>
        </w:rPr>
        <w:endnoteReference w:id="31"/>
      </w:r>
    </w:p>
    <w:p w14:paraId="315D8715" w14:textId="77777777" w:rsidR="00767CB4" w:rsidRPr="006A0453" w:rsidRDefault="00767CB4" w:rsidP="006A0453">
      <w:pPr>
        <w:pStyle w:val="BodyTextMain"/>
        <w:rPr>
          <w:rFonts w:eastAsiaTheme="minorHAnsi"/>
          <w:lang w:val="en-IN"/>
        </w:rPr>
      </w:pPr>
    </w:p>
    <w:p w14:paraId="5D88EBA0" w14:textId="139D73B7" w:rsidR="009B21DF" w:rsidRPr="00641858" w:rsidRDefault="001B47BE" w:rsidP="006A0453">
      <w:pPr>
        <w:pStyle w:val="BodyTextMain"/>
      </w:pPr>
      <w:r>
        <w:rPr>
          <w:noProof/>
        </w:rPr>
        <w:t xml:space="preserve">There were four types of digital wallets classified on </w:t>
      </w:r>
      <w:r w:rsidRPr="00E92F02">
        <w:t>the</w:t>
      </w:r>
      <w:r w:rsidRPr="006A0453">
        <w:t xml:space="preserve"> basis of ownership: </w:t>
      </w:r>
      <w:r w:rsidR="00E11E2D">
        <w:rPr>
          <w:shd w:val="clear" w:color="auto" w:fill="FFFFFF"/>
        </w:rPr>
        <w:t>bank</w:t>
      </w:r>
      <w:r w:rsidR="009B21DF" w:rsidRPr="00E92F02">
        <w:rPr>
          <w:shd w:val="clear" w:color="auto" w:fill="FFFFFF"/>
        </w:rPr>
        <w:t xml:space="preserve">, </w:t>
      </w:r>
      <w:r w:rsidR="009B21DF" w:rsidRPr="00B615FE">
        <w:rPr>
          <w:noProof/>
          <w:shd w:val="clear" w:color="auto" w:fill="FFFFFF"/>
        </w:rPr>
        <w:t>tel</w:t>
      </w:r>
      <w:r>
        <w:rPr>
          <w:noProof/>
          <w:shd w:val="clear" w:color="auto" w:fill="FFFFFF"/>
        </w:rPr>
        <w:t>e</w:t>
      </w:r>
      <w:r w:rsidR="009B21DF" w:rsidRPr="00B615FE">
        <w:rPr>
          <w:noProof/>
          <w:shd w:val="clear" w:color="auto" w:fill="FFFFFF"/>
        </w:rPr>
        <w:t>co</w:t>
      </w:r>
      <w:r>
        <w:rPr>
          <w:noProof/>
          <w:shd w:val="clear" w:color="auto" w:fill="FFFFFF"/>
        </w:rPr>
        <w:t xml:space="preserve">mmunication </w:t>
      </w:r>
      <w:r w:rsidR="00E11E2D">
        <w:rPr>
          <w:noProof/>
        </w:rPr>
        <w:t>company</w:t>
      </w:r>
      <w:r w:rsidR="000441D3" w:rsidRPr="00D62B2D">
        <w:rPr>
          <w:noProof/>
        </w:rPr>
        <w:t xml:space="preserve"> (</w:t>
      </w:r>
      <w:r w:rsidR="00E11E2D">
        <w:t>telco</w:t>
      </w:r>
      <w:r w:rsidR="000441D3" w:rsidRPr="00D62B2D">
        <w:rPr>
          <w:noProof/>
        </w:rPr>
        <w:t>)</w:t>
      </w:r>
      <w:r w:rsidR="009B21DF" w:rsidRPr="00D62B2D">
        <w:rPr>
          <w:noProof/>
        </w:rPr>
        <w:t>,</w:t>
      </w:r>
      <w:r w:rsidR="009B21DF" w:rsidRPr="00D62B2D">
        <w:t xml:space="preserve"> </w:t>
      </w:r>
      <w:r w:rsidRPr="00D62B2D">
        <w:t xml:space="preserve">device resident, </w:t>
      </w:r>
      <w:r w:rsidR="009B21DF" w:rsidRPr="00D62B2D">
        <w:t>and technology. Bank</w:t>
      </w:r>
      <w:r w:rsidRPr="00D62B2D">
        <w:t xml:space="preserve"> m-w</w:t>
      </w:r>
      <w:r w:rsidR="009B21DF" w:rsidRPr="00D62B2D">
        <w:t xml:space="preserve">allets </w:t>
      </w:r>
      <w:r w:rsidRPr="00D62B2D">
        <w:t>were</w:t>
      </w:r>
      <w:r w:rsidR="009B21DF" w:rsidRPr="00D62B2D">
        <w:t xml:space="preserve"> designed by banks for their</w:t>
      </w:r>
      <w:r w:rsidR="009B21DF" w:rsidRPr="00E92F02">
        <w:t xml:space="preserve"> customers and </w:t>
      </w:r>
      <w:r>
        <w:t>could be</w:t>
      </w:r>
      <w:r w:rsidRPr="00E92F02">
        <w:t xml:space="preserve"> used to pay </w:t>
      </w:r>
      <w:r w:rsidR="009B21DF" w:rsidRPr="00641858">
        <w:t>for multiple services</w:t>
      </w:r>
      <w:r>
        <w:rPr>
          <w:noProof/>
        </w:rPr>
        <w:t xml:space="preserve">. SBI Buddy, for example, </w:t>
      </w:r>
      <w:r w:rsidR="000441D3">
        <w:rPr>
          <w:noProof/>
        </w:rPr>
        <w:t>was the S</w:t>
      </w:r>
      <w:r w:rsidR="00511A49">
        <w:rPr>
          <w:noProof/>
        </w:rPr>
        <w:t>BI</w:t>
      </w:r>
      <w:r w:rsidR="000441D3">
        <w:rPr>
          <w:noProof/>
        </w:rPr>
        <w:t>’s mobile wallet. M-wallets owned by telcos were</w:t>
      </w:r>
      <w:r w:rsidR="000441D3" w:rsidRPr="00E92F02">
        <w:t xml:space="preserve"> </w:t>
      </w:r>
      <w:r w:rsidR="009B21DF" w:rsidRPr="00641858">
        <w:t>designed for their subscribers and</w:t>
      </w:r>
      <w:r w:rsidR="000441D3" w:rsidRPr="00641858">
        <w:t xml:space="preserve"> </w:t>
      </w:r>
      <w:r w:rsidR="000441D3">
        <w:t>could be</w:t>
      </w:r>
      <w:r w:rsidR="000441D3" w:rsidRPr="00E92F02">
        <w:t xml:space="preserve"> used </w:t>
      </w:r>
      <w:r w:rsidR="000441D3">
        <w:t>for any</w:t>
      </w:r>
      <w:r w:rsidR="000441D3" w:rsidRPr="00E92F02">
        <w:t xml:space="preserve"> of a </w:t>
      </w:r>
      <w:r w:rsidR="000441D3">
        <w:t>range</w:t>
      </w:r>
      <w:r w:rsidR="000441D3" w:rsidRPr="00E92F02">
        <w:t xml:space="preserve"> of services</w:t>
      </w:r>
      <w:r w:rsidR="000441D3">
        <w:t xml:space="preserve"> that contracted with the telco; for example, Airtel Money. Device resident apps</w:t>
      </w:r>
      <w:r w:rsidR="000441D3" w:rsidRPr="00E92F02">
        <w:t xml:space="preserve"> </w:t>
      </w:r>
      <w:r w:rsidR="00A91E39" w:rsidRPr="00641858">
        <w:t>and</w:t>
      </w:r>
      <w:r w:rsidR="00A91E39" w:rsidRPr="00E92F02">
        <w:t xml:space="preserve"> technology </w:t>
      </w:r>
      <w:r w:rsidR="00A91E39">
        <w:t>apps were similar in that they functioned as part of the mobile device. The difference was that device resident apps were built into the hand</w:t>
      </w:r>
      <w:r w:rsidR="00511A49">
        <w:t>-</w:t>
      </w:r>
      <w:r w:rsidR="00A91E39">
        <w:t>held device—</w:t>
      </w:r>
      <w:r w:rsidR="000441D3">
        <w:t>Apple Pay was one of the best-known examples of this type of wallet</w:t>
      </w:r>
      <w:r w:rsidR="00A91E39">
        <w:t>—and technology m</w:t>
      </w:r>
      <w:r w:rsidR="000441D3">
        <w:t>-w</w:t>
      </w:r>
      <w:r w:rsidR="009B21DF" w:rsidRPr="00B615FE">
        <w:t xml:space="preserve">allets </w:t>
      </w:r>
      <w:r w:rsidR="000441D3">
        <w:t>were</w:t>
      </w:r>
      <w:r w:rsidR="009B21DF" w:rsidRPr="00B615FE">
        <w:t xml:space="preserve"> </w:t>
      </w:r>
      <w:r w:rsidR="008035A0">
        <w:t>apps</w:t>
      </w:r>
      <w:r w:rsidR="00A91E39">
        <w:t xml:space="preserve"> in an</w:t>
      </w:r>
      <w:r w:rsidR="00A91E39" w:rsidRPr="00E92F02">
        <w:t xml:space="preserve"> operating system</w:t>
      </w:r>
      <w:r w:rsidR="00A91E39">
        <w:t xml:space="preserve"> or created by a </w:t>
      </w:r>
      <w:r w:rsidR="000441D3">
        <w:t>third-</w:t>
      </w:r>
      <w:r w:rsidR="009B21DF" w:rsidRPr="00B615FE">
        <w:t xml:space="preserve">party </w:t>
      </w:r>
      <w:r w:rsidR="000441D3">
        <w:t>that could be added to a mobile device. Paytm was a third-party technology m-wallet</w:t>
      </w:r>
      <w:r w:rsidR="009B21DF" w:rsidRPr="00B615FE">
        <w:t>.</w:t>
      </w:r>
      <w:r w:rsidR="000441D3">
        <w:rPr>
          <w:rStyle w:val="EndnoteReference"/>
          <w:shd w:val="clear" w:color="auto" w:fill="FFFFFF"/>
        </w:rPr>
        <w:endnoteReference w:id="32"/>
      </w:r>
      <w:r w:rsidR="009B21DF" w:rsidRPr="00E92F02">
        <w:t xml:space="preserve"> </w:t>
      </w:r>
    </w:p>
    <w:p w14:paraId="32234670" w14:textId="77777777" w:rsidR="009B21DF" w:rsidRPr="00B615FE" w:rsidRDefault="009B21DF" w:rsidP="009B21DF">
      <w:pPr>
        <w:pStyle w:val="BodyTextMain"/>
      </w:pPr>
    </w:p>
    <w:p w14:paraId="0E51F747" w14:textId="77777777" w:rsidR="009B21DF" w:rsidRPr="00B615FE" w:rsidRDefault="009B21DF" w:rsidP="009B21DF">
      <w:pPr>
        <w:pStyle w:val="BodyTextMain"/>
      </w:pPr>
    </w:p>
    <w:p w14:paraId="68C44A90" w14:textId="4BA6E215" w:rsidR="009B21DF" w:rsidRPr="00641858" w:rsidRDefault="009B21DF" w:rsidP="006A0453">
      <w:pPr>
        <w:pStyle w:val="Casehead2"/>
      </w:pPr>
      <w:r w:rsidRPr="00641858">
        <w:t>Pay</w:t>
      </w:r>
      <w:r w:rsidR="00703BB7" w:rsidRPr="00641858">
        <w:t>ment Transactions through Semi-</w:t>
      </w:r>
      <w:r w:rsidR="00703BB7">
        <w:t>C</w:t>
      </w:r>
      <w:r w:rsidRPr="00E92F02">
        <w:t>losed M-Wallets</w:t>
      </w:r>
    </w:p>
    <w:p w14:paraId="7988284B" w14:textId="77777777" w:rsidR="009B21DF" w:rsidRPr="00B615FE" w:rsidRDefault="009B21DF" w:rsidP="009B21DF">
      <w:pPr>
        <w:pStyle w:val="BodyTextMain"/>
      </w:pPr>
    </w:p>
    <w:p w14:paraId="4A18D94A" w14:textId="1F701CE3" w:rsidR="008035A0" w:rsidRDefault="009B21DF" w:rsidP="009B21DF">
      <w:pPr>
        <w:pStyle w:val="BodyTextMain"/>
      </w:pPr>
      <w:r w:rsidRPr="00B615FE">
        <w:t>M</w:t>
      </w:r>
      <w:r w:rsidR="008035A0">
        <w:t>obile w</w:t>
      </w:r>
      <w:r w:rsidRPr="00B615FE">
        <w:t>allet</w:t>
      </w:r>
      <w:r w:rsidRPr="00E92F02">
        <w:t xml:space="preserve"> </w:t>
      </w:r>
      <w:r w:rsidRPr="00B615FE">
        <w:t>payment transactions involve</w:t>
      </w:r>
      <w:r w:rsidR="008035A0">
        <w:t>d</w:t>
      </w:r>
      <w:r w:rsidRPr="00E92F02">
        <w:t xml:space="preserve"> the </w:t>
      </w:r>
      <w:r w:rsidRPr="00B615FE">
        <w:t>participation of a buyer</w:t>
      </w:r>
      <w:r w:rsidR="008035A0">
        <w:t xml:space="preserve"> or </w:t>
      </w:r>
      <w:r w:rsidR="008035A0" w:rsidRPr="00E92F02">
        <w:t>customer</w:t>
      </w:r>
      <w:r w:rsidR="008035A0">
        <w:t>; the</w:t>
      </w:r>
      <w:r w:rsidR="008035A0" w:rsidRPr="00E92F02">
        <w:t xml:space="preserve"> </w:t>
      </w:r>
      <w:r w:rsidRPr="00B615FE">
        <w:t>electronic</w:t>
      </w:r>
      <w:r w:rsidR="008035A0">
        <w:t xml:space="preserve">, </w:t>
      </w:r>
      <w:r w:rsidRPr="00E92F02">
        <w:t>offline merchant</w:t>
      </w:r>
      <w:r w:rsidR="008035A0">
        <w:t>; and the m</w:t>
      </w:r>
      <w:r w:rsidRPr="00B615FE">
        <w:t>-</w:t>
      </w:r>
      <w:r w:rsidR="008035A0">
        <w:t>wallet s</w:t>
      </w:r>
      <w:r w:rsidRPr="00B615FE">
        <w:t>ystem</w:t>
      </w:r>
      <w:r w:rsidR="008035A0">
        <w:t xml:space="preserve"> (see </w:t>
      </w:r>
      <w:r w:rsidRPr="00E92F02">
        <w:t>Exhibit</w:t>
      </w:r>
      <w:r w:rsidRPr="00B615FE">
        <w:t xml:space="preserve"> 5</w:t>
      </w:r>
      <w:r w:rsidR="008035A0">
        <w:t>)</w:t>
      </w:r>
      <w:r w:rsidRPr="00B615FE">
        <w:t xml:space="preserve">. </w:t>
      </w:r>
      <w:r w:rsidR="008035A0">
        <w:t xml:space="preserve">The </w:t>
      </w:r>
      <w:r w:rsidRPr="00E92F02">
        <w:t xml:space="preserve">customer and merchant </w:t>
      </w:r>
      <w:r w:rsidR="008035A0">
        <w:t>were</w:t>
      </w:r>
      <w:r w:rsidR="008035A0" w:rsidRPr="00E92F02">
        <w:t xml:space="preserve"> </w:t>
      </w:r>
      <w:r w:rsidRPr="00B615FE">
        <w:t xml:space="preserve">required to download the </w:t>
      </w:r>
      <w:r w:rsidR="008035A0">
        <w:t>app</w:t>
      </w:r>
      <w:r w:rsidRPr="00E92F02">
        <w:t xml:space="preserve"> from the </w:t>
      </w:r>
      <w:r w:rsidR="008035A0">
        <w:t>m-w</w:t>
      </w:r>
      <w:r w:rsidRPr="00B615FE">
        <w:t xml:space="preserve">allet </w:t>
      </w:r>
      <w:r w:rsidR="008035A0">
        <w:t>service</w:t>
      </w:r>
      <w:r w:rsidR="008035A0" w:rsidRPr="00E92F02">
        <w:t xml:space="preserve"> and register </w:t>
      </w:r>
      <w:r w:rsidR="008035A0">
        <w:t>as a user</w:t>
      </w:r>
      <w:r w:rsidRPr="00E92F02">
        <w:t>.</w:t>
      </w:r>
      <w:r w:rsidRPr="00B615FE">
        <w:t xml:space="preserve"> During the registration process, users </w:t>
      </w:r>
      <w:r w:rsidR="008035A0">
        <w:t>chose whether</w:t>
      </w:r>
      <w:r w:rsidR="008035A0" w:rsidRPr="00E92F02">
        <w:t xml:space="preserve"> to sign up as a standard </w:t>
      </w:r>
      <w:r w:rsidR="008035A0">
        <w:t>m-w</w:t>
      </w:r>
      <w:r w:rsidRPr="00B615FE">
        <w:t xml:space="preserve">allet </w:t>
      </w:r>
      <w:r w:rsidR="008035A0">
        <w:t xml:space="preserve">user </w:t>
      </w:r>
      <w:r w:rsidRPr="00B615FE">
        <w:t>(</w:t>
      </w:r>
      <w:r w:rsidR="008035A0">
        <w:t xml:space="preserve">a </w:t>
      </w:r>
      <w:r w:rsidRPr="00B615FE">
        <w:t xml:space="preserve">customer) or </w:t>
      </w:r>
      <w:r w:rsidR="008035A0">
        <w:t>as a b</w:t>
      </w:r>
      <w:r w:rsidRPr="00B615FE">
        <w:t xml:space="preserve">usiness </w:t>
      </w:r>
      <w:r w:rsidR="008035A0">
        <w:t>user</w:t>
      </w:r>
      <w:r w:rsidRPr="00B615FE">
        <w:t xml:space="preserve"> (</w:t>
      </w:r>
      <w:r w:rsidR="008035A0">
        <w:t xml:space="preserve">a </w:t>
      </w:r>
      <w:r w:rsidRPr="00B615FE">
        <w:t xml:space="preserve">merchant). </w:t>
      </w:r>
      <w:r w:rsidR="00A16970">
        <w:t>C</w:t>
      </w:r>
      <w:r w:rsidR="00A16970" w:rsidRPr="00B615FE">
        <w:t>onsumer</w:t>
      </w:r>
      <w:r w:rsidR="00A16970">
        <w:t>s</w:t>
      </w:r>
      <w:r w:rsidR="00A16970" w:rsidRPr="00B615FE">
        <w:t xml:space="preserve"> </w:t>
      </w:r>
      <w:r w:rsidR="00A16970">
        <w:t>could only make payments from their m-w</w:t>
      </w:r>
      <w:r w:rsidR="00A16970" w:rsidRPr="00B615FE">
        <w:t>allet account</w:t>
      </w:r>
      <w:r w:rsidR="00A16970">
        <w:t>s if the account was suitably charged, either by depositing funds to the account or having the account connected to another financial source, such as a bank or credit account</w:t>
      </w:r>
      <w:r w:rsidR="00A16970" w:rsidRPr="00B615FE">
        <w:t>.</w:t>
      </w:r>
    </w:p>
    <w:p w14:paraId="6E518EF2" w14:textId="77777777" w:rsidR="008035A0" w:rsidRDefault="008035A0" w:rsidP="009B21DF">
      <w:pPr>
        <w:pStyle w:val="BodyTextMain"/>
      </w:pPr>
    </w:p>
    <w:p w14:paraId="4D6D76AA" w14:textId="36D17A0C" w:rsidR="009B21DF" w:rsidRPr="00E92F02" w:rsidRDefault="009B21DF" w:rsidP="009B21DF">
      <w:pPr>
        <w:pStyle w:val="BodyTextMain"/>
      </w:pPr>
      <w:r w:rsidRPr="00B615FE">
        <w:rPr>
          <w:shd w:val="clear" w:color="auto" w:fill="FFFFFF"/>
        </w:rPr>
        <w:t xml:space="preserve">RBI </w:t>
      </w:r>
      <w:r w:rsidR="00E2677B">
        <w:rPr>
          <w:shd w:val="clear" w:color="auto" w:fill="FFFFFF"/>
        </w:rPr>
        <w:t>limited</w:t>
      </w:r>
      <w:r w:rsidRPr="00B615FE">
        <w:rPr>
          <w:shd w:val="clear" w:color="auto" w:fill="FFFFFF"/>
        </w:rPr>
        <w:t xml:space="preserve"> c</w:t>
      </w:r>
      <w:r w:rsidRPr="00B615FE">
        <w:t xml:space="preserve">onsumer </w:t>
      </w:r>
      <w:r w:rsidR="00214E19">
        <w:t>m-</w:t>
      </w:r>
      <w:r w:rsidRPr="00B615FE">
        <w:t>wallet</w:t>
      </w:r>
      <w:r w:rsidR="00BB69F3">
        <w:t xml:space="preserve"> transaction</w:t>
      </w:r>
      <w:r w:rsidR="00214E19">
        <w:t>s</w:t>
      </w:r>
      <w:r w:rsidRPr="00B615FE">
        <w:t xml:space="preserve"> </w:t>
      </w:r>
      <w:r w:rsidR="00214E19">
        <w:t>to</w:t>
      </w:r>
      <w:r w:rsidRPr="00B615FE">
        <w:t xml:space="preserve"> </w:t>
      </w:r>
      <w:r w:rsidR="00BB69F3">
        <w:t xml:space="preserve">a total of </w:t>
      </w:r>
      <w:r w:rsidR="006C5EE7" w:rsidRPr="006C5EE7">
        <w:rPr>
          <w:rFonts w:ascii="Arial" w:hAnsi="Arial" w:cs="Tahoma"/>
          <w:sz w:val="20"/>
        </w:rPr>
        <w:t>₹</w:t>
      </w:r>
      <w:r w:rsidRPr="00E92F02">
        <w:t>20,000</w:t>
      </w:r>
      <w:r w:rsidR="00610239">
        <w:rPr>
          <w:rStyle w:val="EndnoteReference"/>
        </w:rPr>
        <w:endnoteReference w:id="33"/>
      </w:r>
      <w:r w:rsidRPr="00E92F02">
        <w:t xml:space="preserve"> (</w:t>
      </w:r>
      <w:r w:rsidR="00214E19">
        <w:t xml:space="preserve">about </w:t>
      </w:r>
      <w:r w:rsidR="006C5EE7">
        <w:t>$</w:t>
      </w:r>
      <w:r w:rsidR="00214E19">
        <w:t>300</w:t>
      </w:r>
      <w:r w:rsidRPr="00E92F02">
        <w:t>) per month</w:t>
      </w:r>
      <w:r w:rsidR="00E2677B">
        <w:t>, but the limit could</w:t>
      </w:r>
      <w:r w:rsidRPr="00E92F02">
        <w:t xml:space="preserve"> be raised to a </w:t>
      </w:r>
      <w:r w:rsidRPr="00B615FE">
        <w:t xml:space="preserve">maximum of </w:t>
      </w:r>
      <w:r w:rsidR="006C5EE7" w:rsidRPr="006A0453">
        <w:rPr>
          <w:rFonts w:ascii="Arial" w:hAnsi="Arial"/>
          <w:sz w:val="20"/>
        </w:rPr>
        <w:t>₹</w:t>
      </w:r>
      <w:r w:rsidR="00214E19">
        <w:t>1</w:t>
      </w:r>
      <w:r w:rsidRPr="00B615FE">
        <w:t>00</w:t>
      </w:r>
      <w:r w:rsidRPr="00E92F02">
        <w:t>,000</w:t>
      </w:r>
      <w:r w:rsidR="006C5EE7">
        <w:t xml:space="preserve"> </w:t>
      </w:r>
      <w:r w:rsidRPr="00B615FE">
        <w:t>(</w:t>
      </w:r>
      <w:r w:rsidR="00214E19">
        <w:t xml:space="preserve">about </w:t>
      </w:r>
      <w:r w:rsidR="006C5EE7">
        <w:t>$</w:t>
      </w:r>
      <w:r w:rsidRPr="00B615FE">
        <w:t>1</w:t>
      </w:r>
      <w:r w:rsidR="00214E19">
        <w:t>,500</w:t>
      </w:r>
      <w:r w:rsidRPr="00E92F02">
        <w:t>) per month</w:t>
      </w:r>
      <w:r w:rsidR="00214E19">
        <w:t xml:space="preserve"> if</w:t>
      </w:r>
      <w:r w:rsidR="00214E19" w:rsidRPr="00E92F02">
        <w:t xml:space="preserve"> </w:t>
      </w:r>
      <w:r w:rsidRPr="00B615FE">
        <w:t xml:space="preserve">the account </w:t>
      </w:r>
      <w:r w:rsidR="00E2677B">
        <w:rPr>
          <w:noProof/>
        </w:rPr>
        <w:t>was</w:t>
      </w:r>
      <w:r w:rsidRPr="00E92F02">
        <w:t xml:space="preserve"> supported</w:t>
      </w:r>
      <w:r w:rsidRPr="00B615FE">
        <w:t xml:space="preserve"> with </w:t>
      </w:r>
      <w:r w:rsidR="00214E19" w:rsidRPr="00E92F02">
        <w:t>documents</w:t>
      </w:r>
      <w:r w:rsidR="00214E19">
        <w:t xml:space="preserve"> verifying the identity of the account holder (know your c</w:t>
      </w:r>
      <w:r w:rsidRPr="00B615FE">
        <w:t>ustomer</w:t>
      </w:r>
      <w:r w:rsidR="00511A49">
        <w:t>,</w:t>
      </w:r>
      <w:r w:rsidRPr="00B615FE">
        <w:t xml:space="preserve"> </w:t>
      </w:r>
      <w:r w:rsidR="00214E19">
        <w:t>or KYC</w:t>
      </w:r>
      <w:r w:rsidRPr="00B615FE">
        <w:t xml:space="preserve"> documents</w:t>
      </w:r>
      <w:r w:rsidR="00214E19">
        <w:t>)</w:t>
      </w:r>
      <w:r w:rsidRPr="00B615FE">
        <w:t>.</w:t>
      </w:r>
      <w:r w:rsidRPr="006C5EE7">
        <w:rPr>
          <w:rStyle w:val="EndnoteReference"/>
        </w:rPr>
        <w:endnoteReference w:id="34"/>
      </w:r>
      <w:r w:rsidRPr="00B615FE">
        <w:t xml:space="preserve"> The </w:t>
      </w:r>
      <w:r w:rsidR="00BB69F3">
        <w:t>transaction</w:t>
      </w:r>
      <w:r w:rsidRPr="00B615FE">
        <w:t xml:space="preserve"> limit </w:t>
      </w:r>
      <w:r w:rsidR="00E2677B" w:rsidRPr="00E92F02">
        <w:t xml:space="preserve">for merchants </w:t>
      </w:r>
      <w:r w:rsidR="00E2677B">
        <w:t>wa</w:t>
      </w:r>
      <w:r w:rsidRPr="00E92F02">
        <w:t xml:space="preserve">s </w:t>
      </w:r>
      <w:r w:rsidR="006C5EE7" w:rsidRPr="006A0453">
        <w:rPr>
          <w:rFonts w:ascii="Arial" w:hAnsi="Arial"/>
          <w:sz w:val="20"/>
        </w:rPr>
        <w:t>₹</w:t>
      </w:r>
      <w:r w:rsidRPr="00E92F02">
        <w:t>50,000 (</w:t>
      </w:r>
      <w:r w:rsidR="00214E19">
        <w:t xml:space="preserve">about </w:t>
      </w:r>
      <w:r w:rsidR="006C5EE7">
        <w:t>$</w:t>
      </w:r>
      <w:r w:rsidRPr="00B615FE">
        <w:t>7</w:t>
      </w:r>
      <w:r w:rsidR="00344D84">
        <w:t>25</w:t>
      </w:r>
      <w:r w:rsidRPr="00E92F02">
        <w:t xml:space="preserve">) per month </w:t>
      </w:r>
      <w:r w:rsidR="00344D84">
        <w:t>with</w:t>
      </w:r>
      <w:r w:rsidR="00344D84" w:rsidRPr="00E92F02">
        <w:t xml:space="preserve"> a</w:t>
      </w:r>
      <w:r w:rsidRPr="00E92F02">
        <w:t xml:space="preserve"> </w:t>
      </w:r>
      <w:r w:rsidRPr="00B615FE">
        <w:t>sign</w:t>
      </w:r>
      <w:r w:rsidR="00344D84">
        <w:t>ed</w:t>
      </w:r>
      <w:r w:rsidRPr="00B615FE">
        <w:t xml:space="preserve"> </w:t>
      </w:r>
      <w:r w:rsidRPr="00E92F02">
        <w:t>self-declaration</w:t>
      </w:r>
      <w:r w:rsidR="00344D84">
        <w:t xml:space="preserve">, but it </w:t>
      </w:r>
      <w:r w:rsidR="00E2677B">
        <w:lastRenderedPageBreak/>
        <w:t>could</w:t>
      </w:r>
      <w:r w:rsidRPr="00E92F02">
        <w:t xml:space="preserve"> be raised to </w:t>
      </w:r>
      <w:r w:rsidR="006C5EE7" w:rsidRPr="006A0453">
        <w:rPr>
          <w:rFonts w:ascii="Arial" w:hAnsi="Arial"/>
          <w:sz w:val="20"/>
        </w:rPr>
        <w:t>₹</w:t>
      </w:r>
      <w:r w:rsidRPr="00B615FE">
        <w:t>1</w:t>
      </w:r>
      <w:r w:rsidR="00344D84">
        <w:t>00,000</w:t>
      </w:r>
      <w:r w:rsidRPr="00B615FE">
        <w:t xml:space="preserve"> (</w:t>
      </w:r>
      <w:r w:rsidR="00344D84">
        <w:t xml:space="preserve">about </w:t>
      </w:r>
      <w:r w:rsidR="006C5EE7">
        <w:t>$</w:t>
      </w:r>
      <w:r w:rsidRPr="00E92F02">
        <w:t>1</w:t>
      </w:r>
      <w:r w:rsidR="00E2677B">
        <w:t>,</w:t>
      </w:r>
      <w:r w:rsidR="00344D84">
        <w:t>500</w:t>
      </w:r>
      <w:r w:rsidRPr="00E92F02">
        <w:t xml:space="preserve">) per month if </w:t>
      </w:r>
      <w:r w:rsidR="00344D84">
        <w:t>the merchant’</w:t>
      </w:r>
      <w:r w:rsidR="00E2677B">
        <w:t>s account wa</w:t>
      </w:r>
      <w:r w:rsidR="00344D84">
        <w:t xml:space="preserve">s </w:t>
      </w:r>
      <w:r w:rsidRPr="00E92F02">
        <w:t>supported by KYC documents.</w:t>
      </w:r>
      <w:r w:rsidRPr="00E92F02">
        <w:rPr>
          <w:shd w:val="clear" w:color="auto" w:fill="FFFFFF"/>
        </w:rPr>
        <w:t xml:space="preserve"> </w:t>
      </w:r>
      <w:r w:rsidRPr="00B615FE">
        <w:t xml:space="preserve">The </w:t>
      </w:r>
      <w:r w:rsidR="00344D84">
        <w:t>m-w</w:t>
      </w:r>
      <w:r w:rsidRPr="00B615FE">
        <w:t>allet</w:t>
      </w:r>
      <w:r w:rsidR="00E2677B" w:rsidRPr="00E92F02">
        <w:t xml:space="preserve"> system </w:t>
      </w:r>
      <w:r w:rsidR="00E2677B">
        <w:t>wa</w:t>
      </w:r>
      <w:r w:rsidRPr="00B615FE">
        <w:t>s</w:t>
      </w:r>
      <w:r w:rsidRPr="00E92F02">
        <w:t xml:space="preserve"> mainly responsible for </w:t>
      </w:r>
      <w:r w:rsidR="00344D84">
        <w:t>executing</w:t>
      </w:r>
      <w:r w:rsidRPr="00E92F02">
        <w:t xml:space="preserve"> the p</w:t>
      </w:r>
      <w:r w:rsidR="00E2677B" w:rsidRPr="00E92F02">
        <w:t>ayment process. It also control</w:t>
      </w:r>
      <w:r w:rsidR="00E2677B">
        <w:t>led</w:t>
      </w:r>
      <w:r w:rsidRPr="00E92F02">
        <w:t xml:space="preserve"> the flow of transactions between the buyer and the merchant</w:t>
      </w:r>
      <w:r w:rsidRPr="00B615FE">
        <w:t>.</w:t>
      </w:r>
      <w:r w:rsidR="00A16970" w:rsidRPr="00A16970">
        <w:t xml:space="preserve"> </w:t>
      </w:r>
    </w:p>
    <w:p w14:paraId="179F3263" w14:textId="77777777" w:rsidR="009B21DF" w:rsidRPr="00B615FE" w:rsidRDefault="009B21DF" w:rsidP="009B21DF">
      <w:pPr>
        <w:pStyle w:val="BodyTextMain"/>
      </w:pPr>
    </w:p>
    <w:p w14:paraId="0EBA9E6D" w14:textId="47B3313A" w:rsidR="00E063EA" w:rsidRPr="00E92F02" w:rsidRDefault="00511A49" w:rsidP="009B21DF">
      <w:pPr>
        <w:pStyle w:val="BodyTextMain"/>
      </w:pPr>
      <w:r>
        <w:t>T</w:t>
      </w:r>
      <w:r w:rsidR="009B21DF" w:rsidRPr="00E92F02">
        <w:t xml:space="preserve">hree types of transactions </w:t>
      </w:r>
      <w:r w:rsidR="00C375F1">
        <w:t>were</w:t>
      </w:r>
      <w:r w:rsidR="009B21DF" w:rsidRPr="00E92F02">
        <w:t xml:space="preserve"> conducted </w:t>
      </w:r>
      <w:r w:rsidR="00344D84">
        <w:t>using m-wallets</w:t>
      </w:r>
      <w:r w:rsidR="009B21DF" w:rsidRPr="00E92F02">
        <w:t xml:space="preserve">: </w:t>
      </w:r>
      <w:r w:rsidR="009A0396" w:rsidRPr="00E92F02">
        <w:t xml:space="preserve">adding money to </w:t>
      </w:r>
      <w:r w:rsidR="00344D84">
        <w:t xml:space="preserve">the </w:t>
      </w:r>
      <w:r w:rsidR="009A0396">
        <w:t>m-</w:t>
      </w:r>
      <w:r w:rsidR="009A0396" w:rsidRPr="009A0396">
        <w:t>wallet</w:t>
      </w:r>
      <w:r w:rsidR="009B21DF" w:rsidRPr="00B615FE">
        <w:t xml:space="preserve">, </w:t>
      </w:r>
      <w:r w:rsidR="00344D84">
        <w:t xml:space="preserve">making a </w:t>
      </w:r>
      <w:r w:rsidR="00E2677B">
        <w:t xml:space="preserve">merchant or </w:t>
      </w:r>
      <w:r w:rsidR="00E2677B" w:rsidRPr="00E92F02">
        <w:t>individual payment</w:t>
      </w:r>
      <w:r w:rsidR="00E2677B">
        <w:t>,</w:t>
      </w:r>
      <w:r w:rsidR="00E2677B" w:rsidRPr="00E92F02">
        <w:t xml:space="preserve"> </w:t>
      </w:r>
      <w:r w:rsidR="009B21DF" w:rsidRPr="00E92F02">
        <w:t xml:space="preserve">and </w:t>
      </w:r>
      <w:r w:rsidR="00204606" w:rsidRPr="00B615FE">
        <w:t>transferring</w:t>
      </w:r>
      <w:r w:rsidR="009B21DF" w:rsidRPr="00B615FE">
        <w:t xml:space="preserve"> money to a merchant’s bank. Customers </w:t>
      </w:r>
      <w:r w:rsidR="00C375F1">
        <w:t>could</w:t>
      </w:r>
      <w:r w:rsidR="0012266C" w:rsidRPr="00E92F02">
        <w:t xml:space="preserve"> add money </w:t>
      </w:r>
      <w:r w:rsidR="00E2677B">
        <w:t>to</w:t>
      </w:r>
      <w:r w:rsidR="009B21DF" w:rsidRPr="00E92F02">
        <w:t xml:space="preserve"> their </w:t>
      </w:r>
      <w:r w:rsidR="00E2677B">
        <w:t>m-w</w:t>
      </w:r>
      <w:r w:rsidR="009B21DF" w:rsidRPr="00B615FE">
        <w:t>allet</w:t>
      </w:r>
      <w:r w:rsidR="00E2677B">
        <w:t>s</w:t>
      </w:r>
      <w:r w:rsidR="009B21DF" w:rsidRPr="00E92F02">
        <w:t xml:space="preserve"> through various modes like credit card</w:t>
      </w:r>
      <w:r w:rsidR="00E2677B">
        <w:t>s</w:t>
      </w:r>
      <w:r w:rsidR="009B21DF" w:rsidRPr="00E92F02">
        <w:t>, debit card</w:t>
      </w:r>
      <w:r w:rsidR="00E2677B">
        <w:t>s</w:t>
      </w:r>
      <w:r w:rsidR="009B21DF" w:rsidRPr="00E92F02">
        <w:t xml:space="preserve">, and </w:t>
      </w:r>
      <w:r w:rsidR="00E2677B">
        <w:t>I</w:t>
      </w:r>
      <w:r w:rsidR="00E2677B" w:rsidRPr="00E92F02">
        <w:t>n</w:t>
      </w:r>
      <w:r w:rsidR="00E2677B">
        <w:t>t</w:t>
      </w:r>
      <w:r w:rsidR="00E2677B" w:rsidRPr="00E92F02">
        <w:t>e</w:t>
      </w:r>
      <w:r w:rsidR="00E2677B">
        <w:t>rne</w:t>
      </w:r>
      <w:r w:rsidR="00E2677B" w:rsidRPr="00E92F02">
        <w:t>t</w:t>
      </w:r>
      <w:r w:rsidR="009B21DF" w:rsidRPr="00E92F02">
        <w:t xml:space="preserve"> banking.</w:t>
      </w:r>
      <w:r w:rsidR="009B21DF" w:rsidRPr="006A0453">
        <w:rPr>
          <w:rStyle w:val="EndnoteReference"/>
        </w:rPr>
        <w:endnoteReference w:id="35"/>
      </w:r>
      <w:r w:rsidR="009B21DF" w:rsidRPr="00E92F02">
        <w:t xml:space="preserve"> RBI guidelines</w:t>
      </w:r>
      <w:r w:rsidR="00C375F1">
        <w:t xml:space="preserve"> required</w:t>
      </w:r>
      <w:r w:rsidR="00C375F1" w:rsidRPr="00E92F02">
        <w:t xml:space="preserve"> </w:t>
      </w:r>
      <w:r w:rsidR="009B21DF" w:rsidRPr="00E92F02">
        <w:t xml:space="preserve">semi-closed </w:t>
      </w:r>
      <w:r w:rsidR="00C375F1">
        <w:t>m-w</w:t>
      </w:r>
      <w:r w:rsidR="009B21DF" w:rsidRPr="00B615FE">
        <w:t>allet</w:t>
      </w:r>
      <w:r w:rsidR="009B21DF" w:rsidRPr="00E92F02">
        <w:t xml:space="preserve"> service providers to deposit the </w:t>
      </w:r>
      <w:r w:rsidR="006D652E">
        <w:t>wallet-</w:t>
      </w:r>
      <w:r w:rsidR="009B21DF" w:rsidRPr="00B615FE">
        <w:t>user</w:t>
      </w:r>
      <w:r w:rsidR="00C375F1">
        <w:t>’</w:t>
      </w:r>
      <w:r w:rsidR="009B21DF" w:rsidRPr="00B615FE">
        <w:t xml:space="preserve">s </w:t>
      </w:r>
      <w:r w:rsidR="00C375F1">
        <w:t>deposit to the m-wallet</w:t>
      </w:r>
      <w:r w:rsidR="009B21DF" w:rsidRPr="00E92F02">
        <w:t xml:space="preserve"> in an escrow account with a bank</w:t>
      </w:r>
      <w:r w:rsidR="00C375F1">
        <w:t>.</w:t>
      </w:r>
      <w:r w:rsidR="006D652E">
        <w:rPr>
          <w:rStyle w:val="EndnoteReference"/>
        </w:rPr>
        <w:endnoteReference w:id="36"/>
      </w:r>
      <w:r w:rsidR="00C375F1">
        <w:t xml:space="preserve"> The m-w</w:t>
      </w:r>
      <w:r w:rsidR="009B21DF" w:rsidRPr="00B615FE">
        <w:t>allet</w:t>
      </w:r>
      <w:r w:rsidR="009B21DF" w:rsidRPr="00E92F02">
        <w:t xml:space="preserve"> provider </w:t>
      </w:r>
      <w:r w:rsidR="00C375F1">
        <w:t>could not</w:t>
      </w:r>
      <w:r w:rsidR="009B21DF" w:rsidRPr="00E92F02">
        <w:t xml:space="preserve"> access the escrow account unless </w:t>
      </w:r>
      <w:r w:rsidR="00C375F1">
        <w:t xml:space="preserve">and until </w:t>
      </w:r>
      <w:r w:rsidR="009B21DF" w:rsidRPr="00E92F02">
        <w:t>the user ma</w:t>
      </w:r>
      <w:r w:rsidR="00C375F1">
        <w:t>d</w:t>
      </w:r>
      <w:r w:rsidR="00C375F1" w:rsidRPr="00E92F02">
        <w:t>e</w:t>
      </w:r>
      <w:r w:rsidR="009B21DF" w:rsidRPr="00E92F02">
        <w:t xml:space="preserve"> a r</w:t>
      </w:r>
      <w:r w:rsidR="00C375F1" w:rsidRPr="00E92F02">
        <w:t xml:space="preserve">equest for payment through the </w:t>
      </w:r>
      <w:r w:rsidR="00C375F1">
        <w:t>m-w</w:t>
      </w:r>
      <w:r w:rsidR="009B21DF" w:rsidRPr="00B615FE">
        <w:t>allet.</w:t>
      </w:r>
      <w:r w:rsidR="00C375F1" w:rsidRPr="006C5EE7">
        <w:rPr>
          <w:rStyle w:val="EndnoteReference"/>
        </w:rPr>
        <w:endnoteReference w:id="37"/>
      </w:r>
      <w:r w:rsidR="009B21DF" w:rsidRPr="00B615FE">
        <w:t xml:space="preserve"> Th</w:t>
      </w:r>
      <w:r w:rsidR="00F51234">
        <w:t xml:space="preserve">e escrow </w:t>
      </w:r>
      <w:r w:rsidR="00F51234" w:rsidRPr="00E92F02">
        <w:t xml:space="preserve">process </w:t>
      </w:r>
      <w:r w:rsidR="009B21DF" w:rsidRPr="00B615FE">
        <w:t>protect</w:t>
      </w:r>
      <w:r w:rsidR="00F51234">
        <w:t>ed</w:t>
      </w:r>
      <w:r w:rsidR="009B21DF" w:rsidRPr="00B615FE">
        <w:t xml:space="preserve"> </w:t>
      </w:r>
      <w:r w:rsidR="009B21DF" w:rsidRPr="00B615FE">
        <w:rPr>
          <w:noProof/>
        </w:rPr>
        <w:t>customer</w:t>
      </w:r>
      <w:r w:rsidR="00F51234">
        <w:rPr>
          <w:noProof/>
        </w:rPr>
        <w:t>s</w:t>
      </w:r>
      <w:r w:rsidR="009B21DF" w:rsidRPr="00B615FE">
        <w:rPr>
          <w:noProof/>
        </w:rPr>
        <w:t xml:space="preserve"> </w:t>
      </w:r>
      <w:r w:rsidR="009B21DF" w:rsidRPr="00E92F02">
        <w:t xml:space="preserve">against misuse </w:t>
      </w:r>
      <w:r w:rsidR="00F51234">
        <w:t xml:space="preserve">of their money </w:t>
      </w:r>
      <w:r w:rsidR="009B21DF" w:rsidRPr="00B615FE">
        <w:t xml:space="preserve">by </w:t>
      </w:r>
      <w:r w:rsidR="00F51234">
        <w:t>the</w:t>
      </w:r>
      <w:r w:rsidR="009B21DF" w:rsidRPr="00B615FE">
        <w:t xml:space="preserve"> </w:t>
      </w:r>
      <w:r w:rsidR="00F51234">
        <w:rPr>
          <w:noProof/>
        </w:rPr>
        <w:t>m-w</w:t>
      </w:r>
      <w:r w:rsidR="009B21DF" w:rsidRPr="00B615FE">
        <w:rPr>
          <w:noProof/>
        </w:rPr>
        <w:t>allet</w:t>
      </w:r>
      <w:r w:rsidR="009B21DF" w:rsidRPr="00E92F02">
        <w:t xml:space="preserve"> service provider. Money from the escrow account </w:t>
      </w:r>
      <w:r w:rsidR="00F51234">
        <w:t>would be</w:t>
      </w:r>
      <w:r w:rsidR="00F51234" w:rsidRPr="00E92F02">
        <w:t xml:space="preserve"> credited to the </w:t>
      </w:r>
      <w:r w:rsidR="00F51234">
        <w:t>m-w</w:t>
      </w:r>
      <w:r w:rsidR="009B21DF" w:rsidRPr="00B615FE">
        <w:t>allet</w:t>
      </w:r>
      <w:r w:rsidR="009B21DF" w:rsidRPr="00E92F02">
        <w:t xml:space="preserve"> service provider when the customer </w:t>
      </w:r>
      <w:r w:rsidR="00F51234">
        <w:t>made</w:t>
      </w:r>
      <w:r w:rsidR="009B21DF" w:rsidRPr="00E92F02">
        <w:t xml:space="preserve"> a digital payment to a merchant</w:t>
      </w:r>
      <w:r w:rsidR="009B21DF" w:rsidRPr="00B615FE">
        <w:t>.</w:t>
      </w:r>
      <w:r w:rsidR="00242479">
        <w:t xml:space="preserve"> </w:t>
      </w:r>
      <w:r w:rsidR="003D72E4">
        <w:rPr>
          <w:noProof/>
        </w:rPr>
        <w:t>M</w:t>
      </w:r>
      <w:r w:rsidR="00242479" w:rsidRPr="003D72E4">
        <w:rPr>
          <w:noProof/>
        </w:rPr>
        <w:t>erchants c</w:t>
      </w:r>
      <w:r>
        <w:rPr>
          <w:noProof/>
        </w:rPr>
        <w:t>ould</w:t>
      </w:r>
      <w:r w:rsidR="00242479" w:rsidRPr="003D72E4">
        <w:rPr>
          <w:noProof/>
        </w:rPr>
        <w:t xml:space="preserve"> also make supplier payments, transfer money between </w:t>
      </w:r>
      <w:r>
        <w:rPr>
          <w:noProof/>
        </w:rPr>
        <w:t>the customer’s</w:t>
      </w:r>
      <w:r w:rsidR="00242479" w:rsidRPr="003D72E4">
        <w:rPr>
          <w:noProof/>
        </w:rPr>
        <w:t xml:space="preserve"> bank account</w:t>
      </w:r>
      <w:r>
        <w:rPr>
          <w:noProof/>
        </w:rPr>
        <w:t>,</w:t>
      </w:r>
      <w:r w:rsidR="00242479" w:rsidRPr="003D72E4">
        <w:rPr>
          <w:noProof/>
        </w:rPr>
        <w:t xml:space="preserve"> and use digital petty cash at </w:t>
      </w:r>
      <w:r>
        <w:rPr>
          <w:noProof/>
        </w:rPr>
        <w:t>their</w:t>
      </w:r>
      <w:r w:rsidR="00242479" w:rsidRPr="003D72E4">
        <w:rPr>
          <w:noProof/>
        </w:rPr>
        <w:t xml:space="preserve"> will</w:t>
      </w:r>
      <w:r w:rsidR="00242479" w:rsidRPr="0094028F">
        <w:t>.</w:t>
      </w:r>
      <w:r w:rsidR="00242479" w:rsidRPr="0094028F">
        <w:rPr>
          <w:rStyle w:val="EndnoteReference"/>
          <w:lang w:val="en"/>
        </w:rPr>
        <w:endnoteReference w:id="38"/>
      </w:r>
      <w:r w:rsidR="00E063EA" w:rsidRPr="00511A49">
        <w:t xml:space="preserve"> </w:t>
      </w:r>
    </w:p>
    <w:p w14:paraId="008D9601" w14:textId="77777777" w:rsidR="00E063EA" w:rsidRDefault="00E063EA" w:rsidP="009B21DF">
      <w:pPr>
        <w:pStyle w:val="BodyTextMain"/>
      </w:pPr>
    </w:p>
    <w:p w14:paraId="4E4EE24C" w14:textId="67B79D52" w:rsidR="009B21DF" w:rsidRPr="00E92F02" w:rsidRDefault="009B21DF" w:rsidP="009B21DF">
      <w:pPr>
        <w:pStyle w:val="BodyTextMain"/>
      </w:pPr>
      <w:r w:rsidRPr="00E92F02">
        <w:rPr>
          <w:shd w:val="clear" w:color="auto" w:fill="FFFFFF"/>
        </w:rPr>
        <w:t>Offline merchant sites accept</w:t>
      </w:r>
      <w:r w:rsidR="00E063EA">
        <w:rPr>
          <w:shd w:val="clear" w:color="auto" w:fill="FFFFFF"/>
        </w:rPr>
        <w:t>ed</w:t>
      </w:r>
      <w:r w:rsidRPr="00E92F02">
        <w:rPr>
          <w:shd w:val="clear" w:color="auto" w:fill="FFFFFF"/>
        </w:rPr>
        <w:t xml:space="preserve"> money from </w:t>
      </w:r>
      <w:r w:rsidR="00E063EA">
        <w:rPr>
          <w:shd w:val="clear" w:color="auto" w:fill="FFFFFF"/>
        </w:rPr>
        <w:t>m</w:t>
      </w:r>
      <w:r w:rsidRPr="00E92F02">
        <w:rPr>
          <w:shd w:val="clear" w:color="auto" w:fill="FFFFFF"/>
        </w:rPr>
        <w:t xml:space="preserve">-wallets in three ways: </w:t>
      </w:r>
      <w:r w:rsidRPr="00E92F02">
        <w:t xml:space="preserve">push, pull, and </w:t>
      </w:r>
      <w:r w:rsidR="00E063EA">
        <w:t>“</w:t>
      </w:r>
      <w:r w:rsidRPr="00E92F02">
        <w:t>tap-and-go</w:t>
      </w:r>
      <w:r w:rsidRPr="00B615FE">
        <w:t>.</w:t>
      </w:r>
      <w:r w:rsidR="00E063EA">
        <w:t>”</w:t>
      </w:r>
      <w:r w:rsidRPr="00E92F02">
        <w:rPr>
          <w:rStyle w:val="EndnoteReference"/>
        </w:rPr>
        <w:endnoteReference w:id="39"/>
      </w:r>
      <w:r w:rsidRPr="00E92F02">
        <w:t xml:space="preserve"> In the</w:t>
      </w:r>
      <w:r w:rsidR="003B32E0">
        <w:t xml:space="preserve"> push method, the user transferred</w:t>
      </w:r>
      <w:r w:rsidRPr="00E92F02">
        <w:t xml:space="preserve"> the money to the merchant by scanning a </w:t>
      </w:r>
      <w:r w:rsidR="00685BB5">
        <w:t xml:space="preserve">detailed barcode—a </w:t>
      </w:r>
      <w:r w:rsidRPr="00E92F02">
        <w:t>quick response (QR) code</w:t>
      </w:r>
      <w:r w:rsidR="00685BB5">
        <w:t>—</w:t>
      </w:r>
      <w:r w:rsidR="003B32E0">
        <w:t>provided by the merchant</w:t>
      </w:r>
      <w:r w:rsidRPr="00B615FE">
        <w:t xml:space="preserve">. </w:t>
      </w:r>
      <w:r w:rsidR="00685BB5">
        <w:t>The transaction</w:t>
      </w:r>
      <w:r w:rsidRPr="00E92F02">
        <w:t xml:space="preserve"> deducted </w:t>
      </w:r>
      <w:r w:rsidR="00685BB5">
        <w:t xml:space="preserve">money </w:t>
      </w:r>
      <w:r w:rsidRPr="00E92F02">
        <w:t xml:space="preserve">from the user’s </w:t>
      </w:r>
      <w:r w:rsidR="00685BB5">
        <w:rPr>
          <w:noProof/>
        </w:rPr>
        <w:t>m-w</w:t>
      </w:r>
      <w:r w:rsidRPr="00B615FE">
        <w:rPr>
          <w:noProof/>
        </w:rPr>
        <w:t>allet</w:t>
      </w:r>
      <w:r w:rsidRPr="00E92F02">
        <w:t xml:space="preserve"> and credited </w:t>
      </w:r>
      <w:r w:rsidR="00685BB5">
        <w:rPr>
          <w:noProof/>
        </w:rPr>
        <w:t xml:space="preserve">it </w:t>
      </w:r>
      <w:r w:rsidRPr="00E92F02">
        <w:t xml:space="preserve">to the merchant’s account. </w:t>
      </w:r>
      <w:r w:rsidR="00685BB5">
        <w:t>T</w:t>
      </w:r>
      <w:r w:rsidRPr="00B615FE">
        <w:t>he</w:t>
      </w:r>
      <w:r w:rsidRPr="00E92F02">
        <w:t xml:space="preserve"> pull method</w:t>
      </w:r>
      <w:r w:rsidR="00685BB5">
        <w:t xml:space="preserve"> was a </w:t>
      </w:r>
      <w:r w:rsidR="004949D2">
        <w:t>multi</w:t>
      </w:r>
      <w:r w:rsidR="00685BB5">
        <w:t xml:space="preserve">-step process: </w:t>
      </w:r>
      <w:r w:rsidRPr="00B615FE">
        <w:t xml:space="preserve">the </w:t>
      </w:r>
      <w:r w:rsidR="004949D2">
        <w:t>user provided</w:t>
      </w:r>
      <w:r w:rsidR="004949D2" w:rsidRPr="00E92F02">
        <w:t xml:space="preserve"> the </w:t>
      </w:r>
      <w:r w:rsidR="00685BB5" w:rsidRPr="00E92F02">
        <w:t xml:space="preserve">merchant </w:t>
      </w:r>
      <w:r w:rsidR="004949D2">
        <w:t>with</w:t>
      </w:r>
      <w:r w:rsidR="004949D2" w:rsidRPr="00E92F02">
        <w:t xml:space="preserve"> the user’s mobile phone </w:t>
      </w:r>
      <w:r w:rsidR="004949D2">
        <w:t>number; the merchant entered the user’s mobile number in</w:t>
      </w:r>
      <w:r w:rsidR="0029357A">
        <w:t>to</w:t>
      </w:r>
      <w:r w:rsidR="004949D2">
        <w:t xml:space="preserve"> the</w:t>
      </w:r>
      <w:r w:rsidR="004949D2" w:rsidRPr="00E92F02">
        <w:t xml:space="preserve"> payment terminal, after which the user </w:t>
      </w:r>
      <w:r w:rsidR="004949D2">
        <w:t>received</w:t>
      </w:r>
      <w:r w:rsidR="004949D2" w:rsidRPr="00E92F02">
        <w:t xml:space="preserve"> a one-time password on </w:t>
      </w:r>
      <w:r w:rsidR="004949D2">
        <w:t>the user’s</w:t>
      </w:r>
      <w:r w:rsidR="004949D2" w:rsidRPr="00E92F02">
        <w:t xml:space="preserve"> mobile phone</w:t>
      </w:r>
      <w:r w:rsidR="004949D2">
        <w:t>;</w:t>
      </w:r>
      <w:r w:rsidR="004949D2" w:rsidRPr="00E92F02">
        <w:t xml:space="preserve"> the </w:t>
      </w:r>
      <w:r w:rsidR="004949D2">
        <w:t>user provided</w:t>
      </w:r>
      <w:r w:rsidR="004949D2" w:rsidRPr="00E92F02">
        <w:t xml:space="preserve"> the merchant</w:t>
      </w:r>
      <w:r w:rsidR="004949D2">
        <w:t xml:space="preserve"> with that password, which, once entered in</w:t>
      </w:r>
      <w:r w:rsidR="0029357A">
        <w:t>to</w:t>
      </w:r>
      <w:r w:rsidR="004949D2">
        <w:t xml:space="preserve"> the merchant’s system, pulled</w:t>
      </w:r>
      <w:r w:rsidR="004949D2" w:rsidRPr="00E92F02">
        <w:t xml:space="preserve"> money from the user’s </w:t>
      </w:r>
      <w:r w:rsidR="004949D2">
        <w:t>m-wallet</w:t>
      </w:r>
      <w:r w:rsidRPr="00B615FE">
        <w:t xml:space="preserve">. </w:t>
      </w:r>
      <w:r w:rsidRPr="00E92F02">
        <w:t>In the tap-and-go method, the user ma</w:t>
      </w:r>
      <w:r w:rsidR="004949D2">
        <w:t>d</w:t>
      </w:r>
      <w:r w:rsidR="004949D2" w:rsidRPr="00E92F02">
        <w:t>e</w:t>
      </w:r>
      <w:r w:rsidRPr="00E92F02">
        <w:t xml:space="preserve"> a payment by </w:t>
      </w:r>
      <w:r w:rsidR="004949D2">
        <w:t>placing (“</w:t>
      </w:r>
      <w:r w:rsidR="004949D2" w:rsidRPr="00E92F02">
        <w:t>tapping</w:t>
      </w:r>
      <w:r w:rsidR="004949D2">
        <w:t>”)</w:t>
      </w:r>
      <w:r w:rsidRPr="00E92F02">
        <w:t xml:space="preserve"> the mobile phone on</w:t>
      </w:r>
      <w:r w:rsidRPr="00B615FE">
        <w:t xml:space="preserve"> </w:t>
      </w:r>
      <w:r w:rsidR="004949D2">
        <w:t>or near</w:t>
      </w:r>
      <w:r w:rsidR="004949D2" w:rsidRPr="00E92F02">
        <w:t xml:space="preserve"> </w:t>
      </w:r>
      <w:r w:rsidRPr="00E92F02">
        <w:t xml:space="preserve">the merchant’s terminal. </w:t>
      </w:r>
      <w:r w:rsidR="004949D2">
        <w:t>Tap-and-go required that</w:t>
      </w:r>
      <w:r w:rsidR="004949D2" w:rsidRPr="00E92F02">
        <w:t xml:space="preserve"> </w:t>
      </w:r>
      <w:r w:rsidRPr="00E92F02">
        <w:t xml:space="preserve">both the </w:t>
      </w:r>
      <w:r w:rsidRPr="00B615FE">
        <w:t>user</w:t>
      </w:r>
      <w:r w:rsidR="004949D2">
        <w:t>’s</w:t>
      </w:r>
      <w:r w:rsidRPr="00B615FE">
        <w:t xml:space="preserve"> </w:t>
      </w:r>
      <w:r w:rsidR="004949D2">
        <w:t xml:space="preserve">mobile device </w:t>
      </w:r>
      <w:r w:rsidRPr="00B615FE">
        <w:t>and the merchant</w:t>
      </w:r>
      <w:r w:rsidR="004949D2">
        <w:t>’s</w:t>
      </w:r>
      <w:r w:rsidRPr="00B615FE">
        <w:t xml:space="preserve"> </w:t>
      </w:r>
      <w:r w:rsidR="004949D2">
        <w:t xml:space="preserve">terminal be equipped with the necessary </w:t>
      </w:r>
      <w:r w:rsidR="00BB69F3">
        <w:t>communication protocols</w:t>
      </w:r>
      <w:r w:rsidR="004949D2">
        <w:t xml:space="preserve">, </w:t>
      </w:r>
      <w:r w:rsidR="00BB69F3">
        <w:t>known as near field communication</w:t>
      </w:r>
      <w:r w:rsidRPr="00B615FE">
        <w:t xml:space="preserve">. After the </w:t>
      </w:r>
      <w:r w:rsidRPr="00E92F02">
        <w:t>payment transaction</w:t>
      </w:r>
      <w:r w:rsidR="00BB69F3">
        <w:t xml:space="preserve"> was completed</w:t>
      </w:r>
      <w:r w:rsidRPr="00E92F02">
        <w:t xml:space="preserve">, the </w:t>
      </w:r>
      <w:r w:rsidR="00BB69F3">
        <w:t>m-w</w:t>
      </w:r>
      <w:r w:rsidRPr="00B615FE">
        <w:t>allet</w:t>
      </w:r>
      <w:r w:rsidRPr="00E92F02">
        <w:t xml:space="preserve"> system </w:t>
      </w:r>
      <w:r w:rsidR="00BB69F3" w:rsidRPr="00E92F02">
        <w:t>sen</w:t>
      </w:r>
      <w:r w:rsidR="00BB69F3">
        <w:t>t</w:t>
      </w:r>
      <w:r w:rsidRPr="00E92F02">
        <w:t xml:space="preserve"> messages to the </w:t>
      </w:r>
      <w:r w:rsidR="00BB69F3">
        <w:t xml:space="preserve">user and the </w:t>
      </w:r>
      <w:r w:rsidRPr="00E92F02">
        <w:t>merchant</w:t>
      </w:r>
      <w:r w:rsidR="0029357A">
        <w:t>,</w:t>
      </w:r>
      <w:r w:rsidRPr="00E92F02">
        <w:t xml:space="preserve"> and </w:t>
      </w:r>
      <w:r w:rsidRPr="00B615FE">
        <w:t>transfer</w:t>
      </w:r>
      <w:r w:rsidR="00BB69F3">
        <w:t>red</w:t>
      </w:r>
      <w:r w:rsidR="00BB69F3" w:rsidRPr="00E92F02">
        <w:t xml:space="preserve"> the </w:t>
      </w:r>
      <w:r w:rsidR="00BB69F3">
        <w:t>payment</w:t>
      </w:r>
      <w:r w:rsidR="00BB69F3" w:rsidRPr="00E92F02">
        <w:t xml:space="preserve"> amount </w:t>
      </w:r>
      <w:r w:rsidR="00BB69F3">
        <w:t xml:space="preserve">from the user’s payment source </w:t>
      </w:r>
      <w:r w:rsidR="00BB69F3" w:rsidRPr="00E92F02">
        <w:t>to the merchant’s acquiring bank</w:t>
      </w:r>
      <w:r w:rsidRPr="00E92F02">
        <w:t>.</w:t>
      </w:r>
    </w:p>
    <w:p w14:paraId="39DE66D4" w14:textId="77777777" w:rsidR="009B21DF" w:rsidRPr="00B615FE" w:rsidRDefault="009B21DF" w:rsidP="009B21DF">
      <w:pPr>
        <w:pStyle w:val="BodyTextMain"/>
      </w:pPr>
    </w:p>
    <w:p w14:paraId="241BA55D" w14:textId="77777777" w:rsidR="009B21DF" w:rsidRPr="00B615FE" w:rsidRDefault="009B21DF" w:rsidP="009B21DF">
      <w:pPr>
        <w:pStyle w:val="BodyTextMain"/>
      </w:pPr>
    </w:p>
    <w:p w14:paraId="434C4CA9" w14:textId="77777777" w:rsidR="009B21DF" w:rsidRPr="00E92F02" w:rsidRDefault="009B21DF" w:rsidP="006E30F4">
      <w:pPr>
        <w:pStyle w:val="Casehead1"/>
        <w:outlineLvl w:val="0"/>
        <w:rPr>
          <w:shd w:val="clear" w:color="auto" w:fill="FFFFFF"/>
        </w:rPr>
      </w:pPr>
      <w:r w:rsidRPr="006E30F4">
        <w:t>Ji</w:t>
      </w:r>
      <w:r w:rsidRPr="006E30F4">
        <w:rPr>
          <w:spacing w:val="20"/>
        </w:rPr>
        <w:t>o</w:t>
      </w:r>
      <w:r w:rsidRPr="006E30F4">
        <w:t>Money M-Wallet</w:t>
      </w:r>
      <w:r w:rsidRPr="006E30F4">
        <w:rPr>
          <w:shd w:val="clear" w:color="auto" w:fill="000000" w:themeFill="text1"/>
        </w:rPr>
        <w:t xml:space="preserve"> </w:t>
      </w:r>
    </w:p>
    <w:p w14:paraId="53A3AC2A" w14:textId="77777777" w:rsidR="009B21DF" w:rsidRPr="00B615FE" w:rsidRDefault="009B21DF" w:rsidP="009B21DF">
      <w:pPr>
        <w:pStyle w:val="BodyTextMain"/>
      </w:pPr>
    </w:p>
    <w:p w14:paraId="6125BB12" w14:textId="189ADD47" w:rsidR="009B21DF" w:rsidRPr="00B615FE" w:rsidRDefault="00A16970" w:rsidP="009B21DF">
      <w:pPr>
        <w:pStyle w:val="BodyTextMain"/>
      </w:pPr>
      <w:r>
        <w:t>JioMoney wa</w:t>
      </w:r>
      <w:r w:rsidR="009B21DF" w:rsidRPr="00B615FE">
        <w:t>s</w:t>
      </w:r>
      <w:r w:rsidR="009B21DF" w:rsidRPr="00E92F02">
        <w:t xml:space="preserve"> a semi-closed</w:t>
      </w:r>
      <w:r>
        <w:t>,</w:t>
      </w:r>
      <w:r w:rsidR="009B21DF" w:rsidRPr="00E92F02">
        <w:t xml:space="preserve"> telco-based </w:t>
      </w:r>
      <w:r>
        <w:t>m-w</w:t>
      </w:r>
      <w:r w:rsidR="009B21DF" w:rsidRPr="00B615FE">
        <w:t xml:space="preserve">allet </w:t>
      </w:r>
      <w:r>
        <w:t>to</w:t>
      </w:r>
      <w:r w:rsidRPr="00E92F02">
        <w:t xml:space="preserve"> which customers </w:t>
      </w:r>
      <w:r>
        <w:t>could deposit</w:t>
      </w:r>
      <w:r w:rsidRPr="00E92F02">
        <w:t xml:space="preserve"> money to </w:t>
      </w:r>
      <w:r>
        <w:t>pay for</w:t>
      </w:r>
      <w:r w:rsidR="009B21DF" w:rsidRPr="00E92F02">
        <w:t xml:space="preserve"> goods and services. JioMoney</w:t>
      </w:r>
      <w:r>
        <w:t xml:space="preserve"> allowed</w:t>
      </w:r>
      <w:r w:rsidR="009B21DF" w:rsidRPr="00E92F02">
        <w:t xml:space="preserve"> customers </w:t>
      </w:r>
      <w:r>
        <w:t>to</w:t>
      </w:r>
      <w:r w:rsidR="009B21DF" w:rsidRPr="00E92F02">
        <w:t xml:space="preserve"> perform all types of low-value and high-volume digital transactions, including person-to-person and person-to-merchant money transfers</w:t>
      </w:r>
      <w:r w:rsidR="00444F52">
        <w:t>,</w:t>
      </w:r>
      <w:r w:rsidR="009B21DF" w:rsidRPr="00E92F02">
        <w:t xml:space="preserve"> bill and utility payments</w:t>
      </w:r>
      <w:r w:rsidR="00444F52">
        <w:t>,</w:t>
      </w:r>
      <w:r w:rsidR="009B21DF" w:rsidRPr="00E92F02">
        <w:t xml:space="preserve"> mobile and </w:t>
      </w:r>
      <w:r w:rsidR="00444F52">
        <w:t>digital satellite television (</w:t>
      </w:r>
      <w:r w:rsidR="00444F52" w:rsidRPr="00E92F02">
        <w:t>DTH</w:t>
      </w:r>
      <w:r w:rsidR="00444F52">
        <w:t>) service</w:t>
      </w:r>
      <w:r w:rsidR="00444F52" w:rsidRPr="00E92F02">
        <w:t xml:space="preserve"> </w:t>
      </w:r>
      <w:r w:rsidR="009B21DF" w:rsidRPr="00E92F02">
        <w:t>recharges</w:t>
      </w:r>
      <w:r w:rsidR="00444F52">
        <w:t>,</w:t>
      </w:r>
      <w:r w:rsidR="009B21DF" w:rsidRPr="00B615FE">
        <w:t xml:space="preserve"> </w:t>
      </w:r>
      <w:r w:rsidR="009B21DF" w:rsidRPr="00E92F02">
        <w:t>media and entertainment</w:t>
      </w:r>
      <w:r w:rsidR="00444F52" w:rsidRPr="00444F52">
        <w:t xml:space="preserve"> </w:t>
      </w:r>
      <w:r w:rsidR="00444F52">
        <w:t>purchases,</w:t>
      </w:r>
      <w:r w:rsidR="009B21DF" w:rsidRPr="00E92F02">
        <w:t xml:space="preserve"> toll and transit</w:t>
      </w:r>
      <w:r w:rsidR="00444F52">
        <w:t xml:space="preserve"> payments,</w:t>
      </w:r>
      <w:r w:rsidR="00444F52" w:rsidRPr="00E92F02">
        <w:t xml:space="preserve"> and </w:t>
      </w:r>
      <w:r w:rsidR="009B21DF" w:rsidRPr="00E92F02">
        <w:t>online shopping</w:t>
      </w:r>
      <w:r w:rsidR="00444F52">
        <w:t xml:space="preserve"> payments</w:t>
      </w:r>
      <w:r w:rsidR="009B21DF" w:rsidRPr="00E92F02">
        <w:t xml:space="preserve">. The JioMoney app </w:t>
      </w:r>
      <w:r w:rsidR="00444F52">
        <w:t>was</w:t>
      </w:r>
      <w:r w:rsidR="00444F52" w:rsidRPr="00E92F02">
        <w:t xml:space="preserve"> </w:t>
      </w:r>
      <w:r w:rsidR="006041B1" w:rsidRPr="00E92F02">
        <w:t>platform</w:t>
      </w:r>
      <w:r w:rsidR="0029357A">
        <w:t>-</w:t>
      </w:r>
      <w:r w:rsidR="006041B1" w:rsidRPr="00E92F02">
        <w:t xml:space="preserve">independent and </w:t>
      </w:r>
      <w:r w:rsidR="006041B1">
        <w:t xml:space="preserve">thus </w:t>
      </w:r>
      <w:r w:rsidR="00444F52">
        <w:t>available for</w:t>
      </w:r>
      <w:r w:rsidR="009B21DF" w:rsidRPr="00B615FE">
        <w:t xml:space="preserve"> both </w:t>
      </w:r>
      <w:r w:rsidR="00444F52">
        <w:t xml:space="preserve">mobile operating </w:t>
      </w:r>
      <w:r w:rsidR="006041B1">
        <w:t>platforms</w:t>
      </w:r>
      <w:r w:rsidR="00444F52">
        <w:t>—</w:t>
      </w:r>
      <w:r w:rsidR="009B21DF" w:rsidRPr="00B615FE">
        <w:t xml:space="preserve">iOS and Android. </w:t>
      </w:r>
      <w:r w:rsidR="006041B1">
        <w:t xml:space="preserve">Powered </w:t>
      </w:r>
      <w:r w:rsidR="006041B1" w:rsidRPr="00E92F02">
        <w:t xml:space="preserve">by </w:t>
      </w:r>
      <w:r w:rsidR="002A1A1A" w:rsidRPr="00E92F02">
        <w:t xml:space="preserve">4G </w:t>
      </w:r>
      <w:r w:rsidR="009B21DF" w:rsidRPr="00B615FE">
        <w:t>small cell technology</w:t>
      </w:r>
      <w:r w:rsidR="006041B1">
        <w:t>—</w:t>
      </w:r>
      <w:r w:rsidR="002A1A1A">
        <w:t>low-powered nodes</w:t>
      </w:r>
      <w:r w:rsidR="006041B1">
        <w:t xml:space="preserve"> that accessed radio waves</w:t>
      </w:r>
      <w:r w:rsidR="002A1A1A">
        <w:t xml:space="preserve"> over short distances</w:t>
      </w:r>
      <w:r w:rsidR="009E74E3">
        <w:t>—</w:t>
      </w:r>
      <w:r w:rsidR="006041B1">
        <w:t>the JioMoney app provided users with</w:t>
      </w:r>
      <w:r w:rsidR="006C5EE7" w:rsidRPr="006A0453">
        <w:rPr>
          <w:color w:val="000000"/>
          <w:shd w:val="clear" w:color="auto" w:fill="FFFFFF"/>
        </w:rPr>
        <w:t xml:space="preserve"> </w:t>
      </w:r>
      <w:r w:rsidR="009B21DF" w:rsidRPr="00E92F02">
        <w:t>a ubiquitous</w:t>
      </w:r>
      <w:r w:rsidR="009B21DF" w:rsidRPr="00B615FE">
        <w:t xml:space="preserve"> platform for reasonable and secure digital payments.</w:t>
      </w:r>
      <w:r w:rsidR="009B21DF" w:rsidRPr="006C5EE7">
        <w:rPr>
          <w:rStyle w:val="EndnoteReference"/>
        </w:rPr>
        <w:endnoteReference w:id="40"/>
      </w:r>
    </w:p>
    <w:p w14:paraId="7F868CE8" w14:textId="77777777" w:rsidR="009B21DF" w:rsidRPr="00B615FE" w:rsidRDefault="009B21DF" w:rsidP="009B21DF">
      <w:pPr>
        <w:pStyle w:val="BodyTextMain"/>
      </w:pPr>
    </w:p>
    <w:p w14:paraId="4CEBCCA8" w14:textId="0827B64D" w:rsidR="00703BB7" w:rsidRDefault="009B21DF" w:rsidP="009B21DF">
      <w:pPr>
        <w:pStyle w:val="BodyTextMain"/>
        <w:rPr>
          <w:shd w:val="clear" w:color="auto" w:fill="FFFFFF"/>
        </w:rPr>
      </w:pPr>
      <w:r w:rsidRPr="00B615FE">
        <w:t xml:space="preserve">Customers </w:t>
      </w:r>
      <w:r w:rsidR="002613F6">
        <w:t>could</w:t>
      </w:r>
      <w:r w:rsidRPr="00B615FE">
        <w:t xml:space="preserve"> </w:t>
      </w:r>
      <w:r w:rsidR="002613F6">
        <w:t xml:space="preserve">use JioMoney to </w:t>
      </w:r>
      <w:r w:rsidRPr="00E92F02">
        <w:t xml:space="preserve">instantly and seamlessly </w:t>
      </w:r>
      <w:r w:rsidR="002613F6">
        <w:t>pay</w:t>
      </w:r>
      <w:r w:rsidRPr="00B615FE">
        <w:t xml:space="preserve"> </w:t>
      </w:r>
      <w:r w:rsidRPr="00E92F02">
        <w:t>merchants</w:t>
      </w:r>
      <w:r w:rsidRPr="00B615FE">
        <w:t xml:space="preserve">. </w:t>
      </w:r>
      <w:r w:rsidR="002613F6">
        <w:t xml:space="preserve">The </w:t>
      </w:r>
      <w:r w:rsidR="00AE782D" w:rsidRPr="00E92F02">
        <w:t xml:space="preserve">JioMoney </w:t>
      </w:r>
      <w:r w:rsidR="002613F6" w:rsidRPr="00E92F02">
        <w:t>M</w:t>
      </w:r>
      <w:r w:rsidRPr="00E92F02">
        <w:t xml:space="preserve">erchant </w:t>
      </w:r>
      <w:r w:rsidR="002613F6">
        <w:t xml:space="preserve">Solutions app, launched </w:t>
      </w:r>
      <w:r w:rsidR="002613F6" w:rsidRPr="00E92F02">
        <w:t xml:space="preserve">on </w:t>
      </w:r>
      <w:r w:rsidRPr="00E92F02">
        <w:t>December 5, 2016</w:t>
      </w:r>
      <w:r w:rsidR="002613F6">
        <w:t xml:space="preserve">, </w:t>
      </w:r>
      <w:r w:rsidR="00FB08EE">
        <w:t xml:space="preserve">allowed </w:t>
      </w:r>
      <w:r w:rsidR="00FB08EE" w:rsidRPr="006A0453">
        <w:t xml:space="preserve">merchants </w:t>
      </w:r>
      <w:r w:rsidR="00FB08EE">
        <w:t>to receive</w:t>
      </w:r>
      <w:r w:rsidR="00FB08EE" w:rsidRPr="006A0453">
        <w:t xml:space="preserve"> payments from customers </w:t>
      </w:r>
      <w:r w:rsidR="00AE782D">
        <w:t xml:space="preserve">directly </w:t>
      </w:r>
      <w:r w:rsidR="00AE782D" w:rsidRPr="006A0453">
        <w:t xml:space="preserve">into </w:t>
      </w:r>
      <w:r w:rsidR="00AE782D">
        <w:t xml:space="preserve">the merchant’s </w:t>
      </w:r>
      <w:r w:rsidR="00AE782D" w:rsidRPr="006A0453">
        <w:t xml:space="preserve">bank </w:t>
      </w:r>
      <w:r w:rsidR="00AE782D">
        <w:t xml:space="preserve">account. Merchants could also use the app to pay </w:t>
      </w:r>
      <w:r w:rsidR="00AE782D" w:rsidRPr="006A0453">
        <w:t>suppliers</w:t>
      </w:r>
      <w:r w:rsidR="00AE782D">
        <w:t>, transfer money between accounts, and use a digital petty cash account</w:t>
      </w:r>
      <w:r w:rsidR="00FB08EE">
        <w:t>.</w:t>
      </w:r>
      <w:r w:rsidRPr="006C5EE7">
        <w:rPr>
          <w:rStyle w:val="EndnoteReference"/>
        </w:rPr>
        <w:endnoteReference w:id="41"/>
      </w:r>
      <w:r w:rsidRPr="00B615FE">
        <w:t xml:space="preserve"> </w:t>
      </w:r>
      <w:r w:rsidR="00AE782D">
        <w:t xml:space="preserve">JioMoney’s </w:t>
      </w:r>
      <w:r w:rsidRPr="00E92F02">
        <w:t xml:space="preserve">major focus </w:t>
      </w:r>
      <w:r w:rsidR="00AE782D" w:rsidRPr="00E92F02">
        <w:t xml:space="preserve">was </w:t>
      </w:r>
      <w:r w:rsidRPr="006A0453">
        <w:t xml:space="preserve">the </w:t>
      </w:r>
      <w:r w:rsidRPr="00E92F02">
        <w:rPr>
          <w:shd w:val="clear" w:color="auto" w:fill="FFFFFF"/>
        </w:rPr>
        <w:t>rural population</w:t>
      </w:r>
      <w:r w:rsidRPr="00E92F02">
        <w:t xml:space="preserve"> </w:t>
      </w:r>
      <w:r w:rsidR="00AE782D">
        <w:rPr>
          <w:lang w:eastAsia="en-IN"/>
        </w:rPr>
        <w:t>of India, which until then</w:t>
      </w:r>
      <w:r w:rsidR="00AE782D" w:rsidRPr="00E92F02">
        <w:t xml:space="preserve"> </w:t>
      </w:r>
      <w:r w:rsidR="009629BF">
        <w:t xml:space="preserve">had been </w:t>
      </w:r>
      <w:r w:rsidRPr="00E92F02">
        <w:t xml:space="preserve">oblivious </w:t>
      </w:r>
      <w:r w:rsidRPr="00B615FE">
        <w:rPr>
          <w:shd w:val="clear" w:color="auto" w:fill="FFFFFF"/>
        </w:rPr>
        <w:t>to digital transactions.</w:t>
      </w:r>
      <w:r w:rsidRPr="006C5EE7">
        <w:rPr>
          <w:rStyle w:val="EndnoteReference"/>
        </w:rPr>
        <w:endnoteReference w:id="42"/>
      </w:r>
      <w:r w:rsidRPr="00B615FE">
        <w:t xml:space="preserve"> </w:t>
      </w:r>
      <w:r w:rsidR="00703BB7">
        <w:rPr>
          <w:shd w:val="clear" w:color="auto" w:fill="FFFFFF"/>
        </w:rPr>
        <w:t>The company</w:t>
      </w:r>
      <w:r w:rsidR="00703BB7" w:rsidRPr="00E92F02">
        <w:rPr>
          <w:shd w:val="clear" w:color="auto" w:fill="FFFFFF"/>
        </w:rPr>
        <w:t xml:space="preserve"> </w:t>
      </w:r>
      <w:r w:rsidRPr="00E92F02">
        <w:rPr>
          <w:shd w:val="clear" w:color="auto" w:fill="FFFFFF"/>
        </w:rPr>
        <w:t xml:space="preserve">targeted 10 million small merchant retailers across 17,000 towns and </w:t>
      </w:r>
      <w:r w:rsidR="00703BB7">
        <w:rPr>
          <w:shd w:val="clear" w:color="auto" w:fill="FFFFFF"/>
        </w:rPr>
        <w:t>400,000</w:t>
      </w:r>
      <w:r w:rsidRPr="00E92F02">
        <w:rPr>
          <w:shd w:val="clear" w:color="auto" w:fill="FFFFFF"/>
        </w:rPr>
        <w:t xml:space="preserve"> villages.</w:t>
      </w:r>
      <w:r w:rsidRPr="006A0453">
        <w:rPr>
          <w:rStyle w:val="EndnoteReference"/>
        </w:rPr>
        <w:endnoteReference w:id="43"/>
      </w:r>
      <w:r w:rsidRPr="00E92F02">
        <w:rPr>
          <w:shd w:val="clear" w:color="auto" w:fill="FFFFFF"/>
        </w:rPr>
        <w:t xml:space="preserve"> </w:t>
      </w:r>
    </w:p>
    <w:p w14:paraId="4A5425AF" w14:textId="77777777" w:rsidR="00703BB7" w:rsidRDefault="00703BB7" w:rsidP="009B21DF">
      <w:pPr>
        <w:pStyle w:val="BodyTextMain"/>
        <w:rPr>
          <w:shd w:val="clear" w:color="auto" w:fill="FFFFFF"/>
        </w:rPr>
      </w:pPr>
    </w:p>
    <w:p w14:paraId="399AD25C" w14:textId="77777777" w:rsidR="00847635" w:rsidRDefault="00847635" w:rsidP="009B21DF">
      <w:pPr>
        <w:pStyle w:val="BodyTextMain"/>
        <w:rPr>
          <w:shd w:val="clear" w:color="auto" w:fill="FFFFFF"/>
        </w:rPr>
      </w:pPr>
    </w:p>
    <w:p w14:paraId="489CC2DA" w14:textId="77777777" w:rsidR="00703BB7" w:rsidRDefault="00703BB7" w:rsidP="00703BB7">
      <w:pPr>
        <w:pStyle w:val="Casehead2"/>
        <w:keepNext/>
      </w:pPr>
      <w:r>
        <w:lastRenderedPageBreak/>
        <w:t>Competitors</w:t>
      </w:r>
    </w:p>
    <w:p w14:paraId="36C98348" w14:textId="77777777" w:rsidR="00703BB7" w:rsidRDefault="00703BB7" w:rsidP="00703BB7">
      <w:pPr>
        <w:pStyle w:val="BodyTextMain"/>
        <w:keepNext/>
      </w:pPr>
    </w:p>
    <w:p w14:paraId="67D8ABA5" w14:textId="577F332B" w:rsidR="009B21DF" w:rsidRPr="00B615FE" w:rsidRDefault="009B21DF" w:rsidP="009B21DF">
      <w:pPr>
        <w:pStyle w:val="BodyTextMain"/>
      </w:pPr>
      <w:r w:rsidRPr="00E92F02">
        <w:t xml:space="preserve">In India, </w:t>
      </w:r>
      <w:r w:rsidRPr="00A01987">
        <w:t xml:space="preserve">JioMoney </w:t>
      </w:r>
      <w:r w:rsidRPr="006A0453">
        <w:t xml:space="preserve">faced prime competition from </w:t>
      </w:r>
      <w:r w:rsidRPr="00E92F02">
        <w:t>MobiKwik, Paytm,</w:t>
      </w:r>
      <w:r w:rsidRPr="00B615FE">
        <w:t xml:space="preserve"> and Oxigen. </w:t>
      </w:r>
    </w:p>
    <w:p w14:paraId="49BDE68D" w14:textId="77777777" w:rsidR="007268BC" w:rsidRDefault="007268BC" w:rsidP="009B21DF">
      <w:pPr>
        <w:pStyle w:val="BodyTextMain"/>
        <w:rPr>
          <w:i/>
        </w:rPr>
      </w:pPr>
    </w:p>
    <w:p w14:paraId="732C9404" w14:textId="41B5EE2E" w:rsidR="0037537F" w:rsidRDefault="009B21DF" w:rsidP="009B21DF">
      <w:pPr>
        <w:pStyle w:val="BodyTextMain"/>
      </w:pPr>
      <w:r w:rsidRPr="006A0453">
        <w:rPr>
          <w:i/>
        </w:rPr>
        <w:t>Mobi</w:t>
      </w:r>
      <w:r w:rsidR="00703BB7" w:rsidRPr="005E142F">
        <w:rPr>
          <w:i/>
          <w:noProof/>
          <w:lang w:eastAsia="en-IN"/>
        </w:rPr>
        <w:t>K</w:t>
      </w:r>
      <w:r w:rsidRPr="006A0453">
        <w:rPr>
          <w:i/>
        </w:rPr>
        <w:t>wik</w:t>
      </w:r>
      <w:r w:rsidRPr="006A0453">
        <w:t>:</w:t>
      </w:r>
      <w:r w:rsidRPr="00E92F02">
        <w:rPr>
          <w:b/>
        </w:rPr>
        <w:t xml:space="preserve"> </w:t>
      </w:r>
      <w:r w:rsidRPr="00E92F02">
        <w:t>In 2009,</w:t>
      </w:r>
      <w:r w:rsidRPr="00B615FE">
        <w:rPr>
          <w:b/>
        </w:rPr>
        <w:t xml:space="preserve"> </w:t>
      </w:r>
      <w:r w:rsidRPr="00B615FE">
        <w:t>Bipin Preet Singh and Upasana Taku launched Mobi</w:t>
      </w:r>
      <w:r w:rsidR="00215834">
        <w:t>K</w:t>
      </w:r>
      <w:r w:rsidRPr="00B615FE">
        <w:t>wik</w:t>
      </w:r>
      <w:r w:rsidR="00215834">
        <w:t>’s mobile wallet.</w:t>
      </w:r>
      <w:r w:rsidR="00215834" w:rsidRPr="00E92F02">
        <w:t xml:space="preserve"> The company raised funds in three rounds from Sequoia Capital</w:t>
      </w:r>
      <w:r w:rsidR="009629BF">
        <w:t>;</w:t>
      </w:r>
      <w:r w:rsidR="00215834" w:rsidRPr="00E92F02">
        <w:t xml:space="preserve"> Tree Line </w:t>
      </w:r>
      <w:r w:rsidR="00215834">
        <w:t>Advisors (Hong Kong) Limited</w:t>
      </w:r>
      <w:r w:rsidR="009629BF">
        <w:t>;</w:t>
      </w:r>
      <w:r w:rsidR="00215834" w:rsidRPr="00B615FE">
        <w:t xml:space="preserve"> </w:t>
      </w:r>
      <w:r w:rsidR="00215834">
        <w:t>The</w:t>
      </w:r>
      <w:r w:rsidR="00215834" w:rsidRPr="00E92F02">
        <w:t xml:space="preserve"> American Express</w:t>
      </w:r>
      <w:r w:rsidR="00215834">
        <w:t xml:space="preserve"> Company</w:t>
      </w:r>
      <w:r w:rsidR="009629BF">
        <w:t>;</w:t>
      </w:r>
      <w:r w:rsidR="00215834" w:rsidRPr="00E92F02">
        <w:t xml:space="preserve"> GMO Payment Gateway, </w:t>
      </w:r>
      <w:r w:rsidR="00215834">
        <w:t>Inc.</w:t>
      </w:r>
      <w:r w:rsidR="009629BF">
        <w:t>;</w:t>
      </w:r>
      <w:r w:rsidR="00215834" w:rsidRPr="00B615FE">
        <w:t xml:space="preserve"> </w:t>
      </w:r>
      <w:r w:rsidR="00215834" w:rsidRPr="00E92F02">
        <w:t>MediaTek</w:t>
      </w:r>
      <w:r w:rsidR="00215834">
        <w:t xml:space="preserve"> Inc.</w:t>
      </w:r>
      <w:r w:rsidR="009629BF">
        <w:t>;</w:t>
      </w:r>
      <w:r w:rsidR="00215834" w:rsidRPr="00E92F02">
        <w:t xml:space="preserve"> Cisco Investments</w:t>
      </w:r>
      <w:r w:rsidR="009629BF">
        <w:t>;</w:t>
      </w:r>
      <w:r w:rsidR="00215834" w:rsidRPr="00E92F02">
        <w:t xml:space="preserve"> and </w:t>
      </w:r>
      <w:r w:rsidR="00215834" w:rsidRPr="00B615FE">
        <w:t>Net</w:t>
      </w:r>
      <w:r w:rsidR="008C6717">
        <w:t xml:space="preserve"> </w:t>
      </w:r>
      <w:r w:rsidR="00215834" w:rsidRPr="00B615FE">
        <w:t>1.</w:t>
      </w:r>
      <w:r w:rsidR="00215834" w:rsidRPr="006C5EE7">
        <w:rPr>
          <w:rStyle w:val="EndnoteReference"/>
        </w:rPr>
        <w:endnoteReference w:id="44"/>
      </w:r>
      <w:r w:rsidR="00215834" w:rsidRPr="00B615FE">
        <w:t xml:space="preserve"> </w:t>
      </w:r>
      <w:r w:rsidR="00215834">
        <w:t>The service</w:t>
      </w:r>
      <w:r w:rsidRPr="00B615FE">
        <w:t xml:space="preserve"> ha</w:t>
      </w:r>
      <w:r w:rsidR="00215834">
        <w:t>d</w:t>
      </w:r>
      <w:r w:rsidRPr="00B615FE">
        <w:t xml:space="preserve"> 40 million users and </w:t>
      </w:r>
      <w:r w:rsidR="00215834">
        <w:t>had</w:t>
      </w:r>
      <w:r w:rsidRPr="00B615FE">
        <w:t xml:space="preserve"> been accepted by </w:t>
      </w:r>
      <w:r w:rsidR="00215834">
        <w:t>250,000</w:t>
      </w:r>
      <w:r w:rsidRPr="00B615FE">
        <w:t xml:space="preserve"> merchants.</w:t>
      </w:r>
      <w:r w:rsidRPr="006C5EE7">
        <w:rPr>
          <w:rStyle w:val="EndnoteReference"/>
        </w:rPr>
        <w:endnoteReference w:id="45"/>
      </w:r>
      <w:r w:rsidR="00215834">
        <w:t xml:space="preserve"> </w:t>
      </w:r>
    </w:p>
    <w:p w14:paraId="32E377E3" w14:textId="77777777" w:rsidR="0037537F" w:rsidRDefault="0037537F" w:rsidP="009B21DF">
      <w:pPr>
        <w:pStyle w:val="BodyTextMain"/>
      </w:pPr>
    </w:p>
    <w:p w14:paraId="7E3DD372" w14:textId="02572C69" w:rsidR="009B21DF" w:rsidRPr="00E92F02" w:rsidRDefault="00215834" w:rsidP="009B21DF">
      <w:pPr>
        <w:pStyle w:val="BodyTextMain"/>
      </w:pPr>
      <w:r>
        <w:t>MobiKwik was a semi-closed m-w</w:t>
      </w:r>
      <w:r w:rsidR="009B21DF" w:rsidRPr="00B615FE">
        <w:t xml:space="preserve">allet that allowed users to top up </w:t>
      </w:r>
      <w:r>
        <w:t xml:space="preserve">their accounts with a </w:t>
      </w:r>
      <w:r w:rsidR="009B21DF" w:rsidRPr="00B615FE">
        <w:t xml:space="preserve">debit card, credit card, </w:t>
      </w:r>
      <w:r>
        <w:t>Intern</w:t>
      </w:r>
      <w:r w:rsidR="009B21DF" w:rsidRPr="00B615FE">
        <w:t xml:space="preserve">et banking, </w:t>
      </w:r>
      <w:r>
        <w:t>or</w:t>
      </w:r>
      <w:r w:rsidR="009B21DF" w:rsidRPr="00B615FE">
        <w:t xml:space="preserve"> </w:t>
      </w:r>
      <w:r w:rsidR="009B21DF" w:rsidRPr="004849AF">
        <w:t xml:space="preserve">cash </w:t>
      </w:r>
      <w:r>
        <w:t>paid directly to MobiKwik</w:t>
      </w:r>
      <w:r w:rsidR="009B21DF" w:rsidRPr="00B615FE">
        <w:t>.</w:t>
      </w:r>
      <w:r w:rsidR="009B21DF" w:rsidRPr="006C5EE7">
        <w:rPr>
          <w:rStyle w:val="EndnoteReference"/>
        </w:rPr>
        <w:endnoteReference w:id="46"/>
      </w:r>
      <w:r w:rsidR="009B21DF" w:rsidRPr="00B615FE">
        <w:t xml:space="preserve"> </w:t>
      </w:r>
      <w:r w:rsidR="0048111E">
        <w:t>The service could be</w:t>
      </w:r>
      <w:r w:rsidR="009B21DF" w:rsidRPr="00E92F02">
        <w:t xml:space="preserve"> used to recharge </w:t>
      </w:r>
      <w:r w:rsidR="009B21DF" w:rsidRPr="00B615FE">
        <w:t>mobile</w:t>
      </w:r>
      <w:r w:rsidR="0048111E">
        <w:t xml:space="preserve"> account</w:t>
      </w:r>
      <w:r w:rsidR="009B21DF" w:rsidRPr="00B615FE">
        <w:t>s</w:t>
      </w:r>
      <w:r w:rsidR="009B21DF" w:rsidRPr="00E92F02">
        <w:t xml:space="preserve"> and make bill payments</w:t>
      </w:r>
      <w:r w:rsidR="0048111E">
        <w:t>,</w:t>
      </w:r>
      <w:r w:rsidR="0048111E" w:rsidRPr="00E92F02">
        <w:t xml:space="preserve"> and </w:t>
      </w:r>
      <w:r w:rsidR="0048111E">
        <w:t>it was</w:t>
      </w:r>
      <w:r w:rsidR="009B21DF" w:rsidRPr="00E92F02">
        <w:t xml:space="preserve"> accepted by merchants offering a </w:t>
      </w:r>
      <w:r w:rsidR="009B21DF" w:rsidRPr="00B615FE">
        <w:t>variety of services</w:t>
      </w:r>
      <w:r w:rsidR="0048111E">
        <w:t>, such as</w:t>
      </w:r>
      <w:r w:rsidR="009B21DF" w:rsidRPr="00B615FE">
        <w:t xml:space="preserve"> </w:t>
      </w:r>
      <w:r w:rsidR="0048111E">
        <w:t>cinemas</w:t>
      </w:r>
      <w:r w:rsidR="009B21DF" w:rsidRPr="00E92F02">
        <w:t xml:space="preserve">, travel </w:t>
      </w:r>
      <w:r w:rsidR="0048111E">
        <w:t>agents</w:t>
      </w:r>
      <w:r w:rsidR="009B21DF" w:rsidRPr="00B615FE">
        <w:t>,</w:t>
      </w:r>
      <w:r w:rsidR="009B21DF" w:rsidRPr="00E92F02">
        <w:t xml:space="preserve"> fast food chains, </w:t>
      </w:r>
      <w:r w:rsidR="0048111E">
        <w:t xml:space="preserve">and </w:t>
      </w:r>
      <w:r w:rsidR="0048111E" w:rsidRPr="00E92F02">
        <w:t>online shopping portals</w:t>
      </w:r>
      <w:r w:rsidR="009B21DF" w:rsidRPr="00B615FE">
        <w:t>.</w:t>
      </w:r>
      <w:r w:rsidR="006C5EE7" w:rsidRPr="00E92F02">
        <w:t xml:space="preserve"> </w:t>
      </w:r>
    </w:p>
    <w:p w14:paraId="1C745F9A" w14:textId="77777777" w:rsidR="009B21DF" w:rsidRPr="00B615FE" w:rsidRDefault="009B21DF" w:rsidP="009B21DF">
      <w:pPr>
        <w:pStyle w:val="BodyTextMain"/>
      </w:pPr>
    </w:p>
    <w:p w14:paraId="3B007902" w14:textId="31F476EC" w:rsidR="0037537F" w:rsidRDefault="009B21DF" w:rsidP="009B21DF">
      <w:pPr>
        <w:pStyle w:val="BodyTextMain"/>
        <w:rPr>
          <w:shd w:val="clear" w:color="auto" w:fill="FFFFFF"/>
        </w:rPr>
      </w:pPr>
      <w:r w:rsidRPr="00273AE1">
        <w:rPr>
          <w:i/>
        </w:rPr>
        <w:t>Paytm</w:t>
      </w:r>
      <w:r w:rsidRPr="00273AE1">
        <w:t>: Vijay Shekhar Sharma established One97 Communications L</w:t>
      </w:r>
      <w:r w:rsidR="003F4482" w:rsidRPr="00273AE1">
        <w:t>imited</w:t>
      </w:r>
      <w:r w:rsidRPr="00273AE1">
        <w:t xml:space="preserve"> </w:t>
      </w:r>
      <w:r w:rsidR="005E142F" w:rsidRPr="00273AE1">
        <w:t>i</w:t>
      </w:r>
      <w:r w:rsidR="008A37E7" w:rsidRPr="00273AE1">
        <w:t>n 2000</w:t>
      </w:r>
      <w:r w:rsidR="003F4482" w:rsidRPr="00273AE1">
        <w:t xml:space="preserve"> to </w:t>
      </w:r>
      <w:r w:rsidRPr="00273AE1">
        <w:t xml:space="preserve">launch </w:t>
      </w:r>
      <w:r w:rsidR="003F4482" w:rsidRPr="00273AE1">
        <w:t>the</w:t>
      </w:r>
      <w:r w:rsidRPr="00273AE1">
        <w:t xml:space="preserve"> prepai</w:t>
      </w:r>
      <w:r w:rsidR="008A37E7" w:rsidRPr="00273AE1">
        <w:t>d</w:t>
      </w:r>
      <w:r w:rsidR="008A37E7">
        <w:t xml:space="preserve"> </w:t>
      </w:r>
      <w:r w:rsidR="008A37E7" w:rsidRPr="00286971">
        <w:t>mobile recharge website Paytm</w:t>
      </w:r>
      <w:r w:rsidRPr="00286971">
        <w:t>.</w:t>
      </w:r>
      <w:r w:rsidRPr="00286971">
        <w:rPr>
          <w:rStyle w:val="EndnoteReference"/>
        </w:rPr>
        <w:endnoteReference w:id="47"/>
      </w:r>
      <w:r w:rsidRPr="00286971">
        <w:t xml:space="preserve"> The company raised capital from the Indian industrialist Ratan Tata in</w:t>
      </w:r>
      <w:r w:rsidRPr="00E92F02">
        <w:t xml:space="preserve"> March 2015,</w:t>
      </w:r>
      <w:r w:rsidR="006C5EE7">
        <w:t xml:space="preserve"> </w:t>
      </w:r>
      <w:r w:rsidR="003F4482">
        <w:t xml:space="preserve">then secured funding of </w:t>
      </w:r>
      <w:r w:rsidR="006C5EE7">
        <w:t>$</w:t>
      </w:r>
      <w:r w:rsidRPr="00E92F02">
        <w:t>680 million from the Alibaba Group</w:t>
      </w:r>
      <w:r w:rsidR="003F4482" w:rsidRPr="00E92F02">
        <w:t xml:space="preserve"> </w:t>
      </w:r>
      <w:r w:rsidR="003F4482">
        <w:t>Holding Limited</w:t>
      </w:r>
      <w:r w:rsidRPr="00B615FE">
        <w:t xml:space="preserve"> </w:t>
      </w:r>
      <w:r w:rsidRPr="00E92F02">
        <w:t xml:space="preserve">and Ant </w:t>
      </w:r>
      <w:r w:rsidRPr="00F46FDE">
        <w:t>Financial</w:t>
      </w:r>
      <w:r w:rsidR="003F4482" w:rsidRPr="00F46FDE">
        <w:t xml:space="preserve"> Services Group</w:t>
      </w:r>
      <w:r w:rsidRPr="00F46FDE">
        <w:t xml:space="preserve">. In 2016, Alibaba </w:t>
      </w:r>
      <w:r w:rsidR="009629BF" w:rsidRPr="00F46FDE">
        <w:t xml:space="preserve">Group Holding Limited </w:t>
      </w:r>
      <w:r w:rsidRPr="00F46FDE">
        <w:t>was the</w:t>
      </w:r>
      <w:r w:rsidR="006C5EE7" w:rsidRPr="00F46FDE">
        <w:t xml:space="preserve"> </w:t>
      </w:r>
      <w:r w:rsidRPr="00F46FDE">
        <w:rPr>
          <w:bdr w:val="none" w:sz="0" w:space="0" w:color="auto" w:frame="1"/>
        </w:rPr>
        <w:t>single largest shareholder in</w:t>
      </w:r>
      <w:r w:rsidRPr="00A01987">
        <w:rPr>
          <w:bdr w:val="none" w:sz="0" w:space="0" w:color="auto" w:frame="1"/>
          <w:shd w:val="clear" w:color="auto" w:fill="FFFFFF"/>
        </w:rPr>
        <w:t xml:space="preserve"> Paytm</w:t>
      </w:r>
      <w:r w:rsidR="006C5EE7">
        <w:rPr>
          <w:shd w:val="clear" w:color="auto" w:fill="FFFFFF"/>
        </w:rPr>
        <w:t xml:space="preserve"> </w:t>
      </w:r>
      <w:r w:rsidRPr="00B615FE">
        <w:rPr>
          <w:shd w:val="clear" w:color="auto" w:fill="FFFFFF"/>
        </w:rPr>
        <w:t>with 40 per</w:t>
      </w:r>
      <w:r w:rsidR="003F4482">
        <w:rPr>
          <w:shd w:val="clear" w:color="auto" w:fill="FFFFFF"/>
        </w:rPr>
        <w:t xml:space="preserve"> </w:t>
      </w:r>
      <w:r w:rsidRPr="00B615FE">
        <w:rPr>
          <w:shd w:val="clear" w:color="auto" w:fill="FFFFFF"/>
        </w:rPr>
        <w:t xml:space="preserve">cent </w:t>
      </w:r>
      <w:r w:rsidR="003F4482">
        <w:rPr>
          <w:shd w:val="clear" w:color="auto" w:fill="FFFFFF"/>
        </w:rPr>
        <w:t xml:space="preserve">of the </w:t>
      </w:r>
      <w:r w:rsidRPr="00E92F02">
        <w:rPr>
          <w:shd w:val="clear" w:color="auto" w:fill="FFFFFF"/>
        </w:rPr>
        <w:t>shareholdings.</w:t>
      </w:r>
      <w:r w:rsidR="003A37DA" w:rsidRPr="006A0453">
        <w:rPr>
          <w:rStyle w:val="EndnoteReference"/>
        </w:rPr>
        <w:endnoteReference w:id="48"/>
      </w:r>
      <w:r w:rsidRPr="00B615FE">
        <w:rPr>
          <w:shd w:val="clear" w:color="auto" w:fill="FFFFFF"/>
        </w:rPr>
        <w:t xml:space="preserve"> </w:t>
      </w:r>
    </w:p>
    <w:p w14:paraId="55909343" w14:textId="77777777" w:rsidR="0037537F" w:rsidRDefault="0037537F" w:rsidP="009B21DF">
      <w:pPr>
        <w:pStyle w:val="BodyTextMain"/>
        <w:rPr>
          <w:shd w:val="clear" w:color="auto" w:fill="FFFFFF"/>
        </w:rPr>
      </w:pPr>
    </w:p>
    <w:p w14:paraId="24E5BBF2" w14:textId="29C9ECB3" w:rsidR="009B21DF" w:rsidRPr="00B615FE" w:rsidRDefault="0037537F" w:rsidP="009B21DF">
      <w:pPr>
        <w:pStyle w:val="BodyTextMain"/>
      </w:pPr>
      <w:r>
        <w:t xml:space="preserve">The Paytm m-wallet was </w:t>
      </w:r>
      <w:r w:rsidRPr="00E92F02">
        <w:t xml:space="preserve">launched </w:t>
      </w:r>
      <w:r>
        <w:t>in 2014 and became India’</w:t>
      </w:r>
      <w:r w:rsidR="009B21DF" w:rsidRPr="00B615FE">
        <w:t xml:space="preserve">s </w:t>
      </w:r>
      <w:r w:rsidR="009B21DF" w:rsidRPr="00E92F02">
        <w:t>largest semi-closed digital wallet. In August 2015, RBI</w:t>
      </w:r>
      <w:r w:rsidR="009B21DF" w:rsidRPr="00B615FE">
        <w:t xml:space="preserve"> granted </w:t>
      </w:r>
      <w:r>
        <w:t xml:space="preserve">Paytm </w:t>
      </w:r>
      <w:r w:rsidR="009B21DF" w:rsidRPr="00E92F02">
        <w:t>a licen</w:t>
      </w:r>
      <w:r w:rsidR="009629BF">
        <w:t>c</w:t>
      </w:r>
      <w:r w:rsidR="009B21DF" w:rsidRPr="00E92F02">
        <w:t>e</w:t>
      </w:r>
      <w:r w:rsidR="009B21DF" w:rsidRPr="00B615FE">
        <w:t xml:space="preserve"> to </w:t>
      </w:r>
      <w:r w:rsidR="009B21DF" w:rsidRPr="00E92F02">
        <w:t xml:space="preserve">set up a </w:t>
      </w:r>
      <w:r w:rsidR="009B21DF" w:rsidRPr="00B615FE">
        <w:t>payment bank in the country</w:t>
      </w:r>
      <w:r>
        <w:rPr>
          <w:bCs/>
        </w:rPr>
        <w:t xml:space="preserve">, which meant </w:t>
      </w:r>
      <w:r w:rsidRPr="00B615FE">
        <w:rPr>
          <w:shd w:val="clear" w:color="auto" w:fill="FFFFFF"/>
        </w:rPr>
        <w:t xml:space="preserve">Paytm </w:t>
      </w:r>
      <w:r>
        <w:rPr>
          <w:shd w:val="clear" w:color="auto" w:fill="FFFFFF"/>
        </w:rPr>
        <w:t>had</w:t>
      </w:r>
      <w:r w:rsidRPr="00B615FE">
        <w:rPr>
          <w:shd w:val="clear" w:color="auto" w:fill="FFFFFF"/>
        </w:rPr>
        <w:t xml:space="preserve"> three business models: o</w:t>
      </w:r>
      <w:r w:rsidRPr="00B615FE">
        <w:t xml:space="preserve">nline payments, payment </w:t>
      </w:r>
      <w:r w:rsidRPr="00B615FE">
        <w:rPr>
          <w:noProof/>
        </w:rPr>
        <w:t>banks,</w:t>
      </w:r>
      <w:r w:rsidRPr="00B615FE">
        <w:t xml:space="preserve"> and an e-commerce portal.</w:t>
      </w:r>
      <w:r w:rsidRPr="006C5EE7">
        <w:rPr>
          <w:rStyle w:val="EndnoteReference"/>
        </w:rPr>
        <w:endnoteReference w:id="49"/>
      </w:r>
      <w:r w:rsidRPr="00B615FE">
        <w:t xml:space="preserve"> </w:t>
      </w:r>
      <w:r w:rsidR="009B21DF" w:rsidRPr="004849AF">
        <w:t xml:space="preserve">In </w:t>
      </w:r>
      <w:r w:rsidR="009B21DF" w:rsidRPr="006A0453">
        <w:t xml:space="preserve">2016, </w:t>
      </w:r>
      <w:r w:rsidR="009B21DF" w:rsidRPr="00A01987">
        <w:rPr>
          <w:noProof/>
        </w:rPr>
        <w:t>Paytm</w:t>
      </w:r>
      <w:r w:rsidR="009B21DF" w:rsidRPr="00A01987">
        <w:t xml:space="preserve"> </w:t>
      </w:r>
      <w:r w:rsidR="00B94B3C" w:rsidRPr="00E92F02">
        <w:t xml:space="preserve">had over </w:t>
      </w:r>
      <w:r w:rsidR="00B94B3C">
        <w:t>15</w:t>
      </w:r>
      <w:r w:rsidR="00F22237">
        <w:t>5</w:t>
      </w:r>
      <w:r>
        <w:t xml:space="preserve"> million</w:t>
      </w:r>
      <w:r w:rsidR="009B21DF" w:rsidRPr="00B615FE">
        <w:t xml:space="preserve"> </w:t>
      </w:r>
      <w:r>
        <w:t>m-w</w:t>
      </w:r>
      <w:r w:rsidR="009B21DF" w:rsidRPr="00B615FE">
        <w:t>allet</w:t>
      </w:r>
      <w:r w:rsidR="009B21DF" w:rsidRPr="00E92F02">
        <w:t xml:space="preserve"> users</w:t>
      </w:r>
      <w:r w:rsidR="009B21DF" w:rsidRPr="00B615FE">
        <w:t xml:space="preserve"> </w:t>
      </w:r>
      <w:r>
        <w:t>and</w:t>
      </w:r>
      <w:r w:rsidR="009B21DF" w:rsidRPr="00B615FE">
        <w:t xml:space="preserve"> 1</w:t>
      </w:r>
      <w:r>
        <w:t>.</w:t>
      </w:r>
      <w:r w:rsidR="009B21DF" w:rsidRPr="00B615FE">
        <w:t>5</w:t>
      </w:r>
      <w:r>
        <w:t xml:space="preserve"> million</w:t>
      </w:r>
      <w:r w:rsidRPr="00E92F02">
        <w:t xml:space="preserve"> </w:t>
      </w:r>
      <w:r w:rsidR="009B21DF" w:rsidRPr="00E92F02">
        <w:t>offline merchants who accepted payments through Paytm.</w:t>
      </w:r>
      <w:r w:rsidR="009B21DF" w:rsidRPr="006C5EE7">
        <w:rPr>
          <w:rStyle w:val="EndnoteReference"/>
        </w:rPr>
        <w:endnoteReference w:id="50"/>
      </w:r>
      <w:r w:rsidR="006C5EE7">
        <w:t xml:space="preserve"> </w:t>
      </w:r>
    </w:p>
    <w:p w14:paraId="37846998" w14:textId="77777777" w:rsidR="009B21DF" w:rsidRPr="00B615FE" w:rsidRDefault="009B21DF" w:rsidP="009B21DF">
      <w:pPr>
        <w:pStyle w:val="BodyTextMain"/>
      </w:pPr>
    </w:p>
    <w:p w14:paraId="1C67EC63" w14:textId="428A5D2D" w:rsidR="009B21DF" w:rsidRPr="00E92F02" w:rsidRDefault="009B21DF" w:rsidP="009B21DF">
      <w:pPr>
        <w:pStyle w:val="BodyTextMain"/>
        <w:rPr>
          <w:i/>
        </w:rPr>
      </w:pPr>
      <w:r w:rsidRPr="006A0453">
        <w:rPr>
          <w:i/>
        </w:rPr>
        <w:t>Oxigen</w:t>
      </w:r>
      <w:r w:rsidRPr="006A0453">
        <w:t>:</w:t>
      </w:r>
      <w:r w:rsidRPr="00E92F02">
        <w:rPr>
          <w:b/>
        </w:rPr>
        <w:t xml:space="preserve"> </w:t>
      </w:r>
      <w:r w:rsidRPr="00E92F02">
        <w:t xml:space="preserve">In 2008, Pramod </w:t>
      </w:r>
      <w:r w:rsidRPr="00B615FE">
        <w:t xml:space="preserve">Saxana, promoter of Oxigen Services </w:t>
      </w:r>
      <w:r w:rsidR="00862EC9">
        <w:t>Private</w:t>
      </w:r>
      <w:r w:rsidRPr="00B615FE">
        <w:t xml:space="preserve"> </w:t>
      </w:r>
      <w:r w:rsidR="00862EC9">
        <w:t>Limited</w:t>
      </w:r>
      <w:r w:rsidRPr="00E92F02">
        <w:t>, launched India’s first virtual mobile wallet</w:t>
      </w:r>
      <w:r w:rsidR="008F4110">
        <w:t>,</w:t>
      </w:r>
      <w:r w:rsidRPr="006C5EE7">
        <w:rPr>
          <w:rStyle w:val="EndnoteReference"/>
        </w:rPr>
        <w:endnoteReference w:id="51"/>
      </w:r>
      <w:r w:rsidRPr="00B615FE">
        <w:t xml:space="preserve"> </w:t>
      </w:r>
      <w:r w:rsidR="008F4110" w:rsidRPr="00E92F02">
        <w:t xml:space="preserve">approved </w:t>
      </w:r>
      <w:r w:rsidR="008F4110">
        <w:rPr>
          <w:noProof/>
        </w:rPr>
        <w:t>by the</w:t>
      </w:r>
      <w:r w:rsidRPr="00B615FE">
        <w:t xml:space="preserve"> RBI</w:t>
      </w:r>
      <w:r w:rsidR="008F4110">
        <w:t xml:space="preserve"> to</w:t>
      </w:r>
      <w:r w:rsidRPr="00B615FE">
        <w:t xml:space="preserve"> facilitate </w:t>
      </w:r>
      <w:r w:rsidR="008F4110">
        <w:t>payment</w:t>
      </w:r>
      <w:r w:rsidRPr="00E92F02">
        <w:t xml:space="preserve"> through social</w:t>
      </w:r>
      <w:r w:rsidRPr="00B615FE">
        <w:t xml:space="preserve"> networks, </w:t>
      </w:r>
      <w:r w:rsidR="008F4110">
        <w:t>text messaging (</w:t>
      </w:r>
      <w:r w:rsidRPr="00E92F02">
        <w:t>SMS</w:t>
      </w:r>
      <w:r w:rsidR="008F4110">
        <w:t>)</w:t>
      </w:r>
      <w:r w:rsidRPr="00B615FE">
        <w:t xml:space="preserve">, </w:t>
      </w:r>
      <w:r w:rsidR="00F041B9">
        <w:t xml:space="preserve">or </w:t>
      </w:r>
      <w:r w:rsidR="00F041B9" w:rsidRPr="00B615FE">
        <w:t>email</w:t>
      </w:r>
      <w:r w:rsidR="00F041B9">
        <w:t>, using</w:t>
      </w:r>
      <w:r w:rsidR="00F041B9" w:rsidRPr="00E92F02">
        <w:t xml:space="preserve"> </w:t>
      </w:r>
      <w:r w:rsidRPr="00E92F02">
        <w:t>any mobile number</w:t>
      </w:r>
      <w:r w:rsidR="00F041B9">
        <w:t xml:space="preserve"> or</w:t>
      </w:r>
      <w:r w:rsidR="00F041B9" w:rsidRPr="00E92F02">
        <w:t xml:space="preserve"> </w:t>
      </w:r>
      <w:r w:rsidRPr="00E92F02">
        <w:t>bank, even if the recipient</w:t>
      </w:r>
      <w:r w:rsidRPr="00B615FE">
        <w:t xml:space="preserve"> </w:t>
      </w:r>
      <w:r w:rsidR="00F041B9">
        <w:t>was</w:t>
      </w:r>
      <w:r w:rsidRPr="00E92F02">
        <w:t xml:space="preserve"> not a registered Oxigen </w:t>
      </w:r>
      <w:r w:rsidR="00F041B9">
        <w:rPr>
          <w:noProof/>
        </w:rPr>
        <w:t>m-w</w:t>
      </w:r>
      <w:r w:rsidRPr="00B615FE">
        <w:rPr>
          <w:noProof/>
        </w:rPr>
        <w:t>allet</w:t>
      </w:r>
      <w:r w:rsidRPr="00E92F02">
        <w:t xml:space="preserve"> user.</w:t>
      </w:r>
      <w:r w:rsidRPr="00E92F02">
        <w:rPr>
          <w:rStyle w:val="EndnoteReference"/>
        </w:rPr>
        <w:endnoteReference w:id="52"/>
      </w:r>
      <w:r w:rsidRPr="00B615FE">
        <w:t xml:space="preserve"> </w:t>
      </w:r>
      <w:r w:rsidR="00F041B9">
        <w:t>Oxigen partnered</w:t>
      </w:r>
      <w:r w:rsidRPr="00E92F02">
        <w:t xml:space="preserve"> with the National Payment Corporation of India for instant money transfer services.</w:t>
      </w:r>
      <w:r w:rsidRPr="00E92F02">
        <w:rPr>
          <w:rStyle w:val="EndnoteReference"/>
        </w:rPr>
        <w:endnoteReference w:id="53"/>
      </w:r>
      <w:r w:rsidRPr="00B615FE">
        <w:t xml:space="preserve"> In 2016, Oxigen had </w:t>
      </w:r>
      <w:r w:rsidRPr="006A0453">
        <w:t>20</w:t>
      </w:r>
      <w:r w:rsidRPr="00E92F02">
        <w:rPr>
          <w:i/>
        </w:rPr>
        <w:t xml:space="preserve"> </w:t>
      </w:r>
      <w:r w:rsidRPr="006A0453">
        <w:t>million users and was accepted at 9,000 merchant locations and 10,000 online sites for e-commerce transactions.</w:t>
      </w:r>
      <w:r w:rsidRPr="006A0453">
        <w:rPr>
          <w:rStyle w:val="EndnoteReference"/>
        </w:rPr>
        <w:endnoteReference w:id="54"/>
      </w:r>
      <w:r w:rsidRPr="00E92F02">
        <w:rPr>
          <w:i/>
        </w:rPr>
        <w:t xml:space="preserve"> </w:t>
      </w:r>
    </w:p>
    <w:p w14:paraId="59E451A7" w14:textId="77777777" w:rsidR="009B21DF" w:rsidRPr="00B615FE" w:rsidRDefault="009B21DF" w:rsidP="009B21DF">
      <w:pPr>
        <w:pStyle w:val="BodyTextMain"/>
      </w:pPr>
    </w:p>
    <w:p w14:paraId="271D5CA5" w14:textId="77777777" w:rsidR="009B21DF" w:rsidRPr="00B615FE" w:rsidRDefault="009B21DF" w:rsidP="009B21DF">
      <w:pPr>
        <w:pStyle w:val="BodyTextMain"/>
      </w:pPr>
    </w:p>
    <w:p w14:paraId="66DF2CA6" w14:textId="77777777" w:rsidR="00622C89" w:rsidRDefault="00622C89" w:rsidP="006C5EE7">
      <w:pPr>
        <w:pStyle w:val="Casehead1"/>
        <w:keepNext/>
        <w:outlineLvl w:val="0"/>
      </w:pPr>
      <w:r>
        <w:t>Demonetization and the M-Wallet</w:t>
      </w:r>
    </w:p>
    <w:p w14:paraId="71659517" w14:textId="77777777" w:rsidR="00622C89" w:rsidRPr="00E92F02" w:rsidRDefault="00622C89" w:rsidP="006A0453">
      <w:pPr>
        <w:pStyle w:val="Casehead1"/>
        <w:keepNext/>
        <w:outlineLvl w:val="0"/>
      </w:pPr>
    </w:p>
    <w:p w14:paraId="2C77EBC7" w14:textId="1AC0CC2D" w:rsidR="009B21DF" w:rsidRPr="00641858" w:rsidRDefault="009B21DF" w:rsidP="006A0453">
      <w:pPr>
        <w:pStyle w:val="Casehead2"/>
      </w:pPr>
      <w:r w:rsidRPr="00E92F02">
        <w:t>The Effect of Demonetization on the M-Wallet Industry</w:t>
      </w:r>
    </w:p>
    <w:p w14:paraId="6DD3AD1B" w14:textId="77777777" w:rsidR="009B21DF" w:rsidRPr="00B615FE" w:rsidRDefault="009B21DF" w:rsidP="00771758">
      <w:pPr>
        <w:pStyle w:val="BodyTextMain"/>
        <w:keepNext/>
        <w:rPr>
          <w:color w:val="000000" w:themeColor="text1"/>
          <w:shd w:val="clear" w:color="auto" w:fill="FFFFFF"/>
        </w:rPr>
      </w:pPr>
    </w:p>
    <w:p w14:paraId="0F9CEFDD" w14:textId="5125727F" w:rsidR="009B21DF" w:rsidRPr="00B615FE" w:rsidRDefault="009B21DF" w:rsidP="006A0453">
      <w:pPr>
        <w:pStyle w:val="BodyTextMain"/>
      </w:pPr>
      <w:r w:rsidRPr="00562C72">
        <w:t>In 2016, India was among the most cash-intensive economies in the world.</w:t>
      </w:r>
      <w:r w:rsidRPr="00562C72">
        <w:rPr>
          <w:rStyle w:val="EndnoteReference"/>
        </w:rPr>
        <w:endnoteReference w:id="55"/>
      </w:r>
      <w:r w:rsidRPr="00562C72">
        <w:t xml:space="preserve"> Demonetization caused a liquid</w:t>
      </w:r>
      <w:r w:rsidRPr="00562C72">
        <w:rPr>
          <w:shd w:val="clear" w:color="auto" w:fill="000000" w:themeFill="text1"/>
        </w:rPr>
        <w:t xml:space="preserve"> </w:t>
      </w:r>
      <w:r w:rsidRPr="006A0453">
        <w:t>cash crunch in the economy and served as an unexp</w:t>
      </w:r>
      <w:r w:rsidR="00ED4BED" w:rsidRPr="006A0453">
        <w:t xml:space="preserve">ected boon for India’s leading </w:t>
      </w:r>
      <w:r w:rsidR="00ED4BED">
        <w:t>m-w</w:t>
      </w:r>
      <w:r w:rsidRPr="00B615FE">
        <w:t>allet</w:t>
      </w:r>
      <w:r w:rsidRPr="006A0453">
        <w:t xml:space="preserve"> providers, in terms of </w:t>
      </w:r>
      <w:r w:rsidR="009629BF">
        <w:t xml:space="preserve">both </w:t>
      </w:r>
      <w:r w:rsidRPr="006A0453">
        <w:t>a growing user base and the number of transactions reported</w:t>
      </w:r>
      <w:r w:rsidRPr="00E92F02">
        <w:t xml:space="preserve">. </w:t>
      </w:r>
      <w:r w:rsidR="00ED4BED">
        <w:t>According to</w:t>
      </w:r>
      <w:r w:rsidRPr="00E92F02">
        <w:t xml:space="preserve"> one study</w:t>
      </w:r>
      <w:r w:rsidR="009629BF">
        <w:t>,</w:t>
      </w:r>
      <w:r w:rsidRPr="00E92F02">
        <w:t xml:space="preserve"> “The </w:t>
      </w:r>
      <w:r w:rsidR="00ED4BED">
        <w:t>mobile wallet</w:t>
      </w:r>
      <w:r w:rsidRPr="00E92F02">
        <w:t xml:space="preserve"> market in India has been greatly benefited by </w:t>
      </w:r>
      <w:r w:rsidR="00ED4BED">
        <w:t>demoneti</w:t>
      </w:r>
      <w:r w:rsidR="00ED4BED">
        <w:rPr>
          <w:noProof/>
        </w:rPr>
        <w:t>s</w:t>
      </w:r>
      <w:r w:rsidRPr="00E92F02">
        <w:t xml:space="preserve">ation and its share in the total mobile payment volume transactions is likely to rise from 20 </w:t>
      </w:r>
      <w:r w:rsidRPr="00B615FE">
        <w:rPr>
          <w:noProof/>
        </w:rPr>
        <w:t>per</w:t>
      </w:r>
      <w:r w:rsidR="00ED4BED">
        <w:rPr>
          <w:noProof/>
        </w:rPr>
        <w:t xml:space="preserve"> </w:t>
      </w:r>
      <w:r w:rsidRPr="00B615FE">
        <w:rPr>
          <w:noProof/>
        </w:rPr>
        <w:t>cent</w:t>
      </w:r>
      <w:r w:rsidRPr="00E92F02">
        <w:t xml:space="preserve"> in FY16 </w:t>
      </w:r>
      <w:r w:rsidR="009629BF">
        <w:t xml:space="preserve">[fiscal year 2016] </w:t>
      </w:r>
      <w:r w:rsidRPr="00E92F02">
        <w:t>to 57 per cent by FY22</w:t>
      </w:r>
      <w:r w:rsidR="009629BF">
        <w:t xml:space="preserve"> [fiscal year 2022]</w:t>
      </w:r>
      <w:r w:rsidRPr="00E92F02">
        <w:t>.”</w:t>
      </w:r>
      <w:r w:rsidRPr="00E92F02">
        <w:rPr>
          <w:rStyle w:val="EndnoteReference"/>
        </w:rPr>
        <w:endnoteReference w:id="56"/>
      </w:r>
    </w:p>
    <w:p w14:paraId="12AA981A" w14:textId="16275E52" w:rsidR="009B21DF" w:rsidRPr="006A0453" w:rsidRDefault="009B21DF" w:rsidP="004849AF">
      <w:pPr>
        <w:pStyle w:val="BodyTextMain"/>
      </w:pPr>
    </w:p>
    <w:p w14:paraId="3599D45E" w14:textId="24A6423D" w:rsidR="009B21DF" w:rsidRPr="00B615FE" w:rsidRDefault="00ED4BED" w:rsidP="009B21DF">
      <w:pPr>
        <w:pStyle w:val="BodyTextMain"/>
      </w:pPr>
      <w:r w:rsidRPr="00E92F02">
        <w:t xml:space="preserve">Mukesh Ambani, </w:t>
      </w:r>
      <w:r>
        <w:t>c</w:t>
      </w:r>
      <w:r w:rsidRPr="00E92F02">
        <w:t xml:space="preserve">hairman and </w:t>
      </w:r>
      <w:r>
        <w:t>managing d</w:t>
      </w:r>
      <w:r w:rsidR="009B21DF" w:rsidRPr="00B615FE">
        <w:t>irector</w:t>
      </w:r>
      <w:r w:rsidR="009B21DF" w:rsidRPr="00E92F02">
        <w:t xml:space="preserve"> of Reliance Industries </w:t>
      </w:r>
      <w:r w:rsidR="001A3978">
        <w:t xml:space="preserve">Limited </w:t>
      </w:r>
      <w:r w:rsidRPr="00E92F02">
        <w:t xml:space="preserve">and </w:t>
      </w:r>
      <w:r>
        <w:t>p</w:t>
      </w:r>
      <w:r w:rsidR="009B21DF" w:rsidRPr="00E92F02">
        <w:t>romoter of JioMoney,</w:t>
      </w:r>
      <w:r w:rsidR="009B21DF" w:rsidRPr="00B615FE">
        <w:t xml:space="preserve"> congratulated </w:t>
      </w:r>
      <w:r>
        <w:t>India’s prime m</w:t>
      </w:r>
      <w:r w:rsidR="009B21DF" w:rsidRPr="00B615FE">
        <w:t>inister</w:t>
      </w:r>
      <w:r w:rsidR="009B21DF" w:rsidRPr="00E92F02">
        <w:t xml:space="preserve"> for his bold and historic decision to demonetize old currency</w:t>
      </w:r>
      <w:r>
        <w:t>. Ambani maintained</w:t>
      </w:r>
      <w:r w:rsidRPr="00E92F02">
        <w:t xml:space="preserve"> that </w:t>
      </w:r>
      <w:r w:rsidR="009B21DF" w:rsidRPr="00E92F02">
        <w:t>digitally</w:t>
      </w:r>
      <w:r w:rsidR="001A3978">
        <w:t>-</w:t>
      </w:r>
      <w:r w:rsidR="009B21DF" w:rsidRPr="00E92F02">
        <w:t xml:space="preserve">enabled </w:t>
      </w:r>
      <w:r w:rsidR="009B21DF" w:rsidRPr="00B615FE">
        <w:t xml:space="preserve">transactions would boost economic growth </w:t>
      </w:r>
      <w:r>
        <w:t>and bring</w:t>
      </w:r>
      <w:r w:rsidR="009B21DF" w:rsidRPr="00E92F02">
        <w:t xml:space="preserve"> unprecedented transparency and accountability</w:t>
      </w:r>
      <w:r>
        <w:t xml:space="preserve"> to India’s monetary system</w:t>
      </w:r>
      <w:r w:rsidR="009B21DF" w:rsidRPr="00E92F02">
        <w:t>.</w:t>
      </w:r>
      <w:r w:rsidR="009B21DF" w:rsidRPr="00E92F02">
        <w:rPr>
          <w:rStyle w:val="EndnoteReference"/>
        </w:rPr>
        <w:endnoteReference w:id="57"/>
      </w:r>
    </w:p>
    <w:p w14:paraId="6974F974" w14:textId="77777777" w:rsidR="009B21DF" w:rsidRPr="00B615FE" w:rsidRDefault="009B21DF" w:rsidP="009B21DF">
      <w:pPr>
        <w:pStyle w:val="BodyTextMain"/>
      </w:pPr>
    </w:p>
    <w:p w14:paraId="4792D924" w14:textId="0B01C91B" w:rsidR="009B21DF" w:rsidRPr="006A0453" w:rsidRDefault="009B21DF" w:rsidP="009B21DF">
      <w:pPr>
        <w:pStyle w:val="BodyTextMain"/>
        <w:rPr>
          <w:lang w:val="en-CA"/>
        </w:rPr>
      </w:pPr>
      <w:r w:rsidRPr="00E92F02">
        <w:lastRenderedPageBreak/>
        <w:t xml:space="preserve">Sharma, </w:t>
      </w:r>
      <w:r w:rsidR="00853C3A" w:rsidRPr="00E92F02">
        <w:t xml:space="preserve">Paytm’s </w:t>
      </w:r>
      <w:r w:rsidR="00853C3A">
        <w:rPr>
          <w:bCs/>
        </w:rPr>
        <w:t>p</w:t>
      </w:r>
      <w:r w:rsidRPr="00B615FE">
        <w:rPr>
          <w:bCs/>
        </w:rPr>
        <w:t>romoter</w:t>
      </w:r>
      <w:r w:rsidR="00853C3A">
        <w:rPr>
          <w:bCs/>
        </w:rPr>
        <w:t xml:space="preserve">, was equally enthusiastic about demonetization, tweeting, “Keep the money digital. Superb step by our dear PM </w:t>
      </w:r>
      <w:r w:rsidR="00853C3A" w:rsidRPr="00853C3A">
        <w:rPr>
          <w:bCs/>
          <w:lang w:val="en-CA"/>
        </w:rPr>
        <w:t xml:space="preserve">@narendramodi. From a bit inconvenience to incredible bold step! #win# </w:t>
      </w:r>
      <w:r w:rsidR="00853C3A" w:rsidRPr="006A0453">
        <w:rPr>
          <w:lang w:val="en-CA"/>
        </w:rPr>
        <w:t xml:space="preserve">The </w:t>
      </w:r>
      <w:r w:rsidR="00853C3A" w:rsidRPr="00853C3A">
        <w:rPr>
          <w:bCs/>
          <w:lang w:val="en-CA"/>
        </w:rPr>
        <w:t>biggest, boldest</w:t>
      </w:r>
      <w:r w:rsidR="00853C3A" w:rsidRPr="006A0453">
        <w:rPr>
          <w:lang w:val="en-CA"/>
        </w:rPr>
        <w:t xml:space="preserve"> and </w:t>
      </w:r>
      <w:r w:rsidR="00853C3A" w:rsidRPr="00853C3A">
        <w:rPr>
          <w:bCs/>
          <w:lang w:val="en-CA"/>
        </w:rPr>
        <w:t xml:space="preserve">the most ambitious surgical strike by any government in the world. Hats off to our PM for removing </w:t>
      </w:r>
      <w:r w:rsidR="005F58A2" w:rsidRPr="006C5EE7">
        <w:rPr>
          <w:rFonts w:ascii="Arial" w:hAnsi="Arial" w:cs="Tahoma"/>
          <w:sz w:val="20"/>
          <w:shd w:val="clear" w:color="auto" w:fill="FFFFFF"/>
        </w:rPr>
        <w:t>₹</w:t>
      </w:r>
      <w:r w:rsidR="00853C3A" w:rsidRPr="00853C3A">
        <w:rPr>
          <w:bCs/>
          <w:lang w:val="en-CA"/>
        </w:rPr>
        <w:t>500/</w:t>
      </w:r>
      <w:r w:rsidR="00853C3A" w:rsidRPr="006A0453">
        <w:rPr>
          <w:lang w:val="en-CA"/>
        </w:rPr>
        <w:t>1,000 notes</w:t>
      </w:r>
      <w:r w:rsidR="00853C3A" w:rsidRPr="00853C3A">
        <w:rPr>
          <w:bCs/>
          <w:lang w:val="en-CA"/>
        </w:rPr>
        <w:t>. This is a golden day to be a tech entrepreneur in India. Specially a FinTech one.</w:t>
      </w:r>
      <w:r w:rsidR="00853C3A">
        <w:rPr>
          <w:bCs/>
          <w:lang w:val="en-CA"/>
        </w:rPr>
        <w:t>”</w:t>
      </w:r>
      <w:r w:rsidR="00853C3A" w:rsidRPr="006A0453">
        <w:rPr>
          <w:rStyle w:val="EndnoteReference"/>
          <w:lang w:val="en-CA"/>
        </w:rPr>
        <w:endnoteReference w:id="58"/>
      </w:r>
      <w:r w:rsidR="0037589C" w:rsidRPr="006A0453">
        <w:rPr>
          <w:lang w:val="en-CA"/>
        </w:rPr>
        <w:t xml:space="preserve"> </w:t>
      </w:r>
      <w:r w:rsidRPr="00E92F02">
        <w:t>Since demonetization</w:t>
      </w:r>
      <w:r w:rsidR="0037589C" w:rsidRPr="0037589C">
        <w:t xml:space="preserve"> </w:t>
      </w:r>
      <w:r w:rsidR="0037589C">
        <w:t>was</w:t>
      </w:r>
      <w:r w:rsidR="0037589C" w:rsidRPr="00B615FE">
        <w:t xml:space="preserve"> </w:t>
      </w:r>
      <w:r w:rsidR="0037589C">
        <w:t xml:space="preserve">announced, </w:t>
      </w:r>
      <w:r w:rsidRPr="00B615FE">
        <w:rPr>
          <w:noProof/>
        </w:rPr>
        <w:t xml:space="preserve">Paytm </w:t>
      </w:r>
      <w:r w:rsidR="0037589C">
        <w:rPr>
          <w:noProof/>
        </w:rPr>
        <w:t>had</w:t>
      </w:r>
      <w:r w:rsidR="0037589C" w:rsidRPr="00E92F02">
        <w:t xml:space="preserve"> </w:t>
      </w:r>
      <w:r w:rsidRPr="00E92F02">
        <w:t xml:space="preserve">acquired over 5 million new users and </w:t>
      </w:r>
      <w:r w:rsidRPr="00B615FE">
        <w:t>registered over 7 million transactions</w:t>
      </w:r>
      <w:r w:rsidRPr="00E92F02">
        <w:t xml:space="preserve"> in a day</w:t>
      </w:r>
      <w:r w:rsidRPr="00E92F02">
        <w:rPr>
          <w:rStyle w:val="EndnoteReference"/>
        </w:rPr>
        <w:endnoteReference w:id="59"/>
      </w:r>
      <w:r w:rsidR="0037589C">
        <w:t>—an increase</w:t>
      </w:r>
      <w:r w:rsidR="0037589C" w:rsidRPr="00E92F02">
        <w:t xml:space="preserve"> from </w:t>
      </w:r>
      <w:r w:rsidR="0037589C">
        <w:t xml:space="preserve">the previous count of </w:t>
      </w:r>
      <w:r w:rsidR="0037589C" w:rsidRPr="00E92F02">
        <w:t xml:space="preserve">2.5 </w:t>
      </w:r>
      <w:r w:rsidR="0037589C">
        <w:t>million daily transactions</w:t>
      </w:r>
      <w:r w:rsidRPr="00E92F02">
        <w:t>.</w:t>
      </w:r>
      <w:r w:rsidRPr="00E92F02">
        <w:rPr>
          <w:rStyle w:val="EndnoteReference"/>
        </w:rPr>
        <w:endnoteReference w:id="60"/>
      </w:r>
      <w:r w:rsidRPr="00B615FE">
        <w:t xml:space="preserve"> </w:t>
      </w:r>
    </w:p>
    <w:p w14:paraId="67A11989" w14:textId="4027C3EC" w:rsidR="009B21DF" w:rsidRPr="00E92F02" w:rsidRDefault="009B21DF" w:rsidP="009B21DF">
      <w:pPr>
        <w:pStyle w:val="BodyTextMain"/>
      </w:pPr>
    </w:p>
    <w:p w14:paraId="2A5D8658" w14:textId="1947D84F" w:rsidR="009B21DF" w:rsidRPr="00E92F02" w:rsidRDefault="009B21DF" w:rsidP="009B21DF">
      <w:pPr>
        <w:pStyle w:val="BodyTextMain"/>
      </w:pPr>
      <w:r w:rsidRPr="00E92F02">
        <w:t xml:space="preserve">According to </w:t>
      </w:r>
      <w:r w:rsidR="00C925D1">
        <w:t>MobiKwik’s co-founder</w:t>
      </w:r>
      <w:r w:rsidR="00C925D1" w:rsidRPr="00E92F02">
        <w:t xml:space="preserve"> </w:t>
      </w:r>
      <w:r w:rsidRPr="00E92F02">
        <w:t xml:space="preserve">Singh, </w:t>
      </w:r>
      <w:r w:rsidR="00C925D1">
        <w:t>“Demonetis</w:t>
      </w:r>
      <w:r w:rsidRPr="00B615FE">
        <w:t>ation</w:t>
      </w:r>
      <w:r w:rsidRPr="00E92F02">
        <w:t xml:space="preserve"> has led to a massive shift in how Indians perceive payments. </w:t>
      </w:r>
      <w:r w:rsidR="00C925D1">
        <w:t xml:space="preserve">. . . </w:t>
      </w:r>
      <w:r w:rsidR="00C925D1" w:rsidRPr="00E92F02">
        <w:t xml:space="preserve">Before </w:t>
      </w:r>
      <w:r w:rsidR="00C925D1">
        <w:t>demonetis</w:t>
      </w:r>
      <w:r w:rsidRPr="00B615FE">
        <w:t xml:space="preserve">ation, </w:t>
      </w:r>
      <w:r w:rsidR="00C925D1">
        <w:t>[digital] wa</w:t>
      </w:r>
      <w:r w:rsidRPr="00B615FE">
        <w:t>llets</w:t>
      </w:r>
      <w:r w:rsidRPr="00E92F02">
        <w:t xml:space="preserve"> were an option and now they are a need. The entire industry has grown many</w:t>
      </w:r>
      <w:r w:rsidR="001A3978">
        <w:t>-</w:t>
      </w:r>
      <w:r w:rsidRPr="00E92F02">
        <w:t>fold in November and this unprecedented growth will continue.”</w:t>
      </w:r>
      <w:r w:rsidRPr="006C5EE7">
        <w:rPr>
          <w:rStyle w:val="EndnoteReference"/>
        </w:rPr>
        <w:endnoteReference w:id="61"/>
      </w:r>
      <w:r w:rsidRPr="00B615FE">
        <w:t xml:space="preserve"> MobiKwik reported 100 per</w:t>
      </w:r>
      <w:r w:rsidR="00C925D1">
        <w:t xml:space="preserve"> </w:t>
      </w:r>
      <w:r w:rsidRPr="00B615FE">
        <w:t>cent</w:t>
      </w:r>
      <w:r w:rsidRPr="00E92F02">
        <w:t xml:space="preserve"> growth in customer numbers</w:t>
      </w:r>
      <w:r w:rsidR="00070187">
        <w:t>.</w:t>
      </w:r>
      <w:r w:rsidR="00EF5DCA" w:rsidRPr="006C5EE7">
        <w:rPr>
          <w:rStyle w:val="EndnoteReference"/>
        </w:rPr>
        <w:endnoteReference w:id="62"/>
      </w:r>
      <w:r w:rsidRPr="00E92F02">
        <w:t xml:space="preserve"> </w:t>
      </w:r>
      <w:r w:rsidR="00070187">
        <w:t xml:space="preserve"> </w:t>
      </w:r>
      <w:r w:rsidRPr="00E92F02">
        <w:t xml:space="preserve"> </w:t>
      </w:r>
    </w:p>
    <w:p w14:paraId="50941863" w14:textId="77777777" w:rsidR="009B21DF" w:rsidRPr="00B615FE" w:rsidRDefault="009B21DF" w:rsidP="009B21DF">
      <w:pPr>
        <w:pStyle w:val="BodyTextMain"/>
      </w:pPr>
    </w:p>
    <w:p w14:paraId="60F7B52F" w14:textId="60F79EB0" w:rsidR="009B21DF" w:rsidRPr="00B615FE" w:rsidRDefault="009B21DF" w:rsidP="009B21DF">
      <w:pPr>
        <w:pStyle w:val="BodyTextMain"/>
      </w:pPr>
      <w:r w:rsidRPr="00B615FE">
        <w:t>Pramod Saxena, Oxigen’s</w:t>
      </w:r>
      <w:r w:rsidR="00EF5DCA">
        <w:t xml:space="preserve"> p</w:t>
      </w:r>
      <w:r w:rsidRPr="00E92F02">
        <w:t>romoter, remarked, “</w:t>
      </w:r>
      <w:r w:rsidR="00EF5DCA" w:rsidRPr="006A0453">
        <w:rPr>
          <w:lang w:val="en-CA"/>
        </w:rPr>
        <w:t xml:space="preserve">Ever since </w:t>
      </w:r>
      <w:r w:rsidR="00EF5DCA" w:rsidRPr="00EF5DCA">
        <w:rPr>
          <w:lang w:val="en-CA"/>
        </w:rPr>
        <w:t>Prime Minister Narendra Modi’s</w:t>
      </w:r>
      <w:r w:rsidR="00EF5DCA" w:rsidRPr="006A0453">
        <w:rPr>
          <w:lang w:val="en-CA"/>
        </w:rPr>
        <w:t xml:space="preserve"> demonetization announcement, we have suddenly seen a spike in both app downloads </w:t>
      </w:r>
      <w:r w:rsidR="001A3978">
        <w:rPr>
          <w:lang w:val="en-CA"/>
        </w:rPr>
        <w:t>and</w:t>
      </w:r>
      <w:r w:rsidR="00EF5DCA" w:rsidRPr="006A0453">
        <w:rPr>
          <w:lang w:val="en-CA"/>
        </w:rPr>
        <w:t xml:space="preserve"> merchant registrations. This spike is now coming from all cities, big and small, pan-India, consisting of small merchants like vegetable vendors,</w:t>
      </w:r>
      <w:r w:rsidR="00F46FDE">
        <w:rPr>
          <w:lang w:val="en-CA"/>
        </w:rPr>
        <w:t xml:space="preserve"> Kirana </w:t>
      </w:r>
      <w:r w:rsidR="00EF5DCA" w:rsidRPr="006A0453">
        <w:rPr>
          <w:lang w:val="en-CA"/>
        </w:rPr>
        <w:t xml:space="preserve">shopkeepers </w:t>
      </w:r>
      <w:r w:rsidR="00EF5DCA" w:rsidRPr="00EF5DCA">
        <w:rPr>
          <w:lang w:val="en-CA"/>
        </w:rPr>
        <w:t>[small convenience</w:t>
      </w:r>
      <w:r w:rsidR="00EF5DCA" w:rsidRPr="006A0453">
        <w:rPr>
          <w:lang w:val="en-CA"/>
        </w:rPr>
        <w:t xml:space="preserve"> stores</w:t>
      </w:r>
      <w:r w:rsidR="00EF5DCA" w:rsidRPr="00EF5DCA">
        <w:rPr>
          <w:lang w:val="en-CA"/>
        </w:rPr>
        <w:t>],</w:t>
      </w:r>
      <w:r w:rsidR="00EF5DCA" w:rsidRPr="006A0453">
        <w:rPr>
          <w:lang w:val="en-CA"/>
        </w:rPr>
        <w:t xml:space="preserve"> street vendors, rickshaw drivers, taxis etc., </w:t>
      </w:r>
      <w:r w:rsidR="00EF5DCA" w:rsidRPr="00EF5DCA">
        <w:rPr>
          <w:lang w:val="en-CA"/>
        </w:rPr>
        <w:t>who’ve</w:t>
      </w:r>
      <w:r w:rsidR="00EF5DCA" w:rsidRPr="006A0453">
        <w:rPr>
          <w:lang w:val="en-CA"/>
        </w:rPr>
        <w:t xml:space="preserve"> signed onto our Oxigen Wallet app for the merchant payment</w:t>
      </w:r>
      <w:r w:rsidR="00EF5DCA" w:rsidRPr="00EF5DCA">
        <w:rPr>
          <w:lang w:val="en-CA"/>
        </w:rPr>
        <w:t>s</w:t>
      </w:r>
      <w:r w:rsidR="00EF5DCA" w:rsidRPr="006A0453">
        <w:rPr>
          <w:lang w:val="en-CA"/>
        </w:rPr>
        <w:t xml:space="preserve"> service</w:t>
      </w:r>
      <w:r w:rsidR="001E4CAF">
        <w:rPr>
          <w:lang w:val="en-CA"/>
        </w:rPr>
        <w:t>.</w:t>
      </w:r>
      <w:r w:rsidRPr="00B615FE">
        <w:t>”</w:t>
      </w:r>
      <w:r w:rsidRPr="00E92F02">
        <w:rPr>
          <w:rStyle w:val="EndnoteReference"/>
        </w:rPr>
        <w:endnoteReference w:id="63"/>
      </w:r>
      <w:r w:rsidRPr="00E92F02">
        <w:t xml:space="preserve"> </w:t>
      </w:r>
    </w:p>
    <w:p w14:paraId="5C787E22" w14:textId="77777777" w:rsidR="009B21DF" w:rsidRPr="00B615FE" w:rsidRDefault="009B21DF" w:rsidP="009B21DF">
      <w:pPr>
        <w:pStyle w:val="BodyTextMain"/>
      </w:pPr>
    </w:p>
    <w:p w14:paraId="19EEB666" w14:textId="2B282993" w:rsidR="009B21DF" w:rsidRPr="00E92F02" w:rsidRDefault="009B21DF" w:rsidP="006A0453">
      <w:pPr>
        <w:pStyle w:val="BodyTextMain"/>
        <w:outlineLvl w:val="0"/>
        <w:rPr>
          <w:shd w:val="clear" w:color="auto" w:fill="FFFFFF"/>
        </w:rPr>
      </w:pPr>
      <w:r w:rsidRPr="00F46FDE">
        <w:t xml:space="preserve">From November 8, 2016, </w:t>
      </w:r>
      <w:r w:rsidR="001E4CAF" w:rsidRPr="00F46FDE">
        <w:t xml:space="preserve">until </w:t>
      </w:r>
      <w:r w:rsidRPr="00F46FDE">
        <w:t>December 2016, JioMoney made the following offers to its users:</w:t>
      </w:r>
    </w:p>
    <w:p w14:paraId="2BAA6709" w14:textId="77777777" w:rsidR="009B21DF" w:rsidRPr="00B615FE" w:rsidRDefault="009B21DF" w:rsidP="00F46FDE">
      <w:pPr>
        <w:pStyle w:val="BodyTextMain"/>
        <w:rPr>
          <w:shd w:val="clear" w:color="auto" w:fill="FFFFFF"/>
        </w:rPr>
      </w:pPr>
    </w:p>
    <w:p w14:paraId="4AD5CA01" w14:textId="3F23E1AD" w:rsidR="009B21DF" w:rsidRPr="006A0453" w:rsidRDefault="001E4CAF" w:rsidP="00F56428">
      <w:pPr>
        <w:pStyle w:val="BodyTextMain"/>
        <w:numPr>
          <w:ilvl w:val="0"/>
          <w:numId w:val="37"/>
        </w:numPr>
      </w:pPr>
      <w:r w:rsidRPr="00F56428">
        <w:t xml:space="preserve">Payment of </w:t>
      </w:r>
      <w:r w:rsidR="009B21DF" w:rsidRPr="00F56428">
        <w:t>10 per</w:t>
      </w:r>
      <w:r w:rsidRPr="00F56428">
        <w:t xml:space="preserve"> </w:t>
      </w:r>
      <w:r w:rsidR="009B21DF" w:rsidRPr="00F56428">
        <w:t xml:space="preserve">cent cashback on shopping </w:t>
      </w:r>
      <w:r w:rsidRPr="00F56428">
        <w:t xml:space="preserve">done </w:t>
      </w:r>
      <w:r w:rsidR="009B21DF" w:rsidRPr="00F56428">
        <w:t>with JioMoney, provided the remittance was to one of the Reliance Fresh</w:t>
      </w:r>
      <w:r w:rsidR="006C5EE7" w:rsidRPr="00F56428">
        <w:t xml:space="preserve"> </w:t>
      </w:r>
      <w:r w:rsidR="009B21DF" w:rsidRPr="00F56428">
        <w:t>or Reliance Smart</w:t>
      </w:r>
      <w:r w:rsidR="006C5EE7" w:rsidRPr="00F56428">
        <w:t xml:space="preserve"> </w:t>
      </w:r>
      <w:r w:rsidR="009B21DF" w:rsidRPr="00F56428">
        <w:t xml:space="preserve">stores across India. There was no cap on the </w:t>
      </w:r>
      <w:r w:rsidRPr="00F56428">
        <w:rPr>
          <w:noProof/>
        </w:rPr>
        <w:t>cash</w:t>
      </w:r>
      <w:r w:rsidR="009B21DF" w:rsidRPr="00F56428">
        <w:rPr>
          <w:noProof/>
        </w:rPr>
        <w:t>back</w:t>
      </w:r>
      <w:r w:rsidR="009B21DF" w:rsidRPr="00F56428">
        <w:t xml:space="preserve"> earned.</w:t>
      </w:r>
      <w:r w:rsidR="006C5EE7" w:rsidRPr="00F56428">
        <w:t xml:space="preserve"> </w:t>
      </w:r>
    </w:p>
    <w:p w14:paraId="58B3B910" w14:textId="57DBAA26" w:rsidR="009B21DF" w:rsidRPr="006A0453" w:rsidRDefault="009B21DF" w:rsidP="00F56428">
      <w:pPr>
        <w:pStyle w:val="BodyTextMain"/>
        <w:numPr>
          <w:ilvl w:val="0"/>
          <w:numId w:val="37"/>
        </w:numPr>
      </w:pPr>
      <w:r w:rsidRPr="00F56428">
        <w:t xml:space="preserve">Customers predominantly using cash for shopping could </w:t>
      </w:r>
      <w:r w:rsidR="001E4CAF" w:rsidRPr="00F56428">
        <w:t>take advantage of</w:t>
      </w:r>
      <w:r w:rsidRPr="00F56428">
        <w:t xml:space="preserve"> cashback by </w:t>
      </w:r>
      <w:r w:rsidR="001E4CAF" w:rsidRPr="00F56428">
        <w:t>using</w:t>
      </w:r>
      <w:r w:rsidRPr="00F56428">
        <w:t xml:space="preserve"> cash loading </w:t>
      </w:r>
      <w:r w:rsidR="001E4CAF" w:rsidRPr="00F56428">
        <w:t>terminals</w:t>
      </w:r>
      <w:r w:rsidRPr="00F56428">
        <w:t xml:space="preserve"> in any Reliance Fresh or Reliance Smart store to pay </w:t>
      </w:r>
      <w:r w:rsidR="001E4CAF" w:rsidRPr="00F56428">
        <w:t>with</w:t>
      </w:r>
      <w:r w:rsidRPr="00F56428">
        <w:t xml:space="preserve"> JioMoney</w:t>
      </w:r>
      <w:r w:rsidR="001E4CAF" w:rsidRPr="00F56428">
        <w:t>,</w:t>
      </w:r>
      <w:r w:rsidRPr="00F56428">
        <w:t xml:space="preserve"> </w:t>
      </w:r>
      <w:r w:rsidR="001E4CAF" w:rsidRPr="00F56428">
        <w:t xml:space="preserve">which would </w:t>
      </w:r>
      <w:r w:rsidRPr="00F56428">
        <w:t xml:space="preserve">then earn </w:t>
      </w:r>
      <w:r w:rsidR="001E4CAF" w:rsidRPr="00F56428">
        <w:t xml:space="preserve">the customer </w:t>
      </w:r>
      <w:r w:rsidRPr="00F56428">
        <w:t>a cashback of 10 per</w:t>
      </w:r>
      <w:r w:rsidR="001E4CAF" w:rsidRPr="00F56428">
        <w:t xml:space="preserve"> </w:t>
      </w:r>
      <w:r w:rsidRPr="00F56428">
        <w:t>cent on the total invoice.</w:t>
      </w:r>
      <w:r w:rsidR="006C5EE7">
        <w:rPr>
          <w:shd w:val="clear" w:color="auto" w:fill="FFFFFF"/>
        </w:rPr>
        <w:t xml:space="preserve"> </w:t>
      </w:r>
    </w:p>
    <w:p w14:paraId="1872B4C2" w14:textId="211B4900" w:rsidR="009B21DF" w:rsidRPr="006A0453" w:rsidRDefault="009B21DF" w:rsidP="00F56428">
      <w:pPr>
        <w:pStyle w:val="BodyTextMain"/>
        <w:numPr>
          <w:ilvl w:val="0"/>
          <w:numId w:val="37"/>
        </w:numPr>
      </w:pPr>
      <w:r w:rsidRPr="00F56428">
        <w:t xml:space="preserve">The cashback </w:t>
      </w:r>
      <w:r w:rsidR="001E4CAF" w:rsidRPr="00F56428">
        <w:t>would be</w:t>
      </w:r>
      <w:r w:rsidRPr="00F56428">
        <w:t xml:space="preserve"> credited </w:t>
      </w:r>
      <w:r w:rsidR="001E4CAF" w:rsidRPr="00F56428">
        <w:t xml:space="preserve">to the user </w:t>
      </w:r>
      <w:r w:rsidRPr="00F56428">
        <w:t>within two working days</w:t>
      </w:r>
      <w:r w:rsidR="006C5EE7" w:rsidRPr="00F56428">
        <w:t xml:space="preserve"> </w:t>
      </w:r>
      <w:r w:rsidRPr="00F56428">
        <w:t>of the purchase.</w:t>
      </w:r>
    </w:p>
    <w:p w14:paraId="32E74D97" w14:textId="76D2F790" w:rsidR="009B21DF" w:rsidRPr="006A0453" w:rsidRDefault="00BD6CBE" w:rsidP="00F56428">
      <w:pPr>
        <w:pStyle w:val="BodyTextMain"/>
        <w:numPr>
          <w:ilvl w:val="0"/>
          <w:numId w:val="37"/>
        </w:numPr>
      </w:pPr>
      <w:r w:rsidRPr="00F56428">
        <w:t xml:space="preserve">To help alleviate the problem with making change for the </w:t>
      </w:r>
      <w:r w:rsidR="009B21DF" w:rsidRPr="00F56428">
        <w:t xml:space="preserve">new </w:t>
      </w:r>
      <w:r w:rsidR="006C5EE7" w:rsidRPr="00F56428">
        <w:rPr>
          <w:rFonts w:ascii="Arial" w:hAnsi="Arial" w:cs="Tahoma"/>
          <w:sz w:val="20"/>
        </w:rPr>
        <w:t>₹</w:t>
      </w:r>
      <w:r w:rsidR="009B21DF" w:rsidRPr="00F56428">
        <w:t xml:space="preserve">2,000 </w:t>
      </w:r>
      <w:r w:rsidR="001E4CAF" w:rsidRPr="00F56428">
        <w:t>currency note</w:t>
      </w:r>
      <w:r w:rsidRPr="00F56428">
        <w:t>, cash loading terminals were provided in stores, allowing customers to shop and pay for items of any value</w:t>
      </w:r>
      <w:r w:rsidR="009B21DF" w:rsidRPr="00F56428">
        <w:t>.</w:t>
      </w:r>
      <w:r w:rsidR="006C5EE7" w:rsidRPr="00F56428">
        <w:t xml:space="preserve"> </w:t>
      </w:r>
    </w:p>
    <w:p w14:paraId="02CB938D" w14:textId="033C8DFC" w:rsidR="009B21DF" w:rsidRPr="00E92F02" w:rsidRDefault="00BD6CBE" w:rsidP="00F56428">
      <w:pPr>
        <w:pStyle w:val="BodyTextMain"/>
        <w:numPr>
          <w:ilvl w:val="0"/>
          <w:numId w:val="37"/>
        </w:numPr>
        <w:rPr>
          <w:shd w:val="clear" w:color="auto" w:fill="FFFFFF"/>
        </w:rPr>
      </w:pPr>
      <w:r w:rsidRPr="00F56428">
        <w:t>U</w:t>
      </w:r>
      <w:r w:rsidR="009B21DF" w:rsidRPr="00F56428">
        <w:t xml:space="preserve">nused money in </w:t>
      </w:r>
      <w:r w:rsidRPr="00F56428">
        <w:t>a customer’s</w:t>
      </w:r>
      <w:r w:rsidR="009B21DF" w:rsidRPr="00F56428">
        <w:t xml:space="preserve"> JioMoney account could be transferred back into </w:t>
      </w:r>
      <w:r w:rsidRPr="00F56428">
        <w:t>the customer’s</w:t>
      </w:r>
      <w:r w:rsidR="009B21DF" w:rsidRPr="00F56428">
        <w:t xml:space="preserve"> bank account. </w:t>
      </w:r>
      <w:r w:rsidRPr="00F56428">
        <w:t>M</w:t>
      </w:r>
      <w:r w:rsidR="009B21DF" w:rsidRPr="00F56428">
        <w:t xml:space="preserve">oney </w:t>
      </w:r>
      <w:r w:rsidRPr="00F56428">
        <w:t xml:space="preserve">loaded into JioMoney </w:t>
      </w:r>
      <w:r w:rsidR="009B21DF" w:rsidRPr="00F56428">
        <w:t xml:space="preserve">could be used for digital payments to 50,000 online merchants and </w:t>
      </w:r>
      <w:r w:rsidRPr="00F56428">
        <w:t xml:space="preserve">more than </w:t>
      </w:r>
      <w:r w:rsidR="009B21DF" w:rsidRPr="00F56428">
        <w:t xml:space="preserve">70 </w:t>
      </w:r>
      <w:r w:rsidR="000F7D8D" w:rsidRPr="00F56428">
        <w:t>services (which include utilities payments like electricity</w:t>
      </w:r>
      <w:r w:rsidR="001A3978" w:rsidRPr="00F56428">
        <w:t xml:space="preserve"> and</w:t>
      </w:r>
      <w:r w:rsidR="000F7D8D" w:rsidRPr="00F56428">
        <w:t xml:space="preserve"> water and/or gas, insurance payments, e-commerce transactions</w:t>
      </w:r>
      <w:r w:rsidR="001A3978" w:rsidRPr="00F56428">
        <w:t>,</w:t>
      </w:r>
      <w:r w:rsidR="000F7D8D" w:rsidRPr="00F56428">
        <w:t xml:space="preserve"> and offline store payments)</w:t>
      </w:r>
      <w:r w:rsidR="009B21DF" w:rsidRPr="00F56428">
        <w:t>.</w:t>
      </w:r>
      <w:r w:rsidRPr="006C5EE7">
        <w:rPr>
          <w:rStyle w:val="EndnoteReference"/>
          <w:rFonts w:eastAsiaTheme="majorEastAsia"/>
        </w:rPr>
        <w:endnoteReference w:id="64"/>
      </w:r>
      <w:r w:rsidR="009B21DF" w:rsidRPr="00E92F02">
        <w:rPr>
          <w:shd w:val="clear" w:color="auto" w:fill="FFFFFF"/>
        </w:rPr>
        <w:t xml:space="preserve"> </w:t>
      </w:r>
    </w:p>
    <w:p w14:paraId="5D188E63" w14:textId="77777777" w:rsidR="009B21DF" w:rsidRPr="00B615FE" w:rsidRDefault="009B21DF" w:rsidP="009B21DF">
      <w:pPr>
        <w:pStyle w:val="BodyTextMain"/>
      </w:pPr>
    </w:p>
    <w:p w14:paraId="1D022801" w14:textId="77777777" w:rsidR="009B21DF" w:rsidRPr="00B615FE" w:rsidRDefault="009B21DF" w:rsidP="009B21DF">
      <w:pPr>
        <w:pStyle w:val="BodyTextMain"/>
      </w:pPr>
    </w:p>
    <w:p w14:paraId="56E835DA" w14:textId="59F1522C" w:rsidR="009B21DF" w:rsidRPr="00E92F02" w:rsidRDefault="009B21DF" w:rsidP="006A0453">
      <w:pPr>
        <w:pStyle w:val="Casehead2"/>
      </w:pPr>
      <w:r w:rsidRPr="00E92F02">
        <w:t xml:space="preserve">Challenges </w:t>
      </w:r>
      <w:r w:rsidR="00622C89">
        <w:rPr>
          <w:lang w:eastAsia="en-IN"/>
        </w:rPr>
        <w:t xml:space="preserve">for the M-Wallet </w:t>
      </w:r>
      <w:r w:rsidRPr="00E92F02">
        <w:t xml:space="preserve">in the Demonetized Economy </w:t>
      </w:r>
    </w:p>
    <w:p w14:paraId="76C5776A" w14:textId="77777777" w:rsidR="009B21DF" w:rsidRPr="00B615FE" w:rsidRDefault="009B21DF" w:rsidP="00771758">
      <w:pPr>
        <w:pStyle w:val="BodyTextMain"/>
        <w:keepNext/>
        <w:rPr>
          <w:shd w:val="clear" w:color="auto" w:fill="FFFFFF"/>
        </w:rPr>
      </w:pPr>
    </w:p>
    <w:p w14:paraId="2566DDCA" w14:textId="451FA95B" w:rsidR="009B21DF" w:rsidRPr="00E92F02" w:rsidRDefault="00622C89" w:rsidP="003C7EBC">
      <w:pPr>
        <w:pStyle w:val="BodyTextMain"/>
      </w:pPr>
      <w:r w:rsidRPr="00F46FDE">
        <w:t>India’s monetary system wa</w:t>
      </w:r>
      <w:r w:rsidR="009B21DF" w:rsidRPr="00F46FDE">
        <w:t xml:space="preserve">s regulated and controlled by the RBI, India’s central bank. RBI had given </w:t>
      </w:r>
      <w:r w:rsidRPr="00F46FDE">
        <w:t>licen</w:t>
      </w:r>
      <w:r w:rsidRPr="00F46FDE">
        <w:rPr>
          <w:noProof/>
        </w:rPr>
        <w:t>c</w:t>
      </w:r>
      <w:r w:rsidR="009B21DF" w:rsidRPr="00F46FDE">
        <w:t>es</w:t>
      </w:r>
      <w:r w:rsidRPr="00F46FDE">
        <w:t xml:space="preserve"> to many m-w</w:t>
      </w:r>
      <w:r w:rsidR="009B21DF" w:rsidRPr="00F46FDE">
        <w:t xml:space="preserve">allet </w:t>
      </w:r>
      <w:r w:rsidRPr="00F46FDE">
        <w:t>services</w:t>
      </w:r>
      <w:r w:rsidR="009B21DF" w:rsidRPr="00F46FDE">
        <w:t xml:space="preserve">. The biggest challenge for </w:t>
      </w:r>
      <w:r w:rsidRPr="00F46FDE">
        <w:t>m-wallet</w:t>
      </w:r>
      <w:r w:rsidR="009B21DF" w:rsidRPr="00F46FDE">
        <w:t xml:space="preserve"> companies was the presence of </w:t>
      </w:r>
      <w:r w:rsidRPr="00F46FDE">
        <w:t>so</w:t>
      </w:r>
      <w:r>
        <w:t xml:space="preserve"> </w:t>
      </w:r>
      <w:r w:rsidRPr="00E92F02">
        <w:t xml:space="preserve">many </w:t>
      </w:r>
      <w:r>
        <w:t>competitors</w:t>
      </w:r>
      <w:r w:rsidR="009B21DF" w:rsidRPr="00E92F02">
        <w:t xml:space="preserve"> in the market</w:t>
      </w:r>
      <w:r>
        <w:t>, making it difficult</w:t>
      </w:r>
      <w:r w:rsidRPr="006A0453">
        <w:t xml:space="preserve"> to </w:t>
      </w:r>
      <w:r w:rsidR="009B21DF" w:rsidRPr="003C7EBC">
        <w:t xml:space="preserve">attract and retain customers and merchants for a long period. </w:t>
      </w:r>
      <w:r w:rsidR="009B21DF" w:rsidRPr="00B615FE">
        <w:t xml:space="preserve">Profit margins were slim and barely covered the cost </w:t>
      </w:r>
      <w:r w:rsidR="00A60AD1">
        <w:t>of partnering</w:t>
      </w:r>
      <w:r w:rsidR="00A60AD1" w:rsidRPr="00E92F02">
        <w:t xml:space="preserve"> </w:t>
      </w:r>
      <w:r w:rsidR="009B21DF" w:rsidRPr="00E92F02">
        <w:t>with merchants and retaining custom</w:t>
      </w:r>
      <w:r w:rsidR="00A60AD1">
        <w:t>ers. Another key challenge for m-w</w:t>
      </w:r>
      <w:r w:rsidR="009B21DF" w:rsidRPr="00B615FE">
        <w:t>allet</w:t>
      </w:r>
      <w:r w:rsidR="009B21DF" w:rsidRPr="00E92F02">
        <w:t xml:space="preserve"> companies was a lack</w:t>
      </w:r>
      <w:r w:rsidR="009B21DF" w:rsidRPr="00B615FE">
        <w:t xml:space="preserve"> of interoperability. Unlike ATMs in India, </w:t>
      </w:r>
      <w:r w:rsidR="00A60AD1">
        <w:t>m-w</w:t>
      </w:r>
      <w:r w:rsidR="009B21DF" w:rsidRPr="00B615FE">
        <w:t>allet</w:t>
      </w:r>
      <w:r w:rsidR="00A60AD1">
        <w:t>s could not work across systems</w:t>
      </w:r>
      <w:r w:rsidR="009B21DF" w:rsidRPr="00E92F02">
        <w:t>.</w:t>
      </w:r>
      <w:r w:rsidR="00D02D53">
        <w:rPr>
          <w:rStyle w:val="EndnoteReference"/>
        </w:rPr>
        <w:endnoteReference w:id="65"/>
      </w:r>
    </w:p>
    <w:p w14:paraId="10832189" w14:textId="77777777" w:rsidR="009B21DF" w:rsidRPr="00B615FE" w:rsidRDefault="009B21DF" w:rsidP="003C7EBC">
      <w:pPr>
        <w:pStyle w:val="BodyTextMain"/>
      </w:pPr>
    </w:p>
    <w:p w14:paraId="765766F2" w14:textId="5F2453D4" w:rsidR="009B21DF" w:rsidRDefault="009B21DF" w:rsidP="003C7EBC">
      <w:pPr>
        <w:pStyle w:val="BodyTextMain"/>
      </w:pPr>
      <w:r w:rsidRPr="00B615FE">
        <w:t xml:space="preserve">There were also </w:t>
      </w:r>
      <w:r w:rsidRPr="00E92F02">
        <w:t>gaps in infrastructure</w:t>
      </w:r>
      <w:r w:rsidR="00A60AD1">
        <w:t>,</w:t>
      </w:r>
      <w:r w:rsidRPr="00E92F02">
        <w:t xml:space="preserve"> such as poor or </w:t>
      </w:r>
      <w:r w:rsidR="00A60AD1">
        <w:t>failed</w:t>
      </w:r>
      <w:r w:rsidRPr="00E92F02">
        <w:t xml:space="preserve"> connectivity</w:t>
      </w:r>
      <w:r w:rsidR="00A60AD1">
        <w:t xml:space="preserve">. Weak mobile network service </w:t>
      </w:r>
      <w:r w:rsidRPr="00E92F02">
        <w:t>resulted in frozen payments and lost connections</w:t>
      </w:r>
      <w:r w:rsidRPr="00B615FE">
        <w:t>. Further</w:t>
      </w:r>
      <w:r w:rsidRPr="00E92F02">
        <w:t>, a large segment of the target population was not comfortable with technology. As a result</w:t>
      </w:r>
      <w:r w:rsidRPr="00B615FE">
        <w:t xml:space="preserve">, </w:t>
      </w:r>
      <w:r w:rsidR="00274909">
        <w:t>those</w:t>
      </w:r>
      <w:r w:rsidR="00274909" w:rsidRPr="00E92F02">
        <w:t xml:space="preserve"> consumers and merchants </w:t>
      </w:r>
      <w:r w:rsidR="00274909">
        <w:t>did not understand or trust the m-wallet system</w:t>
      </w:r>
      <w:r w:rsidRPr="00B615FE">
        <w:t xml:space="preserve">. </w:t>
      </w:r>
      <w:r w:rsidRPr="00E92F02">
        <w:t xml:space="preserve">Security </w:t>
      </w:r>
      <w:r w:rsidR="00274909">
        <w:t xml:space="preserve">was also </w:t>
      </w:r>
      <w:r w:rsidRPr="00B615FE">
        <w:t xml:space="preserve">a </w:t>
      </w:r>
      <w:r w:rsidRPr="00E92F02">
        <w:t>challenge that needed to be addressed</w:t>
      </w:r>
      <w:r w:rsidRPr="00B615FE">
        <w:t xml:space="preserve"> for the success of mobile money services. </w:t>
      </w:r>
      <w:r w:rsidRPr="00E92F02">
        <w:t>RBI guidelines</w:t>
      </w:r>
      <w:r w:rsidR="00274909">
        <w:t xml:space="preserve"> required</w:t>
      </w:r>
      <w:r w:rsidRPr="00E92F02">
        <w:t xml:space="preserve"> mobile banking service providers to comply with strict document control</w:t>
      </w:r>
      <w:r w:rsidR="00274909">
        <w:t>,</w:t>
      </w:r>
      <w:r w:rsidRPr="00E92F02">
        <w:t xml:space="preserve"> </w:t>
      </w:r>
      <w:r w:rsidRPr="00E92F02">
        <w:lastRenderedPageBreak/>
        <w:t>such as KYC requirements</w:t>
      </w:r>
      <w:r w:rsidR="00274909">
        <w:rPr>
          <w:noProof/>
        </w:rPr>
        <w:t>,</w:t>
      </w:r>
      <w:r w:rsidRPr="00E92F02">
        <w:t xml:space="preserve"> to prevent money laundering and funding of terrorism. The amount </w:t>
      </w:r>
      <w:r w:rsidR="00274909">
        <w:t xml:space="preserve">of money </w:t>
      </w:r>
      <w:r w:rsidRPr="00E92F02">
        <w:t xml:space="preserve">that could be deposited </w:t>
      </w:r>
      <w:r w:rsidR="00274909">
        <w:t>or</w:t>
      </w:r>
      <w:r w:rsidRPr="00E92F02">
        <w:t xml:space="preserve"> spent through an </w:t>
      </w:r>
      <w:r w:rsidR="00274909">
        <w:t>m-w</w:t>
      </w:r>
      <w:r w:rsidRPr="00B615FE">
        <w:t>allet</w:t>
      </w:r>
      <w:r w:rsidRPr="00E92F02">
        <w:t xml:space="preserve"> was low</w:t>
      </w:r>
      <w:r w:rsidR="00274909">
        <w:t>, and the low limit per</w:t>
      </w:r>
      <w:r w:rsidR="00274909" w:rsidRPr="00E92F02">
        <w:t xml:space="preserve"> transaction </w:t>
      </w:r>
      <w:r w:rsidR="00274909">
        <w:t>hindered</w:t>
      </w:r>
      <w:r w:rsidRPr="00B615FE">
        <w:t xml:space="preserve"> </w:t>
      </w:r>
      <w:r w:rsidRPr="00E92F02">
        <w:t>business</w:t>
      </w:r>
      <w:r w:rsidR="001A3978">
        <w:t>-</w:t>
      </w:r>
      <w:r w:rsidRPr="00E92F02">
        <w:t>to</w:t>
      </w:r>
      <w:r w:rsidR="001A3978">
        <w:t>-</w:t>
      </w:r>
      <w:r w:rsidRPr="00E92F02">
        <w:t>business payments</w:t>
      </w:r>
      <w:r w:rsidR="00274909">
        <w:t>, which often</w:t>
      </w:r>
      <w:r w:rsidR="00274909" w:rsidRPr="00E92F02">
        <w:t xml:space="preserve"> </w:t>
      </w:r>
      <w:r w:rsidRPr="00E92F02">
        <w:t xml:space="preserve">exceeded the </w:t>
      </w:r>
      <w:r w:rsidR="00274909">
        <w:t xml:space="preserve">transaction ceiling. </w:t>
      </w:r>
      <w:r w:rsidR="0084531B">
        <w:t>Finally, a</w:t>
      </w:r>
      <w:r w:rsidRPr="00E92F02">
        <w:t xml:space="preserve"> huge population in the remote and rural areas of India were still without bank accounts. </w:t>
      </w:r>
      <w:r w:rsidR="0084531B">
        <w:t xml:space="preserve">This was </w:t>
      </w:r>
      <w:r w:rsidR="0084531B" w:rsidRPr="00E92F02">
        <w:t xml:space="preserve">an opportunity </w:t>
      </w:r>
      <w:r w:rsidR="0084531B">
        <w:t>with a challenge: could mobile wallet services</w:t>
      </w:r>
      <w:r w:rsidR="0084531B" w:rsidRPr="00E92F02">
        <w:t xml:space="preserve"> </w:t>
      </w:r>
      <w:r w:rsidRPr="00E92F02">
        <w:t>bring the unbanked population into ma</w:t>
      </w:r>
      <w:r w:rsidRPr="00B615FE">
        <w:t>instream banking</w:t>
      </w:r>
      <w:r w:rsidRPr="00E92F02">
        <w:t>?</w:t>
      </w:r>
    </w:p>
    <w:p w14:paraId="0384D823" w14:textId="77777777" w:rsidR="00847635" w:rsidRDefault="00847635" w:rsidP="009B21DF">
      <w:pPr>
        <w:pStyle w:val="BodyTextMain"/>
      </w:pPr>
    </w:p>
    <w:p w14:paraId="1A64597C" w14:textId="77777777" w:rsidR="00847635" w:rsidRPr="00E92F02" w:rsidRDefault="00847635" w:rsidP="009B21DF">
      <w:pPr>
        <w:pStyle w:val="BodyTextMain"/>
      </w:pPr>
    </w:p>
    <w:p w14:paraId="3EC478E5" w14:textId="1A6CE89B" w:rsidR="00583665" w:rsidRDefault="00583665" w:rsidP="00583665">
      <w:pPr>
        <w:pStyle w:val="Casehead2"/>
      </w:pPr>
      <w:r>
        <w:t>Opportunities with the Unbanked Population</w:t>
      </w:r>
    </w:p>
    <w:p w14:paraId="5A6F646D" w14:textId="77777777" w:rsidR="00583665" w:rsidRDefault="00583665" w:rsidP="009B21DF">
      <w:pPr>
        <w:pStyle w:val="BodyTextMain"/>
      </w:pPr>
    </w:p>
    <w:p w14:paraId="64DF14E7" w14:textId="14A13330" w:rsidR="00FF6BB3" w:rsidRDefault="0084531B" w:rsidP="009B21DF">
      <w:pPr>
        <w:pStyle w:val="BodyTextMain"/>
      </w:pPr>
      <w:r w:rsidRPr="00E92F02">
        <w:t>A</w:t>
      </w:r>
      <w:r w:rsidR="009B21DF" w:rsidRPr="00E92F02">
        <w:t xml:space="preserve">fter the </w:t>
      </w:r>
      <w:r>
        <w:t>Indian prime minister announced</w:t>
      </w:r>
      <w:r w:rsidR="009B21DF" w:rsidRPr="00B615FE">
        <w:t xml:space="preserve"> </w:t>
      </w:r>
      <w:r w:rsidR="009B21DF" w:rsidRPr="00E92F02">
        <w:t>demonetization on November 8, 2016,</w:t>
      </w:r>
      <w:r w:rsidR="009B21DF" w:rsidRPr="00B615FE">
        <w:t xml:space="preserve"> </w:t>
      </w:r>
      <w:r w:rsidR="006C5EE7" w:rsidRPr="006A0453">
        <w:rPr>
          <w:rFonts w:ascii="Arial" w:hAnsi="Arial"/>
          <w:sz w:val="20"/>
        </w:rPr>
        <w:t>₹</w:t>
      </w:r>
      <w:r w:rsidR="009B21DF" w:rsidRPr="00E92F02">
        <w:t xml:space="preserve">500 and </w:t>
      </w:r>
      <w:r w:rsidR="00033576" w:rsidRPr="006A0453">
        <w:rPr>
          <w:rFonts w:ascii="Arial" w:hAnsi="Arial"/>
          <w:sz w:val="20"/>
        </w:rPr>
        <w:t>₹</w:t>
      </w:r>
      <w:r w:rsidR="009B21DF" w:rsidRPr="00E92F02">
        <w:t xml:space="preserve">1,000 </w:t>
      </w:r>
      <w:r>
        <w:t>currency</w:t>
      </w:r>
      <w:r w:rsidRPr="00E92F02">
        <w:t xml:space="preserve"> </w:t>
      </w:r>
      <w:r w:rsidR="009B21DF" w:rsidRPr="00E92F02">
        <w:t xml:space="preserve">notes were removed from circulation, a new </w:t>
      </w:r>
      <w:r w:rsidR="00033576" w:rsidRPr="006A0453">
        <w:rPr>
          <w:rFonts w:ascii="Arial" w:hAnsi="Arial"/>
          <w:sz w:val="20"/>
        </w:rPr>
        <w:t>₹</w:t>
      </w:r>
      <w:r w:rsidR="009B21DF" w:rsidRPr="00E92F02">
        <w:t>2,000 note was introduced,</w:t>
      </w:r>
      <w:r w:rsidR="009B21DF" w:rsidRPr="00B615FE">
        <w:t xml:space="preserve"> and the </w:t>
      </w:r>
      <w:r w:rsidR="006C5EE7" w:rsidRPr="006A0453">
        <w:rPr>
          <w:rFonts w:ascii="Arial" w:hAnsi="Arial"/>
          <w:sz w:val="20"/>
        </w:rPr>
        <w:t>₹</w:t>
      </w:r>
      <w:r w:rsidR="009B21DF" w:rsidRPr="00E92F02">
        <w:t xml:space="preserve">500 note was changed. The value of </w:t>
      </w:r>
      <w:r>
        <w:t xml:space="preserve">the </w:t>
      </w:r>
      <w:r w:rsidR="009B21DF" w:rsidRPr="00E92F02">
        <w:t>c</w:t>
      </w:r>
      <w:r w:rsidRPr="00E92F02">
        <w:t xml:space="preserve">urrency remained the same. The </w:t>
      </w:r>
      <w:r>
        <w:t>finance m</w:t>
      </w:r>
      <w:r w:rsidR="009B21DF" w:rsidRPr="00B615FE">
        <w:t>inister</w:t>
      </w:r>
      <w:r w:rsidR="009B21DF" w:rsidRPr="00E92F02">
        <w:t xml:space="preserve"> announced that not all scrapped currency would</w:t>
      </w:r>
      <w:r w:rsidR="009B21DF" w:rsidRPr="00B615FE">
        <w:t xml:space="preserve"> be remonetized.</w:t>
      </w:r>
      <w:r w:rsidR="009B21DF" w:rsidRPr="006C5EE7">
        <w:rPr>
          <w:rStyle w:val="EndnoteReference"/>
        </w:rPr>
        <w:endnoteReference w:id="66"/>
      </w:r>
      <w:r w:rsidR="009B21DF" w:rsidRPr="00B615FE">
        <w:t xml:space="preserve"> </w:t>
      </w:r>
      <w:r>
        <w:rPr>
          <w:bCs/>
        </w:rPr>
        <w:t>Instead, t</w:t>
      </w:r>
      <w:r w:rsidR="009B21DF" w:rsidRPr="00B615FE">
        <w:t>he</w:t>
      </w:r>
      <w:r w:rsidR="009B21DF" w:rsidRPr="00E92F02">
        <w:t xml:space="preserve"> Indian</w:t>
      </w:r>
      <w:r w:rsidR="009B21DF" w:rsidRPr="00B615FE">
        <w:t xml:space="preserve"> government </w:t>
      </w:r>
      <w:r>
        <w:t>would</w:t>
      </w:r>
      <w:r w:rsidR="009B21DF" w:rsidRPr="00B615FE">
        <w:t xml:space="preserve"> incentivize</w:t>
      </w:r>
      <w:r w:rsidR="009B21DF" w:rsidRPr="00E92F02">
        <w:t xml:space="preserve"> digital payments.</w:t>
      </w:r>
      <w:r w:rsidR="009B21DF" w:rsidRPr="00E92F02">
        <w:rPr>
          <w:rStyle w:val="EndnoteReference"/>
        </w:rPr>
        <w:endnoteReference w:id="67"/>
      </w:r>
      <w:r w:rsidR="009B21DF" w:rsidRPr="00B615FE">
        <w:t xml:space="preserve"> </w:t>
      </w:r>
      <w:r w:rsidR="00583665">
        <w:t xml:space="preserve">However, </w:t>
      </w:r>
      <w:r w:rsidR="009B21DF" w:rsidRPr="00B83441">
        <w:t>72.2 per</w:t>
      </w:r>
      <w:r w:rsidR="00583665" w:rsidRPr="00B83441">
        <w:t xml:space="preserve"> </w:t>
      </w:r>
      <w:r w:rsidR="009B21DF" w:rsidRPr="00B83441">
        <w:t xml:space="preserve">cent of </w:t>
      </w:r>
      <w:r w:rsidR="00583665" w:rsidRPr="00B83441">
        <w:t>India’s population of 1.3 billion people lived in villages, many functioning in the economy with cash only</w:t>
      </w:r>
      <w:r w:rsidR="009B21DF" w:rsidRPr="00B83441">
        <w:t>.</w:t>
      </w:r>
      <w:r w:rsidR="009B21DF" w:rsidRPr="00B83441">
        <w:rPr>
          <w:rStyle w:val="EndnoteReference"/>
        </w:rPr>
        <w:endnoteReference w:id="68"/>
      </w:r>
      <w:r w:rsidR="009B21DF" w:rsidRPr="00B83441">
        <w:t xml:space="preserve"> </w:t>
      </w:r>
      <w:r w:rsidR="00583665" w:rsidRPr="00B83441">
        <w:t>Approximately 166 million people did not have bank accounts, and over 93 per cent of</w:t>
      </w:r>
      <w:r w:rsidR="00583665" w:rsidRPr="00B83441">
        <w:rPr>
          <w:shd w:val="clear" w:color="auto" w:fill="000000" w:themeFill="text1"/>
        </w:rPr>
        <w:t xml:space="preserve"> </w:t>
      </w:r>
      <w:r w:rsidR="00583665" w:rsidRPr="00E92F02">
        <w:t xml:space="preserve">people in rural India had no experience with </w:t>
      </w:r>
      <w:r w:rsidR="00583665" w:rsidRPr="00B615FE">
        <w:t>digital transactions.</w:t>
      </w:r>
      <w:r w:rsidR="00FF6BB3" w:rsidRPr="006C5EE7">
        <w:rPr>
          <w:rStyle w:val="EndnoteReference"/>
        </w:rPr>
        <w:endnoteReference w:id="69"/>
      </w:r>
      <w:r w:rsidR="00583665" w:rsidRPr="00B615FE">
        <w:t xml:space="preserve"> </w:t>
      </w:r>
      <w:r w:rsidR="00583665">
        <w:t xml:space="preserve">Of those that did have mobile phones, many were using </w:t>
      </w:r>
      <w:r w:rsidR="00FF6BB3">
        <w:t>2G technology—</w:t>
      </w:r>
      <w:r w:rsidR="00583665">
        <w:t xml:space="preserve">two generations behind the </w:t>
      </w:r>
      <w:r w:rsidR="00FF6BB3">
        <w:t>current</w:t>
      </w:r>
      <w:r w:rsidR="00583665">
        <w:t xml:space="preserve"> 4G system</w:t>
      </w:r>
      <w:r w:rsidR="00FF6BB3">
        <w:t>. The 2G phones were cost effective, but they were not nearly sufficient for the kind of data transfer required for mobile payments</w:t>
      </w:r>
      <w:r w:rsidR="009223F3">
        <w:t xml:space="preserve"> because of </w:t>
      </w:r>
      <w:r w:rsidR="001A3978">
        <w:t xml:space="preserve">their </w:t>
      </w:r>
      <w:r w:rsidR="009223F3">
        <w:t>slow data rate</w:t>
      </w:r>
      <w:r w:rsidR="009B21DF" w:rsidRPr="00B615FE">
        <w:rPr>
          <w:shd w:val="clear" w:color="auto" w:fill="FFFFFF"/>
        </w:rPr>
        <w:t>.</w:t>
      </w:r>
      <w:r w:rsidR="004759C4">
        <w:rPr>
          <w:rStyle w:val="EndnoteReference"/>
          <w:shd w:val="clear" w:color="auto" w:fill="FFFFFF"/>
        </w:rPr>
        <w:endnoteReference w:id="70"/>
      </w:r>
      <w:r w:rsidR="00583665" w:rsidRPr="00B615FE">
        <w:t xml:space="preserve"> </w:t>
      </w:r>
      <w:r w:rsidR="009B21DF" w:rsidRPr="00B615FE">
        <w:t xml:space="preserve"> </w:t>
      </w:r>
    </w:p>
    <w:p w14:paraId="57F43389" w14:textId="77777777" w:rsidR="00FF6BB3" w:rsidRDefault="00FF6BB3" w:rsidP="009B21DF">
      <w:pPr>
        <w:pStyle w:val="BodyTextMain"/>
      </w:pPr>
    </w:p>
    <w:p w14:paraId="4A3B5923" w14:textId="14013E23" w:rsidR="00F72079" w:rsidRPr="00CF716C" w:rsidRDefault="00FF6BB3" w:rsidP="009B21DF">
      <w:pPr>
        <w:pStyle w:val="BodyTextMain"/>
        <w:rPr>
          <w:spacing w:val="-2"/>
        </w:rPr>
      </w:pPr>
      <w:r w:rsidRPr="00CF716C">
        <w:rPr>
          <w:spacing w:val="-2"/>
        </w:rPr>
        <w:t xml:space="preserve">If </w:t>
      </w:r>
      <w:r w:rsidR="00F72079" w:rsidRPr="00CF716C">
        <w:rPr>
          <w:spacing w:val="-2"/>
        </w:rPr>
        <w:t>India</w:t>
      </w:r>
      <w:r w:rsidR="00F72079" w:rsidRPr="00CF716C">
        <w:rPr>
          <w:spacing w:val="-2"/>
          <w:lang w:eastAsia="en-IN"/>
        </w:rPr>
        <w:t xml:space="preserve"> </w:t>
      </w:r>
      <w:r w:rsidRPr="00CF716C">
        <w:rPr>
          <w:spacing w:val="-2"/>
          <w:lang w:eastAsia="en-IN"/>
        </w:rPr>
        <w:t>was going</w:t>
      </w:r>
      <w:r w:rsidRPr="00CF716C">
        <w:rPr>
          <w:spacing w:val="-2"/>
        </w:rPr>
        <w:t xml:space="preserve"> to move from being a </w:t>
      </w:r>
      <w:r w:rsidR="00F72079" w:rsidRPr="00CF716C">
        <w:rPr>
          <w:spacing w:val="-2"/>
        </w:rPr>
        <w:t>cash economy</w:t>
      </w:r>
      <w:r w:rsidRPr="00CF716C">
        <w:rPr>
          <w:spacing w:val="-2"/>
        </w:rPr>
        <w:t xml:space="preserve"> to a </w:t>
      </w:r>
      <w:r w:rsidRPr="00CF716C">
        <w:rPr>
          <w:spacing w:val="-2"/>
          <w:lang w:eastAsia="en-IN"/>
        </w:rPr>
        <w:t>“</w:t>
      </w:r>
      <w:r w:rsidR="00F72079" w:rsidRPr="00CF716C">
        <w:rPr>
          <w:spacing w:val="-2"/>
        </w:rPr>
        <w:t xml:space="preserve">less cash </w:t>
      </w:r>
      <w:r w:rsidR="00F72079" w:rsidRPr="00CF716C">
        <w:rPr>
          <w:spacing w:val="-2"/>
          <w:lang w:eastAsia="en-IN"/>
        </w:rPr>
        <w:t>economy</w:t>
      </w:r>
      <w:r w:rsidRPr="00CF716C">
        <w:rPr>
          <w:spacing w:val="-2"/>
          <w:lang w:eastAsia="en-IN"/>
        </w:rPr>
        <w:t>” and then</w:t>
      </w:r>
      <w:r w:rsidRPr="00CF716C">
        <w:rPr>
          <w:spacing w:val="-2"/>
        </w:rPr>
        <w:t xml:space="preserve"> to a </w:t>
      </w:r>
      <w:r w:rsidR="00F72079" w:rsidRPr="00CF716C">
        <w:rPr>
          <w:spacing w:val="-2"/>
        </w:rPr>
        <w:t xml:space="preserve">cashless </w:t>
      </w:r>
      <w:r w:rsidR="00F72079" w:rsidRPr="00CF716C">
        <w:rPr>
          <w:spacing w:val="-2"/>
          <w:lang w:eastAsia="en-IN"/>
        </w:rPr>
        <w:t>economy</w:t>
      </w:r>
      <w:r w:rsidRPr="00CF716C">
        <w:rPr>
          <w:spacing w:val="-2"/>
          <w:lang w:eastAsia="en-IN"/>
        </w:rPr>
        <w:t xml:space="preserve">, </w:t>
      </w:r>
      <w:r w:rsidRPr="00CF716C">
        <w:rPr>
          <w:spacing w:val="-2"/>
        </w:rPr>
        <w:t xml:space="preserve">a transformation </w:t>
      </w:r>
      <w:r w:rsidR="001A3978" w:rsidRPr="00CF716C">
        <w:rPr>
          <w:spacing w:val="-2"/>
        </w:rPr>
        <w:t>in</w:t>
      </w:r>
      <w:r w:rsidRPr="00CF716C">
        <w:rPr>
          <w:spacing w:val="-2"/>
        </w:rPr>
        <w:t xml:space="preserve"> mindset </w:t>
      </w:r>
      <w:r w:rsidRPr="00CF716C">
        <w:rPr>
          <w:spacing w:val="-2"/>
          <w:lang w:eastAsia="en-IN"/>
        </w:rPr>
        <w:t xml:space="preserve">would be required among a large portion of the population </w:t>
      </w:r>
      <w:r w:rsidR="00F72079" w:rsidRPr="00CF716C">
        <w:rPr>
          <w:spacing w:val="-2"/>
        </w:rPr>
        <w:t>to vest confidence in digital transactions.</w:t>
      </w:r>
      <w:r w:rsidRPr="00CF716C">
        <w:rPr>
          <w:spacing w:val="-2"/>
        </w:rPr>
        <w:t xml:space="preserve"> Could </w:t>
      </w:r>
      <w:r w:rsidR="00F72079" w:rsidRPr="00CF716C">
        <w:rPr>
          <w:spacing w:val="-2"/>
          <w:lang w:eastAsia="en-IN"/>
        </w:rPr>
        <w:t xml:space="preserve">JioMoney bring </w:t>
      </w:r>
      <w:r w:rsidRPr="00CF716C">
        <w:rPr>
          <w:spacing w:val="-2"/>
          <w:lang w:eastAsia="en-IN"/>
        </w:rPr>
        <w:t>this population</w:t>
      </w:r>
      <w:r w:rsidR="005E5410" w:rsidRPr="00CF716C">
        <w:rPr>
          <w:spacing w:val="-2"/>
          <w:lang w:eastAsia="en-IN"/>
        </w:rPr>
        <w:t xml:space="preserve"> on</w:t>
      </w:r>
      <w:r w:rsidR="001A3978" w:rsidRPr="00CF716C">
        <w:rPr>
          <w:spacing w:val="-2"/>
          <w:lang w:eastAsia="en-IN"/>
        </w:rPr>
        <w:t xml:space="preserve"> </w:t>
      </w:r>
      <w:r w:rsidR="00F72079" w:rsidRPr="00CF716C">
        <w:rPr>
          <w:spacing w:val="-2"/>
          <w:lang w:eastAsia="en-IN"/>
        </w:rPr>
        <w:t>board</w:t>
      </w:r>
      <w:r w:rsidR="001A3978" w:rsidRPr="00CF716C">
        <w:rPr>
          <w:spacing w:val="-2"/>
          <w:lang w:eastAsia="en-IN"/>
        </w:rPr>
        <w:t>,</w:t>
      </w:r>
      <w:r w:rsidRPr="00CF716C">
        <w:rPr>
          <w:spacing w:val="-2"/>
          <w:lang w:eastAsia="en-IN"/>
        </w:rPr>
        <w:t xml:space="preserve"> and was it </w:t>
      </w:r>
      <w:r w:rsidRPr="00CF716C">
        <w:rPr>
          <w:spacing w:val="-2"/>
        </w:rPr>
        <w:t xml:space="preserve">critical for </w:t>
      </w:r>
      <w:r w:rsidRPr="00CF716C">
        <w:rPr>
          <w:spacing w:val="-2"/>
          <w:lang w:eastAsia="en-IN"/>
        </w:rPr>
        <w:t>the company’s survival to do so</w:t>
      </w:r>
      <w:r w:rsidR="00F72079" w:rsidRPr="00CF716C">
        <w:rPr>
          <w:spacing w:val="-2"/>
        </w:rPr>
        <w:t xml:space="preserve">? </w:t>
      </w:r>
      <w:r w:rsidR="005E5410" w:rsidRPr="00CF716C">
        <w:rPr>
          <w:spacing w:val="-2"/>
        </w:rPr>
        <w:t xml:space="preserve">Was the business environment even conducive to exploring new markets? How could the company use demonetization to its advantage and leverage its network-backed 4G LTE services? </w:t>
      </w:r>
    </w:p>
    <w:p w14:paraId="61D770D9" w14:textId="77777777" w:rsidR="00F72079" w:rsidRPr="00B615FE" w:rsidRDefault="00F72079" w:rsidP="009B21DF">
      <w:pPr>
        <w:pStyle w:val="BodyTextMain"/>
        <w:rPr>
          <w:sz w:val="17"/>
        </w:rPr>
      </w:pPr>
      <w:r w:rsidRPr="00B615FE">
        <w:br w:type="page"/>
      </w:r>
    </w:p>
    <w:p w14:paraId="21112C92" w14:textId="62F040D6" w:rsidR="00F72079" w:rsidRPr="00E92F02" w:rsidRDefault="00F72079" w:rsidP="006A0453">
      <w:pPr>
        <w:pStyle w:val="ExhibitHeading"/>
        <w:outlineLvl w:val="0"/>
      </w:pPr>
      <w:r w:rsidRPr="00B615FE">
        <w:lastRenderedPageBreak/>
        <w:t xml:space="preserve">Exhibit 1: </w:t>
      </w:r>
      <w:r w:rsidRPr="00E92F02">
        <w:t>Reliance Jio Infocomm Ltd</w:t>
      </w:r>
      <w:r w:rsidR="00636922">
        <w:t>.,</w:t>
      </w:r>
      <w:r w:rsidRPr="00B615FE">
        <w:t xml:space="preserve"> </w:t>
      </w:r>
      <w:r w:rsidR="00636922" w:rsidRPr="00B615FE">
        <w:t xml:space="preserve">Balance Sheet </w:t>
      </w:r>
      <w:r w:rsidR="00636922">
        <w:t>(₹ ‘000,000)</w:t>
      </w:r>
    </w:p>
    <w:p w14:paraId="28D18B52" w14:textId="77777777" w:rsidR="00801AEA" w:rsidRPr="00641858" w:rsidRDefault="00801AEA" w:rsidP="006A0453">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708"/>
        <w:gridCol w:w="1708"/>
        <w:gridCol w:w="1709"/>
      </w:tblGrid>
      <w:tr w:rsidR="00C679F5" w:rsidRPr="00C679F5" w14:paraId="7D3721E8" w14:textId="77777777" w:rsidTr="007E3216">
        <w:trPr>
          <w:trHeight w:val="288"/>
          <w:jc w:val="center"/>
        </w:trPr>
        <w:tc>
          <w:tcPr>
            <w:tcW w:w="4225" w:type="dxa"/>
            <w:shd w:val="clear" w:color="auto" w:fill="auto"/>
            <w:noWrap/>
            <w:vAlign w:val="center"/>
            <w:hideMark/>
          </w:tcPr>
          <w:p w14:paraId="2AE79A8F" w14:textId="000A9606" w:rsidR="00C679F5" w:rsidRPr="00C679F5" w:rsidRDefault="001A3978" w:rsidP="001B3619">
            <w:pPr>
              <w:pStyle w:val="ExhibitText"/>
              <w:jc w:val="left"/>
              <w:rPr>
                <w:b/>
                <w:lang w:eastAsia="en-IN"/>
              </w:rPr>
            </w:pPr>
            <w:r>
              <w:rPr>
                <w:b/>
                <w:lang w:eastAsia="en-IN"/>
              </w:rPr>
              <w:t>A</w:t>
            </w:r>
            <w:r w:rsidR="00835AC8">
              <w:rPr>
                <w:b/>
                <w:lang w:eastAsia="en-IN"/>
              </w:rPr>
              <w:t>s of y</w:t>
            </w:r>
            <w:r w:rsidR="00C679F5" w:rsidRPr="00C679F5">
              <w:rPr>
                <w:b/>
                <w:lang w:eastAsia="en-IN"/>
              </w:rPr>
              <w:t>ear</w:t>
            </w:r>
            <w:r w:rsidR="00835AC8">
              <w:rPr>
                <w:b/>
                <w:lang w:eastAsia="en-IN"/>
              </w:rPr>
              <w:t>-e</w:t>
            </w:r>
            <w:r w:rsidR="00C679F5" w:rsidRPr="00C679F5">
              <w:rPr>
                <w:b/>
                <w:lang w:eastAsia="en-IN"/>
              </w:rPr>
              <w:t>nd</w:t>
            </w:r>
            <w:r w:rsidR="00835AC8">
              <w:rPr>
                <w:b/>
                <w:lang w:eastAsia="en-IN"/>
              </w:rPr>
              <w:t xml:space="preserve"> March 31</w:t>
            </w:r>
          </w:p>
        </w:tc>
        <w:tc>
          <w:tcPr>
            <w:tcW w:w="1708" w:type="dxa"/>
            <w:vAlign w:val="center"/>
          </w:tcPr>
          <w:p w14:paraId="4A003706" w14:textId="7B981BAF" w:rsidR="00C679F5" w:rsidRPr="00C679F5" w:rsidRDefault="00C679F5" w:rsidP="00C679F5">
            <w:pPr>
              <w:pStyle w:val="ExhibitText"/>
              <w:ind w:right="144"/>
              <w:jc w:val="center"/>
              <w:rPr>
                <w:b/>
                <w:lang w:eastAsia="en-IN"/>
              </w:rPr>
            </w:pPr>
            <w:r w:rsidRPr="00C679F5">
              <w:rPr>
                <w:b/>
                <w:lang w:eastAsia="en-IN"/>
              </w:rPr>
              <w:t>2014</w:t>
            </w:r>
          </w:p>
        </w:tc>
        <w:tc>
          <w:tcPr>
            <w:tcW w:w="1708" w:type="dxa"/>
            <w:vAlign w:val="center"/>
          </w:tcPr>
          <w:p w14:paraId="201C60A1" w14:textId="0E84FF8C" w:rsidR="00C679F5" w:rsidRPr="00C679F5" w:rsidRDefault="00C679F5" w:rsidP="00C679F5">
            <w:pPr>
              <w:pStyle w:val="ExhibitText"/>
              <w:ind w:right="144"/>
              <w:jc w:val="center"/>
              <w:rPr>
                <w:b/>
                <w:lang w:eastAsia="en-IN"/>
              </w:rPr>
            </w:pPr>
            <w:r w:rsidRPr="00C679F5">
              <w:rPr>
                <w:b/>
                <w:lang w:eastAsia="en-IN"/>
              </w:rPr>
              <w:t>2015</w:t>
            </w:r>
          </w:p>
        </w:tc>
        <w:tc>
          <w:tcPr>
            <w:tcW w:w="1709" w:type="dxa"/>
            <w:shd w:val="clear" w:color="auto" w:fill="auto"/>
            <w:noWrap/>
            <w:vAlign w:val="center"/>
            <w:hideMark/>
          </w:tcPr>
          <w:p w14:paraId="1221184C" w14:textId="4E96D961" w:rsidR="00C679F5" w:rsidRPr="00C679F5" w:rsidRDefault="00C679F5" w:rsidP="00C679F5">
            <w:pPr>
              <w:pStyle w:val="ExhibitText"/>
              <w:ind w:right="144"/>
              <w:jc w:val="center"/>
              <w:rPr>
                <w:b/>
                <w:lang w:eastAsia="en-IN"/>
              </w:rPr>
            </w:pPr>
            <w:r w:rsidRPr="00C679F5">
              <w:rPr>
                <w:b/>
                <w:lang w:eastAsia="en-IN"/>
              </w:rPr>
              <w:t>2016</w:t>
            </w:r>
          </w:p>
        </w:tc>
      </w:tr>
      <w:tr w:rsidR="00C679F5" w:rsidRPr="00B615FE" w14:paraId="08C8A458" w14:textId="77777777" w:rsidTr="00C679F5">
        <w:trPr>
          <w:trHeight w:val="288"/>
          <w:jc w:val="center"/>
        </w:trPr>
        <w:tc>
          <w:tcPr>
            <w:tcW w:w="4225" w:type="dxa"/>
            <w:shd w:val="clear" w:color="auto" w:fill="auto"/>
            <w:noWrap/>
            <w:vAlign w:val="center"/>
            <w:hideMark/>
          </w:tcPr>
          <w:p w14:paraId="30038721" w14:textId="77777777" w:rsidR="00C679F5" w:rsidRPr="00B615FE" w:rsidRDefault="00C679F5" w:rsidP="00C679F5">
            <w:pPr>
              <w:pStyle w:val="ExhibitText"/>
              <w:jc w:val="left"/>
              <w:rPr>
                <w:lang w:eastAsia="en-IN"/>
              </w:rPr>
            </w:pPr>
            <w:r w:rsidRPr="00B615FE">
              <w:rPr>
                <w:lang w:eastAsia="en-IN"/>
              </w:rPr>
              <w:t>Share Capital</w:t>
            </w:r>
          </w:p>
        </w:tc>
        <w:tc>
          <w:tcPr>
            <w:tcW w:w="1708" w:type="dxa"/>
            <w:vAlign w:val="center"/>
          </w:tcPr>
          <w:p w14:paraId="79431E17" w14:textId="1C6AFFA2" w:rsidR="00C679F5" w:rsidRPr="00B615FE" w:rsidRDefault="00C679F5" w:rsidP="00C679F5">
            <w:pPr>
              <w:pStyle w:val="ExhibitText"/>
              <w:ind w:right="144"/>
              <w:jc w:val="right"/>
              <w:rPr>
                <w:lang w:eastAsia="en-IN"/>
              </w:rPr>
            </w:pPr>
            <w:r w:rsidRPr="00B615FE">
              <w:rPr>
                <w:lang w:eastAsia="en-IN"/>
              </w:rPr>
              <w:t>2,307,200</w:t>
            </w:r>
          </w:p>
        </w:tc>
        <w:tc>
          <w:tcPr>
            <w:tcW w:w="1708" w:type="dxa"/>
            <w:vAlign w:val="center"/>
          </w:tcPr>
          <w:p w14:paraId="528E1852" w14:textId="2DB162D5" w:rsidR="00C679F5" w:rsidRPr="00B615FE" w:rsidRDefault="00C679F5" w:rsidP="00C679F5">
            <w:pPr>
              <w:pStyle w:val="ExhibitText"/>
              <w:ind w:right="144"/>
              <w:jc w:val="right"/>
              <w:rPr>
                <w:lang w:eastAsia="en-IN"/>
              </w:rPr>
            </w:pPr>
            <w:r w:rsidRPr="00B615FE">
              <w:rPr>
                <w:lang w:eastAsia="en-IN"/>
              </w:rPr>
              <w:t>3,012,500</w:t>
            </w:r>
          </w:p>
        </w:tc>
        <w:tc>
          <w:tcPr>
            <w:tcW w:w="1709" w:type="dxa"/>
            <w:shd w:val="clear" w:color="auto" w:fill="auto"/>
            <w:noWrap/>
            <w:vAlign w:val="center"/>
            <w:hideMark/>
          </w:tcPr>
          <w:p w14:paraId="1263BBB5" w14:textId="6E8A8145" w:rsidR="00C679F5" w:rsidRPr="00B615FE" w:rsidRDefault="00C679F5" w:rsidP="00C679F5">
            <w:pPr>
              <w:pStyle w:val="ExhibitText"/>
              <w:ind w:right="144"/>
              <w:jc w:val="right"/>
              <w:rPr>
                <w:lang w:eastAsia="en-IN"/>
              </w:rPr>
            </w:pPr>
            <w:r w:rsidRPr="00B615FE">
              <w:rPr>
                <w:lang w:eastAsia="en-IN"/>
              </w:rPr>
              <w:t>4,512,500</w:t>
            </w:r>
          </w:p>
        </w:tc>
      </w:tr>
      <w:tr w:rsidR="00C679F5" w:rsidRPr="00B615FE" w14:paraId="31B07BAD" w14:textId="77777777" w:rsidTr="00C679F5">
        <w:trPr>
          <w:trHeight w:val="288"/>
          <w:jc w:val="center"/>
        </w:trPr>
        <w:tc>
          <w:tcPr>
            <w:tcW w:w="4225" w:type="dxa"/>
            <w:shd w:val="clear" w:color="auto" w:fill="auto"/>
            <w:noWrap/>
            <w:vAlign w:val="center"/>
            <w:hideMark/>
          </w:tcPr>
          <w:p w14:paraId="1455725A" w14:textId="6C167442" w:rsidR="00C679F5" w:rsidRPr="00B615FE" w:rsidRDefault="00C679F5" w:rsidP="00C679F5">
            <w:pPr>
              <w:pStyle w:val="ExhibitText"/>
              <w:jc w:val="left"/>
              <w:rPr>
                <w:lang w:eastAsia="en-IN"/>
              </w:rPr>
            </w:pPr>
            <w:r w:rsidRPr="00B615FE">
              <w:rPr>
                <w:lang w:eastAsia="en-IN"/>
              </w:rPr>
              <w:t xml:space="preserve">Share Warrants </w:t>
            </w:r>
            <w:r w:rsidR="00C80B85">
              <w:rPr>
                <w:lang w:eastAsia="en-IN"/>
              </w:rPr>
              <w:t>and</w:t>
            </w:r>
            <w:r w:rsidR="00C80B85" w:rsidRPr="00B615FE">
              <w:rPr>
                <w:lang w:eastAsia="en-IN"/>
              </w:rPr>
              <w:t xml:space="preserve"> </w:t>
            </w:r>
            <w:r w:rsidRPr="00B615FE">
              <w:rPr>
                <w:lang w:eastAsia="en-IN"/>
              </w:rPr>
              <w:t>Outstanding</w:t>
            </w:r>
          </w:p>
        </w:tc>
        <w:tc>
          <w:tcPr>
            <w:tcW w:w="1708" w:type="dxa"/>
            <w:vAlign w:val="center"/>
          </w:tcPr>
          <w:p w14:paraId="053C5F25" w14:textId="4FDDAB6A"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4FFAFE93" w14:textId="0929546F"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2D10AAE2" w14:textId="3047DD21" w:rsidR="00C679F5" w:rsidRPr="00B615FE" w:rsidRDefault="00C679F5" w:rsidP="00C679F5">
            <w:pPr>
              <w:pStyle w:val="ExhibitText"/>
              <w:ind w:right="144"/>
              <w:jc w:val="right"/>
              <w:rPr>
                <w:lang w:eastAsia="en-IN"/>
              </w:rPr>
            </w:pPr>
            <w:r w:rsidRPr="00B615FE">
              <w:rPr>
                <w:lang w:eastAsia="en-IN"/>
              </w:rPr>
              <w:t>0</w:t>
            </w:r>
          </w:p>
        </w:tc>
      </w:tr>
      <w:tr w:rsidR="00C679F5" w:rsidRPr="00B615FE" w14:paraId="7469DE61" w14:textId="77777777" w:rsidTr="00C679F5">
        <w:trPr>
          <w:trHeight w:val="288"/>
          <w:jc w:val="center"/>
        </w:trPr>
        <w:tc>
          <w:tcPr>
            <w:tcW w:w="4225" w:type="dxa"/>
            <w:shd w:val="clear" w:color="auto" w:fill="auto"/>
            <w:noWrap/>
            <w:vAlign w:val="center"/>
            <w:hideMark/>
          </w:tcPr>
          <w:p w14:paraId="5A857BFB" w14:textId="77777777" w:rsidR="00C679F5" w:rsidRPr="00B615FE" w:rsidRDefault="00C679F5" w:rsidP="00C679F5">
            <w:pPr>
              <w:pStyle w:val="ExhibitText"/>
              <w:jc w:val="left"/>
              <w:rPr>
                <w:lang w:eastAsia="en-IN"/>
              </w:rPr>
            </w:pPr>
            <w:r w:rsidRPr="00B615FE">
              <w:rPr>
                <w:lang w:eastAsia="en-IN"/>
              </w:rPr>
              <w:t>Share Warrants</w:t>
            </w:r>
          </w:p>
        </w:tc>
        <w:tc>
          <w:tcPr>
            <w:tcW w:w="1708" w:type="dxa"/>
            <w:vAlign w:val="center"/>
          </w:tcPr>
          <w:p w14:paraId="3848A69E" w14:textId="0605D8E1"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3ED391CD" w14:textId="1198CBA4"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4DF227BF" w14:textId="6B052118" w:rsidR="00C679F5" w:rsidRPr="00B615FE" w:rsidRDefault="00C679F5" w:rsidP="00C679F5">
            <w:pPr>
              <w:pStyle w:val="ExhibitText"/>
              <w:ind w:right="144"/>
              <w:jc w:val="right"/>
              <w:rPr>
                <w:lang w:eastAsia="en-IN"/>
              </w:rPr>
            </w:pPr>
            <w:r w:rsidRPr="00B615FE">
              <w:rPr>
                <w:lang w:eastAsia="en-IN"/>
              </w:rPr>
              <w:t>0</w:t>
            </w:r>
          </w:p>
        </w:tc>
      </w:tr>
      <w:tr w:rsidR="00C679F5" w:rsidRPr="00B615FE" w14:paraId="6C7103F3" w14:textId="77777777" w:rsidTr="00C679F5">
        <w:trPr>
          <w:trHeight w:val="288"/>
          <w:jc w:val="center"/>
        </w:trPr>
        <w:tc>
          <w:tcPr>
            <w:tcW w:w="4225" w:type="dxa"/>
            <w:shd w:val="clear" w:color="auto" w:fill="auto"/>
            <w:noWrap/>
            <w:vAlign w:val="center"/>
            <w:hideMark/>
          </w:tcPr>
          <w:p w14:paraId="1C851D16" w14:textId="77777777" w:rsidR="00C679F5" w:rsidRPr="00B615FE" w:rsidRDefault="00C679F5" w:rsidP="00C679F5">
            <w:pPr>
              <w:pStyle w:val="ExhibitText"/>
              <w:jc w:val="left"/>
              <w:rPr>
                <w:lang w:eastAsia="en-IN"/>
              </w:rPr>
            </w:pPr>
            <w:r w:rsidRPr="00B615FE">
              <w:rPr>
                <w:lang w:eastAsia="en-IN"/>
              </w:rPr>
              <w:t>Total Reserve</w:t>
            </w:r>
          </w:p>
        </w:tc>
        <w:tc>
          <w:tcPr>
            <w:tcW w:w="1708" w:type="dxa"/>
            <w:vAlign w:val="center"/>
          </w:tcPr>
          <w:p w14:paraId="10569E56" w14:textId="3476FA9E" w:rsidR="00C679F5" w:rsidRPr="00B615FE" w:rsidRDefault="00C80B85" w:rsidP="00C679F5">
            <w:pPr>
              <w:pStyle w:val="ExhibitText"/>
              <w:ind w:right="144"/>
              <w:jc w:val="right"/>
              <w:rPr>
                <w:lang w:eastAsia="en-IN"/>
              </w:rPr>
            </w:pPr>
            <w:r>
              <w:rPr>
                <w:lang w:eastAsia="en-IN"/>
              </w:rPr>
              <w:t>−</w:t>
            </w:r>
            <w:r w:rsidR="00C679F5" w:rsidRPr="00B615FE">
              <w:rPr>
                <w:lang w:eastAsia="en-IN"/>
              </w:rPr>
              <w:t>2,739</w:t>
            </w:r>
          </w:p>
        </w:tc>
        <w:tc>
          <w:tcPr>
            <w:tcW w:w="1708" w:type="dxa"/>
            <w:vAlign w:val="center"/>
          </w:tcPr>
          <w:p w14:paraId="2597BF30" w14:textId="537955F1" w:rsidR="00C679F5" w:rsidRPr="00B615FE" w:rsidRDefault="00C80B85" w:rsidP="00C679F5">
            <w:pPr>
              <w:pStyle w:val="ExhibitText"/>
              <w:ind w:right="144"/>
              <w:jc w:val="right"/>
              <w:rPr>
                <w:lang w:eastAsia="en-IN"/>
              </w:rPr>
            </w:pPr>
            <w:r>
              <w:rPr>
                <w:lang w:eastAsia="en-IN"/>
              </w:rPr>
              <w:t>−</w:t>
            </w:r>
            <w:r w:rsidR="00C679F5" w:rsidRPr="00B615FE">
              <w:rPr>
                <w:lang w:eastAsia="en-IN"/>
              </w:rPr>
              <w:t>5,083</w:t>
            </w:r>
          </w:p>
        </w:tc>
        <w:tc>
          <w:tcPr>
            <w:tcW w:w="1709" w:type="dxa"/>
            <w:shd w:val="clear" w:color="auto" w:fill="auto"/>
            <w:noWrap/>
            <w:vAlign w:val="center"/>
            <w:hideMark/>
          </w:tcPr>
          <w:p w14:paraId="39B9938F" w14:textId="70E2D085" w:rsidR="00C679F5" w:rsidRPr="00B615FE" w:rsidRDefault="00C80B85" w:rsidP="00C679F5">
            <w:pPr>
              <w:pStyle w:val="ExhibitText"/>
              <w:ind w:right="144"/>
              <w:jc w:val="right"/>
              <w:rPr>
                <w:lang w:eastAsia="en-IN"/>
              </w:rPr>
            </w:pPr>
            <w:r>
              <w:rPr>
                <w:lang w:eastAsia="en-IN"/>
              </w:rPr>
              <w:t>−</w:t>
            </w:r>
            <w:r w:rsidR="00C679F5" w:rsidRPr="00B615FE">
              <w:rPr>
                <w:lang w:eastAsia="en-IN"/>
              </w:rPr>
              <w:t>7,471</w:t>
            </w:r>
          </w:p>
        </w:tc>
      </w:tr>
      <w:tr w:rsidR="00C679F5" w:rsidRPr="00B615FE" w14:paraId="5998022C" w14:textId="77777777" w:rsidTr="00C679F5">
        <w:trPr>
          <w:trHeight w:val="288"/>
          <w:jc w:val="center"/>
        </w:trPr>
        <w:tc>
          <w:tcPr>
            <w:tcW w:w="4225" w:type="dxa"/>
            <w:shd w:val="clear" w:color="auto" w:fill="auto"/>
            <w:noWrap/>
            <w:vAlign w:val="center"/>
            <w:hideMark/>
          </w:tcPr>
          <w:p w14:paraId="46B18347" w14:textId="312A139C" w:rsidR="00C679F5" w:rsidRPr="00B615FE" w:rsidRDefault="00C679F5" w:rsidP="00847635">
            <w:pPr>
              <w:pStyle w:val="ExhibitText"/>
              <w:jc w:val="left"/>
              <w:rPr>
                <w:lang w:eastAsia="en-IN"/>
              </w:rPr>
            </w:pPr>
            <w:r w:rsidRPr="00B615FE">
              <w:rPr>
                <w:lang w:eastAsia="en-IN"/>
              </w:rPr>
              <w:t>Shareholders</w:t>
            </w:r>
            <w:r w:rsidR="001A3978">
              <w:rPr>
                <w:lang w:eastAsia="en-IN"/>
              </w:rPr>
              <w:t>’</w:t>
            </w:r>
            <w:r w:rsidRPr="00B615FE">
              <w:rPr>
                <w:lang w:eastAsia="en-IN"/>
              </w:rPr>
              <w:t xml:space="preserve"> Funds</w:t>
            </w:r>
          </w:p>
        </w:tc>
        <w:tc>
          <w:tcPr>
            <w:tcW w:w="1708" w:type="dxa"/>
            <w:vAlign w:val="center"/>
          </w:tcPr>
          <w:p w14:paraId="69A1E207" w14:textId="10B1D45D" w:rsidR="00C679F5" w:rsidRPr="00B615FE" w:rsidRDefault="00C679F5" w:rsidP="00C679F5">
            <w:pPr>
              <w:pStyle w:val="ExhibitText"/>
              <w:ind w:right="144"/>
              <w:jc w:val="right"/>
              <w:rPr>
                <w:lang w:eastAsia="en-IN"/>
              </w:rPr>
            </w:pPr>
            <w:r w:rsidRPr="00B615FE">
              <w:rPr>
                <w:lang w:eastAsia="en-IN"/>
              </w:rPr>
              <w:t>2,304,461</w:t>
            </w:r>
          </w:p>
        </w:tc>
        <w:tc>
          <w:tcPr>
            <w:tcW w:w="1708" w:type="dxa"/>
            <w:vAlign w:val="center"/>
          </w:tcPr>
          <w:p w14:paraId="73556312" w14:textId="169ABA80" w:rsidR="00C679F5" w:rsidRPr="00B615FE" w:rsidRDefault="00C679F5" w:rsidP="00C679F5">
            <w:pPr>
              <w:pStyle w:val="ExhibitText"/>
              <w:ind w:right="144"/>
              <w:jc w:val="right"/>
              <w:rPr>
                <w:lang w:eastAsia="en-IN"/>
              </w:rPr>
            </w:pPr>
            <w:r w:rsidRPr="00B615FE">
              <w:rPr>
                <w:lang w:eastAsia="en-IN"/>
              </w:rPr>
              <w:t>3,007,417</w:t>
            </w:r>
          </w:p>
        </w:tc>
        <w:tc>
          <w:tcPr>
            <w:tcW w:w="1709" w:type="dxa"/>
            <w:shd w:val="clear" w:color="auto" w:fill="auto"/>
            <w:noWrap/>
            <w:vAlign w:val="center"/>
            <w:hideMark/>
          </w:tcPr>
          <w:p w14:paraId="23061A54" w14:textId="498E4E0F" w:rsidR="00C679F5" w:rsidRPr="00B615FE" w:rsidRDefault="00C679F5" w:rsidP="00C679F5">
            <w:pPr>
              <w:pStyle w:val="ExhibitText"/>
              <w:ind w:right="144"/>
              <w:jc w:val="right"/>
              <w:rPr>
                <w:lang w:eastAsia="en-IN"/>
              </w:rPr>
            </w:pPr>
            <w:r w:rsidRPr="00B615FE">
              <w:rPr>
                <w:lang w:eastAsia="en-IN"/>
              </w:rPr>
              <w:t>4,505,029</w:t>
            </w:r>
          </w:p>
        </w:tc>
      </w:tr>
      <w:tr w:rsidR="00C679F5" w:rsidRPr="00B615FE" w14:paraId="1C2CA6F2" w14:textId="77777777" w:rsidTr="00C679F5">
        <w:trPr>
          <w:trHeight w:val="288"/>
          <w:jc w:val="center"/>
        </w:trPr>
        <w:tc>
          <w:tcPr>
            <w:tcW w:w="4225" w:type="dxa"/>
            <w:shd w:val="clear" w:color="auto" w:fill="auto"/>
            <w:noWrap/>
            <w:vAlign w:val="center"/>
            <w:hideMark/>
          </w:tcPr>
          <w:p w14:paraId="37984500" w14:textId="77777777" w:rsidR="00C679F5" w:rsidRPr="00B615FE" w:rsidRDefault="00C679F5" w:rsidP="00C679F5">
            <w:pPr>
              <w:pStyle w:val="ExhibitText"/>
              <w:jc w:val="left"/>
              <w:rPr>
                <w:lang w:eastAsia="en-IN"/>
              </w:rPr>
            </w:pPr>
            <w:r w:rsidRPr="00B615FE">
              <w:rPr>
                <w:lang w:eastAsia="en-IN"/>
              </w:rPr>
              <w:t>Secured Loans</w:t>
            </w:r>
          </w:p>
        </w:tc>
        <w:tc>
          <w:tcPr>
            <w:tcW w:w="1708" w:type="dxa"/>
            <w:vAlign w:val="center"/>
          </w:tcPr>
          <w:p w14:paraId="16C101E8" w14:textId="112CB5A6" w:rsidR="00C679F5" w:rsidRPr="00B615FE" w:rsidRDefault="00C679F5" w:rsidP="00C679F5">
            <w:pPr>
              <w:pStyle w:val="ExhibitText"/>
              <w:ind w:right="144"/>
              <w:jc w:val="right"/>
              <w:rPr>
                <w:lang w:eastAsia="en-IN"/>
              </w:rPr>
            </w:pPr>
            <w:r w:rsidRPr="00B615FE">
              <w:rPr>
                <w:lang w:eastAsia="en-IN"/>
              </w:rPr>
              <w:t>645</w:t>
            </w:r>
          </w:p>
        </w:tc>
        <w:tc>
          <w:tcPr>
            <w:tcW w:w="1708" w:type="dxa"/>
            <w:vAlign w:val="center"/>
          </w:tcPr>
          <w:p w14:paraId="3A7323DF" w14:textId="48F16E48" w:rsidR="00C679F5" w:rsidRPr="00B615FE" w:rsidRDefault="00C679F5" w:rsidP="00C679F5">
            <w:pPr>
              <w:pStyle w:val="ExhibitText"/>
              <w:ind w:right="144"/>
              <w:jc w:val="right"/>
              <w:rPr>
                <w:lang w:eastAsia="en-IN"/>
              </w:rPr>
            </w:pPr>
            <w:r w:rsidRPr="00B615FE">
              <w:rPr>
                <w:lang w:eastAsia="en-IN"/>
              </w:rPr>
              <w:t>151,167</w:t>
            </w:r>
          </w:p>
        </w:tc>
        <w:tc>
          <w:tcPr>
            <w:tcW w:w="1709" w:type="dxa"/>
            <w:shd w:val="clear" w:color="auto" w:fill="auto"/>
            <w:noWrap/>
            <w:vAlign w:val="center"/>
            <w:hideMark/>
          </w:tcPr>
          <w:p w14:paraId="679BE3DE" w14:textId="2DC6B0A3" w:rsidR="00C679F5" w:rsidRPr="00B615FE" w:rsidRDefault="00C679F5" w:rsidP="00C679F5">
            <w:pPr>
              <w:pStyle w:val="ExhibitText"/>
              <w:ind w:right="144"/>
              <w:jc w:val="right"/>
              <w:rPr>
                <w:lang w:eastAsia="en-IN"/>
              </w:rPr>
            </w:pPr>
            <w:r w:rsidRPr="00B615FE">
              <w:rPr>
                <w:lang w:eastAsia="en-IN"/>
              </w:rPr>
              <w:t>900,637</w:t>
            </w:r>
          </w:p>
        </w:tc>
      </w:tr>
      <w:tr w:rsidR="00C679F5" w:rsidRPr="00B615FE" w14:paraId="6784CC54" w14:textId="77777777" w:rsidTr="00C679F5">
        <w:trPr>
          <w:trHeight w:val="288"/>
          <w:jc w:val="center"/>
        </w:trPr>
        <w:tc>
          <w:tcPr>
            <w:tcW w:w="4225" w:type="dxa"/>
            <w:shd w:val="clear" w:color="auto" w:fill="auto"/>
            <w:noWrap/>
            <w:vAlign w:val="center"/>
            <w:hideMark/>
          </w:tcPr>
          <w:p w14:paraId="780D4BE8" w14:textId="77777777" w:rsidR="00C679F5" w:rsidRPr="00B615FE" w:rsidRDefault="00C679F5" w:rsidP="00C679F5">
            <w:pPr>
              <w:pStyle w:val="ExhibitText"/>
              <w:jc w:val="left"/>
              <w:rPr>
                <w:lang w:eastAsia="en-IN"/>
              </w:rPr>
            </w:pPr>
            <w:r w:rsidRPr="00B615FE">
              <w:rPr>
                <w:lang w:eastAsia="en-IN"/>
              </w:rPr>
              <w:t>Unsecured Loans</w:t>
            </w:r>
          </w:p>
        </w:tc>
        <w:tc>
          <w:tcPr>
            <w:tcW w:w="1708" w:type="dxa"/>
            <w:vAlign w:val="center"/>
          </w:tcPr>
          <w:p w14:paraId="235E67E0" w14:textId="7B416E2E" w:rsidR="00C679F5" w:rsidRPr="00B615FE" w:rsidRDefault="00C679F5" w:rsidP="00C679F5">
            <w:pPr>
              <w:pStyle w:val="ExhibitText"/>
              <w:ind w:right="144"/>
              <w:jc w:val="right"/>
              <w:rPr>
                <w:lang w:eastAsia="en-IN"/>
              </w:rPr>
            </w:pPr>
            <w:r w:rsidRPr="00B615FE">
              <w:rPr>
                <w:lang w:eastAsia="en-IN"/>
              </w:rPr>
              <w:t>1,508,611</w:t>
            </w:r>
          </w:p>
        </w:tc>
        <w:tc>
          <w:tcPr>
            <w:tcW w:w="1708" w:type="dxa"/>
            <w:vAlign w:val="center"/>
          </w:tcPr>
          <w:p w14:paraId="5CF838DB" w14:textId="71209951" w:rsidR="00C679F5" w:rsidRPr="00B615FE" w:rsidRDefault="00C679F5" w:rsidP="00C679F5">
            <w:pPr>
              <w:pStyle w:val="ExhibitText"/>
              <w:ind w:right="144"/>
              <w:jc w:val="right"/>
              <w:rPr>
                <w:lang w:eastAsia="en-IN"/>
              </w:rPr>
            </w:pPr>
            <w:r w:rsidRPr="00B615FE">
              <w:rPr>
                <w:lang w:eastAsia="en-IN"/>
              </w:rPr>
              <w:t>2,611,313</w:t>
            </w:r>
          </w:p>
        </w:tc>
        <w:tc>
          <w:tcPr>
            <w:tcW w:w="1709" w:type="dxa"/>
            <w:shd w:val="clear" w:color="auto" w:fill="auto"/>
            <w:noWrap/>
            <w:vAlign w:val="center"/>
            <w:hideMark/>
          </w:tcPr>
          <w:p w14:paraId="3125F3C0" w14:textId="6E3406DD" w:rsidR="00C679F5" w:rsidRPr="00B615FE" w:rsidRDefault="00C679F5" w:rsidP="00C679F5">
            <w:pPr>
              <w:pStyle w:val="ExhibitText"/>
              <w:ind w:right="144"/>
              <w:jc w:val="right"/>
              <w:rPr>
                <w:lang w:eastAsia="en-IN"/>
              </w:rPr>
            </w:pPr>
            <w:r w:rsidRPr="00B615FE">
              <w:rPr>
                <w:lang w:eastAsia="en-IN"/>
              </w:rPr>
              <w:t>3,736,320</w:t>
            </w:r>
          </w:p>
        </w:tc>
      </w:tr>
      <w:tr w:rsidR="00C679F5" w:rsidRPr="00B615FE" w14:paraId="61212AAD" w14:textId="77777777" w:rsidTr="00C679F5">
        <w:trPr>
          <w:trHeight w:val="288"/>
          <w:jc w:val="center"/>
        </w:trPr>
        <w:tc>
          <w:tcPr>
            <w:tcW w:w="4225" w:type="dxa"/>
            <w:shd w:val="clear" w:color="auto" w:fill="auto"/>
            <w:noWrap/>
            <w:vAlign w:val="center"/>
            <w:hideMark/>
          </w:tcPr>
          <w:p w14:paraId="6C9FAFA5" w14:textId="77777777" w:rsidR="00C679F5" w:rsidRPr="00B615FE" w:rsidRDefault="00C679F5" w:rsidP="00C679F5">
            <w:pPr>
              <w:pStyle w:val="ExhibitText"/>
              <w:jc w:val="left"/>
              <w:rPr>
                <w:lang w:eastAsia="en-IN"/>
              </w:rPr>
            </w:pPr>
            <w:r w:rsidRPr="00B615FE">
              <w:rPr>
                <w:lang w:eastAsia="en-IN"/>
              </w:rPr>
              <w:t>Total Debts</w:t>
            </w:r>
          </w:p>
        </w:tc>
        <w:tc>
          <w:tcPr>
            <w:tcW w:w="1708" w:type="dxa"/>
            <w:vAlign w:val="center"/>
          </w:tcPr>
          <w:p w14:paraId="2BA25453" w14:textId="182CC27D" w:rsidR="00C679F5" w:rsidRPr="00B615FE" w:rsidRDefault="00C679F5" w:rsidP="00C679F5">
            <w:pPr>
              <w:pStyle w:val="ExhibitText"/>
              <w:ind w:right="144"/>
              <w:jc w:val="right"/>
              <w:rPr>
                <w:lang w:eastAsia="en-IN"/>
              </w:rPr>
            </w:pPr>
            <w:r w:rsidRPr="00B615FE">
              <w:rPr>
                <w:lang w:eastAsia="en-IN"/>
              </w:rPr>
              <w:t>1,509,256</w:t>
            </w:r>
          </w:p>
        </w:tc>
        <w:tc>
          <w:tcPr>
            <w:tcW w:w="1708" w:type="dxa"/>
            <w:vAlign w:val="center"/>
          </w:tcPr>
          <w:p w14:paraId="4B766489" w14:textId="0AA6BE7A" w:rsidR="00C679F5" w:rsidRPr="00B615FE" w:rsidRDefault="00C679F5" w:rsidP="00C679F5">
            <w:pPr>
              <w:pStyle w:val="ExhibitText"/>
              <w:ind w:right="144"/>
              <w:jc w:val="right"/>
              <w:rPr>
                <w:lang w:eastAsia="en-IN"/>
              </w:rPr>
            </w:pPr>
            <w:r w:rsidRPr="00B615FE">
              <w:rPr>
                <w:lang w:eastAsia="en-IN"/>
              </w:rPr>
              <w:t>2,762,480</w:t>
            </w:r>
          </w:p>
        </w:tc>
        <w:tc>
          <w:tcPr>
            <w:tcW w:w="1709" w:type="dxa"/>
            <w:shd w:val="clear" w:color="auto" w:fill="auto"/>
            <w:noWrap/>
            <w:vAlign w:val="center"/>
            <w:hideMark/>
          </w:tcPr>
          <w:p w14:paraId="452233D1" w14:textId="39AA0B0A" w:rsidR="00C679F5" w:rsidRPr="00B615FE" w:rsidRDefault="00C679F5" w:rsidP="00C679F5">
            <w:pPr>
              <w:pStyle w:val="ExhibitText"/>
              <w:ind w:right="144"/>
              <w:jc w:val="right"/>
              <w:rPr>
                <w:lang w:eastAsia="en-IN"/>
              </w:rPr>
            </w:pPr>
            <w:r w:rsidRPr="00B615FE">
              <w:rPr>
                <w:lang w:eastAsia="en-IN"/>
              </w:rPr>
              <w:t>4,636,957</w:t>
            </w:r>
          </w:p>
        </w:tc>
      </w:tr>
      <w:tr w:rsidR="00C679F5" w:rsidRPr="00B615FE" w14:paraId="46F9C5F3" w14:textId="77777777" w:rsidTr="007E3216">
        <w:trPr>
          <w:trHeight w:val="288"/>
          <w:jc w:val="center"/>
        </w:trPr>
        <w:tc>
          <w:tcPr>
            <w:tcW w:w="4225" w:type="dxa"/>
            <w:tcBorders>
              <w:bottom w:val="single" w:sz="4" w:space="0" w:color="auto"/>
            </w:tcBorders>
            <w:shd w:val="clear" w:color="auto" w:fill="auto"/>
            <w:noWrap/>
            <w:vAlign w:val="center"/>
            <w:hideMark/>
          </w:tcPr>
          <w:p w14:paraId="506F2263" w14:textId="77777777" w:rsidR="00C679F5" w:rsidRPr="00B615FE" w:rsidRDefault="00C679F5" w:rsidP="00C679F5">
            <w:pPr>
              <w:pStyle w:val="ExhibitText"/>
              <w:jc w:val="left"/>
              <w:rPr>
                <w:lang w:eastAsia="en-IN"/>
              </w:rPr>
            </w:pPr>
            <w:r w:rsidRPr="00B615FE">
              <w:rPr>
                <w:lang w:eastAsia="en-IN"/>
              </w:rPr>
              <w:t>Total Liabilities</w:t>
            </w:r>
          </w:p>
        </w:tc>
        <w:tc>
          <w:tcPr>
            <w:tcW w:w="1708" w:type="dxa"/>
            <w:tcBorders>
              <w:bottom w:val="single" w:sz="4" w:space="0" w:color="auto"/>
            </w:tcBorders>
            <w:vAlign w:val="center"/>
          </w:tcPr>
          <w:p w14:paraId="759195EA" w14:textId="082DFEEB" w:rsidR="00C679F5" w:rsidRPr="00B615FE" w:rsidRDefault="00C679F5" w:rsidP="00C679F5">
            <w:pPr>
              <w:pStyle w:val="ExhibitText"/>
              <w:ind w:right="144"/>
              <w:jc w:val="right"/>
              <w:rPr>
                <w:lang w:eastAsia="en-IN"/>
              </w:rPr>
            </w:pPr>
            <w:r w:rsidRPr="00B615FE">
              <w:rPr>
                <w:lang w:eastAsia="en-IN"/>
              </w:rPr>
              <w:t>3,813,717</w:t>
            </w:r>
          </w:p>
        </w:tc>
        <w:tc>
          <w:tcPr>
            <w:tcW w:w="1708" w:type="dxa"/>
            <w:tcBorders>
              <w:bottom w:val="single" w:sz="4" w:space="0" w:color="auto"/>
            </w:tcBorders>
            <w:vAlign w:val="center"/>
          </w:tcPr>
          <w:p w14:paraId="2EA0F147" w14:textId="39E60026" w:rsidR="00C679F5" w:rsidRPr="00B615FE" w:rsidRDefault="00C679F5" w:rsidP="00C679F5">
            <w:pPr>
              <w:pStyle w:val="ExhibitText"/>
              <w:ind w:right="144"/>
              <w:jc w:val="right"/>
              <w:rPr>
                <w:lang w:eastAsia="en-IN"/>
              </w:rPr>
            </w:pPr>
            <w:r w:rsidRPr="00B615FE">
              <w:rPr>
                <w:lang w:eastAsia="en-IN"/>
              </w:rPr>
              <w:t>5,769,897</w:t>
            </w:r>
          </w:p>
        </w:tc>
        <w:tc>
          <w:tcPr>
            <w:tcW w:w="1709" w:type="dxa"/>
            <w:tcBorders>
              <w:bottom w:val="single" w:sz="4" w:space="0" w:color="auto"/>
            </w:tcBorders>
            <w:shd w:val="clear" w:color="auto" w:fill="auto"/>
            <w:noWrap/>
            <w:vAlign w:val="center"/>
            <w:hideMark/>
          </w:tcPr>
          <w:p w14:paraId="52870D40" w14:textId="17FBB6CF" w:rsidR="00C679F5" w:rsidRPr="00B615FE" w:rsidRDefault="00C679F5" w:rsidP="00C679F5">
            <w:pPr>
              <w:pStyle w:val="ExhibitText"/>
              <w:ind w:right="144"/>
              <w:jc w:val="right"/>
              <w:rPr>
                <w:lang w:eastAsia="en-IN"/>
              </w:rPr>
            </w:pPr>
            <w:r w:rsidRPr="00B615FE">
              <w:rPr>
                <w:lang w:eastAsia="en-IN"/>
              </w:rPr>
              <w:t>9,141,986</w:t>
            </w:r>
          </w:p>
        </w:tc>
      </w:tr>
      <w:tr w:rsidR="00C679F5" w:rsidRPr="00B615FE" w14:paraId="6A5B8C32" w14:textId="77777777" w:rsidTr="007E3216">
        <w:trPr>
          <w:trHeight w:val="288"/>
          <w:jc w:val="center"/>
        </w:trPr>
        <w:tc>
          <w:tcPr>
            <w:tcW w:w="4225" w:type="dxa"/>
            <w:tcBorders>
              <w:right w:val="nil"/>
            </w:tcBorders>
            <w:shd w:val="clear" w:color="auto" w:fill="auto"/>
            <w:noWrap/>
            <w:vAlign w:val="center"/>
            <w:hideMark/>
          </w:tcPr>
          <w:p w14:paraId="772BE500" w14:textId="48667394" w:rsidR="00C679F5" w:rsidRPr="00B615FE" w:rsidRDefault="00C679F5" w:rsidP="00C679F5">
            <w:pPr>
              <w:pStyle w:val="ExhibitText"/>
              <w:jc w:val="left"/>
              <w:rPr>
                <w:lang w:eastAsia="en-IN"/>
              </w:rPr>
            </w:pPr>
            <w:r w:rsidRPr="00B615FE">
              <w:rPr>
                <w:lang w:eastAsia="en-IN"/>
              </w:rPr>
              <w:t>APPLICATION OF FUNDS</w:t>
            </w:r>
          </w:p>
        </w:tc>
        <w:tc>
          <w:tcPr>
            <w:tcW w:w="1708" w:type="dxa"/>
            <w:tcBorders>
              <w:left w:val="nil"/>
              <w:right w:val="nil"/>
            </w:tcBorders>
            <w:vAlign w:val="center"/>
          </w:tcPr>
          <w:p w14:paraId="1337D52D" w14:textId="6799381D" w:rsidR="00C679F5" w:rsidRDefault="00C679F5" w:rsidP="00C679F5">
            <w:pPr>
              <w:pStyle w:val="ExhibitText"/>
              <w:ind w:right="144"/>
              <w:jc w:val="right"/>
              <w:rPr>
                <w:lang w:eastAsia="en-IN"/>
              </w:rPr>
            </w:pPr>
            <w:r>
              <w:rPr>
                <w:lang w:eastAsia="en-IN"/>
              </w:rPr>
              <w:t xml:space="preserve"> </w:t>
            </w:r>
          </w:p>
        </w:tc>
        <w:tc>
          <w:tcPr>
            <w:tcW w:w="1708" w:type="dxa"/>
            <w:tcBorders>
              <w:left w:val="nil"/>
              <w:right w:val="nil"/>
            </w:tcBorders>
            <w:vAlign w:val="center"/>
          </w:tcPr>
          <w:p w14:paraId="2852AAE5" w14:textId="47A083A0" w:rsidR="00C679F5" w:rsidRDefault="00C679F5" w:rsidP="00C679F5">
            <w:pPr>
              <w:pStyle w:val="ExhibitText"/>
              <w:ind w:right="144"/>
              <w:jc w:val="right"/>
              <w:rPr>
                <w:lang w:eastAsia="en-IN"/>
              </w:rPr>
            </w:pPr>
            <w:r>
              <w:rPr>
                <w:lang w:eastAsia="en-IN"/>
              </w:rPr>
              <w:t xml:space="preserve"> </w:t>
            </w:r>
          </w:p>
        </w:tc>
        <w:tc>
          <w:tcPr>
            <w:tcW w:w="1709" w:type="dxa"/>
            <w:tcBorders>
              <w:left w:val="nil"/>
            </w:tcBorders>
            <w:shd w:val="clear" w:color="auto" w:fill="auto"/>
            <w:noWrap/>
            <w:vAlign w:val="center"/>
            <w:hideMark/>
          </w:tcPr>
          <w:p w14:paraId="69FD1627" w14:textId="6F54EE9B" w:rsidR="00C679F5" w:rsidRPr="00B615FE" w:rsidRDefault="00C679F5" w:rsidP="00C679F5">
            <w:pPr>
              <w:pStyle w:val="ExhibitText"/>
              <w:ind w:right="144"/>
              <w:jc w:val="right"/>
              <w:rPr>
                <w:lang w:eastAsia="en-IN"/>
              </w:rPr>
            </w:pPr>
            <w:r>
              <w:rPr>
                <w:lang w:eastAsia="en-IN"/>
              </w:rPr>
              <w:t xml:space="preserve"> </w:t>
            </w:r>
          </w:p>
        </w:tc>
      </w:tr>
      <w:tr w:rsidR="00C679F5" w:rsidRPr="00B615FE" w14:paraId="59FDE2F5" w14:textId="77777777" w:rsidTr="00C679F5">
        <w:trPr>
          <w:trHeight w:val="288"/>
          <w:jc w:val="center"/>
        </w:trPr>
        <w:tc>
          <w:tcPr>
            <w:tcW w:w="4225" w:type="dxa"/>
            <w:shd w:val="clear" w:color="auto" w:fill="auto"/>
            <w:noWrap/>
            <w:vAlign w:val="center"/>
            <w:hideMark/>
          </w:tcPr>
          <w:p w14:paraId="551E5259" w14:textId="77777777" w:rsidR="00C679F5" w:rsidRPr="00B615FE" w:rsidRDefault="00C679F5" w:rsidP="00C679F5">
            <w:pPr>
              <w:pStyle w:val="ExhibitText"/>
              <w:jc w:val="left"/>
              <w:rPr>
                <w:lang w:eastAsia="en-IN"/>
              </w:rPr>
            </w:pPr>
            <w:r w:rsidRPr="00B615FE">
              <w:rPr>
                <w:lang w:eastAsia="en-IN"/>
              </w:rPr>
              <w:t>Gross Block</w:t>
            </w:r>
          </w:p>
        </w:tc>
        <w:tc>
          <w:tcPr>
            <w:tcW w:w="1708" w:type="dxa"/>
            <w:vAlign w:val="center"/>
          </w:tcPr>
          <w:p w14:paraId="11FC4D95" w14:textId="7C0A99F5" w:rsidR="00C679F5" w:rsidRPr="00B615FE" w:rsidRDefault="00C679F5" w:rsidP="00C679F5">
            <w:pPr>
              <w:pStyle w:val="ExhibitText"/>
              <w:ind w:right="144"/>
              <w:jc w:val="right"/>
              <w:rPr>
                <w:lang w:eastAsia="en-IN"/>
              </w:rPr>
            </w:pPr>
            <w:r w:rsidRPr="00B615FE">
              <w:rPr>
                <w:lang w:eastAsia="en-IN"/>
              </w:rPr>
              <w:t>77,627</w:t>
            </w:r>
          </w:p>
        </w:tc>
        <w:tc>
          <w:tcPr>
            <w:tcW w:w="1708" w:type="dxa"/>
            <w:vAlign w:val="center"/>
          </w:tcPr>
          <w:p w14:paraId="7D2DD4ED" w14:textId="1D6CD8F2" w:rsidR="00C679F5" w:rsidRPr="00B615FE" w:rsidRDefault="00C679F5" w:rsidP="00C679F5">
            <w:pPr>
              <w:pStyle w:val="ExhibitText"/>
              <w:ind w:right="144"/>
              <w:jc w:val="right"/>
              <w:rPr>
                <w:lang w:eastAsia="en-IN"/>
              </w:rPr>
            </w:pPr>
            <w:r w:rsidRPr="00B615FE">
              <w:rPr>
                <w:lang w:eastAsia="en-IN"/>
              </w:rPr>
              <w:t>102</w:t>
            </w:r>
            <w:r w:rsidR="00C80B85">
              <w:rPr>
                <w:lang w:eastAsia="en-IN"/>
              </w:rPr>
              <w:t>,</w:t>
            </w:r>
            <w:r w:rsidRPr="00B615FE">
              <w:rPr>
                <w:lang w:eastAsia="en-IN"/>
              </w:rPr>
              <w:t>561</w:t>
            </w:r>
          </w:p>
        </w:tc>
        <w:tc>
          <w:tcPr>
            <w:tcW w:w="1709" w:type="dxa"/>
            <w:shd w:val="clear" w:color="auto" w:fill="auto"/>
            <w:noWrap/>
            <w:vAlign w:val="center"/>
            <w:hideMark/>
          </w:tcPr>
          <w:p w14:paraId="074A07A9" w14:textId="0672CCF7" w:rsidR="00C679F5" w:rsidRPr="00B615FE" w:rsidRDefault="00C679F5" w:rsidP="00C679F5">
            <w:pPr>
              <w:pStyle w:val="ExhibitText"/>
              <w:ind w:right="144"/>
              <w:jc w:val="right"/>
              <w:rPr>
                <w:lang w:eastAsia="en-IN"/>
              </w:rPr>
            </w:pPr>
            <w:r w:rsidRPr="00B615FE">
              <w:rPr>
                <w:lang w:eastAsia="en-IN"/>
              </w:rPr>
              <w:t>118,252</w:t>
            </w:r>
          </w:p>
        </w:tc>
      </w:tr>
      <w:tr w:rsidR="00C679F5" w:rsidRPr="00B615FE" w14:paraId="39D0A17D" w14:textId="77777777" w:rsidTr="00C679F5">
        <w:trPr>
          <w:trHeight w:val="288"/>
          <w:jc w:val="center"/>
        </w:trPr>
        <w:tc>
          <w:tcPr>
            <w:tcW w:w="4225" w:type="dxa"/>
            <w:shd w:val="clear" w:color="auto" w:fill="auto"/>
            <w:noWrap/>
            <w:vAlign w:val="center"/>
            <w:hideMark/>
          </w:tcPr>
          <w:p w14:paraId="7BF8AF09" w14:textId="77777777" w:rsidR="00C679F5" w:rsidRPr="00B615FE" w:rsidRDefault="00C679F5" w:rsidP="00C679F5">
            <w:pPr>
              <w:pStyle w:val="ExhibitText"/>
              <w:jc w:val="left"/>
              <w:rPr>
                <w:lang w:eastAsia="en-IN"/>
              </w:rPr>
            </w:pPr>
            <w:r w:rsidRPr="00B615FE">
              <w:rPr>
                <w:lang w:eastAsia="en-IN"/>
              </w:rPr>
              <w:t>Less: Accumulated Depreciation</w:t>
            </w:r>
          </w:p>
        </w:tc>
        <w:tc>
          <w:tcPr>
            <w:tcW w:w="1708" w:type="dxa"/>
            <w:vAlign w:val="center"/>
          </w:tcPr>
          <w:p w14:paraId="7FD097E0" w14:textId="3DC13BA6" w:rsidR="00C679F5" w:rsidRPr="00B615FE" w:rsidRDefault="00C679F5" w:rsidP="00C679F5">
            <w:pPr>
              <w:pStyle w:val="ExhibitText"/>
              <w:ind w:right="144"/>
              <w:jc w:val="right"/>
              <w:rPr>
                <w:lang w:eastAsia="en-IN"/>
              </w:rPr>
            </w:pPr>
            <w:r w:rsidRPr="00B615FE">
              <w:rPr>
                <w:lang w:eastAsia="en-IN"/>
              </w:rPr>
              <w:t>6,504</w:t>
            </w:r>
          </w:p>
        </w:tc>
        <w:tc>
          <w:tcPr>
            <w:tcW w:w="1708" w:type="dxa"/>
            <w:vAlign w:val="center"/>
          </w:tcPr>
          <w:p w14:paraId="799C060B" w14:textId="6BA7C01F" w:rsidR="00C679F5" w:rsidRPr="00B615FE" w:rsidRDefault="00C679F5" w:rsidP="00C679F5">
            <w:pPr>
              <w:pStyle w:val="ExhibitText"/>
              <w:ind w:right="144"/>
              <w:jc w:val="right"/>
              <w:rPr>
                <w:lang w:eastAsia="en-IN"/>
              </w:rPr>
            </w:pPr>
            <w:r w:rsidRPr="00B615FE">
              <w:rPr>
                <w:lang w:eastAsia="en-IN"/>
              </w:rPr>
              <w:t>13,983</w:t>
            </w:r>
          </w:p>
        </w:tc>
        <w:tc>
          <w:tcPr>
            <w:tcW w:w="1709" w:type="dxa"/>
            <w:shd w:val="clear" w:color="auto" w:fill="auto"/>
            <w:noWrap/>
            <w:vAlign w:val="center"/>
            <w:hideMark/>
          </w:tcPr>
          <w:p w14:paraId="0E5FEAE7" w14:textId="624E86F3" w:rsidR="00C679F5" w:rsidRPr="00B615FE" w:rsidRDefault="00C679F5" w:rsidP="00C679F5">
            <w:pPr>
              <w:pStyle w:val="ExhibitText"/>
              <w:ind w:right="144"/>
              <w:jc w:val="right"/>
              <w:rPr>
                <w:lang w:eastAsia="en-IN"/>
              </w:rPr>
            </w:pPr>
            <w:r w:rsidRPr="00B615FE">
              <w:rPr>
                <w:lang w:eastAsia="en-IN"/>
              </w:rPr>
              <w:t>24,279</w:t>
            </w:r>
          </w:p>
        </w:tc>
      </w:tr>
      <w:tr w:rsidR="00C679F5" w:rsidRPr="00B615FE" w14:paraId="5B76149D" w14:textId="77777777" w:rsidTr="00C679F5">
        <w:trPr>
          <w:trHeight w:val="288"/>
          <w:jc w:val="center"/>
        </w:trPr>
        <w:tc>
          <w:tcPr>
            <w:tcW w:w="4225" w:type="dxa"/>
            <w:shd w:val="clear" w:color="auto" w:fill="auto"/>
            <w:noWrap/>
            <w:vAlign w:val="center"/>
            <w:hideMark/>
          </w:tcPr>
          <w:p w14:paraId="13D00225" w14:textId="77777777" w:rsidR="00C679F5" w:rsidRPr="00B615FE" w:rsidRDefault="00C679F5" w:rsidP="00C679F5">
            <w:pPr>
              <w:pStyle w:val="ExhibitText"/>
              <w:jc w:val="left"/>
              <w:rPr>
                <w:lang w:eastAsia="en-IN"/>
              </w:rPr>
            </w:pPr>
            <w:r w:rsidRPr="00B615FE">
              <w:rPr>
                <w:lang w:eastAsia="en-IN"/>
              </w:rPr>
              <w:t>Less: Impairment of Assets</w:t>
            </w:r>
          </w:p>
        </w:tc>
        <w:tc>
          <w:tcPr>
            <w:tcW w:w="1708" w:type="dxa"/>
            <w:vAlign w:val="center"/>
          </w:tcPr>
          <w:p w14:paraId="6717840C" w14:textId="391A1BA8"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4291D358" w14:textId="1D825847"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2DEEEEBA" w14:textId="71A0D82B" w:rsidR="00C679F5" w:rsidRPr="00B615FE" w:rsidRDefault="00C679F5" w:rsidP="00C679F5">
            <w:pPr>
              <w:pStyle w:val="ExhibitText"/>
              <w:ind w:right="144"/>
              <w:jc w:val="right"/>
              <w:rPr>
                <w:lang w:eastAsia="en-IN"/>
              </w:rPr>
            </w:pPr>
            <w:r w:rsidRPr="00B615FE">
              <w:rPr>
                <w:lang w:eastAsia="en-IN"/>
              </w:rPr>
              <w:t>0</w:t>
            </w:r>
          </w:p>
        </w:tc>
      </w:tr>
      <w:tr w:rsidR="00C679F5" w:rsidRPr="00B615FE" w14:paraId="00B483B7" w14:textId="77777777" w:rsidTr="00C679F5">
        <w:trPr>
          <w:trHeight w:val="288"/>
          <w:jc w:val="center"/>
        </w:trPr>
        <w:tc>
          <w:tcPr>
            <w:tcW w:w="4225" w:type="dxa"/>
            <w:shd w:val="clear" w:color="auto" w:fill="auto"/>
            <w:noWrap/>
            <w:vAlign w:val="center"/>
            <w:hideMark/>
          </w:tcPr>
          <w:p w14:paraId="5C01A95E" w14:textId="6365487C" w:rsidR="00C679F5" w:rsidRPr="00B615FE" w:rsidRDefault="00C679F5" w:rsidP="00C679F5">
            <w:pPr>
              <w:pStyle w:val="ExhibitText"/>
              <w:jc w:val="left"/>
              <w:rPr>
                <w:lang w:eastAsia="en-IN"/>
              </w:rPr>
            </w:pPr>
            <w:r w:rsidRPr="00B615FE">
              <w:rPr>
                <w:lang w:eastAsia="en-IN"/>
              </w:rPr>
              <w:t xml:space="preserve">Lease Adjustment </w:t>
            </w:r>
            <w:r w:rsidR="001F0169">
              <w:rPr>
                <w:lang w:eastAsia="en-IN"/>
              </w:rPr>
              <w:t>Account</w:t>
            </w:r>
          </w:p>
        </w:tc>
        <w:tc>
          <w:tcPr>
            <w:tcW w:w="1708" w:type="dxa"/>
            <w:vAlign w:val="center"/>
          </w:tcPr>
          <w:p w14:paraId="6773C562" w14:textId="39A3D965"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2CF1B337" w14:textId="2C816EBD"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46CB6F4A" w14:textId="6F65BC32" w:rsidR="00C679F5" w:rsidRPr="00B615FE" w:rsidRDefault="00C679F5" w:rsidP="00C679F5">
            <w:pPr>
              <w:pStyle w:val="ExhibitText"/>
              <w:ind w:right="144"/>
              <w:jc w:val="right"/>
              <w:rPr>
                <w:lang w:eastAsia="en-IN"/>
              </w:rPr>
            </w:pPr>
            <w:r w:rsidRPr="00B615FE">
              <w:rPr>
                <w:lang w:eastAsia="en-IN"/>
              </w:rPr>
              <w:t>0</w:t>
            </w:r>
          </w:p>
        </w:tc>
      </w:tr>
      <w:tr w:rsidR="00C679F5" w:rsidRPr="00B615FE" w14:paraId="392EB0BA" w14:textId="77777777" w:rsidTr="00C679F5">
        <w:trPr>
          <w:trHeight w:val="288"/>
          <w:jc w:val="center"/>
        </w:trPr>
        <w:tc>
          <w:tcPr>
            <w:tcW w:w="4225" w:type="dxa"/>
            <w:shd w:val="clear" w:color="auto" w:fill="auto"/>
            <w:noWrap/>
            <w:vAlign w:val="center"/>
            <w:hideMark/>
          </w:tcPr>
          <w:p w14:paraId="282DC6C5" w14:textId="77777777" w:rsidR="00C679F5" w:rsidRPr="00B615FE" w:rsidRDefault="00C679F5" w:rsidP="00C679F5">
            <w:pPr>
              <w:pStyle w:val="ExhibitText"/>
              <w:jc w:val="left"/>
              <w:rPr>
                <w:lang w:eastAsia="en-IN"/>
              </w:rPr>
            </w:pPr>
            <w:r w:rsidRPr="00B615FE">
              <w:rPr>
                <w:lang w:eastAsia="en-IN"/>
              </w:rPr>
              <w:t>Capital Work in Progress</w:t>
            </w:r>
          </w:p>
        </w:tc>
        <w:tc>
          <w:tcPr>
            <w:tcW w:w="1708" w:type="dxa"/>
            <w:vAlign w:val="center"/>
          </w:tcPr>
          <w:p w14:paraId="3B1B2C92" w14:textId="5DD7B79B" w:rsidR="00C679F5" w:rsidRPr="00B615FE" w:rsidRDefault="00C679F5" w:rsidP="00C679F5">
            <w:pPr>
              <w:pStyle w:val="ExhibitText"/>
              <w:ind w:right="144"/>
              <w:jc w:val="right"/>
              <w:rPr>
                <w:lang w:eastAsia="en-IN"/>
              </w:rPr>
            </w:pPr>
            <w:r w:rsidRPr="00B615FE">
              <w:rPr>
                <w:lang w:eastAsia="en-IN"/>
              </w:rPr>
              <w:t>3,366,531</w:t>
            </w:r>
          </w:p>
        </w:tc>
        <w:tc>
          <w:tcPr>
            <w:tcW w:w="1708" w:type="dxa"/>
            <w:vAlign w:val="center"/>
          </w:tcPr>
          <w:p w14:paraId="593DC634" w14:textId="7C82256B" w:rsidR="00C679F5" w:rsidRPr="00B615FE" w:rsidRDefault="00C679F5" w:rsidP="00C679F5">
            <w:pPr>
              <w:pStyle w:val="ExhibitText"/>
              <w:ind w:right="144"/>
              <w:jc w:val="right"/>
              <w:rPr>
                <w:lang w:eastAsia="en-IN"/>
              </w:rPr>
            </w:pPr>
            <w:r w:rsidRPr="00B615FE">
              <w:rPr>
                <w:lang w:eastAsia="en-IN"/>
              </w:rPr>
              <w:t>7,229,777</w:t>
            </w:r>
          </w:p>
        </w:tc>
        <w:tc>
          <w:tcPr>
            <w:tcW w:w="1709" w:type="dxa"/>
            <w:shd w:val="clear" w:color="auto" w:fill="auto"/>
            <w:noWrap/>
            <w:vAlign w:val="center"/>
            <w:hideMark/>
          </w:tcPr>
          <w:p w14:paraId="7F2F2B63" w14:textId="4F7511EE" w:rsidR="00C679F5" w:rsidRPr="00B615FE" w:rsidRDefault="00C679F5" w:rsidP="00C679F5">
            <w:pPr>
              <w:pStyle w:val="ExhibitText"/>
              <w:ind w:right="144"/>
              <w:jc w:val="right"/>
              <w:rPr>
                <w:lang w:eastAsia="en-IN"/>
              </w:rPr>
            </w:pPr>
            <w:r w:rsidRPr="00B615FE">
              <w:rPr>
                <w:lang w:eastAsia="en-IN"/>
              </w:rPr>
              <w:t>11,834,987</w:t>
            </w:r>
          </w:p>
        </w:tc>
      </w:tr>
      <w:tr w:rsidR="00C679F5" w:rsidRPr="00B615FE" w14:paraId="1FF33A64" w14:textId="77777777" w:rsidTr="00C679F5">
        <w:trPr>
          <w:trHeight w:val="288"/>
          <w:jc w:val="center"/>
        </w:trPr>
        <w:tc>
          <w:tcPr>
            <w:tcW w:w="4225" w:type="dxa"/>
            <w:shd w:val="clear" w:color="auto" w:fill="auto"/>
            <w:noWrap/>
            <w:vAlign w:val="center"/>
            <w:hideMark/>
          </w:tcPr>
          <w:p w14:paraId="4F3EB326" w14:textId="28E05109" w:rsidR="00C679F5" w:rsidRPr="00B615FE" w:rsidRDefault="00C679F5" w:rsidP="00C679F5">
            <w:pPr>
              <w:pStyle w:val="ExhibitText"/>
              <w:jc w:val="left"/>
              <w:rPr>
                <w:lang w:eastAsia="en-IN"/>
              </w:rPr>
            </w:pPr>
            <w:r w:rsidRPr="00B615FE">
              <w:rPr>
                <w:lang w:eastAsia="en-IN"/>
              </w:rPr>
              <w:t>Pre-</w:t>
            </w:r>
            <w:r w:rsidR="001F0169">
              <w:rPr>
                <w:lang w:eastAsia="en-IN"/>
              </w:rPr>
              <w:t>O</w:t>
            </w:r>
            <w:r w:rsidRPr="00B615FE">
              <w:rPr>
                <w:lang w:eastAsia="en-IN"/>
              </w:rPr>
              <w:t xml:space="preserve">perative Expenses </w:t>
            </w:r>
            <w:r w:rsidR="001F0169">
              <w:rPr>
                <w:lang w:eastAsia="en-IN"/>
              </w:rPr>
              <w:t>P</w:t>
            </w:r>
            <w:r w:rsidRPr="00B615FE">
              <w:rPr>
                <w:lang w:eastAsia="en-IN"/>
              </w:rPr>
              <w:t>ending</w:t>
            </w:r>
          </w:p>
        </w:tc>
        <w:tc>
          <w:tcPr>
            <w:tcW w:w="1708" w:type="dxa"/>
            <w:vAlign w:val="center"/>
          </w:tcPr>
          <w:p w14:paraId="6BF1739F" w14:textId="37AB8CD3"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6B5B02D3" w14:textId="27E27521"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336BA201" w14:textId="31E9A490" w:rsidR="00C679F5" w:rsidRPr="00B615FE" w:rsidRDefault="00C679F5" w:rsidP="00C679F5">
            <w:pPr>
              <w:pStyle w:val="ExhibitText"/>
              <w:ind w:right="144"/>
              <w:jc w:val="right"/>
              <w:rPr>
                <w:lang w:eastAsia="en-IN"/>
              </w:rPr>
            </w:pPr>
            <w:r w:rsidRPr="00B615FE">
              <w:rPr>
                <w:lang w:eastAsia="en-IN"/>
              </w:rPr>
              <w:t>0</w:t>
            </w:r>
          </w:p>
        </w:tc>
      </w:tr>
      <w:tr w:rsidR="00C679F5" w:rsidRPr="00B615FE" w14:paraId="012E51C1" w14:textId="77777777" w:rsidTr="00C679F5">
        <w:trPr>
          <w:trHeight w:val="288"/>
          <w:jc w:val="center"/>
        </w:trPr>
        <w:tc>
          <w:tcPr>
            <w:tcW w:w="4225" w:type="dxa"/>
            <w:shd w:val="clear" w:color="auto" w:fill="auto"/>
            <w:noWrap/>
            <w:vAlign w:val="center"/>
            <w:hideMark/>
          </w:tcPr>
          <w:p w14:paraId="5113E10C" w14:textId="4091897B" w:rsidR="00C679F5" w:rsidRPr="00B615FE" w:rsidRDefault="00C679F5" w:rsidP="00C679F5">
            <w:pPr>
              <w:pStyle w:val="ExhibitText"/>
              <w:jc w:val="left"/>
              <w:rPr>
                <w:lang w:eastAsia="en-IN"/>
              </w:rPr>
            </w:pPr>
            <w:r w:rsidRPr="00B615FE">
              <w:rPr>
                <w:lang w:eastAsia="en-IN"/>
              </w:rPr>
              <w:t xml:space="preserve">Assets in </w:t>
            </w:r>
            <w:r w:rsidR="001F0169">
              <w:rPr>
                <w:lang w:eastAsia="en-IN"/>
              </w:rPr>
              <w:t>T</w:t>
            </w:r>
            <w:r w:rsidRPr="00B615FE">
              <w:rPr>
                <w:lang w:eastAsia="en-IN"/>
              </w:rPr>
              <w:t>ransit</w:t>
            </w:r>
          </w:p>
        </w:tc>
        <w:tc>
          <w:tcPr>
            <w:tcW w:w="1708" w:type="dxa"/>
            <w:vAlign w:val="center"/>
          </w:tcPr>
          <w:p w14:paraId="3BCC852B" w14:textId="4B465A7C"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0F72C197" w14:textId="35B44530"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02AD7795" w14:textId="1D8842AE" w:rsidR="00C679F5" w:rsidRPr="00B615FE" w:rsidRDefault="00C679F5" w:rsidP="00C679F5">
            <w:pPr>
              <w:pStyle w:val="ExhibitText"/>
              <w:ind w:right="144"/>
              <w:jc w:val="right"/>
              <w:rPr>
                <w:lang w:eastAsia="en-IN"/>
              </w:rPr>
            </w:pPr>
            <w:r w:rsidRPr="00B615FE">
              <w:rPr>
                <w:lang w:eastAsia="en-IN"/>
              </w:rPr>
              <w:t>0</w:t>
            </w:r>
          </w:p>
        </w:tc>
      </w:tr>
      <w:tr w:rsidR="00C679F5" w:rsidRPr="00B615FE" w14:paraId="2FEFDE0F" w14:textId="77777777" w:rsidTr="007E3216">
        <w:trPr>
          <w:trHeight w:val="288"/>
          <w:jc w:val="center"/>
        </w:trPr>
        <w:tc>
          <w:tcPr>
            <w:tcW w:w="4225" w:type="dxa"/>
            <w:tcBorders>
              <w:bottom w:val="single" w:sz="4" w:space="0" w:color="auto"/>
            </w:tcBorders>
            <w:shd w:val="clear" w:color="auto" w:fill="auto"/>
            <w:noWrap/>
            <w:vAlign w:val="center"/>
            <w:hideMark/>
          </w:tcPr>
          <w:p w14:paraId="69031CFF" w14:textId="77777777" w:rsidR="00C679F5" w:rsidRPr="00B615FE" w:rsidRDefault="00C679F5" w:rsidP="00C679F5">
            <w:pPr>
              <w:pStyle w:val="ExhibitText"/>
              <w:jc w:val="left"/>
              <w:rPr>
                <w:lang w:eastAsia="en-IN"/>
              </w:rPr>
            </w:pPr>
            <w:r w:rsidRPr="00B615FE">
              <w:rPr>
                <w:lang w:eastAsia="en-IN"/>
              </w:rPr>
              <w:t>Investments</w:t>
            </w:r>
          </w:p>
        </w:tc>
        <w:tc>
          <w:tcPr>
            <w:tcW w:w="1708" w:type="dxa"/>
            <w:tcBorders>
              <w:bottom w:val="single" w:sz="4" w:space="0" w:color="auto"/>
            </w:tcBorders>
            <w:vAlign w:val="center"/>
          </w:tcPr>
          <w:p w14:paraId="7AC04FC5" w14:textId="650A2D19" w:rsidR="00C679F5" w:rsidRPr="00B615FE" w:rsidRDefault="00C679F5" w:rsidP="00C679F5">
            <w:pPr>
              <w:pStyle w:val="ExhibitText"/>
              <w:ind w:right="144"/>
              <w:jc w:val="right"/>
              <w:rPr>
                <w:lang w:eastAsia="en-IN"/>
              </w:rPr>
            </w:pPr>
            <w:r w:rsidRPr="00B615FE">
              <w:rPr>
                <w:lang w:eastAsia="en-IN"/>
              </w:rPr>
              <w:t>614,087</w:t>
            </w:r>
          </w:p>
        </w:tc>
        <w:tc>
          <w:tcPr>
            <w:tcW w:w="1708" w:type="dxa"/>
            <w:tcBorders>
              <w:bottom w:val="single" w:sz="4" w:space="0" w:color="auto"/>
            </w:tcBorders>
            <w:vAlign w:val="center"/>
          </w:tcPr>
          <w:p w14:paraId="0DCCBDC1" w14:textId="5FCEFFE1" w:rsidR="00C679F5" w:rsidRPr="00B615FE" w:rsidRDefault="00C679F5" w:rsidP="00C679F5">
            <w:pPr>
              <w:pStyle w:val="ExhibitText"/>
              <w:ind w:right="144"/>
              <w:jc w:val="right"/>
              <w:rPr>
                <w:lang w:eastAsia="en-IN"/>
              </w:rPr>
            </w:pPr>
            <w:r w:rsidRPr="00B615FE">
              <w:rPr>
                <w:lang w:eastAsia="en-IN"/>
              </w:rPr>
              <w:t>503,076</w:t>
            </w:r>
          </w:p>
        </w:tc>
        <w:tc>
          <w:tcPr>
            <w:tcW w:w="1709" w:type="dxa"/>
            <w:tcBorders>
              <w:bottom w:val="single" w:sz="4" w:space="0" w:color="auto"/>
            </w:tcBorders>
            <w:shd w:val="clear" w:color="auto" w:fill="auto"/>
            <w:noWrap/>
            <w:vAlign w:val="center"/>
            <w:hideMark/>
          </w:tcPr>
          <w:p w14:paraId="377C5235" w14:textId="4079700F" w:rsidR="00C679F5" w:rsidRPr="00B615FE" w:rsidRDefault="00C679F5" w:rsidP="00C679F5">
            <w:pPr>
              <w:pStyle w:val="ExhibitText"/>
              <w:ind w:right="144"/>
              <w:jc w:val="right"/>
              <w:rPr>
                <w:lang w:eastAsia="en-IN"/>
              </w:rPr>
            </w:pPr>
            <w:r w:rsidRPr="00B615FE">
              <w:rPr>
                <w:lang w:eastAsia="en-IN"/>
              </w:rPr>
              <w:t>875,656</w:t>
            </w:r>
          </w:p>
        </w:tc>
      </w:tr>
      <w:tr w:rsidR="00C679F5" w:rsidRPr="00B615FE" w14:paraId="683867C1" w14:textId="77777777" w:rsidTr="007E3216">
        <w:trPr>
          <w:trHeight w:val="288"/>
          <w:jc w:val="center"/>
        </w:trPr>
        <w:tc>
          <w:tcPr>
            <w:tcW w:w="4225" w:type="dxa"/>
            <w:tcBorders>
              <w:right w:val="nil"/>
            </w:tcBorders>
            <w:shd w:val="clear" w:color="auto" w:fill="auto"/>
            <w:noWrap/>
            <w:vAlign w:val="center"/>
            <w:hideMark/>
          </w:tcPr>
          <w:p w14:paraId="2026AC55" w14:textId="2A540AE7" w:rsidR="00C679F5" w:rsidRPr="00B615FE" w:rsidRDefault="00C679F5" w:rsidP="00C679F5">
            <w:pPr>
              <w:pStyle w:val="ExhibitText"/>
              <w:jc w:val="left"/>
              <w:rPr>
                <w:lang w:eastAsia="en-IN"/>
              </w:rPr>
            </w:pPr>
            <w:r w:rsidRPr="00B615FE">
              <w:rPr>
                <w:lang w:eastAsia="en-IN"/>
              </w:rPr>
              <w:t>Current Assets, Loans</w:t>
            </w:r>
            <w:r w:rsidR="00C80B85">
              <w:rPr>
                <w:lang w:eastAsia="en-IN"/>
              </w:rPr>
              <w:t>,</w:t>
            </w:r>
            <w:r w:rsidRPr="00B615FE">
              <w:rPr>
                <w:lang w:eastAsia="en-IN"/>
              </w:rPr>
              <w:t xml:space="preserve"> </w:t>
            </w:r>
            <w:r w:rsidR="00C80B85">
              <w:rPr>
                <w:lang w:eastAsia="en-IN"/>
              </w:rPr>
              <w:t>and</w:t>
            </w:r>
            <w:r w:rsidR="00C80B85" w:rsidRPr="00B615FE">
              <w:rPr>
                <w:lang w:eastAsia="en-IN"/>
              </w:rPr>
              <w:t xml:space="preserve"> </w:t>
            </w:r>
            <w:r w:rsidRPr="00B615FE">
              <w:rPr>
                <w:lang w:eastAsia="en-IN"/>
              </w:rPr>
              <w:t>Advances</w:t>
            </w:r>
          </w:p>
        </w:tc>
        <w:tc>
          <w:tcPr>
            <w:tcW w:w="1708" w:type="dxa"/>
            <w:tcBorders>
              <w:left w:val="nil"/>
              <w:right w:val="nil"/>
            </w:tcBorders>
            <w:vAlign w:val="center"/>
          </w:tcPr>
          <w:p w14:paraId="13CBA4D7" w14:textId="5271010E" w:rsidR="00C679F5" w:rsidRDefault="00C679F5" w:rsidP="00C679F5">
            <w:pPr>
              <w:pStyle w:val="ExhibitText"/>
              <w:ind w:right="144"/>
              <w:jc w:val="right"/>
              <w:rPr>
                <w:lang w:eastAsia="en-IN"/>
              </w:rPr>
            </w:pPr>
            <w:r>
              <w:rPr>
                <w:lang w:eastAsia="en-IN"/>
              </w:rPr>
              <w:t xml:space="preserve"> </w:t>
            </w:r>
          </w:p>
        </w:tc>
        <w:tc>
          <w:tcPr>
            <w:tcW w:w="1708" w:type="dxa"/>
            <w:tcBorders>
              <w:left w:val="nil"/>
              <w:right w:val="nil"/>
            </w:tcBorders>
            <w:vAlign w:val="center"/>
          </w:tcPr>
          <w:p w14:paraId="261486D1" w14:textId="233B327B" w:rsidR="00C679F5" w:rsidRDefault="00C679F5" w:rsidP="00C679F5">
            <w:pPr>
              <w:pStyle w:val="ExhibitText"/>
              <w:ind w:right="144"/>
              <w:jc w:val="right"/>
              <w:rPr>
                <w:lang w:eastAsia="en-IN"/>
              </w:rPr>
            </w:pPr>
            <w:r>
              <w:rPr>
                <w:lang w:eastAsia="en-IN"/>
              </w:rPr>
              <w:t xml:space="preserve"> </w:t>
            </w:r>
          </w:p>
        </w:tc>
        <w:tc>
          <w:tcPr>
            <w:tcW w:w="1709" w:type="dxa"/>
            <w:tcBorders>
              <w:left w:val="nil"/>
            </w:tcBorders>
            <w:shd w:val="clear" w:color="auto" w:fill="auto"/>
            <w:noWrap/>
            <w:vAlign w:val="center"/>
            <w:hideMark/>
          </w:tcPr>
          <w:p w14:paraId="06AE0C47" w14:textId="0298417A" w:rsidR="00C679F5" w:rsidRPr="00B615FE" w:rsidRDefault="00C679F5" w:rsidP="00C679F5">
            <w:pPr>
              <w:pStyle w:val="ExhibitText"/>
              <w:ind w:right="144"/>
              <w:jc w:val="right"/>
              <w:rPr>
                <w:lang w:eastAsia="en-IN"/>
              </w:rPr>
            </w:pPr>
            <w:r>
              <w:rPr>
                <w:lang w:eastAsia="en-IN"/>
              </w:rPr>
              <w:t xml:space="preserve"> </w:t>
            </w:r>
          </w:p>
        </w:tc>
      </w:tr>
      <w:tr w:rsidR="00C679F5" w:rsidRPr="00B615FE" w14:paraId="1C12A2FF" w14:textId="77777777" w:rsidTr="00C679F5">
        <w:trPr>
          <w:trHeight w:val="288"/>
          <w:jc w:val="center"/>
        </w:trPr>
        <w:tc>
          <w:tcPr>
            <w:tcW w:w="4225" w:type="dxa"/>
            <w:shd w:val="clear" w:color="auto" w:fill="auto"/>
            <w:noWrap/>
            <w:vAlign w:val="center"/>
            <w:hideMark/>
          </w:tcPr>
          <w:p w14:paraId="56F1452F" w14:textId="77777777" w:rsidR="00C679F5" w:rsidRPr="00B615FE" w:rsidRDefault="00C679F5" w:rsidP="00C679F5">
            <w:pPr>
              <w:pStyle w:val="ExhibitText"/>
              <w:jc w:val="left"/>
              <w:rPr>
                <w:lang w:eastAsia="en-IN"/>
              </w:rPr>
            </w:pPr>
            <w:r w:rsidRPr="00B615FE">
              <w:rPr>
                <w:lang w:eastAsia="en-IN"/>
              </w:rPr>
              <w:t>Inventories</w:t>
            </w:r>
          </w:p>
        </w:tc>
        <w:tc>
          <w:tcPr>
            <w:tcW w:w="1708" w:type="dxa"/>
            <w:vAlign w:val="center"/>
          </w:tcPr>
          <w:p w14:paraId="63E3ED95" w14:textId="54426248"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0AFFF24B" w14:textId="310C670F"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00F7EF66" w14:textId="7C84BAD2" w:rsidR="00C679F5" w:rsidRPr="00B615FE" w:rsidRDefault="00C679F5" w:rsidP="00C679F5">
            <w:pPr>
              <w:pStyle w:val="ExhibitText"/>
              <w:ind w:right="144"/>
              <w:jc w:val="right"/>
              <w:rPr>
                <w:lang w:eastAsia="en-IN"/>
              </w:rPr>
            </w:pPr>
            <w:r w:rsidRPr="00B615FE">
              <w:rPr>
                <w:lang w:eastAsia="en-IN"/>
              </w:rPr>
              <w:t>0</w:t>
            </w:r>
          </w:p>
        </w:tc>
      </w:tr>
      <w:tr w:rsidR="00C679F5" w:rsidRPr="00B615FE" w14:paraId="135FC0DE" w14:textId="77777777" w:rsidTr="00C679F5">
        <w:trPr>
          <w:trHeight w:val="288"/>
          <w:jc w:val="center"/>
        </w:trPr>
        <w:tc>
          <w:tcPr>
            <w:tcW w:w="4225" w:type="dxa"/>
            <w:shd w:val="clear" w:color="auto" w:fill="auto"/>
            <w:noWrap/>
            <w:vAlign w:val="center"/>
            <w:hideMark/>
          </w:tcPr>
          <w:p w14:paraId="1203D3DA" w14:textId="77777777" w:rsidR="00C679F5" w:rsidRPr="00B615FE" w:rsidRDefault="00C679F5" w:rsidP="00C679F5">
            <w:pPr>
              <w:pStyle w:val="ExhibitText"/>
              <w:jc w:val="left"/>
              <w:rPr>
                <w:lang w:eastAsia="en-IN"/>
              </w:rPr>
            </w:pPr>
            <w:r w:rsidRPr="00B615FE">
              <w:rPr>
                <w:lang w:eastAsia="en-IN"/>
              </w:rPr>
              <w:t>Sundry Debtors (Debtors)</w:t>
            </w:r>
          </w:p>
        </w:tc>
        <w:tc>
          <w:tcPr>
            <w:tcW w:w="1708" w:type="dxa"/>
            <w:vAlign w:val="center"/>
          </w:tcPr>
          <w:p w14:paraId="3C1E8A02" w14:textId="11C14916" w:rsidR="00C679F5" w:rsidRPr="00B615FE" w:rsidRDefault="00C679F5" w:rsidP="00C679F5">
            <w:pPr>
              <w:pStyle w:val="ExhibitText"/>
              <w:ind w:right="144"/>
              <w:jc w:val="right"/>
              <w:rPr>
                <w:lang w:eastAsia="en-IN"/>
              </w:rPr>
            </w:pPr>
            <w:r w:rsidRPr="00B615FE">
              <w:rPr>
                <w:lang w:eastAsia="en-IN"/>
              </w:rPr>
              <w:t>3</w:t>
            </w:r>
          </w:p>
        </w:tc>
        <w:tc>
          <w:tcPr>
            <w:tcW w:w="1708" w:type="dxa"/>
            <w:vAlign w:val="center"/>
          </w:tcPr>
          <w:p w14:paraId="27C6351F" w14:textId="43DA8423" w:rsidR="00C679F5" w:rsidRPr="00B615FE" w:rsidRDefault="00C679F5" w:rsidP="00C679F5">
            <w:pPr>
              <w:pStyle w:val="ExhibitText"/>
              <w:ind w:right="144"/>
              <w:jc w:val="right"/>
              <w:rPr>
                <w:lang w:eastAsia="en-IN"/>
              </w:rPr>
            </w:pPr>
            <w:r w:rsidRPr="00B615FE">
              <w:rPr>
                <w:lang w:eastAsia="en-IN"/>
              </w:rPr>
              <w:t>3</w:t>
            </w:r>
          </w:p>
        </w:tc>
        <w:tc>
          <w:tcPr>
            <w:tcW w:w="1709" w:type="dxa"/>
            <w:shd w:val="clear" w:color="auto" w:fill="auto"/>
            <w:noWrap/>
            <w:vAlign w:val="center"/>
            <w:hideMark/>
          </w:tcPr>
          <w:p w14:paraId="37E3030D" w14:textId="17FEDF38" w:rsidR="00C679F5" w:rsidRPr="00B615FE" w:rsidRDefault="00C679F5" w:rsidP="00C679F5">
            <w:pPr>
              <w:pStyle w:val="ExhibitText"/>
              <w:ind w:right="144"/>
              <w:jc w:val="right"/>
              <w:rPr>
                <w:lang w:eastAsia="en-IN"/>
              </w:rPr>
            </w:pPr>
            <w:r w:rsidRPr="00B615FE">
              <w:rPr>
                <w:lang w:eastAsia="en-IN"/>
              </w:rPr>
              <w:t>1</w:t>
            </w:r>
          </w:p>
        </w:tc>
      </w:tr>
      <w:tr w:rsidR="00C679F5" w:rsidRPr="00B615FE" w14:paraId="18B8CA6B" w14:textId="77777777" w:rsidTr="00C679F5">
        <w:trPr>
          <w:trHeight w:val="288"/>
          <w:jc w:val="center"/>
        </w:trPr>
        <w:tc>
          <w:tcPr>
            <w:tcW w:w="4225" w:type="dxa"/>
            <w:shd w:val="clear" w:color="auto" w:fill="auto"/>
            <w:noWrap/>
            <w:vAlign w:val="center"/>
            <w:hideMark/>
          </w:tcPr>
          <w:p w14:paraId="5B76B234" w14:textId="77777777" w:rsidR="00C679F5" w:rsidRPr="00B615FE" w:rsidRDefault="00C679F5" w:rsidP="00C679F5">
            <w:pPr>
              <w:pStyle w:val="ExhibitText"/>
              <w:jc w:val="left"/>
              <w:rPr>
                <w:lang w:eastAsia="en-IN"/>
              </w:rPr>
            </w:pPr>
            <w:r w:rsidRPr="00B615FE">
              <w:rPr>
                <w:lang w:eastAsia="en-IN"/>
              </w:rPr>
              <w:t>Cash and Bank</w:t>
            </w:r>
          </w:p>
        </w:tc>
        <w:tc>
          <w:tcPr>
            <w:tcW w:w="1708" w:type="dxa"/>
            <w:vAlign w:val="center"/>
          </w:tcPr>
          <w:p w14:paraId="1894D269" w14:textId="3F1D9E2B" w:rsidR="00C679F5" w:rsidRPr="00B615FE" w:rsidRDefault="00C679F5" w:rsidP="00C679F5">
            <w:pPr>
              <w:pStyle w:val="ExhibitText"/>
              <w:ind w:right="144"/>
              <w:jc w:val="right"/>
              <w:rPr>
                <w:lang w:eastAsia="en-IN"/>
              </w:rPr>
            </w:pPr>
            <w:r w:rsidRPr="00B615FE">
              <w:rPr>
                <w:lang w:eastAsia="en-IN"/>
              </w:rPr>
              <w:t>3,746</w:t>
            </w:r>
          </w:p>
        </w:tc>
        <w:tc>
          <w:tcPr>
            <w:tcW w:w="1708" w:type="dxa"/>
            <w:vAlign w:val="center"/>
          </w:tcPr>
          <w:p w14:paraId="2165D562" w14:textId="310C1CD1" w:rsidR="00C679F5" w:rsidRPr="00B615FE" w:rsidRDefault="00C679F5" w:rsidP="00C679F5">
            <w:pPr>
              <w:pStyle w:val="ExhibitText"/>
              <w:ind w:right="144"/>
              <w:jc w:val="right"/>
              <w:rPr>
                <w:lang w:eastAsia="en-IN"/>
              </w:rPr>
            </w:pPr>
            <w:r w:rsidRPr="00B615FE">
              <w:rPr>
                <w:lang w:eastAsia="en-IN"/>
              </w:rPr>
              <w:t>2,701</w:t>
            </w:r>
          </w:p>
        </w:tc>
        <w:tc>
          <w:tcPr>
            <w:tcW w:w="1709" w:type="dxa"/>
            <w:shd w:val="clear" w:color="auto" w:fill="auto"/>
            <w:noWrap/>
            <w:vAlign w:val="center"/>
            <w:hideMark/>
          </w:tcPr>
          <w:p w14:paraId="739F5F83" w14:textId="79F0AE90" w:rsidR="00C679F5" w:rsidRPr="00B615FE" w:rsidRDefault="00C679F5" w:rsidP="00C679F5">
            <w:pPr>
              <w:pStyle w:val="ExhibitText"/>
              <w:ind w:right="144"/>
              <w:jc w:val="right"/>
              <w:rPr>
                <w:lang w:eastAsia="en-IN"/>
              </w:rPr>
            </w:pPr>
            <w:r w:rsidRPr="00B615FE">
              <w:rPr>
                <w:lang w:eastAsia="en-IN"/>
              </w:rPr>
              <w:t>1,531</w:t>
            </w:r>
          </w:p>
        </w:tc>
      </w:tr>
      <w:tr w:rsidR="00C679F5" w:rsidRPr="00B615FE" w14:paraId="5B1EA30D" w14:textId="77777777" w:rsidTr="00C679F5">
        <w:trPr>
          <w:trHeight w:val="288"/>
          <w:jc w:val="center"/>
        </w:trPr>
        <w:tc>
          <w:tcPr>
            <w:tcW w:w="4225" w:type="dxa"/>
            <w:shd w:val="clear" w:color="auto" w:fill="auto"/>
            <w:noWrap/>
            <w:vAlign w:val="center"/>
            <w:hideMark/>
          </w:tcPr>
          <w:p w14:paraId="043A18CE" w14:textId="77777777" w:rsidR="00C679F5" w:rsidRPr="00B615FE" w:rsidRDefault="00C679F5" w:rsidP="00C679F5">
            <w:pPr>
              <w:pStyle w:val="ExhibitText"/>
              <w:jc w:val="left"/>
              <w:rPr>
                <w:lang w:eastAsia="en-IN"/>
              </w:rPr>
            </w:pPr>
            <w:r w:rsidRPr="00B615FE">
              <w:rPr>
                <w:lang w:eastAsia="en-IN"/>
              </w:rPr>
              <w:t>Other Current Assets</w:t>
            </w:r>
          </w:p>
        </w:tc>
        <w:tc>
          <w:tcPr>
            <w:tcW w:w="1708" w:type="dxa"/>
            <w:vAlign w:val="center"/>
          </w:tcPr>
          <w:p w14:paraId="09038159" w14:textId="6E49B4E8" w:rsidR="00C679F5" w:rsidRPr="00B615FE" w:rsidRDefault="00C679F5" w:rsidP="00C679F5">
            <w:pPr>
              <w:pStyle w:val="ExhibitText"/>
              <w:ind w:right="144"/>
              <w:jc w:val="right"/>
              <w:rPr>
                <w:lang w:eastAsia="en-IN"/>
              </w:rPr>
            </w:pPr>
            <w:r w:rsidRPr="00B615FE">
              <w:rPr>
                <w:lang w:eastAsia="en-IN"/>
              </w:rPr>
              <w:t>49,486</w:t>
            </w:r>
          </w:p>
        </w:tc>
        <w:tc>
          <w:tcPr>
            <w:tcW w:w="1708" w:type="dxa"/>
            <w:vAlign w:val="center"/>
          </w:tcPr>
          <w:p w14:paraId="57A1FCA9" w14:textId="38BA3932" w:rsidR="00C679F5" w:rsidRPr="00B615FE" w:rsidRDefault="00C679F5" w:rsidP="00C679F5">
            <w:pPr>
              <w:pStyle w:val="ExhibitText"/>
              <w:ind w:right="144"/>
              <w:jc w:val="right"/>
              <w:rPr>
                <w:lang w:eastAsia="en-IN"/>
              </w:rPr>
            </w:pPr>
            <w:r w:rsidRPr="00B615FE">
              <w:rPr>
                <w:lang w:eastAsia="en-IN"/>
              </w:rPr>
              <w:t>9,276</w:t>
            </w:r>
          </w:p>
        </w:tc>
        <w:tc>
          <w:tcPr>
            <w:tcW w:w="1709" w:type="dxa"/>
            <w:shd w:val="clear" w:color="auto" w:fill="auto"/>
            <w:noWrap/>
            <w:vAlign w:val="center"/>
            <w:hideMark/>
          </w:tcPr>
          <w:p w14:paraId="43D65793" w14:textId="5AB7C8DF" w:rsidR="00C679F5" w:rsidRPr="00B615FE" w:rsidRDefault="00C679F5" w:rsidP="00C679F5">
            <w:pPr>
              <w:pStyle w:val="ExhibitText"/>
              <w:ind w:right="144"/>
              <w:jc w:val="right"/>
              <w:rPr>
                <w:lang w:eastAsia="en-IN"/>
              </w:rPr>
            </w:pPr>
            <w:r w:rsidRPr="00B615FE">
              <w:rPr>
                <w:lang w:eastAsia="en-IN"/>
              </w:rPr>
              <w:t>5,417</w:t>
            </w:r>
          </w:p>
        </w:tc>
      </w:tr>
      <w:tr w:rsidR="00C679F5" w:rsidRPr="00B615FE" w14:paraId="448DE2F4" w14:textId="77777777" w:rsidTr="00C679F5">
        <w:trPr>
          <w:trHeight w:val="288"/>
          <w:jc w:val="center"/>
        </w:trPr>
        <w:tc>
          <w:tcPr>
            <w:tcW w:w="4225" w:type="dxa"/>
            <w:shd w:val="clear" w:color="auto" w:fill="auto"/>
            <w:noWrap/>
            <w:vAlign w:val="center"/>
            <w:hideMark/>
          </w:tcPr>
          <w:p w14:paraId="41621253" w14:textId="77777777" w:rsidR="00C679F5" w:rsidRPr="00B615FE" w:rsidRDefault="00C679F5" w:rsidP="00C679F5">
            <w:pPr>
              <w:pStyle w:val="ExhibitText"/>
              <w:jc w:val="left"/>
              <w:rPr>
                <w:lang w:eastAsia="en-IN"/>
              </w:rPr>
            </w:pPr>
            <w:r w:rsidRPr="00B615FE">
              <w:rPr>
                <w:lang w:eastAsia="en-IN"/>
              </w:rPr>
              <w:t>Loans and Advances</w:t>
            </w:r>
          </w:p>
        </w:tc>
        <w:tc>
          <w:tcPr>
            <w:tcW w:w="1708" w:type="dxa"/>
            <w:vAlign w:val="center"/>
          </w:tcPr>
          <w:p w14:paraId="3ACEDB0B" w14:textId="1CAE0798" w:rsidR="00C679F5" w:rsidRPr="00B615FE" w:rsidRDefault="00C679F5" w:rsidP="00C679F5">
            <w:pPr>
              <w:pStyle w:val="ExhibitText"/>
              <w:ind w:right="144"/>
              <w:jc w:val="right"/>
              <w:rPr>
                <w:lang w:eastAsia="en-IN"/>
              </w:rPr>
            </w:pPr>
            <w:r w:rsidRPr="00B615FE">
              <w:rPr>
                <w:lang w:eastAsia="en-IN"/>
              </w:rPr>
              <w:t>86,122</w:t>
            </w:r>
          </w:p>
        </w:tc>
        <w:tc>
          <w:tcPr>
            <w:tcW w:w="1708" w:type="dxa"/>
            <w:vAlign w:val="center"/>
          </w:tcPr>
          <w:p w14:paraId="0C83BCF9" w14:textId="5B3100A3" w:rsidR="00C679F5" w:rsidRPr="00B615FE" w:rsidRDefault="00C679F5" w:rsidP="00C679F5">
            <w:pPr>
              <w:pStyle w:val="ExhibitText"/>
              <w:ind w:right="144"/>
              <w:jc w:val="right"/>
              <w:rPr>
                <w:lang w:eastAsia="en-IN"/>
              </w:rPr>
            </w:pPr>
            <w:r w:rsidRPr="00B615FE">
              <w:rPr>
                <w:lang w:eastAsia="en-IN"/>
              </w:rPr>
              <w:t>368,098</w:t>
            </w:r>
          </w:p>
        </w:tc>
        <w:tc>
          <w:tcPr>
            <w:tcW w:w="1709" w:type="dxa"/>
            <w:shd w:val="clear" w:color="auto" w:fill="auto"/>
            <w:noWrap/>
            <w:vAlign w:val="center"/>
            <w:hideMark/>
          </w:tcPr>
          <w:p w14:paraId="6A65C381" w14:textId="7C66BD93" w:rsidR="00C679F5" w:rsidRPr="00B615FE" w:rsidRDefault="00C679F5" w:rsidP="00C679F5">
            <w:pPr>
              <w:pStyle w:val="ExhibitText"/>
              <w:ind w:right="144"/>
              <w:jc w:val="right"/>
              <w:rPr>
                <w:lang w:eastAsia="en-IN"/>
              </w:rPr>
            </w:pPr>
            <w:r w:rsidRPr="00B615FE">
              <w:rPr>
                <w:lang w:eastAsia="en-IN"/>
              </w:rPr>
              <w:t>761,098</w:t>
            </w:r>
          </w:p>
        </w:tc>
      </w:tr>
      <w:tr w:rsidR="00C679F5" w:rsidRPr="00B615FE" w14:paraId="486C02A6" w14:textId="77777777" w:rsidTr="007E3216">
        <w:trPr>
          <w:trHeight w:val="288"/>
          <w:jc w:val="center"/>
        </w:trPr>
        <w:tc>
          <w:tcPr>
            <w:tcW w:w="4225" w:type="dxa"/>
            <w:tcBorders>
              <w:bottom w:val="single" w:sz="4" w:space="0" w:color="auto"/>
            </w:tcBorders>
            <w:shd w:val="clear" w:color="auto" w:fill="auto"/>
            <w:noWrap/>
            <w:vAlign w:val="center"/>
            <w:hideMark/>
          </w:tcPr>
          <w:p w14:paraId="12487DE4" w14:textId="77777777" w:rsidR="00C679F5" w:rsidRPr="00B615FE" w:rsidRDefault="00C679F5" w:rsidP="00C679F5">
            <w:pPr>
              <w:pStyle w:val="ExhibitText"/>
              <w:jc w:val="left"/>
              <w:rPr>
                <w:lang w:eastAsia="en-IN"/>
              </w:rPr>
            </w:pPr>
            <w:r w:rsidRPr="00B615FE">
              <w:rPr>
                <w:lang w:eastAsia="en-IN"/>
              </w:rPr>
              <w:t>Total Current Assets</w:t>
            </w:r>
          </w:p>
        </w:tc>
        <w:tc>
          <w:tcPr>
            <w:tcW w:w="1708" w:type="dxa"/>
            <w:tcBorders>
              <w:bottom w:val="single" w:sz="4" w:space="0" w:color="auto"/>
            </w:tcBorders>
            <w:vAlign w:val="center"/>
          </w:tcPr>
          <w:p w14:paraId="5E61450D" w14:textId="5B66077E" w:rsidR="00C679F5" w:rsidRPr="00B615FE" w:rsidRDefault="00C679F5" w:rsidP="00C679F5">
            <w:pPr>
              <w:pStyle w:val="ExhibitText"/>
              <w:ind w:right="144"/>
              <w:jc w:val="right"/>
              <w:rPr>
                <w:lang w:eastAsia="en-IN"/>
              </w:rPr>
            </w:pPr>
            <w:r w:rsidRPr="00B615FE">
              <w:rPr>
                <w:lang w:eastAsia="en-IN"/>
              </w:rPr>
              <w:t>139,357</w:t>
            </w:r>
          </w:p>
        </w:tc>
        <w:tc>
          <w:tcPr>
            <w:tcW w:w="1708" w:type="dxa"/>
            <w:tcBorders>
              <w:bottom w:val="single" w:sz="4" w:space="0" w:color="auto"/>
            </w:tcBorders>
            <w:vAlign w:val="center"/>
          </w:tcPr>
          <w:p w14:paraId="40A3E588" w14:textId="01F26661" w:rsidR="00C679F5" w:rsidRPr="00B615FE" w:rsidRDefault="00C679F5" w:rsidP="00C679F5">
            <w:pPr>
              <w:pStyle w:val="ExhibitText"/>
              <w:ind w:right="144"/>
              <w:jc w:val="right"/>
              <w:rPr>
                <w:lang w:eastAsia="en-IN"/>
              </w:rPr>
            </w:pPr>
            <w:r w:rsidRPr="00B615FE">
              <w:rPr>
                <w:lang w:eastAsia="en-IN"/>
              </w:rPr>
              <w:t>380,078</w:t>
            </w:r>
          </w:p>
        </w:tc>
        <w:tc>
          <w:tcPr>
            <w:tcW w:w="1709" w:type="dxa"/>
            <w:tcBorders>
              <w:bottom w:val="single" w:sz="4" w:space="0" w:color="auto"/>
            </w:tcBorders>
            <w:shd w:val="clear" w:color="auto" w:fill="auto"/>
            <w:noWrap/>
            <w:vAlign w:val="center"/>
            <w:hideMark/>
          </w:tcPr>
          <w:p w14:paraId="02123FBD" w14:textId="34F546A5" w:rsidR="00C679F5" w:rsidRPr="00B615FE" w:rsidRDefault="00C679F5" w:rsidP="00C679F5">
            <w:pPr>
              <w:pStyle w:val="ExhibitText"/>
              <w:ind w:right="144"/>
              <w:jc w:val="right"/>
              <w:rPr>
                <w:lang w:eastAsia="en-IN"/>
              </w:rPr>
            </w:pPr>
            <w:r w:rsidRPr="00B615FE">
              <w:rPr>
                <w:lang w:eastAsia="en-IN"/>
              </w:rPr>
              <w:t>768,047</w:t>
            </w:r>
          </w:p>
        </w:tc>
      </w:tr>
      <w:tr w:rsidR="00C679F5" w:rsidRPr="00B615FE" w14:paraId="19CCFF2E" w14:textId="77777777" w:rsidTr="007E3216">
        <w:trPr>
          <w:trHeight w:val="288"/>
          <w:jc w:val="center"/>
        </w:trPr>
        <w:tc>
          <w:tcPr>
            <w:tcW w:w="4225" w:type="dxa"/>
            <w:tcBorders>
              <w:right w:val="nil"/>
            </w:tcBorders>
            <w:shd w:val="clear" w:color="auto" w:fill="auto"/>
            <w:noWrap/>
            <w:vAlign w:val="center"/>
            <w:hideMark/>
          </w:tcPr>
          <w:p w14:paraId="72AE6767" w14:textId="605F6394" w:rsidR="00C679F5" w:rsidRPr="00B615FE" w:rsidRDefault="00C679F5" w:rsidP="00C679F5">
            <w:pPr>
              <w:pStyle w:val="ExhibitText"/>
              <w:jc w:val="left"/>
              <w:rPr>
                <w:lang w:eastAsia="en-IN"/>
              </w:rPr>
            </w:pPr>
            <w:r w:rsidRPr="00B615FE">
              <w:rPr>
                <w:lang w:eastAsia="en-IN"/>
              </w:rPr>
              <w:t>Less</w:t>
            </w:r>
            <w:r w:rsidR="001A3978">
              <w:rPr>
                <w:lang w:eastAsia="en-IN"/>
              </w:rPr>
              <w:t>:</w:t>
            </w:r>
            <w:r w:rsidRPr="00B615FE">
              <w:rPr>
                <w:lang w:eastAsia="en-IN"/>
              </w:rPr>
              <w:t xml:space="preserve"> Current Liabilities and Provisions</w:t>
            </w:r>
          </w:p>
        </w:tc>
        <w:tc>
          <w:tcPr>
            <w:tcW w:w="1708" w:type="dxa"/>
            <w:tcBorders>
              <w:left w:val="nil"/>
              <w:right w:val="nil"/>
            </w:tcBorders>
            <w:vAlign w:val="center"/>
          </w:tcPr>
          <w:p w14:paraId="0AE08389" w14:textId="743A4C3B" w:rsidR="00C679F5" w:rsidRDefault="00C679F5" w:rsidP="00C679F5">
            <w:pPr>
              <w:pStyle w:val="ExhibitText"/>
              <w:ind w:right="144"/>
              <w:jc w:val="right"/>
              <w:rPr>
                <w:lang w:eastAsia="en-IN"/>
              </w:rPr>
            </w:pPr>
            <w:r>
              <w:rPr>
                <w:lang w:eastAsia="en-IN"/>
              </w:rPr>
              <w:t xml:space="preserve"> </w:t>
            </w:r>
          </w:p>
        </w:tc>
        <w:tc>
          <w:tcPr>
            <w:tcW w:w="1708" w:type="dxa"/>
            <w:tcBorders>
              <w:left w:val="nil"/>
              <w:right w:val="nil"/>
            </w:tcBorders>
            <w:vAlign w:val="center"/>
          </w:tcPr>
          <w:p w14:paraId="0270AA21" w14:textId="4B4E3FB3" w:rsidR="00C679F5" w:rsidRDefault="00C679F5" w:rsidP="00C679F5">
            <w:pPr>
              <w:pStyle w:val="ExhibitText"/>
              <w:ind w:right="144"/>
              <w:jc w:val="right"/>
              <w:rPr>
                <w:lang w:eastAsia="en-IN"/>
              </w:rPr>
            </w:pPr>
            <w:r>
              <w:rPr>
                <w:lang w:eastAsia="en-IN"/>
              </w:rPr>
              <w:t xml:space="preserve"> </w:t>
            </w:r>
          </w:p>
        </w:tc>
        <w:tc>
          <w:tcPr>
            <w:tcW w:w="1709" w:type="dxa"/>
            <w:tcBorders>
              <w:left w:val="nil"/>
            </w:tcBorders>
            <w:shd w:val="clear" w:color="auto" w:fill="auto"/>
            <w:noWrap/>
            <w:vAlign w:val="center"/>
            <w:hideMark/>
          </w:tcPr>
          <w:p w14:paraId="27C1D71A" w14:textId="6AA97815" w:rsidR="00C679F5" w:rsidRPr="00B615FE" w:rsidRDefault="00C679F5" w:rsidP="00C679F5">
            <w:pPr>
              <w:pStyle w:val="ExhibitText"/>
              <w:ind w:right="144"/>
              <w:jc w:val="right"/>
              <w:rPr>
                <w:lang w:eastAsia="en-IN"/>
              </w:rPr>
            </w:pPr>
            <w:r>
              <w:rPr>
                <w:lang w:eastAsia="en-IN"/>
              </w:rPr>
              <w:t xml:space="preserve"> </w:t>
            </w:r>
          </w:p>
        </w:tc>
      </w:tr>
      <w:tr w:rsidR="00C679F5" w:rsidRPr="00B615FE" w14:paraId="48A439EC" w14:textId="77777777" w:rsidTr="00C679F5">
        <w:trPr>
          <w:trHeight w:val="288"/>
          <w:jc w:val="center"/>
        </w:trPr>
        <w:tc>
          <w:tcPr>
            <w:tcW w:w="4225" w:type="dxa"/>
            <w:shd w:val="clear" w:color="auto" w:fill="auto"/>
            <w:noWrap/>
            <w:vAlign w:val="center"/>
            <w:hideMark/>
          </w:tcPr>
          <w:p w14:paraId="68663929" w14:textId="77777777" w:rsidR="00C679F5" w:rsidRPr="00B615FE" w:rsidRDefault="00C679F5" w:rsidP="00C679F5">
            <w:pPr>
              <w:pStyle w:val="ExhibitText"/>
              <w:jc w:val="left"/>
              <w:rPr>
                <w:lang w:eastAsia="en-IN"/>
              </w:rPr>
            </w:pPr>
            <w:r w:rsidRPr="00B615FE">
              <w:rPr>
                <w:lang w:eastAsia="en-IN"/>
              </w:rPr>
              <w:t>Current Liabilities</w:t>
            </w:r>
          </w:p>
        </w:tc>
        <w:tc>
          <w:tcPr>
            <w:tcW w:w="1708" w:type="dxa"/>
            <w:vAlign w:val="center"/>
          </w:tcPr>
          <w:p w14:paraId="6C4D538A" w14:textId="7B8B5D01" w:rsidR="00C679F5" w:rsidRPr="00B615FE" w:rsidRDefault="00C679F5" w:rsidP="00C679F5">
            <w:pPr>
              <w:pStyle w:val="ExhibitText"/>
              <w:ind w:right="144"/>
              <w:jc w:val="right"/>
              <w:rPr>
                <w:lang w:eastAsia="en-IN"/>
              </w:rPr>
            </w:pPr>
            <w:r w:rsidRPr="00B615FE">
              <w:rPr>
                <w:lang w:eastAsia="en-IN"/>
              </w:rPr>
              <w:t>376,668</w:t>
            </w:r>
          </w:p>
        </w:tc>
        <w:tc>
          <w:tcPr>
            <w:tcW w:w="1708" w:type="dxa"/>
            <w:vAlign w:val="center"/>
          </w:tcPr>
          <w:p w14:paraId="7D1410DE" w14:textId="13EE932B" w:rsidR="00C679F5" w:rsidRPr="00B615FE" w:rsidRDefault="00C679F5" w:rsidP="00C679F5">
            <w:pPr>
              <w:pStyle w:val="ExhibitText"/>
              <w:ind w:right="144"/>
              <w:jc w:val="right"/>
              <w:rPr>
                <w:lang w:eastAsia="en-IN"/>
              </w:rPr>
            </w:pPr>
            <w:r w:rsidRPr="00B615FE">
              <w:rPr>
                <w:lang w:eastAsia="en-IN"/>
              </w:rPr>
              <w:t>2,429,791</w:t>
            </w:r>
          </w:p>
        </w:tc>
        <w:tc>
          <w:tcPr>
            <w:tcW w:w="1709" w:type="dxa"/>
            <w:shd w:val="clear" w:color="auto" w:fill="auto"/>
            <w:noWrap/>
            <w:vAlign w:val="center"/>
            <w:hideMark/>
          </w:tcPr>
          <w:p w14:paraId="34ABD59A" w14:textId="373B6810" w:rsidR="00C679F5" w:rsidRPr="00B615FE" w:rsidRDefault="00C679F5" w:rsidP="00C679F5">
            <w:pPr>
              <w:pStyle w:val="ExhibitText"/>
              <w:ind w:right="144"/>
              <w:jc w:val="right"/>
              <w:rPr>
                <w:lang w:eastAsia="en-IN"/>
              </w:rPr>
            </w:pPr>
            <w:r w:rsidRPr="00B615FE">
              <w:rPr>
                <w:lang w:eastAsia="en-IN"/>
              </w:rPr>
              <w:t>4,426,687</w:t>
            </w:r>
          </w:p>
        </w:tc>
      </w:tr>
      <w:tr w:rsidR="00C679F5" w:rsidRPr="00B615FE" w14:paraId="32120A26" w14:textId="77777777" w:rsidTr="00C679F5">
        <w:trPr>
          <w:trHeight w:val="288"/>
          <w:jc w:val="center"/>
        </w:trPr>
        <w:tc>
          <w:tcPr>
            <w:tcW w:w="4225" w:type="dxa"/>
            <w:shd w:val="clear" w:color="auto" w:fill="auto"/>
            <w:noWrap/>
            <w:vAlign w:val="center"/>
            <w:hideMark/>
          </w:tcPr>
          <w:p w14:paraId="5F4EF1F7" w14:textId="77777777" w:rsidR="00C679F5" w:rsidRPr="00B615FE" w:rsidRDefault="00C679F5" w:rsidP="00C679F5">
            <w:pPr>
              <w:pStyle w:val="ExhibitText"/>
              <w:jc w:val="left"/>
              <w:rPr>
                <w:lang w:eastAsia="en-IN"/>
              </w:rPr>
            </w:pPr>
            <w:r w:rsidRPr="00B615FE">
              <w:rPr>
                <w:lang w:eastAsia="en-IN"/>
              </w:rPr>
              <w:t>Provisions</w:t>
            </w:r>
          </w:p>
        </w:tc>
        <w:tc>
          <w:tcPr>
            <w:tcW w:w="1708" w:type="dxa"/>
            <w:vAlign w:val="center"/>
          </w:tcPr>
          <w:p w14:paraId="00F0A3F6" w14:textId="2C7BED05" w:rsidR="00C679F5" w:rsidRPr="00B615FE" w:rsidRDefault="00C679F5" w:rsidP="00C679F5">
            <w:pPr>
              <w:pStyle w:val="ExhibitText"/>
              <w:ind w:right="144"/>
              <w:jc w:val="right"/>
              <w:rPr>
                <w:lang w:eastAsia="en-IN"/>
              </w:rPr>
            </w:pPr>
            <w:r w:rsidRPr="00B615FE">
              <w:rPr>
                <w:lang w:eastAsia="en-IN"/>
              </w:rPr>
              <w:t>713</w:t>
            </w:r>
          </w:p>
        </w:tc>
        <w:tc>
          <w:tcPr>
            <w:tcW w:w="1708" w:type="dxa"/>
            <w:vAlign w:val="center"/>
          </w:tcPr>
          <w:p w14:paraId="4C1532D8" w14:textId="42909AA2" w:rsidR="00C679F5" w:rsidRPr="00B615FE" w:rsidRDefault="00C679F5" w:rsidP="00C679F5">
            <w:pPr>
              <w:pStyle w:val="ExhibitText"/>
              <w:ind w:right="144"/>
              <w:jc w:val="right"/>
              <w:rPr>
                <w:lang w:eastAsia="en-IN"/>
              </w:rPr>
            </w:pPr>
            <w:r w:rsidRPr="00B615FE">
              <w:rPr>
                <w:lang w:eastAsia="en-IN"/>
              </w:rPr>
              <w:t>1,821</w:t>
            </w:r>
          </w:p>
        </w:tc>
        <w:tc>
          <w:tcPr>
            <w:tcW w:w="1709" w:type="dxa"/>
            <w:shd w:val="clear" w:color="auto" w:fill="auto"/>
            <w:noWrap/>
            <w:vAlign w:val="center"/>
            <w:hideMark/>
          </w:tcPr>
          <w:p w14:paraId="72A58BC3" w14:textId="05D80A71" w:rsidR="00C679F5" w:rsidRPr="00B615FE" w:rsidRDefault="00C679F5" w:rsidP="00C679F5">
            <w:pPr>
              <w:pStyle w:val="ExhibitText"/>
              <w:ind w:right="144"/>
              <w:jc w:val="right"/>
              <w:rPr>
                <w:lang w:eastAsia="en-IN"/>
              </w:rPr>
            </w:pPr>
            <w:r w:rsidRPr="00B615FE">
              <w:rPr>
                <w:lang w:eastAsia="en-IN"/>
              </w:rPr>
              <w:t>3,990</w:t>
            </w:r>
          </w:p>
        </w:tc>
      </w:tr>
      <w:tr w:rsidR="00C679F5" w:rsidRPr="00B615FE" w14:paraId="552336C4" w14:textId="77777777" w:rsidTr="00C679F5">
        <w:trPr>
          <w:trHeight w:val="288"/>
          <w:jc w:val="center"/>
        </w:trPr>
        <w:tc>
          <w:tcPr>
            <w:tcW w:w="4225" w:type="dxa"/>
            <w:shd w:val="clear" w:color="auto" w:fill="auto"/>
            <w:noWrap/>
            <w:vAlign w:val="center"/>
            <w:hideMark/>
          </w:tcPr>
          <w:p w14:paraId="791C283F" w14:textId="77777777" w:rsidR="00C679F5" w:rsidRPr="00B615FE" w:rsidRDefault="00C679F5" w:rsidP="00C679F5">
            <w:pPr>
              <w:pStyle w:val="ExhibitText"/>
              <w:jc w:val="left"/>
              <w:rPr>
                <w:lang w:eastAsia="en-IN"/>
              </w:rPr>
            </w:pPr>
            <w:r w:rsidRPr="00B615FE">
              <w:rPr>
                <w:lang w:eastAsia="en-IN"/>
              </w:rPr>
              <w:t>Total Current Liabilities</w:t>
            </w:r>
          </w:p>
        </w:tc>
        <w:tc>
          <w:tcPr>
            <w:tcW w:w="1708" w:type="dxa"/>
            <w:vAlign w:val="center"/>
          </w:tcPr>
          <w:p w14:paraId="58880A24" w14:textId="2940A3D2" w:rsidR="00C679F5" w:rsidRPr="00B615FE" w:rsidRDefault="00C679F5" w:rsidP="00C679F5">
            <w:pPr>
              <w:pStyle w:val="ExhibitText"/>
              <w:ind w:right="144"/>
              <w:jc w:val="right"/>
              <w:rPr>
                <w:lang w:eastAsia="en-IN"/>
              </w:rPr>
            </w:pPr>
            <w:r w:rsidRPr="00B615FE">
              <w:rPr>
                <w:lang w:eastAsia="en-IN"/>
              </w:rPr>
              <w:t>377,381</w:t>
            </w:r>
          </w:p>
        </w:tc>
        <w:tc>
          <w:tcPr>
            <w:tcW w:w="1708" w:type="dxa"/>
            <w:vAlign w:val="center"/>
          </w:tcPr>
          <w:p w14:paraId="60EE67AC" w14:textId="408913AA" w:rsidR="00C679F5" w:rsidRPr="00B615FE" w:rsidRDefault="00C679F5" w:rsidP="00C679F5">
            <w:pPr>
              <w:pStyle w:val="ExhibitText"/>
              <w:ind w:right="144"/>
              <w:jc w:val="right"/>
              <w:rPr>
                <w:lang w:eastAsia="en-IN"/>
              </w:rPr>
            </w:pPr>
            <w:r w:rsidRPr="00B615FE">
              <w:rPr>
                <w:lang w:eastAsia="en-IN"/>
              </w:rPr>
              <w:t>2,431,612</w:t>
            </w:r>
          </w:p>
        </w:tc>
        <w:tc>
          <w:tcPr>
            <w:tcW w:w="1709" w:type="dxa"/>
            <w:shd w:val="clear" w:color="auto" w:fill="auto"/>
            <w:noWrap/>
            <w:vAlign w:val="center"/>
            <w:hideMark/>
          </w:tcPr>
          <w:p w14:paraId="4840EDED" w14:textId="644C5F3C" w:rsidR="00C679F5" w:rsidRPr="00B615FE" w:rsidRDefault="00C679F5" w:rsidP="00C679F5">
            <w:pPr>
              <w:pStyle w:val="ExhibitText"/>
              <w:ind w:right="144"/>
              <w:jc w:val="right"/>
              <w:rPr>
                <w:lang w:eastAsia="en-IN"/>
              </w:rPr>
            </w:pPr>
            <w:r w:rsidRPr="00B615FE">
              <w:rPr>
                <w:lang w:eastAsia="en-IN"/>
              </w:rPr>
              <w:t>4,430,677</w:t>
            </w:r>
          </w:p>
        </w:tc>
      </w:tr>
      <w:tr w:rsidR="00C679F5" w:rsidRPr="00B615FE" w14:paraId="0BEBF3AD" w14:textId="77777777" w:rsidTr="00C679F5">
        <w:trPr>
          <w:trHeight w:val="288"/>
          <w:jc w:val="center"/>
        </w:trPr>
        <w:tc>
          <w:tcPr>
            <w:tcW w:w="4225" w:type="dxa"/>
            <w:shd w:val="clear" w:color="auto" w:fill="auto"/>
            <w:noWrap/>
            <w:vAlign w:val="center"/>
            <w:hideMark/>
          </w:tcPr>
          <w:p w14:paraId="42F8F1A4" w14:textId="77777777" w:rsidR="00C679F5" w:rsidRPr="00B615FE" w:rsidRDefault="00C679F5" w:rsidP="00C679F5">
            <w:pPr>
              <w:pStyle w:val="ExhibitText"/>
              <w:jc w:val="left"/>
              <w:rPr>
                <w:lang w:eastAsia="en-IN"/>
              </w:rPr>
            </w:pPr>
            <w:r w:rsidRPr="00B615FE">
              <w:rPr>
                <w:lang w:eastAsia="en-IN"/>
              </w:rPr>
              <w:t>Net Current Assets</w:t>
            </w:r>
          </w:p>
        </w:tc>
        <w:tc>
          <w:tcPr>
            <w:tcW w:w="1708" w:type="dxa"/>
            <w:vAlign w:val="center"/>
          </w:tcPr>
          <w:p w14:paraId="1284C77D" w14:textId="41289EE9" w:rsidR="00C679F5" w:rsidRPr="00B615FE" w:rsidRDefault="00C80B85" w:rsidP="00C679F5">
            <w:pPr>
              <w:pStyle w:val="ExhibitText"/>
              <w:ind w:right="144"/>
              <w:jc w:val="right"/>
              <w:rPr>
                <w:lang w:eastAsia="en-IN"/>
              </w:rPr>
            </w:pPr>
            <w:r>
              <w:rPr>
                <w:lang w:eastAsia="en-IN"/>
              </w:rPr>
              <w:t>−</w:t>
            </w:r>
            <w:r w:rsidR="00C679F5" w:rsidRPr="00B615FE">
              <w:rPr>
                <w:lang w:eastAsia="en-IN"/>
              </w:rPr>
              <w:t>238,024</w:t>
            </w:r>
          </w:p>
        </w:tc>
        <w:tc>
          <w:tcPr>
            <w:tcW w:w="1708" w:type="dxa"/>
            <w:vAlign w:val="center"/>
          </w:tcPr>
          <w:p w14:paraId="2C5D06D5" w14:textId="4E653845" w:rsidR="00C679F5" w:rsidRPr="00B615FE" w:rsidRDefault="00C80B85" w:rsidP="00C679F5">
            <w:pPr>
              <w:pStyle w:val="ExhibitText"/>
              <w:ind w:right="144"/>
              <w:jc w:val="right"/>
              <w:rPr>
                <w:lang w:eastAsia="en-IN"/>
              </w:rPr>
            </w:pPr>
            <w:r>
              <w:rPr>
                <w:lang w:eastAsia="en-IN"/>
              </w:rPr>
              <w:t>−</w:t>
            </w:r>
            <w:r w:rsidR="00C679F5" w:rsidRPr="00B615FE">
              <w:rPr>
                <w:lang w:eastAsia="en-IN"/>
              </w:rPr>
              <w:t>2,051,534</w:t>
            </w:r>
          </w:p>
        </w:tc>
        <w:tc>
          <w:tcPr>
            <w:tcW w:w="1709" w:type="dxa"/>
            <w:shd w:val="clear" w:color="auto" w:fill="auto"/>
            <w:noWrap/>
            <w:vAlign w:val="center"/>
            <w:hideMark/>
          </w:tcPr>
          <w:p w14:paraId="635B04C1" w14:textId="1C2C90ED" w:rsidR="00C679F5" w:rsidRPr="00B615FE" w:rsidRDefault="00C80B85" w:rsidP="00C679F5">
            <w:pPr>
              <w:pStyle w:val="ExhibitText"/>
              <w:ind w:right="144"/>
              <w:jc w:val="right"/>
              <w:rPr>
                <w:lang w:eastAsia="en-IN"/>
              </w:rPr>
            </w:pPr>
            <w:r>
              <w:rPr>
                <w:lang w:eastAsia="en-IN"/>
              </w:rPr>
              <w:t>−</w:t>
            </w:r>
            <w:r w:rsidR="00C679F5" w:rsidRPr="00B615FE">
              <w:rPr>
                <w:lang w:eastAsia="en-IN"/>
              </w:rPr>
              <w:t>3,662,630</w:t>
            </w:r>
          </w:p>
        </w:tc>
      </w:tr>
      <w:tr w:rsidR="00C679F5" w:rsidRPr="00B615FE" w14:paraId="53D369D2" w14:textId="77777777" w:rsidTr="00C679F5">
        <w:trPr>
          <w:trHeight w:val="288"/>
          <w:jc w:val="center"/>
        </w:trPr>
        <w:tc>
          <w:tcPr>
            <w:tcW w:w="4225" w:type="dxa"/>
            <w:shd w:val="clear" w:color="auto" w:fill="auto"/>
            <w:noWrap/>
            <w:vAlign w:val="center"/>
            <w:hideMark/>
          </w:tcPr>
          <w:p w14:paraId="75EFE5F9" w14:textId="461EADD4" w:rsidR="00C679F5" w:rsidRPr="00B615FE" w:rsidRDefault="00C679F5" w:rsidP="00C679F5">
            <w:pPr>
              <w:pStyle w:val="ExhibitText"/>
              <w:jc w:val="left"/>
              <w:rPr>
                <w:lang w:eastAsia="en-IN"/>
              </w:rPr>
            </w:pPr>
            <w:r w:rsidRPr="00B615FE">
              <w:rPr>
                <w:lang w:eastAsia="en-IN"/>
              </w:rPr>
              <w:t xml:space="preserve">Miscellaneous Expenses </w:t>
            </w:r>
            <w:r w:rsidR="00C80B85">
              <w:rPr>
                <w:lang w:eastAsia="en-IN"/>
              </w:rPr>
              <w:t>N</w:t>
            </w:r>
            <w:r w:rsidRPr="00B615FE">
              <w:rPr>
                <w:lang w:eastAsia="en-IN"/>
              </w:rPr>
              <w:t xml:space="preserve">ot </w:t>
            </w:r>
            <w:r w:rsidR="00C80B85">
              <w:rPr>
                <w:lang w:eastAsia="en-IN"/>
              </w:rPr>
              <w:t>W</w:t>
            </w:r>
            <w:r w:rsidRPr="00B615FE">
              <w:rPr>
                <w:lang w:eastAsia="en-IN"/>
              </w:rPr>
              <w:t xml:space="preserve">ritten </w:t>
            </w:r>
            <w:r w:rsidR="00C80B85">
              <w:rPr>
                <w:lang w:eastAsia="en-IN"/>
              </w:rPr>
              <w:t>O</w:t>
            </w:r>
            <w:r w:rsidRPr="00B615FE">
              <w:rPr>
                <w:lang w:eastAsia="en-IN"/>
              </w:rPr>
              <w:t>ff</w:t>
            </w:r>
          </w:p>
        </w:tc>
        <w:tc>
          <w:tcPr>
            <w:tcW w:w="1708" w:type="dxa"/>
            <w:vAlign w:val="center"/>
          </w:tcPr>
          <w:p w14:paraId="296C92E6" w14:textId="4668F46E"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189644FB" w14:textId="34E3476D"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0F566F28" w14:textId="07DBDC12" w:rsidR="00C679F5" w:rsidRPr="00B615FE" w:rsidRDefault="00C679F5" w:rsidP="00C679F5">
            <w:pPr>
              <w:pStyle w:val="ExhibitText"/>
              <w:ind w:right="144"/>
              <w:jc w:val="right"/>
              <w:rPr>
                <w:lang w:eastAsia="en-IN"/>
              </w:rPr>
            </w:pPr>
            <w:r w:rsidRPr="00B615FE">
              <w:rPr>
                <w:lang w:eastAsia="en-IN"/>
              </w:rPr>
              <w:t>0</w:t>
            </w:r>
          </w:p>
        </w:tc>
      </w:tr>
      <w:tr w:rsidR="00C679F5" w:rsidRPr="00B615FE" w14:paraId="696749DB" w14:textId="77777777" w:rsidTr="00C679F5">
        <w:trPr>
          <w:trHeight w:val="288"/>
          <w:jc w:val="center"/>
        </w:trPr>
        <w:tc>
          <w:tcPr>
            <w:tcW w:w="4225" w:type="dxa"/>
            <w:shd w:val="clear" w:color="auto" w:fill="auto"/>
            <w:noWrap/>
            <w:vAlign w:val="center"/>
            <w:hideMark/>
          </w:tcPr>
          <w:p w14:paraId="708F7387" w14:textId="5F8F0AC6" w:rsidR="00C679F5" w:rsidRPr="00B615FE" w:rsidRDefault="00C679F5" w:rsidP="00C679F5">
            <w:pPr>
              <w:pStyle w:val="ExhibitText"/>
              <w:jc w:val="left"/>
              <w:rPr>
                <w:lang w:eastAsia="en-IN"/>
              </w:rPr>
            </w:pPr>
            <w:r w:rsidRPr="00B615FE">
              <w:rPr>
                <w:lang w:eastAsia="en-IN"/>
              </w:rPr>
              <w:t>Deferred Tax Assets/Liabilities</w:t>
            </w:r>
          </w:p>
        </w:tc>
        <w:tc>
          <w:tcPr>
            <w:tcW w:w="1708" w:type="dxa"/>
            <w:vAlign w:val="center"/>
          </w:tcPr>
          <w:p w14:paraId="1A1968DF" w14:textId="4375F0BC"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6F87ED09" w14:textId="0E37F3B2"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4A5004DE" w14:textId="57E10BA0" w:rsidR="00C679F5" w:rsidRPr="00B615FE" w:rsidRDefault="00C679F5" w:rsidP="00C679F5">
            <w:pPr>
              <w:pStyle w:val="ExhibitText"/>
              <w:ind w:right="144"/>
              <w:jc w:val="right"/>
              <w:rPr>
                <w:lang w:eastAsia="en-IN"/>
              </w:rPr>
            </w:pPr>
            <w:r w:rsidRPr="00B615FE">
              <w:rPr>
                <w:lang w:eastAsia="en-IN"/>
              </w:rPr>
              <w:t>0</w:t>
            </w:r>
          </w:p>
        </w:tc>
      </w:tr>
      <w:tr w:rsidR="00C679F5" w:rsidRPr="00B615FE" w14:paraId="10C7A0A2" w14:textId="77777777" w:rsidTr="00C679F5">
        <w:trPr>
          <w:trHeight w:val="288"/>
          <w:jc w:val="center"/>
        </w:trPr>
        <w:tc>
          <w:tcPr>
            <w:tcW w:w="4225" w:type="dxa"/>
            <w:shd w:val="clear" w:color="auto" w:fill="auto"/>
            <w:noWrap/>
            <w:vAlign w:val="center"/>
            <w:hideMark/>
          </w:tcPr>
          <w:p w14:paraId="3A894F32" w14:textId="77777777" w:rsidR="00C679F5" w:rsidRPr="00B615FE" w:rsidRDefault="00C679F5" w:rsidP="00C679F5">
            <w:pPr>
              <w:pStyle w:val="ExhibitText"/>
              <w:jc w:val="left"/>
              <w:rPr>
                <w:lang w:eastAsia="en-IN"/>
              </w:rPr>
            </w:pPr>
            <w:r w:rsidRPr="00B615FE">
              <w:rPr>
                <w:lang w:eastAsia="en-IN"/>
              </w:rPr>
              <w:t>Total Assets</w:t>
            </w:r>
          </w:p>
        </w:tc>
        <w:tc>
          <w:tcPr>
            <w:tcW w:w="1708" w:type="dxa"/>
            <w:vAlign w:val="center"/>
          </w:tcPr>
          <w:p w14:paraId="2BDE11C6" w14:textId="1EA12ECC" w:rsidR="00C679F5" w:rsidRPr="00B615FE" w:rsidRDefault="00C679F5" w:rsidP="00C679F5">
            <w:pPr>
              <w:pStyle w:val="ExhibitText"/>
              <w:ind w:right="144"/>
              <w:jc w:val="right"/>
              <w:rPr>
                <w:lang w:eastAsia="en-IN"/>
              </w:rPr>
            </w:pPr>
            <w:r w:rsidRPr="00B615FE">
              <w:rPr>
                <w:lang w:eastAsia="en-IN"/>
              </w:rPr>
              <w:t>3,813,717</w:t>
            </w:r>
          </w:p>
        </w:tc>
        <w:tc>
          <w:tcPr>
            <w:tcW w:w="1708" w:type="dxa"/>
            <w:vAlign w:val="center"/>
          </w:tcPr>
          <w:p w14:paraId="4F3A7DE8" w14:textId="138CB800" w:rsidR="00C679F5" w:rsidRPr="00B615FE" w:rsidRDefault="00C679F5" w:rsidP="00C679F5">
            <w:pPr>
              <w:pStyle w:val="ExhibitText"/>
              <w:ind w:right="144"/>
              <w:jc w:val="right"/>
              <w:rPr>
                <w:lang w:eastAsia="en-IN"/>
              </w:rPr>
            </w:pPr>
            <w:r w:rsidRPr="00B615FE">
              <w:rPr>
                <w:lang w:eastAsia="en-IN"/>
              </w:rPr>
              <w:t>5,769,897</w:t>
            </w:r>
          </w:p>
        </w:tc>
        <w:tc>
          <w:tcPr>
            <w:tcW w:w="1709" w:type="dxa"/>
            <w:shd w:val="clear" w:color="auto" w:fill="auto"/>
            <w:noWrap/>
            <w:vAlign w:val="center"/>
            <w:hideMark/>
          </w:tcPr>
          <w:p w14:paraId="40AFF593" w14:textId="4C9D7265" w:rsidR="00C679F5" w:rsidRPr="00B615FE" w:rsidRDefault="00C679F5" w:rsidP="00C679F5">
            <w:pPr>
              <w:pStyle w:val="ExhibitText"/>
              <w:ind w:right="144"/>
              <w:jc w:val="right"/>
              <w:rPr>
                <w:lang w:eastAsia="en-IN"/>
              </w:rPr>
            </w:pPr>
            <w:r w:rsidRPr="00B615FE">
              <w:rPr>
                <w:lang w:eastAsia="en-IN"/>
              </w:rPr>
              <w:t>9,141,986</w:t>
            </w:r>
          </w:p>
        </w:tc>
      </w:tr>
      <w:tr w:rsidR="00C679F5" w:rsidRPr="00B615FE" w14:paraId="609ACDDF" w14:textId="77777777" w:rsidTr="00C679F5">
        <w:trPr>
          <w:trHeight w:val="288"/>
          <w:jc w:val="center"/>
        </w:trPr>
        <w:tc>
          <w:tcPr>
            <w:tcW w:w="4225" w:type="dxa"/>
            <w:shd w:val="clear" w:color="auto" w:fill="auto"/>
            <w:noWrap/>
            <w:vAlign w:val="center"/>
            <w:hideMark/>
          </w:tcPr>
          <w:p w14:paraId="556A15FB" w14:textId="77777777" w:rsidR="00C679F5" w:rsidRPr="00B615FE" w:rsidRDefault="00C679F5" w:rsidP="00C679F5">
            <w:pPr>
              <w:pStyle w:val="ExhibitText"/>
              <w:jc w:val="left"/>
              <w:rPr>
                <w:lang w:eastAsia="en-IN"/>
              </w:rPr>
            </w:pPr>
            <w:r w:rsidRPr="00B615FE">
              <w:rPr>
                <w:lang w:eastAsia="en-IN"/>
              </w:rPr>
              <w:t>Contingent Liabilities</w:t>
            </w:r>
          </w:p>
        </w:tc>
        <w:tc>
          <w:tcPr>
            <w:tcW w:w="1708" w:type="dxa"/>
            <w:vAlign w:val="center"/>
          </w:tcPr>
          <w:p w14:paraId="57F8F2A4" w14:textId="288CFB10" w:rsidR="00C679F5" w:rsidRPr="00B615FE" w:rsidRDefault="00C679F5" w:rsidP="00C679F5">
            <w:pPr>
              <w:pStyle w:val="ExhibitText"/>
              <w:ind w:right="144"/>
              <w:jc w:val="right"/>
              <w:rPr>
                <w:lang w:eastAsia="en-IN"/>
              </w:rPr>
            </w:pPr>
            <w:r w:rsidRPr="00B615FE">
              <w:rPr>
                <w:lang w:eastAsia="en-IN"/>
              </w:rPr>
              <w:t>0</w:t>
            </w:r>
          </w:p>
        </w:tc>
        <w:tc>
          <w:tcPr>
            <w:tcW w:w="1708" w:type="dxa"/>
            <w:vAlign w:val="center"/>
          </w:tcPr>
          <w:p w14:paraId="35AA838B" w14:textId="187BA4A8" w:rsidR="00C679F5" w:rsidRPr="00B615FE" w:rsidRDefault="00C679F5" w:rsidP="00C679F5">
            <w:pPr>
              <w:pStyle w:val="ExhibitText"/>
              <w:ind w:right="144"/>
              <w:jc w:val="right"/>
              <w:rPr>
                <w:lang w:eastAsia="en-IN"/>
              </w:rPr>
            </w:pPr>
            <w:r w:rsidRPr="00B615FE">
              <w:rPr>
                <w:lang w:eastAsia="en-IN"/>
              </w:rPr>
              <w:t>0</w:t>
            </w:r>
          </w:p>
        </w:tc>
        <w:tc>
          <w:tcPr>
            <w:tcW w:w="1709" w:type="dxa"/>
            <w:shd w:val="clear" w:color="auto" w:fill="auto"/>
            <w:noWrap/>
            <w:vAlign w:val="center"/>
            <w:hideMark/>
          </w:tcPr>
          <w:p w14:paraId="61DA21B0" w14:textId="11FD18BB" w:rsidR="00C679F5" w:rsidRPr="00B615FE" w:rsidRDefault="00C679F5" w:rsidP="00C679F5">
            <w:pPr>
              <w:pStyle w:val="ExhibitText"/>
              <w:ind w:right="144"/>
              <w:jc w:val="right"/>
              <w:rPr>
                <w:lang w:eastAsia="en-IN"/>
              </w:rPr>
            </w:pPr>
            <w:r w:rsidRPr="00B615FE">
              <w:rPr>
                <w:lang w:eastAsia="en-IN"/>
              </w:rPr>
              <w:t>0</w:t>
            </w:r>
          </w:p>
        </w:tc>
      </w:tr>
    </w:tbl>
    <w:p w14:paraId="3D8EF34F" w14:textId="77777777" w:rsidR="00801AEA" w:rsidRPr="00B615FE" w:rsidRDefault="00801AEA" w:rsidP="00C679F5">
      <w:pPr>
        <w:pStyle w:val="ExhibitText"/>
      </w:pPr>
    </w:p>
    <w:p w14:paraId="2DD8DC33" w14:textId="289964F9" w:rsidR="00F72079" w:rsidRPr="00F40236" w:rsidRDefault="00F72079" w:rsidP="00F40236">
      <w:pPr>
        <w:pStyle w:val="Footnote"/>
        <w:rPr>
          <w:rFonts w:ascii="Times New Roman" w:eastAsiaTheme="minorHAnsi" w:hAnsi="Times New Roman" w:cs="Times New Roman"/>
          <w:sz w:val="24"/>
          <w:szCs w:val="24"/>
          <w:lang w:val="en-IN" w:eastAsia="en-IN"/>
        </w:rPr>
      </w:pPr>
      <w:r w:rsidRPr="00E92F02">
        <w:t>Source</w:t>
      </w:r>
      <w:r w:rsidRPr="00B615FE">
        <w:t>:</w:t>
      </w:r>
      <w:r w:rsidRPr="00301831">
        <w:t xml:space="preserve"> </w:t>
      </w:r>
      <w:r w:rsidR="00E614CD" w:rsidRPr="00301831">
        <w:t xml:space="preserve"> ACE Knowledge Portal</w:t>
      </w:r>
      <w:r w:rsidR="00F40236">
        <w:t>,</w:t>
      </w:r>
      <w:r w:rsidR="00E614CD" w:rsidRPr="00301831">
        <w:t xml:space="preserve"> </w:t>
      </w:r>
      <w:r w:rsidR="00301831">
        <w:t xml:space="preserve">accessed </w:t>
      </w:r>
      <w:r w:rsidR="00F40236">
        <w:t>July 10, 2018,</w:t>
      </w:r>
      <w:r w:rsidR="00301831">
        <w:t xml:space="preserve"> </w:t>
      </w:r>
      <w:r w:rsidR="00E614CD" w:rsidRPr="00F40236">
        <w:t>www.acekp.in/</w:t>
      </w:r>
    </w:p>
    <w:p w14:paraId="7384517D" w14:textId="3018F13F" w:rsidR="00801AEA" w:rsidRPr="00221449" w:rsidRDefault="00801AEA">
      <w:pPr>
        <w:spacing w:after="200" w:line="276" w:lineRule="auto"/>
      </w:pPr>
      <w:r w:rsidRPr="00221449">
        <w:br w:type="page"/>
      </w:r>
    </w:p>
    <w:p w14:paraId="57647BDC" w14:textId="77777777" w:rsidR="00F72079" w:rsidRPr="00B615FE" w:rsidRDefault="00F72079" w:rsidP="006A0453">
      <w:pPr>
        <w:pStyle w:val="ExhibitHeading"/>
        <w:outlineLvl w:val="0"/>
      </w:pPr>
      <w:r w:rsidRPr="00B615FE">
        <w:lastRenderedPageBreak/>
        <w:t xml:space="preserve">Exhibit </w:t>
      </w:r>
      <w:r w:rsidRPr="00E92F02">
        <w:t>2: Number of smartphone users in India</w:t>
      </w:r>
    </w:p>
    <w:p w14:paraId="3B0B0B69" w14:textId="77777777" w:rsidR="00801AEA" w:rsidRPr="006A0453" w:rsidRDefault="00801AEA" w:rsidP="006A0453">
      <w:pPr>
        <w:pStyle w:val="ExhibitText"/>
      </w:pPr>
    </w:p>
    <w:p w14:paraId="44F07CDD" w14:textId="4B04C469" w:rsidR="00F72079" w:rsidRPr="00B615FE" w:rsidRDefault="00F82AAC" w:rsidP="00C679F5">
      <w:pPr>
        <w:pStyle w:val="ExhibitText"/>
        <w:jc w:val="center"/>
      </w:pPr>
      <w:r>
        <w:rPr>
          <w:noProof/>
          <w:lang w:val="en-US"/>
        </w:rPr>
        <w:drawing>
          <wp:inline distT="0" distB="0" distL="0" distR="0" wp14:anchorId="7C6D7691" wp14:editId="68732004">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59C43" w14:textId="77777777" w:rsidR="002403D2" w:rsidRPr="00B615FE" w:rsidRDefault="002403D2" w:rsidP="00C679F5">
      <w:pPr>
        <w:pStyle w:val="ExhibitText"/>
      </w:pPr>
    </w:p>
    <w:p w14:paraId="2B637E6C" w14:textId="40744A33" w:rsidR="002403D2" w:rsidRPr="00E92F02" w:rsidRDefault="002403D2" w:rsidP="00FD54E2">
      <w:pPr>
        <w:pStyle w:val="Footnote"/>
        <w:jc w:val="both"/>
      </w:pPr>
      <w:r w:rsidRPr="00E92F02">
        <w:t xml:space="preserve">Source: </w:t>
      </w:r>
      <w:r w:rsidRPr="00B615FE">
        <w:rPr>
          <w:rFonts w:eastAsiaTheme="minorHAnsi"/>
        </w:rPr>
        <w:t>“</w:t>
      </w:r>
      <w:r w:rsidR="00C54B71" w:rsidRPr="00C54B71">
        <w:rPr>
          <w:rFonts w:eastAsiaTheme="minorHAnsi"/>
        </w:rPr>
        <w:t>Number of Smartphone Use</w:t>
      </w:r>
      <w:r w:rsidR="00C54B71">
        <w:rPr>
          <w:rFonts w:eastAsiaTheme="minorHAnsi"/>
        </w:rPr>
        <w:t>rs</w:t>
      </w:r>
      <w:r w:rsidR="00C54B71" w:rsidRPr="00E92F02">
        <w:rPr>
          <w:rFonts w:eastAsiaTheme="minorHAnsi"/>
        </w:rPr>
        <w:t xml:space="preserve"> in India from 2015 to 2021 (in m</w:t>
      </w:r>
      <w:r w:rsidR="00C54B71" w:rsidRPr="00C54B71">
        <w:rPr>
          <w:rFonts w:eastAsiaTheme="minorHAnsi"/>
        </w:rPr>
        <w:t>illions</w:t>
      </w:r>
      <w:r w:rsidRPr="00B615FE">
        <w:rPr>
          <w:rFonts w:eastAsiaTheme="minorHAnsi"/>
        </w:rPr>
        <w:t>)</w:t>
      </w:r>
      <w:r w:rsidR="00C54B71">
        <w:rPr>
          <w:rFonts w:eastAsiaTheme="minorHAnsi"/>
        </w:rPr>
        <w:t>,</w:t>
      </w:r>
      <w:r w:rsidRPr="00B615FE">
        <w:rPr>
          <w:rFonts w:eastAsiaTheme="minorHAnsi"/>
        </w:rPr>
        <w:t>”</w:t>
      </w:r>
      <w:r w:rsidRPr="00E92F02">
        <w:rPr>
          <w:rFonts w:eastAsiaTheme="minorHAnsi"/>
        </w:rPr>
        <w:t xml:space="preserve"> Statista, </w:t>
      </w:r>
      <w:r w:rsidR="00363211" w:rsidRPr="00B615FE">
        <w:rPr>
          <w:rFonts w:eastAsiaTheme="minorHAnsi"/>
        </w:rPr>
        <w:t xml:space="preserve">accessed </w:t>
      </w:r>
      <w:r w:rsidR="00F82AAC">
        <w:rPr>
          <w:rFonts w:eastAsiaTheme="minorHAnsi"/>
        </w:rPr>
        <w:t>June 14</w:t>
      </w:r>
      <w:r w:rsidR="00363211" w:rsidRPr="00B615FE">
        <w:rPr>
          <w:rFonts w:eastAsiaTheme="minorHAnsi"/>
        </w:rPr>
        <w:t>, 201</w:t>
      </w:r>
      <w:r w:rsidR="00F82AAC">
        <w:rPr>
          <w:rFonts w:eastAsiaTheme="minorHAnsi"/>
        </w:rPr>
        <w:t>8</w:t>
      </w:r>
      <w:r w:rsidR="00363211" w:rsidRPr="00B615FE">
        <w:rPr>
          <w:rFonts w:eastAsiaTheme="minorHAnsi"/>
        </w:rPr>
        <w:t>,</w:t>
      </w:r>
      <w:r w:rsidR="007753F4">
        <w:rPr>
          <w:rFonts w:eastAsiaTheme="minorHAnsi"/>
        </w:rPr>
        <w:t xml:space="preserve"> </w:t>
      </w:r>
    </w:p>
    <w:p w14:paraId="48AA3A91" w14:textId="2704E092" w:rsidR="007753F4" w:rsidRPr="00641858" w:rsidRDefault="007753F4" w:rsidP="00FD54E2">
      <w:pPr>
        <w:pStyle w:val="Footnote"/>
        <w:jc w:val="both"/>
      </w:pPr>
      <w:r w:rsidRPr="007753F4">
        <w:t>www.statista.com/statistics/467163/forecast-of-smartphone-users-in-india/</w:t>
      </w:r>
      <w:r w:rsidR="003A3F87">
        <w:t>.</w:t>
      </w:r>
    </w:p>
    <w:p w14:paraId="2CB0CCDE" w14:textId="77777777" w:rsidR="00F72079" w:rsidRDefault="00F72079" w:rsidP="006A0453">
      <w:pPr>
        <w:pStyle w:val="ExhibitText"/>
      </w:pPr>
    </w:p>
    <w:p w14:paraId="3B0A675D" w14:textId="77777777" w:rsidR="00292AC3" w:rsidRPr="00641858" w:rsidRDefault="00292AC3" w:rsidP="006A0453">
      <w:pPr>
        <w:pStyle w:val="ExhibitText"/>
      </w:pPr>
    </w:p>
    <w:p w14:paraId="15B023B6" w14:textId="77BBC0C8" w:rsidR="00F72079" w:rsidRPr="00B615FE" w:rsidRDefault="00F72079" w:rsidP="006A0453">
      <w:pPr>
        <w:pStyle w:val="ExhibitHeading"/>
        <w:outlineLvl w:val="0"/>
      </w:pPr>
      <w:r w:rsidRPr="00B615FE">
        <w:t xml:space="preserve">Exhibit </w:t>
      </w:r>
      <w:r w:rsidRPr="00E92F02">
        <w:t>3:</w:t>
      </w:r>
      <w:r w:rsidRPr="00B615FE">
        <w:t xml:space="preserve"> Number of Internet users in India</w:t>
      </w:r>
    </w:p>
    <w:p w14:paraId="0C5C672C" w14:textId="77777777" w:rsidR="00905198" w:rsidRPr="006A0453" w:rsidRDefault="00905198" w:rsidP="006A0453">
      <w:pPr>
        <w:pStyle w:val="ExhibitText"/>
      </w:pPr>
    </w:p>
    <w:p w14:paraId="2156C666" w14:textId="5B67699A" w:rsidR="00F72079" w:rsidRPr="00B615FE" w:rsidRDefault="00E901D5" w:rsidP="00C679F5">
      <w:pPr>
        <w:pStyle w:val="ExhibitText"/>
        <w:jc w:val="center"/>
      </w:pPr>
      <w:r>
        <w:rPr>
          <w:noProof/>
          <w:lang w:val="en-US"/>
        </w:rPr>
        <w:drawing>
          <wp:inline distT="0" distB="0" distL="0" distR="0" wp14:anchorId="4902B107" wp14:editId="58211642">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0EFDCC2" w14:textId="77777777" w:rsidR="00FF71A7" w:rsidRPr="00B615FE" w:rsidRDefault="00FF71A7" w:rsidP="00C679F5">
      <w:pPr>
        <w:pStyle w:val="ExhibitText"/>
      </w:pPr>
    </w:p>
    <w:p w14:paraId="19060342" w14:textId="01281AF5" w:rsidR="00F72079" w:rsidRPr="006A0453" w:rsidRDefault="00F72079" w:rsidP="00FD54E2">
      <w:pPr>
        <w:pStyle w:val="Footnote"/>
        <w:jc w:val="both"/>
      </w:pPr>
      <w:r w:rsidRPr="00E92F02">
        <w:t>Source: “</w:t>
      </w:r>
      <w:r w:rsidR="00CA42F7" w:rsidRPr="00CA42F7">
        <w:t>Number of Internet Users</w:t>
      </w:r>
      <w:r w:rsidR="00CA42F7" w:rsidRPr="00E92F02">
        <w:t xml:space="preserve"> in India from 2015 to 2021 (</w:t>
      </w:r>
      <w:r w:rsidR="00CA42F7" w:rsidRPr="00CA42F7">
        <w:t>In Millions)</w:t>
      </w:r>
      <w:r w:rsidR="00CA42F7">
        <w:t>,</w:t>
      </w:r>
      <w:r w:rsidR="00CA42F7" w:rsidRPr="00CA42F7">
        <w:t xml:space="preserve">” </w:t>
      </w:r>
      <w:r w:rsidR="00FF71A7" w:rsidRPr="00B615FE">
        <w:t>Statista,</w:t>
      </w:r>
      <w:r w:rsidRPr="00B615FE">
        <w:t xml:space="preserve"> accessed </w:t>
      </w:r>
      <w:r w:rsidR="001B2198">
        <w:t xml:space="preserve">June </w:t>
      </w:r>
      <w:r w:rsidR="00F82AAC">
        <w:t>14</w:t>
      </w:r>
      <w:r w:rsidR="001B2198">
        <w:t>, 2018</w:t>
      </w:r>
      <w:r w:rsidRPr="00B615FE">
        <w:t xml:space="preserve">, </w:t>
      </w:r>
      <w:r w:rsidRPr="00A01987">
        <w:t>www.statista.com/statistics/255146/number-of-internet-users-</w:t>
      </w:r>
      <w:r w:rsidRPr="00E92F02">
        <w:t>in</w:t>
      </w:r>
      <w:r w:rsidRPr="00A01987">
        <w:t>-india</w:t>
      </w:r>
      <w:r w:rsidR="00CA42F7">
        <w:t>.</w:t>
      </w:r>
    </w:p>
    <w:p w14:paraId="16B7CA67" w14:textId="47911A2A" w:rsidR="00FF71A7" w:rsidRPr="00B615FE" w:rsidRDefault="00FF71A7">
      <w:pPr>
        <w:spacing w:after="200" w:line="276" w:lineRule="auto"/>
        <w:rPr>
          <w:rFonts w:ascii="Arial" w:hAnsi="Arial"/>
          <w:sz w:val="17"/>
        </w:rPr>
      </w:pPr>
      <w:r w:rsidRPr="00E92F02">
        <w:br w:type="page"/>
      </w:r>
    </w:p>
    <w:p w14:paraId="23DC9993" w14:textId="090F4F41" w:rsidR="00F72079" w:rsidRDefault="00F72079" w:rsidP="006C5EE7">
      <w:pPr>
        <w:pStyle w:val="ExhibitHeading"/>
        <w:outlineLvl w:val="0"/>
      </w:pPr>
      <w:r w:rsidRPr="00B615FE">
        <w:lastRenderedPageBreak/>
        <w:t>Exhibit 4</w:t>
      </w:r>
      <w:r w:rsidRPr="00E92F02">
        <w:t xml:space="preserve">: </w:t>
      </w:r>
      <w:r w:rsidR="00423255">
        <w:t xml:space="preserve">percentage of </w:t>
      </w:r>
      <w:r w:rsidRPr="00E92F02">
        <w:t xml:space="preserve">Mobile phone internet </w:t>
      </w:r>
      <w:r w:rsidR="00423255">
        <w:t xml:space="preserve">users </w:t>
      </w:r>
      <w:r w:rsidRPr="00E92F02">
        <w:t>in India</w:t>
      </w:r>
      <w:r w:rsidR="00CA42F7">
        <w:t xml:space="preserve">, </w:t>
      </w:r>
      <w:r w:rsidR="00E901D5">
        <w:t>2015 to 2022</w:t>
      </w:r>
    </w:p>
    <w:p w14:paraId="5BB88A97" w14:textId="23613CF5" w:rsidR="00E901D5" w:rsidRDefault="00E901D5" w:rsidP="006C5EE7">
      <w:pPr>
        <w:pStyle w:val="ExhibitHeading"/>
        <w:outlineLvl w:val="0"/>
      </w:pPr>
    </w:p>
    <w:p w14:paraId="60FC732B" w14:textId="1218DE65" w:rsidR="00F72079" w:rsidRPr="00B615FE" w:rsidRDefault="00E901D5" w:rsidP="00423255">
      <w:pPr>
        <w:pStyle w:val="ExhibitHeading"/>
        <w:outlineLvl w:val="0"/>
      </w:pPr>
      <w:r>
        <w:rPr>
          <w:noProof/>
          <w:lang w:val="en-US"/>
        </w:rPr>
        <w:drawing>
          <wp:inline distT="0" distB="0" distL="0" distR="0" wp14:anchorId="22CF8A82" wp14:editId="30D5B8A2">
            <wp:extent cx="4242139" cy="242840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l="7193" t="11150" r="278" b="731"/>
                    <a:stretch/>
                  </pic:blipFill>
                  <pic:spPr bwMode="auto">
                    <a:xfrm>
                      <a:off x="0" y="0"/>
                      <a:ext cx="4242212" cy="2428448"/>
                    </a:xfrm>
                    <a:prstGeom prst="rect">
                      <a:avLst/>
                    </a:prstGeom>
                    <a:noFill/>
                    <a:ln>
                      <a:noFill/>
                    </a:ln>
                    <a:extLst>
                      <a:ext uri="{53640926-AAD7-44D8-BBD7-CCE9431645EC}">
                        <a14:shadowObscured xmlns:a14="http://schemas.microsoft.com/office/drawing/2010/main"/>
                      </a:ext>
                    </a:extLst>
                  </pic:spPr>
                </pic:pic>
              </a:graphicData>
            </a:graphic>
          </wp:inline>
        </w:drawing>
      </w:r>
    </w:p>
    <w:p w14:paraId="6E74A593" w14:textId="1AEF6D4F" w:rsidR="007012C4" w:rsidRPr="00E92F02" w:rsidRDefault="007012C4" w:rsidP="006A0453">
      <w:pPr>
        <w:pStyle w:val="ExhibitText"/>
      </w:pPr>
    </w:p>
    <w:p w14:paraId="2454340A" w14:textId="2F5BD545" w:rsidR="00F72079" w:rsidRPr="00E92F02" w:rsidRDefault="00F72079" w:rsidP="00FD54E2">
      <w:pPr>
        <w:pStyle w:val="Footnote"/>
        <w:jc w:val="both"/>
      </w:pPr>
      <w:r w:rsidRPr="00641858">
        <w:t>Source: “</w:t>
      </w:r>
      <w:r w:rsidR="00CA42F7" w:rsidRPr="00024C13">
        <w:rPr>
          <w:rFonts w:eastAsiaTheme="minorHAnsi"/>
        </w:rPr>
        <w:t xml:space="preserve">Mobile </w:t>
      </w:r>
      <w:r w:rsidR="00CA42F7" w:rsidRPr="00CA42F7">
        <w:rPr>
          <w:rFonts w:eastAsiaTheme="minorHAnsi"/>
        </w:rPr>
        <w:t>Phone Internet User Penetration in India</w:t>
      </w:r>
      <w:r w:rsidR="00CA42F7" w:rsidRPr="00E92F02">
        <w:rPr>
          <w:rFonts w:eastAsiaTheme="minorHAnsi"/>
        </w:rPr>
        <w:t xml:space="preserve"> from 2015 to 2021</w:t>
      </w:r>
      <w:r w:rsidR="00CA42F7">
        <w:rPr>
          <w:rFonts w:eastAsiaTheme="minorHAnsi"/>
        </w:rPr>
        <w:t>,</w:t>
      </w:r>
      <w:r w:rsidRPr="00B615FE">
        <w:rPr>
          <w:rFonts w:eastAsiaTheme="minorHAnsi"/>
        </w:rPr>
        <w:t>”</w:t>
      </w:r>
      <w:r w:rsidRPr="00B615FE">
        <w:t xml:space="preserve"> Statista, accessed </w:t>
      </w:r>
      <w:r w:rsidR="00E901D5">
        <w:t xml:space="preserve">June </w:t>
      </w:r>
      <w:r w:rsidR="00F82AAC">
        <w:t>14</w:t>
      </w:r>
      <w:r w:rsidR="00E901D5">
        <w:t>, 2018</w:t>
      </w:r>
      <w:r w:rsidRPr="00B615FE">
        <w:t xml:space="preserve">, </w:t>
      </w:r>
      <w:r w:rsidRPr="00A01987">
        <w:t>www.statista.com/statistics/309019/india-mobile-phone-internet-user-penetration</w:t>
      </w:r>
      <w:r w:rsidR="00CA42F7">
        <w:t>.</w:t>
      </w:r>
    </w:p>
    <w:p w14:paraId="43E2A7E4" w14:textId="16D6A54A" w:rsidR="00F72079" w:rsidRPr="00E92F02" w:rsidRDefault="00F72079" w:rsidP="006A0453">
      <w:pPr>
        <w:pStyle w:val="ExhibitText"/>
      </w:pPr>
    </w:p>
    <w:p w14:paraId="0C00E1C1" w14:textId="77777777" w:rsidR="007012C4" w:rsidRPr="00641858" w:rsidRDefault="007012C4" w:rsidP="006A0453">
      <w:pPr>
        <w:pStyle w:val="ExhibitText"/>
      </w:pPr>
    </w:p>
    <w:p w14:paraId="694F9F68" w14:textId="68981830" w:rsidR="00F72079" w:rsidRPr="00B615FE" w:rsidRDefault="00F72079" w:rsidP="006A0453">
      <w:pPr>
        <w:pStyle w:val="ExhibitHeading"/>
        <w:outlineLvl w:val="0"/>
      </w:pPr>
      <w:r w:rsidRPr="00B615FE">
        <w:t xml:space="preserve">Exhibit </w:t>
      </w:r>
      <w:r w:rsidRPr="00E92F02">
        <w:t>5:</w:t>
      </w:r>
      <w:r w:rsidR="006C5EE7">
        <w:t xml:space="preserve"> </w:t>
      </w:r>
      <w:r w:rsidRPr="00B615FE">
        <w:t>Schematic diagram of payment transaction on semi-closed M-Wallet</w:t>
      </w:r>
    </w:p>
    <w:p w14:paraId="2EA340DC" w14:textId="77777777" w:rsidR="00F72079" w:rsidRPr="006A0453" w:rsidRDefault="00F72079" w:rsidP="006A0453">
      <w:pPr>
        <w:pStyle w:val="ExhibitText"/>
      </w:pPr>
    </w:p>
    <w:p w14:paraId="47FBF6DD" w14:textId="77777777" w:rsidR="00F72079" w:rsidRPr="006A0453" w:rsidRDefault="00F72079" w:rsidP="006A0453">
      <w:pPr>
        <w:pStyle w:val="ExhibitText"/>
        <w:jc w:val="center"/>
      </w:pPr>
      <w:r w:rsidRPr="00E92F02">
        <w:rPr>
          <w:noProof/>
          <w:lang w:val="en-US"/>
        </w:rPr>
        <w:drawing>
          <wp:inline distT="0" distB="0" distL="0" distR="0" wp14:anchorId="78CF37E0" wp14:editId="18E16B94">
            <wp:extent cx="5734050" cy="3400425"/>
            <wp:effectExtent l="0" t="0" r="0" b="9525"/>
            <wp:docPr id="1" name="Picture 1" descr="C:\Users\pgarg\AppData\Local\Microsoft\Windows\Temporary Internet Files\Content.Word\m-wall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rg\AppData\Local\Microsoft\Windows\Temporary Internet Files\Content.Word\m-wallet5.jp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5731510" cy="3398919"/>
                    </a:xfrm>
                    <a:prstGeom prst="rect">
                      <a:avLst/>
                    </a:prstGeom>
                    <a:noFill/>
                    <a:ln>
                      <a:noFill/>
                    </a:ln>
                  </pic:spPr>
                </pic:pic>
              </a:graphicData>
            </a:graphic>
          </wp:inline>
        </w:drawing>
      </w:r>
    </w:p>
    <w:p w14:paraId="1AE8C4AA" w14:textId="77777777" w:rsidR="007012C4" w:rsidRPr="00E92F02" w:rsidRDefault="007012C4" w:rsidP="006A0453">
      <w:pPr>
        <w:pStyle w:val="ExhibitText"/>
      </w:pPr>
    </w:p>
    <w:p w14:paraId="2B5803C1" w14:textId="5C4224A2" w:rsidR="003A3F87" w:rsidRDefault="003A3F87" w:rsidP="006A0453">
      <w:pPr>
        <w:pStyle w:val="Footnote"/>
        <w:outlineLvl w:val="0"/>
      </w:pPr>
      <w:r>
        <w:t>Note: A/C =</w:t>
      </w:r>
      <w:r w:rsidR="00EE09E0">
        <w:t>Account</w:t>
      </w:r>
      <w:r>
        <w:t xml:space="preserve"> ; QR = quick response</w:t>
      </w:r>
    </w:p>
    <w:p w14:paraId="283A45F1" w14:textId="52DB9930" w:rsidR="00F72079" w:rsidRDefault="00F72079" w:rsidP="006A0453">
      <w:pPr>
        <w:pStyle w:val="Footnote"/>
        <w:outlineLvl w:val="0"/>
      </w:pPr>
      <w:r w:rsidRPr="00B615FE">
        <w:t>Source:</w:t>
      </w:r>
      <w:r w:rsidR="006C5EE7">
        <w:t xml:space="preserve"> </w:t>
      </w:r>
      <w:r w:rsidRPr="00B615FE">
        <w:t xml:space="preserve">Created by the </w:t>
      </w:r>
      <w:r w:rsidR="002067DD">
        <w:t xml:space="preserve">case </w:t>
      </w:r>
      <w:r w:rsidRPr="00E92F02">
        <w:t>authors</w:t>
      </w:r>
      <w:r w:rsidR="007012C4" w:rsidRPr="00B615FE">
        <w:t>.</w:t>
      </w:r>
    </w:p>
    <w:p w14:paraId="5F187D5D" w14:textId="77777777" w:rsidR="00423255" w:rsidRDefault="00423255" w:rsidP="006A0453">
      <w:pPr>
        <w:pStyle w:val="Footnote"/>
        <w:outlineLvl w:val="0"/>
      </w:pPr>
    </w:p>
    <w:p w14:paraId="498E4D39" w14:textId="77777777" w:rsidR="00423255" w:rsidRDefault="00423255" w:rsidP="006A0453">
      <w:pPr>
        <w:pStyle w:val="Footnote"/>
        <w:outlineLvl w:val="0"/>
      </w:pPr>
    </w:p>
    <w:p w14:paraId="7740CED8" w14:textId="77777777" w:rsidR="00423255" w:rsidRDefault="00423255" w:rsidP="006A0453">
      <w:pPr>
        <w:pStyle w:val="Footnote"/>
        <w:outlineLvl w:val="0"/>
      </w:pPr>
    </w:p>
    <w:p w14:paraId="5E99F73B" w14:textId="4162B1C2" w:rsidR="0050274C" w:rsidRDefault="0050274C" w:rsidP="0050274C">
      <w:pPr>
        <w:pStyle w:val="Casehead1"/>
      </w:pPr>
      <w:r>
        <w:lastRenderedPageBreak/>
        <w:t>ENDNOTES</w:t>
      </w:r>
    </w:p>
    <w:p w14:paraId="0D165388" w14:textId="77777777" w:rsidR="0050274C" w:rsidRPr="0050274C" w:rsidRDefault="0050274C" w:rsidP="0050274C">
      <w:pPr>
        <w:pStyle w:val="Casehead1"/>
        <w:rPr>
          <w:sz w:val="4"/>
        </w:rPr>
      </w:pPr>
    </w:p>
    <w:sectPr w:rsidR="0050274C" w:rsidRPr="0050274C" w:rsidSect="006A0453">
      <w:headerReference w:type="default" r:id="rId15"/>
      <w:footnotePr>
        <w:numFmt w:val="chicago"/>
        <w:numRestart w:val="eachPage"/>
      </w:footnotePr>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F1075" w16cid:durableId="1EC0D16F"/>
  <w16cid:commentId w16cid:paraId="48B0E351" w16cid:durableId="1EC22951"/>
  <w16cid:commentId w16cid:paraId="0B95C591" w16cid:durableId="1EC0DBDA"/>
  <w16cid:commentId w16cid:paraId="1162F15F" w16cid:durableId="1EC0E64B"/>
  <w16cid:commentId w16cid:paraId="33A93AFB" w16cid:durableId="1EC0DA3C"/>
  <w16cid:commentId w16cid:paraId="0DCBC756" w16cid:durableId="1EC0DEEE"/>
  <w16cid:commentId w16cid:paraId="17889E92" w16cid:durableId="1EC0E324"/>
  <w16cid:commentId w16cid:paraId="1E7F7339" w16cid:durableId="1EC0EA1C"/>
  <w16cid:commentId w16cid:paraId="5A8C54A2" w16cid:durableId="1EC10778"/>
  <w16cid:commentId w16cid:paraId="7CD0FAFB" w16cid:durableId="1EC10924"/>
  <w16cid:commentId w16cid:paraId="1D42F5E7" w16cid:durableId="1EC10A4A"/>
  <w16cid:commentId w16cid:paraId="349EFE20" w16cid:durableId="1EC10E5B"/>
  <w16cid:commentId w16cid:paraId="62CA73E1" w16cid:durableId="1EC11145"/>
  <w16cid:commentId w16cid:paraId="34D68406" w16cid:durableId="1EC11170"/>
  <w16cid:commentId w16cid:paraId="67EF3C1F" w16cid:durableId="1EC11513"/>
  <w16cid:commentId w16cid:paraId="4F7EF33C" w16cid:durableId="1EC111D0"/>
  <w16cid:commentId w16cid:paraId="7B430792" w16cid:durableId="1EC11945"/>
  <w16cid:commentId w16cid:paraId="75D3E3F7" w16cid:durableId="1EC11B08"/>
  <w16cid:commentId w16cid:paraId="2C89C6FF" w16cid:durableId="1EC12A3A"/>
  <w16cid:commentId w16cid:paraId="6174C80A" w16cid:durableId="1EC13343"/>
  <w16cid:commentId w16cid:paraId="46978D6C" w16cid:durableId="1EC13793"/>
  <w16cid:commentId w16cid:paraId="3682041F" w16cid:durableId="1EC235A0"/>
  <w16cid:commentId w16cid:paraId="2938347B" w16cid:durableId="1EC14695"/>
  <w16cid:commentId w16cid:paraId="0DF69140" w16cid:durableId="1EC147C3"/>
  <w16cid:commentId w16cid:paraId="3CC9EC81" w16cid:durableId="1EC149B8"/>
  <w16cid:commentId w16cid:paraId="7A7C0F73" w16cid:durableId="1EC14CD1"/>
  <w16cid:commentId w16cid:paraId="462BC3A9" w16cid:durableId="1EC25084"/>
  <w16cid:commentId w16cid:paraId="14D216EF" w16cid:durableId="1EC2559C"/>
  <w16cid:commentId w16cid:paraId="39A2F672" w16cid:durableId="1EC25624"/>
  <w16cid:commentId w16cid:paraId="3A6914D7" w16cid:durableId="1EC258E2"/>
  <w16cid:commentId w16cid:paraId="65740E3C" w16cid:durableId="1EC25A98"/>
  <w16cid:commentId w16cid:paraId="3040B0DD" w16cid:durableId="1EC25B51"/>
  <w16cid:commentId w16cid:paraId="0BA6DDA3" w16cid:durableId="1EC26F47"/>
  <w16cid:commentId w16cid:paraId="1B3B2B1A" w16cid:durableId="1EC273F9"/>
  <w16cid:commentId w16cid:paraId="5DE5CC39" w16cid:durableId="1EC276DC"/>
  <w16cid:commentId w16cid:paraId="03F05988" w16cid:durableId="1EC277E3"/>
  <w16cid:commentId w16cid:paraId="761AA0C2" w16cid:durableId="1EC27918"/>
  <w16cid:commentId w16cid:paraId="7A72CA96" w16cid:durableId="1EC27DCC"/>
  <w16cid:commentId w16cid:paraId="1CDF7AFC" w16cid:durableId="1EBFE1E5"/>
  <w16cid:commentId w16cid:paraId="1C5CCAB3" w16cid:durableId="1EBFE083"/>
  <w16cid:commentId w16cid:paraId="2735BD8A" w16cid:durableId="1EC22BB7"/>
  <w16cid:commentId w16cid:paraId="7E99F468" w16cid:durableId="1EC10D9A"/>
  <w16cid:commentId w16cid:paraId="4EB5F1C6" w16cid:durableId="1EC28239"/>
  <w16cid:commentId w16cid:paraId="2FBB23D1" w16cid:durableId="1EC284FA"/>
  <w16cid:commentId w16cid:paraId="2D6643B3" w16cid:durableId="1EC119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9A775" w14:textId="77777777" w:rsidR="00697D9E" w:rsidRDefault="00697D9E" w:rsidP="00D75295">
      <w:r>
        <w:separator/>
      </w:r>
    </w:p>
  </w:endnote>
  <w:endnote w:type="continuationSeparator" w:id="0">
    <w:p w14:paraId="53B9F9CF" w14:textId="77777777" w:rsidR="00697D9E" w:rsidRDefault="00697D9E" w:rsidP="00D75295">
      <w:r>
        <w:continuationSeparator/>
      </w:r>
    </w:p>
  </w:endnote>
  <w:endnote w:type="continuationNotice" w:id="1">
    <w:p w14:paraId="4D3CBD74" w14:textId="77777777" w:rsidR="00697D9E" w:rsidRDefault="00697D9E"/>
  </w:endnote>
  <w:endnote w:id="2">
    <w:p w14:paraId="1074F602" w14:textId="4C5299DA" w:rsidR="003A3F87" w:rsidRPr="0094028F" w:rsidRDefault="003A3F87" w:rsidP="0094028F">
      <w:pPr>
        <w:pStyle w:val="Footnote"/>
        <w:rPr>
          <w:lang w:val="en-CA"/>
        </w:rPr>
      </w:pPr>
      <w:r>
        <w:rPr>
          <w:rStyle w:val="EndnoteReference"/>
        </w:rPr>
        <w:endnoteRef/>
      </w:r>
      <w:r>
        <w:t xml:space="preserve"> </w:t>
      </w:r>
      <w:r w:rsidR="00FD371C">
        <w:rPr>
          <w:lang w:val="en-CA"/>
        </w:rPr>
        <w:t xml:space="preserve">This case has been written on the basis of published sources only. </w:t>
      </w:r>
      <w:r w:rsidR="00FD371C" w:rsidRPr="00B96671">
        <w:t>Consequently, the interpretation and perspectives presented in the case are not necessarily those of</w:t>
      </w:r>
      <w:r w:rsidR="00FD371C">
        <w:t xml:space="preserve"> </w:t>
      </w:r>
      <w:r w:rsidR="00FD371C" w:rsidRPr="00E92F02">
        <w:t>Reliance Jio Infocomm Limited</w:t>
      </w:r>
      <w:r w:rsidR="00FD371C">
        <w:t>.</w:t>
      </w:r>
    </w:p>
  </w:endnote>
  <w:endnote w:id="3">
    <w:p w14:paraId="29D8A9BF" w14:textId="55A2D5C9" w:rsidR="009629BF" w:rsidRPr="0094028F" w:rsidRDefault="009629BF" w:rsidP="0094028F">
      <w:pPr>
        <w:pStyle w:val="Footnote"/>
        <w:rPr>
          <w:lang w:val="en-CA"/>
        </w:rPr>
      </w:pPr>
      <w:r>
        <w:rPr>
          <w:rStyle w:val="EndnoteReference"/>
        </w:rPr>
        <w:endnoteRef/>
      </w:r>
      <w:r>
        <w:t xml:space="preserve"> </w:t>
      </w:r>
      <w:r w:rsidRPr="0094028F">
        <w:t>₹</w:t>
      </w:r>
      <w:r>
        <w:t xml:space="preserve"> = INR = Indian rupee; US$1 = </w:t>
      </w:r>
      <w:r w:rsidRPr="00D4122B">
        <w:t>₹</w:t>
      </w:r>
      <w:r>
        <w:t>68.6072 on November 30, 2016.</w:t>
      </w:r>
    </w:p>
  </w:endnote>
  <w:endnote w:id="4">
    <w:p w14:paraId="650A11A5" w14:textId="1FC36905" w:rsidR="009629BF" w:rsidRPr="00E92F02" w:rsidRDefault="009629BF" w:rsidP="0050274C">
      <w:pPr>
        <w:pStyle w:val="Footnote"/>
        <w:keepNext/>
        <w:jc w:val="both"/>
      </w:pPr>
      <w:r w:rsidRPr="00E92F02">
        <w:rPr>
          <w:rStyle w:val="EndnoteReference"/>
        </w:rPr>
        <w:endnoteRef/>
      </w:r>
      <w:r w:rsidRPr="00E92F02">
        <w:t xml:space="preserve"> “Rs 500, Rs 1000 </w:t>
      </w:r>
      <w:r w:rsidRPr="00915384">
        <w:t>Currency Notes Stand Abolished</w:t>
      </w:r>
      <w:r w:rsidRPr="00E92F02">
        <w:t xml:space="preserve"> from </w:t>
      </w:r>
      <w:r w:rsidRPr="00915384">
        <w:t>M</w:t>
      </w:r>
      <w:r w:rsidRPr="00E92F02">
        <w:t>idnight: P</w:t>
      </w:r>
      <w:r w:rsidRPr="00641858">
        <w:t>M Modi</w:t>
      </w:r>
      <w:r>
        <w:t>,</w:t>
      </w:r>
      <w:r w:rsidRPr="00490C95">
        <w:t>”</w:t>
      </w:r>
      <w:r w:rsidRPr="00E92F02">
        <w:t xml:space="preserve"> </w:t>
      </w:r>
      <w:r w:rsidRPr="006A0453">
        <w:rPr>
          <w:i/>
        </w:rPr>
        <w:t>Indian Express</w:t>
      </w:r>
      <w:r w:rsidRPr="00E92F02">
        <w:t>, November 10, 2016, accessed November 25, 2016, indianexpress.com/article/india/india-news-india/narendra-modi-prime-minister-address-to-the-nation4364609</w:t>
      </w:r>
      <w:r w:rsidRPr="00490C95">
        <w:t>.</w:t>
      </w:r>
    </w:p>
  </w:endnote>
  <w:endnote w:id="5">
    <w:p w14:paraId="4E53DA7B" w14:textId="5F6C89A9" w:rsidR="009629BF" w:rsidRPr="00E92F02" w:rsidRDefault="009629BF" w:rsidP="0050274C">
      <w:pPr>
        <w:pStyle w:val="Footnote"/>
        <w:jc w:val="both"/>
      </w:pPr>
      <w:r w:rsidRPr="00E92F02">
        <w:rPr>
          <w:rStyle w:val="EndnoteReference"/>
        </w:rPr>
        <w:endnoteRef/>
      </w:r>
      <w:r w:rsidRPr="00641858">
        <w:t xml:space="preserve"> Charan Singh, “India’s Currency Must Be Held </w:t>
      </w:r>
      <w:r>
        <w:t>b</w:t>
      </w:r>
      <w:r w:rsidRPr="00490C95">
        <w:t>y</w:t>
      </w:r>
      <w:r w:rsidRPr="00E92F02">
        <w:t xml:space="preserve"> the Public </w:t>
      </w:r>
      <w:r>
        <w:t>w</w:t>
      </w:r>
      <w:r w:rsidRPr="00E92F02">
        <w:t>ith Confidence, Not Uncertainty and Fear</w:t>
      </w:r>
      <w:r>
        <w:t>,</w:t>
      </w:r>
      <w:r w:rsidRPr="00490C95">
        <w:t>”</w:t>
      </w:r>
      <w:r w:rsidRPr="00E92F02">
        <w:t xml:space="preserve"> </w:t>
      </w:r>
      <w:r w:rsidRPr="006A0453">
        <w:rPr>
          <w:i/>
        </w:rPr>
        <w:t>The Wire</w:t>
      </w:r>
      <w:r w:rsidRPr="00E92F02">
        <w:t xml:space="preserve">, November 23, 2016, accessed November 25, 2016, </w:t>
      </w:r>
      <w:r w:rsidR="00423255">
        <w:t>www.</w:t>
      </w:r>
      <w:r w:rsidRPr="00E92F02">
        <w:t>thewire.in/81736/indias-currency-must-be-held-by-the-public-with-confidence-not-uncertainty-and-fear</w:t>
      </w:r>
      <w:r w:rsidRPr="00490C95">
        <w:t>.</w:t>
      </w:r>
    </w:p>
  </w:endnote>
  <w:endnote w:id="6">
    <w:p w14:paraId="01F17DF9" w14:textId="0B726EE5" w:rsidR="009629BF" w:rsidRPr="00641858" w:rsidRDefault="009629BF" w:rsidP="0050274C">
      <w:pPr>
        <w:pStyle w:val="Footnote"/>
        <w:jc w:val="both"/>
      </w:pPr>
      <w:r w:rsidRPr="00E92F02">
        <w:rPr>
          <w:rStyle w:val="EndnoteReference"/>
        </w:rPr>
        <w:endnoteRef/>
      </w:r>
      <w:r w:rsidRPr="00641858">
        <w:t xml:space="preserve"> Wade Shepard, “A Cashless Future Is </w:t>
      </w:r>
      <w:r>
        <w:t>t</w:t>
      </w:r>
      <w:r w:rsidRPr="00E92F02">
        <w:t xml:space="preserve">he Real Goal </w:t>
      </w:r>
      <w:r>
        <w:t>o</w:t>
      </w:r>
      <w:r w:rsidRPr="00490C95">
        <w:t>f</w:t>
      </w:r>
      <w:r w:rsidRPr="00E92F02">
        <w:t xml:space="preserve"> India</w:t>
      </w:r>
      <w:r>
        <w:t>’</w:t>
      </w:r>
      <w:r w:rsidRPr="00E92F02">
        <w:t>s Demonetization Move</w:t>
      </w:r>
      <w:r>
        <w:t>,</w:t>
      </w:r>
      <w:r w:rsidRPr="00490C95">
        <w:t xml:space="preserve">” </w:t>
      </w:r>
      <w:r w:rsidRPr="007E3216">
        <w:rPr>
          <w:i/>
        </w:rPr>
        <w:t>Forbes</w:t>
      </w:r>
      <w:r w:rsidRPr="00E92F02">
        <w:t>, December 14, 2016, accessed December 15, 2016, www.forbes.com/sites/wadeshepard/2016/12/14/inside-indias-cashless-revolution/#7f81dc2218c7.</w:t>
      </w:r>
    </w:p>
  </w:endnote>
  <w:endnote w:id="7">
    <w:p w14:paraId="287A7268" w14:textId="48468D1B" w:rsidR="009629BF" w:rsidRPr="00641858" w:rsidRDefault="009629BF" w:rsidP="0050274C">
      <w:pPr>
        <w:pStyle w:val="Footnote"/>
        <w:jc w:val="both"/>
      </w:pPr>
      <w:r w:rsidRPr="00641858">
        <w:rPr>
          <w:rStyle w:val="EndnoteReference"/>
        </w:rPr>
        <w:endnoteRef/>
      </w:r>
      <w:r w:rsidRPr="00E92F02">
        <w:t xml:space="preserve"> “Exchange of Rs 500 and Rs 1000 </w:t>
      </w:r>
      <w:r w:rsidRPr="002330AB">
        <w:t>Notes Ends; Can Be Deposited</w:t>
      </w:r>
      <w:r w:rsidRPr="00E92F02">
        <w:t xml:space="preserve"> till Dec 30</w:t>
      </w:r>
      <w:r>
        <w:t>,</w:t>
      </w:r>
      <w:r w:rsidRPr="00490C95">
        <w:t>”</w:t>
      </w:r>
      <w:r w:rsidRPr="00E92F02">
        <w:t xml:space="preserve"> </w:t>
      </w:r>
      <w:r w:rsidRPr="006A0453">
        <w:rPr>
          <w:i/>
        </w:rPr>
        <w:t>Hindustan Times</w:t>
      </w:r>
      <w:r>
        <w:t>,</w:t>
      </w:r>
      <w:r w:rsidRPr="00E92F02">
        <w:t xml:space="preserve"> November 24, 2016, accessed November 25, 2016, www.hindustantimes.com/india-news/exchange-of-currency-stopped-use-of-old-notes-for-utility-bills-extended-till-dec-15/story-S9eIPUPtMnrsuMZ2FCXpkJ.html.</w:t>
      </w:r>
    </w:p>
  </w:endnote>
  <w:endnote w:id="8">
    <w:p w14:paraId="1EF27342" w14:textId="61EA07A9" w:rsidR="00F504F9" w:rsidRPr="00E92F02" w:rsidRDefault="00F504F9" w:rsidP="00F504F9">
      <w:pPr>
        <w:pStyle w:val="Footnote"/>
        <w:jc w:val="both"/>
      </w:pPr>
      <w:r w:rsidRPr="00641858">
        <w:rPr>
          <w:rStyle w:val="EndnoteReference"/>
        </w:rPr>
        <w:endnoteRef/>
      </w:r>
      <w:r w:rsidRPr="00024C13">
        <w:t xml:space="preserve"> Anuj Srivas, “Why ATMs are Struggling </w:t>
      </w:r>
      <w:r>
        <w:t>u</w:t>
      </w:r>
      <w:r w:rsidRPr="00024C13">
        <w:t>nder the Pressures of Demonetisation</w:t>
      </w:r>
      <w:r>
        <w:t>,</w:t>
      </w:r>
      <w:r w:rsidRPr="00490C95">
        <w:t>”</w:t>
      </w:r>
      <w:r w:rsidRPr="00E92F02">
        <w:t xml:space="preserve"> </w:t>
      </w:r>
      <w:r w:rsidRPr="006A0453">
        <w:rPr>
          <w:i/>
        </w:rPr>
        <w:t>The Wire</w:t>
      </w:r>
      <w:r w:rsidRPr="00E92F02">
        <w:t xml:space="preserve">, November 11, 2016, accessed November 25, 2016, </w:t>
      </w:r>
      <w:r w:rsidR="00423255">
        <w:t>www.</w:t>
      </w:r>
      <w:r w:rsidRPr="00E92F02">
        <w:t>thewire.in/79526/atms-struggling-pressures-demonetisation</w:t>
      </w:r>
      <w:r w:rsidRPr="00490C95">
        <w:t>.</w:t>
      </w:r>
    </w:p>
  </w:endnote>
  <w:endnote w:id="9">
    <w:p w14:paraId="127523BA" w14:textId="67B4E5BC" w:rsidR="009629BF" w:rsidRDefault="009629BF" w:rsidP="0050274C">
      <w:pPr>
        <w:pStyle w:val="Footnote"/>
        <w:jc w:val="both"/>
      </w:pPr>
      <w:r>
        <w:rPr>
          <w:rStyle w:val="EndnoteReference"/>
        </w:rPr>
        <w:endnoteRef/>
      </w:r>
      <w:r>
        <w:t xml:space="preserve"> 4G, or 4G LTE, was the fourth generation of cellular data technology that used a technology known as “long term evolution” for transmitting high-speed data over phones and other mobile devices. The transition from 3G to 4G represented a significant change in how data was transmitted, making it faster, easier, and cheaper to transmit cellular data. To maximize the benefits of 4G, voice and data services and the equipment using them all had to be equipped to handle 4G. (Matt Klein, “What is 4G LTE?,” How-To Geek, October 7, 2016, accessed June 5, 2018, </w:t>
      </w:r>
      <w:r w:rsidRPr="001739DA">
        <w:t>www.howt</w:t>
      </w:r>
      <w:r>
        <w:t>ogeek.com/273745/what-is-4g-lte.)</w:t>
      </w:r>
    </w:p>
  </w:endnote>
  <w:endnote w:id="10">
    <w:p w14:paraId="062D4E23" w14:textId="5EC2208A" w:rsidR="009629BF" w:rsidRDefault="009629BF" w:rsidP="0050274C">
      <w:pPr>
        <w:pStyle w:val="Footnote"/>
        <w:jc w:val="both"/>
      </w:pPr>
      <w:r>
        <w:rPr>
          <w:rStyle w:val="EndnoteReference"/>
        </w:rPr>
        <w:endnoteRef/>
      </w:r>
      <w:r>
        <w:t xml:space="preserve"> </w:t>
      </w:r>
      <w:r w:rsidR="00FD371C">
        <w:t xml:space="preserve">Promit </w:t>
      </w:r>
      <w:r w:rsidRPr="00490C95">
        <w:t>Mukerjee</w:t>
      </w:r>
      <w:r>
        <w:t>, op. cit.</w:t>
      </w:r>
      <w:r w:rsidRPr="00490C95">
        <w:t xml:space="preserve"> </w:t>
      </w:r>
    </w:p>
  </w:endnote>
  <w:endnote w:id="11">
    <w:p w14:paraId="3CDD77E4" w14:textId="21DE4AD8" w:rsidR="009629BF" w:rsidRDefault="009629BF" w:rsidP="0050274C">
      <w:pPr>
        <w:pStyle w:val="Footnote"/>
        <w:jc w:val="both"/>
      </w:pPr>
      <w:r>
        <w:rPr>
          <w:rStyle w:val="EndnoteReference"/>
        </w:rPr>
        <w:endnoteRef/>
      </w:r>
      <w:r>
        <w:t xml:space="preserve"> Gopika Gopakumar, “Jio Payments Bank Gets RBI Approval to Start Operations,” LiveMint, March 2, 2017, accessed June 6, 2018, </w:t>
      </w:r>
      <w:r w:rsidRPr="00050DD6">
        <w:t>www.livemint.com/Industry/4uRYpj3shR34mzTDZiIlKN/Jio-Payments-Bank-gets-RBI-nod-to-start-operations.html</w:t>
      </w:r>
      <w:r>
        <w:t>.</w:t>
      </w:r>
    </w:p>
  </w:endnote>
  <w:endnote w:id="12">
    <w:p w14:paraId="3A7F25AF" w14:textId="3F4DF3DC" w:rsidR="009629BF" w:rsidRPr="00641858" w:rsidRDefault="009629BF" w:rsidP="0050274C">
      <w:pPr>
        <w:pStyle w:val="Footnote"/>
        <w:jc w:val="both"/>
      </w:pPr>
      <w:r w:rsidRPr="00E92F02">
        <w:rPr>
          <w:rStyle w:val="EndnoteReference"/>
        </w:rPr>
        <w:endnoteRef/>
      </w:r>
      <w:r>
        <w:t xml:space="preserve"> </w:t>
      </w:r>
      <w:r w:rsidRPr="00490C95">
        <w:t>“</w:t>
      </w:r>
      <w:r>
        <w:t>Branch Locations,</w:t>
      </w:r>
      <w:r w:rsidRPr="00490C95">
        <w:t xml:space="preserve">” </w:t>
      </w:r>
      <w:r w:rsidRPr="00E92F02">
        <w:t>State Ba</w:t>
      </w:r>
      <w:r>
        <w:t>c</w:t>
      </w:r>
      <w:r w:rsidRPr="00E92F02">
        <w:t>k of India, accessed November 25, 2016, www.sbi.co.in/portal/web/home/branch.</w:t>
      </w:r>
    </w:p>
  </w:endnote>
  <w:endnote w:id="13">
    <w:p w14:paraId="5B6DA372" w14:textId="67EA095F" w:rsidR="009629BF" w:rsidRDefault="009629BF" w:rsidP="0050274C">
      <w:pPr>
        <w:pStyle w:val="Footnote"/>
        <w:jc w:val="both"/>
      </w:pPr>
      <w:r>
        <w:rPr>
          <w:rStyle w:val="EndnoteReference"/>
        </w:rPr>
        <w:endnoteRef/>
      </w:r>
      <w:r>
        <w:t xml:space="preserve"> </w:t>
      </w:r>
      <w:r w:rsidRPr="00F40236">
        <w:rPr>
          <w:kern w:val="17"/>
        </w:rPr>
        <w:t>Telecomm spectrums were allocated along specific bands of radio waves, usually between 400MHz and 4000MHz (or 4GHz). The most commonly used bands were 800MHz, 900MHz, 1800MHz, 2100MHz, and 2300MHz. The higher the band, the more data that could be transmitted in the same amount of time. (Gopal Sathe, “Tech 101: What is Spectrum, and Why is it Being Auctioned,” Gadgets 360, April 12, 2016, accessed June 5, 2018, gadgets.ndtv.com/telecom/features/tech-101-what-is-spectrum-and-why-is-it-being-auctioned-824721</w:t>
      </w:r>
      <w:r>
        <w:t>.)</w:t>
      </w:r>
    </w:p>
  </w:endnote>
  <w:endnote w:id="14">
    <w:p w14:paraId="62AC647E" w14:textId="77777777" w:rsidR="009629BF" w:rsidRPr="00490C95" w:rsidRDefault="009629BF" w:rsidP="0050274C">
      <w:pPr>
        <w:pStyle w:val="Footnote"/>
        <w:jc w:val="both"/>
      </w:pPr>
      <w:r w:rsidRPr="00490C95">
        <w:rPr>
          <w:rStyle w:val="EndnoteReference"/>
        </w:rPr>
        <w:endnoteRef/>
      </w:r>
      <w:r w:rsidRPr="00490C95">
        <w:t xml:space="preserve"> “Reliance Jio Infocomm Limited</w:t>
      </w:r>
      <w:r>
        <w:t>,</w:t>
      </w:r>
      <w:r w:rsidRPr="00490C95">
        <w:t xml:space="preserve">” </w:t>
      </w:r>
      <w:r>
        <w:t xml:space="preserve">Cellular Operators Association of India, </w:t>
      </w:r>
      <w:r w:rsidRPr="00490C95">
        <w:t>accessed November 25, 2016, www.coai.com/content/reliance-jio-infocomm-limited.</w:t>
      </w:r>
    </w:p>
  </w:endnote>
  <w:endnote w:id="15">
    <w:p w14:paraId="75B2043D" w14:textId="35226452" w:rsidR="009629BF" w:rsidRPr="00490C95" w:rsidRDefault="009629BF" w:rsidP="0050274C">
      <w:pPr>
        <w:pStyle w:val="Footnote"/>
        <w:jc w:val="both"/>
      </w:pPr>
      <w:r w:rsidRPr="00490C95">
        <w:rPr>
          <w:rStyle w:val="EndnoteReference"/>
          <w:b/>
        </w:rPr>
        <w:endnoteRef/>
      </w:r>
      <w:r w:rsidRPr="00490C95">
        <w:t xml:space="preserve"> “</w:t>
      </w:r>
      <w:r w:rsidRPr="00490C95">
        <w:rPr>
          <w:color w:val="000000"/>
        </w:rPr>
        <w:t>Company Overview of</w:t>
      </w:r>
      <w:r>
        <w:rPr>
          <w:color w:val="000000"/>
        </w:rPr>
        <w:t xml:space="preserve"> </w:t>
      </w:r>
      <w:r w:rsidRPr="00490C95">
        <w:rPr>
          <w:color w:val="000000"/>
        </w:rPr>
        <w:t>Reliance Jio Infocomm Limited</w:t>
      </w:r>
      <w:r>
        <w:rPr>
          <w:color w:val="000000"/>
        </w:rPr>
        <w:t>,</w:t>
      </w:r>
      <w:r w:rsidRPr="00490C95">
        <w:rPr>
          <w:color w:val="000000"/>
        </w:rPr>
        <w:t>”</w:t>
      </w:r>
      <w:r>
        <w:rPr>
          <w:color w:val="000000"/>
        </w:rPr>
        <w:t xml:space="preserve"> Bloomberg</w:t>
      </w:r>
      <w:r w:rsidRPr="00490C95">
        <w:rPr>
          <w:color w:val="000000"/>
        </w:rPr>
        <w:t>,</w:t>
      </w:r>
      <w:r w:rsidRPr="00490C95">
        <w:t xml:space="preserve"> accessed November 25, 2016, www.bloomberg.com/research/stocks/private/snapshot.asp?privcapId=108116523.</w:t>
      </w:r>
    </w:p>
  </w:endnote>
  <w:endnote w:id="16">
    <w:p w14:paraId="52600199" w14:textId="77777777" w:rsidR="00E11E2D" w:rsidRPr="00490C95" w:rsidRDefault="00E11E2D" w:rsidP="00E11E2D">
      <w:pPr>
        <w:pStyle w:val="Footnote"/>
        <w:jc w:val="both"/>
      </w:pPr>
      <w:r w:rsidRPr="00490C95">
        <w:rPr>
          <w:rStyle w:val="EndnoteReference"/>
        </w:rPr>
        <w:endnoteRef/>
      </w:r>
      <w:r w:rsidRPr="00490C95">
        <w:t xml:space="preserve"> </w:t>
      </w:r>
      <w:r w:rsidRPr="00A01987">
        <w:t>Promit Mukherjee</w:t>
      </w:r>
      <w:r w:rsidRPr="00490C95">
        <w:t>,</w:t>
      </w:r>
      <w:r w:rsidRPr="00490C95">
        <w:rPr>
          <w:bCs/>
        </w:rPr>
        <w:t xml:space="preserve"> “</w:t>
      </w:r>
      <w:r w:rsidRPr="002330AB">
        <w:rPr>
          <w:bCs/>
        </w:rPr>
        <w:t>Reliance Jio Starts Testing Mobile Wallet Service</w:t>
      </w:r>
      <w:r>
        <w:rPr>
          <w:bCs/>
        </w:rPr>
        <w:t>,</w:t>
      </w:r>
      <w:r w:rsidRPr="00490C95">
        <w:rPr>
          <w:bCs/>
        </w:rPr>
        <w:t xml:space="preserve">” </w:t>
      </w:r>
      <w:r w:rsidRPr="007E3216">
        <w:rPr>
          <w:bCs/>
          <w:i/>
        </w:rPr>
        <w:t>Live Mint</w:t>
      </w:r>
      <w:r w:rsidRPr="00490C95">
        <w:t>, October 14, 2016, accessed November 25, 2016, www.livemint.com/Companies/93TZyZqbcsnK4ujIVyEZPM/RJio-starts-testing-Jio-Money-for-merchants.html.</w:t>
      </w:r>
    </w:p>
  </w:endnote>
  <w:endnote w:id="17">
    <w:p w14:paraId="49598003" w14:textId="28C74499" w:rsidR="009629BF" w:rsidRPr="00490C95" w:rsidRDefault="009629BF" w:rsidP="0050274C">
      <w:pPr>
        <w:pStyle w:val="Footnote"/>
        <w:jc w:val="both"/>
      </w:pPr>
      <w:r w:rsidRPr="00490C95">
        <w:rPr>
          <w:rStyle w:val="EndnoteReference"/>
        </w:rPr>
        <w:endnoteRef/>
      </w:r>
      <w:r w:rsidRPr="00490C95">
        <w:t xml:space="preserve"> “</w:t>
      </w:r>
      <w:r w:rsidRPr="00FD3153">
        <w:rPr>
          <w:rFonts w:eastAsiaTheme="minorHAnsi"/>
        </w:rPr>
        <w:t>R</w:t>
      </w:r>
      <w:r>
        <w:rPr>
          <w:rFonts w:eastAsiaTheme="minorHAnsi"/>
        </w:rPr>
        <w:t>J</w:t>
      </w:r>
      <w:r w:rsidRPr="00FD3153">
        <w:rPr>
          <w:rFonts w:eastAsiaTheme="minorHAnsi"/>
        </w:rPr>
        <w:t>io to Launch Services on Sept 5; Voice Calls Free, No Roaming Charges in India, Data Priced at Rs. 50/Gb</w:t>
      </w:r>
      <w:r>
        <w:rPr>
          <w:rFonts w:eastAsiaTheme="minorHAnsi"/>
        </w:rPr>
        <w:t>,</w:t>
      </w:r>
      <w:r w:rsidRPr="00490C95">
        <w:rPr>
          <w:rFonts w:eastAsiaTheme="minorHAnsi"/>
        </w:rPr>
        <w:t>”</w:t>
      </w:r>
      <w:r w:rsidRPr="00490C95">
        <w:t xml:space="preserve"> </w:t>
      </w:r>
      <w:r w:rsidRPr="007E3216">
        <w:rPr>
          <w:i/>
        </w:rPr>
        <w:t>Hindu Business Line</w:t>
      </w:r>
      <w:r w:rsidRPr="00490C95">
        <w:t xml:space="preserve">, </w:t>
      </w:r>
      <w:r>
        <w:t xml:space="preserve">September 1, 2016, </w:t>
      </w:r>
      <w:r w:rsidRPr="00490C95">
        <w:t>accessed November 25, 2016, www.thehindubusinessline.com/info-tech/rjio-launches-4g-phones-under-lyf-brands-at-rs-2999/article9059527.ece.</w:t>
      </w:r>
    </w:p>
  </w:endnote>
  <w:endnote w:id="18">
    <w:p w14:paraId="0990C3A4" w14:textId="6A34D47B" w:rsidR="009629BF" w:rsidRPr="00490C95" w:rsidRDefault="009629BF" w:rsidP="0050274C">
      <w:pPr>
        <w:pStyle w:val="Footnote"/>
        <w:jc w:val="both"/>
      </w:pPr>
      <w:r w:rsidRPr="00490C95">
        <w:rPr>
          <w:rStyle w:val="EndnoteReference"/>
        </w:rPr>
        <w:endnoteRef/>
      </w:r>
      <w:r w:rsidRPr="00490C95">
        <w:t xml:space="preserve"> Manish Sain, “</w:t>
      </w:r>
      <w:r w:rsidRPr="002247FA">
        <w:t>Jio Welcome Offer Ends on December 3: But Everyone Will Get Free Data until March 31</w:t>
      </w:r>
      <w:r w:rsidRPr="00490C95">
        <w:t xml:space="preserve">” </w:t>
      </w:r>
      <w:r w:rsidRPr="007E3216">
        <w:rPr>
          <w:i/>
        </w:rPr>
        <w:t>India Today</w:t>
      </w:r>
      <w:r w:rsidRPr="00490C95">
        <w:t xml:space="preserve">, December 5, 2016, accessed December 7, 2016, </w:t>
      </w:r>
      <w:r w:rsidR="00423255">
        <w:t>www.</w:t>
      </w:r>
      <w:r w:rsidRPr="00490C95">
        <w:t>indiatoday.intoday.in/technology/story/jio-welcome-offer-for-free-data-and-calls-ends-on-december-3-what-happens-next-for-jio-users/1/823149.html.</w:t>
      </w:r>
    </w:p>
  </w:endnote>
  <w:endnote w:id="19">
    <w:p w14:paraId="11AE282C" w14:textId="3350BD5C" w:rsidR="009629BF" w:rsidRPr="00490C95" w:rsidRDefault="009629BF" w:rsidP="0050274C">
      <w:pPr>
        <w:pStyle w:val="Footnote"/>
        <w:jc w:val="both"/>
      </w:pPr>
      <w:r w:rsidRPr="00490C95">
        <w:rPr>
          <w:rStyle w:val="EndnoteReference"/>
        </w:rPr>
        <w:endnoteRef/>
      </w:r>
      <w:r w:rsidRPr="00490C95">
        <w:t xml:space="preserve"> </w:t>
      </w:r>
      <w:r>
        <w:t xml:space="preserve">All dollar amounts are in U.S. dollars. </w:t>
      </w:r>
      <w:r w:rsidRPr="00490C95">
        <w:t>Vivek,</w:t>
      </w:r>
      <w:r>
        <w:t xml:space="preserve"> </w:t>
      </w:r>
      <w:r w:rsidRPr="00490C95">
        <w:t>“</w:t>
      </w:r>
      <w:r w:rsidRPr="00384E19">
        <w:t>Did Ambani Know about Modi’s Demonitization Scheme</w:t>
      </w:r>
      <w:r>
        <w:t>?,</w:t>
      </w:r>
      <w:r w:rsidRPr="00490C95">
        <w:t xml:space="preserve">” </w:t>
      </w:r>
      <w:r>
        <w:t>Rightlog</w:t>
      </w:r>
      <w:r w:rsidRPr="00490C95">
        <w:t>, November 10, 2016, accessed November 25, 2016, www.thefrustratedindian.com/2016/11/reliance-jio-black-money-ambani-demonetization.</w:t>
      </w:r>
    </w:p>
  </w:endnote>
  <w:endnote w:id="20">
    <w:p w14:paraId="6147DF4C" w14:textId="2C911996" w:rsidR="009629BF" w:rsidRPr="00641858" w:rsidRDefault="009629BF" w:rsidP="0050274C">
      <w:pPr>
        <w:pStyle w:val="Footnote"/>
        <w:jc w:val="both"/>
      </w:pPr>
      <w:r w:rsidRPr="00E92F02">
        <w:rPr>
          <w:rStyle w:val="EndnoteReference"/>
        </w:rPr>
        <w:endnoteRef/>
      </w:r>
      <w:r w:rsidRPr="00E92F02">
        <w:t xml:space="preserve"> “</w:t>
      </w:r>
      <w:r w:rsidRPr="00641858">
        <w:t>Population of India</w:t>
      </w:r>
      <w:r>
        <w:t xml:space="preserve">: </w:t>
      </w:r>
      <w:r w:rsidRPr="00490C95">
        <w:t>Population of India</w:t>
      </w:r>
      <w:r w:rsidRPr="00E92F02">
        <w:t xml:space="preserve"> 2017</w:t>
      </w:r>
      <w:r>
        <w:t>,</w:t>
      </w:r>
      <w:r w:rsidRPr="00490C95">
        <w:t xml:space="preserve">” </w:t>
      </w:r>
      <w:r>
        <w:t>India Guide</w:t>
      </w:r>
      <w:r w:rsidRPr="00E92F02">
        <w:t>, accessed November 30, 2016, www.indiaonlinepages.com/population/india-current-population.html.</w:t>
      </w:r>
    </w:p>
  </w:endnote>
  <w:endnote w:id="21">
    <w:p w14:paraId="1D4E531C" w14:textId="788C81C6" w:rsidR="009629BF" w:rsidRPr="00641858" w:rsidRDefault="009629BF" w:rsidP="0050274C">
      <w:pPr>
        <w:pStyle w:val="Footnote"/>
        <w:jc w:val="both"/>
      </w:pPr>
      <w:r w:rsidRPr="00641858">
        <w:rPr>
          <w:rStyle w:val="EndnoteReference"/>
        </w:rPr>
        <w:endnoteRef/>
      </w:r>
      <w:r w:rsidRPr="00024C13">
        <w:t xml:space="preserve"> “</w:t>
      </w:r>
      <w:r>
        <w:t xml:space="preserve">Population of India: </w:t>
      </w:r>
      <w:r w:rsidRPr="00E92F02">
        <w:t xml:space="preserve">Literacy </w:t>
      </w:r>
      <w:r>
        <w:t>R</w:t>
      </w:r>
      <w:r w:rsidRPr="00E92F02">
        <w:t>ate in India</w:t>
      </w:r>
      <w:r>
        <w:t>,</w:t>
      </w:r>
      <w:r w:rsidRPr="00490C95">
        <w:t xml:space="preserve">” </w:t>
      </w:r>
      <w:r>
        <w:t>India Guide</w:t>
      </w:r>
      <w:r w:rsidRPr="00E92F02">
        <w:t>, accessed November 30, 2016, www.indiaonlinepages.com/population/literacy-rate-i</w:t>
      </w:r>
      <w:r w:rsidRPr="00641858">
        <w:t>n-india.html.</w:t>
      </w:r>
    </w:p>
  </w:endnote>
  <w:endnote w:id="22">
    <w:p w14:paraId="60D70D3F" w14:textId="21987B88" w:rsidR="009629BF" w:rsidRPr="00E92F02" w:rsidRDefault="009629BF" w:rsidP="0050274C">
      <w:pPr>
        <w:pStyle w:val="Footnote"/>
        <w:jc w:val="both"/>
      </w:pPr>
      <w:r w:rsidRPr="00490C95">
        <w:rPr>
          <w:rStyle w:val="EndnoteReference"/>
        </w:rPr>
        <w:endnoteRef/>
      </w:r>
      <w:r w:rsidRPr="00490C95">
        <w:rPr>
          <w:rFonts w:eastAsiaTheme="minorHAnsi"/>
        </w:rPr>
        <w:t xml:space="preserve"> “</w:t>
      </w:r>
      <w:r w:rsidRPr="00384E19">
        <w:rPr>
          <w:rFonts w:eastAsiaTheme="minorHAnsi"/>
        </w:rPr>
        <w:t>Number of Smartphone Use</w:t>
      </w:r>
      <w:r>
        <w:rPr>
          <w:rFonts w:eastAsiaTheme="minorHAnsi"/>
        </w:rPr>
        <w:t>rs</w:t>
      </w:r>
      <w:r w:rsidRPr="00E92F02">
        <w:rPr>
          <w:rFonts w:eastAsiaTheme="minorHAnsi"/>
        </w:rPr>
        <w:t xml:space="preserve"> </w:t>
      </w:r>
      <w:r w:rsidR="002D5671">
        <w:rPr>
          <w:rFonts w:eastAsiaTheme="minorHAnsi"/>
        </w:rPr>
        <w:t>in India from 2015 to 2021 (in M</w:t>
      </w:r>
      <w:r w:rsidRPr="00E92F02">
        <w:rPr>
          <w:rFonts w:eastAsiaTheme="minorHAnsi"/>
        </w:rPr>
        <w:t>illions</w:t>
      </w:r>
      <w:r w:rsidRPr="00384E19">
        <w:rPr>
          <w:rFonts w:eastAsiaTheme="minorHAnsi"/>
        </w:rPr>
        <w:t>)</w:t>
      </w:r>
      <w:r>
        <w:rPr>
          <w:rFonts w:eastAsiaTheme="minorHAnsi"/>
        </w:rPr>
        <w:t>,</w:t>
      </w:r>
      <w:r w:rsidRPr="00490C95">
        <w:rPr>
          <w:rFonts w:eastAsiaTheme="minorHAnsi"/>
        </w:rPr>
        <w:t>”</w:t>
      </w:r>
      <w:r w:rsidRPr="00E92F02">
        <w:rPr>
          <w:rFonts w:eastAsiaTheme="minorHAnsi"/>
        </w:rPr>
        <w:t xml:space="preserve"> Statista, accessed November 30, 2016, </w:t>
      </w:r>
      <w:r w:rsidRPr="00E92F02">
        <w:t>www.statista.com/statistics/467163/forecast-of-smartphone-users-in-india</w:t>
      </w:r>
      <w:r w:rsidRPr="00490C95">
        <w:t>.</w:t>
      </w:r>
    </w:p>
  </w:endnote>
  <w:endnote w:id="23">
    <w:p w14:paraId="35240CF1" w14:textId="191F965A" w:rsidR="009629BF" w:rsidRPr="00490C95" w:rsidRDefault="009629BF" w:rsidP="0050274C">
      <w:pPr>
        <w:pStyle w:val="Footnote"/>
        <w:jc w:val="both"/>
        <w:rPr>
          <w:bCs/>
        </w:rPr>
      </w:pPr>
      <w:r w:rsidRPr="00490C95">
        <w:rPr>
          <w:rStyle w:val="EndnoteReference"/>
        </w:rPr>
        <w:endnoteRef/>
      </w:r>
      <w:r w:rsidRPr="00490C95">
        <w:t xml:space="preserve"> </w:t>
      </w:r>
      <w:r w:rsidRPr="00490C95">
        <w:rPr>
          <w:bdr w:val="none" w:sz="0" w:space="0" w:color="auto" w:frame="1"/>
          <w:shd w:val="clear" w:color="auto" w:fill="FFFFFF"/>
        </w:rPr>
        <w:t>“</w:t>
      </w:r>
      <w:r w:rsidRPr="00490C95">
        <w:t xml:space="preserve">Number of </w:t>
      </w:r>
      <w:r>
        <w:t>I</w:t>
      </w:r>
      <w:r w:rsidRPr="00490C95">
        <w:t xml:space="preserve">nternet </w:t>
      </w:r>
      <w:r>
        <w:t>U</w:t>
      </w:r>
      <w:r w:rsidRPr="00490C95">
        <w:t xml:space="preserve">sers in </w:t>
      </w:r>
      <w:r w:rsidRPr="003158AD">
        <w:t>India</w:t>
      </w:r>
      <w:r w:rsidR="002D5671">
        <w:t xml:space="preserve"> from 2015 to 2021 (in M</w:t>
      </w:r>
      <w:r w:rsidRPr="00490C95">
        <w:t>illions)</w:t>
      </w:r>
      <w:r>
        <w:t>,</w:t>
      </w:r>
      <w:r w:rsidRPr="00490C95">
        <w:t xml:space="preserve">” Statista, accessed </w:t>
      </w:r>
      <w:r>
        <w:t>June 6, 2018</w:t>
      </w:r>
      <w:r w:rsidRPr="00490C95">
        <w:t>, www.statista.com/statistics/255146/number-of-internet-users-in-india.</w:t>
      </w:r>
    </w:p>
  </w:endnote>
  <w:endnote w:id="24">
    <w:p w14:paraId="2DDB6ABF" w14:textId="4E4148A3" w:rsidR="009629BF" w:rsidRDefault="009629BF" w:rsidP="0050274C">
      <w:pPr>
        <w:pStyle w:val="Footnote"/>
        <w:jc w:val="both"/>
      </w:pPr>
      <w:r>
        <w:rPr>
          <w:rStyle w:val="EndnoteReference"/>
        </w:rPr>
        <w:endnoteRef/>
      </w:r>
      <w:r>
        <w:t xml:space="preserve"> “Number of Mobile Phone Internet Users </w:t>
      </w:r>
      <w:r w:rsidR="002D5671">
        <w:t>in India from 2015 to 2011 (in M</w:t>
      </w:r>
      <w:r>
        <w:t xml:space="preserve">illions),” Statista, accessed June 6, 2018, </w:t>
      </w:r>
      <w:r w:rsidRPr="00947B07">
        <w:t>www.statista.com/statistics/558610/number-o</w:t>
      </w:r>
      <w:r>
        <w:t>f-mobile-internet-user-in-india.</w:t>
      </w:r>
    </w:p>
  </w:endnote>
  <w:endnote w:id="25">
    <w:p w14:paraId="43115856" w14:textId="266B70CE" w:rsidR="009629BF" w:rsidRPr="00490C95" w:rsidRDefault="009629BF" w:rsidP="0050274C">
      <w:pPr>
        <w:pStyle w:val="Footnote"/>
        <w:jc w:val="both"/>
      </w:pPr>
      <w:r w:rsidRPr="00490C95">
        <w:rPr>
          <w:rStyle w:val="EndnoteReference"/>
        </w:rPr>
        <w:endnoteRef/>
      </w:r>
      <w:r w:rsidRPr="00490C95">
        <w:t xml:space="preserve"> “</w:t>
      </w:r>
      <w:r w:rsidRPr="003158AD">
        <w:rPr>
          <w:rFonts w:eastAsiaTheme="minorHAnsi"/>
        </w:rPr>
        <w:t>Mobile Phone Internet User Penetration in India from 2015 to 2021</w:t>
      </w:r>
      <w:r>
        <w:rPr>
          <w:rFonts w:eastAsiaTheme="minorHAnsi"/>
        </w:rPr>
        <w:t>,</w:t>
      </w:r>
      <w:r w:rsidRPr="00490C95">
        <w:rPr>
          <w:rFonts w:eastAsiaTheme="minorHAnsi"/>
        </w:rPr>
        <w:t>”</w:t>
      </w:r>
      <w:r w:rsidRPr="00490C95">
        <w:t xml:space="preserve"> Statista, accessed </w:t>
      </w:r>
      <w:r>
        <w:t>June 6, 2018</w:t>
      </w:r>
      <w:r w:rsidRPr="00490C95">
        <w:t xml:space="preserve">, </w:t>
      </w:r>
      <w:r w:rsidRPr="00A01987">
        <w:t>www.statista.com/statistics/309019/india-mobile-phone-internet-user-penetration</w:t>
      </w:r>
      <w:r>
        <w:t>.</w:t>
      </w:r>
    </w:p>
  </w:endnote>
  <w:endnote w:id="26">
    <w:p w14:paraId="00851C1B" w14:textId="02D3434A" w:rsidR="009629BF" w:rsidRDefault="009629BF" w:rsidP="0050274C">
      <w:pPr>
        <w:pStyle w:val="Footnote"/>
        <w:jc w:val="both"/>
      </w:pPr>
      <w:r>
        <w:rPr>
          <w:rStyle w:val="EndnoteReference"/>
        </w:rPr>
        <w:endnoteRef/>
      </w:r>
      <w:r>
        <w:t xml:space="preserve"> Abhutosh Singh, “The Future of Mobile Wallets in India,” </w:t>
      </w:r>
      <w:r w:rsidRPr="00C8285A">
        <w:rPr>
          <w:i/>
        </w:rPr>
        <w:t>Hindu Business Line</w:t>
      </w:r>
      <w:r>
        <w:t xml:space="preserve">, March 10, 2016, accessed June 6, 2018, </w:t>
      </w:r>
      <w:r w:rsidRPr="00C8285A">
        <w:t>www.thehindubusinessline.com/catalyst/the-future-of-mobile-wallets-in-india/article8332085.ece</w:t>
      </w:r>
      <w:r>
        <w:t>.</w:t>
      </w:r>
    </w:p>
  </w:endnote>
  <w:endnote w:id="27">
    <w:p w14:paraId="53667D6F" w14:textId="398C69F6" w:rsidR="00F40236" w:rsidRPr="00490C95" w:rsidRDefault="00F40236" w:rsidP="00F40236">
      <w:pPr>
        <w:pStyle w:val="Footnote"/>
        <w:jc w:val="both"/>
      </w:pPr>
      <w:r>
        <w:rPr>
          <w:rStyle w:val="EndnoteReference"/>
        </w:rPr>
        <w:endnoteRef/>
      </w:r>
      <w:r>
        <w:t xml:space="preserve"> </w:t>
      </w:r>
      <w:r w:rsidRPr="00490C95">
        <w:t>“</w:t>
      </w:r>
      <w:r w:rsidRPr="003158AD">
        <w:t xml:space="preserve">Indian Digital Payments Market to Reach </w:t>
      </w:r>
      <w:r>
        <w:t>USD</w:t>
      </w:r>
      <w:r w:rsidRPr="003158AD">
        <w:t xml:space="preserve"> 500 Bn by 2020</w:t>
      </w:r>
      <w:r>
        <w:t>,</w:t>
      </w:r>
      <w:r w:rsidRPr="00490C95">
        <w:t xml:space="preserve">” </w:t>
      </w:r>
      <w:r w:rsidRPr="007E3216">
        <w:rPr>
          <w:i/>
        </w:rPr>
        <w:t>Economics Times</w:t>
      </w:r>
      <w:r w:rsidRPr="00490C95">
        <w:t xml:space="preserve">, July 26, 2016, accessed November 25, 2016, </w:t>
      </w:r>
      <w:r w:rsidR="002D5671">
        <w:t>www.</w:t>
      </w:r>
      <w:r w:rsidRPr="00490C95">
        <w:t>economictimes.indiatimes.com/tech/internet/indian-digital-payments-market-to-reach-500-bn-by-2020/articleshow/53379706.cms.</w:t>
      </w:r>
    </w:p>
    <w:p w14:paraId="011EFE80" w14:textId="732E5457" w:rsidR="00F40236" w:rsidRPr="00F40236" w:rsidRDefault="00F40236">
      <w:pPr>
        <w:pStyle w:val="EndnoteText"/>
        <w:rPr>
          <w:sz w:val="2"/>
          <w:lang w:val="en-US"/>
        </w:rPr>
      </w:pPr>
    </w:p>
  </w:endnote>
  <w:endnote w:id="28">
    <w:p w14:paraId="0DFE25B2" w14:textId="7D934EA5" w:rsidR="009629BF" w:rsidRPr="00490C95" w:rsidRDefault="009629BF" w:rsidP="0050274C">
      <w:pPr>
        <w:pStyle w:val="Footnote"/>
        <w:jc w:val="both"/>
      </w:pPr>
      <w:r w:rsidRPr="00490C95">
        <w:rPr>
          <w:rStyle w:val="EndnoteReference"/>
        </w:rPr>
        <w:endnoteRef/>
      </w:r>
      <w:r w:rsidRPr="00490C95">
        <w:t xml:space="preserve"> “</w:t>
      </w:r>
      <w:r w:rsidRPr="009F05C0">
        <w:t>How Demonetization of Indian Currency Has Led to Increased Use of Mobile Wallets</w:t>
      </w:r>
      <w:r>
        <w:t>,</w:t>
      </w:r>
      <w:r w:rsidRPr="00490C95">
        <w:t>” Tech</w:t>
      </w:r>
      <w:r w:rsidR="00FD371C">
        <w:t>N</w:t>
      </w:r>
      <w:r w:rsidRPr="00490C95">
        <w:t>avio, November 14, 2016, accessed November 25, 2016, www.technavio.com/blog/how-demonetization-indian-currency-has-led-increased-use-mobile-wallets.</w:t>
      </w:r>
    </w:p>
  </w:endnote>
  <w:endnote w:id="29">
    <w:p w14:paraId="2CB97BB7" w14:textId="5AC9C68D" w:rsidR="009629BF" w:rsidRPr="00C73715" w:rsidRDefault="009629BF" w:rsidP="0094028F">
      <w:pPr>
        <w:pStyle w:val="Footnote"/>
        <w:rPr>
          <w:lang w:val="en-IN"/>
        </w:rPr>
      </w:pPr>
      <w:r>
        <w:rPr>
          <w:rStyle w:val="EndnoteReference"/>
        </w:rPr>
        <w:endnoteRef/>
      </w:r>
      <w:r>
        <w:t xml:space="preserve"> Enterslice Team, “</w:t>
      </w:r>
      <w:r w:rsidRPr="00C73715">
        <w:t>Difference Between Closed Wallet &amp; Semi Closed Wallet</w:t>
      </w:r>
      <w:r w:rsidR="00FD371C">
        <w:t>,</w:t>
      </w:r>
      <w:r>
        <w:t xml:space="preserve">” January 10, 2018, </w:t>
      </w:r>
      <w:r w:rsidRPr="00490C95">
        <w:t xml:space="preserve">accessed </w:t>
      </w:r>
      <w:r>
        <w:t>June</w:t>
      </w:r>
      <w:r w:rsidRPr="00490C95">
        <w:t xml:space="preserve"> </w:t>
      </w:r>
      <w:r>
        <w:t>14</w:t>
      </w:r>
      <w:r w:rsidRPr="00490C95">
        <w:t>, 201</w:t>
      </w:r>
      <w:r>
        <w:t xml:space="preserve">8, </w:t>
      </w:r>
      <w:r w:rsidR="002D5671">
        <w:t>www.</w:t>
      </w:r>
      <w:r w:rsidRPr="00C73715">
        <w:t>enterslice.com/learning/difference-closed-wallet-semi-closed-wallet/</w:t>
      </w:r>
      <w:r w:rsidR="00FD371C">
        <w:t>.</w:t>
      </w:r>
    </w:p>
  </w:endnote>
  <w:endnote w:id="30">
    <w:p w14:paraId="78EDAC22" w14:textId="28EC0E45" w:rsidR="009629BF" w:rsidRPr="00F40236" w:rsidRDefault="009629BF" w:rsidP="0050274C">
      <w:pPr>
        <w:pStyle w:val="Footnote"/>
        <w:jc w:val="both"/>
      </w:pPr>
      <w:r>
        <w:rPr>
          <w:rStyle w:val="EndnoteReference"/>
        </w:rPr>
        <w:endnoteRef/>
      </w:r>
      <w:r>
        <w:t xml:space="preserve"> </w:t>
      </w:r>
      <w:r w:rsidRPr="00F40236">
        <w:t>“Who We Are,” RuPay, accessed June 6, 2018, www.rupay.co.in/who-we-are.</w:t>
      </w:r>
    </w:p>
  </w:endnote>
  <w:endnote w:id="31">
    <w:p w14:paraId="6AD86ED0" w14:textId="14474768" w:rsidR="009629BF" w:rsidRDefault="009629BF" w:rsidP="0050274C">
      <w:pPr>
        <w:pStyle w:val="Footnote"/>
        <w:jc w:val="both"/>
      </w:pPr>
      <w:r w:rsidRPr="00F40236">
        <w:rPr>
          <w:rStyle w:val="EndnoteReference"/>
        </w:rPr>
        <w:endnoteRef/>
      </w:r>
      <w:r w:rsidRPr="00F40236">
        <w:t xml:space="preserve"> </w:t>
      </w:r>
      <w:r w:rsidR="00EE09E0" w:rsidRPr="00F40236">
        <w:t xml:space="preserve">Girish Trivedi, “Mobile Payment Landscape 2016: Growth Engine for Digital Payments,” (presentation, Monk Consulting, India, n.d.), accessed November 25, 2016, </w:t>
      </w:r>
      <w:r w:rsidR="002D5671">
        <w:t>www.</w:t>
      </w:r>
      <w:r w:rsidR="00EE09E0" w:rsidRPr="00F40236">
        <w:t>monkconsulting.co.in/wp-content/uploads/2016/03/Monk-Mobile-Payments-20161.pdf</w:t>
      </w:r>
    </w:p>
  </w:endnote>
  <w:endnote w:id="32">
    <w:p w14:paraId="2752C302" w14:textId="12B0660A" w:rsidR="009629BF" w:rsidRDefault="009629BF" w:rsidP="0050274C">
      <w:pPr>
        <w:pStyle w:val="Footnote"/>
        <w:jc w:val="both"/>
      </w:pPr>
      <w:r>
        <w:rPr>
          <w:rStyle w:val="EndnoteReference"/>
        </w:rPr>
        <w:endnoteRef/>
      </w:r>
      <w:r w:rsidR="002D5671">
        <w:t xml:space="preserve"> Ibid.</w:t>
      </w:r>
    </w:p>
  </w:endnote>
  <w:endnote w:id="33">
    <w:p w14:paraId="0BC02DD8" w14:textId="33D1EA42" w:rsidR="009629BF" w:rsidRPr="00610239" w:rsidRDefault="009629BF" w:rsidP="00516BC4">
      <w:pPr>
        <w:pStyle w:val="Footnote"/>
        <w:jc w:val="both"/>
        <w:rPr>
          <w:shd w:val="clear" w:color="auto" w:fill="FFFFFF"/>
        </w:rPr>
      </w:pPr>
      <w:r w:rsidRPr="004F1F08">
        <w:rPr>
          <w:rStyle w:val="EndnoteReference"/>
        </w:rPr>
        <w:endnoteRef/>
      </w:r>
      <w:r w:rsidRPr="004F1F08">
        <w:t xml:space="preserve"> </w:t>
      </w:r>
      <w:r w:rsidR="00FD371C" w:rsidRPr="004F1F08">
        <w:t>IANS</w:t>
      </w:r>
      <w:r w:rsidRPr="004F1F08">
        <w:rPr>
          <w:lang w:val="en-IN"/>
        </w:rPr>
        <w:t>, “</w:t>
      </w:r>
      <w:r w:rsidRPr="004F1F08">
        <w:t xml:space="preserve">RBI </w:t>
      </w:r>
      <w:r w:rsidR="00FD371C" w:rsidRPr="004F1F08">
        <w:t>I</w:t>
      </w:r>
      <w:r w:rsidRPr="004F1F08">
        <w:t xml:space="preserve">ncreases e-wallet </w:t>
      </w:r>
      <w:r w:rsidR="00FD371C" w:rsidRPr="004F1F08">
        <w:t>S</w:t>
      </w:r>
      <w:r w:rsidRPr="004F1F08">
        <w:t xml:space="preserve">pend </w:t>
      </w:r>
      <w:r w:rsidR="00FD371C" w:rsidRPr="004F1F08">
        <w:t>L</w:t>
      </w:r>
      <w:r w:rsidRPr="004F1F08">
        <w:t>imit to Rs. 20,000</w:t>
      </w:r>
      <w:r w:rsidR="00FD371C" w:rsidRPr="004F1F08">
        <w:t>,</w:t>
      </w:r>
      <w:r w:rsidRPr="004F1F08">
        <w:t xml:space="preserve">” </w:t>
      </w:r>
      <w:r w:rsidR="00FD371C" w:rsidRPr="004F1F08">
        <w:rPr>
          <w:i/>
        </w:rPr>
        <w:t>The Hindu</w:t>
      </w:r>
      <w:r w:rsidR="00FD371C" w:rsidRPr="004F1F08">
        <w:t xml:space="preserve">, </w:t>
      </w:r>
      <w:r w:rsidRPr="004F1F08">
        <w:t>November 23, 2016, accessed June 14, 2018, www.thehindu.com/business/Industry/RBI-increases-e-wallet-spend-limit-to-Rs.-20000/article16686732.ece</w:t>
      </w:r>
      <w:r w:rsidR="00FD371C" w:rsidRPr="004F1F08">
        <w:t>.</w:t>
      </w:r>
    </w:p>
  </w:endnote>
  <w:endnote w:id="34">
    <w:p w14:paraId="0A95D714" w14:textId="5052ED59" w:rsidR="009629BF" w:rsidRPr="00490C95" w:rsidRDefault="009629BF" w:rsidP="00516BC4">
      <w:pPr>
        <w:pStyle w:val="Footnote"/>
        <w:jc w:val="both"/>
      </w:pPr>
      <w:r w:rsidRPr="00490C95">
        <w:rPr>
          <w:rStyle w:val="EndnoteReference"/>
        </w:rPr>
        <w:endnoteRef/>
      </w:r>
      <w:r w:rsidRPr="00490C95">
        <w:t xml:space="preserve"> </w:t>
      </w:r>
      <w:r w:rsidRPr="00516BC4">
        <w:t>Know your customer (KYC) was a process of identifying clients and understanding their financial dealings so the business (usually a bank) could serve its clients better and manage risks prudently.</w:t>
      </w:r>
    </w:p>
  </w:endnote>
  <w:endnote w:id="35">
    <w:p w14:paraId="3168DF6D" w14:textId="4B8B5795" w:rsidR="009629BF" w:rsidRPr="00E92F02" w:rsidRDefault="009629BF" w:rsidP="00516BC4">
      <w:pPr>
        <w:pStyle w:val="Footnote"/>
        <w:jc w:val="both"/>
      </w:pPr>
      <w:r w:rsidRPr="00E92F02">
        <w:rPr>
          <w:rStyle w:val="EndnoteReference"/>
        </w:rPr>
        <w:endnoteRef/>
      </w:r>
      <w:r w:rsidRPr="00490C95">
        <w:t xml:space="preserve"> </w:t>
      </w:r>
      <w:r w:rsidR="008E02B4">
        <w:t>Trivedi, op. cit.</w:t>
      </w:r>
    </w:p>
  </w:endnote>
  <w:endnote w:id="36">
    <w:p w14:paraId="0FE6E6E2" w14:textId="0D8B15FC" w:rsidR="009629BF" w:rsidRDefault="009629BF" w:rsidP="0050274C">
      <w:pPr>
        <w:pStyle w:val="Footnote"/>
        <w:jc w:val="both"/>
      </w:pPr>
      <w:r>
        <w:rPr>
          <w:rStyle w:val="EndnoteReference"/>
        </w:rPr>
        <w:endnoteRef/>
      </w:r>
      <w:r>
        <w:t xml:space="preserve"> An escrow account wa</w:t>
      </w:r>
      <w:r w:rsidRPr="006D652E">
        <w:t xml:space="preserve">s a temporary </w:t>
      </w:r>
      <w:r>
        <w:t xml:space="preserve">account held by a third </w:t>
      </w:r>
      <w:r w:rsidR="00FD371C">
        <w:t>party</w:t>
      </w:r>
      <w:r>
        <w:t xml:space="preserve"> for money deposited during the process of a transaction between two parties—in this case, the merchant and the customer.</w:t>
      </w:r>
      <w:r w:rsidRPr="00F51234">
        <w:t xml:space="preserve"> </w:t>
      </w:r>
      <w:r>
        <w:t>(</w:t>
      </w:r>
      <w:r w:rsidRPr="00490C95">
        <w:t>“Definition of ‘Escrow Account</w:t>
      </w:r>
      <w:r>
        <w:t>,</w:t>
      </w:r>
      <w:r w:rsidRPr="00490C95">
        <w:t xml:space="preserve">’” </w:t>
      </w:r>
      <w:r w:rsidRPr="0094028F">
        <w:rPr>
          <w:i/>
        </w:rPr>
        <w:t>Economic Times</w:t>
      </w:r>
      <w:r w:rsidRPr="00490C95">
        <w:t xml:space="preserve">, accessed January 3, 2016, </w:t>
      </w:r>
      <w:r w:rsidR="002D5671">
        <w:t>www.</w:t>
      </w:r>
      <w:r w:rsidRPr="00A01987">
        <w:t>economictimes.indiatimes.com/definition/escrow-account</w:t>
      </w:r>
      <w:r>
        <w:t>.)</w:t>
      </w:r>
    </w:p>
  </w:endnote>
  <w:endnote w:id="37">
    <w:p w14:paraId="561AA4C7" w14:textId="02EC30E1" w:rsidR="009629BF" w:rsidRPr="00FF54CE" w:rsidRDefault="009629BF" w:rsidP="0050274C">
      <w:pPr>
        <w:pStyle w:val="Footnote"/>
        <w:jc w:val="both"/>
        <w:rPr>
          <w:lang w:val="en-IN"/>
        </w:rPr>
      </w:pPr>
      <w:r w:rsidRPr="00C375F1">
        <w:rPr>
          <w:rStyle w:val="EndnoteReference"/>
        </w:rPr>
        <w:endnoteRef/>
      </w:r>
      <w:r>
        <w:t xml:space="preserve"> Reserve Bank of India, </w:t>
      </w:r>
      <w:r w:rsidRPr="00490C95">
        <w:t>“</w:t>
      </w:r>
      <w:r>
        <w:t xml:space="preserve">Master Circular—Policy Guidelines on Issuance and Operation of Pre-Paid Payment Instruments in India,” policy RBI/2014-2015/105, December 3, 2014, accessed June 5, 2018, </w:t>
      </w:r>
      <w:r w:rsidRPr="00A01987">
        <w:t>rbi.org.in/scripts/NotificationUser.aspx?Id=8993&amp;Mode=0#MC</w:t>
      </w:r>
      <w:r>
        <w:t>.</w:t>
      </w:r>
    </w:p>
  </w:endnote>
  <w:endnote w:id="38">
    <w:p w14:paraId="3AC3114D" w14:textId="2BD716AD" w:rsidR="009629BF" w:rsidRPr="00242479" w:rsidRDefault="009629BF" w:rsidP="0094028F">
      <w:pPr>
        <w:pStyle w:val="Footnote"/>
        <w:jc w:val="both"/>
        <w:rPr>
          <w:lang w:val="en-IN"/>
        </w:rPr>
      </w:pPr>
      <w:r>
        <w:rPr>
          <w:rStyle w:val="EndnoteReference"/>
        </w:rPr>
        <w:endnoteRef/>
      </w:r>
      <w:r>
        <w:t xml:space="preserve"> </w:t>
      </w:r>
      <w:r w:rsidRPr="003D72E4">
        <w:t xml:space="preserve">IANS, </w:t>
      </w:r>
      <w:r>
        <w:t>“</w:t>
      </w:r>
      <w:r w:rsidRPr="003D72E4">
        <w:t xml:space="preserve">Reliance Jio Money to </w:t>
      </w:r>
      <w:r>
        <w:t>L</w:t>
      </w:r>
      <w:r w:rsidRPr="003D72E4">
        <w:t xml:space="preserve">aunch </w:t>
      </w:r>
      <w:r>
        <w:t>M</w:t>
      </w:r>
      <w:r w:rsidRPr="003D72E4">
        <w:t xml:space="preserve">erchant </w:t>
      </w:r>
      <w:r>
        <w:t>A</w:t>
      </w:r>
      <w:r w:rsidRPr="003D72E4">
        <w:t>pp from Dec</w:t>
      </w:r>
      <w:r>
        <w:t xml:space="preserve"> 5</w:t>
      </w:r>
      <w:r w:rsidRPr="003D72E4">
        <w:t>,</w:t>
      </w:r>
      <w:r>
        <w:t>”</w:t>
      </w:r>
      <w:r w:rsidRPr="003D72E4">
        <w:t xml:space="preserve"> </w:t>
      </w:r>
      <w:r w:rsidR="00E553BE">
        <w:t>ET tech (</w:t>
      </w:r>
      <w:r w:rsidR="00E553BE" w:rsidRPr="0094028F">
        <w:rPr>
          <w:i/>
        </w:rPr>
        <w:t>Economic Times</w:t>
      </w:r>
      <w:r w:rsidR="00E553BE">
        <w:t xml:space="preserve">), </w:t>
      </w:r>
      <w:r w:rsidRPr="003D72E4">
        <w:t>December 1, 2016, accessed June 14, 2018,</w:t>
      </w:r>
      <w:r>
        <w:t xml:space="preserve"> </w:t>
      </w:r>
      <w:r w:rsidR="002D5671">
        <w:t>www.</w:t>
      </w:r>
      <w:r w:rsidRPr="003D72E4">
        <w:t>tech.economictimes.indiatimes.com/news/mobile/reliance-jio-money-to-launch-merchant-app-from-dec-5/55725402</w:t>
      </w:r>
      <w:r>
        <w:t>.</w:t>
      </w:r>
    </w:p>
  </w:endnote>
  <w:endnote w:id="39">
    <w:p w14:paraId="24B243E6" w14:textId="284D77F0" w:rsidR="009629BF" w:rsidRPr="00E92F02" w:rsidRDefault="009629BF" w:rsidP="0050274C">
      <w:pPr>
        <w:pStyle w:val="Footnote"/>
        <w:jc w:val="both"/>
      </w:pPr>
      <w:r w:rsidRPr="00E92F02">
        <w:rPr>
          <w:rStyle w:val="EndnoteReference"/>
        </w:rPr>
        <w:endnoteRef/>
      </w:r>
      <w:r w:rsidRPr="00E92F02">
        <w:t xml:space="preserve"> “Understanding </w:t>
      </w:r>
      <w:r w:rsidRPr="003B32E0">
        <w:t>How E-Wallet Is Changing Definition</w:t>
      </w:r>
      <w:r w:rsidRPr="00E92F02">
        <w:t xml:space="preserve"> of </w:t>
      </w:r>
      <w:r w:rsidRPr="003B32E0">
        <w:t>Transactions</w:t>
      </w:r>
      <w:r>
        <w:t>,</w:t>
      </w:r>
      <w:r w:rsidRPr="00490C95">
        <w:t xml:space="preserve">” </w:t>
      </w:r>
      <w:r>
        <w:t>Start N Excel (blog)</w:t>
      </w:r>
      <w:r w:rsidRPr="00490C95">
        <w:t>,</w:t>
      </w:r>
      <w:r w:rsidRPr="00E92F02">
        <w:t xml:space="preserve"> September 23, 201</w:t>
      </w:r>
      <w:r>
        <w:t>6</w:t>
      </w:r>
      <w:r w:rsidRPr="00E92F02">
        <w:t xml:space="preserve">, accessed </w:t>
      </w:r>
      <w:r>
        <w:t>June 7, 2018</w:t>
      </w:r>
      <w:r w:rsidRPr="00E92F02">
        <w:t xml:space="preserve">, </w:t>
      </w:r>
      <w:r w:rsidRPr="003B32E0">
        <w:t>startnexcel</w:t>
      </w:r>
      <w:r w:rsidRPr="00E92F02">
        <w:t>.com/blog/understanding-how-e-wallet-is-changing-definition-of-transactions</w:t>
      </w:r>
      <w:r w:rsidRPr="00490C95">
        <w:t>.</w:t>
      </w:r>
      <w:r>
        <w:t xml:space="preserve"> </w:t>
      </w:r>
    </w:p>
  </w:endnote>
  <w:endnote w:id="40">
    <w:p w14:paraId="3E7A19D8" w14:textId="45B019B3" w:rsidR="009629BF" w:rsidRPr="00024C13" w:rsidRDefault="009629BF" w:rsidP="0050274C">
      <w:pPr>
        <w:pStyle w:val="Footnote"/>
        <w:jc w:val="both"/>
      </w:pPr>
      <w:r w:rsidRPr="00E92F02">
        <w:rPr>
          <w:rStyle w:val="EndnoteReference"/>
        </w:rPr>
        <w:endnoteRef/>
      </w:r>
      <w:r w:rsidRPr="00490C95">
        <w:t xml:space="preserve"> “Reliance Jio Money Wal</w:t>
      </w:r>
      <w:r>
        <w:t>let Silently L</w:t>
      </w:r>
      <w:r w:rsidRPr="00490C95">
        <w:t>aunched on Google Play Store</w:t>
      </w:r>
      <w:r>
        <w:t>,</w:t>
      </w:r>
      <w:r w:rsidRPr="00490C95">
        <w:t>” Gadgets Now, May 10, 2016, accessed December 15, 2016, www.gadgetsnow.com/tech-news/Reliance-Jio-Money-Wallet-silently-launched-on-Google-Play-Store/articleshow/52207235.cms</w:t>
      </w:r>
      <w:r>
        <w:t xml:space="preserve">; </w:t>
      </w:r>
      <w:r w:rsidRPr="00E92F02">
        <w:t xml:space="preserve">“Ushering in a </w:t>
      </w:r>
      <w:r>
        <w:t>Digital R</w:t>
      </w:r>
      <w:r w:rsidRPr="00490C95">
        <w:t>evolution</w:t>
      </w:r>
      <w:r>
        <w:t>: Creating Magical Lifestyles,</w:t>
      </w:r>
      <w:r w:rsidRPr="00490C95">
        <w:t>”</w:t>
      </w:r>
      <w:r w:rsidRPr="00E92F02">
        <w:t xml:space="preserve"> Reliance Industries Limited, accessed December 15, 2016, www.ril.co</w:t>
      </w:r>
      <w:r w:rsidRPr="00641858">
        <w:t>m/ourBusinesses/Jio.aspx.</w:t>
      </w:r>
    </w:p>
  </w:endnote>
  <w:endnote w:id="41">
    <w:p w14:paraId="6D3E5134" w14:textId="6C509402" w:rsidR="009629BF" w:rsidRPr="00490C95" w:rsidRDefault="009629BF" w:rsidP="0050274C">
      <w:pPr>
        <w:pStyle w:val="Footnote"/>
        <w:jc w:val="both"/>
      </w:pPr>
      <w:r w:rsidRPr="00490C95">
        <w:rPr>
          <w:rStyle w:val="EndnoteReference"/>
        </w:rPr>
        <w:endnoteRef/>
      </w:r>
      <w:r w:rsidRPr="00490C95">
        <w:t xml:space="preserve"> </w:t>
      </w:r>
      <w:r w:rsidR="00E553BE">
        <w:t xml:space="preserve">IANS, </w:t>
      </w:r>
      <w:r>
        <w:t>“Reliance Jio Money to Launch Merchant A</w:t>
      </w:r>
      <w:r w:rsidRPr="00490C95">
        <w:t xml:space="preserve">pp from </w:t>
      </w:r>
      <w:r>
        <w:t>Dec</w:t>
      </w:r>
      <w:r w:rsidRPr="00490C95">
        <w:t xml:space="preserve"> 5</w:t>
      </w:r>
      <w:r>
        <w:t>,</w:t>
      </w:r>
      <w:r w:rsidRPr="00490C95">
        <w:t xml:space="preserve">” </w:t>
      </w:r>
      <w:r w:rsidR="00E553BE">
        <w:t>op. cit.</w:t>
      </w:r>
    </w:p>
  </w:endnote>
  <w:endnote w:id="42">
    <w:p w14:paraId="0ABE1AA6" w14:textId="758DB22D" w:rsidR="009629BF" w:rsidRPr="00E92F02" w:rsidRDefault="009629BF" w:rsidP="0050274C">
      <w:pPr>
        <w:pStyle w:val="Footnote"/>
        <w:jc w:val="both"/>
      </w:pPr>
      <w:r w:rsidRPr="00E92F02">
        <w:rPr>
          <w:rStyle w:val="EndnoteReference"/>
        </w:rPr>
        <w:endnoteRef/>
      </w:r>
      <w:r w:rsidRPr="00E92F02">
        <w:t xml:space="preserve"> Abhishek Joshi, “Reliance Jio is Coming up with Jio-Money Merchant Solutions </w:t>
      </w:r>
      <w:r>
        <w:t>f</w:t>
      </w:r>
      <w:r w:rsidRPr="00E92F02">
        <w:t>or Small Vendors &amp; Businesses,</w:t>
      </w:r>
      <w:r w:rsidRPr="00490C95">
        <w:t>”</w:t>
      </w:r>
      <w:r w:rsidRPr="00E92F02">
        <w:t xml:space="preserve"> </w:t>
      </w:r>
      <w:r>
        <w:t>T</w:t>
      </w:r>
      <w:r w:rsidRPr="00E92F02">
        <w:t xml:space="preserve">rak.in, December </w:t>
      </w:r>
      <w:r w:rsidRPr="00490C95">
        <w:t>2</w:t>
      </w:r>
      <w:r w:rsidRPr="00E92F02">
        <w:t xml:space="preserve">, 2016, accessed December 15, 2015, </w:t>
      </w:r>
      <w:r w:rsidR="002D5671">
        <w:t>www.</w:t>
      </w:r>
      <w:r w:rsidRPr="00E92F02">
        <w:t>trak.in/tags/business/2016/12/02/reliance-jio-jio-money-digital-wallet-merchant-solutions</w:t>
      </w:r>
      <w:r w:rsidRPr="00490C95">
        <w:t>.</w:t>
      </w:r>
    </w:p>
  </w:endnote>
  <w:endnote w:id="43">
    <w:p w14:paraId="3A11155E" w14:textId="34AC109D" w:rsidR="009629BF" w:rsidRPr="00E92F02" w:rsidRDefault="009629BF" w:rsidP="0050274C">
      <w:pPr>
        <w:pStyle w:val="Footnote"/>
        <w:jc w:val="both"/>
      </w:pPr>
      <w:r w:rsidRPr="00E92F02">
        <w:rPr>
          <w:rStyle w:val="EndnoteReference"/>
        </w:rPr>
        <w:endnoteRef/>
      </w:r>
      <w:r w:rsidRPr="00E92F02">
        <w:t xml:space="preserve"> </w:t>
      </w:r>
      <w:r w:rsidR="00E553BE">
        <w:t xml:space="preserve">IANS, </w:t>
      </w:r>
      <w:r w:rsidRPr="00E92F02">
        <w:t xml:space="preserve">“Reliance Jio Money to </w:t>
      </w:r>
      <w:r>
        <w:t>Launch Merchant A</w:t>
      </w:r>
      <w:r w:rsidRPr="00490C95">
        <w:t>pp</w:t>
      </w:r>
      <w:r w:rsidRPr="00E92F02">
        <w:t xml:space="preserve"> from Dec 5</w:t>
      </w:r>
      <w:r>
        <w:t>,</w:t>
      </w:r>
      <w:r w:rsidRPr="00490C95">
        <w:t>”</w:t>
      </w:r>
      <w:r>
        <w:t xml:space="preserve"> op. cit</w:t>
      </w:r>
      <w:r w:rsidRPr="00490C95">
        <w:t>.</w:t>
      </w:r>
      <w:r>
        <w:t xml:space="preserve"> </w:t>
      </w:r>
    </w:p>
  </w:endnote>
  <w:endnote w:id="44">
    <w:p w14:paraId="0EFE082F" w14:textId="5BEBE52D" w:rsidR="009629BF" w:rsidRPr="00490C95" w:rsidRDefault="009629BF" w:rsidP="0050274C">
      <w:pPr>
        <w:pStyle w:val="Footnote"/>
        <w:jc w:val="both"/>
      </w:pPr>
      <w:r w:rsidRPr="00490C95">
        <w:rPr>
          <w:rStyle w:val="EndnoteReference"/>
        </w:rPr>
        <w:endnoteRef/>
      </w:r>
      <w:r w:rsidRPr="00490C95">
        <w:t xml:space="preserve"> “Mobikwik</w:t>
      </w:r>
      <w:r>
        <w:t>,</w:t>
      </w:r>
      <w:r w:rsidRPr="00490C95">
        <w:t>” Crunchbase, accessed December 15, 2016, www.crunchbase.com/organization/mobikwik#/entity.</w:t>
      </w:r>
    </w:p>
  </w:endnote>
  <w:endnote w:id="45">
    <w:p w14:paraId="3C6D806E" w14:textId="40C4832D" w:rsidR="009629BF" w:rsidRPr="00490C95" w:rsidRDefault="009629BF" w:rsidP="0050274C">
      <w:pPr>
        <w:pStyle w:val="Footnote"/>
        <w:jc w:val="both"/>
      </w:pPr>
      <w:r w:rsidRPr="00490C95">
        <w:rPr>
          <w:rStyle w:val="EndnoteReference"/>
        </w:rPr>
        <w:endnoteRef/>
      </w:r>
      <w:r w:rsidRPr="00490C95">
        <w:t xml:space="preserve"> “</w:t>
      </w:r>
      <w:r w:rsidRPr="0048111E">
        <w:t>Mobikwik Ties up with Nhai, Customers Can Pay Toll Tax Using M-Wallet</w:t>
      </w:r>
      <w:r>
        <w:t>,</w:t>
      </w:r>
      <w:r w:rsidRPr="00490C95">
        <w:t xml:space="preserve">” DNA, November 25, 2016, accessed December 15, 2016, </w:t>
      </w:r>
      <w:r w:rsidRPr="0048111E">
        <w:t>www.dnaindia.com/money/report-mobikwik-ties-up-with-nhai-customers-can-pay-toll-tax-using-M-Wallet-2277004</w:t>
      </w:r>
      <w:r w:rsidRPr="00490C95">
        <w:t>.</w:t>
      </w:r>
    </w:p>
  </w:endnote>
  <w:endnote w:id="46">
    <w:p w14:paraId="4FE4C82A" w14:textId="03C3D986" w:rsidR="009629BF" w:rsidRPr="00490C95" w:rsidRDefault="009629BF" w:rsidP="0050274C">
      <w:pPr>
        <w:pStyle w:val="Footnote"/>
        <w:jc w:val="both"/>
      </w:pPr>
      <w:r w:rsidRPr="00490C95">
        <w:rPr>
          <w:rStyle w:val="EndnoteReference"/>
        </w:rPr>
        <w:endnoteRef/>
      </w:r>
      <w:r>
        <w:t xml:space="preserve"> Nikhil Pahwa, “Paytm, MobiKwik Allocated Prepaid Wallet Licenses by RBI; Flipkart?,” Medianama, August 12, 2013, accessed June 6, 2018, </w:t>
      </w:r>
      <w:r w:rsidRPr="005E142F">
        <w:t>www.medianama.com/2013/08/223-paytm-mobikwik-allocated-</w:t>
      </w:r>
      <w:r>
        <w:t>prepaid-wallets-by-rbi-flipkart</w:t>
      </w:r>
      <w:r w:rsidRPr="00490C95">
        <w:t>.</w:t>
      </w:r>
    </w:p>
  </w:endnote>
  <w:endnote w:id="47">
    <w:p w14:paraId="213C7BBB" w14:textId="0B7CABEB" w:rsidR="009629BF" w:rsidRPr="00E92F02" w:rsidRDefault="009629BF" w:rsidP="0050274C">
      <w:pPr>
        <w:pStyle w:val="Footnote"/>
        <w:jc w:val="both"/>
      </w:pPr>
      <w:r w:rsidRPr="00E92F02">
        <w:rPr>
          <w:rStyle w:val="EndnoteReference"/>
        </w:rPr>
        <w:endnoteRef/>
      </w:r>
      <w:r w:rsidRPr="00E92F02">
        <w:t xml:space="preserve"> </w:t>
      </w:r>
      <w:r>
        <w:rPr>
          <w:color w:val="000000"/>
        </w:rPr>
        <w:t xml:space="preserve">Company Overview of One97 Communications Limited, </w:t>
      </w:r>
      <w:r w:rsidR="00E553BE">
        <w:t xml:space="preserve">Bloomberg, </w:t>
      </w:r>
      <w:r>
        <w:t xml:space="preserve">accessed June 14, 2018, </w:t>
      </w:r>
      <w:r w:rsidRPr="000857C0">
        <w:t>www.bloomberg.com/research/stocks/private/person.asp?personId=34301210&amp;privcapId=33673384</w:t>
      </w:r>
      <w:r w:rsidRPr="00E92F02">
        <w:t>.</w:t>
      </w:r>
    </w:p>
  </w:endnote>
  <w:endnote w:id="48">
    <w:p w14:paraId="2408EF0D" w14:textId="57F9658D" w:rsidR="009629BF" w:rsidRPr="00E92F02" w:rsidRDefault="009629BF" w:rsidP="0050274C">
      <w:pPr>
        <w:pStyle w:val="Footnote"/>
        <w:jc w:val="both"/>
      </w:pPr>
      <w:r w:rsidRPr="00E92F02">
        <w:rPr>
          <w:rStyle w:val="EndnoteReference"/>
        </w:rPr>
        <w:endnoteRef/>
      </w:r>
      <w:r w:rsidRPr="00490C95">
        <w:t xml:space="preserve"> Gulveen Aulakh, “</w:t>
      </w:r>
      <w:r w:rsidRPr="003A37DA">
        <w:t>Alibaba, Ant Financial Invest about $680 Million in Paytm, up Stake to 40%</w:t>
      </w:r>
      <w:r>
        <w:t>,</w:t>
      </w:r>
      <w:r w:rsidRPr="00490C95">
        <w:t xml:space="preserve">” </w:t>
      </w:r>
      <w:r w:rsidRPr="003A37DA">
        <w:rPr>
          <w:rStyle w:val="FootnoteChar"/>
          <w:i/>
        </w:rPr>
        <w:t>Economic Times</w:t>
      </w:r>
      <w:r w:rsidRPr="00490C95">
        <w:t xml:space="preserve">, September 30, 2015, accessed December 15, 2016, </w:t>
      </w:r>
      <w:r w:rsidR="002D5671">
        <w:t>www.</w:t>
      </w:r>
      <w:r w:rsidRPr="00490C95">
        <w:t>economictimes.indiatimes.com/industry/banking/finance/banking/alibaba-ant-financial-invest-about-680-million-in-paytm-up-stake-to-40/articleshow/49148651.cms.</w:t>
      </w:r>
    </w:p>
  </w:endnote>
  <w:endnote w:id="49">
    <w:p w14:paraId="0190CC5D" w14:textId="15B9C025" w:rsidR="009629BF" w:rsidRPr="00490C95" w:rsidRDefault="009629BF" w:rsidP="0050274C">
      <w:pPr>
        <w:pStyle w:val="Footnote"/>
        <w:jc w:val="both"/>
      </w:pPr>
      <w:r w:rsidRPr="00490C95">
        <w:rPr>
          <w:rStyle w:val="EndnoteReference"/>
        </w:rPr>
        <w:endnoteRef/>
      </w:r>
      <w:r w:rsidRPr="00490C95">
        <w:t xml:space="preserve"> Digbijay Mishra, “</w:t>
      </w:r>
      <w:r w:rsidRPr="003A37DA">
        <w:t>Paytm’s Valuation Set to Hit $5b in a $300m Funding Round</w:t>
      </w:r>
      <w:r>
        <w:t>,</w:t>
      </w:r>
      <w:r w:rsidRPr="00490C95">
        <w:t xml:space="preserve">” </w:t>
      </w:r>
      <w:r w:rsidRPr="00B94B3C">
        <w:rPr>
          <w:i/>
        </w:rPr>
        <w:t>Times of India</w:t>
      </w:r>
      <w:r w:rsidRPr="00490C95">
        <w:t xml:space="preserve">, August 29, 2016, accessed December 20, 2016, </w:t>
      </w:r>
      <w:r w:rsidR="002D5671">
        <w:t>www.</w:t>
      </w:r>
      <w:r w:rsidRPr="00490C95">
        <w:t>timesofindia.indiatimes.com/venture-capital/Paytms-valuation-set-to-hit-5b-in-a-300m-funding</w:t>
      </w:r>
      <w:r>
        <w:t>-round/articleshow/53904368.cms</w:t>
      </w:r>
      <w:r w:rsidRPr="00490C95">
        <w:t>.</w:t>
      </w:r>
    </w:p>
  </w:endnote>
  <w:endnote w:id="50">
    <w:p w14:paraId="640B0A37" w14:textId="1495E92D" w:rsidR="009629BF" w:rsidRPr="006A0453" w:rsidRDefault="009629BF" w:rsidP="0050274C">
      <w:pPr>
        <w:pStyle w:val="Footnote"/>
        <w:jc w:val="both"/>
      </w:pPr>
      <w:r w:rsidRPr="00E92F02">
        <w:rPr>
          <w:rStyle w:val="EndnoteReference"/>
        </w:rPr>
        <w:endnoteRef/>
      </w:r>
      <w:r w:rsidRPr="00E92F02">
        <w:t xml:space="preserve"> Alnoor Peeremohamed, “</w:t>
      </w:r>
      <w:r w:rsidRPr="00641858">
        <w:t xml:space="preserve">Paytm </w:t>
      </w:r>
      <w:r w:rsidRPr="00F22237">
        <w:t>E</w:t>
      </w:r>
      <w:r w:rsidRPr="00E92F02">
        <w:t xml:space="preserve">xpects to </w:t>
      </w:r>
      <w:r w:rsidRPr="00F22237">
        <w:t>A</w:t>
      </w:r>
      <w:r w:rsidRPr="00E92F02">
        <w:t xml:space="preserve">dd 5,00,000 </w:t>
      </w:r>
      <w:r w:rsidRPr="00F22237">
        <w:t>Offline Merchants</w:t>
      </w:r>
      <w:r w:rsidRPr="00E92F02">
        <w:t xml:space="preserve"> in November</w:t>
      </w:r>
      <w:r>
        <w:t>,</w:t>
      </w:r>
      <w:r w:rsidRPr="00490C95">
        <w:t>”</w:t>
      </w:r>
      <w:r w:rsidRPr="00E92F02">
        <w:t xml:space="preserve"> </w:t>
      </w:r>
      <w:r w:rsidRPr="006A0453">
        <w:rPr>
          <w:i/>
        </w:rPr>
        <w:t>Business Standard</w:t>
      </w:r>
      <w:r w:rsidRPr="00E92F02">
        <w:t xml:space="preserve">, </w:t>
      </w:r>
      <w:r w:rsidRPr="00641858">
        <w:t xml:space="preserve">November 16, 2016, accessed December 20, 2016, </w:t>
      </w:r>
      <w:r w:rsidRPr="00024C13">
        <w:t>www.business-standard.com/article/companies/paytm-expects-to-add-5-00-000-offline-merchants-in-november-116111601522_1.html.</w:t>
      </w:r>
    </w:p>
  </w:endnote>
  <w:endnote w:id="51">
    <w:p w14:paraId="1693D326" w14:textId="61DB27AD" w:rsidR="009629BF" w:rsidRPr="00490C95" w:rsidRDefault="009629BF" w:rsidP="0050274C">
      <w:pPr>
        <w:pStyle w:val="Footnote"/>
        <w:jc w:val="both"/>
      </w:pPr>
      <w:r w:rsidRPr="00490C95">
        <w:rPr>
          <w:rStyle w:val="EndnoteReference"/>
        </w:rPr>
        <w:endnoteRef/>
      </w:r>
      <w:r w:rsidRPr="00490C95">
        <w:t xml:space="preserve"> </w:t>
      </w:r>
      <w:r>
        <w:t>“Oxigen Launches India’s First Mobile W</w:t>
      </w:r>
      <w:r w:rsidRPr="00490C95">
        <w:t>allet</w:t>
      </w:r>
      <w:r>
        <w:t>,</w:t>
      </w:r>
      <w:r w:rsidRPr="00490C95">
        <w:t xml:space="preserve">” Data Quest, </w:t>
      </w:r>
      <w:r>
        <w:t xml:space="preserve">August 14, 2014, </w:t>
      </w:r>
      <w:r w:rsidRPr="00490C95">
        <w:t xml:space="preserve">accessed December 20, 2016, </w:t>
      </w:r>
      <w:r w:rsidRPr="00F041B9">
        <w:t>www.dqindia.com/oxigen-launches-india-s-mobile-wallet</w:t>
      </w:r>
      <w:r w:rsidRPr="00490C95">
        <w:t>.</w:t>
      </w:r>
    </w:p>
  </w:endnote>
  <w:endnote w:id="52">
    <w:p w14:paraId="40181340" w14:textId="561F2D00" w:rsidR="009629BF" w:rsidRPr="00024C13" w:rsidRDefault="009629BF" w:rsidP="0050274C">
      <w:pPr>
        <w:pStyle w:val="Footnote"/>
        <w:jc w:val="both"/>
      </w:pPr>
      <w:r w:rsidRPr="00E92F02">
        <w:rPr>
          <w:rStyle w:val="EndnoteReference"/>
        </w:rPr>
        <w:endnoteRef/>
      </w:r>
      <w:r w:rsidRPr="00E92F02">
        <w:t xml:space="preserve"> “About Oxigen</w:t>
      </w:r>
      <w:r>
        <w:t>,</w:t>
      </w:r>
      <w:r w:rsidRPr="00490C95">
        <w:t>”</w:t>
      </w:r>
      <w:r w:rsidRPr="00E92F02">
        <w:t xml:space="preserve"> Oxigen, accessed December 20, 2016, www.myoxigen.com/about-us/index.php</w:t>
      </w:r>
      <w:r w:rsidRPr="00641858">
        <w:t>.</w:t>
      </w:r>
    </w:p>
  </w:endnote>
  <w:endnote w:id="53">
    <w:p w14:paraId="76A74BCC" w14:textId="7EB356FA" w:rsidR="009629BF" w:rsidRPr="00E92F02" w:rsidRDefault="009629BF" w:rsidP="0050274C">
      <w:pPr>
        <w:pStyle w:val="Footnote"/>
        <w:jc w:val="both"/>
      </w:pPr>
      <w:r w:rsidRPr="00024C13">
        <w:rPr>
          <w:rStyle w:val="EndnoteReference"/>
        </w:rPr>
        <w:endnoteRef/>
      </w:r>
      <w:r>
        <w:t xml:space="preserve"> </w:t>
      </w:r>
      <w:r w:rsidRPr="00E92F02">
        <w:t xml:space="preserve">“Best 5 </w:t>
      </w:r>
      <w:r w:rsidRPr="00B814B4">
        <w:t>Mobile Wallets</w:t>
      </w:r>
      <w:r w:rsidRPr="00E92F02">
        <w:t xml:space="preserve"> for </w:t>
      </w:r>
      <w:r w:rsidRPr="00B814B4">
        <w:t>Online Payments</w:t>
      </w:r>
      <w:r w:rsidRPr="00E92F02">
        <w:t xml:space="preserve"> in </w:t>
      </w:r>
      <w:r w:rsidRPr="00B814B4">
        <w:t>India</w:t>
      </w:r>
      <w:r>
        <w:t>,</w:t>
      </w:r>
      <w:r w:rsidRPr="00490C95">
        <w:t>”</w:t>
      </w:r>
      <w:r>
        <w:t xml:space="preserve"> Am</w:t>
      </w:r>
      <w:r w:rsidRPr="00490C95">
        <w:t>percent</w:t>
      </w:r>
      <w:r w:rsidRPr="00E92F02">
        <w:t>, accessed December 15, 2016, www.ampercent.com/best-5-mobile-wallets-for-online-payments-in-india/16425/.</w:t>
      </w:r>
      <w:r>
        <w:t xml:space="preserve"> </w:t>
      </w:r>
    </w:p>
  </w:endnote>
  <w:endnote w:id="54">
    <w:p w14:paraId="0B13D13E" w14:textId="120D10D4" w:rsidR="009629BF" w:rsidRPr="00641858" w:rsidRDefault="009629BF" w:rsidP="0050274C">
      <w:pPr>
        <w:pStyle w:val="Footnote"/>
        <w:jc w:val="both"/>
      </w:pPr>
      <w:r w:rsidRPr="00E92F02">
        <w:rPr>
          <w:rStyle w:val="EndnoteReference"/>
        </w:rPr>
        <w:endnoteRef/>
      </w:r>
      <w:r w:rsidRPr="00641858">
        <w:t xml:space="preserve"> “</w:t>
      </w:r>
      <w:r w:rsidRPr="00024C13">
        <w:t xml:space="preserve">Oxigen </w:t>
      </w:r>
      <w:r w:rsidRPr="00F041B9">
        <w:t>Wallet Dares People</w:t>
      </w:r>
      <w:r w:rsidRPr="00E92F02">
        <w:t xml:space="preserve"> to </w:t>
      </w:r>
      <w:r w:rsidRPr="00F041B9">
        <w:t>Go Cashless</w:t>
      </w:r>
      <w:r w:rsidRPr="00E92F02">
        <w:t xml:space="preserve"> with </w:t>
      </w:r>
      <w:r w:rsidRPr="00F041B9">
        <w:t>Its New Campaign</w:t>
      </w:r>
      <w:r>
        <w:t>,</w:t>
      </w:r>
      <w:r w:rsidRPr="00490C95">
        <w:t>”</w:t>
      </w:r>
      <w:r w:rsidRPr="00E92F02">
        <w:t xml:space="preserve"> </w:t>
      </w:r>
      <w:r w:rsidRPr="006A0453">
        <w:rPr>
          <w:rStyle w:val="FootnoteChar"/>
          <w:i/>
        </w:rPr>
        <w:t>Economic Times</w:t>
      </w:r>
      <w:r w:rsidRPr="00E92F02">
        <w:t xml:space="preserve">, March </w:t>
      </w:r>
      <w:r w:rsidRPr="00490C95">
        <w:t>4</w:t>
      </w:r>
      <w:r w:rsidRPr="00E92F02">
        <w:t xml:space="preserve">, 2016, accessed December 15, 2016, </w:t>
      </w:r>
      <w:r w:rsidR="002D5671">
        <w:t>www.</w:t>
      </w:r>
      <w:r w:rsidRPr="00E92F02">
        <w:t>economictimes.indiatimes.com/small-biz/startups/oxigen-wallet-dares-people-to-go-cashless-with-its-new-campaign/articleshow/51257837.cms.</w:t>
      </w:r>
    </w:p>
  </w:endnote>
  <w:endnote w:id="55">
    <w:p w14:paraId="124EDC04" w14:textId="2CF4C2D7" w:rsidR="009629BF" w:rsidRPr="00E92F02" w:rsidRDefault="009629BF" w:rsidP="0050274C">
      <w:pPr>
        <w:pStyle w:val="Footnote"/>
        <w:jc w:val="both"/>
      </w:pPr>
      <w:r w:rsidRPr="00024C13">
        <w:rPr>
          <w:rStyle w:val="EndnoteReference"/>
        </w:rPr>
        <w:endnoteRef/>
      </w:r>
      <w:r w:rsidRPr="00024C13">
        <w:t xml:space="preserve"> Mehak Sharma, “Demonetization </w:t>
      </w:r>
      <w:r w:rsidRPr="005E5410">
        <w:t>Impact</w:t>
      </w:r>
      <w:r>
        <w:t xml:space="preserve">: </w:t>
      </w:r>
      <w:r w:rsidRPr="005E5410">
        <w:t>Offline Retailers Play</w:t>
      </w:r>
      <w:r w:rsidRPr="00E92F02">
        <w:t xml:space="preserve"> the </w:t>
      </w:r>
      <w:r w:rsidRPr="005E5410">
        <w:t>Digital Card</w:t>
      </w:r>
      <w:r w:rsidRPr="00E92F02">
        <w:t xml:space="preserve"> to </w:t>
      </w:r>
      <w:r w:rsidRPr="005E5410">
        <w:t>Counter Drop</w:t>
      </w:r>
      <w:r w:rsidRPr="00E92F02">
        <w:t xml:space="preserve"> in </w:t>
      </w:r>
      <w:r w:rsidRPr="005E5410">
        <w:t>Sales</w:t>
      </w:r>
      <w:r>
        <w:t>,”</w:t>
      </w:r>
      <w:r w:rsidRPr="00490C95">
        <w:t xml:space="preserve"> India</w:t>
      </w:r>
      <w:r>
        <w:t xml:space="preserve"> R</w:t>
      </w:r>
      <w:r w:rsidRPr="00490C95">
        <w:t>etailing</w:t>
      </w:r>
      <w:r w:rsidRPr="00E92F02">
        <w:t>, November 10, 2016, accessed December 15, 2016, www.indiaretailing.com/2016/11/10/retail/demonetization-impact-offline-retailers-play-the-digital-card-to-counter-drop-in-sal</w:t>
      </w:r>
      <w:r w:rsidRPr="00641858">
        <w:t>es</w:t>
      </w:r>
      <w:r w:rsidRPr="00490C95">
        <w:t>.</w:t>
      </w:r>
    </w:p>
  </w:endnote>
  <w:endnote w:id="56">
    <w:p w14:paraId="765B4A89" w14:textId="564E0E41" w:rsidR="009629BF" w:rsidRPr="00641858" w:rsidRDefault="009629BF" w:rsidP="0050274C">
      <w:pPr>
        <w:pStyle w:val="Footnote"/>
        <w:jc w:val="both"/>
      </w:pPr>
      <w:r w:rsidRPr="00E92F02">
        <w:rPr>
          <w:rStyle w:val="EndnoteReference"/>
        </w:rPr>
        <w:endnoteRef/>
      </w:r>
      <w:r w:rsidRPr="00641858">
        <w:t xml:space="preserve"> “</w:t>
      </w:r>
      <w:r w:rsidRPr="00024C13">
        <w:rPr>
          <w:color w:val="000000"/>
          <w:spacing w:val="-2"/>
          <w:shd w:val="clear" w:color="auto" w:fill="FFFFFF"/>
        </w:rPr>
        <w:t xml:space="preserve">M-Wallet </w:t>
      </w:r>
      <w:r w:rsidRPr="005724F9">
        <w:rPr>
          <w:color w:val="000000"/>
          <w:spacing w:val="-2"/>
          <w:shd w:val="clear" w:color="auto" w:fill="FFFFFF"/>
        </w:rPr>
        <w:t>Spending Witnesses Huge Jump Post-Demonetisation</w:t>
      </w:r>
      <w:r w:rsidRPr="00E92F02">
        <w:rPr>
          <w:color w:val="000000"/>
          <w:spacing w:val="-2"/>
          <w:shd w:val="clear" w:color="auto" w:fill="FFFFFF"/>
        </w:rPr>
        <w:t>: ASSOCHAM</w:t>
      </w:r>
      <w:r>
        <w:rPr>
          <w:color w:val="000000"/>
          <w:spacing w:val="-2"/>
          <w:shd w:val="clear" w:color="auto" w:fill="FFFFFF"/>
        </w:rPr>
        <w:t>,</w:t>
      </w:r>
      <w:r w:rsidRPr="00490C95">
        <w:rPr>
          <w:color w:val="000000"/>
          <w:spacing w:val="-2"/>
          <w:shd w:val="clear" w:color="auto" w:fill="FFFFFF"/>
        </w:rPr>
        <w:t>” Web</w:t>
      </w:r>
      <w:r>
        <w:rPr>
          <w:color w:val="000000"/>
          <w:spacing w:val="-2"/>
          <w:shd w:val="clear" w:color="auto" w:fill="FFFFFF"/>
        </w:rPr>
        <w:t xml:space="preserve"> I</w:t>
      </w:r>
      <w:r w:rsidRPr="00490C95">
        <w:rPr>
          <w:color w:val="000000"/>
          <w:spacing w:val="-2"/>
          <w:shd w:val="clear" w:color="auto" w:fill="FFFFFF"/>
        </w:rPr>
        <w:t>ndia</w:t>
      </w:r>
      <w:r>
        <w:rPr>
          <w:color w:val="000000"/>
          <w:spacing w:val="-2"/>
          <w:shd w:val="clear" w:color="auto" w:fill="FFFFFF"/>
        </w:rPr>
        <w:t xml:space="preserve"> </w:t>
      </w:r>
      <w:r w:rsidRPr="00490C95">
        <w:rPr>
          <w:color w:val="000000"/>
          <w:spacing w:val="-2"/>
          <w:shd w:val="clear" w:color="auto" w:fill="FFFFFF"/>
        </w:rPr>
        <w:t>123</w:t>
      </w:r>
      <w:r w:rsidRPr="00E92F02">
        <w:rPr>
          <w:color w:val="000000"/>
          <w:spacing w:val="-2"/>
          <w:shd w:val="clear" w:color="auto" w:fill="FFFFFF"/>
        </w:rPr>
        <w:t xml:space="preserve">, </w:t>
      </w:r>
      <w:r w:rsidRPr="00E92F02">
        <w:t xml:space="preserve">December 27, 2016, accessed December 28, 2016, </w:t>
      </w:r>
      <w:r w:rsidR="002D5671">
        <w:t>www.</w:t>
      </w:r>
      <w:r w:rsidRPr="00E92F02">
        <w:t>news.webindia123.com/news/articles/India/20161227/3021322.html.</w:t>
      </w:r>
    </w:p>
  </w:endnote>
  <w:endnote w:id="57">
    <w:p w14:paraId="76B12A1E" w14:textId="56B3DF08" w:rsidR="009629BF" w:rsidRPr="00641858" w:rsidRDefault="009629BF" w:rsidP="0050274C">
      <w:pPr>
        <w:pStyle w:val="Footnote"/>
        <w:jc w:val="both"/>
      </w:pPr>
      <w:r w:rsidRPr="00024C13">
        <w:rPr>
          <w:rStyle w:val="EndnoteReference"/>
        </w:rPr>
        <w:endnoteRef/>
      </w:r>
      <w:r w:rsidRPr="00E92F02">
        <w:rPr>
          <w:color w:val="000000"/>
        </w:rPr>
        <w:t xml:space="preserve"> “Demonetisation: Why </w:t>
      </w:r>
      <w:r w:rsidRPr="005724F9">
        <w:rPr>
          <w:color w:val="000000"/>
        </w:rPr>
        <w:t>S</w:t>
      </w:r>
      <w:r w:rsidRPr="00E92F02">
        <w:rPr>
          <w:color w:val="000000"/>
        </w:rPr>
        <w:t xml:space="preserve">hould Paytm </w:t>
      </w:r>
      <w:r w:rsidRPr="005724F9">
        <w:rPr>
          <w:color w:val="000000"/>
        </w:rPr>
        <w:t>Have All</w:t>
      </w:r>
      <w:r w:rsidRPr="00E92F02">
        <w:rPr>
          <w:color w:val="000000"/>
        </w:rPr>
        <w:t xml:space="preserve"> the </w:t>
      </w:r>
      <w:r w:rsidRPr="005724F9">
        <w:rPr>
          <w:color w:val="000000"/>
        </w:rPr>
        <w:t>F</w:t>
      </w:r>
      <w:r w:rsidRPr="00E92F02">
        <w:rPr>
          <w:color w:val="000000"/>
        </w:rPr>
        <w:t xml:space="preserve">un! It's </w:t>
      </w:r>
      <w:r w:rsidRPr="005724F9">
        <w:rPr>
          <w:color w:val="000000"/>
        </w:rPr>
        <w:t>T</w:t>
      </w:r>
      <w:r w:rsidRPr="00E92F02">
        <w:rPr>
          <w:color w:val="000000"/>
        </w:rPr>
        <w:t>ime for Jio Money</w:t>
      </w:r>
      <w:r>
        <w:rPr>
          <w:color w:val="000000"/>
        </w:rPr>
        <w:t>,</w:t>
      </w:r>
      <w:r w:rsidRPr="00490C95">
        <w:rPr>
          <w:color w:val="000000"/>
        </w:rPr>
        <w:t>”</w:t>
      </w:r>
      <w:r w:rsidRPr="00E92F02">
        <w:rPr>
          <w:color w:val="000000"/>
          <w:spacing w:val="-2"/>
          <w:shd w:val="clear" w:color="auto" w:fill="FFFFFF"/>
        </w:rPr>
        <w:t xml:space="preserve"> Business Today, </w:t>
      </w:r>
      <w:r w:rsidRPr="00E92F02">
        <w:t xml:space="preserve">December </w:t>
      </w:r>
      <w:r w:rsidRPr="00490C95">
        <w:t>2</w:t>
      </w:r>
      <w:r w:rsidRPr="00E92F02">
        <w:t>, 2016, accessed December 28, 2016, www.businesstoday.in/sectors/telecom/demonetisation-why-should-paytm-have-all-the-fun-its-time-for-jio-money/story/241512.html.</w:t>
      </w:r>
    </w:p>
  </w:endnote>
  <w:endnote w:id="58">
    <w:p w14:paraId="46B04D75" w14:textId="491ED390" w:rsidR="009629BF" w:rsidRPr="00024C13" w:rsidRDefault="009629BF" w:rsidP="0050274C">
      <w:pPr>
        <w:pStyle w:val="Footnote"/>
        <w:jc w:val="both"/>
      </w:pPr>
      <w:r w:rsidRPr="00024C13">
        <w:rPr>
          <w:rStyle w:val="EndnoteReference"/>
        </w:rPr>
        <w:endnoteRef/>
      </w:r>
      <w:r w:rsidRPr="00024C13">
        <w:t xml:space="preserve"> Aparna Piramal Raje, “The </w:t>
      </w:r>
      <w:r>
        <w:t>E</w:t>
      </w:r>
      <w:r w:rsidRPr="00E92F02">
        <w:t xml:space="preserve">ffect of </w:t>
      </w:r>
      <w:r>
        <w:t>D</w:t>
      </w:r>
      <w:r w:rsidRPr="00490C95">
        <w:t>emonetization</w:t>
      </w:r>
      <w:r>
        <w:t>: Paytm’s Vijay Shekhar Sharma Claims Huge Increase in Customers,</w:t>
      </w:r>
      <w:r w:rsidRPr="00490C95">
        <w:t>”</w:t>
      </w:r>
      <w:r>
        <w:t xml:space="preserve"> Live</w:t>
      </w:r>
      <w:r w:rsidRPr="00490C95">
        <w:t>Mint</w:t>
      </w:r>
      <w:r w:rsidRPr="00E92F02">
        <w:t>, November 20, 2016, accessed December 28, 2016, www.livemint.com/Leisure/YwOB4yvLYlvB1zQHH4NHgM/The-effect-of-demonetization.html</w:t>
      </w:r>
      <w:r w:rsidRPr="00641858">
        <w:t>.</w:t>
      </w:r>
    </w:p>
  </w:endnote>
  <w:endnote w:id="59">
    <w:p w14:paraId="5D61A89B" w14:textId="035971CF" w:rsidR="009629BF" w:rsidRPr="00E92F02" w:rsidRDefault="009629BF" w:rsidP="0050274C">
      <w:pPr>
        <w:pStyle w:val="Footnote"/>
        <w:jc w:val="both"/>
      </w:pPr>
      <w:r w:rsidRPr="00024C13">
        <w:rPr>
          <w:rStyle w:val="EndnoteReference"/>
        </w:rPr>
        <w:endnoteRef/>
      </w:r>
      <w:r w:rsidRPr="00E92F02">
        <w:t xml:space="preserve"> “Paytm </w:t>
      </w:r>
      <w:r w:rsidRPr="0037589C">
        <w:t>R</w:t>
      </w:r>
      <w:r w:rsidRPr="00E92F02">
        <w:t xml:space="preserve">egisters over 7 </w:t>
      </w:r>
      <w:r w:rsidRPr="0037589C">
        <w:t>Million Transactions Worth</w:t>
      </w:r>
      <w:r w:rsidRPr="00E92F02">
        <w:t xml:space="preserve"> Rs 120 </w:t>
      </w:r>
      <w:r w:rsidRPr="0037589C">
        <w:t>C</w:t>
      </w:r>
      <w:r w:rsidRPr="00E92F02">
        <w:t xml:space="preserve">rore in a </w:t>
      </w:r>
      <w:r w:rsidRPr="0037589C">
        <w:t>D</w:t>
      </w:r>
      <w:r w:rsidRPr="00E92F02">
        <w:t>ay,</w:t>
      </w:r>
      <w:r w:rsidRPr="00490C95">
        <w:t>”</w:t>
      </w:r>
      <w:r w:rsidRPr="00E92F02">
        <w:t xml:space="preserve"> BGR, November 21, 2016, accessed December 28, 2016, www.bgr.in/news/paytm-registers-over-7-million-transactions-worth-rs-120-crore-in-a-day</w:t>
      </w:r>
      <w:r w:rsidRPr="00490C95">
        <w:t>.</w:t>
      </w:r>
    </w:p>
  </w:endnote>
  <w:endnote w:id="60">
    <w:p w14:paraId="068E2C90" w14:textId="5976F301" w:rsidR="009629BF" w:rsidRPr="00E92F02" w:rsidRDefault="009629BF" w:rsidP="0050274C">
      <w:pPr>
        <w:pStyle w:val="Footnote"/>
        <w:jc w:val="both"/>
      </w:pPr>
      <w:r w:rsidRPr="00E92F02">
        <w:rPr>
          <w:rStyle w:val="EndnoteReference"/>
        </w:rPr>
        <w:endnoteRef/>
      </w:r>
      <w:r w:rsidRPr="00641858">
        <w:t xml:space="preserve"> Pratik Bhakta, “Post Demonetization, Plastic Transactions Jump 25% Per Month</w:t>
      </w:r>
      <w:r>
        <w:t>,</w:t>
      </w:r>
      <w:r w:rsidRPr="00490C95">
        <w:t xml:space="preserve">” </w:t>
      </w:r>
      <w:r>
        <w:t>AdAge,</w:t>
      </w:r>
      <w:r w:rsidRPr="00E92F02">
        <w:t xml:space="preserve"> November 27, 2016, accessed December 28, 2016,</w:t>
      </w:r>
      <w:r>
        <w:t xml:space="preserve"> </w:t>
      </w:r>
      <w:r w:rsidRPr="0050274C">
        <w:t>www.adageindia.in/marketing/news/post-demonetization-plastic-transactions-jump-25-per-month/articleshow/56199936.cms</w:t>
      </w:r>
      <w:r>
        <w:t>.</w:t>
      </w:r>
    </w:p>
  </w:endnote>
  <w:endnote w:id="61">
    <w:p w14:paraId="17503328" w14:textId="48DC1FBA" w:rsidR="009629BF" w:rsidRPr="00E92F02" w:rsidRDefault="009629BF" w:rsidP="0050274C">
      <w:pPr>
        <w:pStyle w:val="Footnote"/>
        <w:jc w:val="both"/>
      </w:pPr>
      <w:r w:rsidRPr="00E92F02">
        <w:rPr>
          <w:rStyle w:val="EndnoteReference"/>
        </w:rPr>
        <w:endnoteRef/>
      </w:r>
      <w:r w:rsidRPr="00641858">
        <w:t xml:space="preserve"> Daniel Van Boom, “</w:t>
      </w:r>
      <w:r w:rsidRPr="00024C13">
        <w:t xml:space="preserve">India's </w:t>
      </w:r>
      <w:r w:rsidRPr="005724F9">
        <w:t>Cash Shortage Leads</w:t>
      </w:r>
      <w:r w:rsidRPr="00E92F02">
        <w:t xml:space="preserve"> to </w:t>
      </w:r>
      <w:r w:rsidRPr="005724F9">
        <w:t>Huge Boost</w:t>
      </w:r>
      <w:r w:rsidRPr="00E92F02">
        <w:t xml:space="preserve"> in </w:t>
      </w:r>
      <w:r w:rsidRPr="005724F9">
        <w:t>E-Payments</w:t>
      </w:r>
      <w:r>
        <w:t>,</w:t>
      </w:r>
      <w:r w:rsidRPr="00490C95">
        <w:t>”</w:t>
      </w:r>
      <w:r w:rsidRPr="00E92F02">
        <w:t xml:space="preserve"> CNET, December 14, 2016</w:t>
      </w:r>
      <w:r>
        <w:t>,</w:t>
      </w:r>
      <w:r w:rsidRPr="00E92F02">
        <w:t xml:space="preserve"> accessed December 27, 2016, www.cnet.com/news/india-trades</w:t>
      </w:r>
      <w:r w:rsidRPr="00641858">
        <w:t>-cash-money-for-digital-wallets</w:t>
      </w:r>
      <w:r w:rsidRPr="00490C95">
        <w:t>.</w:t>
      </w:r>
    </w:p>
  </w:endnote>
  <w:endnote w:id="62">
    <w:p w14:paraId="6F243D30" w14:textId="77E75DB4" w:rsidR="009629BF" w:rsidRPr="00490C95" w:rsidRDefault="009629BF" w:rsidP="0050274C">
      <w:pPr>
        <w:pStyle w:val="Footnote"/>
        <w:jc w:val="both"/>
      </w:pPr>
      <w:r w:rsidRPr="00490C95">
        <w:rPr>
          <w:rStyle w:val="EndnoteReference"/>
        </w:rPr>
        <w:endnoteRef/>
      </w:r>
      <w:r>
        <w:t xml:space="preserve"> </w:t>
      </w:r>
      <w:r w:rsidRPr="00490C95">
        <w:t>Sambit Satpathy, “</w:t>
      </w:r>
      <w:r w:rsidRPr="005724F9">
        <w:t>Demonetization Effect: Rbi Doubles the Limit on Digital Wallets to Rs 20,000 per Month</w:t>
      </w:r>
      <w:r>
        <w:t>,</w:t>
      </w:r>
      <w:r w:rsidRPr="00490C95">
        <w:t>” BGR, November 23, 2016 accessed December 27, 2016, www.bgr.in/news/demonetization-effect-rbi-doubles-the-limit-on-digita</w:t>
      </w:r>
      <w:r>
        <w:t>l-wallets-to-rs-20000-per-month</w:t>
      </w:r>
      <w:r w:rsidRPr="00490C95">
        <w:t>.</w:t>
      </w:r>
    </w:p>
  </w:endnote>
  <w:endnote w:id="63">
    <w:p w14:paraId="7B04D19A" w14:textId="32F23001" w:rsidR="009629BF" w:rsidRPr="005427D3" w:rsidRDefault="009629BF" w:rsidP="0050274C">
      <w:pPr>
        <w:pStyle w:val="Footnote"/>
        <w:jc w:val="both"/>
      </w:pPr>
      <w:r w:rsidRPr="00E92F02">
        <w:rPr>
          <w:rStyle w:val="EndnoteReference"/>
        </w:rPr>
        <w:endnoteRef/>
      </w:r>
      <w:r w:rsidRPr="00E92F02">
        <w:rPr>
          <w:b/>
          <w:color w:val="000000"/>
        </w:rPr>
        <w:t xml:space="preserve"> </w:t>
      </w:r>
      <w:r w:rsidR="00847635" w:rsidRPr="0094028F">
        <w:rPr>
          <w:color w:val="000000"/>
        </w:rPr>
        <w:t>Wade</w:t>
      </w:r>
      <w:r w:rsidR="00847635">
        <w:rPr>
          <w:b/>
          <w:color w:val="000000"/>
        </w:rPr>
        <w:t xml:space="preserve"> </w:t>
      </w:r>
      <w:r w:rsidRPr="006A0453">
        <w:t>Shepard, op. cit.</w:t>
      </w:r>
      <w:r>
        <w:rPr>
          <w:b/>
          <w:color w:val="000000"/>
        </w:rPr>
        <w:t xml:space="preserve"> </w:t>
      </w:r>
    </w:p>
  </w:endnote>
  <w:endnote w:id="64">
    <w:p w14:paraId="269ABD62" w14:textId="43C73B35" w:rsidR="009629BF" w:rsidRPr="00490C95" w:rsidRDefault="009629BF" w:rsidP="0050274C">
      <w:pPr>
        <w:pStyle w:val="Footnote"/>
        <w:jc w:val="both"/>
      </w:pPr>
      <w:r w:rsidRPr="00490C95">
        <w:rPr>
          <w:rStyle w:val="EndnoteReference"/>
        </w:rPr>
        <w:endnoteRef/>
      </w:r>
      <w:r w:rsidRPr="00490C95">
        <w:t xml:space="preserve"> Poulomi Das, “</w:t>
      </w:r>
      <w:r w:rsidRPr="00BD6CBE">
        <w:t>Demonetisation Effect: Reliance Jio Offers Crazy Deals to Fight Cash Ban</w:t>
      </w:r>
      <w:r>
        <w:t>,” Business I</w:t>
      </w:r>
      <w:r w:rsidRPr="00490C95">
        <w:t xml:space="preserve">nsider India, November 22, 2016, accessed December 27, 2016, </w:t>
      </w:r>
      <w:r w:rsidRPr="00A01987">
        <w:t>www.businessinsider.in/Demonetisation-effect-Reliance-Jio-offers-crazy-deals-to-fight-cash-ban/articleshow/55564608.cms</w:t>
      </w:r>
      <w:r w:rsidRPr="00490C95">
        <w:t>.</w:t>
      </w:r>
    </w:p>
  </w:endnote>
  <w:endnote w:id="65">
    <w:p w14:paraId="70B58A5B" w14:textId="3FB9F5BE" w:rsidR="009629BF" w:rsidRPr="00D02D53" w:rsidRDefault="009629BF" w:rsidP="0094028F">
      <w:pPr>
        <w:pStyle w:val="Footnote"/>
        <w:jc w:val="both"/>
        <w:rPr>
          <w:lang w:val="en-IN"/>
        </w:rPr>
      </w:pPr>
      <w:r>
        <w:rPr>
          <w:rStyle w:val="EndnoteReference"/>
        </w:rPr>
        <w:endnoteRef/>
      </w:r>
      <w:r>
        <w:t xml:space="preserve"> </w:t>
      </w:r>
      <w:r w:rsidR="00847635">
        <w:t xml:space="preserve">Payments &amp; Cards Network, </w:t>
      </w:r>
      <w:r>
        <w:t>“</w:t>
      </w:r>
      <w:r w:rsidRPr="00D02D53">
        <w:t>Mobile Wallets</w:t>
      </w:r>
      <w:r w:rsidR="00847635">
        <w:t>:</w:t>
      </w:r>
      <w:r w:rsidRPr="00D02D53">
        <w:t xml:space="preserve"> The </w:t>
      </w:r>
      <w:r w:rsidR="00847635">
        <w:t>F</w:t>
      </w:r>
      <w:r w:rsidRPr="00D02D53">
        <w:t xml:space="preserve">uture of </w:t>
      </w:r>
      <w:r w:rsidR="00847635">
        <w:t>C</w:t>
      </w:r>
      <w:r w:rsidRPr="00D02D53">
        <w:t xml:space="preserve">ustomer </w:t>
      </w:r>
      <w:r w:rsidR="00847635">
        <w:t>E</w:t>
      </w:r>
      <w:r w:rsidRPr="00D02D53">
        <w:t>xperience</w:t>
      </w:r>
      <w:r w:rsidR="00847635">
        <w:t>,</w:t>
      </w:r>
      <w:r>
        <w:t>”</w:t>
      </w:r>
      <w:r w:rsidRPr="00D02D53">
        <w:t xml:space="preserve"> </w:t>
      </w:r>
      <w:r w:rsidR="00847635" w:rsidRPr="0094028F">
        <w:rPr>
          <w:i/>
        </w:rPr>
        <w:t>PCM</w:t>
      </w:r>
      <w:r w:rsidR="00847635">
        <w:t xml:space="preserve"> 3, no. 4,</w:t>
      </w:r>
      <w:r>
        <w:t xml:space="preserve"> </w:t>
      </w:r>
      <w:r w:rsidRPr="00E92F02">
        <w:t xml:space="preserve">accessed </w:t>
      </w:r>
      <w:r>
        <w:t>June</w:t>
      </w:r>
      <w:r w:rsidRPr="00E92F02">
        <w:t xml:space="preserve"> </w:t>
      </w:r>
      <w:r>
        <w:t>14</w:t>
      </w:r>
      <w:r w:rsidRPr="00E92F02">
        <w:t>, 201</w:t>
      </w:r>
      <w:r>
        <w:t>8</w:t>
      </w:r>
      <w:r w:rsidR="00847635">
        <w:t xml:space="preserve">, </w:t>
      </w:r>
      <w:r w:rsidRPr="00D02D53">
        <w:t>www.teampcn.com/downloads/PCM_eMagazine/PCM%20Vol.3%20-%20Issue%204.pdf</w:t>
      </w:r>
      <w:r>
        <w:t>.</w:t>
      </w:r>
    </w:p>
  </w:endnote>
  <w:endnote w:id="66">
    <w:p w14:paraId="210334A2" w14:textId="1A4B5023" w:rsidR="009629BF" w:rsidRPr="00641858" w:rsidRDefault="009629BF" w:rsidP="0050274C">
      <w:pPr>
        <w:pStyle w:val="Footnote"/>
        <w:jc w:val="both"/>
      </w:pPr>
      <w:r w:rsidRPr="00641858">
        <w:rPr>
          <w:rStyle w:val="EndnoteReference"/>
        </w:rPr>
        <w:endnoteRef/>
      </w:r>
      <w:r w:rsidRPr="00490C95">
        <w:t xml:space="preserve"> “</w:t>
      </w:r>
      <w:r w:rsidRPr="005724F9">
        <w:t>Not All Scrapped Currency Will Be Remonetized</w:t>
      </w:r>
      <w:r>
        <w:t>,</w:t>
      </w:r>
      <w:r w:rsidRPr="00490C95">
        <w:t>” On</w:t>
      </w:r>
      <w:r>
        <w:t xml:space="preserve"> M</w:t>
      </w:r>
      <w:r w:rsidRPr="00490C95">
        <w:t>anorama</w:t>
      </w:r>
      <w:r w:rsidRPr="00E92F02">
        <w:t xml:space="preserve">, December 17, 2016, accessed December 25, 2016, </w:t>
      </w:r>
      <w:r w:rsidR="002D5671">
        <w:t>www.</w:t>
      </w:r>
      <w:r w:rsidRPr="00E92F02">
        <w:t>english.manoramaonline.com/in-depth/demonetization-rs-1000-500-black-money/jaitley-hints-not-all-scrapped-currency-will-be-remonetized.html.</w:t>
      </w:r>
    </w:p>
  </w:endnote>
  <w:endnote w:id="67">
    <w:p w14:paraId="1306E034" w14:textId="7283F916" w:rsidR="009629BF" w:rsidRPr="00641858" w:rsidRDefault="009629BF" w:rsidP="0050274C">
      <w:pPr>
        <w:pStyle w:val="Footnote"/>
        <w:jc w:val="both"/>
      </w:pPr>
      <w:r w:rsidRPr="00024C13">
        <w:rPr>
          <w:rStyle w:val="EndnoteReference"/>
        </w:rPr>
        <w:endnoteRef/>
      </w:r>
      <w:r w:rsidRPr="00E92F02">
        <w:t xml:space="preserve"> “To </w:t>
      </w:r>
      <w:r w:rsidRPr="00643919">
        <w:t>Boost Cashless</w:t>
      </w:r>
      <w:r w:rsidRPr="00E92F02">
        <w:t xml:space="preserve"> India, </w:t>
      </w:r>
      <w:r w:rsidRPr="00643919">
        <w:t>Government Offers Incentives</w:t>
      </w:r>
      <w:r w:rsidRPr="00E92F02">
        <w:t xml:space="preserve"> to </w:t>
      </w:r>
      <w:r w:rsidRPr="00643919">
        <w:t>Go Digital</w:t>
      </w:r>
      <w:r>
        <w:t>,</w:t>
      </w:r>
      <w:r w:rsidRPr="00490C95">
        <w:t>”</w:t>
      </w:r>
      <w:r w:rsidRPr="00E92F02">
        <w:t xml:space="preserve"> </w:t>
      </w:r>
      <w:r w:rsidRPr="006A0453">
        <w:rPr>
          <w:i/>
        </w:rPr>
        <w:t>Asian Age</w:t>
      </w:r>
      <w:r w:rsidRPr="00E92F02">
        <w:t>, December 9, 2016, accessed December 25, 2016, www.asianage.com/india/all-india/091216/to-boost-cashless-india-govt-offers-incentives-to-go-digital.html.</w:t>
      </w:r>
    </w:p>
  </w:endnote>
  <w:endnote w:id="68">
    <w:p w14:paraId="09D3EAF5" w14:textId="013195E9" w:rsidR="009629BF" w:rsidRPr="00490C95" w:rsidRDefault="009629BF" w:rsidP="0050274C">
      <w:pPr>
        <w:pStyle w:val="Footnote"/>
        <w:jc w:val="both"/>
      </w:pPr>
      <w:r w:rsidRPr="00490C95">
        <w:rPr>
          <w:rStyle w:val="EndnoteReference"/>
        </w:rPr>
        <w:endnoteRef/>
      </w:r>
      <w:r w:rsidRPr="00490C95">
        <w:t xml:space="preserve"> “</w:t>
      </w:r>
      <w:r>
        <w:t xml:space="preserve">Population of India: </w:t>
      </w:r>
      <w:r w:rsidRPr="00490C95">
        <w:t>Population of India 2017</w:t>
      </w:r>
      <w:r>
        <w:t>,</w:t>
      </w:r>
      <w:r w:rsidRPr="00490C95">
        <w:t xml:space="preserve">” </w:t>
      </w:r>
      <w:r>
        <w:t xml:space="preserve">op. cit. </w:t>
      </w:r>
    </w:p>
  </w:endnote>
  <w:endnote w:id="69">
    <w:p w14:paraId="7F50E428" w14:textId="228A0ABF" w:rsidR="009629BF" w:rsidRPr="00641858" w:rsidRDefault="009629BF" w:rsidP="0050274C">
      <w:pPr>
        <w:pStyle w:val="Footnote"/>
        <w:jc w:val="both"/>
      </w:pPr>
      <w:r w:rsidRPr="00E92F02">
        <w:rPr>
          <w:rStyle w:val="EndnoteReference"/>
        </w:rPr>
        <w:endnoteRef/>
      </w:r>
      <w:r w:rsidRPr="00E92F02">
        <w:t xml:space="preserve"> Rajiv Singh, “Demoneti</w:t>
      </w:r>
      <w:r>
        <w:t>s</w:t>
      </w:r>
      <w:r w:rsidRPr="00E92F02">
        <w:t xml:space="preserve">ation: </w:t>
      </w:r>
      <w:r w:rsidRPr="00024C13">
        <w:t>Why the Challenge to Take Digital Payment to Rural India Is as Huge as the Opportunity</w:t>
      </w:r>
      <w:r>
        <w:t>,</w:t>
      </w:r>
      <w:r w:rsidRPr="00490C95">
        <w:t>”</w:t>
      </w:r>
      <w:r w:rsidRPr="00E92F02">
        <w:t xml:space="preserve"> </w:t>
      </w:r>
      <w:r w:rsidRPr="006A0453">
        <w:rPr>
          <w:i/>
        </w:rPr>
        <w:t>Economic Times</w:t>
      </w:r>
      <w:r w:rsidRPr="00E92F02">
        <w:t xml:space="preserve">, November 27, 2016, accessed December 25, 2016, </w:t>
      </w:r>
      <w:r w:rsidR="002D5671">
        <w:t>www.</w:t>
      </w:r>
      <w:bookmarkStart w:id="0" w:name="_GoBack"/>
      <w:bookmarkEnd w:id="0"/>
      <w:r w:rsidRPr="0050274C">
        <w:t>economictimes.indiatimes.com/news/economy/policy/sunday-et-making-rural-india-pay-digitally-and-challenges-post-demonetisation/articleshow/55640316.cms</w:t>
      </w:r>
      <w:r w:rsidRPr="00E92F02">
        <w:t>.</w:t>
      </w:r>
    </w:p>
  </w:endnote>
  <w:endnote w:id="70">
    <w:p w14:paraId="421F5047" w14:textId="0B85AEA8" w:rsidR="009629BF" w:rsidRPr="004759C4" w:rsidRDefault="009629BF" w:rsidP="0050274C">
      <w:pPr>
        <w:pStyle w:val="Footnote"/>
        <w:jc w:val="both"/>
        <w:rPr>
          <w:lang w:val="en-IN"/>
        </w:rPr>
      </w:pPr>
      <w:r>
        <w:rPr>
          <w:rStyle w:val="EndnoteReference"/>
        </w:rPr>
        <w:endnoteRef/>
      </w:r>
      <w:r>
        <w:t xml:space="preserve"> </w:t>
      </w:r>
      <w:r w:rsidR="00847635">
        <w:t>Ananya Bhattacharya, “</w:t>
      </w:r>
      <w:r w:rsidRPr="0050274C">
        <w:t xml:space="preserve">India is </w:t>
      </w:r>
      <w:r w:rsidR="00847635">
        <w:t>G</w:t>
      </w:r>
      <w:r w:rsidRPr="0050274C">
        <w:t xml:space="preserve">oing to </w:t>
      </w:r>
      <w:r w:rsidR="00847635">
        <w:t>C</w:t>
      </w:r>
      <w:r w:rsidRPr="0050274C">
        <w:t xml:space="preserve">ome </w:t>
      </w:r>
      <w:r w:rsidR="00847635">
        <w:t>O</w:t>
      </w:r>
      <w:r w:rsidRPr="0050274C">
        <w:t xml:space="preserve">nline </w:t>
      </w:r>
      <w:r w:rsidR="00847635">
        <w:t>U</w:t>
      </w:r>
      <w:r w:rsidRPr="0050274C">
        <w:t xml:space="preserve">sing </w:t>
      </w:r>
      <w:r w:rsidR="00847635">
        <w:t>O</w:t>
      </w:r>
      <w:r w:rsidRPr="0050274C">
        <w:t xml:space="preserve">ld-school </w:t>
      </w:r>
      <w:r w:rsidR="00847635">
        <w:t>F</w:t>
      </w:r>
      <w:r w:rsidRPr="0050274C">
        <w:t xml:space="preserve">eature </w:t>
      </w:r>
      <w:r w:rsidR="00847635">
        <w:t>P</w:t>
      </w:r>
      <w:r w:rsidRPr="0050274C">
        <w:t>hones,</w:t>
      </w:r>
      <w:r w:rsidR="00847635">
        <w:t>”</w:t>
      </w:r>
      <w:r w:rsidRPr="0050274C">
        <w:t xml:space="preserve"> </w:t>
      </w:r>
      <w:r w:rsidR="00847635" w:rsidRPr="0094028F">
        <w:rPr>
          <w:i/>
        </w:rPr>
        <w:t>Quartz India</w:t>
      </w:r>
      <w:r w:rsidR="00847635">
        <w:t xml:space="preserve">, March 22, 2017, </w:t>
      </w:r>
      <w:r w:rsidRPr="0050274C">
        <w:t xml:space="preserve">accessed June 15, 2018, </w:t>
      </w:r>
      <w:r w:rsidR="002D5671">
        <w:t>www.</w:t>
      </w:r>
      <w:r w:rsidRPr="004759C4">
        <w:t>qz.com/939349/india-is-going-to-come-online-using-old-school-feature-phones/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WebRupe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2B42C" w14:textId="77777777" w:rsidR="00697D9E" w:rsidRDefault="00697D9E" w:rsidP="00D75295">
      <w:r>
        <w:separator/>
      </w:r>
    </w:p>
  </w:footnote>
  <w:footnote w:type="continuationSeparator" w:id="0">
    <w:p w14:paraId="0BD50241" w14:textId="77777777" w:rsidR="00697D9E" w:rsidRDefault="00697D9E" w:rsidP="00D75295">
      <w:r>
        <w:continuationSeparator/>
      </w:r>
    </w:p>
  </w:footnote>
  <w:footnote w:type="continuationNotice" w:id="1">
    <w:p w14:paraId="542B66B4" w14:textId="77777777" w:rsidR="00697D9E" w:rsidRDefault="00697D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673FB" w14:textId="393BA864" w:rsidR="009629BF" w:rsidRDefault="009629B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5671">
      <w:rPr>
        <w:rFonts w:ascii="Arial" w:hAnsi="Arial"/>
        <w:b/>
        <w:noProof/>
      </w:rPr>
      <w:t>12</w:t>
    </w:r>
    <w:r>
      <w:rPr>
        <w:rFonts w:ascii="Arial" w:hAnsi="Arial"/>
        <w:b/>
      </w:rPr>
      <w:fldChar w:fldCharType="end"/>
    </w:r>
    <w:r w:rsidR="004802FC">
      <w:rPr>
        <w:rFonts w:ascii="Arial" w:hAnsi="Arial"/>
        <w:b/>
      </w:rPr>
      <w:tab/>
      <w:t>9B18E010</w:t>
    </w:r>
  </w:p>
  <w:p w14:paraId="2F6C2D2A" w14:textId="77777777" w:rsidR="009629BF" w:rsidRPr="00C92CC4" w:rsidRDefault="009629BF">
    <w:pPr>
      <w:pStyle w:val="Header"/>
      <w:rPr>
        <w:sz w:val="18"/>
        <w:szCs w:val="18"/>
      </w:rPr>
    </w:pPr>
  </w:p>
  <w:p w14:paraId="640D7AF3" w14:textId="77777777" w:rsidR="009629BF" w:rsidRPr="00C92CC4" w:rsidRDefault="009629B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C6493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CEA3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C2F8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1CE4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A60F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DCD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CCE2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D228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05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AAE8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42192"/>
    <w:multiLevelType w:val="hybridMultilevel"/>
    <w:tmpl w:val="36EA3698"/>
    <w:lvl w:ilvl="0" w:tplc="747880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25FE8"/>
    <w:multiLevelType w:val="multilevel"/>
    <w:tmpl w:val="218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8250F"/>
    <w:multiLevelType w:val="hybridMultilevel"/>
    <w:tmpl w:val="B9A442BC"/>
    <w:lvl w:ilvl="0" w:tplc="7478802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167AC"/>
    <w:multiLevelType w:val="multilevel"/>
    <w:tmpl w:val="F12C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D4DA8"/>
    <w:multiLevelType w:val="multilevel"/>
    <w:tmpl w:val="DF3A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1B3EC0"/>
    <w:multiLevelType w:val="hybridMultilevel"/>
    <w:tmpl w:val="354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8567E8"/>
    <w:multiLevelType w:val="multilevel"/>
    <w:tmpl w:val="F3E8B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3070719"/>
    <w:multiLevelType w:val="hybridMultilevel"/>
    <w:tmpl w:val="0EF2E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21D2407"/>
    <w:multiLevelType w:val="hybridMultilevel"/>
    <w:tmpl w:val="27E281E8"/>
    <w:lvl w:ilvl="0" w:tplc="74788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06EFF"/>
    <w:multiLevelType w:val="hybridMultilevel"/>
    <w:tmpl w:val="0A2A5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17"/>
  </w:num>
  <w:num w:numId="14">
    <w:abstractNumId w:val="27"/>
  </w:num>
  <w:num w:numId="15">
    <w:abstractNumId w:val="28"/>
  </w:num>
  <w:num w:numId="16">
    <w:abstractNumId w:val="29"/>
  </w:num>
  <w:num w:numId="17">
    <w:abstractNumId w:val="22"/>
  </w:num>
  <w:num w:numId="18">
    <w:abstractNumId w:val="30"/>
  </w:num>
  <w:num w:numId="19">
    <w:abstractNumId w:val="16"/>
  </w:num>
  <w:num w:numId="20">
    <w:abstractNumId w:val="13"/>
  </w:num>
  <w:num w:numId="21">
    <w:abstractNumId w:val="31"/>
  </w:num>
  <w:num w:numId="22">
    <w:abstractNumId w:val="24"/>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1"/>
  </w:num>
  <w:num w:numId="27">
    <w:abstractNumId w:val="23"/>
  </w:num>
  <w:num w:numId="28">
    <w:abstractNumId w:val="15"/>
  </w:num>
  <w:num w:numId="29">
    <w:abstractNumId w:val="20"/>
  </w:num>
  <w:num w:numId="30">
    <w:abstractNumId w:val="11"/>
  </w:num>
  <w:num w:numId="31">
    <w:abstractNumId w:val="14"/>
  </w:num>
  <w:num w:numId="32">
    <w:abstractNumId w:val="18"/>
  </w:num>
  <w:num w:numId="33">
    <w:abstractNumId w:val="32"/>
  </w:num>
  <w:num w:numId="34">
    <w:abstractNumId w:val="10"/>
  </w:num>
  <w:num w:numId="35">
    <w:abstractNumId w:val="12"/>
  </w:num>
  <w:num w:numId="36">
    <w:abstractNumId w:val="3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numFmt w:val="chicago"/>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FFB"/>
    <w:rsid w:val="00013360"/>
    <w:rsid w:val="000216CE"/>
    <w:rsid w:val="00024C13"/>
    <w:rsid w:val="00025DC7"/>
    <w:rsid w:val="00026486"/>
    <w:rsid w:val="00033576"/>
    <w:rsid w:val="000441D3"/>
    <w:rsid w:val="00044ECC"/>
    <w:rsid w:val="00050DD6"/>
    <w:rsid w:val="000531D3"/>
    <w:rsid w:val="0005646B"/>
    <w:rsid w:val="00056B05"/>
    <w:rsid w:val="00070187"/>
    <w:rsid w:val="0008102D"/>
    <w:rsid w:val="000857C0"/>
    <w:rsid w:val="00094C0E"/>
    <w:rsid w:val="000976CA"/>
    <w:rsid w:val="000A4CA4"/>
    <w:rsid w:val="000E4C2C"/>
    <w:rsid w:val="000E65FD"/>
    <w:rsid w:val="000F0C22"/>
    <w:rsid w:val="000F21CE"/>
    <w:rsid w:val="000F6B09"/>
    <w:rsid w:val="000F6FDC"/>
    <w:rsid w:val="000F7D8D"/>
    <w:rsid w:val="00104567"/>
    <w:rsid w:val="001060FE"/>
    <w:rsid w:val="001078FC"/>
    <w:rsid w:val="0012266C"/>
    <w:rsid w:val="0012732D"/>
    <w:rsid w:val="001533E5"/>
    <w:rsid w:val="00154FC9"/>
    <w:rsid w:val="00157834"/>
    <w:rsid w:val="00162F0E"/>
    <w:rsid w:val="001739DA"/>
    <w:rsid w:val="0019241A"/>
    <w:rsid w:val="0019384C"/>
    <w:rsid w:val="001971EA"/>
    <w:rsid w:val="001A3978"/>
    <w:rsid w:val="001A5335"/>
    <w:rsid w:val="001A752D"/>
    <w:rsid w:val="001B2198"/>
    <w:rsid w:val="001B3619"/>
    <w:rsid w:val="001B47BE"/>
    <w:rsid w:val="001C763D"/>
    <w:rsid w:val="001D3F7D"/>
    <w:rsid w:val="001E0459"/>
    <w:rsid w:val="001E4CAF"/>
    <w:rsid w:val="001F0169"/>
    <w:rsid w:val="001F1064"/>
    <w:rsid w:val="00203AA1"/>
    <w:rsid w:val="00204606"/>
    <w:rsid w:val="002067DD"/>
    <w:rsid w:val="00213E98"/>
    <w:rsid w:val="00214E19"/>
    <w:rsid w:val="00215834"/>
    <w:rsid w:val="00221449"/>
    <w:rsid w:val="002247FA"/>
    <w:rsid w:val="00227C9C"/>
    <w:rsid w:val="002330AB"/>
    <w:rsid w:val="002403D2"/>
    <w:rsid w:val="00242479"/>
    <w:rsid w:val="002539D5"/>
    <w:rsid w:val="002613F6"/>
    <w:rsid w:val="0026513F"/>
    <w:rsid w:val="00273AE1"/>
    <w:rsid w:val="00274909"/>
    <w:rsid w:val="00285D32"/>
    <w:rsid w:val="00286971"/>
    <w:rsid w:val="00286B81"/>
    <w:rsid w:val="00292AC3"/>
    <w:rsid w:val="0029357A"/>
    <w:rsid w:val="002A1A1A"/>
    <w:rsid w:val="002A2236"/>
    <w:rsid w:val="002C5586"/>
    <w:rsid w:val="002D5671"/>
    <w:rsid w:val="002E32F0"/>
    <w:rsid w:val="002F460C"/>
    <w:rsid w:val="002F48D6"/>
    <w:rsid w:val="002F52E6"/>
    <w:rsid w:val="00301831"/>
    <w:rsid w:val="00306001"/>
    <w:rsid w:val="003104EA"/>
    <w:rsid w:val="00314C91"/>
    <w:rsid w:val="003158AD"/>
    <w:rsid w:val="00322819"/>
    <w:rsid w:val="00344D84"/>
    <w:rsid w:val="00354899"/>
    <w:rsid w:val="00355FD6"/>
    <w:rsid w:val="00361C8E"/>
    <w:rsid w:val="00363211"/>
    <w:rsid w:val="00364A5C"/>
    <w:rsid w:val="003668E7"/>
    <w:rsid w:val="00373FB1"/>
    <w:rsid w:val="0037537F"/>
    <w:rsid w:val="0037589C"/>
    <w:rsid w:val="00384E19"/>
    <w:rsid w:val="003868DB"/>
    <w:rsid w:val="003A37DA"/>
    <w:rsid w:val="003A3F87"/>
    <w:rsid w:val="003B30D8"/>
    <w:rsid w:val="003B32E0"/>
    <w:rsid w:val="003B3D71"/>
    <w:rsid w:val="003B7EF2"/>
    <w:rsid w:val="003C3FA4"/>
    <w:rsid w:val="003C7EBC"/>
    <w:rsid w:val="003D72E4"/>
    <w:rsid w:val="003E3710"/>
    <w:rsid w:val="003E6888"/>
    <w:rsid w:val="003F2B0C"/>
    <w:rsid w:val="003F4482"/>
    <w:rsid w:val="003F5C1E"/>
    <w:rsid w:val="003F7865"/>
    <w:rsid w:val="004221E4"/>
    <w:rsid w:val="00423255"/>
    <w:rsid w:val="004239CF"/>
    <w:rsid w:val="00444F52"/>
    <w:rsid w:val="00450AA5"/>
    <w:rsid w:val="00471088"/>
    <w:rsid w:val="004759C4"/>
    <w:rsid w:val="004802FC"/>
    <w:rsid w:val="0048111E"/>
    <w:rsid w:val="00483AF9"/>
    <w:rsid w:val="004849AF"/>
    <w:rsid w:val="00490C95"/>
    <w:rsid w:val="0049197E"/>
    <w:rsid w:val="00493C02"/>
    <w:rsid w:val="004949D2"/>
    <w:rsid w:val="004B1CCB"/>
    <w:rsid w:val="004D6F8B"/>
    <w:rsid w:val="004D73A5"/>
    <w:rsid w:val="004E6D0A"/>
    <w:rsid w:val="004F1F08"/>
    <w:rsid w:val="004F269F"/>
    <w:rsid w:val="0050274C"/>
    <w:rsid w:val="00511A49"/>
    <w:rsid w:val="00516BC4"/>
    <w:rsid w:val="005229A8"/>
    <w:rsid w:val="00523B73"/>
    <w:rsid w:val="00532CF5"/>
    <w:rsid w:val="00542073"/>
    <w:rsid w:val="005427D3"/>
    <w:rsid w:val="00552160"/>
    <w:rsid w:val="005528CB"/>
    <w:rsid w:val="00562C72"/>
    <w:rsid w:val="00566771"/>
    <w:rsid w:val="005724F9"/>
    <w:rsid w:val="00581E2E"/>
    <w:rsid w:val="00583665"/>
    <w:rsid w:val="00584F15"/>
    <w:rsid w:val="00597147"/>
    <w:rsid w:val="005A0DF7"/>
    <w:rsid w:val="005E142F"/>
    <w:rsid w:val="005E5410"/>
    <w:rsid w:val="005F58A2"/>
    <w:rsid w:val="005F6408"/>
    <w:rsid w:val="006041B1"/>
    <w:rsid w:val="00610239"/>
    <w:rsid w:val="006163F7"/>
    <w:rsid w:val="00622C89"/>
    <w:rsid w:val="00627D5B"/>
    <w:rsid w:val="00636922"/>
    <w:rsid w:val="00641858"/>
    <w:rsid w:val="00643919"/>
    <w:rsid w:val="00652606"/>
    <w:rsid w:val="00665CDD"/>
    <w:rsid w:val="00682754"/>
    <w:rsid w:val="00685BB5"/>
    <w:rsid w:val="00697D9E"/>
    <w:rsid w:val="006A0453"/>
    <w:rsid w:val="006A58A9"/>
    <w:rsid w:val="006A606D"/>
    <w:rsid w:val="006A65E5"/>
    <w:rsid w:val="006B660F"/>
    <w:rsid w:val="006B7F7A"/>
    <w:rsid w:val="006C0371"/>
    <w:rsid w:val="006C08B6"/>
    <w:rsid w:val="006C0B1A"/>
    <w:rsid w:val="006C4384"/>
    <w:rsid w:val="006C5EE7"/>
    <w:rsid w:val="006C6065"/>
    <w:rsid w:val="006C7840"/>
    <w:rsid w:val="006C7F9F"/>
    <w:rsid w:val="006D421C"/>
    <w:rsid w:val="006D652E"/>
    <w:rsid w:val="006E2F6D"/>
    <w:rsid w:val="006E30F4"/>
    <w:rsid w:val="006E58F6"/>
    <w:rsid w:val="006E77E1"/>
    <w:rsid w:val="006F03B8"/>
    <w:rsid w:val="006F131D"/>
    <w:rsid w:val="006F1D9E"/>
    <w:rsid w:val="007012C4"/>
    <w:rsid w:val="00701471"/>
    <w:rsid w:val="00703BB7"/>
    <w:rsid w:val="00710853"/>
    <w:rsid w:val="0071421F"/>
    <w:rsid w:val="007268BC"/>
    <w:rsid w:val="007504D4"/>
    <w:rsid w:val="00752BCD"/>
    <w:rsid w:val="00756F5E"/>
    <w:rsid w:val="00766DA1"/>
    <w:rsid w:val="00767CB4"/>
    <w:rsid w:val="00771758"/>
    <w:rsid w:val="00772A81"/>
    <w:rsid w:val="007753F4"/>
    <w:rsid w:val="0077553E"/>
    <w:rsid w:val="007768C6"/>
    <w:rsid w:val="007866A6"/>
    <w:rsid w:val="00791F53"/>
    <w:rsid w:val="007A130D"/>
    <w:rsid w:val="007A7257"/>
    <w:rsid w:val="007D0C60"/>
    <w:rsid w:val="007D4102"/>
    <w:rsid w:val="007E3216"/>
    <w:rsid w:val="007E5921"/>
    <w:rsid w:val="007F02D0"/>
    <w:rsid w:val="00801AEA"/>
    <w:rsid w:val="008035A0"/>
    <w:rsid w:val="00821FFC"/>
    <w:rsid w:val="008271CA"/>
    <w:rsid w:val="00835AC8"/>
    <w:rsid w:val="0084531B"/>
    <w:rsid w:val="008467D5"/>
    <w:rsid w:val="00847635"/>
    <w:rsid w:val="00853C3A"/>
    <w:rsid w:val="00853F08"/>
    <w:rsid w:val="0085684D"/>
    <w:rsid w:val="00856CC1"/>
    <w:rsid w:val="00856D9F"/>
    <w:rsid w:val="00862EC9"/>
    <w:rsid w:val="0086687C"/>
    <w:rsid w:val="00866F6D"/>
    <w:rsid w:val="008802F2"/>
    <w:rsid w:val="0088136B"/>
    <w:rsid w:val="008A01AF"/>
    <w:rsid w:val="008A37E7"/>
    <w:rsid w:val="008A4DC4"/>
    <w:rsid w:val="008C6717"/>
    <w:rsid w:val="008E02B4"/>
    <w:rsid w:val="008F1986"/>
    <w:rsid w:val="008F4110"/>
    <w:rsid w:val="00905198"/>
    <w:rsid w:val="009067A4"/>
    <w:rsid w:val="0090722E"/>
    <w:rsid w:val="009123B0"/>
    <w:rsid w:val="00915384"/>
    <w:rsid w:val="009223F3"/>
    <w:rsid w:val="009340DB"/>
    <w:rsid w:val="0094028F"/>
    <w:rsid w:val="00945F9E"/>
    <w:rsid w:val="00947B07"/>
    <w:rsid w:val="00954BCD"/>
    <w:rsid w:val="00955344"/>
    <w:rsid w:val="009629BF"/>
    <w:rsid w:val="00972498"/>
    <w:rsid w:val="00974CC6"/>
    <w:rsid w:val="00976AD4"/>
    <w:rsid w:val="0099271B"/>
    <w:rsid w:val="009A0396"/>
    <w:rsid w:val="009A312F"/>
    <w:rsid w:val="009A5348"/>
    <w:rsid w:val="009A67BB"/>
    <w:rsid w:val="009B0396"/>
    <w:rsid w:val="009B1D76"/>
    <w:rsid w:val="009B21DF"/>
    <w:rsid w:val="009C76D5"/>
    <w:rsid w:val="009E1B54"/>
    <w:rsid w:val="009E74E3"/>
    <w:rsid w:val="009F05C0"/>
    <w:rsid w:val="009F7AA4"/>
    <w:rsid w:val="00A01987"/>
    <w:rsid w:val="00A16970"/>
    <w:rsid w:val="00A2702B"/>
    <w:rsid w:val="00A559DB"/>
    <w:rsid w:val="00A60AD1"/>
    <w:rsid w:val="00A74078"/>
    <w:rsid w:val="00A91E39"/>
    <w:rsid w:val="00A96F44"/>
    <w:rsid w:val="00AA3C9D"/>
    <w:rsid w:val="00AA660C"/>
    <w:rsid w:val="00AB63DF"/>
    <w:rsid w:val="00AC5806"/>
    <w:rsid w:val="00AD53BB"/>
    <w:rsid w:val="00AE782D"/>
    <w:rsid w:val="00AF0A8E"/>
    <w:rsid w:val="00AF35FC"/>
    <w:rsid w:val="00AF7858"/>
    <w:rsid w:val="00B01699"/>
    <w:rsid w:val="00B03639"/>
    <w:rsid w:val="00B04615"/>
    <w:rsid w:val="00B0652A"/>
    <w:rsid w:val="00B3757D"/>
    <w:rsid w:val="00B40937"/>
    <w:rsid w:val="00B423EF"/>
    <w:rsid w:val="00B428D3"/>
    <w:rsid w:val="00B453DE"/>
    <w:rsid w:val="00B4742F"/>
    <w:rsid w:val="00B615FE"/>
    <w:rsid w:val="00B814B4"/>
    <w:rsid w:val="00B814D1"/>
    <w:rsid w:val="00B832E7"/>
    <w:rsid w:val="00B83441"/>
    <w:rsid w:val="00B901F9"/>
    <w:rsid w:val="00B93750"/>
    <w:rsid w:val="00B94B3C"/>
    <w:rsid w:val="00BA3DB0"/>
    <w:rsid w:val="00BB27CC"/>
    <w:rsid w:val="00BB69F3"/>
    <w:rsid w:val="00BD1B7B"/>
    <w:rsid w:val="00BD5B74"/>
    <w:rsid w:val="00BD6CBE"/>
    <w:rsid w:val="00BD6EFB"/>
    <w:rsid w:val="00BF0FB6"/>
    <w:rsid w:val="00C05CA3"/>
    <w:rsid w:val="00C15BE2"/>
    <w:rsid w:val="00C2081B"/>
    <w:rsid w:val="00C22219"/>
    <w:rsid w:val="00C25696"/>
    <w:rsid w:val="00C3447F"/>
    <w:rsid w:val="00C375F1"/>
    <w:rsid w:val="00C40BB6"/>
    <w:rsid w:val="00C46C24"/>
    <w:rsid w:val="00C543C8"/>
    <w:rsid w:val="00C54B71"/>
    <w:rsid w:val="00C6180E"/>
    <w:rsid w:val="00C679F5"/>
    <w:rsid w:val="00C73715"/>
    <w:rsid w:val="00C80B85"/>
    <w:rsid w:val="00C81491"/>
    <w:rsid w:val="00C81676"/>
    <w:rsid w:val="00C8285A"/>
    <w:rsid w:val="00C870EE"/>
    <w:rsid w:val="00C925D1"/>
    <w:rsid w:val="00C92CC4"/>
    <w:rsid w:val="00C97CE7"/>
    <w:rsid w:val="00CA0AFB"/>
    <w:rsid w:val="00CA2CE1"/>
    <w:rsid w:val="00CA367B"/>
    <w:rsid w:val="00CA3976"/>
    <w:rsid w:val="00CA42F7"/>
    <w:rsid w:val="00CA757B"/>
    <w:rsid w:val="00CB143D"/>
    <w:rsid w:val="00CB6B09"/>
    <w:rsid w:val="00CC1787"/>
    <w:rsid w:val="00CC182C"/>
    <w:rsid w:val="00CD0824"/>
    <w:rsid w:val="00CD2908"/>
    <w:rsid w:val="00CD39C6"/>
    <w:rsid w:val="00CE232C"/>
    <w:rsid w:val="00CF716C"/>
    <w:rsid w:val="00D02D53"/>
    <w:rsid w:val="00D03A82"/>
    <w:rsid w:val="00D128C3"/>
    <w:rsid w:val="00D15344"/>
    <w:rsid w:val="00D17A72"/>
    <w:rsid w:val="00D203DF"/>
    <w:rsid w:val="00D21793"/>
    <w:rsid w:val="00D233D9"/>
    <w:rsid w:val="00D26ECD"/>
    <w:rsid w:val="00D314DC"/>
    <w:rsid w:val="00D31BEC"/>
    <w:rsid w:val="00D4140D"/>
    <w:rsid w:val="00D52CC1"/>
    <w:rsid w:val="00D62B2D"/>
    <w:rsid w:val="00D63150"/>
    <w:rsid w:val="00D64A32"/>
    <w:rsid w:val="00D64EFC"/>
    <w:rsid w:val="00D75295"/>
    <w:rsid w:val="00D76CE9"/>
    <w:rsid w:val="00D9026F"/>
    <w:rsid w:val="00D97F12"/>
    <w:rsid w:val="00DA58B8"/>
    <w:rsid w:val="00DB3CE4"/>
    <w:rsid w:val="00DB41C1"/>
    <w:rsid w:val="00DB42E7"/>
    <w:rsid w:val="00DC15D4"/>
    <w:rsid w:val="00DC7AF9"/>
    <w:rsid w:val="00DD6BE2"/>
    <w:rsid w:val="00DE2A85"/>
    <w:rsid w:val="00DF1974"/>
    <w:rsid w:val="00DF32C2"/>
    <w:rsid w:val="00DF4ED9"/>
    <w:rsid w:val="00E04B79"/>
    <w:rsid w:val="00E063EA"/>
    <w:rsid w:val="00E06A68"/>
    <w:rsid w:val="00E07719"/>
    <w:rsid w:val="00E11E2D"/>
    <w:rsid w:val="00E25D67"/>
    <w:rsid w:val="00E25E57"/>
    <w:rsid w:val="00E2677B"/>
    <w:rsid w:val="00E471A7"/>
    <w:rsid w:val="00E52357"/>
    <w:rsid w:val="00E553BE"/>
    <w:rsid w:val="00E614CD"/>
    <w:rsid w:val="00E635CF"/>
    <w:rsid w:val="00E643A4"/>
    <w:rsid w:val="00E85F40"/>
    <w:rsid w:val="00E901D5"/>
    <w:rsid w:val="00E92F02"/>
    <w:rsid w:val="00E95E71"/>
    <w:rsid w:val="00EA4C3E"/>
    <w:rsid w:val="00EA5E24"/>
    <w:rsid w:val="00EB038E"/>
    <w:rsid w:val="00EB5410"/>
    <w:rsid w:val="00EC6E0A"/>
    <w:rsid w:val="00ED4BED"/>
    <w:rsid w:val="00ED4E18"/>
    <w:rsid w:val="00EE09E0"/>
    <w:rsid w:val="00EE1F37"/>
    <w:rsid w:val="00EF5DCA"/>
    <w:rsid w:val="00F0159C"/>
    <w:rsid w:val="00F041B9"/>
    <w:rsid w:val="00F105B7"/>
    <w:rsid w:val="00F17A21"/>
    <w:rsid w:val="00F22237"/>
    <w:rsid w:val="00F40236"/>
    <w:rsid w:val="00F46FDE"/>
    <w:rsid w:val="00F47241"/>
    <w:rsid w:val="00F504F9"/>
    <w:rsid w:val="00F50E91"/>
    <w:rsid w:val="00F51234"/>
    <w:rsid w:val="00F53C18"/>
    <w:rsid w:val="00F56428"/>
    <w:rsid w:val="00F57D29"/>
    <w:rsid w:val="00F64194"/>
    <w:rsid w:val="00F72079"/>
    <w:rsid w:val="00F82AAC"/>
    <w:rsid w:val="00F914C2"/>
    <w:rsid w:val="00F92A99"/>
    <w:rsid w:val="00F95825"/>
    <w:rsid w:val="00F96201"/>
    <w:rsid w:val="00FA45B1"/>
    <w:rsid w:val="00FB0016"/>
    <w:rsid w:val="00FB08EE"/>
    <w:rsid w:val="00FC30E9"/>
    <w:rsid w:val="00FC41F1"/>
    <w:rsid w:val="00FD0B18"/>
    <w:rsid w:val="00FD0F82"/>
    <w:rsid w:val="00FD3153"/>
    <w:rsid w:val="00FD371C"/>
    <w:rsid w:val="00FD54E2"/>
    <w:rsid w:val="00FE714F"/>
    <w:rsid w:val="00FF54CE"/>
    <w:rsid w:val="00FF6BB3"/>
    <w:rsid w:val="00FF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E2D841"/>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5EE7"/>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F72079"/>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F72079"/>
    <w:pPr>
      <w:keepNext/>
      <w:keepLines/>
      <w:spacing w:before="200" w:line="276"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F72079"/>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paragraph" w:styleId="Heading4">
    <w:name w:val="heading 4"/>
    <w:basedOn w:val="Normal"/>
    <w:next w:val="Normal"/>
    <w:link w:val="Heading4Char"/>
    <w:uiPriority w:val="9"/>
    <w:semiHidden/>
    <w:unhideWhenUsed/>
    <w:qFormat/>
    <w:rsid w:val="00F72079"/>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paragraph" w:styleId="Heading5">
    <w:name w:val="heading 5"/>
    <w:basedOn w:val="Normal"/>
    <w:next w:val="Normal"/>
    <w:link w:val="Heading5Char"/>
    <w:uiPriority w:val="9"/>
    <w:semiHidden/>
    <w:unhideWhenUsed/>
    <w:qFormat/>
    <w:rsid w:val="00F72079"/>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79"/>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F72079"/>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F72079"/>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semiHidden/>
    <w:rsid w:val="00F72079"/>
    <w:rPr>
      <w:rFonts w:asciiTheme="majorHAnsi" w:eastAsiaTheme="majorEastAsia" w:hAnsiTheme="majorHAnsi" w:cstheme="majorBidi"/>
      <w:b/>
      <w:bCs/>
      <w:i/>
      <w:iCs/>
      <w:color w:val="4F81BD" w:themeColor="accent1"/>
      <w:lang w:val="en-IN"/>
    </w:rPr>
  </w:style>
  <w:style w:type="character" w:customStyle="1" w:styleId="Heading5Char">
    <w:name w:val="Heading 5 Char"/>
    <w:basedOn w:val="DefaultParagraphFont"/>
    <w:link w:val="Heading5"/>
    <w:uiPriority w:val="9"/>
    <w:semiHidden/>
    <w:rsid w:val="00F72079"/>
    <w:rPr>
      <w:rFonts w:asciiTheme="majorHAnsi" w:eastAsiaTheme="majorEastAsia" w:hAnsiTheme="majorHAnsi" w:cstheme="majorBidi"/>
      <w:color w:val="243F60" w:themeColor="accent1" w:themeShade="7F"/>
      <w:lang w:val="en-IN"/>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E92F02"/>
    <w:rPr>
      <w:rFonts w:ascii="Arial" w:hAnsi="Arial" w:cs="Arial"/>
      <w:sz w:val="17"/>
      <w:szCs w:val="17"/>
    </w:rPr>
  </w:style>
  <w:style w:type="character" w:customStyle="1" w:styleId="FootnoteChar">
    <w:name w:val="Footnote Char"/>
    <w:basedOn w:val="FootnoteTextChar"/>
    <w:link w:val="Footnote"/>
    <w:rsid w:val="002539D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E92F02"/>
    <w:rPr>
      <w:b w:val="0"/>
      <w:color w:val="auto"/>
      <w:vertAlign w:val="superscript"/>
    </w:rPr>
  </w:style>
  <w:style w:type="character" w:styleId="FollowedHyperlink">
    <w:name w:val="FollowedHyperlink"/>
    <w:basedOn w:val="DefaultParagraphFont"/>
    <w:uiPriority w:val="99"/>
    <w:semiHidden/>
    <w:unhideWhenUsed/>
    <w:rsid w:val="00F72079"/>
    <w:rPr>
      <w:color w:val="800080" w:themeColor="followedHyperlink"/>
      <w:u w:val="single"/>
    </w:rPr>
  </w:style>
  <w:style w:type="paragraph" w:customStyle="1" w:styleId="Default">
    <w:name w:val="Default"/>
    <w:rsid w:val="00F7207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EF5DCA"/>
    <w:rPr>
      <w:color w:val="0000FF" w:themeColor="hyperlink"/>
      <w:u w:val="single"/>
    </w:rPr>
  </w:style>
  <w:style w:type="character" w:customStyle="1" w:styleId="UnresolvedMention">
    <w:name w:val="Unresolved Mention"/>
    <w:basedOn w:val="DefaultParagraphFont"/>
    <w:uiPriority w:val="99"/>
    <w:semiHidden/>
    <w:unhideWhenUsed/>
    <w:rsid w:val="00EF5DCA"/>
    <w:rPr>
      <w:color w:val="605E5C"/>
      <w:shd w:val="clear" w:color="auto" w:fill="E1DFDD"/>
    </w:rPr>
  </w:style>
  <w:style w:type="numbering" w:customStyle="1" w:styleId="NoList1">
    <w:name w:val="No List1"/>
    <w:next w:val="NoList"/>
    <w:uiPriority w:val="99"/>
    <w:semiHidden/>
    <w:unhideWhenUsed/>
    <w:rsid w:val="00E92F02"/>
  </w:style>
  <w:style w:type="character" w:styleId="Strong">
    <w:name w:val="Strong"/>
    <w:basedOn w:val="DefaultParagraphFont"/>
    <w:uiPriority w:val="22"/>
    <w:qFormat/>
    <w:rsid w:val="00E92F02"/>
    <w:rPr>
      <w:b/>
      <w:bCs/>
    </w:rPr>
  </w:style>
  <w:style w:type="character" w:customStyle="1" w:styleId="apple-converted-space">
    <w:name w:val="apple-converted-space"/>
    <w:basedOn w:val="DefaultParagraphFont"/>
    <w:rsid w:val="00E92F02"/>
  </w:style>
  <w:style w:type="character" w:customStyle="1" w:styleId="apple-style-span">
    <w:name w:val="apple-style-span"/>
    <w:basedOn w:val="DefaultParagraphFont"/>
    <w:rsid w:val="00E92F02"/>
    <w:rPr>
      <w:rFonts w:ascii="Times New Roman" w:hAnsi="Times New Roman"/>
      <w:caps w:val="0"/>
      <w:smallCaps w:val="0"/>
      <w:strike w:val="0"/>
      <w:dstrike w:val="0"/>
      <w:vanish w:val="0"/>
      <w:sz w:val="22"/>
      <w:vertAlign w:val="baseline"/>
    </w:rPr>
  </w:style>
  <w:style w:type="character" w:customStyle="1" w:styleId="st1">
    <w:name w:val="st1"/>
    <w:basedOn w:val="DefaultParagraphFont"/>
    <w:rsid w:val="00E92F02"/>
  </w:style>
  <w:style w:type="character" w:customStyle="1" w:styleId="p-content">
    <w:name w:val="p-content"/>
    <w:basedOn w:val="DefaultParagraphFont"/>
    <w:rsid w:val="00E92F02"/>
    <w:rPr>
      <w:vanish w:val="0"/>
      <w:webHidden w:val="0"/>
      <w:specVanish w:val="0"/>
    </w:rPr>
  </w:style>
  <w:style w:type="character" w:customStyle="1" w:styleId="webrupee">
    <w:name w:val="webrupee"/>
    <w:basedOn w:val="DefaultParagraphFont"/>
    <w:rsid w:val="00E92F02"/>
  </w:style>
  <w:style w:type="paragraph" w:customStyle="1" w:styleId="body">
    <w:name w:val="body"/>
    <w:basedOn w:val="Normal"/>
    <w:rsid w:val="00E92F02"/>
    <w:pPr>
      <w:spacing w:before="100" w:beforeAutospacing="1" w:after="100" w:afterAutospacing="1"/>
    </w:pPr>
    <w:rPr>
      <w:sz w:val="24"/>
      <w:szCs w:val="24"/>
      <w:lang w:val="en-IN" w:eastAsia="en-IN"/>
    </w:rPr>
  </w:style>
  <w:style w:type="character" w:customStyle="1" w:styleId="webrupee1">
    <w:name w:val="webrupee1"/>
    <w:basedOn w:val="DefaultParagraphFont"/>
    <w:rsid w:val="00E92F02"/>
    <w:rPr>
      <w:rFonts w:ascii="WebRupee" w:hAnsi="WebRupee" w:hint="default"/>
    </w:rPr>
  </w:style>
  <w:style w:type="character" w:customStyle="1" w:styleId="countbox">
    <w:name w:val="count_box"/>
    <w:basedOn w:val="DefaultParagraphFont"/>
    <w:rsid w:val="00E92F02"/>
  </w:style>
  <w:style w:type="character" w:customStyle="1" w:styleId="newsletter-box">
    <w:name w:val="newsletter-box"/>
    <w:basedOn w:val="DefaultParagraphFont"/>
    <w:rsid w:val="00E92F02"/>
  </w:style>
  <w:style w:type="character" w:customStyle="1" w:styleId="authdetail">
    <w:name w:val="auth_detail"/>
    <w:basedOn w:val="DefaultParagraphFont"/>
    <w:rsid w:val="00E92F02"/>
  </w:style>
  <w:style w:type="character" w:customStyle="1" w:styleId="ilfuvd">
    <w:name w:val="ilfuvd"/>
    <w:basedOn w:val="DefaultParagraphFont"/>
    <w:rsid w:val="000F7D8D"/>
  </w:style>
  <w:style w:type="character" w:customStyle="1" w:styleId="metadata">
    <w:name w:val="metadata"/>
    <w:basedOn w:val="DefaultParagraphFont"/>
    <w:rsid w:val="003D7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6635">
      <w:bodyDiv w:val="1"/>
      <w:marLeft w:val="0"/>
      <w:marRight w:val="0"/>
      <w:marTop w:val="0"/>
      <w:marBottom w:val="0"/>
      <w:divBdr>
        <w:top w:val="none" w:sz="0" w:space="0" w:color="auto"/>
        <w:left w:val="none" w:sz="0" w:space="0" w:color="auto"/>
        <w:bottom w:val="none" w:sz="0" w:space="0" w:color="auto"/>
        <w:right w:val="none" w:sz="0" w:space="0" w:color="auto"/>
      </w:divBdr>
    </w:div>
    <w:div w:id="296880946">
      <w:bodyDiv w:val="1"/>
      <w:marLeft w:val="0"/>
      <w:marRight w:val="0"/>
      <w:marTop w:val="0"/>
      <w:marBottom w:val="0"/>
      <w:divBdr>
        <w:top w:val="none" w:sz="0" w:space="0" w:color="auto"/>
        <w:left w:val="none" w:sz="0" w:space="0" w:color="auto"/>
        <w:bottom w:val="none" w:sz="0" w:space="0" w:color="auto"/>
        <w:right w:val="none" w:sz="0" w:space="0" w:color="auto"/>
      </w:divBdr>
    </w:div>
    <w:div w:id="627929315">
      <w:bodyDiv w:val="1"/>
      <w:marLeft w:val="0"/>
      <w:marRight w:val="0"/>
      <w:marTop w:val="0"/>
      <w:marBottom w:val="0"/>
      <w:divBdr>
        <w:top w:val="none" w:sz="0" w:space="0" w:color="auto"/>
        <w:left w:val="none" w:sz="0" w:space="0" w:color="auto"/>
        <w:bottom w:val="none" w:sz="0" w:space="0" w:color="auto"/>
        <w:right w:val="none" w:sz="0" w:space="0" w:color="auto"/>
      </w:divBdr>
    </w:div>
    <w:div w:id="730693339">
      <w:bodyDiv w:val="1"/>
      <w:marLeft w:val="0"/>
      <w:marRight w:val="0"/>
      <w:marTop w:val="0"/>
      <w:marBottom w:val="0"/>
      <w:divBdr>
        <w:top w:val="none" w:sz="0" w:space="0" w:color="auto"/>
        <w:left w:val="none" w:sz="0" w:space="0" w:color="auto"/>
        <w:bottom w:val="none" w:sz="0" w:space="0" w:color="auto"/>
        <w:right w:val="none" w:sz="0" w:space="0" w:color="auto"/>
      </w:divBdr>
    </w:div>
    <w:div w:id="1057558344">
      <w:bodyDiv w:val="1"/>
      <w:marLeft w:val="0"/>
      <w:marRight w:val="0"/>
      <w:marTop w:val="0"/>
      <w:marBottom w:val="0"/>
      <w:divBdr>
        <w:top w:val="none" w:sz="0" w:space="0" w:color="auto"/>
        <w:left w:val="none" w:sz="0" w:space="0" w:color="auto"/>
        <w:bottom w:val="none" w:sz="0" w:space="0" w:color="auto"/>
        <w:right w:val="none" w:sz="0" w:space="0" w:color="auto"/>
      </w:divBdr>
    </w:div>
    <w:div w:id="1192916552">
      <w:bodyDiv w:val="1"/>
      <w:marLeft w:val="0"/>
      <w:marRight w:val="0"/>
      <w:marTop w:val="0"/>
      <w:marBottom w:val="0"/>
      <w:divBdr>
        <w:top w:val="none" w:sz="0" w:space="0" w:color="auto"/>
        <w:left w:val="none" w:sz="0" w:space="0" w:color="auto"/>
        <w:bottom w:val="none" w:sz="0" w:space="0" w:color="auto"/>
        <w:right w:val="none" w:sz="0" w:space="0" w:color="auto"/>
      </w:divBdr>
    </w:div>
    <w:div w:id="1352536760">
      <w:bodyDiv w:val="1"/>
      <w:marLeft w:val="0"/>
      <w:marRight w:val="0"/>
      <w:marTop w:val="0"/>
      <w:marBottom w:val="0"/>
      <w:divBdr>
        <w:top w:val="none" w:sz="0" w:space="0" w:color="auto"/>
        <w:left w:val="none" w:sz="0" w:space="0" w:color="auto"/>
        <w:bottom w:val="none" w:sz="0" w:space="0" w:color="auto"/>
        <w:right w:val="none" w:sz="0" w:space="0" w:color="auto"/>
      </w:divBdr>
    </w:div>
    <w:div w:id="1435589562">
      <w:bodyDiv w:val="1"/>
      <w:marLeft w:val="0"/>
      <w:marRight w:val="0"/>
      <w:marTop w:val="0"/>
      <w:marBottom w:val="0"/>
      <w:divBdr>
        <w:top w:val="none" w:sz="0" w:space="0" w:color="auto"/>
        <w:left w:val="none" w:sz="0" w:space="0" w:color="auto"/>
        <w:bottom w:val="none" w:sz="0" w:space="0" w:color="auto"/>
        <w:right w:val="none" w:sz="0" w:space="0" w:color="auto"/>
      </w:divBdr>
    </w:div>
    <w:div w:id="19680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63E7B-502A-4141-A880-82FA3BEB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24</cp:revision>
  <cp:lastPrinted>2018-07-12T15:35:00Z</cp:lastPrinted>
  <dcterms:created xsi:type="dcterms:W3CDTF">2018-07-12T14:22:00Z</dcterms:created>
  <dcterms:modified xsi:type="dcterms:W3CDTF">2018-07-17T16:56:00Z</dcterms:modified>
</cp:coreProperties>
</file>