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5B4CF" w14:textId="77777777" w:rsidR="004D1DA5" w:rsidRDefault="004D1DA5" w:rsidP="004D1DA5">
      <w:pPr>
        <w:tabs>
          <w:tab w:val="right" w:pos="9360"/>
        </w:tabs>
        <w:autoSpaceDE w:val="0"/>
        <w:autoSpaceDN w:val="0"/>
        <w:adjustRightInd w:val="0"/>
        <w:jc w:val="both"/>
        <w:textAlignment w:val="center"/>
        <w:rPr>
          <w:rFonts w:ascii="Arial" w:hAnsi="Arial"/>
          <w:i/>
          <w:iCs/>
          <w:color w:val="000000"/>
          <w:sz w:val="16"/>
        </w:rPr>
      </w:pPr>
      <w:r w:rsidRPr="000D571E">
        <w:rPr>
          <w:rFonts w:ascii="Arial" w:hAnsi="Arial" w:cs="Arial"/>
          <w:b/>
          <w:noProof/>
          <w:sz w:val="24"/>
          <w:szCs w:val="16"/>
          <w:lang w:val="en-CA" w:eastAsia="en-CA"/>
        </w:rPr>
        <w:drawing>
          <wp:inline distT="0" distB="0" distL="0" distR="0" wp14:anchorId="79464715" wp14:editId="1821E153">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08DDFD9" w14:textId="77777777" w:rsidR="00856D9F" w:rsidRPr="000E2036"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0DD1881D" w14:textId="712CA696" w:rsidR="00D75295" w:rsidRPr="000E2036" w:rsidRDefault="00333DA7" w:rsidP="00444D97">
      <w:pPr>
        <w:pStyle w:val="ProductNumber"/>
        <w:outlineLvl w:val="0"/>
        <w:rPr>
          <w:lang w:val="en-GB"/>
        </w:rPr>
      </w:pPr>
      <w:r>
        <w:rPr>
          <w:lang w:val="en-GB"/>
        </w:rPr>
        <w:t>9B18M002</w:t>
      </w:r>
    </w:p>
    <w:p w14:paraId="3A5F72D0" w14:textId="77777777" w:rsidR="00D75295" w:rsidRPr="000E2036" w:rsidRDefault="00D75295" w:rsidP="009D6F38">
      <w:pPr>
        <w:rPr>
          <w:rFonts w:ascii="Arial" w:hAnsi="Arial"/>
          <w:b/>
          <w:sz w:val="28"/>
          <w:szCs w:val="28"/>
          <w:lang w:val="en-GB"/>
        </w:rPr>
      </w:pPr>
    </w:p>
    <w:p w14:paraId="7AC46AD4" w14:textId="77777777" w:rsidR="00866F6D" w:rsidRPr="000E2036" w:rsidRDefault="00866F6D" w:rsidP="009D6F38">
      <w:pPr>
        <w:rPr>
          <w:rFonts w:ascii="Arial" w:hAnsi="Arial"/>
          <w:b/>
          <w:sz w:val="28"/>
          <w:szCs w:val="28"/>
          <w:lang w:val="en-GB"/>
        </w:rPr>
      </w:pPr>
    </w:p>
    <w:p w14:paraId="05D8CB2C" w14:textId="49AF0ECE" w:rsidR="00F502BA" w:rsidRPr="00796B78" w:rsidRDefault="006D45F5" w:rsidP="00796B78">
      <w:pPr>
        <w:pStyle w:val="CaseTitle"/>
        <w:outlineLvl w:val="0"/>
        <w:rPr>
          <w:lang w:val="en-GB"/>
        </w:rPr>
      </w:pPr>
      <w:r w:rsidRPr="000E2036">
        <w:rPr>
          <w:lang w:val="en-GB"/>
        </w:rPr>
        <w:t>TOYOTA TSUSHO</w:t>
      </w:r>
      <w:r w:rsidR="0087797E" w:rsidRPr="000E2036">
        <w:rPr>
          <w:lang w:val="en-GB"/>
        </w:rPr>
        <w:t xml:space="preserve"> CORPORATION</w:t>
      </w:r>
      <w:r w:rsidR="00BD3934" w:rsidRPr="000E2036">
        <w:rPr>
          <w:lang w:val="en-GB"/>
        </w:rPr>
        <w:t>:</w:t>
      </w:r>
      <w:r w:rsidR="00781467" w:rsidRPr="000E2036">
        <w:rPr>
          <w:lang w:val="en-GB"/>
        </w:rPr>
        <w:t xml:space="preserve"> ACQUIRING </w:t>
      </w:r>
      <w:r w:rsidR="002D4382" w:rsidRPr="000E2036">
        <w:rPr>
          <w:lang w:val="en-GB"/>
        </w:rPr>
        <w:t xml:space="preserve">THE FRENCH </w:t>
      </w:r>
      <w:r w:rsidR="00781467" w:rsidRPr="000E2036">
        <w:rPr>
          <w:lang w:val="en-GB"/>
        </w:rPr>
        <w:t>CFAO</w:t>
      </w:r>
      <w:r w:rsidR="002D4382" w:rsidRPr="000E2036">
        <w:rPr>
          <w:lang w:val="en-GB"/>
        </w:rPr>
        <w:t xml:space="preserve"> TO PENETRATE AFRICAN MARKETS</w:t>
      </w:r>
      <w:r w:rsidR="00F502BA" w:rsidRPr="000E2036">
        <w:rPr>
          <w:rStyle w:val="EndnoteReference"/>
          <w:lang w:val="en-GB"/>
        </w:rPr>
        <w:endnoteReference w:id="1"/>
      </w:r>
    </w:p>
    <w:p w14:paraId="6AB7A740" w14:textId="62EFCB0F" w:rsidR="00F502BA" w:rsidRPr="000E2036" w:rsidRDefault="00F502BA" w:rsidP="00104567">
      <w:pPr>
        <w:pStyle w:val="StyleCopyrightStatementAfter0ptBottomSinglesolidline1"/>
        <w:rPr>
          <w:lang w:val="en-GB" w:eastAsia="zh-CN"/>
        </w:rPr>
      </w:pPr>
      <w:r w:rsidRPr="000E2036">
        <w:rPr>
          <w:lang w:val="en-GB" w:eastAsia="zh-CN"/>
        </w:rPr>
        <w:t>Wiboon Kittilaksanawong and Mayeni Gueye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F56F594" w14:textId="77777777" w:rsidR="00F502BA" w:rsidRPr="000E2036" w:rsidRDefault="00F502BA" w:rsidP="00104567">
      <w:pPr>
        <w:pStyle w:val="StyleCopyrightStatementAfter0ptBottomSinglesolidline1"/>
        <w:rPr>
          <w:lang w:val="en-GB" w:eastAsia="zh-CN"/>
        </w:rPr>
      </w:pPr>
    </w:p>
    <w:p w14:paraId="66CDE7D2" w14:textId="0DD05642" w:rsidR="004D1DA5" w:rsidRPr="00E23AB7" w:rsidRDefault="004D1DA5" w:rsidP="004D1DA5">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044345C0" w14:textId="77777777" w:rsidR="004D1DA5" w:rsidRPr="00E23AB7" w:rsidRDefault="004D1DA5" w:rsidP="004D1DA5">
      <w:pPr>
        <w:tabs>
          <w:tab w:val="right" w:pos="9360"/>
        </w:tabs>
        <w:autoSpaceDE w:val="0"/>
        <w:autoSpaceDN w:val="0"/>
        <w:adjustRightInd w:val="0"/>
        <w:jc w:val="both"/>
        <w:textAlignment w:val="center"/>
        <w:rPr>
          <w:rFonts w:ascii="Arial" w:hAnsi="Arial"/>
          <w:i/>
          <w:iCs/>
          <w:color w:val="000000"/>
          <w:sz w:val="16"/>
        </w:rPr>
      </w:pPr>
    </w:p>
    <w:p w14:paraId="3159F9DD" w14:textId="2FE6DA7F" w:rsidR="00F502BA" w:rsidRPr="004D1DA5" w:rsidRDefault="004D1DA5" w:rsidP="004D1DA5">
      <w:pPr>
        <w:tabs>
          <w:tab w:val="right" w:pos="9360"/>
        </w:tabs>
        <w:autoSpaceDE w:val="0"/>
        <w:autoSpaceDN w:val="0"/>
        <w:adjustRightInd w:val="0"/>
        <w:jc w:val="both"/>
        <w:textAlignment w:val="center"/>
        <w:rPr>
          <w:rFonts w:ascii="Arial" w:hAnsi="Arial"/>
          <w:i/>
          <w:iCs/>
          <w:color w:val="000000"/>
          <w:sz w:val="16"/>
        </w:rPr>
      </w:pPr>
      <w:r w:rsidRPr="00B65245">
        <w:rPr>
          <w:rFonts w:ascii="Arial" w:hAnsi="Arial"/>
          <w:i/>
          <w:iCs/>
          <w:color w:val="000000"/>
          <w:sz w:val="16"/>
        </w:rPr>
        <w:t>Copyright © 201</w:t>
      </w:r>
      <w:r w:rsidR="00EC754F">
        <w:rPr>
          <w:rFonts w:ascii="Arial" w:hAnsi="Arial"/>
          <w:i/>
          <w:iCs/>
          <w:color w:val="000000"/>
          <w:sz w:val="16"/>
        </w:rPr>
        <w:t>8</w:t>
      </w:r>
      <w:r w:rsidRPr="00B65245">
        <w:rPr>
          <w:rFonts w:ascii="Arial" w:hAnsi="Arial"/>
          <w:i/>
          <w:iCs/>
          <w:color w:val="000000"/>
          <w:sz w:val="16"/>
        </w:rPr>
        <w:t>, Richard Ivey School of Business Foundation</w:t>
      </w:r>
      <w:r w:rsidR="00F502BA" w:rsidRPr="000E2036">
        <w:rPr>
          <w:lang w:val="en-GB"/>
        </w:rPr>
        <w:tab/>
      </w:r>
      <w:r w:rsidR="00F502BA" w:rsidRPr="004D1DA5">
        <w:rPr>
          <w:rFonts w:ascii="Arial" w:hAnsi="Arial" w:cs="Arial"/>
          <w:i/>
          <w:sz w:val="16"/>
          <w:lang w:val="en-GB"/>
        </w:rPr>
        <w:t>Version: 201</w:t>
      </w:r>
      <w:r w:rsidR="00EC754F">
        <w:rPr>
          <w:rFonts w:ascii="Arial" w:hAnsi="Arial" w:cs="Arial"/>
          <w:i/>
          <w:sz w:val="16"/>
          <w:lang w:val="en-GB" w:eastAsia="zh-CN"/>
        </w:rPr>
        <w:t>8</w:t>
      </w:r>
      <w:r w:rsidR="00F502BA" w:rsidRPr="004D1DA5">
        <w:rPr>
          <w:rFonts w:ascii="Arial" w:hAnsi="Arial" w:cs="Arial"/>
          <w:i/>
          <w:sz w:val="16"/>
          <w:lang w:val="en-GB"/>
        </w:rPr>
        <w:t>-</w:t>
      </w:r>
      <w:r w:rsidR="00EC754F">
        <w:rPr>
          <w:rFonts w:ascii="Arial" w:hAnsi="Arial" w:cs="Arial"/>
          <w:i/>
          <w:sz w:val="16"/>
          <w:lang w:val="en-GB" w:eastAsia="zh-CN"/>
        </w:rPr>
        <w:t>01</w:t>
      </w:r>
      <w:r w:rsidR="00F502BA" w:rsidRPr="004D1DA5">
        <w:rPr>
          <w:rFonts w:ascii="Arial" w:hAnsi="Arial" w:cs="Arial"/>
          <w:i/>
          <w:sz w:val="16"/>
          <w:lang w:val="en-GB"/>
        </w:rPr>
        <w:t>-</w:t>
      </w:r>
      <w:r w:rsidR="00EC754F">
        <w:rPr>
          <w:rFonts w:ascii="Arial" w:hAnsi="Arial" w:cs="Arial"/>
          <w:i/>
          <w:sz w:val="16"/>
          <w:lang w:val="en-GB" w:eastAsia="zh-CN"/>
        </w:rPr>
        <w:t>08</w:t>
      </w:r>
    </w:p>
    <w:p w14:paraId="63D34FFA" w14:textId="77777777" w:rsidR="00F502BA" w:rsidRPr="000E2036" w:rsidRDefault="00F502BA" w:rsidP="00104567">
      <w:pPr>
        <w:pStyle w:val="StyleCopyrightStatementAfter0ptBottomSinglesolidline1"/>
        <w:rPr>
          <w:rFonts w:ascii="Times New Roman" w:hAnsi="Times New Roman"/>
          <w:sz w:val="20"/>
          <w:lang w:val="en-GB"/>
        </w:rPr>
      </w:pPr>
    </w:p>
    <w:p w14:paraId="09DC2B02" w14:textId="77777777" w:rsidR="00F502BA" w:rsidRPr="000E2036" w:rsidRDefault="00F502BA" w:rsidP="002C4AFF">
      <w:pPr>
        <w:jc w:val="both"/>
        <w:rPr>
          <w:rFonts w:eastAsia="ヒラギノ明朝 Pro W3"/>
          <w:sz w:val="22"/>
          <w:szCs w:val="22"/>
          <w:lang w:val="en-GB" w:eastAsia="zh-CN"/>
        </w:rPr>
      </w:pPr>
    </w:p>
    <w:p w14:paraId="72CDDEF2" w14:textId="3F48CCED" w:rsidR="00D91625" w:rsidRPr="000E2036" w:rsidRDefault="00F502BA" w:rsidP="00887434">
      <w:pPr>
        <w:jc w:val="both"/>
        <w:rPr>
          <w:rFonts w:eastAsia="ヒラギノ明朝 Pro W3"/>
          <w:sz w:val="22"/>
          <w:szCs w:val="22"/>
          <w:lang w:val="en-GB" w:eastAsia="zh-CN"/>
        </w:rPr>
      </w:pPr>
      <w:r w:rsidRPr="000E2036">
        <w:rPr>
          <w:rFonts w:eastAsia="ヒラギノ明朝 Pro W3"/>
          <w:sz w:val="22"/>
          <w:szCs w:val="22"/>
          <w:lang w:val="en-GB" w:eastAsia="zh-CN"/>
        </w:rPr>
        <w:t xml:space="preserve">In December 2016, the Japanese </w:t>
      </w:r>
      <w:r w:rsidR="00C965F3" w:rsidRPr="000E2036">
        <w:rPr>
          <w:rFonts w:eastAsia="ヒラギノ明朝 Pro W3"/>
          <w:sz w:val="22"/>
          <w:szCs w:val="22"/>
          <w:lang w:val="en-GB" w:eastAsia="zh-CN"/>
        </w:rPr>
        <w:t xml:space="preserve">trading company </w:t>
      </w:r>
      <w:r w:rsidRPr="000E2036">
        <w:rPr>
          <w:rFonts w:eastAsia="ヒラギノ明朝 Pro W3"/>
          <w:sz w:val="22"/>
          <w:szCs w:val="22"/>
          <w:lang w:val="en-GB" w:eastAsia="zh-CN"/>
        </w:rPr>
        <w:t xml:space="preserve">Toyota Tsusho Corporation (TTC) held a public buyout offer for the remaining shares of </w:t>
      </w:r>
      <w:r w:rsidR="00120D06" w:rsidRPr="000E2036">
        <w:rPr>
          <w:rFonts w:eastAsia="ヒラギノ明朝 Pro W3"/>
          <w:sz w:val="22"/>
          <w:szCs w:val="22"/>
          <w:lang w:val="en-GB" w:eastAsia="zh-CN"/>
        </w:rPr>
        <w:t>Compagnie Française de l</w:t>
      </w:r>
      <w:r w:rsidR="00C510C4" w:rsidRPr="000E2036">
        <w:rPr>
          <w:rFonts w:eastAsia="ヒラギノ明朝 Pro W3"/>
          <w:sz w:val="22"/>
          <w:szCs w:val="22"/>
          <w:lang w:val="en-GB" w:eastAsia="zh-CN"/>
        </w:rPr>
        <w:t>’</w:t>
      </w:r>
      <w:r w:rsidR="00120D06" w:rsidRPr="000E2036">
        <w:rPr>
          <w:rFonts w:eastAsia="ヒラギノ明朝 Pro W3"/>
          <w:sz w:val="22"/>
          <w:szCs w:val="22"/>
          <w:lang w:val="en-GB" w:eastAsia="zh-CN"/>
        </w:rPr>
        <w:t>Afrique Occidentale</w:t>
      </w:r>
      <w:r w:rsidR="0085245B" w:rsidRPr="000E2036">
        <w:rPr>
          <w:rFonts w:eastAsia="ヒラギノ明朝 Pro W3"/>
          <w:sz w:val="22"/>
          <w:szCs w:val="22"/>
          <w:lang w:val="en-GB" w:eastAsia="zh-CN"/>
        </w:rPr>
        <w:t xml:space="preserve"> (CFAO), </w:t>
      </w:r>
      <w:r w:rsidRPr="000E2036">
        <w:rPr>
          <w:rFonts w:eastAsia="ヒラギノ明朝 Pro W3"/>
          <w:sz w:val="22"/>
          <w:szCs w:val="22"/>
          <w:lang w:val="en-GB" w:eastAsia="zh-CN"/>
        </w:rPr>
        <w:t xml:space="preserve">the </w:t>
      </w:r>
      <w:r w:rsidR="00B04C00" w:rsidRPr="000E2036">
        <w:rPr>
          <w:rFonts w:eastAsia="ヒラギノ明朝 Pro W3"/>
          <w:sz w:val="22"/>
          <w:szCs w:val="22"/>
          <w:lang w:val="en-GB" w:eastAsia="zh-CN"/>
        </w:rPr>
        <w:t xml:space="preserve">giant </w:t>
      </w:r>
      <w:r w:rsidRPr="000E2036">
        <w:rPr>
          <w:rFonts w:eastAsia="ヒラギノ明朝 Pro W3"/>
          <w:sz w:val="22"/>
          <w:szCs w:val="22"/>
          <w:lang w:val="en-GB" w:eastAsia="zh-CN"/>
        </w:rPr>
        <w:t>French trading company operating in Africa</w:t>
      </w:r>
      <w:r w:rsidR="0085245B" w:rsidRPr="000E2036">
        <w:rPr>
          <w:rFonts w:eastAsia="ヒラギノ明朝 Pro W3"/>
          <w:sz w:val="22"/>
          <w:szCs w:val="22"/>
          <w:lang w:val="en-GB" w:eastAsia="zh-CN"/>
        </w:rPr>
        <w:t>. By doing so, TTC</w:t>
      </w:r>
      <w:r w:rsidRPr="000E2036">
        <w:rPr>
          <w:rFonts w:eastAsia="ヒラギノ明朝 Pro W3"/>
          <w:sz w:val="22"/>
          <w:szCs w:val="22"/>
          <w:lang w:val="en-GB" w:eastAsia="zh-CN"/>
        </w:rPr>
        <w:t xml:space="preserve"> internaliz</w:t>
      </w:r>
      <w:r w:rsidR="0085245B" w:rsidRPr="000E2036">
        <w:rPr>
          <w:rFonts w:eastAsia="ヒラギノ明朝 Pro W3"/>
          <w:sz w:val="22"/>
          <w:szCs w:val="22"/>
          <w:lang w:val="en-GB" w:eastAsia="zh-CN"/>
        </w:rPr>
        <w:t>ed</w:t>
      </w:r>
      <w:r w:rsidRPr="000E2036">
        <w:rPr>
          <w:rFonts w:eastAsia="ヒラギノ明朝 Pro W3"/>
          <w:sz w:val="22"/>
          <w:szCs w:val="22"/>
          <w:lang w:val="en-GB" w:eastAsia="zh-CN"/>
        </w:rPr>
        <w:t xml:space="preserve"> CFAO</w:t>
      </w:r>
      <w:r w:rsidR="00B04C00">
        <w:rPr>
          <w:rFonts w:eastAsia="ヒラギノ明朝 Pro W3"/>
          <w:sz w:val="22"/>
          <w:szCs w:val="22"/>
          <w:lang w:val="en-GB" w:eastAsia="zh-CN"/>
        </w:rPr>
        <w:t>, making it a</w:t>
      </w:r>
      <w:r w:rsidRPr="000E2036">
        <w:rPr>
          <w:rFonts w:eastAsia="ヒラギノ明朝 Pro W3"/>
          <w:sz w:val="22"/>
          <w:szCs w:val="22"/>
          <w:lang w:val="en-GB" w:eastAsia="zh-CN"/>
        </w:rPr>
        <w:t xml:space="preserve"> wholly</w:t>
      </w:r>
      <w:r w:rsidR="00B01C3A">
        <w:rPr>
          <w:rFonts w:eastAsia="ヒラギノ明朝 Pro W3"/>
          <w:sz w:val="22"/>
          <w:szCs w:val="22"/>
          <w:lang w:val="en-GB" w:eastAsia="zh-CN"/>
        </w:rPr>
        <w:t xml:space="preserve"> </w:t>
      </w:r>
      <w:r w:rsidRPr="000E2036">
        <w:rPr>
          <w:rFonts w:eastAsia="ヒラギノ明朝 Pro W3"/>
          <w:sz w:val="22"/>
          <w:szCs w:val="22"/>
          <w:lang w:val="en-GB" w:eastAsia="zh-CN"/>
        </w:rPr>
        <w:t>owned subsidiary.</w:t>
      </w:r>
      <w:r w:rsidRPr="000E2036">
        <w:rPr>
          <w:rStyle w:val="EndnoteReference"/>
          <w:rFonts w:eastAsia="ヒラギノ明朝 Pro W3"/>
          <w:sz w:val="22"/>
          <w:szCs w:val="22"/>
          <w:lang w:val="en-GB" w:eastAsia="zh-CN"/>
        </w:rPr>
        <w:endnoteReference w:id="2"/>
      </w:r>
      <w:r w:rsidRPr="000E2036">
        <w:rPr>
          <w:rFonts w:eastAsia="ヒラギノ明朝 Pro W3"/>
          <w:sz w:val="22"/>
          <w:szCs w:val="22"/>
          <w:lang w:val="en-GB" w:eastAsia="zh-CN"/>
        </w:rPr>
        <w:t xml:space="preserve"> </w:t>
      </w:r>
      <w:r w:rsidR="0085245B" w:rsidRPr="000E2036">
        <w:rPr>
          <w:rFonts w:eastAsia="ヒラギノ明朝 Pro W3"/>
          <w:sz w:val="22"/>
          <w:szCs w:val="22"/>
          <w:lang w:val="en-GB" w:eastAsia="zh-CN"/>
        </w:rPr>
        <w:t>Earlier</w:t>
      </w:r>
      <w:r w:rsidRPr="000E2036">
        <w:rPr>
          <w:rFonts w:eastAsia="ヒラギノ明朝 Pro W3"/>
          <w:sz w:val="22"/>
          <w:szCs w:val="22"/>
          <w:lang w:val="en-GB" w:eastAsia="zh-CN"/>
        </w:rPr>
        <w:t xml:space="preserve"> in </w:t>
      </w:r>
      <w:r w:rsidR="00135F46" w:rsidRPr="000E2036">
        <w:rPr>
          <w:rFonts w:eastAsia="ヒラギノ明朝 Pro W3"/>
          <w:sz w:val="22"/>
          <w:szCs w:val="22"/>
          <w:lang w:val="en-GB" w:eastAsia="zh-CN"/>
        </w:rPr>
        <w:t>2016</w:t>
      </w:r>
      <w:r w:rsidRPr="000E2036">
        <w:rPr>
          <w:rFonts w:eastAsia="ヒラギノ明朝 Pro W3"/>
          <w:sz w:val="22"/>
          <w:szCs w:val="22"/>
          <w:lang w:val="en-GB" w:eastAsia="zh-CN"/>
        </w:rPr>
        <w:t xml:space="preserve">, TTC </w:t>
      </w:r>
      <w:r w:rsidR="0085245B" w:rsidRPr="000E2036">
        <w:rPr>
          <w:rFonts w:eastAsia="ヒラギノ明朝 Pro W3"/>
          <w:sz w:val="22"/>
          <w:szCs w:val="22"/>
          <w:lang w:val="en-GB" w:eastAsia="zh-CN"/>
        </w:rPr>
        <w:t xml:space="preserve">had </w:t>
      </w:r>
      <w:r w:rsidRPr="000E2036">
        <w:rPr>
          <w:rFonts w:eastAsia="ヒラギノ明朝 Pro W3"/>
          <w:sz w:val="22"/>
          <w:szCs w:val="22"/>
          <w:lang w:val="en-GB" w:eastAsia="zh-CN"/>
        </w:rPr>
        <w:t xml:space="preserve">registered </w:t>
      </w:r>
      <w:r w:rsidR="006A5DEF" w:rsidRPr="000E2036">
        <w:rPr>
          <w:rFonts w:eastAsia="ヒラギノ明朝 Pro W3"/>
          <w:sz w:val="22"/>
          <w:szCs w:val="22"/>
          <w:lang w:val="en-GB" w:eastAsia="zh-CN"/>
        </w:rPr>
        <w:t>its first financial loss in</w:t>
      </w:r>
      <w:r w:rsidRPr="000E2036">
        <w:rPr>
          <w:rFonts w:eastAsia="ヒラギノ明朝 Pro W3"/>
          <w:sz w:val="22"/>
          <w:szCs w:val="22"/>
          <w:lang w:val="en-GB" w:eastAsia="zh-CN"/>
        </w:rPr>
        <w:t xml:space="preserve"> </w:t>
      </w:r>
      <w:r w:rsidR="0085245B" w:rsidRPr="000E2036">
        <w:rPr>
          <w:rFonts w:eastAsia="ヒラギノ明朝 Pro W3"/>
          <w:sz w:val="22"/>
          <w:szCs w:val="22"/>
          <w:lang w:val="en-GB" w:eastAsia="zh-CN"/>
        </w:rPr>
        <w:t>16</w:t>
      </w:r>
      <w:r w:rsidRPr="000E2036">
        <w:rPr>
          <w:rFonts w:eastAsia="ヒラギノ明朝 Pro W3"/>
          <w:sz w:val="22"/>
          <w:szCs w:val="22"/>
          <w:lang w:val="en-GB" w:eastAsia="zh-CN"/>
        </w:rPr>
        <w:t xml:space="preserve"> years.</w:t>
      </w:r>
      <w:r w:rsidRPr="000E2036">
        <w:rPr>
          <w:rStyle w:val="EndnoteReference"/>
          <w:rFonts w:eastAsia="ヒラギノ明朝 Pro W3"/>
          <w:sz w:val="22"/>
          <w:szCs w:val="22"/>
          <w:lang w:val="en-GB" w:eastAsia="zh-CN"/>
        </w:rPr>
        <w:endnoteReference w:id="3"/>
      </w:r>
      <w:r w:rsidRPr="000E2036">
        <w:rPr>
          <w:rFonts w:eastAsia="ヒラギノ明朝 Pro W3"/>
          <w:sz w:val="22"/>
          <w:szCs w:val="22"/>
          <w:lang w:val="en-GB" w:eastAsia="zh-CN"/>
        </w:rPr>
        <w:t xml:space="preserve"> </w:t>
      </w:r>
      <w:r w:rsidR="00D02B74" w:rsidRPr="000E2036">
        <w:rPr>
          <w:rFonts w:eastAsia="ヒラギノ明朝 Pro W3"/>
          <w:sz w:val="22"/>
          <w:szCs w:val="22"/>
          <w:lang w:val="en-GB" w:eastAsia="zh-CN"/>
        </w:rPr>
        <w:t>TTC had become a majority shareholder of CFAO</w:t>
      </w:r>
      <w:r w:rsidR="0041369D" w:rsidRPr="000E2036">
        <w:rPr>
          <w:rFonts w:eastAsia="ヒラギノ明朝 Pro W3"/>
          <w:sz w:val="22"/>
          <w:szCs w:val="22"/>
          <w:lang w:val="en-GB" w:eastAsia="zh-CN"/>
        </w:rPr>
        <w:t xml:space="preserve"> i</w:t>
      </w:r>
      <w:r w:rsidRPr="000E2036">
        <w:rPr>
          <w:rFonts w:eastAsia="ヒラギノ明朝 Pro W3"/>
          <w:sz w:val="22"/>
          <w:szCs w:val="22"/>
          <w:lang w:val="en-GB" w:eastAsia="zh-CN"/>
        </w:rPr>
        <w:t>n 2012, following CFAO</w:t>
      </w:r>
      <w:r w:rsidR="00135F46" w:rsidRPr="000E2036">
        <w:rPr>
          <w:rFonts w:eastAsia="ヒラギノ明朝 Pro W3"/>
          <w:sz w:val="22"/>
          <w:szCs w:val="22"/>
          <w:lang w:val="en-GB" w:eastAsia="zh-CN"/>
        </w:rPr>
        <w:t xml:space="preserve">’s announcement </w:t>
      </w:r>
      <w:r w:rsidRPr="000E2036">
        <w:rPr>
          <w:rFonts w:eastAsia="ヒラギノ明朝 Pro W3"/>
          <w:sz w:val="22"/>
          <w:szCs w:val="22"/>
          <w:lang w:val="en-GB" w:eastAsia="zh-CN"/>
        </w:rPr>
        <w:t>t</w:t>
      </w:r>
      <w:r w:rsidR="00D02B74" w:rsidRPr="000E2036">
        <w:rPr>
          <w:rFonts w:eastAsia="ヒラギノ明朝 Pro W3"/>
          <w:sz w:val="22"/>
          <w:szCs w:val="22"/>
          <w:lang w:val="en-GB" w:eastAsia="zh-CN"/>
        </w:rPr>
        <w:t>hat it would</w:t>
      </w:r>
      <w:r w:rsidRPr="000E2036">
        <w:rPr>
          <w:rFonts w:eastAsia="ヒラギノ明朝 Pro W3"/>
          <w:sz w:val="22"/>
          <w:szCs w:val="22"/>
          <w:lang w:val="en-GB" w:eastAsia="zh-CN"/>
        </w:rPr>
        <w:t xml:space="preserve"> transfer parts of its capital.</w:t>
      </w:r>
      <w:r w:rsidRPr="000E2036">
        <w:rPr>
          <w:rStyle w:val="EndnoteReference"/>
          <w:rFonts w:eastAsia="ヒラギノ明朝 Pro W3"/>
          <w:sz w:val="22"/>
          <w:szCs w:val="22"/>
          <w:lang w:val="en-GB" w:eastAsia="zh-CN"/>
        </w:rPr>
        <w:endnoteReference w:id="4"/>
      </w:r>
      <w:r w:rsidRPr="000E2036">
        <w:rPr>
          <w:rFonts w:eastAsia="ヒラギノ明朝 Pro W3"/>
          <w:sz w:val="22"/>
          <w:szCs w:val="22"/>
          <w:lang w:val="en-GB" w:eastAsia="zh-CN"/>
        </w:rPr>
        <w:t xml:space="preserve"> </w:t>
      </w:r>
      <w:r w:rsidR="00D02B74" w:rsidRPr="000E2036">
        <w:rPr>
          <w:rFonts w:eastAsia="ヒラギノ明朝 Pro W3"/>
          <w:sz w:val="22"/>
          <w:szCs w:val="22"/>
          <w:lang w:val="en-GB" w:eastAsia="zh-CN"/>
        </w:rPr>
        <w:t>A</w:t>
      </w:r>
      <w:r w:rsidRPr="000E2036">
        <w:rPr>
          <w:rFonts w:eastAsia="ヒラギノ明朝 Pro W3"/>
          <w:sz w:val="22"/>
          <w:szCs w:val="22"/>
          <w:lang w:val="en-GB" w:eastAsia="zh-CN"/>
        </w:rPr>
        <w:t>s a member of the Toyota Group</w:t>
      </w:r>
      <w:r w:rsidR="00D02B74" w:rsidRPr="000E2036">
        <w:rPr>
          <w:rFonts w:eastAsia="ヒラギノ明朝 Pro W3"/>
          <w:sz w:val="22"/>
          <w:szCs w:val="22"/>
          <w:lang w:val="en-GB" w:eastAsia="zh-CN"/>
        </w:rPr>
        <w:t>, TTC</w:t>
      </w:r>
      <w:r w:rsidRPr="000E2036">
        <w:rPr>
          <w:rFonts w:eastAsia="ヒラギノ明朝 Pro W3"/>
          <w:sz w:val="22"/>
          <w:szCs w:val="22"/>
          <w:lang w:val="en-GB" w:eastAsia="zh-CN"/>
        </w:rPr>
        <w:t xml:space="preserve"> was among the seven top Japanese general trading houses.</w:t>
      </w:r>
      <w:r w:rsidRPr="000E2036">
        <w:rPr>
          <w:rStyle w:val="EndnoteReference"/>
          <w:rFonts w:eastAsia="ヒラギノ明朝 Pro W3"/>
          <w:sz w:val="22"/>
          <w:szCs w:val="22"/>
          <w:lang w:val="en-GB" w:eastAsia="zh-CN"/>
        </w:rPr>
        <w:endnoteReference w:id="5"/>
      </w:r>
      <w:r w:rsidRPr="000E2036">
        <w:rPr>
          <w:rFonts w:eastAsia="ヒラギノ明朝 Pro W3"/>
          <w:sz w:val="22"/>
          <w:szCs w:val="22"/>
          <w:lang w:val="en-GB" w:eastAsia="zh-CN"/>
        </w:rPr>
        <w:t xml:space="preserve"> These strategic moves were a part of its</w:t>
      </w:r>
      <w:r w:rsidR="005B123C" w:rsidRPr="000E2036">
        <w:rPr>
          <w:rFonts w:eastAsia="ヒラギノ明朝 Pro W3"/>
          <w:sz w:val="22"/>
          <w:szCs w:val="22"/>
          <w:lang w:val="en-GB" w:eastAsia="zh-CN"/>
        </w:rPr>
        <w:t xml:space="preserve"> corporate campaign</w:t>
      </w:r>
      <w:r w:rsidRPr="000E2036">
        <w:rPr>
          <w:rFonts w:eastAsia="ヒラギノ明朝 Pro W3"/>
          <w:sz w:val="22"/>
          <w:szCs w:val="22"/>
          <w:lang w:val="en-GB" w:eastAsia="zh-CN"/>
        </w:rPr>
        <w:t xml:space="preserve"> Vision 2015</w:t>
      </w:r>
      <w:r w:rsidR="00D02B74" w:rsidRPr="000E2036">
        <w:rPr>
          <w:rFonts w:eastAsia="ヒラギノ明朝 Pro W3"/>
          <w:sz w:val="22"/>
          <w:szCs w:val="22"/>
          <w:lang w:val="en-GB" w:eastAsia="zh-CN"/>
        </w:rPr>
        <w:t>—</w:t>
      </w:r>
      <w:r w:rsidRPr="000E2036">
        <w:rPr>
          <w:rFonts w:eastAsia="ヒラギノ明朝 Pro W3"/>
          <w:sz w:val="22"/>
          <w:szCs w:val="22"/>
          <w:lang w:val="en-GB" w:eastAsia="zh-CN"/>
        </w:rPr>
        <w:t>Lead the Next</w:t>
      </w:r>
      <w:r w:rsidR="00D02B74" w:rsidRPr="000E2036">
        <w:rPr>
          <w:rFonts w:eastAsia="ヒラギノ明朝 Pro W3"/>
          <w:sz w:val="22"/>
          <w:szCs w:val="22"/>
          <w:lang w:val="en-GB" w:eastAsia="zh-CN"/>
        </w:rPr>
        <w:t>,</w:t>
      </w:r>
      <w:r w:rsidRPr="000E2036">
        <w:rPr>
          <w:rFonts w:eastAsia="ヒラギノ明朝 Pro W3"/>
          <w:sz w:val="22"/>
          <w:szCs w:val="22"/>
          <w:lang w:val="en-GB" w:eastAsia="zh-CN"/>
        </w:rPr>
        <w:t xml:space="preserve"> launched in </w:t>
      </w:r>
      <w:r w:rsidR="00B04C00">
        <w:rPr>
          <w:rFonts w:eastAsia="ヒラギノ明朝 Pro W3"/>
          <w:sz w:val="22"/>
          <w:szCs w:val="22"/>
          <w:lang w:val="en-GB" w:eastAsia="zh-CN"/>
        </w:rPr>
        <w:t xml:space="preserve">fiscal year </w:t>
      </w:r>
      <w:r w:rsidR="00D02B74" w:rsidRPr="000E2036">
        <w:rPr>
          <w:rFonts w:eastAsia="ヒラギノ明朝 Pro W3"/>
          <w:sz w:val="22"/>
          <w:szCs w:val="22"/>
          <w:lang w:val="en-GB" w:eastAsia="zh-CN"/>
        </w:rPr>
        <w:t xml:space="preserve">(FY) </w:t>
      </w:r>
      <w:r w:rsidRPr="000E2036">
        <w:rPr>
          <w:rFonts w:eastAsia="ヒラギノ明朝 Pro W3"/>
          <w:sz w:val="22"/>
          <w:szCs w:val="22"/>
          <w:lang w:val="en-GB" w:eastAsia="zh-CN"/>
        </w:rPr>
        <w:t>2006/07.</w:t>
      </w:r>
      <w:r w:rsidRPr="000E2036">
        <w:rPr>
          <w:rStyle w:val="EndnoteReference"/>
          <w:rFonts w:eastAsia="ヒラギノ明朝 Pro W3"/>
          <w:sz w:val="22"/>
          <w:szCs w:val="22"/>
          <w:lang w:val="en-GB" w:eastAsia="zh-CN"/>
        </w:rPr>
        <w:endnoteReference w:id="6"/>
      </w:r>
      <w:r w:rsidRPr="000E2036">
        <w:rPr>
          <w:rFonts w:eastAsia="ヒラギノ明朝 Pro W3"/>
          <w:sz w:val="22"/>
          <w:szCs w:val="22"/>
          <w:lang w:val="en-GB" w:eastAsia="zh-CN"/>
        </w:rPr>
        <w:t xml:space="preserve"> Vision 2015 was formulated in conjunction with the inception of the new</w:t>
      </w:r>
      <w:r w:rsidR="0041369D" w:rsidRPr="000E2036">
        <w:rPr>
          <w:rFonts w:eastAsia="ヒラギノ明朝 Pro W3"/>
          <w:sz w:val="22"/>
          <w:szCs w:val="22"/>
          <w:lang w:val="en-GB" w:eastAsia="zh-CN"/>
        </w:rPr>
        <w:t>, more diversified</w:t>
      </w:r>
      <w:r w:rsidRPr="000E2036">
        <w:rPr>
          <w:rFonts w:eastAsia="ヒラギノ明朝 Pro W3"/>
          <w:sz w:val="22"/>
          <w:szCs w:val="22"/>
          <w:lang w:val="en-GB" w:eastAsia="zh-CN"/>
        </w:rPr>
        <w:t xml:space="preserve"> TTC</w:t>
      </w:r>
      <w:r w:rsidR="0041369D" w:rsidRPr="000E2036">
        <w:rPr>
          <w:rFonts w:eastAsia="ヒラギノ明朝 Pro W3"/>
          <w:sz w:val="22"/>
          <w:szCs w:val="22"/>
          <w:lang w:val="en-GB" w:eastAsia="zh-CN"/>
        </w:rPr>
        <w:t xml:space="preserve">, which </w:t>
      </w:r>
      <w:r w:rsidR="00D02B74" w:rsidRPr="000E2036">
        <w:rPr>
          <w:rFonts w:eastAsia="ヒラギノ明朝 Pro W3"/>
          <w:sz w:val="22"/>
          <w:szCs w:val="22"/>
          <w:lang w:val="en-GB" w:eastAsia="zh-CN"/>
        </w:rPr>
        <w:t>resulted from a</w:t>
      </w:r>
      <w:r w:rsidRPr="000E2036">
        <w:rPr>
          <w:rFonts w:eastAsia="ヒラギノ明朝 Pro W3"/>
          <w:sz w:val="22"/>
          <w:szCs w:val="22"/>
          <w:lang w:val="en-GB" w:eastAsia="zh-CN"/>
        </w:rPr>
        <w:t xml:space="preserve"> merger between the former TTC and another </w:t>
      </w:r>
      <w:r w:rsidR="0041369D" w:rsidRPr="000E2036">
        <w:rPr>
          <w:rFonts w:eastAsia="ヒラギノ明朝 Pro W3"/>
          <w:sz w:val="22"/>
          <w:szCs w:val="22"/>
          <w:lang w:val="en-GB" w:eastAsia="zh-CN"/>
        </w:rPr>
        <w:t xml:space="preserve">Japanese </w:t>
      </w:r>
      <w:r w:rsidRPr="000E2036">
        <w:rPr>
          <w:rFonts w:eastAsia="ヒラギノ明朝 Pro W3"/>
          <w:sz w:val="22"/>
          <w:szCs w:val="22"/>
          <w:lang w:val="en-GB" w:eastAsia="zh-CN"/>
        </w:rPr>
        <w:t>general trading house</w:t>
      </w:r>
      <w:r w:rsidR="00B04C00">
        <w:rPr>
          <w:rFonts w:eastAsia="ヒラギノ明朝 Pro W3"/>
          <w:sz w:val="22"/>
          <w:szCs w:val="22"/>
          <w:lang w:val="en-GB" w:eastAsia="zh-CN"/>
        </w:rPr>
        <w:t xml:space="preserve">, </w:t>
      </w:r>
      <w:r w:rsidRPr="000E2036">
        <w:rPr>
          <w:rFonts w:eastAsia="ヒラギノ明朝 Pro W3"/>
          <w:sz w:val="22"/>
          <w:szCs w:val="22"/>
          <w:lang w:val="en-GB" w:eastAsia="zh-CN"/>
        </w:rPr>
        <w:t>Tomen Corporation</w:t>
      </w:r>
      <w:r w:rsidR="00FD5433">
        <w:rPr>
          <w:rFonts w:eastAsia="ヒラギノ明朝 Pro W3"/>
          <w:sz w:val="22"/>
          <w:szCs w:val="22"/>
          <w:lang w:val="en-GB" w:eastAsia="zh-CN"/>
        </w:rPr>
        <w:t xml:space="preserve"> (Tomen)</w:t>
      </w:r>
      <w:r w:rsidRPr="000E2036">
        <w:rPr>
          <w:rFonts w:eastAsia="ヒラギノ明朝 Pro W3"/>
          <w:sz w:val="22"/>
          <w:szCs w:val="22"/>
          <w:lang w:val="en-GB" w:eastAsia="zh-CN"/>
        </w:rPr>
        <w:t>.</w:t>
      </w:r>
      <w:r w:rsidRPr="000E2036">
        <w:rPr>
          <w:rStyle w:val="EndnoteReference"/>
          <w:rFonts w:eastAsia="ヒラギノ明朝 Pro W3"/>
          <w:sz w:val="22"/>
          <w:szCs w:val="22"/>
          <w:lang w:val="en-GB" w:eastAsia="zh-CN"/>
        </w:rPr>
        <w:endnoteReference w:id="7"/>
      </w:r>
      <w:r w:rsidRPr="000E2036">
        <w:rPr>
          <w:rFonts w:eastAsia="ヒラギノ明朝 Pro W3"/>
          <w:sz w:val="22"/>
          <w:szCs w:val="22"/>
          <w:lang w:val="en-GB" w:eastAsia="zh-CN"/>
        </w:rPr>
        <w:t xml:space="preserve"> This corporate vision aimed</w:t>
      </w:r>
      <w:r w:rsidR="008904A4" w:rsidRPr="000E2036">
        <w:rPr>
          <w:rFonts w:eastAsia="ヒラギノ明朝 Pro W3"/>
          <w:sz w:val="22"/>
          <w:szCs w:val="22"/>
          <w:lang w:val="en-GB" w:eastAsia="zh-CN"/>
        </w:rPr>
        <w:t xml:space="preserve"> particularly</w:t>
      </w:r>
      <w:r w:rsidRPr="000E2036">
        <w:rPr>
          <w:rFonts w:eastAsia="ヒラギノ明朝 Pro W3"/>
          <w:sz w:val="22"/>
          <w:szCs w:val="22"/>
          <w:lang w:val="en-GB" w:eastAsia="zh-CN"/>
        </w:rPr>
        <w:t xml:space="preserve"> to reduce its dependence on the Toyota Group by diversifying to increase earnings from non-automotive businesses and to define a long-term plan for sustainability</w:t>
      </w:r>
      <w:r w:rsidR="00FD5433">
        <w:rPr>
          <w:rFonts w:eastAsia="ヒラギノ明朝 Pro W3"/>
          <w:sz w:val="22"/>
          <w:szCs w:val="22"/>
          <w:lang w:val="en-GB" w:eastAsia="zh-CN"/>
        </w:rPr>
        <w:t>,</w:t>
      </w:r>
      <w:r w:rsidRPr="000E2036">
        <w:rPr>
          <w:rFonts w:eastAsia="ヒラギノ明朝 Pro W3"/>
          <w:sz w:val="22"/>
          <w:szCs w:val="22"/>
          <w:lang w:val="en-GB" w:eastAsia="zh-CN"/>
        </w:rPr>
        <w:t xml:space="preserve"> w</w:t>
      </w:r>
      <w:r w:rsidR="00F42847" w:rsidRPr="000E2036">
        <w:rPr>
          <w:rFonts w:eastAsia="ヒラギノ明朝 Pro W3"/>
          <w:sz w:val="22"/>
          <w:szCs w:val="22"/>
          <w:lang w:val="en-GB" w:eastAsia="zh-CN"/>
        </w:rPr>
        <w:t>ith</w:t>
      </w:r>
      <w:r w:rsidRPr="000E2036">
        <w:rPr>
          <w:rFonts w:eastAsia="ヒラギノ明朝 Pro W3"/>
          <w:sz w:val="22"/>
          <w:szCs w:val="22"/>
          <w:lang w:val="en-GB" w:eastAsia="zh-CN"/>
        </w:rPr>
        <w:t xml:space="preserve"> Africa as a target region.</w:t>
      </w:r>
      <w:r w:rsidRPr="000E2036">
        <w:rPr>
          <w:rStyle w:val="EndnoteReference"/>
          <w:rFonts w:eastAsia="ヒラギノ明朝 Pro W3"/>
          <w:sz w:val="22"/>
          <w:szCs w:val="22"/>
          <w:lang w:val="en-GB" w:eastAsia="zh-CN"/>
        </w:rPr>
        <w:endnoteReference w:id="8"/>
      </w:r>
      <w:r w:rsidRPr="000E2036">
        <w:rPr>
          <w:rFonts w:eastAsia="ヒラギノ明朝 Pro W3"/>
          <w:sz w:val="22"/>
          <w:szCs w:val="22"/>
          <w:lang w:val="en-GB" w:eastAsia="zh-CN"/>
        </w:rPr>
        <w:t xml:space="preserve"> </w:t>
      </w:r>
      <w:r w:rsidR="00F42847" w:rsidRPr="000E2036">
        <w:rPr>
          <w:rFonts w:eastAsia="ヒラギノ明朝 Pro W3"/>
          <w:sz w:val="22"/>
          <w:szCs w:val="22"/>
          <w:lang w:val="en-GB" w:eastAsia="zh-CN"/>
        </w:rPr>
        <w:t>However, many questions still remained.</w:t>
      </w:r>
    </w:p>
    <w:p w14:paraId="0E421687" w14:textId="77777777" w:rsidR="00D91625" w:rsidRPr="000E2036" w:rsidRDefault="00D91625" w:rsidP="00887434">
      <w:pPr>
        <w:jc w:val="both"/>
        <w:rPr>
          <w:rFonts w:eastAsia="ヒラギノ明朝 Pro W3"/>
          <w:sz w:val="22"/>
          <w:szCs w:val="22"/>
          <w:lang w:val="en-GB" w:eastAsia="zh-CN"/>
        </w:rPr>
      </w:pPr>
    </w:p>
    <w:p w14:paraId="15061FA4" w14:textId="4B7A47B0" w:rsidR="00BD1B76" w:rsidRPr="000E2036" w:rsidRDefault="008904A4" w:rsidP="000E4F83">
      <w:pPr>
        <w:jc w:val="both"/>
        <w:rPr>
          <w:rFonts w:eastAsia="ヒラギノ明朝 Pro W3"/>
          <w:sz w:val="22"/>
          <w:szCs w:val="22"/>
          <w:lang w:val="en-GB" w:eastAsia="zh-CN"/>
        </w:rPr>
      </w:pPr>
      <w:r w:rsidRPr="000E2036">
        <w:rPr>
          <w:rFonts w:eastAsia="ヒラギノ明朝 Pro W3"/>
          <w:sz w:val="22"/>
          <w:szCs w:val="22"/>
          <w:lang w:val="en-GB" w:eastAsia="zh-CN"/>
        </w:rPr>
        <w:t>W</w:t>
      </w:r>
      <w:r w:rsidR="00F502BA" w:rsidRPr="000E2036">
        <w:rPr>
          <w:rFonts w:eastAsia="ヒラギノ明朝 Pro W3"/>
          <w:sz w:val="22"/>
          <w:szCs w:val="22"/>
          <w:lang w:val="en-GB" w:eastAsia="zh-CN"/>
        </w:rPr>
        <w:t>hy did</w:t>
      </w:r>
      <w:r w:rsidR="00663868" w:rsidRPr="000E2036">
        <w:rPr>
          <w:rFonts w:eastAsia="ヒラギノ明朝 Pro W3"/>
          <w:sz w:val="22"/>
          <w:szCs w:val="22"/>
          <w:lang w:val="en-GB" w:eastAsia="zh-CN"/>
        </w:rPr>
        <w:t xml:space="preserve"> </w:t>
      </w:r>
      <w:r w:rsidR="00D02B74" w:rsidRPr="000E2036">
        <w:rPr>
          <w:rFonts w:eastAsia="ヒラギノ明朝 Pro W3"/>
          <w:sz w:val="22"/>
          <w:szCs w:val="22"/>
          <w:lang w:val="en-GB" w:eastAsia="zh-CN"/>
        </w:rPr>
        <w:t xml:space="preserve">CFAO, </w:t>
      </w:r>
      <w:r w:rsidR="00663868" w:rsidRPr="000E2036">
        <w:rPr>
          <w:rFonts w:eastAsia="ヒラギノ明朝 Pro W3"/>
          <w:sz w:val="22"/>
          <w:szCs w:val="22"/>
          <w:lang w:val="en-GB" w:eastAsia="zh-CN"/>
        </w:rPr>
        <w:t xml:space="preserve">a well-performing </w:t>
      </w:r>
      <w:r w:rsidR="00D02B74" w:rsidRPr="000E2036">
        <w:rPr>
          <w:rFonts w:eastAsia="ヒラギノ明朝 Pro W3"/>
          <w:sz w:val="22"/>
          <w:szCs w:val="22"/>
          <w:lang w:val="en-GB" w:eastAsia="zh-CN"/>
        </w:rPr>
        <w:t>trading company,</w:t>
      </w:r>
      <w:r w:rsidR="00CC762B" w:rsidRPr="000E2036">
        <w:rPr>
          <w:rStyle w:val="EndnoteReference"/>
          <w:rFonts w:eastAsia="ヒラギノ明朝 Pro W3"/>
          <w:sz w:val="22"/>
          <w:szCs w:val="22"/>
          <w:lang w:val="en-GB" w:eastAsia="zh-CN"/>
        </w:rPr>
        <w:endnoteReference w:id="9"/>
      </w:r>
      <w:r w:rsidR="00CC762B" w:rsidRPr="000E2036">
        <w:rPr>
          <w:rFonts w:eastAsia="ヒラギノ明朝 Pro W3"/>
          <w:sz w:val="22"/>
          <w:szCs w:val="22"/>
          <w:lang w:val="en-GB" w:eastAsia="zh-CN"/>
        </w:rPr>
        <w:t xml:space="preserve"> transfer its majority equity to TTC? What were TTC’s motivations </w:t>
      </w:r>
      <w:r w:rsidR="00FD5433">
        <w:rPr>
          <w:rFonts w:eastAsia="ヒラギノ明朝 Pro W3"/>
          <w:sz w:val="22"/>
          <w:szCs w:val="22"/>
          <w:lang w:val="en-GB" w:eastAsia="zh-CN"/>
        </w:rPr>
        <w:t>in</w:t>
      </w:r>
      <w:r w:rsidR="00FD5433" w:rsidRPr="000E2036">
        <w:rPr>
          <w:rFonts w:eastAsia="ヒラギノ明朝 Pro W3"/>
          <w:sz w:val="22"/>
          <w:szCs w:val="22"/>
          <w:lang w:val="en-GB" w:eastAsia="zh-CN"/>
        </w:rPr>
        <w:t xml:space="preserve"> acquir</w:t>
      </w:r>
      <w:r w:rsidR="00FD5433">
        <w:rPr>
          <w:rFonts w:eastAsia="ヒラギノ明朝 Pro W3"/>
          <w:sz w:val="22"/>
          <w:szCs w:val="22"/>
          <w:lang w:val="en-GB" w:eastAsia="zh-CN"/>
        </w:rPr>
        <w:t>ing</w:t>
      </w:r>
      <w:r w:rsidR="00FD5433" w:rsidRPr="000E2036">
        <w:rPr>
          <w:rFonts w:eastAsia="ヒラギノ明朝 Pro W3"/>
          <w:sz w:val="22"/>
          <w:szCs w:val="22"/>
          <w:lang w:val="en-GB" w:eastAsia="zh-CN"/>
        </w:rPr>
        <w:t xml:space="preserve"> </w:t>
      </w:r>
      <w:r w:rsidR="00CC762B" w:rsidRPr="000E2036">
        <w:rPr>
          <w:rFonts w:eastAsia="ヒラギノ明朝 Pro W3"/>
          <w:sz w:val="22"/>
          <w:szCs w:val="22"/>
          <w:lang w:val="en-GB" w:eastAsia="zh-CN"/>
        </w:rPr>
        <w:t xml:space="preserve">CFAO and </w:t>
      </w:r>
      <w:r w:rsidR="00D02B74" w:rsidRPr="000E2036">
        <w:rPr>
          <w:rFonts w:eastAsia="ヒラギノ明朝 Pro W3"/>
          <w:sz w:val="22"/>
          <w:szCs w:val="22"/>
          <w:lang w:val="en-GB" w:eastAsia="zh-CN"/>
        </w:rPr>
        <w:t>its</w:t>
      </w:r>
      <w:r w:rsidR="00CC762B" w:rsidRPr="000E2036">
        <w:rPr>
          <w:rFonts w:eastAsia="ヒラギノ明朝 Pro W3"/>
          <w:sz w:val="22"/>
          <w:szCs w:val="22"/>
          <w:lang w:val="en-GB" w:eastAsia="zh-CN"/>
        </w:rPr>
        <w:t xml:space="preserve"> complementarities? Given </w:t>
      </w:r>
      <w:r w:rsidR="00D02B74" w:rsidRPr="000E2036">
        <w:rPr>
          <w:rFonts w:eastAsia="ヒラギノ明朝 Pro W3"/>
          <w:sz w:val="22"/>
          <w:szCs w:val="22"/>
          <w:lang w:val="en-GB" w:eastAsia="zh-CN"/>
        </w:rPr>
        <w:t>the</w:t>
      </w:r>
      <w:r w:rsidR="00CC762B" w:rsidRPr="000E2036">
        <w:rPr>
          <w:rFonts w:eastAsia="ヒラギノ明朝 Pro W3"/>
          <w:sz w:val="22"/>
          <w:szCs w:val="22"/>
          <w:lang w:val="en-GB" w:eastAsia="zh-CN"/>
        </w:rPr>
        <w:t xml:space="preserve"> increased sales and earning</w:t>
      </w:r>
      <w:r w:rsidR="00BD1B76" w:rsidRPr="000E2036">
        <w:rPr>
          <w:rFonts w:eastAsia="ヒラギノ明朝 Pro W3"/>
          <w:sz w:val="22"/>
          <w:szCs w:val="22"/>
          <w:lang w:val="en-GB" w:eastAsia="zh-CN"/>
        </w:rPr>
        <w:t>s that TTC reported</w:t>
      </w:r>
      <w:r w:rsidR="00CC762B" w:rsidRPr="000E2036">
        <w:rPr>
          <w:rFonts w:eastAsia="ヒラギノ明朝 Pro W3"/>
          <w:sz w:val="22"/>
          <w:szCs w:val="22"/>
          <w:lang w:val="en-GB" w:eastAsia="zh-CN"/>
        </w:rPr>
        <w:t xml:space="preserve"> following its largest-ever investment in CFAO in 2012,</w:t>
      </w:r>
      <w:r w:rsidR="00CC762B" w:rsidRPr="000E2036">
        <w:rPr>
          <w:rStyle w:val="EndnoteReference"/>
          <w:rFonts w:eastAsia="ヒラギノ明朝 Pro W3"/>
          <w:sz w:val="22"/>
          <w:szCs w:val="22"/>
          <w:lang w:val="en-GB" w:eastAsia="zh-CN"/>
        </w:rPr>
        <w:endnoteReference w:id="10"/>
      </w:r>
      <w:r w:rsidR="00CC762B" w:rsidRPr="000E2036">
        <w:rPr>
          <w:rFonts w:eastAsia="ヒラギノ明朝 Pro W3"/>
          <w:sz w:val="22"/>
          <w:szCs w:val="22"/>
          <w:lang w:val="en-GB" w:eastAsia="zh-CN"/>
        </w:rPr>
        <w:t xml:space="preserve"> </w:t>
      </w:r>
      <w:r w:rsidR="0040160B" w:rsidRPr="000E2036">
        <w:rPr>
          <w:rFonts w:eastAsia="ヒラギノ明朝 Pro W3"/>
          <w:sz w:val="22"/>
          <w:szCs w:val="22"/>
          <w:lang w:val="en-GB" w:eastAsia="zh-CN"/>
        </w:rPr>
        <w:t xml:space="preserve">was such positive performance a result of synergies or just a simple sum </w:t>
      </w:r>
      <w:r w:rsidR="0041369D" w:rsidRPr="000E2036">
        <w:rPr>
          <w:rFonts w:eastAsia="ヒラギノ明朝 Pro W3"/>
          <w:sz w:val="22"/>
          <w:szCs w:val="22"/>
          <w:lang w:val="en-GB" w:eastAsia="zh-CN"/>
        </w:rPr>
        <w:t>of</w:t>
      </w:r>
      <w:r w:rsidR="0040160B" w:rsidRPr="000E2036">
        <w:rPr>
          <w:rFonts w:eastAsia="ヒラギノ明朝 Pro W3"/>
          <w:sz w:val="22"/>
          <w:szCs w:val="22"/>
          <w:lang w:val="en-GB" w:eastAsia="zh-CN"/>
        </w:rPr>
        <w:t xml:space="preserve"> the consolidation and a trend in the vehicle industry?</w:t>
      </w:r>
      <w:r w:rsidR="00887434" w:rsidRPr="000E2036">
        <w:rPr>
          <w:rFonts w:eastAsia="ヒラギノ明朝 Pro W3"/>
          <w:sz w:val="22"/>
          <w:szCs w:val="22"/>
          <w:lang w:val="en-GB" w:eastAsia="zh-CN"/>
        </w:rPr>
        <w:t xml:space="preserve"> </w:t>
      </w:r>
    </w:p>
    <w:p w14:paraId="42FCF9B6" w14:textId="77777777" w:rsidR="00BD1B76" w:rsidRPr="000E2036" w:rsidRDefault="00BD1B76" w:rsidP="000E4F83">
      <w:pPr>
        <w:jc w:val="both"/>
        <w:rPr>
          <w:rFonts w:eastAsia="ヒラギノ明朝 Pro W3"/>
          <w:sz w:val="22"/>
          <w:szCs w:val="22"/>
          <w:lang w:val="en-GB" w:eastAsia="zh-CN"/>
        </w:rPr>
      </w:pPr>
    </w:p>
    <w:p w14:paraId="61BC56BC" w14:textId="2D1D0A9F" w:rsidR="00F42847" w:rsidRDefault="00ED6A06" w:rsidP="000E4F83">
      <w:pPr>
        <w:jc w:val="both"/>
        <w:rPr>
          <w:rFonts w:eastAsia="ヒラギノ明朝 Pro W3"/>
          <w:sz w:val="22"/>
          <w:szCs w:val="22"/>
          <w:lang w:val="en-GB" w:eastAsia="zh-CN"/>
        </w:rPr>
      </w:pPr>
      <w:r w:rsidRPr="000E2036">
        <w:rPr>
          <w:rFonts w:eastAsia="ヒラギノ明朝 Pro W3"/>
          <w:sz w:val="22"/>
          <w:szCs w:val="22"/>
          <w:lang w:val="en-GB" w:eastAsia="zh-CN"/>
        </w:rPr>
        <w:t xml:space="preserve">In the early equity participation in 2012, TTC </w:t>
      </w:r>
      <w:r w:rsidR="00732345" w:rsidRPr="000E2036">
        <w:rPr>
          <w:rFonts w:eastAsia="ヒラギノ明朝 Pro W3"/>
          <w:sz w:val="22"/>
          <w:szCs w:val="22"/>
          <w:lang w:val="en-GB" w:eastAsia="zh-CN"/>
        </w:rPr>
        <w:t xml:space="preserve">had </w:t>
      </w:r>
      <w:r w:rsidRPr="000E2036">
        <w:rPr>
          <w:rFonts w:eastAsia="ヒラギノ明朝 Pro W3"/>
          <w:sz w:val="22"/>
          <w:szCs w:val="22"/>
          <w:lang w:val="en-GB" w:eastAsia="zh-CN"/>
        </w:rPr>
        <w:t>preserved CFAO’s operational autonomy and its public listing status</w:t>
      </w:r>
      <w:r w:rsidR="00BD1B76" w:rsidRPr="000E2036">
        <w:rPr>
          <w:rFonts w:eastAsia="ヒラギノ明朝 Pro W3"/>
          <w:sz w:val="22"/>
          <w:szCs w:val="22"/>
          <w:lang w:val="en-GB" w:eastAsia="zh-CN"/>
        </w:rPr>
        <w:t>.</w:t>
      </w:r>
      <w:r w:rsidRPr="000E2036">
        <w:rPr>
          <w:rStyle w:val="EndnoteReference"/>
          <w:rFonts w:eastAsia="ヒラギノ明朝 Pro W3"/>
          <w:sz w:val="22"/>
          <w:szCs w:val="22"/>
          <w:lang w:val="en-GB" w:eastAsia="zh-CN"/>
        </w:rPr>
        <w:endnoteReference w:id="11"/>
      </w:r>
      <w:r w:rsidRPr="000E2036">
        <w:rPr>
          <w:rFonts w:eastAsia="ヒラギノ明朝 Pro W3"/>
          <w:sz w:val="22"/>
          <w:szCs w:val="22"/>
          <w:lang w:val="en-GB" w:eastAsia="zh-CN"/>
        </w:rPr>
        <w:t xml:space="preserve"> </w:t>
      </w:r>
      <w:r w:rsidR="00BD1B76" w:rsidRPr="000E2036">
        <w:rPr>
          <w:rFonts w:eastAsia="ヒラギノ明朝 Pro W3"/>
          <w:sz w:val="22"/>
          <w:szCs w:val="22"/>
          <w:lang w:val="en-GB" w:eastAsia="zh-CN"/>
        </w:rPr>
        <w:t>W</w:t>
      </w:r>
      <w:r w:rsidRPr="000E2036">
        <w:rPr>
          <w:rFonts w:eastAsia="ヒラギノ明朝 Pro W3"/>
          <w:sz w:val="22"/>
          <w:szCs w:val="22"/>
          <w:lang w:val="en-GB" w:eastAsia="zh-CN"/>
        </w:rPr>
        <w:t xml:space="preserve">hy </w:t>
      </w:r>
      <w:r w:rsidR="00BD1B76" w:rsidRPr="000E2036">
        <w:rPr>
          <w:rFonts w:eastAsia="ヒラギノ明朝 Pro W3"/>
          <w:sz w:val="22"/>
          <w:szCs w:val="22"/>
          <w:lang w:val="en-GB" w:eastAsia="zh-CN"/>
        </w:rPr>
        <w:t xml:space="preserve">then </w:t>
      </w:r>
      <w:r w:rsidRPr="000E2036">
        <w:rPr>
          <w:rFonts w:eastAsia="ヒラギノ明朝 Pro W3"/>
          <w:sz w:val="22"/>
          <w:szCs w:val="22"/>
          <w:lang w:val="en-GB" w:eastAsia="zh-CN"/>
        </w:rPr>
        <w:t>did TTC delist and</w:t>
      </w:r>
      <w:r w:rsidR="0041369D" w:rsidRPr="000E2036">
        <w:rPr>
          <w:rFonts w:eastAsia="ヒラギノ明朝 Pro W3"/>
          <w:sz w:val="22"/>
          <w:szCs w:val="22"/>
          <w:lang w:val="en-GB" w:eastAsia="zh-CN"/>
        </w:rPr>
        <w:t xml:space="preserve"> fully</w:t>
      </w:r>
      <w:r w:rsidRPr="000E2036">
        <w:rPr>
          <w:rFonts w:eastAsia="ヒラギノ明朝 Pro W3"/>
          <w:sz w:val="22"/>
          <w:szCs w:val="22"/>
          <w:lang w:val="en-GB" w:eastAsia="zh-CN"/>
        </w:rPr>
        <w:t xml:space="preserve"> internalize </w:t>
      </w:r>
      <w:r w:rsidR="00732345" w:rsidRPr="000E2036">
        <w:rPr>
          <w:rFonts w:eastAsia="ヒラギノ明朝 Pro W3"/>
          <w:sz w:val="22"/>
          <w:szCs w:val="22"/>
          <w:lang w:val="en-GB" w:eastAsia="zh-CN"/>
        </w:rPr>
        <w:t>the company in 2016</w:t>
      </w:r>
      <w:r w:rsidRPr="000E2036">
        <w:rPr>
          <w:rFonts w:eastAsia="ヒラギノ明朝 Pro W3"/>
          <w:sz w:val="22"/>
          <w:szCs w:val="22"/>
          <w:lang w:val="en-GB" w:eastAsia="zh-CN"/>
        </w:rPr>
        <w:t xml:space="preserve">? </w:t>
      </w:r>
      <w:r w:rsidR="00887434" w:rsidRPr="000E2036">
        <w:rPr>
          <w:rFonts w:eastAsia="ヒラギノ明朝 Pro W3"/>
          <w:sz w:val="22"/>
          <w:szCs w:val="22"/>
          <w:lang w:val="en-GB" w:eastAsia="zh-CN"/>
        </w:rPr>
        <w:t xml:space="preserve">Was there a link between poor performance in 2016 and the acquisition of CFAO? </w:t>
      </w:r>
      <w:r w:rsidRPr="000E2036">
        <w:rPr>
          <w:rFonts w:eastAsia="ヒラギノ明朝 Pro W3"/>
          <w:sz w:val="22"/>
          <w:szCs w:val="22"/>
          <w:lang w:val="en-GB" w:eastAsia="zh-CN"/>
        </w:rPr>
        <w:t xml:space="preserve">After the acquisition, how should CFAO </w:t>
      </w:r>
      <w:r w:rsidR="00BD1B76" w:rsidRPr="000E2036">
        <w:rPr>
          <w:rFonts w:eastAsia="ヒラギノ明朝 Pro W3"/>
          <w:sz w:val="22"/>
          <w:szCs w:val="22"/>
          <w:lang w:val="en-GB" w:eastAsia="zh-CN"/>
        </w:rPr>
        <w:t xml:space="preserve">have </w:t>
      </w:r>
      <w:r w:rsidRPr="000E2036">
        <w:rPr>
          <w:rFonts w:eastAsia="ヒラギノ明朝 Pro W3"/>
          <w:sz w:val="22"/>
          <w:szCs w:val="22"/>
          <w:lang w:val="en-GB" w:eastAsia="zh-CN"/>
        </w:rPr>
        <w:t>solve</w:t>
      </w:r>
      <w:r w:rsidR="00BD1B76" w:rsidRPr="000E2036">
        <w:rPr>
          <w:rFonts w:eastAsia="ヒラギノ明朝 Pro W3"/>
          <w:sz w:val="22"/>
          <w:szCs w:val="22"/>
          <w:lang w:val="en-GB" w:eastAsia="zh-CN"/>
        </w:rPr>
        <w:t>d</w:t>
      </w:r>
      <w:r w:rsidRPr="000E2036">
        <w:rPr>
          <w:rFonts w:eastAsia="ヒラギノ明朝 Pro W3"/>
          <w:sz w:val="22"/>
          <w:szCs w:val="22"/>
          <w:lang w:val="en-GB" w:eastAsia="zh-CN"/>
        </w:rPr>
        <w:t xml:space="preserve"> the conflict</w:t>
      </w:r>
      <w:r w:rsidR="00FD5433">
        <w:rPr>
          <w:rFonts w:eastAsia="ヒラギノ明朝 Pro W3"/>
          <w:sz w:val="22"/>
          <w:szCs w:val="22"/>
          <w:lang w:val="en-GB" w:eastAsia="zh-CN"/>
        </w:rPr>
        <w:t>s</w:t>
      </w:r>
      <w:r w:rsidRPr="000E2036">
        <w:rPr>
          <w:rFonts w:eastAsia="ヒラギノ明朝 Pro W3"/>
          <w:sz w:val="22"/>
          <w:szCs w:val="22"/>
          <w:lang w:val="en-GB" w:eastAsia="zh-CN"/>
        </w:rPr>
        <w:t xml:space="preserve"> of interest between its existing automotive customers and the Toyota Group</w:t>
      </w:r>
      <w:r w:rsidR="00732345" w:rsidRPr="000E2036">
        <w:rPr>
          <w:rFonts w:eastAsia="ヒラギノ明朝 Pro W3"/>
          <w:sz w:val="22"/>
          <w:szCs w:val="22"/>
          <w:lang w:val="en-GB" w:eastAsia="zh-CN"/>
        </w:rPr>
        <w:t>—</w:t>
      </w:r>
      <w:r w:rsidR="00BD1B76" w:rsidRPr="000E2036">
        <w:rPr>
          <w:rFonts w:eastAsia="ヒラギノ明朝 Pro W3"/>
          <w:sz w:val="22"/>
          <w:szCs w:val="22"/>
          <w:lang w:val="en-GB" w:eastAsia="zh-CN"/>
        </w:rPr>
        <w:t>i</w:t>
      </w:r>
      <w:r w:rsidRPr="000E2036">
        <w:rPr>
          <w:rFonts w:eastAsia="ヒラギノ明朝 Pro W3"/>
          <w:sz w:val="22"/>
          <w:szCs w:val="22"/>
          <w:lang w:val="en-GB" w:eastAsia="zh-CN"/>
        </w:rPr>
        <w:t>t</w:t>
      </w:r>
      <w:r w:rsidR="00BD1B76" w:rsidRPr="000E2036">
        <w:rPr>
          <w:rFonts w:eastAsia="ヒラギノ明朝 Pro W3"/>
          <w:sz w:val="22"/>
          <w:szCs w:val="22"/>
          <w:lang w:val="en-GB" w:eastAsia="zh-CN"/>
        </w:rPr>
        <w:t>s</w:t>
      </w:r>
      <w:r w:rsidRPr="000E2036">
        <w:rPr>
          <w:rFonts w:eastAsia="ヒラギノ明朝 Pro W3"/>
          <w:sz w:val="22"/>
          <w:szCs w:val="22"/>
          <w:lang w:val="en-GB" w:eastAsia="zh-CN"/>
        </w:rPr>
        <w:t xml:space="preserve"> major rival?</w:t>
      </w:r>
      <w:r w:rsidRPr="000E2036">
        <w:rPr>
          <w:rStyle w:val="EndnoteReference"/>
          <w:rFonts w:eastAsia="ヒラギノ明朝 Pro W3"/>
          <w:sz w:val="22"/>
          <w:szCs w:val="22"/>
          <w:lang w:val="en-GB" w:eastAsia="zh-CN"/>
        </w:rPr>
        <w:endnoteReference w:id="12"/>
      </w:r>
      <w:r w:rsidRPr="000E2036">
        <w:rPr>
          <w:rFonts w:eastAsia="ヒラギノ明朝 Pro W3"/>
          <w:sz w:val="22"/>
          <w:szCs w:val="22"/>
          <w:lang w:val="en-GB" w:eastAsia="zh-CN"/>
        </w:rPr>
        <w:t xml:space="preserve"> </w:t>
      </w:r>
      <w:r w:rsidR="009D48E1" w:rsidRPr="000E2036">
        <w:rPr>
          <w:rFonts w:eastAsia="ヒラギノ明朝 Pro W3"/>
          <w:sz w:val="22"/>
          <w:szCs w:val="22"/>
          <w:lang w:val="en-GB" w:eastAsia="zh-CN"/>
        </w:rPr>
        <w:t xml:space="preserve">As the early mover in the African market, how could CFAO defend its leader position from the entry of major </w:t>
      </w:r>
      <w:r w:rsidR="00732345" w:rsidRPr="000E2036">
        <w:rPr>
          <w:rFonts w:eastAsia="ヒラギノ明朝 Pro W3"/>
          <w:sz w:val="22"/>
          <w:szCs w:val="22"/>
          <w:lang w:val="en-GB" w:eastAsia="zh-CN"/>
        </w:rPr>
        <w:t>competitors</w:t>
      </w:r>
      <w:r w:rsidR="009D48E1" w:rsidRPr="000E2036">
        <w:rPr>
          <w:rFonts w:eastAsia="ヒラギノ明朝 Pro W3"/>
          <w:sz w:val="22"/>
          <w:szCs w:val="22"/>
          <w:lang w:val="en-GB" w:eastAsia="zh-CN"/>
        </w:rPr>
        <w:t xml:space="preserve"> from South Korea, India, and China</w:t>
      </w:r>
      <w:r w:rsidR="00732345" w:rsidRPr="000E2036">
        <w:rPr>
          <w:rFonts w:eastAsia="ヒラギノ明朝 Pro W3"/>
          <w:sz w:val="22"/>
          <w:szCs w:val="22"/>
          <w:lang w:val="en-GB" w:eastAsia="zh-CN"/>
        </w:rPr>
        <w:t xml:space="preserve"> in particular</w:t>
      </w:r>
      <w:r w:rsidR="009D48E1" w:rsidRPr="000E2036">
        <w:rPr>
          <w:rFonts w:eastAsia="ヒラギノ明朝 Pro W3"/>
          <w:sz w:val="22"/>
          <w:szCs w:val="22"/>
          <w:lang w:val="en-GB" w:eastAsia="zh-CN"/>
        </w:rPr>
        <w:t>?</w:t>
      </w:r>
      <w:r w:rsidR="009D48E1" w:rsidRPr="000E2036">
        <w:rPr>
          <w:rStyle w:val="EndnoteReference"/>
          <w:rFonts w:eastAsia="ヒラギノ明朝 Pro W3"/>
          <w:sz w:val="22"/>
          <w:szCs w:val="22"/>
          <w:lang w:val="en-GB" w:eastAsia="zh-CN"/>
        </w:rPr>
        <w:endnoteReference w:id="13"/>
      </w:r>
    </w:p>
    <w:p w14:paraId="5467A8A9" w14:textId="77777777" w:rsidR="00796B78" w:rsidRPr="000E2036" w:rsidRDefault="00796B78" w:rsidP="000E4F83">
      <w:pPr>
        <w:jc w:val="both"/>
        <w:rPr>
          <w:rFonts w:eastAsia="ヒラギノ明朝 Pro W3"/>
          <w:sz w:val="22"/>
          <w:szCs w:val="22"/>
          <w:lang w:val="en-GB" w:eastAsia="zh-CN"/>
        </w:rPr>
      </w:pPr>
    </w:p>
    <w:p w14:paraId="757248E6" w14:textId="77777777" w:rsidR="00796B78" w:rsidRDefault="00887434" w:rsidP="000E4F83">
      <w:pPr>
        <w:jc w:val="both"/>
        <w:rPr>
          <w:rFonts w:eastAsia="ヒラギノ明朝 Pro W3"/>
          <w:sz w:val="22"/>
          <w:szCs w:val="22"/>
          <w:lang w:val="en-GB" w:eastAsia="zh-CN"/>
        </w:rPr>
      </w:pPr>
      <w:r w:rsidRPr="000E2036">
        <w:rPr>
          <w:rFonts w:eastAsia="ヒラギノ明朝 Pro W3"/>
          <w:sz w:val="22"/>
          <w:szCs w:val="22"/>
          <w:lang w:val="en-GB" w:eastAsia="zh-CN"/>
        </w:rPr>
        <w:lastRenderedPageBreak/>
        <w:t xml:space="preserve">Vision 2015 </w:t>
      </w:r>
      <w:r w:rsidR="00732345" w:rsidRPr="000E2036">
        <w:rPr>
          <w:rFonts w:eastAsia="ヒラギノ明朝 Pro W3"/>
          <w:sz w:val="22"/>
          <w:szCs w:val="22"/>
          <w:lang w:val="en-GB" w:eastAsia="zh-CN"/>
        </w:rPr>
        <w:t>reflected an</w:t>
      </w:r>
      <w:r w:rsidRPr="000E2036">
        <w:rPr>
          <w:rFonts w:eastAsia="ヒラギノ明朝 Pro W3"/>
          <w:sz w:val="22"/>
          <w:szCs w:val="22"/>
          <w:lang w:val="en-GB" w:eastAsia="zh-CN"/>
        </w:rPr>
        <w:t xml:space="preserve"> improved balance between automotive and non-automotive earnings</w:t>
      </w:r>
      <w:r w:rsidR="00D91625" w:rsidRPr="000E2036">
        <w:rPr>
          <w:rStyle w:val="EndnoteReference"/>
          <w:rFonts w:eastAsia="ヒラギノ明朝 Pro W3"/>
          <w:sz w:val="22"/>
          <w:szCs w:val="22"/>
          <w:lang w:val="en-GB" w:eastAsia="zh-CN"/>
        </w:rPr>
        <w:endnoteReference w:id="14"/>
      </w:r>
      <w:r w:rsidR="00D91625" w:rsidRPr="000E2036">
        <w:rPr>
          <w:rFonts w:eastAsia="ヒラギノ明朝 Pro W3"/>
          <w:sz w:val="22"/>
          <w:szCs w:val="22"/>
          <w:lang w:val="en-GB" w:eastAsia="zh-CN"/>
        </w:rPr>
        <w:t xml:space="preserve"> </w:t>
      </w:r>
      <w:r w:rsidRPr="000E2036">
        <w:rPr>
          <w:rFonts w:eastAsia="ヒラギノ明朝 Pro W3"/>
          <w:sz w:val="22"/>
          <w:szCs w:val="22"/>
          <w:lang w:val="en-GB" w:eastAsia="zh-CN"/>
        </w:rPr>
        <w:t xml:space="preserve">and the </w:t>
      </w:r>
      <w:r w:rsidR="00732345" w:rsidRPr="000E2036">
        <w:rPr>
          <w:rFonts w:eastAsia="ヒラギノ明朝 Pro W3"/>
          <w:sz w:val="22"/>
          <w:szCs w:val="22"/>
          <w:lang w:val="en-GB" w:eastAsia="zh-CN"/>
        </w:rPr>
        <w:t xml:space="preserve">company’s </w:t>
      </w:r>
      <w:r w:rsidRPr="000E2036">
        <w:rPr>
          <w:rFonts w:eastAsia="ヒラギノ明朝 Pro W3"/>
          <w:sz w:val="22"/>
          <w:szCs w:val="22"/>
          <w:lang w:val="en-GB" w:eastAsia="zh-CN"/>
        </w:rPr>
        <w:t>expansion in Africa</w:t>
      </w:r>
      <w:r w:rsidR="0041369D" w:rsidRPr="000E2036">
        <w:rPr>
          <w:rFonts w:eastAsia="ヒラギノ明朝 Pro W3"/>
          <w:sz w:val="22"/>
          <w:szCs w:val="22"/>
          <w:lang w:val="en-GB" w:eastAsia="zh-CN"/>
        </w:rPr>
        <w:t xml:space="preserve"> through CFAO</w:t>
      </w:r>
      <w:r w:rsidR="00732345" w:rsidRPr="000E2036">
        <w:rPr>
          <w:rFonts w:eastAsia="ヒラギノ明朝 Pro W3"/>
          <w:sz w:val="22"/>
          <w:szCs w:val="22"/>
          <w:lang w:val="en-GB" w:eastAsia="zh-CN"/>
        </w:rPr>
        <w:t>. However</w:t>
      </w:r>
      <w:r w:rsidRPr="000E2036">
        <w:rPr>
          <w:rFonts w:eastAsia="ヒラギノ明朝 Pro W3"/>
          <w:sz w:val="22"/>
          <w:szCs w:val="22"/>
          <w:lang w:val="en-GB" w:eastAsia="zh-CN"/>
        </w:rPr>
        <w:t xml:space="preserve">, </w:t>
      </w:r>
      <w:r w:rsidR="00732345" w:rsidRPr="000E2036">
        <w:rPr>
          <w:rFonts w:eastAsia="ヒラギノ明朝 Pro W3"/>
          <w:sz w:val="22"/>
          <w:szCs w:val="22"/>
          <w:lang w:val="en-GB" w:eastAsia="zh-CN"/>
        </w:rPr>
        <w:t>would</w:t>
      </w:r>
      <w:r w:rsidRPr="000E2036">
        <w:rPr>
          <w:rFonts w:eastAsia="ヒラギノ明朝 Pro W3"/>
          <w:sz w:val="22"/>
          <w:szCs w:val="22"/>
          <w:lang w:val="en-GB" w:eastAsia="zh-CN"/>
        </w:rPr>
        <w:t xml:space="preserve"> TTC </w:t>
      </w:r>
      <w:r w:rsidR="00732345" w:rsidRPr="000E2036">
        <w:rPr>
          <w:rFonts w:eastAsia="ヒラギノ明朝 Pro W3"/>
          <w:sz w:val="22"/>
          <w:szCs w:val="22"/>
          <w:lang w:val="en-GB" w:eastAsia="zh-CN"/>
        </w:rPr>
        <w:t>need to</w:t>
      </w:r>
      <w:r w:rsidR="00BD1B76" w:rsidRPr="000E2036">
        <w:rPr>
          <w:rFonts w:eastAsia="ヒラギノ明朝 Pro W3"/>
          <w:sz w:val="22"/>
          <w:szCs w:val="22"/>
          <w:lang w:val="en-GB" w:eastAsia="zh-CN"/>
        </w:rPr>
        <w:t xml:space="preserve"> </w:t>
      </w:r>
      <w:r w:rsidRPr="000E2036">
        <w:rPr>
          <w:rFonts w:eastAsia="ヒラギノ明朝 Pro W3"/>
          <w:sz w:val="22"/>
          <w:szCs w:val="22"/>
          <w:lang w:val="en-GB" w:eastAsia="zh-CN"/>
        </w:rPr>
        <w:t xml:space="preserve">revise its </w:t>
      </w:r>
      <w:r w:rsidR="00732345" w:rsidRPr="000E2036">
        <w:rPr>
          <w:rFonts w:eastAsia="ヒラギノ明朝 Pro W3"/>
          <w:sz w:val="22"/>
          <w:szCs w:val="22"/>
          <w:lang w:val="en-GB" w:eastAsia="zh-CN"/>
        </w:rPr>
        <w:t>g</w:t>
      </w:r>
      <w:r w:rsidRPr="000E2036">
        <w:rPr>
          <w:rFonts w:eastAsia="ヒラギノ明朝 Pro W3"/>
          <w:sz w:val="22"/>
          <w:szCs w:val="22"/>
          <w:lang w:val="en-GB" w:eastAsia="zh-CN"/>
        </w:rPr>
        <w:t xml:space="preserve">lobal </w:t>
      </w:r>
      <w:r w:rsidR="00732345" w:rsidRPr="000E2036">
        <w:rPr>
          <w:rFonts w:eastAsia="ヒラギノ明朝 Pro W3"/>
          <w:sz w:val="22"/>
          <w:szCs w:val="22"/>
          <w:lang w:val="en-GB" w:eastAsia="zh-CN"/>
        </w:rPr>
        <w:t>v</w:t>
      </w:r>
      <w:r w:rsidRPr="000E2036">
        <w:rPr>
          <w:rFonts w:eastAsia="ヒラギノ明朝 Pro W3"/>
          <w:sz w:val="22"/>
          <w:szCs w:val="22"/>
          <w:lang w:val="en-GB" w:eastAsia="zh-CN"/>
        </w:rPr>
        <w:t xml:space="preserve">ision and </w:t>
      </w:r>
      <w:r w:rsidR="00732345" w:rsidRPr="000E2036">
        <w:rPr>
          <w:rFonts w:eastAsia="ヒラギノ明朝 Pro W3"/>
          <w:sz w:val="22"/>
          <w:szCs w:val="22"/>
          <w:lang w:val="en-GB" w:eastAsia="zh-CN"/>
        </w:rPr>
        <w:t>10</w:t>
      </w:r>
      <w:r w:rsidRPr="000E2036">
        <w:rPr>
          <w:rFonts w:eastAsia="ヒラギノ明朝 Pro W3"/>
          <w:sz w:val="22"/>
          <w:szCs w:val="22"/>
          <w:lang w:val="en-GB" w:eastAsia="zh-CN"/>
        </w:rPr>
        <w:t>-</w:t>
      </w:r>
      <w:r w:rsidR="00732345" w:rsidRPr="000E2036">
        <w:rPr>
          <w:rFonts w:eastAsia="ヒラギノ明朝 Pro W3"/>
          <w:sz w:val="22"/>
          <w:szCs w:val="22"/>
          <w:lang w:val="en-GB" w:eastAsia="zh-CN"/>
        </w:rPr>
        <w:t>y</w:t>
      </w:r>
      <w:r w:rsidRPr="000E2036">
        <w:rPr>
          <w:rFonts w:eastAsia="ヒラギノ明朝 Pro W3"/>
          <w:sz w:val="22"/>
          <w:szCs w:val="22"/>
          <w:lang w:val="en-GB" w:eastAsia="zh-CN"/>
        </w:rPr>
        <w:t xml:space="preserve">ear </w:t>
      </w:r>
      <w:r w:rsidR="00732345" w:rsidRPr="000E2036">
        <w:rPr>
          <w:rFonts w:eastAsia="ヒラギノ明朝 Pro W3"/>
          <w:sz w:val="22"/>
          <w:szCs w:val="22"/>
          <w:lang w:val="en-GB" w:eastAsia="zh-CN"/>
        </w:rPr>
        <w:t>p</w:t>
      </w:r>
      <w:r w:rsidRPr="000E2036">
        <w:rPr>
          <w:rFonts w:eastAsia="ヒラギノ明朝 Pro W3"/>
          <w:sz w:val="22"/>
          <w:szCs w:val="22"/>
          <w:lang w:val="en-GB" w:eastAsia="zh-CN"/>
        </w:rPr>
        <w:t>lan</w:t>
      </w:r>
      <w:r w:rsidR="00732345" w:rsidRPr="000E2036">
        <w:rPr>
          <w:rFonts w:eastAsia="ヒラギノ明朝 Pro W3"/>
          <w:sz w:val="22"/>
          <w:szCs w:val="22"/>
          <w:lang w:val="en-GB" w:eastAsia="zh-CN"/>
        </w:rPr>
        <w:t xml:space="preserve"> following poor results in</w:t>
      </w:r>
      <w:r w:rsidRPr="000E2036">
        <w:rPr>
          <w:rFonts w:eastAsia="ヒラギノ明朝 Pro W3"/>
          <w:sz w:val="22"/>
          <w:szCs w:val="22"/>
          <w:lang w:val="en-GB" w:eastAsia="zh-CN"/>
        </w:rPr>
        <w:t xml:space="preserve"> 2016?</w:t>
      </w:r>
    </w:p>
    <w:p w14:paraId="55EBDC1A" w14:textId="77777777" w:rsidR="00796B78" w:rsidRDefault="00796B78" w:rsidP="000E4F83">
      <w:pPr>
        <w:jc w:val="both"/>
        <w:rPr>
          <w:rFonts w:eastAsia="ヒラギノ明朝 Pro W3"/>
          <w:sz w:val="22"/>
          <w:szCs w:val="22"/>
          <w:lang w:val="en-GB" w:eastAsia="zh-CN"/>
        </w:rPr>
      </w:pPr>
    </w:p>
    <w:p w14:paraId="27BE45B8" w14:textId="77777777" w:rsidR="00796B78" w:rsidRDefault="00796B78" w:rsidP="000E4F83">
      <w:pPr>
        <w:jc w:val="both"/>
        <w:rPr>
          <w:rFonts w:eastAsia="ヒラギノ明朝 Pro W3"/>
          <w:sz w:val="22"/>
          <w:szCs w:val="22"/>
          <w:lang w:val="en-GB" w:eastAsia="zh-CN"/>
        </w:rPr>
      </w:pPr>
    </w:p>
    <w:p w14:paraId="2EF0DFDF" w14:textId="3C63A634" w:rsidR="00F502BA" w:rsidRPr="00796B78" w:rsidRDefault="00F502BA" w:rsidP="000E4F83">
      <w:pPr>
        <w:jc w:val="both"/>
        <w:rPr>
          <w:rFonts w:eastAsia="ヒラギノ明朝 Pro W3"/>
          <w:sz w:val="22"/>
          <w:szCs w:val="22"/>
          <w:lang w:val="en-GB" w:eastAsia="zh-CN"/>
        </w:rPr>
      </w:pPr>
      <w:r w:rsidRPr="000E2036">
        <w:rPr>
          <w:rFonts w:ascii="Arial" w:eastAsia="ヒラギノ明朝 Pro W3" w:hAnsi="Arial" w:cs="Arial"/>
          <w:b/>
          <w:lang w:val="en-GB" w:eastAsia="zh-CN"/>
        </w:rPr>
        <w:t>TOYOTA TSUSHO CORPORATION</w:t>
      </w:r>
    </w:p>
    <w:p w14:paraId="19CEA9D6" w14:textId="77777777" w:rsidR="00F502BA" w:rsidRPr="000E2036" w:rsidRDefault="00F502BA" w:rsidP="000E4F83">
      <w:pPr>
        <w:jc w:val="both"/>
        <w:rPr>
          <w:rFonts w:eastAsia="ヒラギノ明朝 Pro W3"/>
          <w:sz w:val="22"/>
          <w:szCs w:val="22"/>
          <w:lang w:val="en-GB" w:eastAsia="zh-CN"/>
        </w:rPr>
      </w:pPr>
    </w:p>
    <w:p w14:paraId="1CB41ACA" w14:textId="0BC75709" w:rsidR="00F502BA" w:rsidRPr="000E2036" w:rsidRDefault="00F502BA" w:rsidP="000E4F83">
      <w:pPr>
        <w:jc w:val="both"/>
        <w:rPr>
          <w:rFonts w:ascii="Arial" w:eastAsia="ヒラギノ明朝 Pro W3" w:hAnsi="Arial" w:cs="Arial"/>
          <w:b/>
          <w:lang w:val="en-GB" w:eastAsia="zh-CN"/>
        </w:rPr>
      </w:pPr>
      <w:r w:rsidRPr="000E2036">
        <w:rPr>
          <w:rFonts w:ascii="Arial" w:eastAsia="ヒラギノ明朝 Pro W3" w:hAnsi="Arial" w:cs="Arial"/>
          <w:b/>
          <w:lang w:val="en-GB" w:eastAsia="zh-CN"/>
        </w:rPr>
        <w:t>History and Development</w:t>
      </w:r>
    </w:p>
    <w:p w14:paraId="4367B23F" w14:textId="77777777" w:rsidR="00F502BA" w:rsidRPr="000E2036" w:rsidRDefault="00F502BA" w:rsidP="000E4F83">
      <w:pPr>
        <w:jc w:val="both"/>
        <w:rPr>
          <w:rFonts w:eastAsia="ヒラギノ明朝 Pro W3"/>
          <w:sz w:val="22"/>
          <w:szCs w:val="22"/>
          <w:lang w:val="en-GB" w:eastAsia="zh-CN"/>
        </w:rPr>
      </w:pPr>
    </w:p>
    <w:p w14:paraId="4AD652EE" w14:textId="4E2D4DE0" w:rsidR="00F502BA" w:rsidRPr="000E2036" w:rsidRDefault="00F502BA" w:rsidP="000E4F83">
      <w:pPr>
        <w:jc w:val="both"/>
        <w:rPr>
          <w:rFonts w:eastAsia="ヒラギノ明朝 Pro W3"/>
          <w:sz w:val="22"/>
          <w:szCs w:val="22"/>
          <w:lang w:val="en-GB" w:eastAsia="zh-CN"/>
        </w:rPr>
      </w:pPr>
      <w:r w:rsidRPr="000E2036">
        <w:rPr>
          <w:rFonts w:eastAsia="ヒラギノ明朝 Pro W3"/>
          <w:sz w:val="22"/>
          <w:szCs w:val="22"/>
          <w:lang w:val="en-GB" w:eastAsia="zh-CN"/>
        </w:rPr>
        <w:t xml:space="preserve">TTC, a member of the Toyota Group, was </w:t>
      </w:r>
      <w:r w:rsidR="006736BC" w:rsidRPr="000E2036">
        <w:rPr>
          <w:rFonts w:eastAsia="ヒラギノ明朝 Pro W3"/>
          <w:sz w:val="22"/>
          <w:szCs w:val="22"/>
          <w:lang w:val="en-GB" w:eastAsia="zh-CN"/>
        </w:rPr>
        <w:t xml:space="preserve">known as </w:t>
      </w:r>
      <w:r w:rsidRPr="000E2036">
        <w:rPr>
          <w:rFonts w:eastAsia="ヒラギノ明朝 Pro W3"/>
          <w:sz w:val="22"/>
          <w:szCs w:val="22"/>
          <w:lang w:val="en-GB" w:eastAsia="zh-CN"/>
        </w:rPr>
        <w:t>a general trading company</w:t>
      </w:r>
      <w:r w:rsidR="006736BC" w:rsidRPr="000E2036">
        <w:rPr>
          <w:rFonts w:eastAsia="ヒラギノ明朝 Pro W3"/>
          <w:sz w:val="22"/>
          <w:szCs w:val="22"/>
          <w:lang w:val="en-GB" w:eastAsia="zh-CN"/>
        </w:rPr>
        <w:t>, or</w:t>
      </w:r>
      <w:r w:rsidRPr="000E2036">
        <w:rPr>
          <w:lang w:val="en-GB"/>
        </w:rPr>
        <w:t xml:space="preserve"> </w:t>
      </w:r>
      <w:r w:rsidRPr="00C11717">
        <w:rPr>
          <w:rFonts w:eastAsia="ヒラギノ明朝 Pro W3"/>
          <w:i/>
          <w:sz w:val="22"/>
          <w:szCs w:val="22"/>
          <w:lang w:val="en-GB" w:eastAsia="zh-CN"/>
        </w:rPr>
        <w:t>sōgō shōsha</w:t>
      </w:r>
      <w:r w:rsidR="006736BC" w:rsidRPr="000E2036">
        <w:rPr>
          <w:rFonts w:eastAsia="ヒラギノ明朝 Pro W3"/>
          <w:sz w:val="22"/>
          <w:szCs w:val="22"/>
          <w:lang w:val="en-GB" w:eastAsia="zh-CN"/>
        </w:rPr>
        <w:t xml:space="preserve"> in Japanese</w:t>
      </w:r>
      <w:r w:rsidRPr="000E2036">
        <w:rPr>
          <w:rFonts w:eastAsia="ヒラギノ明朝 Pro W3"/>
          <w:sz w:val="22"/>
          <w:szCs w:val="22"/>
          <w:lang w:val="en-GB" w:eastAsia="zh-CN"/>
        </w:rPr>
        <w:t>. Its predecessor</w:t>
      </w:r>
      <w:r w:rsidR="006736BC" w:rsidRPr="000E2036">
        <w:rPr>
          <w:rFonts w:eastAsia="ヒラギノ明朝 Pro W3"/>
          <w:sz w:val="22"/>
          <w:szCs w:val="22"/>
          <w:lang w:val="en-GB" w:eastAsia="zh-CN"/>
        </w:rPr>
        <w:t>,</w:t>
      </w:r>
      <w:r w:rsidRPr="000E2036">
        <w:rPr>
          <w:rFonts w:eastAsia="ヒラギノ明朝 Pro W3"/>
          <w:sz w:val="22"/>
          <w:szCs w:val="22"/>
          <w:lang w:val="en-GB" w:eastAsia="zh-CN"/>
        </w:rPr>
        <w:t xml:space="preserve"> Toyoda Kinyu Kaisha</w:t>
      </w:r>
      <w:r w:rsidR="006736BC" w:rsidRPr="000E2036">
        <w:rPr>
          <w:rFonts w:eastAsia="ヒラギノ明朝 Pro W3"/>
          <w:sz w:val="22"/>
          <w:szCs w:val="22"/>
          <w:lang w:val="en-GB" w:eastAsia="zh-CN"/>
        </w:rPr>
        <w:t>,</w:t>
      </w:r>
      <w:r w:rsidRPr="000E2036">
        <w:rPr>
          <w:rFonts w:eastAsia="ヒラギノ明朝 Pro W3"/>
          <w:sz w:val="22"/>
          <w:szCs w:val="22"/>
          <w:lang w:val="en-GB" w:eastAsia="zh-CN"/>
        </w:rPr>
        <w:t xml:space="preserve"> was established in 1936 to provide sales financing for Toyota vehicles.</w:t>
      </w:r>
      <w:r w:rsidRPr="000E2036">
        <w:rPr>
          <w:rStyle w:val="EndnoteReference"/>
          <w:rFonts w:eastAsia="ヒラギノ明朝 Pro W3"/>
          <w:sz w:val="22"/>
          <w:szCs w:val="22"/>
          <w:lang w:val="en-GB" w:eastAsia="zh-CN"/>
        </w:rPr>
        <w:endnoteReference w:id="15"/>
      </w:r>
      <w:r w:rsidRPr="000E2036">
        <w:rPr>
          <w:rFonts w:eastAsia="ヒラギノ明朝 Pro W3"/>
          <w:sz w:val="22"/>
          <w:szCs w:val="22"/>
          <w:lang w:val="en-GB" w:eastAsia="zh-CN"/>
        </w:rPr>
        <w:t xml:space="preserve"> After World War II, </w:t>
      </w:r>
      <w:r w:rsidR="006736BC" w:rsidRPr="000E2036">
        <w:rPr>
          <w:rFonts w:eastAsia="ヒラギノ明朝 Pro W3"/>
          <w:sz w:val="22"/>
          <w:szCs w:val="22"/>
          <w:lang w:val="en-GB" w:eastAsia="zh-CN"/>
        </w:rPr>
        <w:t xml:space="preserve">holding companies became prohibited so </w:t>
      </w:r>
      <w:r w:rsidRPr="000E2036">
        <w:rPr>
          <w:rFonts w:eastAsia="ヒラギノ明朝 Pro W3"/>
          <w:sz w:val="22"/>
          <w:szCs w:val="22"/>
          <w:lang w:val="en-GB" w:eastAsia="zh-CN"/>
        </w:rPr>
        <w:t>Toyoda Kinyu Kaisha was dissolved. However, its trading division was transferred to Nisshin Tsusho Kaisha Ltd., which was established in 1948 and later evolved to become TTC. T</w:t>
      </w:r>
      <w:r w:rsidR="006736BC" w:rsidRPr="000E2036">
        <w:rPr>
          <w:rFonts w:eastAsia="ヒラギノ明朝 Pro W3"/>
          <w:sz w:val="22"/>
          <w:szCs w:val="22"/>
          <w:lang w:val="en-GB" w:eastAsia="zh-CN"/>
        </w:rPr>
        <w:t>he company</w:t>
      </w:r>
      <w:r w:rsidRPr="000E2036">
        <w:rPr>
          <w:rFonts w:eastAsia="ヒラギノ明朝 Pro W3"/>
          <w:sz w:val="22"/>
          <w:szCs w:val="22"/>
          <w:lang w:val="en-GB" w:eastAsia="zh-CN"/>
        </w:rPr>
        <w:t xml:space="preserve"> continued to grow as a general trading company within the Toyota Group, largely by exporting finished automobiles</w:t>
      </w:r>
      <w:r w:rsidR="006736BC" w:rsidRPr="000E2036">
        <w:rPr>
          <w:rFonts w:eastAsia="ヒラギノ明朝 Pro W3"/>
          <w:sz w:val="22"/>
          <w:szCs w:val="22"/>
          <w:lang w:val="en-GB" w:eastAsia="zh-CN"/>
        </w:rPr>
        <w:t>. In 1961, TTC was</w:t>
      </w:r>
      <w:r w:rsidRPr="000E2036">
        <w:rPr>
          <w:rFonts w:eastAsia="ヒラギノ明朝 Pro W3"/>
          <w:sz w:val="22"/>
          <w:szCs w:val="22"/>
          <w:lang w:val="en-GB" w:eastAsia="zh-CN"/>
        </w:rPr>
        <w:t xml:space="preserve"> listed on the Nagoya Stock Exchange</w:t>
      </w:r>
      <w:r w:rsidR="00FD5433">
        <w:rPr>
          <w:rFonts w:eastAsia="ヒラギノ明朝 Pro W3"/>
          <w:sz w:val="22"/>
          <w:szCs w:val="22"/>
          <w:lang w:val="en-GB" w:eastAsia="zh-CN"/>
        </w:rPr>
        <w:t>,</w:t>
      </w:r>
      <w:r w:rsidRPr="000E2036">
        <w:rPr>
          <w:rFonts w:eastAsia="ヒラギノ明朝 Pro W3"/>
          <w:sz w:val="22"/>
          <w:szCs w:val="22"/>
          <w:lang w:val="en-GB" w:eastAsia="zh-CN"/>
        </w:rPr>
        <w:t xml:space="preserve"> and </w:t>
      </w:r>
      <w:r w:rsidR="006736BC" w:rsidRPr="000E2036">
        <w:rPr>
          <w:rFonts w:eastAsia="ヒラギノ明朝 Pro W3"/>
          <w:sz w:val="22"/>
          <w:szCs w:val="22"/>
          <w:lang w:val="en-GB" w:eastAsia="zh-CN"/>
        </w:rPr>
        <w:t xml:space="preserve">in 1977 it was listed on </w:t>
      </w:r>
      <w:r w:rsidRPr="000E2036">
        <w:rPr>
          <w:rFonts w:eastAsia="ヒラギノ明朝 Pro W3"/>
          <w:sz w:val="22"/>
          <w:szCs w:val="22"/>
          <w:lang w:val="en-GB" w:eastAsia="zh-CN"/>
        </w:rPr>
        <w:t xml:space="preserve">the Tokyo Stock Exchange. In the 1980s, </w:t>
      </w:r>
      <w:r w:rsidR="006736BC" w:rsidRPr="000E2036">
        <w:rPr>
          <w:rFonts w:eastAsia="ヒラギノ明朝 Pro W3"/>
          <w:sz w:val="22"/>
          <w:szCs w:val="22"/>
          <w:lang w:val="en-GB" w:eastAsia="zh-CN"/>
        </w:rPr>
        <w:t>in</w:t>
      </w:r>
      <w:r w:rsidRPr="000E2036">
        <w:rPr>
          <w:rFonts w:eastAsia="ヒラギノ明朝 Pro W3"/>
          <w:sz w:val="22"/>
          <w:szCs w:val="22"/>
          <w:lang w:val="en-GB" w:eastAsia="zh-CN"/>
        </w:rPr>
        <w:t xml:space="preserve"> respon</w:t>
      </w:r>
      <w:r w:rsidR="006736BC" w:rsidRPr="000E2036">
        <w:rPr>
          <w:rFonts w:eastAsia="ヒラギノ明朝 Pro W3"/>
          <w:sz w:val="22"/>
          <w:szCs w:val="22"/>
          <w:lang w:val="en-GB" w:eastAsia="zh-CN"/>
        </w:rPr>
        <w:t>se</w:t>
      </w:r>
      <w:r w:rsidRPr="000E2036">
        <w:rPr>
          <w:rFonts w:eastAsia="ヒラギノ明朝 Pro W3"/>
          <w:sz w:val="22"/>
          <w:szCs w:val="22"/>
          <w:lang w:val="en-GB" w:eastAsia="zh-CN"/>
        </w:rPr>
        <w:t xml:space="preserve"> to Toyota Group’s globalization </w:t>
      </w:r>
      <w:r w:rsidR="006736BC" w:rsidRPr="000E2036">
        <w:rPr>
          <w:rFonts w:eastAsia="ヒラギノ明朝 Pro W3"/>
          <w:sz w:val="22"/>
          <w:szCs w:val="22"/>
          <w:lang w:val="en-GB" w:eastAsia="zh-CN"/>
        </w:rPr>
        <w:t>with</w:t>
      </w:r>
      <w:r w:rsidRPr="000E2036">
        <w:rPr>
          <w:rFonts w:eastAsia="ヒラギノ明朝 Pro W3"/>
          <w:sz w:val="22"/>
          <w:szCs w:val="22"/>
          <w:lang w:val="en-GB" w:eastAsia="zh-CN"/>
        </w:rPr>
        <w:t xml:space="preserve"> production activities in various countries, TTC accelerated its overseas expansion, establishing a series of overseas dealers and operational bases.</w:t>
      </w:r>
    </w:p>
    <w:p w14:paraId="4404D3F3" w14:textId="77777777" w:rsidR="00F502BA" w:rsidRPr="000E2036" w:rsidRDefault="00F502BA" w:rsidP="000E4F83">
      <w:pPr>
        <w:jc w:val="both"/>
        <w:rPr>
          <w:rFonts w:eastAsia="ヒラギノ明朝 Pro W3"/>
          <w:sz w:val="22"/>
          <w:szCs w:val="22"/>
          <w:lang w:val="en-GB" w:eastAsia="zh-CN"/>
        </w:rPr>
      </w:pPr>
    </w:p>
    <w:p w14:paraId="1609D4BC" w14:textId="4B52E4F2" w:rsidR="00F502BA" w:rsidRPr="000E2036" w:rsidRDefault="00F502BA" w:rsidP="000E4F83">
      <w:pPr>
        <w:jc w:val="both"/>
        <w:rPr>
          <w:rFonts w:eastAsia="ヒラギノ明朝 Pro W3"/>
          <w:sz w:val="22"/>
          <w:szCs w:val="22"/>
          <w:lang w:val="en-GB" w:eastAsia="zh-CN"/>
        </w:rPr>
      </w:pPr>
      <w:r w:rsidRPr="000E2036">
        <w:rPr>
          <w:rFonts w:eastAsia="ヒラギノ明朝 Pro W3"/>
          <w:sz w:val="22"/>
          <w:szCs w:val="22"/>
          <w:lang w:val="en-GB" w:eastAsia="zh-CN"/>
        </w:rPr>
        <w:t>In 2000, to reduce its dependence on Toyota’s automobile-related products</w:t>
      </w:r>
      <w:r w:rsidR="00EE5636" w:rsidRPr="000E2036">
        <w:rPr>
          <w:rFonts w:eastAsia="ヒラギノ明朝 Pro W3"/>
          <w:sz w:val="22"/>
          <w:szCs w:val="22"/>
          <w:lang w:val="en-GB" w:eastAsia="zh-CN"/>
        </w:rPr>
        <w:t xml:space="preserve"> and diversify its interests</w:t>
      </w:r>
      <w:r w:rsidRPr="000E2036">
        <w:rPr>
          <w:rFonts w:eastAsia="ヒラギノ明朝 Pro W3"/>
          <w:sz w:val="22"/>
          <w:szCs w:val="22"/>
          <w:lang w:val="en-GB" w:eastAsia="zh-CN"/>
        </w:rPr>
        <w:t>, TTC purchas</w:t>
      </w:r>
      <w:r w:rsidR="00EE5636" w:rsidRPr="000E2036">
        <w:rPr>
          <w:rFonts w:eastAsia="ヒラギノ明朝 Pro W3"/>
          <w:sz w:val="22"/>
          <w:szCs w:val="22"/>
          <w:lang w:val="en-GB" w:eastAsia="zh-CN"/>
        </w:rPr>
        <w:t>ed</w:t>
      </w:r>
      <w:r w:rsidRPr="000E2036">
        <w:rPr>
          <w:rFonts w:eastAsia="ヒラギノ明朝 Pro W3"/>
          <w:sz w:val="22"/>
          <w:szCs w:val="22"/>
          <w:lang w:val="en-GB" w:eastAsia="zh-CN"/>
        </w:rPr>
        <w:t xml:space="preserve"> shares of </w:t>
      </w:r>
      <w:r w:rsidR="00B11884" w:rsidRPr="000E2036">
        <w:rPr>
          <w:rFonts w:eastAsia="ヒラギノ明朝 Pro W3"/>
          <w:sz w:val="22"/>
          <w:szCs w:val="22"/>
          <w:lang w:val="en-GB" w:eastAsia="zh-CN"/>
        </w:rPr>
        <w:t>Tomen, a Japanese general trading company,</w:t>
      </w:r>
      <w:r w:rsidRPr="000E2036">
        <w:rPr>
          <w:rFonts w:eastAsia="ヒラギノ明朝 Pro W3"/>
          <w:sz w:val="22"/>
          <w:szCs w:val="22"/>
          <w:lang w:val="en-GB" w:eastAsia="zh-CN"/>
        </w:rPr>
        <w:t xml:space="preserve"> and became its largest shareholder.</w:t>
      </w:r>
      <w:r w:rsidRPr="000E2036">
        <w:rPr>
          <w:rStyle w:val="EndnoteReference"/>
          <w:rFonts w:eastAsia="ヒラギノ明朝 Pro W3"/>
          <w:sz w:val="22"/>
          <w:szCs w:val="22"/>
          <w:lang w:val="en-GB" w:eastAsia="zh-CN"/>
        </w:rPr>
        <w:endnoteReference w:id="16"/>
      </w:r>
      <w:r w:rsidRPr="000E2036">
        <w:rPr>
          <w:rFonts w:eastAsia="ヒラギノ明朝 Pro W3"/>
          <w:sz w:val="22"/>
          <w:szCs w:val="22"/>
          <w:lang w:val="en-GB" w:eastAsia="zh-CN"/>
        </w:rPr>
        <w:t xml:space="preserve"> Tomen had been struggling with nonperforming assets from its failed real-estate investments during the bubble economy of the late 1980s. In 2006, the two companies finally merged with a known complementarity</w:t>
      </w:r>
      <w:r w:rsidR="00B11884" w:rsidRPr="000E2036">
        <w:rPr>
          <w:rFonts w:eastAsia="ヒラギノ明朝 Pro W3"/>
          <w:sz w:val="22"/>
          <w:szCs w:val="22"/>
          <w:lang w:val="en-GB" w:eastAsia="zh-CN"/>
        </w:rPr>
        <w:t>.</w:t>
      </w:r>
      <w:r w:rsidRPr="000E2036">
        <w:rPr>
          <w:rFonts w:eastAsia="ヒラギノ明朝 Pro W3"/>
          <w:sz w:val="22"/>
          <w:szCs w:val="22"/>
          <w:lang w:val="en-GB" w:eastAsia="zh-CN"/>
        </w:rPr>
        <w:t xml:space="preserve"> T</w:t>
      </w:r>
      <w:r w:rsidR="00B11884" w:rsidRPr="000E2036">
        <w:rPr>
          <w:rFonts w:eastAsia="ヒラギノ明朝 Pro W3"/>
          <w:sz w:val="22"/>
          <w:szCs w:val="22"/>
          <w:lang w:val="en-GB" w:eastAsia="zh-CN"/>
        </w:rPr>
        <w:t>TC</w:t>
      </w:r>
      <w:r w:rsidRPr="000E2036">
        <w:rPr>
          <w:rFonts w:eastAsia="ヒラギノ明朝 Pro W3"/>
          <w:sz w:val="22"/>
          <w:szCs w:val="22"/>
          <w:lang w:val="en-GB" w:eastAsia="zh-CN"/>
        </w:rPr>
        <w:t xml:space="preserve"> had a</w:t>
      </w:r>
      <w:r w:rsidR="00B11884" w:rsidRPr="000E2036">
        <w:rPr>
          <w:rFonts w:eastAsia="ヒラギノ明朝 Pro W3"/>
          <w:sz w:val="22"/>
          <w:szCs w:val="22"/>
          <w:lang w:val="en-GB" w:eastAsia="zh-CN"/>
        </w:rPr>
        <w:t>chieved</w:t>
      </w:r>
      <w:r w:rsidRPr="000E2036">
        <w:rPr>
          <w:rFonts w:eastAsia="ヒラギノ明朝 Pro W3"/>
          <w:sz w:val="22"/>
          <w:szCs w:val="22"/>
          <w:lang w:val="en-GB" w:eastAsia="zh-CN"/>
        </w:rPr>
        <w:t xml:space="preserve"> steady growth</w:t>
      </w:r>
      <w:r w:rsidR="00B11884" w:rsidRPr="000E2036">
        <w:rPr>
          <w:rFonts w:eastAsia="ヒラギノ明朝 Pro W3"/>
          <w:sz w:val="22"/>
          <w:szCs w:val="22"/>
          <w:lang w:val="en-GB" w:eastAsia="zh-CN"/>
        </w:rPr>
        <w:t>,</w:t>
      </w:r>
      <w:r w:rsidRPr="000E2036">
        <w:rPr>
          <w:rFonts w:eastAsia="ヒラギノ明朝 Pro W3"/>
          <w:sz w:val="22"/>
          <w:szCs w:val="22"/>
          <w:lang w:val="en-GB" w:eastAsia="zh-CN"/>
        </w:rPr>
        <w:t xml:space="preserve"> primarily in the automotive field, while Tomen had a broad customer base in a diverse array of non-automotive operations. This strategic move </w:t>
      </w:r>
      <w:r w:rsidR="00DE4190" w:rsidRPr="000E2036">
        <w:rPr>
          <w:rFonts w:eastAsia="ヒラギノ明朝 Pro W3"/>
          <w:sz w:val="22"/>
          <w:szCs w:val="22"/>
          <w:lang w:val="en-GB" w:eastAsia="zh-CN"/>
        </w:rPr>
        <w:t>allow</w:t>
      </w:r>
      <w:r w:rsidRPr="000E2036">
        <w:rPr>
          <w:rFonts w:eastAsia="ヒラギノ明朝 Pro W3"/>
          <w:sz w:val="22"/>
          <w:szCs w:val="22"/>
          <w:lang w:val="en-GB" w:eastAsia="zh-CN"/>
        </w:rPr>
        <w:t xml:space="preserve">ed TTC to </w:t>
      </w:r>
      <w:r w:rsidR="00DE4190" w:rsidRPr="000E2036">
        <w:rPr>
          <w:rFonts w:eastAsia="ヒラギノ明朝 Pro W3"/>
          <w:sz w:val="22"/>
          <w:szCs w:val="22"/>
          <w:lang w:val="en-GB" w:eastAsia="zh-CN"/>
        </w:rPr>
        <w:t>pursue</w:t>
      </w:r>
      <w:r w:rsidRPr="000E2036">
        <w:rPr>
          <w:rFonts w:eastAsia="ヒラギノ明朝 Pro W3"/>
          <w:sz w:val="22"/>
          <w:szCs w:val="22"/>
          <w:lang w:val="en-GB" w:eastAsia="zh-CN"/>
        </w:rPr>
        <w:t xml:space="preserve"> a full-fledged business</w:t>
      </w:r>
      <w:r w:rsidR="00DE4190" w:rsidRPr="000E2036">
        <w:rPr>
          <w:rFonts w:eastAsia="ヒラギノ明朝 Pro W3"/>
          <w:sz w:val="22"/>
          <w:szCs w:val="22"/>
          <w:lang w:val="en-GB" w:eastAsia="zh-CN"/>
        </w:rPr>
        <w:t>,</w:t>
      </w:r>
      <w:r w:rsidRPr="000E2036">
        <w:rPr>
          <w:rFonts w:eastAsia="ヒラギノ明朝 Pro W3"/>
          <w:sz w:val="22"/>
          <w:szCs w:val="22"/>
          <w:lang w:val="en-GB" w:eastAsia="zh-CN"/>
        </w:rPr>
        <w:t xml:space="preserve"> beyond the automotive sector</w:t>
      </w:r>
      <w:r w:rsidR="00DE4190" w:rsidRPr="000E2036">
        <w:rPr>
          <w:rFonts w:eastAsia="ヒラギノ明朝 Pro W3"/>
          <w:sz w:val="22"/>
          <w:szCs w:val="22"/>
          <w:lang w:val="en-GB" w:eastAsia="zh-CN"/>
        </w:rPr>
        <w:t>,</w:t>
      </w:r>
      <w:r w:rsidRPr="000E2036">
        <w:rPr>
          <w:rFonts w:eastAsia="ヒラギノ明朝 Pro W3"/>
          <w:sz w:val="22"/>
          <w:szCs w:val="22"/>
          <w:lang w:val="en-GB" w:eastAsia="zh-CN"/>
        </w:rPr>
        <w:t xml:space="preserve"> t</w:t>
      </w:r>
      <w:r w:rsidR="00DE4190" w:rsidRPr="000E2036">
        <w:rPr>
          <w:rFonts w:eastAsia="ヒラギノ明朝 Pro W3"/>
          <w:sz w:val="22"/>
          <w:szCs w:val="22"/>
          <w:lang w:val="en-GB" w:eastAsia="zh-CN"/>
        </w:rPr>
        <w:t>hat</w:t>
      </w:r>
      <w:r w:rsidRPr="000E2036">
        <w:rPr>
          <w:rFonts w:eastAsia="ヒラギノ明朝 Pro W3"/>
          <w:sz w:val="22"/>
          <w:szCs w:val="22"/>
          <w:lang w:val="en-GB" w:eastAsia="zh-CN"/>
        </w:rPr>
        <w:t xml:space="preserve"> include</w:t>
      </w:r>
      <w:r w:rsidR="00DE4190" w:rsidRPr="000E2036">
        <w:rPr>
          <w:rFonts w:eastAsia="ヒラギノ明朝 Pro W3"/>
          <w:sz w:val="22"/>
          <w:szCs w:val="22"/>
          <w:lang w:val="en-GB" w:eastAsia="zh-CN"/>
        </w:rPr>
        <w:t>d</w:t>
      </w:r>
      <w:r w:rsidRPr="000E2036">
        <w:rPr>
          <w:rFonts w:eastAsia="ヒラギノ明朝 Pro W3"/>
          <w:sz w:val="22"/>
          <w:szCs w:val="22"/>
          <w:lang w:val="en-GB" w:eastAsia="zh-CN"/>
        </w:rPr>
        <w:t xml:space="preserve"> different business fields such as infrastructure, chemicals, and foods</w:t>
      </w:r>
      <w:r w:rsidR="00DE4190" w:rsidRPr="000E2036">
        <w:rPr>
          <w:rFonts w:eastAsia="ヒラギノ明朝 Pro W3"/>
          <w:sz w:val="22"/>
          <w:szCs w:val="22"/>
          <w:lang w:val="en-GB" w:eastAsia="zh-CN"/>
        </w:rPr>
        <w:t>. TTC was</w:t>
      </w:r>
      <w:r w:rsidRPr="000E2036">
        <w:rPr>
          <w:rFonts w:eastAsia="ヒラギノ明朝 Pro W3"/>
          <w:sz w:val="22"/>
          <w:szCs w:val="22"/>
          <w:lang w:val="en-GB" w:eastAsia="zh-CN"/>
        </w:rPr>
        <w:t xml:space="preserve"> thereby </w:t>
      </w:r>
      <w:r w:rsidR="00DE4190" w:rsidRPr="000E2036">
        <w:rPr>
          <w:rFonts w:eastAsia="ヒラギノ明朝 Pro W3"/>
          <w:sz w:val="22"/>
          <w:szCs w:val="22"/>
          <w:lang w:val="en-GB" w:eastAsia="zh-CN"/>
        </w:rPr>
        <w:t>able to enhance</w:t>
      </w:r>
      <w:r w:rsidRPr="000E2036">
        <w:rPr>
          <w:rFonts w:eastAsia="ヒラギノ明朝 Pro W3"/>
          <w:sz w:val="22"/>
          <w:szCs w:val="22"/>
          <w:lang w:val="en-GB" w:eastAsia="zh-CN"/>
        </w:rPr>
        <w:t xml:space="preserve"> its value chain </w:t>
      </w:r>
      <w:r w:rsidR="00DE4190" w:rsidRPr="000E2036">
        <w:rPr>
          <w:rFonts w:eastAsia="ヒラギノ明朝 Pro W3"/>
          <w:sz w:val="22"/>
          <w:szCs w:val="22"/>
          <w:lang w:val="en-GB" w:eastAsia="zh-CN"/>
        </w:rPr>
        <w:t>and extend the scope of</w:t>
      </w:r>
      <w:r w:rsidRPr="000E2036">
        <w:rPr>
          <w:rFonts w:eastAsia="ヒラギノ明朝 Pro W3"/>
          <w:sz w:val="22"/>
          <w:szCs w:val="22"/>
          <w:lang w:val="en-GB" w:eastAsia="zh-CN"/>
        </w:rPr>
        <w:t xml:space="preserve"> its operations worldwide.</w:t>
      </w:r>
    </w:p>
    <w:p w14:paraId="7168C50E" w14:textId="77777777" w:rsidR="00F502BA" w:rsidRPr="000E2036" w:rsidRDefault="00F502BA" w:rsidP="000E4F83">
      <w:pPr>
        <w:jc w:val="both"/>
        <w:rPr>
          <w:rFonts w:eastAsia="ヒラギノ明朝 Pro W3"/>
          <w:sz w:val="22"/>
          <w:szCs w:val="22"/>
          <w:lang w:val="en-GB" w:eastAsia="zh-CN"/>
        </w:rPr>
      </w:pPr>
    </w:p>
    <w:p w14:paraId="4367CA53" w14:textId="1465F586" w:rsidR="00F502BA" w:rsidRPr="000E2036" w:rsidRDefault="00F502BA" w:rsidP="000E4F83">
      <w:pPr>
        <w:jc w:val="both"/>
        <w:rPr>
          <w:rFonts w:eastAsia="ヒラギノ明朝 Pro W3"/>
          <w:sz w:val="22"/>
          <w:szCs w:val="22"/>
          <w:lang w:val="en-GB" w:eastAsia="zh-CN"/>
        </w:rPr>
      </w:pPr>
      <w:r w:rsidRPr="000E2036">
        <w:rPr>
          <w:rFonts w:eastAsia="ヒラギノ明朝 Pro W3"/>
          <w:sz w:val="22"/>
          <w:szCs w:val="22"/>
          <w:lang w:val="en-GB" w:eastAsia="zh-CN"/>
        </w:rPr>
        <w:t xml:space="preserve">The merger was a </w:t>
      </w:r>
      <w:r w:rsidR="00DE4190" w:rsidRPr="000E2036">
        <w:rPr>
          <w:rFonts w:eastAsia="ヒラギノ明朝 Pro W3"/>
          <w:sz w:val="22"/>
          <w:szCs w:val="22"/>
          <w:lang w:val="en-GB" w:eastAsia="zh-CN"/>
        </w:rPr>
        <w:t>clear</w:t>
      </w:r>
      <w:r w:rsidRPr="000E2036">
        <w:rPr>
          <w:rFonts w:eastAsia="ヒラギノ明朝 Pro W3"/>
          <w:sz w:val="22"/>
          <w:szCs w:val="22"/>
          <w:lang w:val="en-GB" w:eastAsia="zh-CN"/>
        </w:rPr>
        <w:t xml:space="preserve"> success</w:t>
      </w:r>
      <w:r w:rsidR="00DE4190" w:rsidRPr="000E2036">
        <w:rPr>
          <w:rFonts w:eastAsia="ヒラギノ明朝 Pro W3"/>
          <w:sz w:val="22"/>
          <w:szCs w:val="22"/>
          <w:lang w:val="en-GB" w:eastAsia="zh-CN"/>
        </w:rPr>
        <w:t>.</w:t>
      </w:r>
      <w:r w:rsidRPr="000E2036">
        <w:rPr>
          <w:rFonts w:eastAsia="ヒラギノ明朝 Pro W3"/>
          <w:sz w:val="22"/>
          <w:szCs w:val="22"/>
          <w:lang w:val="en-GB" w:eastAsia="zh-CN"/>
        </w:rPr>
        <w:t xml:space="preserve"> </w:t>
      </w:r>
      <w:r w:rsidR="00F02116" w:rsidRPr="000E2036">
        <w:rPr>
          <w:rFonts w:eastAsia="ヒラギノ明朝 Pro W3"/>
          <w:sz w:val="22"/>
          <w:szCs w:val="22"/>
          <w:lang w:val="en-GB" w:eastAsia="zh-CN"/>
        </w:rPr>
        <w:t xml:space="preserve">From 2005 to 2006, </w:t>
      </w:r>
      <w:r w:rsidRPr="000E2036">
        <w:rPr>
          <w:rFonts w:eastAsia="ヒラギノ明朝 Pro W3"/>
          <w:sz w:val="22"/>
          <w:szCs w:val="22"/>
          <w:lang w:val="en-GB" w:eastAsia="zh-CN"/>
        </w:rPr>
        <w:t>TTC’s net sales climbed 19 per cent to ¥3,945.3 billion</w:t>
      </w:r>
      <w:r w:rsidR="00F02116" w:rsidRPr="000E2036">
        <w:rPr>
          <w:rStyle w:val="EndnoteReference"/>
          <w:rFonts w:eastAsia="ヒラギノ明朝 Pro W3"/>
          <w:sz w:val="22"/>
          <w:szCs w:val="22"/>
          <w:lang w:val="en-GB" w:eastAsia="zh-CN"/>
        </w:rPr>
        <w:endnoteReference w:id="17"/>
      </w:r>
      <w:r w:rsidRPr="000E2036">
        <w:rPr>
          <w:rFonts w:eastAsia="ヒラギノ明朝 Pro W3"/>
          <w:sz w:val="22"/>
          <w:szCs w:val="22"/>
          <w:lang w:val="en-GB" w:eastAsia="zh-CN"/>
        </w:rPr>
        <w:t xml:space="preserve"> </w:t>
      </w:r>
      <w:r w:rsidR="00F02116" w:rsidRPr="000E2036">
        <w:rPr>
          <w:rFonts w:eastAsia="ヒラギノ明朝 Pro W3"/>
          <w:sz w:val="22"/>
          <w:szCs w:val="22"/>
          <w:lang w:val="en-GB" w:eastAsia="zh-CN"/>
        </w:rPr>
        <w:t>as</w:t>
      </w:r>
      <w:r w:rsidRPr="000E2036">
        <w:rPr>
          <w:rFonts w:eastAsia="ヒラギノ明朝 Pro W3"/>
          <w:sz w:val="22"/>
          <w:szCs w:val="22"/>
          <w:lang w:val="en-GB" w:eastAsia="zh-CN"/>
        </w:rPr>
        <w:t xml:space="preserve"> net income r</w:t>
      </w:r>
      <w:r w:rsidR="00F02116" w:rsidRPr="000E2036">
        <w:rPr>
          <w:rFonts w:eastAsia="ヒラギノ明朝 Pro W3"/>
          <w:sz w:val="22"/>
          <w:szCs w:val="22"/>
          <w:lang w:val="en-GB" w:eastAsia="zh-CN"/>
        </w:rPr>
        <w:t>ose</w:t>
      </w:r>
      <w:r w:rsidRPr="000E2036">
        <w:rPr>
          <w:rFonts w:eastAsia="ヒラギノ明朝 Pro W3"/>
          <w:sz w:val="22"/>
          <w:szCs w:val="22"/>
          <w:lang w:val="en-GB" w:eastAsia="zh-CN"/>
        </w:rPr>
        <w:t xml:space="preserve"> 21.9 per cent to ¥45.7 billion. Meanwhile, Tomen reported total trading transactions of ¥1,810.8 billion in 2006, which was an improvement of 14.8 per cent from 2005 (</w:t>
      </w:r>
      <w:r w:rsidR="00C667B1" w:rsidRPr="000E2036">
        <w:rPr>
          <w:rFonts w:eastAsia="ヒラギノ明朝 Pro W3"/>
          <w:sz w:val="22"/>
          <w:szCs w:val="22"/>
          <w:lang w:val="en-GB" w:eastAsia="zh-CN"/>
        </w:rPr>
        <w:t>s</w:t>
      </w:r>
      <w:r w:rsidRPr="000E2036">
        <w:rPr>
          <w:rFonts w:eastAsia="ヒラギノ明朝 Pro W3"/>
          <w:sz w:val="22"/>
          <w:szCs w:val="22"/>
          <w:lang w:val="en-GB" w:eastAsia="zh-CN"/>
        </w:rPr>
        <w:t>ee Exhibit 1)</w:t>
      </w:r>
      <w:r w:rsidR="00C667B1" w:rsidRPr="000E2036">
        <w:rPr>
          <w:rFonts w:eastAsia="ヒラギノ明朝 Pro W3"/>
          <w:sz w:val="22"/>
          <w:szCs w:val="22"/>
          <w:lang w:val="en-GB" w:eastAsia="zh-CN"/>
        </w:rPr>
        <w:t>.</w:t>
      </w:r>
      <w:r w:rsidRPr="000E2036">
        <w:rPr>
          <w:rFonts w:eastAsia="ヒラギノ明朝 Pro W3"/>
          <w:sz w:val="22"/>
          <w:szCs w:val="22"/>
          <w:lang w:val="en-GB" w:eastAsia="zh-CN"/>
        </w:rPr>
        <w:t xml:space="preserve"> According to the company’s </w:t>
      </w:r>
      <w:r w:rsidR="00C667B1" w:rsidRPr="000E2036">
        <w:rPr>
          <w:rFonts w:eastAsia="ヒラギノ明朝 Pro W3"/>
          <w:sz w:val="22"/>
          <w:szCs w:val="22"/>
          <w:lang w:val="en-GB" w:eastAsia="zh-CN"/>
        </w:rPr>
        <w:t>p</w:t>
      </w:r>
      <w:r w:rsidRPr="000E2036">
        <w:rPr>
          <w:rFonts w:eastAsia="ヒラギノ明朝 Pro W3"/>
          <w:sz w:val="22"/>
          <w:szCs w:val="22"/>
          <w:lang w:val="en-GB" w:eastAsia="zh-CN"/>
        </w:rPr>
        <w:t xml:space="preserve">resident and </w:t>
      </w:r>
      <w:r w:rsidR="00C667B1" w:rsidRPr="000E2036">
        <w:rPr>
          <w:rFonts w:eastAsia="ヒラギノ明朝 Pro W3"/>
          <w:sz w:val="22"/>
          <w:szCs w:val="22"/>
          <w:lang w:val="en-GB" w:eastAsia="zh-CN"/>
        </w:rPr>
        <w:t>chief executive officer</w:t>
      </w:r>
      <w:r w:rsidRPr="000E2036">
        <w:rPr>
          <w:rFonts w:eastAsia="ヒラギノ明朝 Pro W3"/>
          <w:sz w:val="22"/>
          <w:szCs w:val="22"/>
          <w:lang w:val="en-GB" w:eastAsia="zh-CN"/>
        </w:rPr>
        <w:t xml:space="preserve"> Junzo Shimizu</w:t>
      </w:r>
      <w:r w:rsidR="00C667B1" w:rsidRPr="000E2036">
        <w:rPr>
          <w:rFonts w:eastAsia="ヒラギノ明朝 Pro W3"/>
          <w:sz w:val="22"/>
          <w:szCs w:val="22"/>
          <w:lang w:val="en-GB" w:eastAsia="zh-CN"/>
        </w:rPr>
        <w:t>,</w:t>
      </w:r>
      <w:r w:rsidRPr="000E2036">
        <w:rPr>
          <w:rFonts w:eastAsia="ヒラギノ明朝 Pro W3"/>
          <w:sz w:val="22"/>
          <w:szCs w:val="22"/>
          <w:lang w:val="en-GB" w:eastAsia="zh-CN"/>
        </w:rPr>
        <w:t xml:space="preserve"> “Too much dependency in one industry is not ideal because of the many changes taking place in the world today. To achieve sustainable growth in the future, we need to diversify our business areas.”</w:t>
      </w:r>
      <w:r w:rsidRPr="000E2036">
        <w:rPr>
          <w:rStyle w:val="EndnoteReference"/>
          <w:rFonts w:eastAsia="ヒラギノ明朝 Pro W3"/>
          <w:sz w:val="22"/>
          <w:szCs w:val="22"/>
          <w:lang w:val="en-GB" w:eastAsia="zh-CN"/>
        </w:rPr>
        <w:endnoteReference w:id="18"/>
      </w:r>
    </w:p>
    <w:p w14:paraId="11EDADBE" w14:textId="77777777" w:rsidR="00F502BA" w:rsidRPr="000E2036" w:rsidRDefault="00F502BA" w:rsidP="000E4F83">
      <w:pPr>
        <w:jc w:val="both"/>
        <w:rPr>
          <w:rFonts w:eastAsia="ヒラギノ明朝 Pro W3"/>
          <w:sz w:val="22"/>
          <w:szCs w:val="22"/>
          <w:lang w:val="en-GB" w:eastAsia="zh-CN"/>
        </w:rPr>
      </w:pPr>
    </w:p>
    <w:p w14:paraId="206538C8" w14:textId="382C6E05" w:rsidR="00F502BA" w:rsidRPr="000E2036" w:rsidRDefault="00F502BA" w:rsidP="000E4F83">
      <w:pPr>
        <w:jc w:val="both"/>
        <w:rPr>
          <w:rFonts w:eastAsia="ヒラギノ明朝 Pro W3"/>
          <w:sz w:val="22"/>
          <w:szCs w:val="22"/>
          <w:lang w:val="en-GB" w:eastAsia="zh-CN"/>
        </w:rPr>
      </w:pPr>
      <w:r w:rsidRPr="000E2036">
        <w:rPr>
          <w:rFonts w:eastAsia="ヒラギノ明朝 Pro W3"/>
          <w:sz w:val="22"/>
          <w:szCs w:val="22"/>
          <w:lang w:val="en-GB" w:eastAsia="zh-CN"/>
        </w:rPr>
        <w:t xml:space="preserve">In line with this diversification plan, TTC launched </w:t>
      </w:r>
      <w:r w:rsidR="005B123C" w:rsidRPr="000E2036">
        <w:rPr>
          <w:rFonts w:eastAsia="ヒラギノ明朝 Pro W3"/>
          <w:sz w:val="22"/>
          <w:szCs w:val="22"/>
          <w:lang w:val="en-GB" w:eastAsia="zh-CN"/>
        </w:rPr>
        <w:t>the corporate campaign</w:t>
      </w:r>
      <w:r w:rsidRPr="000E2036">
        <w:rPr>
          <w:rFonts w:eastAsia="ヒラギノ明朝 Pro W3"/>
          <w:sz w:val="22"/>
          <w:szCs w:val="22"/>
          <w:lang w:val="en-GB" w:eastAsia="zh-CN"/>
        </w:rPr>
        <w:t xml:space="preserve"> Vision 2015</w:t>
      </w:r>
      <w:r w:rsidR="00C667B1" w:rsidRPr="000E2036">
        <w:rPr>
          <w:rFonts w:eastAsia="ヒラギノ明朝 Pro W3"/>
          <w:sz w:val="22"/>
          <w:szCs w:val="22"/>
          <w:lang w:val="en-GB" w:eastAsia="zh-CN"/>
        </w:rPr>
        <w:t>—</w:t>
      </w:r>
      <w:r w:rsidRPr="000E2036">
        <w:rPr>
          <w:rFonts w:eastAsia="ヒラギノ明朝 Pro W3"/>
          <w:sz w:val="22"/>
          <w:szCs w:val="22"/>
          <w:lang w:val="en-GB" w:eastAsia="zh-CN"/>
        </w:rPr>
        <w:t>Lead the Next</w:t>
      </w:r>
      <w:r w:rsidR="005B123C" w:rsidRPr="000E2036">
        <w:rPr>
          <w:rFonts w:eastAsia="ヒラギノ明朝 Pro W3"/>
          <w:sz w:val="22"/>
          <w:szCs w:val="22"/>
          <w:lang w:val="en-GB" w:eastAsia="zh-CN"/>
        </w:rPr>
        <w:t xml:space="preserve"> in 2007</w:t>
      </w:r>
      <w:r w:rsidR="000D0257" w:rsidRPr="000E2036">
        <w:rPr>
          <w:rFonts w:eastAsia="ヒラギノ明朝 Pro W3"/>
          <w:sz w:val="22"/>
          <w:szCs w:val="22"/>
          <w:lang w:val="en-GB" w:eastAsia="zh-CN"/>
        </w:rPr>
        <w:t>.</w:t>
      </w:r>
      <w:r w:rsidRPr="000E2036">
        <w:rPr>
          <w:rStyle w:val="EndnoteReference"/>
          <w:rFonts w:eastAsia="ヒラギノ明朝 Pro W3"/>
          <w:sz w:val="22"/>
          <w:szCs w:val="22"/>
          <w:lang w:val="en-GB" w:eastAsia="zh-CN"/>
        </w:rPr>
        <w:endnoteReference w:id="19"/>
      </w:r>
      <w:r w:rsidRPr="000E2036">
        <w:rPr>
          <w:rFonts w:eastAsia="ヒラギノ明朝 Pro W3"/>
          <w:sz w:val="22"/>
          <w:szCs w:val="22"/>
          <w:lang w:val="en-GB" w:eastAsia="zh-CN"/>
        </w:rPr>
        <w:t xml:space="preserve"> </w:t>
      </w:r>
      <w:r w:rsidR="000D0257" w:rsidRPr="000E2036">
        <w:rPr>
          <w:rFonts w:eastAsia="ヒラギノ明朝 Pro W3"/>
          <w:sz w:val="22"/>
          <w:szCs w:val="22"/>
          <w:lang w:val="en-GB" w:eastAsia="zh-CN"/>
        </w:rPr>
        <w:t xml:space="preserve">Vision 2015 was </w:t>
      </w:r>
      <w:r w:rsidRPr="000E2036">
        <w:rPr>
          <w:rFonts w:eastAsia="ヒラギノ明朝 Pro W3"/>
          <w:sz w:val="22"/>
          <w:szCs w:val="22"/>
          <w:lang w:val="en-GB" w:eastAsia="zh-CN"/>
        </w:rPr>
        <w:t xml:space="preserve">a far-reaching agenda aimed at </w:t>
      </w:r>
      <w:r w:rsidR="00C667B1" w:rsidRPr="000E2036">
        <w:rPr>
          <w:rFonts w:eastAsia="ヒラギノ明朝 Pro W3"/>
          <w:sz w:val="22"/>
          <w:szCs w:val="22"/>
          <w:lang w:val="en-GB" w:eastAsia="zh-CN"/>
        </w:rPr>
        <w:t xml:space="preserve">making </w:t>
      </w:r>
      <w:r w:rsidRPr="000E2036">
        <w:rPr>
          <w:rFonts w:eastAsia="ヒラギノ明朝 Pro W3"/>
          <w:sz w:val="22"/>
          <w:szCs w:val="22"/>
          <w:lang w:val="en-GB" w:eastAsia="zh-CN"/>
        </w:rPr>
        <w:t>TTC a value-generating corporation that addressed social and environmental issues</w:t>
      </w:r>
      <w:r w:rsidR="000D0257" w:rsidRPr="000E2036">
        <w:rPr>
          <w:rFonts w:eastAsia="ヒラギノ明朝 Pro W3"/>
          <w:sz w:val="22"/>
          <w:szCs w:val="22"/>
          <w:lang w:val="en-GB" w:eastAsia="zh-CN"/>
        </w:rPr>
        <w:t>. It was also intended to</w:t>
      </w:r>
      <w:r w:rsidRPr="000E2036">
        <w:rPr>
          <w:rFonts w:eastAsia="ヒラギノ明朝 Pro W3"/>
          <w:sz w:val="22"/>
          <w:szCs w:val="22"/>
          <w:lang w:val="en-GB" w:eastAsia="zh-CN"/>
        </w:rPr>
        <w:t xml:space="preserve"> establish a 50:50 balance between </w:t>
      </w:r>
      <w:r w:rsidR="000D0257" w:rsidRPr="000E2036">
        <w:rPr>
          <w:rFonts w:eastAsia="ヒラギノ明朝 Pro W3"/>
          <w:sz w:val="22"/>
          <w:szCs w:val="22"/>
          <w:lang w:val="en-GB" w:eastAsia="zh-CN"/>
        </w:rPr>
        <w:t>TTC’s</w:t>
      </w:r>
      <w:r w:rsidRPr="000E2036">
        <w:rPr>
          <w:rFonts w:eastAsia="ヒラギノ明朝 Pro W3"/>
          <w:sz w:val="22"/>
          <w:szCs w:val="22"/>
          <w:lang w:val="en-GB" w:eastAsia="zh-CN"/>
        </w:rPr>
        <w:t xml:space="preserve"> automotive and non-automotive businesses within the next six years. </w:t>
      </w:r>
      <w:r w:rsidR="000D0257" w:rsidRPr="000E2036">
        <w:rPr>
          <w:rFonts w:eastAsia="ヒラギノ明朝 Pro W3"/>
          <w:sz w:val="22"/>
          <w:szCs w:val="22"/>
          <w:lang w:val="en-GB" w:eastAsia="zh-CN"/>
        </w:rPr>
        <w:t>T</w:t>
      </w:r>
      <w:r w:rsidRPr="000E2036">
        <w:rPr>
          <w:rFonts w:eastAsia="ヒラギノ明朝 Pro W3"/>
          <w:sz w:val="22"/>
          <w:szCs w:val="22"/>
          <w:lang w:val="en-GB" w:eastAsia="zh-CN"/>
        </w:rPr>
        <w:t>herefore</w:t>
      </w:r>
      <w:r w:rsidR="000D0257" w:rsidRPr="000E2036">
        <w:rPr>
          <w:rFonts w:eastAsia="ヒラギノ明朝 Pro W3"/>
          <w:sz w:val="22"/>
          <w:szCs w:val="22"/>
          <w:lang w:val="en-GB" w:eastAsia="zh-CN"/>
        </w:rPr>
        <w:t>, this was</w:t>
      </w:r>
      <w:r w:rsidRPr="000E2036">
        <w:rPr>
          <w:rFonts w:eastAsia="ヒラギノ明朝 Pro W3"/>
          <w:sz w:val="22"/>
          <w:szCs w:val="22"/>
          <w:lang w:val="en-GB" w:eastAsia="zh-CN"/>
        </w:rPr>
        <w:t xml:space="preserve"> the right time for TTC </w:t>
      </w:r>
      <w:r w:rsidR="00C667B1" w:rsidRPr="000E2036">
        <w:rPr>
          <w:rFonts w:eastAsia="ヒラギノ明朝 Pro W3"/>
          <w:sz w:val="22"/>
          <w:szCs w:val="22"/>
          <w:lang w:val="en-GB" w:eastAsia="zh-CN"/>
        </w:rPr>
        <w:t>to seek</w:t>
      </w:r>
      <w:r w:rsidRPr="000E2036">
        <w:rPr>
          <w:rFonts w:eastAsia="ヒラギノ明朝 Pro W3"/>
          <w:sz w:val="22"/>
          <w:szCs w:val="22"/>
          <w:lang w:val="en-GB" w:eastAsia="zh-CN"/>
        </w:rPr>
        <w:t xml:space="preserve"> and invest in promising </w:t>
      </w:r>
      <w:r w:rsidR="00C667B1" w:rsidRPr="000E2036">
        <w:rPr>
          <w:rFonts w:eastAsia="ヒラギノ明朝 Pro W3"/>
          <w:sz w:val="22"/>
          <w:szCs w:val="22"/>
          <w:lang w:val="en-GB" w:eastAsia="zh-CN"/>
        </w:rPr>
        <w:t xml:space="preserve">overseas </w:t>
      </w:r>
      <w:r w:rsidRPr="000E2036">
        <w:rPr>
          <w:rFonts w:eastAsia="ヒラギノ明朝 Pro W3"/>
          <w:sz w:val="22"/>
          <w:szCs w:val="22"/>
          <w:lang w:val="en-GB" w:eastAsia="zh-CN"/>
        </w:rPr>
        <w:t>business fields and markets.</w:t>
      </w:r>
    </w:p>
    <w:p w14:paraId="66400C26" w14:textId="77777777" w:rsidR="00F502BA" w:rsidRPr="000E2036" w:rsidRDefault="00F502BA" w:rsidP="000E4F83">
      <w:pPr>
        <w:jc w:val="both"/>
        <w:rPr>
          <w:rFonts w:eastAsia="ヒラギノ明朝 Pro W3"/>
          <w:sz w:val="22"/>
          <w:szCs w:val="22"/>
          <w:lang w:val="en-GB" w:eastAsia="zh-CN"/>
        </w:rPr>
      </w:pPr>
    </w:p>
    <w:p w14:paraId="02335602" w14:textId="77777777" w:rsidR="00F502BA" w:rsidRPr="000E2036" w:rsidRDefault="00F502BA" w:rsidP="000E4F83">
      <w:pPr>
        <w:jc w:val="both"/>
        <w:rPr>
          <w:rFonts w:eastAsia="ヒラギノ明朝 Pro W3"/>
          <w:sz w:val="22"/>
          <w:szCs w:val="22"/>
          <w:lang w:val="en-GB" w:eastAsia="zh-CN"/>
        </w:rPr>
      </w:pPr>
    </w:p>
    <w:p w14:paraId="7C2DF22D" w14:textId="7962B262" w:rsidR="00F502BA" w:rsidRPr="000E2036" w:rsidRDefault="00F502BA" w:rsidP="000E4F83">
      <w:pPr>
        <w:jc w:val="both"/>
        <w:rPr>
          <w:rFonts w:ascii="Arial" w:eastAsia="ヒラギノ明朝 Pro W3" w:hAnsi="Arial" w:cs="Arial"/>
          <w:b/>
          <w:lang w:val="en-GB" w:eastAsia="zh-CN"/>
        </w:rPr>
      </w:pPr>
      <w:r w:rsidRPr="000E2036">
        <w:rPr>
          <w:rFonts w:ascii="Arial" w:eastAsia="ヒラギノ明朝 Pro W3" w:hAnsi="Arial" w:cs="Arial"/>
          <w:b/>
          <w:lang w:val="en-GB" w:eastAsia="zh-CN"/>
        </w:rPr>
        <w:t>Presence in Africa</w:t>
      </w:r>
    </w:p>
    <w:p w14:paraId="09B099A5" w14:textId="77777777" w:rsidR="00F502BA" w:rsidRPr="000E2036" w:rsidRDefault="00F502BA" w:rsidP="000E4F83">
      <w:pPr>
        <w:jc w:val="both"/>
        <w:rPr>
          <w:rFonts w:eastAsia="ヒラギノ明朝 Pro W3"/>
          <w:sz w:val="22"/>
          <w:szCs w:val="22"/>
          <w:lang w:val="en-GB" w:eastAsia="zh-CN"/>
        </w:rPr>
      </w:pPr>
    </w:p>
    <w:p w14:paraId="3DAD8B14" w14:textId="71E043EF" w:rsidR="00F502BA" w:rsidRPr="000E2036" w:rsidRDefault="00F502BA" w:rsidP="00365D91">
      <w:pPr>
        <w:jc w:val="both"/>
        <w:rPr>
          <w:rFonts w:eastAsia="ヒラギノ明朝 Pro W3"/>
          <w:sz w:val="22"/>
          <w:szCs w:val="22"/>
          <w:lang w:val="en-GB" w:eastAsia="zh-CN"/>
        </w:rPr>
      </w:pPr>
      <w:r w:rsidRPr="000E2036">
        <w:rPr>
          <w:rFonts w:eastAsia="ヒラギノ明朝 Pro W3"/>
          <w:sz w:val="22"/>
          <w:szCs w:val="22"/>
          <w:lang w:val="en-GB" w:eastAsia="zh-CN"/>
        </w:rPr>
        <w:t>TTC began its history in Africa very early in 1922, when it first purchased cotton wool from Eastern Africa.</w:t>
      </w:r>
      <w:r w:rsidRPr="000E2036">
        <w:rPr>
          <w:rStyle w:val="EndnoteReference"/>
          <w:rFonts w:eastAsia="ヒラギノ明朝 Pro W3"/>
          <w:sz w:val="22"/>
          <w:szCs w:val="22"/>
          <w:lang w:val="en-GB" w:eastAsia="zh-CN"/>
        </w:rPr>
        <w:endnoteReference w:id="20"/>
      </w:r>
      <w:r w:rsidRPr="000E2036">
        <w:rPr>
          <w:rFonts w:eastAsia="ヒラギノ明朝 Pro W3"/>
          <w:sz w:val="22"/>
          <w:szCs w:val="22"/>
          <w:lang w:val="en-GB" w:eastAsia="zh-CN"/>
        </w:rPr>
        <w:t xml:space="preserve"> It started </w:t>
      </w:r>
      <w:r w:rsidR="003E1FC2">
        <w:rPr>
          <w:rFonts w:eastAsia="ヒラギノ明朝 Pro W3"/>
          <w:sz w:val="22"/>
          <w:szCs w:val="22"/>
          <w:lang w:val="en-GB" w:eastAsia="zh-CN"/>
        </w:rPr>
        <w:t>an</w:t>
      </w:r>
      <w:r w:rsidR="003E1FC2" w:rsidRPr="000E2036">
        <w:rPr>
          <w:rFonts w:eastAsia="ヒラギノ明朝 Pro W3"/>
          <w:sz w:val="22"/>
          <w:szCs w:val="22"/>
          <w:lang w:val="en-GB" w:eastAsia="zh-CN"/>
        </w:rPr>
        <w:t xml:space="preserve"> </w:t>
      </w:r>
      <w:r w:rsidRPr="000E2036">
        <w:rPr>
          <w:rFonts w:eastAsia="ヒラギノ明朝 Pro W3"/>
          <w:sz w:val="22"/>
          <w:szCs w:val="22"/>
          <w:lang w:val="en-GB" w:eastAsia="zh-CN"/>
        </w:rPr>
        <w:t xml:space="preserve">automotive export business in 1964. In 1991, it invested in local distributors in Angola and started automobile sales operations. Since then, it </w:t>
      </w:r>
      <w:r w:rsidR="003E1FC2">
        <w:rPr>
          <w:rFonts w:eastAsia="ヒラギノ明朝 Pro W3"/>
          <w:sz w:val="22"/>
          <w:szCs w:val="22"/>
          <w:lang w:val="en-GB" w:eastAsia="zh-CN"/>
        </w:rPr>
        <w:t xml:space="preserve">had </w:t>
      </w:r>
      <w:r w:rsidRPr="000E2036">
        <w:rPr>
          <w:rFonts w:eastAsia="ヒラギノ明朝 Pro W3"/>
          <w:sz w:val="22"/>
          <w:szCs w:val="22"/>
          <w:lang w:val="en-GB" w:eastAsia="zh-CN"/>
        </w:rPr>
        <w:t xml:space="preserve">accelerated investments in Africa by establishing a regional headquarters in South Africa in 2000 and </w:t>
      </w:r>
      <w:r w:rsidR="001F1E97" w:rsidRPr="000E2036">
        <w:rPr>
          <w:rFonts w:eastAsia="ヒラギノ明朝 Pro W3"/>
          <w:sz w:val="22"/>
          <w:szCs w:val="22"/>
          <w:lang w:val="en-GB" w:eastAsia="zh-CN"/>
        </w:rPr>
        <w:t xml:space="preserve">by </w:t>
      </w:r>
      <w:r w:rsidRPr="000E2036">
        <w:rPr>
          <w:rFonts w:eastAsia="ヒラギノ明朝 Pro W3"/>
          <w:sz w:val="22"/>
          <w:szCs w:val="22"/>
          <w:lang w:val="en-GB" w:eastAsia="zh-CN"/>
        </w:rPr>
        <w:t xml:space="preserve">purchasing a British trading company’s automotive business in six </w:t>
      </w:r>
      <w:r w:rsidR="00643336">
        <w:rPr>
          <w:rFonts w:eastAsia="ヒラギノ明朝 Pro W3"/>
          <w:sz w:val="22"/>
          <w:szCs w:val="22"/>
          <w:lang w:val="en-GB" w:eastAsia="zh-CN"/>
        </w:rPr>
        <w:t>S</w:t>
      </w:r>
      <w:r w:rsidR="00643336" w:rsidRPr="000E2036">
        <w:rPr>
          <w:rFonts w:eastAsia="ヒラギノ明朝 Pro W3"/>
          <w:sz w:val="22"/>
          <w:szCs w:val="22"/>
          <w:lang w:val="en-GB" w:eastAsia="zh-CN"/>
        </w:rPr>
        <w:t>outh</w:t>
      </w:r>
      <w:r w:rsidR="000D0257" w:rsidRPr="000E2036">
        <w:rPr>
          <w:rFonts w:eastAsia="ヒラギノ明朝 Pro W3"/>
          <w:sz w:val="22"/>
          <w:szCs w:val="22"/>
          <w:lang w:val="en-GB" w:eastAsia="zh-CN"/>
        </w:rPr>
        <w:t>e</w:t>
      </w:r>
      <w:r w:rsidRPr="000E2036">
        <w:rPr>
          <w:rFonts w:eastAsia="ヒラギノ明朝 Pro W3"/>
          <w:sz w:val="22"/>
          <w:szCs w:val="22"/>
          <w:lang w:val="en-GB" w:eastAsia="zh-CN"/>
        </w:rPr>
        <w:t xml:space="preserve">ast African countries in 2001. TTC continued to broaden and strengthen its </w:t>
      </w:r>
      <w:r w:rsidRPr="000E2036">
        <w:rPr>
          <w:rFonts w:eastAsia="ヒラギノ明朝 Pro W3"/>
          <w:sz w:val="22"/>
          <w:szCs w:val="22"/>
          <w:lang w:val="en-GB" w:eastAsia="zh-CN"/>
        </w:rPr>
        <w:lastRenderedPageBreak/>
        <w:t>automotive value chain in Africa</w:t>
      </w:r>
      <w:r w:rsidR="00EC70AA" w:rsidRPr="000E2036">
        <w:rPr>
          <w:rFonts w:eastAsia="ヒラギノ明朝 Pro W3"/>
          <w:sz w:val="22"/>
          <w:szCs w:val="22"/>
          <w:lang w:val="en-GB" w:eastAsia="zh-CN"/>
        </w:rPr>
        <w:t>.</w:t>
      </w:r>
      <w:r w:rsidRPr="000E2036">
        <w:rPr>
          <w:rFonts w:eastAsia="ヒラギノ明朝 Pro W3"/>
          <w:sz w:val="22"/>
          <w:szCs w:val="22"/>
          <w:lang w:val="en-GB" w:eastAsia="zh-CN"/>
        </w:rPr>
        <w:t xml:space="preserve"> </w:t>
      </w:r>
      <w:r w:rsidR="000A182C" w:rsidRPr="000E2036">
        <w:rPr>
          <w:rFonts w:eastAsia="ヒラギノ明朝 Pro W3"/>
          <w:sz w:val="22"/>
          <w:szCs w:val="22"/>
          <w:lang w:val="en-GB" w:eastAsia="zh-CN"/>
        </w:rPr>
        <w:t xml:space="preserve">The company added </w:t>
      </w:r>
      <w:r w:rsidRPr="000E2036">
        <w:rPr>
          <w:rFonts w:eastAsia="ヒラギノ明朝 Pro W3"/>
          <w:sz w:val="22"/>
          <w:szCs w:val="22"/>
          <w:lang w:val="en-GB" w:eastAsia="zh-CN"/>
        </w:rPr>
        <w:t xml:space="preserve">automobile manufacturing support in South Africa as well as sales finance and sales of used vehicles in Kenya. </w:t>
      </w:r>
      <w:r w:rsidR="00DD0973" w:rsidRPr="000E2036">
        <w:rPr>
          <w:rFonts w:eastAsia="ヒラギノ明朝 Pro W3"/>
          <w:sz w:val="22"/>
          <w:szCs w:val="22"/>
          <w:lang w:val="en-GB" w:eastAsia="zh-CN"/>
        </w:rPr>
        <w:t>I</w:t>
      </w:r>
      <w:r w:rsidRPr="000E2036">
        <w:rPr>
          <w:rFonts w:eastAsia="ヒラギノ明朝 Pro W3"/>
          <w:sz w:val="22"/>
          <w:szCs w:val="22"/>
          <w:lang w:val="en-GB" w:eastAsia="zh-CN"/>
        </w:rPr>
        <w:t>n response to a rapid surge in electric power demand</w:t>
      </w:r>
      <w:r w:rsidR="00DD0973" w:rsidRPr="000E2036">
        <w:rPr>
          <w:rFonts w:eastAsia="ヒラギノ明朝 Pro W3"/>
          <w:sz w:val="22"/>
          <w:szCs w:val="22"/>
          <w:lang w:val="en-GB" w:eastAsia="zh-CN"/>
        </w:rPr>
        <w:t xml:space="preserve"> in the early 2000s</w:t>
      </w:r>
      <w:r w:rsidRPr="000E2036">
        <w:rPr>
          <w:rFonts w:eastAsia="ヒラギノ明朝 Pro W3"/>
          <w:sz w:val="22"/>
          <w:szCs w:val="22"/>
          <w:lang w:val="en-GB" w:eastAsia="zh-CN"/>
        </w:rPr>
        <w:t xml:space="preserve">, TTC increased </w:t>
      </w:r>
      <w:r w:rsidR="00DD0973" w:rsidRPr="000E2036">
        <w:rPr>
          <w:rFonts w:eastAsia="ヒラギノ明朝 Pro W3"/>
          <w:sz w:val="22"/>
          <w:szCs w:val="22"/>
          <w:lang w:val="en-GB" w:eastAsia="zh-CN"/>
        </w:rPr>
        <w:t xml:space="preserve">its </w:t>
      </w:r>
      <w:r w:rsidRPr="000E2036">
        <w:rPr>
          <w:rFonts w:eastAsia="ヒラギノ明朝 Pro W3"/>
          <w:sz w:val="22"/>
          <w:szCs w:val="22"/>
          <w:lang w:val="en-GB" w:eastAsia="zh-CN"/>
        </w:rPr>
        <w:t xml:space="preserve">investment in the infrastructure business, including equipment for power plant construction in Egypt and Kenya </w:t>
      </w:r>
      <w:r w:rsidR="00872D58" w:rsidRPr="000E2036">
        <w:rPr>
          <w:rFonts w:eastAsia="ヒラギノ明朝 Pro W3"/>
          <w:sz w:val="22"/>
          <w:szCs w:val="22"/>
          <w:lang w:val="en-GB" w:eastAsia="zh-CN"/>
        </w:rPr>
        <w:t>(</w:t>
      </w:r>
      <w:r w:rsidR="00DD0973" w:rsidRPr="000E2036">
        <w:rPr>
          <w:rFonts w:eastAsia="ヒラギノ明朝 Pro W3"/>
          <w:sz w:val="22"/>
          <w:szCs w:val="22"/>
          <w:lang w:val="en-GB" w:eastAsia="zh-CN"/>
        </w:rPr>
        <w:t>s</w:t>
      </w:r>
      <w:r w:rsidR="00872D58" w:rsidRPr="000E2036">
        <w:rPr>
          <w:rFonts w:eastAsia="ヒラギノ明朝 Pro W3"/>
          <w:sz w:val="22"/>
          <w:szCs w:val="22"/>
          <w:lang w:val="en-GB" w:eastAsia="zh-CN"/>
        </w:rPr>
        <w:t>ee Exhibit 2</w:t>
      </w:r>
      <w:r w:rsidRPr="000E2036">
        <w:rPr>
          <w:rFonts w:eastAsia="ヒラギノ明朝 Pro W3"/>
          <w:sz w:val="22"/>
          <w:szCs w:val="22"/>
          <w:lang w:val="en-GB" w:eastAsia="zh-CN"/>
        </w:rPr>
        <w:t>)</w:t>
      </w:r>
      <w:r w:rsidR="00DD0973" w:rsidRPr="000E2036">
        <w:rPr>
          <w:rFonts w:eastAsia="ヒラギノ明朝 Pro W3"/>
          <w:sz w:val="22"/>
          <w:szCs w:val="22"/>
          <w:lang w:val="en-GB" w:eastAsia="zh-CN"/>
        </w:rPr>
        <w:t>.</w:t>
      </w:r>
    </w:p>
    <w:p w14:paraId="276FAC57" w14:textId="77777777" w:rsidR="00F502BA" w:rsidRPr="000E2036" w:rsidRDefault="00F502BA" w:rsidP="000E4F83">
      <w:pPr>
        <w:jc w:val="both"/>
        <w:rPr>
          <w:rFonts w:eastAsia="ヒラギノ明朝 Pro W3"/>
          <w:sz w:val="22"/>
          <w:szCs w:val="22"/>
          <w:lang w:val="en-GB" w:eastAsia="zh-CN"/>
        </w:rPr>
      </w:pPr>
    </w:p>
    <w:p w14:paraId="40129668" w14:textId="77777777" w:rsidR="000D0257" w:rsidRPr="000E2036" w:rsidRDefault="000D0257" w:rsidP="000E4F83">
      <w:pPr>
        <w:jc w:val="both"/>
        <w:rPr>
          <w:rFonts w:ascii="Arial" w:eastAsia="ヒラギノ明朝 Pro W3" w:hAnsi="Arial" w:cs="Arial"/>
          <w:b/>
          <w:lang w:val="en-GB" w:eastAsia="zh-CN"/>
        </w:rPr>
      </w:pPr>
    </w:p>
    <w:p w14:paraId="421EF030" w14:textId="71FADD8E" w:rsidR="00F502BA" w:rsidRPr="000E2036" w:rsidRDefault="00F502BA" w:rsidP="000E4F83">
      <w:pPr>
        <w:jc w:val="both"/>
        <w:rPr>
          <w:rFonts w:ascii="Arial" w:eastAsia="ヒラギノ明朝 Pro W3" w:hAnsi="Arial" w:cs="Arial"/>
          <w:b/>
          <w:lang w:val="en-GB" w:eastAsia="zh-CN"/>
        </w:rPr>
      </w:pPr>
      <w:r w:rsidRPr="000E2036">
        <w:rPr>
          <w:rFonts w:ascii="Arial" w:eastAsia="ヒラギノ明朝 Pro W3" w:hAnsi="Arial" w:cs="Arial"/>
          <w:b/>
          <w:lang w:val="en-GB" w:eastAsia="zh-CN"/>
        </w:rPr>
        <w:t>CFAO GROUP</w:t>
      </w:r>
    </w:p>
    <w:p w14:paraId="0F80D8BD" w14:textId="77777777" w:rsidR="00F502BA" w:rsidRPr="000E2036" w:rsidRDefault="00F502BA" w:rsidP="000E4F83">
      <w:pPr>
        <w:jc w:val="both"/>
        <w:rPr>
          <w:rFonts w:eastAsia="ヒラギノ明朝 Pro W3"/>
          <w:sz w:val="22"/>
          <w:szCs w:val="22"/>
          <w:lang w:val="en-GB" w:eastAsia="zh-CN"/>
        </w:rPr>
      </w:pPr>
    </w:p>
    <w:p w14:paraId="3D82B779" w14:textId="3B540FBB" w:rsidR="00F502BA" w:rsidRPr="000E2036" w:rsidRDefault="00F502BA" w:rsidP="000E4F83">
      <w:pPr>
        <w:jc w:val="both"/>
        <w:rPr>
          <w:rFonts w:eastAsia="ヒラギノ明朝 Pro W3"/>
          <w:sz w:val="22"/>
          <w:szCs w:val="22"/>
          <w:lang w:val="en-GB" w:eastAsia="zh-CN"/>
        </w:rPr>
      </w:pPr>
      <w:r w:rsidRPr="000E2036">
        <w:rPr>
          <w:rFonts w:eastAsia="ヒラギノ明朝 Pro W3"/>
          <w:sz w:val="22"/>
          <w:szCs w:val="22"/>
          <w:lang w:val="en-GB" w:eastAsia="zh-CN"/>
        </w:rPr>
        <w:t>Etablissements Verminck</w:t>
      </w:r>
      <w:r w:rsidR="00C510C4" w:rsidRPr="000E2036">
        <w:rPr>
          <w:rFonts w:eastAsia="ヒラギノ明朝 Pro W3"/>
          <w:sz w:val="22"/>
          <w:szCs w:val="22"/>
          <w:lang w:val="en-GB" w:eastAsia="zh-CN"/>
        </w:rPr>
        <w:t>, the predecessor of CFAO Group,</w:t>
      </w:r>
      <w:r w:rsidRPr="000E2036">
        <w:rPr>
          <w:rFonts w:eastAsia="ヒラギノ明朝 Pro W3"/>
          <w:sz w:val="22"/>
          <w:szCs w:val="22"/>
          <w:lang w:val="en-GB" w:eastAsia="zh-CN"/>
        </w:rPr>
        <w:t xml:space="preserve"> was founded in </w:t>
      </w:r>
      <w:r w:rsidR="00C510C4" w:rsidRPr="000E2036">
        <w:rPr>
          <w:rFonts w:eastAsia="ヒラギノ明朝 Pro W3"/>
          <w:sz w:val="22"/>
          <w:szCs w:val="22"/>
          <w:lang w:val="en-GB" w:eastAsia="zh-CN"/>
        </w:rPr>
        <w:t>the</w:t>
      </w:r>
      <w:r w:rsidRPr="000E2036">
        <w:rPr>
          <w:rFonts w:eastAsia="ヒラギノ明朝 Pro W3"/>
          <w:sz w:val="22"/>
          <w:szCs w:val="22"/>
          <w:lang w:val="en-GB" w:eastAsia="zh-CN"/>
        </w:rPr>
        <w:t xml:space="preserve"> French city</w:t>
      </w:r>
      <w:r w:rsidR="00C510C4" w:rsidRPr="000E2036">
        <w:rPr>
          <w:rFonts w:eastAsia="ヒラギノ明朝 Pro W3"/>
          <w:sz w:val="22"/>
          <w:szCs w:val="22"/>
          <w:lang w:val="en-GB" w:eastAsia="zh-CN"/>
        </w:rPr>
        <w:t xml:space="preserve"> of</w:t>
      </w:r>
      <w:r w:rsidRPr="000E2036">
        <w:rPr>
          <w:rFonts w:eastAsia="ヒラギノ明朝 Pro W3"/>
          <w:sz w:val="22"/>
          <w:szCs w:val="22"/>
          <w:lang w:val="en-GB" w:eastAsia="zh-CN"/>
        </w:rPr>
        <w:t xml:space="preserve"> Marseille in 1852 and was renamed Compagnie Française de l</w:t>
      </w:r>
      <w:r w:rsidR="000D0257" w:rsidRPr="000E2036">
        <w:rPr>
          <w:rFonts w:eastAsia="ヒラギノ明朝 Pro W3"/>
          <w:sz w:val="22"/>
          <w:szCs w:val="22"/>
          <w:lang w:val="en-GB" w:eastAsia="zh-CN"/>
        </w:rPr>
        <w:t>’</w:t>
      </w:r>
      <w:r w:rsidRPr="000E2036">
        <w:rPr>
          <w:rFonts w:eastAsia="ヒラギノ明朝 Pro W3"/>
          <w:sz w:val="22"/>
          <w:szCs w:val="22"/>
          <w:lang w:val="en-GB" w:eastAsia="zh-CN"/>
        </w:rPr>
        <w:t>Afrique Occidentale</w:t>
      </w:r>
      <w:r w:rsidR="000D0257" w:rsidRPr="000E2036">
        <w:rPr>
          <w:rFonts w:eastAsia="ヒラギノ明朝 Pro W3"/>
          <w:sz w:val="22"/>
          <w:szCs w:val="22"/>
          <w:lang w:val="en-GB" w:eastAsia="zh-CN"/>
        </w:rPr>
        <w:t xml:space="preserve"> </w:t>
      </w:r>
      <w:r w:rsidR="00C510C4" w:rsidRPr="000E2036">
        <w:rPr>
          <w:rFonts w:eastAsia="ヒラギノ明朝 Pro W3"/>
          <w:sz w:val="22"/>
          <w:szCs w:val="22"/>
          <w:lang w:val="en-GB" w:eastAsia="zh-CN"/>
        </w:rPr>
        <w:t>(French Company of Western Africa)</w:t>
      </w:r>
      <w:r w:rsidRPr="000E2036">
        <w:rPr>
          <w:rFonts w:eastAsia="ヒラギノ明朝 Pro W3"/>
          <w:sz w:val="22"/>
          <w:szCs w:val="22"/>
          <w:lang w:val="en-GB" w:eastAsia="zh-CN"/>
        </w:rPr>
        <w:t xml:space="preserve"> in 1887.</w:t>
      </w:r>
      <w:r w:rsidRPr="000E2036">
        <w:rPr>
          <w:rStyle w:val="EndnoteReference"/>
          <w:rFonts w:eastAsia="ヒラギノ明朝 Pro W3"/>
          <w:sz w:val="22"/>
          <w:szCs w:val="22"/>
          <w:lang w:val="en-GB" w:eastAsia="zh-CN"/>
        </w:rPr>
        <w:endnoteReference w:id="21"/>
      </w:r>
      <w:r w:rsidRPr="000E2036">
        <w:rPr>
          <w:rFonts w:eastAsia="ヒラギノ明朝 Pro W3"/>
          <w:sz w:val="22"/>
          <w:szCs w:val="22"/>
          <w:lang w:val="en-GB" w:eastAsia="zh-CN"/>
        </w:rPr>
        <w:t xml:space="preserve"> From the beginning, the group was involved in the basic trading of consumer products and foods </w:t>
      </w:r>
      <w:r w:rsidR="00B24ADC" w:rsidRPr="000E2036">
        <w:rPr>
          <w:rFonts w:eastAsia="ヒラギノ明朝 Pro W3"/>
          <w:sz w:val="22"/>
          <w:szCs w:val="22"/>
          <w:lang w:val="en-GB" w:eastAsia="zh-CN"/>
        </w:rPr>
        <w:t>as well as fostering</w:t>
      </w:r>
      <w:r w:rsidRPr="000E2036">
        <w:rPr>
          <w:rFonts w:eastAsia="ヒラギノ明朝 Pro W3"/>
          <w:sz w:val="22"/>
          <w:szCs w:val="22"/>
          <w:lang w:val="en-GB" w:eastAsia="zh-CN"/>
        </w:rPr>
        <w:t xml:space="preserve"> a modern vision </w:t>
      </w:r>
      <w:r w:rsidR="00B24ADC" w:rsidRPr="000E2036">
        <w:rPr>
          <w:rFonts w:eastAsia="ヒラギノ明朝 Pro W3"/>
          <w:sz w:val="22"/>
          <w:szCs w:val="22"/>
          <w:lang w:val="en-GB" w:eastAsia="zh-CN"/>
        </w:rPr>
        <w:t>for</w:t>
      </w:r>
      <w:r w:rsidRPr="000E2036">
        <w:rPr>
          <w:rFonts w:eastAsia="ヒラギノ明朝 Pro W3"/>
          <w:sz w:val="22"/>
          <w:szCs w:val="22"/>
          <w:lang w:val="en-GB" w:eastAsia="zh-CN"/>
        </w:rPr>
        <w:t xml:space="preserve"> the African continent through the distribution of manufactured products. After becoming Western Africa’s leading supplier and contributing to the region’s development, CFAO gradually expanded into Equatorial Africa and then into the French overseas territories. From 1913, CFAO turned toward automobile distribution in Africa and expanded into industrial production. Between 1950 and 1980, CFAO </w:t>
      </w:r>
      <w:r w:rsidR="00A813F3" w:rsidRPr="000E2036">
        <w:rPr>
          <w:rFonts w:eastAsia="ヒラギノ明朝 Pro W3"/>
          <w:sz w:val="22"/>
          <w:szCs w:val="22"/>
          <w:lang w:val="en-GB" w:eastAsia="zh-CN"/>
        </w:rPr>
        <w:t xml:space="preserve">significantly </w:t>
      </w:r>
      <w:r w:rsidRPr="000E2036">
        <w:rPr>
          <w:rFonts w:eastAsia="ヒラギノ明朝 Pro W3"/>
          <w:sz w:val="22"/>
          <w:szCs w:val="22"/>
          <w:lang w:val="en-GB" w:eastAsia="zh-CN"/>
        </w:rPr>
        <w:t>grew its automobile distribution business</w:t>
      </w:r>
      <w:r w:rsidR="0000334F" w:rsidRPr="000E2036">
        <w:rPr>
          <w:rFonts w:eastAsia="ヒラギノ明朝 Pro W3"/>
          <w:sz w:val="22"/>
          <w:szCs w:val="22"/>
          <w:lang w:val="en-GB" w:eastAsia="zh-CN"/>
        </w:rPr>
        <w:t xml:space="preserve"> and</w:t>
      </w:r>
      <w:r w:rsidRPr="000E2036">
        <w:rPr>
          <w:rFonts w:eastAsia="ヒラギノ明朝 Pro W3"/>
          <w:sz w:val="22"/>
          <w:szCs w:val="22"/>
          <w:lang w:val="en-GB" w:eastAsia="zh-CN"/>
        </w:rPr>
        <w:t xml:space="preserve"> expanded into other areas, such as the distribution of plastic products and supermarket</w:t>
      </w:r>
      <w:r w:rsidR="000D0257" w:rsidRPr="000E2036">
        <w:rPr>
          <w:rFonts w:eastAsia="ヒラギノ明朝 Pro W3"/>
          <w:sz w:val="22"/>
          <w:szCs w:val="22"/>
          <w:lang w:val="en-GB" w:eastAsia="zh-CN"/>
        </w:rPr>
        <w:t>s</w:t>
      </w:r>
      <w:r w:rsidRPr="000E2036">
        <w:rPr>
          <w:rFonts w:eastAsia="ヒラギノ明朝 Pro W3"/>
          <w:sz w:val="22"/>
          <w:szCs w:val="22"/>
          <w:lang w:val="en-GB" w:eastAsia="zh-CN"/>
        </w:rPr>
        <w:t xml:space="preserve"> in Africa and France.</w:t>
      </w:r>
    </w:p>
    <w:p w14:paraId="728D04B5" w14:textId="77777777" w:rsidR="00F502BA" w:rsidRPr="000E2036" w:rsidRDefault="00F502BA" w:rsidP="000E4F83">
      <w:pPr>
        <w:jc w:val="both"/>
        <w:rPr>
          <w:rFonts w:eastAsia="ヒラギノ明朝 Pro W3"/>
          <w:sz w:val="22"/>
          <w:szCs w:val="22"/>
          <w:lang w:val="en-GB" w:eastAsia="zh-CN"/>
        </w:rPr>
      </w:pPr>
    </w:p>
    <w:p w14:paraId="59AE59E4" w14:textId="5CA6A4D4" w:rsidR="00F502BA" w:rsidRPr="000E2036" w:rsidRDefault="00F502BA" w:rsidP="000E4F83">
      <w:pPr>
        <w:jc w:val="both"/>
        <w:rPr>
          <w:rFonts w:eastAsia="ヒラギノ明朝 Pro W3"/>
          <w:sz w:val="22"/>
          <w:szCs w:val="22"/>
          <w:lang w:val="en-GB" w:eastAsia="zh-CN"/>
        </w:rPr>
      </w:pPr>
      <w:r w:rsidRPr="000E2036">
        <w:rPr>
          <w:rFonts w:eastAsia="ヒラギノ明朝 Pro W3"/>
          <w:sz w:val="22"/>
          <w:szCs w:val="22"/>
          <w:lang w:val="en-GB" w:eastAsia="zh-CN"/>
        </w:rPr>
        <w:t>In 1990, CFAO was acquired by the Pinault Group</w:t>
      </w:r>
      <w:r w:rsidR="0000334F" w:rsidRPr="000E2036">
        <w:rPr>
          <w:rFonts w:eastAsia="ヒラギノ明朝 Pro W3"/>
          <w:sz w:val="22"/>
          <w:szCs w:val="22"/>
          <w:lang w:val="en-GB" w:eastAsia="zh-CN"/>
        </w:rPr>
        <w:t>, another French company</w:t>
      </w:r>
      <w:r w:rsidR="00A813F3">
        <w:rPr>
          <w:rFonts w:eastAsia="ヒラギノ明朝 Pro W3"/>
          <w:sz w:val="22"/>
          <w:szCs w:val="22"/>
          <w:lang w:val="en-GB" w:eastAsia="zh-CN"/>
        </w:rPr>
        <w:t>, which</w:t>
      </w:r>
      <w:r w:rsidR="0000334F" w:rsidRPr="000E2036">
        <w:rPr>
          <w:rFonts w:eastAsia="ヒラギノ明朝 Pro W3"/>
          <w:sz w:val="22"/>
          <w:szCs w:val="22"/>
          <w:lang w:val="en-GB" w:eastAsia="zh-CN"/>
        </w:rPr>
        <w:t xml:space="preserve"> </w:t>
      </w:r>
      <w:r w:rsidR="000D0257" w:rsidRPr="000E2036">
        <w:rPr>
          <w:rFonts w:eastAsia="ヒラギノ明朝 Pro W3"/>
          <w:sz w:val="22"/>
          <w:szCs w:val="22"/>
          <w:lang w:val="en-GB" w:eastAsia="zh-CN"/>
        </w:rPr>
        <w:t xml:space="preserve">later </w:t>
      </w:r>
      <w:r w:rsidRPr="000E2036">
        <w:rPr>
          <w:rFonts w:eastAsia="ヒラギノ明朝 Pro W3"/>
          <w:sz w:val="22"/>
          <w:szCs w:val="22"/>
          <w:lang w:val="en-GB" w:eastAsia="zh-CN"/>
        </w:rPr>
        <w:t>became</w:t>
      </w:r>
      <w:r w:rsidR="000D0257" w:rsidRPr="000E2036">
        <w:rPr>
          <w:rFonts w:eastAsia="ヒラギノ明朝 Pro W3"/>
          <w:sz w:val="22"/>
          <w:szCs w:val="22"/>
          <w:lang w:val="en-GB" w:eastAsia="zh-CN"/>
        </w:rPr>
        <w:t xml:space="preserve"> known as</w:t>
      </w:r>
      <w:r w:rsidRPr="000E2036">
        <w:rPr>
          <w:rFonts w:eastAsia="ヒラギノ明朝 Pro W3"/>
          <w:sz w:val="22"/>
          <w:szCs w:val="22"/>
          <w:lang w:val="en-GB" w:eastAsia="zh-CN"/>
        </w:rPr>
        <w:t xml:space="preserve"> PPR </w:t>
      </w:r>
      <w:r w:rsidR="0000334F" w:rsidRPr="000E2036">
        <w:rPr>
          <w:rFonts w:eastAsia="ヒラギノ明朝 Pro W3"/>
          <w:sz w:val="22"/>
          <w:szCs w:val="22"/>
          <w:lang w:val="en-GB" w:eastAsia="zh-CN"/>
        </w:rPr>
        <w:t>in</w:t>
      </w:r>
      <w:r w:rsidRPr="000E2036">
        <w:rPr>
          <w:rFonts w:eastAsia="ヒラギノ明朝 Pro W3"/>
          <w:sz w:val="22"/>
          <w:szCs w:val="22"/>
          <w:lang w:val="en-GB" w:eastAsia="zh-CN"/>
        </w:rPr>
        <w:t xml:space="preserve"> 1994 and </w:t>
      </w:r>
      <w:r w:rsidR="000D0257" w:rsidRPr="000E2036">
        <w:rPr>
          <w:rFonts w:eastAsia="ヒラギノ明朝 Pro W3"/>
          <w:sz w:val="22"/>
          <w:szCs w:val="22"/>
          <w:lang w:val="en-GB" w:eastAsia="zh-CN"/>
        </w:rPr>
        <w:t xml:space="preserve">as </w:t>
      </w:r>
      <w:r w:rsidRPr="000E2036">
        <w:rPr>
          <w:rFonts w:eastAsia="ヒラギノ明朝 Pro W3"/>
          <w:sz w:val="22"/>
          <w:szCs w:val="22"/>
          <w:lang w:val="en-GB" w:eastAsia="zh-CN"/>
        </w:rPr>
        <w:t xml:space="preserve">Kering </w:t>
      </w:r>
      <w:r w:rsidR="0000334F" w:rsidRPr="000E2036">
        <w:rPr>
          <w:rFonts w:eastAsia="ヒラギノ明朝 Pro W3"/>
          <w:sz w:val="22"/>
          <w:szCs w:val="22"/>
          <w:lang w:val="en-GB" w:eastAsia="zh-CN"/>
        </w:rPr>
        <w:t>in</w:t>
      </w:r>
      <w:r w:rsidRPr="000E2036">
        <w:rPr>
          <w:rFonts w:eastAsia="ヒラギノ明朝 Pro W3"/>
          <w:sz w:val="22"/>
          <w:szCs w:val="22"/>
          <w:lang w:val="en-GB" w:eastAsia="zh-CN"/>
        </w:rPr>
        <w:t xml:space="preserve"> 2013. CFAO thus became </w:t>
      </w:r>
      <w:r w:rsidR="0000334F" w:rsidRPr="000E2036">
        <w:rPr>
          <w:rFonts w:eastAsia="ヒラギノ明朝 Pro W3"/>
          <w:sz w:val="22"/>
          <w:szCs w:val="22"/>
          <w:lang w:val="en-GB" w:eastAsia="zh-CN"/>
        </w:rPr>
        <w:t>the</w:t>
      </w:r>
      <w:r w:rsidRPr="000E2036">
        <w:rPr>
          <w:rFonts w:eastAsia="ヒラギノ明朝 Pro W3"/>
          <w:sz w:val="22"/>
          <w:szCs w:val="22"/>
          <w:lang w:val="en-GB" w:eastAsia="zh-CN"/>
        </w:rPr>
        <w:t xml:space="preserve"> branch of Pinault that focused on the African business. In 1994, CFAO reinforce</w:t>
      </w:r>
      <w:r w:rsidR="0000334F" w:rsidRPr="000E2036">
        <w:rPr>
          <w:rFonts w:eastAsia="ヒラギノ明朝 Pro W3"/>
          <w:sz w:val="22"/>
          <w:szCs w:val="22"/>
          <w:lang w:val="en-GB" w:eastAsia="zh-CN"/>
        </w:rPr>
        <w:t>d</w:t>
      </w:r>
      <w:r w:rsidRPr="000E2036">
        <w:rPr>
          <w:rFonts w:eastAsia="ヒラギノ明朝 Pro W3"/>
          <w:sz w:val="22"/>
          <w:szCs w:val="22"/>
          <w:lang w:val="en-GB" w:eastAsia="zh-CN"/>
        </w:rPr>
        <w:t xml:space="preserve"> its positions in key business lines and regions in response to the crisis of devaluing the CFA franc against the French franc. In 1996, CFAO purchased its main competitor, another French company called the Société Commerciale de l</w:t>
      </w:r>
      <w:r w:rsidR="000D0257" w:rsidRPr="000E2036">
        <w:rPr>
          <w:rFonts w:eastAsia="ヒラギノ明朝 Pro W3"/>
          <w:sz w:val="22"/>
          <w:szCs w:val="22"/>
          <w:lang w:val="en-GB" w:eastAsia="zh-CN"/>
        </w:rPr>
        <w:t>’</w:t>
      </w:r>
      <w:r w:rsidRPr="000E2036">
        <w:rPr>
          <w:rFonts w:eastAsia="ヒラギノ明朝 Pro W3"/>
          <w:sz w:val="22"/>
          <w:szCs w:val="22"/>
          <w:lang w:val="en-GB" w:eastAsia="zh-CN"/>
        </w:rPr>
        <w:t xml:space="preserve">Ouest Africain, thus successfully integrating its pharmaceutical distribution business. From 2000, CFAO’s geographic expansion gathered pace, with activities set up in </w:t>
      </w:r>
      <w:r w:rsidR="00C7320D" w:rsidRPr="000E2036">
        <w:rPr>
          <w:rFonts w:eastAsia="ヒラギノ明朝 Pro W3"/>
          <w:sz w:val="22"/>
          <w:szCs w:val="22"/>
          <w:lang w:val="en-GB" w:eastAsia="zh-CN"/>
        </w:rPr>
        <w:t>15</w:t>
      </w:r>
      <w:r w:rsidRPr="000E2036">
        <w:rPr>
          <w:rFonts w:eastAsia="ヒラギノ明朝 Pro W3"/>
          <w:sz w:val="22"/>
          <w:szCs w:val="22"/>
          <w:lang w:val="en-GB" w:eastAsia="zh-CN"/>
        </w:rPr>
        <w:t xml:space="preserve"> new countries, including the Maghreb,</w:t>
      </w:r>
      <w:r w:rsidRPr="000E2036">
        <w:rPr>
          <w:rStyle w:val="EndnoteReference"/>
          <w:rFonts w:eastAsia="ヒラギノ明朝 Pro W3"/>
          <w:sz w:val="22"/>
          <w:szCs w:val="22"/>
          <w:lang w:val="en-GB" w:eastAsia="zh-CN"/>
        </w:rPr>
        <w:endnoteReference w:id="22"/>
      </w:r>
      <w:r w:rsidRPr="000E2036">
        <w:rPr>
          <w:rFonts w:eastAsia="ヒラギノ明朝 Pro W3"/>
          <w:sz w:val="22"/>
          <w:szCs w:val="22"/>
          <w:lang w:val="en-GB" w:eastAsia="zh-CN"/>
        </w:rPr>
        <w:t xml:space="preserve"> a region with high growth potential. CFAO was listed on the Paris Stock Exchange in December 2009, after an absence of almost </w:t>
      </w:r>
      <w:r w:rsidR="00C7320D" w:rsidRPr="000E2036">
        <w:rPr>
          <w:rFonts w:eastAsia="ヒラギノ明朝 Pro W3"/>
          <w:sz w:val="22"/>
          <w:szCs w:val="22"/>
          <w:lang w:val="en-GB" w:eastAsia="zh-CN"/>
        </w:rPr>
        <w:t>20</w:t>
      </w:r>
      <w:r w:rsidRPr="000E2036">
        <w:rPr>
          <w:rFonts w:eastAsia="ヒラギノ明朝 Pro W3"/>
          <w:sz w:val="22"/>
          <w:szCs w:val="22"/>
          <w:lang w:val="en-GB" w:eastAsia="zh-CN"/>
        </w:rPr>
        <w:t xml:space="preserve"> years from financial markets. </w:t>
      </w:r>
    </w:p>
    <w:p w14:paraId="73A90025" w14:textId="77777777" w:rsidR="00F502BA" w:rsidRPr="000E2036" w:rsidRDefault="00F502BA" w:rsidP="000E4F83">
      <w:pPr>
        <w:jc w:val="both"/>
        <w:rPr>
          <w:rFonts w:eastAsia="ヒラギノ明朝 Pro W3"/>
          <w:sz w:val="22"/>
          <w:szCs w:val="22"/>
          <w:lang w:val="en-GB" w:eastAsia="zh-CN"/>
        </w:rPr>
      </w:pPr>
    </w:p>
    <w:p w14:paraId="67D0EE88" w14:textId="77777777" w:rsidR="00F502BA" w:rsidRPr="000E2036" w:rsidRDefault="00F502BA" w:rsidP="000E4F83">
      <w:pPr>
        <w:jc w:val="both"/>
        <w:rPr>
          <w:rFonts w:eastAsia="ヒラギノ明朝 Pro W3"/>
          <w:sz w:val="22"/>
          <w:szCs w:val="22"/>
          <w:lang w:val="en-GB" w:eastAsia="zh-CN"/>
        </w:rPr>
      </w:pPr>
    </w:p>
    <w:p w14:paraId="555BC58D" w14:textId="453DE539" w:rsidR="00F502BA" w:rsidRPr="000E2036" w:rsidRDefault="00F502BA" w:rsidP="000E4F83">
      <w:pPr>
        <w:jc w:val="both"/>
        <w:rPr>
          <w:rFonts w:ascii="Arial" w:eastAsia="ヒラギノ明朝 Pro W3" w:hAnsi="Arial" w:cs="Arial"/>
          <w:b/>
          <w:lang w:val="en-GB" w:eastAsia="zh-CN"/>
        </w:rPr>
      </w:pPr>
      <w:r w:rsidRPr="000E2036">
        <w:rPr>
          <w:rFonts w:ascii="Arial" w:eastAsia="ヒラギノ明朝 Pro W3" w:hAnsi="Arial" w:cs="Arial"/>
          <w:b/>
          <w:lang w:val="en-GB" w:eastAsia="zh-CN"/>
        </w:rPr>
        <w:t>ACQUISITION OF CFAO GROUP</w:t>
      </w:r>
    </w:p>
    <w:p w14:paraId="1AE1595E" w14:textId="77777777" w:rsidR="00F502BA" w:rsidRPr="000E2036" w:rsidRDefault="00F502BA" w:rsidP="000E4F83">
      <w:pPr>
        <w:jc w:val="both"/>
        <w:rPr>
          <w:rFonts w:eastAsia="ヒラギノ明朝 Pro W3"/>
          <w:sz w:val="22"/>
          <w:szCs w:val="22"/>
          <w:lang w:val="en-GB" w:eastAsia="zh-CN"/>
        </w:rPr>
      </w:pPr>
    </w:p>
    <w:p w14:paraId="5C24A897" w14:textId="7F5672C9" w:rsidR="00F502BA" w:rsidRPr="000E2036" w:rsidRDefault="00F502BA" w:rsidP="008E759D">
      <w:pPr>
        <w:jc w:val="both"/>
        <w:rPr>
          <w:rFonts w:ascii="Arial" w:eastAsia="ヒラギノ明朝 Pro W3" w:hAnsi="Arial" w:cs="Arial"/>
          <w:b/>
          <w:lang w:val="en-GB" w:eastAsia="zh-CN"/>
        </w:rPr>
      </w:pPr>
      <w:r w:rsidRPr="000E2036">
        <w:rPr>
          <w:rFonts w:ascii="Arial" w:eastAsia="ヒラギノ明朝 Pro W3" w:hAnsi="Arial" w:cs="Arial"/>
          <w:b/>
          <w:lang w:val="en-GB" w:eastAsia="zh-CN"/>
        </w:rPr>
        <w:t>Motivations</w:t>
      </w:r>
    </w:p>
    <w:p w14:paraId="0077647B" w14:textId="77777777" w:rsidR="00F502BA" w:rsidRPr="000E2036" w:rsidRDefault="00F502BA" w:rsidP="008E759D">
      <w:pPr>
        <w:jc w:val="both"/>
        <w:rPr>
          <w:rFonts w:eastAsia="ヒラギノ明朝 Pro W3"/>
          <w:sz w:val="22"/>
          <w:szCs w:val="22"/>
          <w:lang w:val="en-GB" w:eastAsia="zh-CN"/>
        </w:rPr>
      </w:pPr>
    </w:p>
    <w:p w14:paraId="7298F834" w14:textId="53F8E912" w:rsidR="00F502BA" w:rsidRPr="000E2036" w:rsidRDefault="00F502BA" w:rsidP="008E759D">
      <w:pPr>
        <w:jc w:val="both"/>
        <w:rPr>
          <w:rFonts w:eastAsia="ヒラギノ明朝 Pro W3"/>
          <w:sz w:val="22"/>
          <w:szCs w:val="22"/>
          <w:lang w:val="en-GB" w:eastAsia="zh-CN"/>
        </w:rPr>
      </w:pPr>
      <w:r w:rsidRPr="000E2036">
        <w:rPr>
          <w:rFonts w:eastAsia="ヒラギノ明朝 Pro W3"/>
          <w:sz w:val="22"/>
          <w:szCs w:val="22"/>
          <w:lang w:val="en-GB" w:eastAsia="zh-CN"/>
        </w:rPr>
        <w:t xml:space="preserve">Three years after </w:t>
      </w:r>
      <w:r w:rsidR="00E10E1B" w:rsidRPr="000E2036">
        <w:rPr>
          <w:rFonts w:eastAsia="ヒラギノ明朝 Pro W3"/>
          <w:sz w:val="22"/>
          <w:szCs w:val="22"/>
          <w:lang w:val="en-GB" w:eastAsia="zh-CN"/>
        </w:rPr>
        <w:t xml:space="preserve">PPR </w:t>
      </w:r>
      <w:r w:rsidRPr="000E2036">
        <w:rPr>
          <w:rFonts w:eastAsia="ヒラギノ明朝 Pro W3"/>
          <w:sz w:val="22"/>
          <w:szCs w:val="22"/>
          <w:lang w:val="en-GB" w:eastAsia="zh-CN"/>
        </w:rPr>
        <w:t>list</w:t>
      </w:r>
      <w:r w:rsidR="00E10E1B" w:rsidRPr="000E2036">
        <w:rPr>
          <w:rFonts w:eastAsia="ヒラギノ明朝 Pro W3"/>
          <w:sz w:val="22"/>
          <w:szCs w:val="22"/>
          <w:lang w:val="en-GB" w:eastAsia="zh-CN"/>
        </w:rPr>
        <w:t>ed</w:t>
      </w:r>
      <w:r w:rsidRPr="000E2036">
        <w:rPr>
          <w:rFonts w:eastAsia="ヒラギノ明朝 Pro W3"/>
          <w:sz w:val="22"/>
          <w:szCs w:val="22"/>
          <w:lang w:val="en-GB" w:eastAsia="zh-CN"/>
        </w:rPr>
        <w:t xml:space="preserve"> CFAO </w:t>
      </w:r>
      <w:r w:rsidR="00C5182A" w:rsidRPr="000E2036">
        <w:rPr>
          <w:rFonts w:eastAsia="ヒラギノ明朝 Pro W3"/>
          <w:sz w:val="22"/>
          <w:szCs w:val="22"/>
          <w:lang w:val="en-GB" w:eastAsia="zh-CN"/>
        </w:rPr>
        <w:t>o</w:t>
      </w:r>
      <w:r w:rsidRPr="000E2036">
        <w:rPr>
          <w:rFonts w:eastAsia="ヒラギノ明朝 Pro W3"/>
          <w:sz w:val="22"/>
          <w:szCs w:val="22"/>
          <w:lang w:val="en-GB" w:eastAsia="zh-CN"/>
        </w:rPr>
        <w:t xml:space="preserve">n the stock exchange in 2012, the giant French </w:t>
      </w:r>
      <w:r w:rsidR="00EB4CC1" w:rsidRPr="000E2036">
        <w:rPr>
          <w:rFonts w:eastAsia="ヒラギノ明朝 Pro W3"/>
          <w:sz w:val="22"/>
          <w:szCs w:val="22"/>
          <w:lang w:val="en-GB" w:eastAsia="zh-CN"/>
        </w:rPr>
        <w:t>corporation</w:t>
      </w:r>
      <w:r w:rsidRPr="000E2036">
        <w:rPr>
          <w:rFonts w:eastAsia="ヒラギノ明朝 Pro W3"/>
          <w:sz w:val="22"/>
          <w:szCs w:val="22"/>
          <w:lang w:val="en-GB" w:eastAsia="zh-CN"/>
        </w:rPr>
        <w:t xml:space="preserve"> began to separate it from the group.</w:t>
      </w:r>
      <w:r w:rsidRPr="000E2036">
        <w:rPr>
          <w:rStyle w:val="EndnoteReference"/>
          <w:rFonts w:eastAsia="ヒラギノ明朝 Pro W3"/>
          <w:sz w:val="22"/>
          <w:szCs w:val="22"/>
          <w:lang w:val="en-GB" w:eastAsia="zh-CN"/>
        </w:rPr>
        <w:endnoteReference w:id="23"/>
      </w:r>
      <w:r w:rsidRPr="000E2036">
        <w:rPr>
          <w:rFonts w:eastAsia="ヒラギノ明朝 Pro W3"/>
          <w:sz w:val="22"/>
          <w:szCs w:val="22"/>
          <w:lang w:val="en-GB" w:eastAsia="zh-CN"/>
        </w:rPr>
        <w:t xml:space="preserve"> PPR </w:t>
      </w:r>
      <w:r w:rsidR="00E10E1B" w:rsidRPr="000E2036">
        <w:rPr>
          <w:rFonts w:eastAsia="ヒラギノ明朝 Pro W3"/>
          <w:sz w:val="22"/>
          <w:szCs w:val="22"/>
          <w:lang w:val="en-GB" w:eastAsia="zh-CN"/>
        </w:rPr>
        <w:t xml:space="preserve">had </w:t>
      </w:r>
      <w:r w:rsidRPr="000E2036">
        <w:rPr>
          <w:rFonts w:eastAsia="ヒラギノ明朝 Pro W3"/>
          <w:sz w:val="22"/>
          <w:szCs w:val="22"/>
          <w:lang w:val="en-GB" w:eastAsia="zh-CN"/>
        </w:rPr>
        <w:t>acquired CFAO</w:t>
      </w:r>
      <w:r w:rsidR="00E10E1B" w:rsidRPr="000E2036">
        <w:rPr>
          <w:rFonts w:eastAsia="ヒラギノ明朝 Pro W3"/>
          <w:sz w:val="22"/>
          <w:szCs w:val="22"/>
          <w:lang w:val="en-GB" w:eastAsia="zh-CN"/>
        </w:rPr>
        <w:t xml:space="preserve"> to</w:t>
      </w:r>
      <w:r w:rsidRPr="000E2036">
        <w:rPr>
          <w:rFonts w:eastAsia="ヒラギノ明朝 Pro W3"/>
          <w:sz w:val="22"/>
          <w:szCs w:val="22"/>
          <w:lang w:val="en-GB" w:eastAsia="zh-CN"/>
        </w:rPr>
        <w:t xml:space="preserve"> realiz</w:t>
      </w:r>
      <w:r w:rsidR="00E10E1B" w:rsidRPr="000E2036">
        <w:rPr>
          <w:rFonts w:eastAsia="ヒラギノ明朝 Pro W3"/>
          <w:sz w:val="22"/>
          <w:szCs w:val="22"/>
          <w:lang w:val="en-GB" w:eastAsia="zh-CN"/>
        </w:rPr>
        <w:t>e</w:t>
      </w:r>
      <w:r w:rsidRPr="000E2036">
        <w:rPr>
          <w:rFonts w:eastAsia="ヒラギノ明朝 Pro W3"/>
          <w:sz w:val="22"/>
          <w:szCs w:val="22"/>
          <w:lang w:val="en-GB" w:eastAsia="zh-CN"/>
        </w:rPr>
        <w:t xml:space="preserve"> its automobile and pharmaceutical distribution potential in Africa. </w:t>
      </w:r>
      <w:r w:rsidR="00E10E1B" w:rsidRPr="000E2036">
        <w:rPr>
          <w:rFonts w:eastAsia="ヒラギノ明朝 Pro W3"/>
          <w:sz w:val="22"/>
          <w:szCs w:val="22"/>
          <w:lang w:val="en-GB" w:eastAsia="zh-CN"/>
        </w:rPr>
        <w:t>Eventually</w:t>
      </w:r>
      <w:r w:rsidRPr="000E2036">
        <w:rPr>
          <w:rFonts w:eastAsia="ヒラギノ明朝 Pro W3"/>
          <w:sz w:val="22"/>
          <w:szCs w:val="22"/>
          <w:lang w:val="en-GB" w:eastAsia="zh-CN"/>
        </w:rPr>
        <w:t>, François-Henri Pinault (</w:t>
      </w:r>
      <w:r w:rsidR="00882EEB" w:rsidRPr="000E2036">
        <w:rPr>
          <w:rFonts w:eastAsia="ヒラギノ明朝 Pro W3"/>
          <w:sz w:val="22"/>
          <w:szCs w:val="22"/>
          <w:lang w:val="en-GB" w:eastAsia="zh-CN"/>
        </w:rPr>
        <w:t xml:space="preserve">the </w:t>
      </w:r>
      <w:r w:rsidRPr="000E2036">
        <w:rPr>
          <w:rFonts w:eastAsia="ヒラギノ明朝 Pro W3"/>
          <w:sz w:val="22"/>
          <w:szCs w:val="22"/>
          <w:lang w:val="en-GB" w:eastAsia="zh-CN"/>
        </w:rPr>
        <w:t xml:space="preserve">PPR founder’s son) took </w:t>
      </w:r>
      <w:r w:rsidR="00882EEB" w:rsidRPr="000E2036">
        <w:rPr>
          <w:rFonts w:eastAsia="ヒラギノ明朝 Pro W3"/>
          <w:sz w:val="22"/>
          <w:szCs w:val="22"/>
          <w:lang w:val="en-GB" w:eastAsia="zh-CN"/>
        </w:rPr>
        <w:t>over as</w:t>
      </w:r>
      <w:r w:rsidRPr="000E2036">
        <w:rPr>
          <w:rFonts w:eastAsia="ヒラギノ明朝 Pro W3"/>
          <w:sz w:val="22"/>
          <w:szCs w:val="22"/>
          <w:lang w:val="en-GB" w:eastAsia="zh-CN"/>
        </w:rPr>
        <w:t xml:space="preserve"> lead</w:t>
      </w:r>
      <w:r w:rsidR="00882EEB" w:rsidRPr="000E2036">
        <w:rPr>
          <w:rFonts w:eastAsia="ヒラギノ明朝 Pro W3"/>
          <w:sz w:val="22"/>
          <w:szCs w:val="22"/>
          <w:lang w:val="en-GB" w:eastAsia="zh-CN"/>
        </w:rPr>
        <w:t>er</w:t>
      </w:r>
      <w:r w:rsidRPr="000E2036">
        <w:rPr>
          <w:rFonts w:eastAsia="ヒラギノ明朝 Pro W3"/>
          <w:sz w:val="22"/>
          <w:szCs w:val="22"/>
          <w:lang w:val="en-GB" w:eastAsia="zh-CN"/>
        </w:rPr>
        <w:t xml:space="preserve">, </w:t>
      </w:r>
      <w:r w:rsidR="00A813F3">
        <w:rPr>
          <w:rFonts w:eastAsia="ヒラギノ明朝 Pro W3"/>
          <w:sz w:val="22"/>
          <w:szCs w:val="22"/>
          <w:lang w:val="en-GB" w:eastAsia="zh-CN"/>
        </w:rPr>
        <w:t xml:space="preserve">and </w:t>
      </w:r>
      <w:r w:rsidRPr="000E2036">
        <w:rPr>
          <w:rFonts w:eastAsia="ヒラギノ明朝 Pro W3"/>
          <w:sz w:val="22"/>
          <w:szCs w:val="22"/>
          <w:lang w:val="en-GB" w:eastAsia="zh-CN"/>
        </w:rPr>
        <w:t xml:space="preserve">the subsidiary CFAO was </w:t>
      </w:r>
      <w:r w:rsidR="00A813F3" w:rsidRPr="000E2036">
        <w:rPr>
          <w:rFonts w:eastAsia="ヒラギノ明朝 Pro W3"/>
          <w:sz w:val="22"/>
          <w:szCs w:val="22"/>
          <w:lang w:val="en-GB" w:eastAsia="zh-CN"/>
        </w:rPr>
        <w:t xml:space="preserve">no longer </w:t>
      </w:r>
      <w:r w:rsidR="00882EEB" w:rsidRPr="000E2036">
        <w:rPr>
          <w:rFonts w:eastAsia="ヒラギノ明朝 Pro W3"/>
          <w:sz w:val="22"/>
          <w:szCs w:val="22"/>
          <w:lang w:val="en-GB" w:eastAsia="zh-CN"/>
        </w:rPr>
        <w:t>con</w:t>
      </w:r>
      <w:r w:rsidR="00621C0F" w:rsidRPr="000E2036">
        <w:rPr>
          <w:rFonts w:eastAsia="ヒラギノ明朝 Pro W3"/>
          <w:sz w:val="22"/>
          <w:szCs w:val="22"/>
          <w:lang w:val="en-GB" w:eastAsia="zh-CN"/>
        </w:rPr>
        <w:t>sidered</w:t>
      </w:r>
      <w:r w:rsidRPr="000E2036">
        <w:rPr>
          <w:rFonts w:eastAsia="ヒラギノ明朝 Pro W3"/>
          <w:sz w:val="22"/>
          <w:szCs w:val="22"/>
          <w:lang w:val="en-GB" w:eastAsia="zh-CN"/>
        </w:rPr>
        <w:t xml:space="preserve"> strategically relevant to the group. Indeed, his concern had been to give to the Pinault Group a brand new dimension, refocusing on </w:t>
      </w:r>
      <w:r w:rsidR="00621C0F" w:rsidRPr="000E2036">
        <w:rPr>
          <w:rFonts w:eastAsia="ヒラギノ明朝 Pro W3"/>
          <w:sz w:val="22"/>
          <w:szCs w:val="22"/>
          <w:lang w:val="en-GB" w:eastAsia="zh-CN"/>
        </w:rPr>
        <w:t xml:space="preserve">the </w:t>
      </w:r>
      <w:r w:rsidRPr="000E2036">
        <w:rPr>
          <w:rFonts w:eastAsia="ヒラギノ明朝 Pro W3"/>
          <w:sz w:val="22"/>
          <w:szCs w:val="22"/>
          <w:lang w:val="en-GB" w:eastAsia="zh-CN"/>
        </w:rPr>
        <w:t>luxury fashion industry, leather goods</w:t>
      </w:r>
      <w:r w:rsidR="00A813F3">
        <w:rPr>
          <w:rFonts w:eastAsia="ヒラギノ明朝 Pro W3"/>
          <w:sz w:val="22"/>
          <w:szCs w:val="22"/>
          <w:lang w:val="en-GB" w:eastAsia="zh-CN"/>
        </w:rPr>
        <w:t>,</w:t>
      </w:r>
      <w:r w:rsidRPr="000E2036">
        <w:rPr>
          <w:rFonts w:eastAsia="ヒラギノ明朝 Pro W3"/>
          <w:sz w:val="22"/>
          <w:szCs w:val="22"/>
          <w:lang w:val="en-GB" w:eastAsia="zh-CN"/>
        </w:rPr>
        <w:t xml:space="preserve"> and accessories.</w:t>
      </w:r>
      <w:r w:rsidRPr="000E2036">
        <w:rPr>
          <w:rStyle w:val="EndnoteReference"/>
          <w:rFonts w:eastAsia="ヒラギノ明朝 Pro W3"/>
          <w:sz w:val="22"/>
          <w:szCs w:val="22"/>
          <w:lang w:val="en-GB" w:eastAsia="zh-CN"/>
        </w:rPr>
        <w:endnoteReference w:id="24"/>
      </w:r>
      <w:r w:rsidRPr="000E2036">
        <w:rPr>
          <w:rFonts w:eastAsia="ヒラギノ明朝 Pro W3"/>
          <w:sz w:val="22"/>
          <w:szCs w:val="22"/>
          <w:lang w:val="en-GB" w:eastAsia="zh-CN"/>
        </w:rPr>
        <w:t xml:space="preserve"> In July 2012, PPR announced that it would surrender 29.8 per cent of CFAO’s capital to the Japanese</w:t>
      </w:r>
      <w:r w:rsidR="00E10E1B" w:rsidRPr="000E2036">
        <w:rPr>
          <w:rFonts w:eastAsia="ヒラギノ明朝 Pro W3"/>
          <w:sz w:val="22"/>
          <w:szCs w:val="22"/>
          <w:lang w:val="en-GB" w:eastAsia="zh-CN"/>
        </w:rPr>
        <w:t xml:space="preserve"> company</w:t>
      </w:r>
      <w:r w:rsidRPr="000E2036">
        <w:rPr>
          <w:rFonts w:eastAsia="ヒラギノ明朝 Pro W3"/>
          <w:sz w:val="22"/>
          <w:szCs w:val="22"/>
          <w:lang w:val="en-GB" w:eastAsia="zh-CN"/>
        </w:rPr>
        <w:t xml:space="preserve"> TTC for €687 million.</w:t>
      </w:r>
      <w:r w:rsidRPr="000E2036">
        <w:rPr>
          <w:rStyle w:val="EndnoteReference"/>
          <w:rFonts w:eastAsia="ヒラギノ明朝 Pro W3"/>
          <w:sz w:val="22"/>
          <w:szCs w:val="22"/>
          <w:lang w:val="en-GB" w:eastAsia="zh-CN"/>
        </w:rPr>
        <w:endnoteReference w:id="25"/>
      </w:r>
      <w:r w:rsidRPr="000E2036">
        <w:rPr>
          <w:rFonts w:eastAsia="ヒラギノ明朝 Pro W3"/>
          <w:sz w:val="22"/>
          <w:szCs w:val="22"/>
          <w:lang w:val="en-GB" w:eastAsia="zh-CN"/>
        </w:rPr>
        <w:t xml:space="preserve"> Th</w:t>
      </w:r>
      <w:r w:rsidR="00621C0F" w:rsidRPr="000E2036">
        <w:rPr>
          <w:rFonts w:eastAsia="ヒラギノ明朝 Pro W3"/>
          <w:sz w:val="22"/>
          <w:szCs w:val="22"/>
          <w:lang w:val="en-GB" w:eastAsia="zh-CN"/>
        </w:rPr>
        <w:t>e</w:t>
      </w:r>
      <w:r w:rsidRPr="000E2036">
        <w:rPr>
          <w:rFonts w:eastAsia="ヒラギノ明朝 Pro W3"/>
          <w:sz w:val="22"/>
          <w:szCs w:val="22"/>
          <w:lang w:val="en-GB" w:eastAsia="zh-CN"/>
        </w:rPr>
        <w:t xml:space="preserve"> announcement </w:t>
      </w:r>
      <w:r w:rsidR="00621C0F" w:rsidRPr="000E2036">
        <w:rPr>
          <w:rFonts w:eastAsia="ヒラギノ明朝 Pro W3"/>
          <w:sz w:val="22"/>
          <w:szCs w:val="22"/>
          <w:lang w:val="en-GB" w:eastAsia="zh-CN"/>
        </w:rPr>
        <w:t>was made despite</w:t>
      </w:r>
      <w:r w:rsidR="00E10E1B" w:rsidRPr="000E2036">
        <w:rPr>
          <w:rFonts w:eastAsia="ヒラギノ明朝 Pro W3"/>
          <w:sz w:val="22"/>
          <w:szCs w:val="22"/>
          <w:lang w:val="en-GB" w:eastAsia="zh-CN"/>
        </w:rPr>
        <w:t xml:space="preserve"> the fact that</w:t>
      </w:r>
      <w:r w:rsidRPr="000E2036">
        <w:rPr>
          <w:rFonts w:eastAsia="ヒラギノ明朝 Pro W3"/>
          <w:sz w:val="22"/>
          <w:szCs w:val="22"/>
          <w:lang w:val="en-GB" w:eastAsia="zh-CN"/>
        </w:rPr>
        <w:t xml:space="preserve"> CFAO had </w:t>
      </w:r>
      <w:r w:rsidR="00E10E1B" w:rsidRPr="000E2036">
        <w:rPr>
          <w:rFonts w:eastAsia="ヒラギノ明朝 Pro W3"/>
          <w:sz w:val="22"/>
          <w:szCs w:val="22"/>
          <w:lang w:val="en-GB" w:eastAsia="zh-CN"/>
        </w:rPr>
        <w:t>issu</w:t>
      </w:r>
      <w:r w:rsidRPr="000E2036">
        <w:rPr>
          <w:rFonts w:eastAsia="ヒラギノ明朝 Pro W3"/>
          <w:sz w:val="22"/>
          <w:szCs w:val="22"/>
          <w:lang w:val="en-GB" w:eastAsia="zh-CN"/>
        </w:rPr>
        <w:t>ed positive financials for the second quarter of 2012, which demonstrated an increase in sales of 19.3 per cent to €908 million and a growth in net income of 28.8 per cent to €63.5 million (</w:t>
      </w:r>
      <w:r w:rsidR="00621C0F" w:rsidRPr="000E2036">
        <w:rPr>
          <w:rFonts w:eastAsia="ヒラギノ明朝 Pro W3"/>
          <w:sz w:val="22"/>
          <w:szCs w:val="22"/>
          <w:lang w:val="en-GB" w:eastAsia="zh-CN"/>
        </w:rPr>
        <w:t>s</w:t>
      </w:r>
      <w:r w:rsidR="00872D58" w:rsidRPr="000E2036">
        <w:rPr>
          <w:rFonts w:eastAsia="ヒラギノ明朝 Pro W3"/>
          <w:sz w:val="22"/>
          <w:szCs w:val="22"/>
          <w:lang w:val="en-GB" w:eastAsia="zh-CN"/>
        </w:rPr>
        <w:t>ee Exhibit 3</w:t>
      </w:r>
      <w:r w:rsidRPr="000E2036">
        <w:rPr>
          <w:rFonts w:eastAsia="ヒラギノ明朝 Pro W3"/>
          <w:sz w:val="22"/>
          <w:szCs w:val="22"/>
          <w:lang w:val="en-GB" w:eastAsia="zh-CN"/>
        </w:rPr>
        <w:t>)</w:t>
      </w:r>
      <w:r w:rsidR="00621C0F" w:rsidRPr="000E2036">
        <w:rPr>
          <w:rFonts w:eastAsia="ヒラギノ明朝 Pro W3"/>
          <w:sz w:val="22"/>
          <w:szCs w:val="22"/>
          <w:lang w:val="en-GB" w:eastAsia="zh-CN"/>
        </w:rPr>
        <w:t>.</w:t>
      </w:r>
      <w:r w:rsidRPr="000E2036">
        <w:rPr>
          <w:rFonts w:eastAsia="ヒラギノ明朝 Pro W3"/>
          <w:sz w:val="22"/>
          <w:szCs w:val="22"/>
          <w:lang w:val="en-GB" w:eastAsia="zh-CN"/>
        </w:rPr>
        <w:t xml:space="preserve"> </w:t>
      </w:r>
      <w:r w:rsidR="00621C0F" w:rsidRPr="000E2036">
        <w:rPr>
          <w:rFonts w:eastAsia="ヒラギノ明朝 Pro W3"/>
          <w:sz w:val="22"/>
          <w:szCs w:val="22"/>
          <w:lang w:val="en-GB" w:eastAsia="zh-CN"/>
        </w:rPr>
        <w:t>This implied that</w:t>
      </w:r>
      <w:r w:rsidRPr="000E2036">
        <w:rPr>
          <w:rFonts w:eastAsia="ヒラギノ明朝 Pro W3"/>
          <w:sz w:val="22"/>
          <w:szCs w:val="22"/>
          <w:lang w:val="en-GB" w:eastAsia="zh-CN"/>
        </w:rPr>
        <w:t xml:space="preserve"> PPR’s motivation </w:t>
      </w:r>
      <w:r w:rsidR="00621C0F" w:rsidRPr="000E2036">
        <w:rPr>
          <w:rFonts w:eastAsia="ヒラギノ明朝 Pro W3"/>
          <w:sz w:val="22"/>
          <w:szCs w:val="22"/>
          <w:lang w:val="en-GB" w:eastAsia="zh-CN"/>
        </w:rPr>
        <w:t>f</w:t>
      </w:r>
      <w:r w:rsidRPr="000E2036">
        <w:rPr>
          <w:rFonts w:eastAsia="ヒラギノ明朝 Pro W3"/>
          <w:sz w:val="22"/>
          <w:szCs w:val="22"/>
          <w:lang w:val="en-GB" w:eastAsia="zh-CN"/>
        </w:rPr>
        <w:t>o</w:t>
      </w:r>
      <w:r w:rsidR="00621C0F" w:rsidRPr="000E2036">
        <w:rPr>
          <w:rFonts w:eastAsia="ヒラギノ明朝 Pro W3"/>
          <w:sz w:val="22"/>
          <w:szCs w:val="22"/>
          <w:lang w:val="en-GB" w:eastAsia="zh-CN"/>
        </w:rPr>
        <w:t>r</w:t>
      </w:r>
      <w:r w:rsidRPr="000E2036">
        <w:rPr>
          <w:rFonts w:eastAsia="ヒラギノ明朝 Pro W3"/>
          <w:sz w:val="22"/>
          <w:szCs w:val="22"/>
          <w:lang w:val="en-GB" w:eastAsia="zh-CN"/>
        </w:rPr>
        <w:t xml:space="preserve"> transfer</w:t>
      </w:r>
      <w:r w:rsidR="00621C0F" w:rsidRPr="000E2036">
        <w:rPr>
          <w:rFonts w:eastAsia="ヒラギノ明朝 Pro W3"/>
          <w:sz w:val="22"/>
          <w:szCs w:val="22"/>
          <w:lang w:val="en-GB" w:eastAsia="zh-CN"/>
        </w:rPr>
        <w:t>ring</w:t>
      </w:r>
      <w:r w:rsidRPr="000E2036">
        <w:rPr>
          <w:rFonts w:eastAsia="ヒラギノ明朝 Pro W3"/>
          <w:sz w:val="22"/>
          <w:szCs w:val="22"/>
          <w:lang w:val="en-GB" w:eastAsia="zh-CN"/>
        </w:rPr>
        <w:t xml:space="preserve"> its capital in CFAO was not </w:t>
      </w:r>
      <w:r w:rsidR="001D1DE1" w:rsidRPr="000E2036">
        <w:rPr>
          <w:rFonts w:eastAsia="ヒラギノ明朝 Pro W3"/>
          <w:sz w:val="22"/>
          <w:szCs w:val="22"/>
          <w:lang w:val="en-GB" w:eastAsia="zh-CN"/>
        </w:rPr>
        <w:t>sole</w:t>
      </w:r>
      <w:r w:rsidRPr="000E2036">
        <w:rPr>
          <w:rFonts w:eastAsia="ヒラギノ明朝 Pro W3"/>
          <w:sz w:val="22"/>
          <w:szCs w:val="22"/>
          <w:lang w:val="en-GB" w:eastAsia="zh-CN"/>
        </w:rPr>
        <w:t>ly financial.</w:t>
      </w:r>
    </w:p>
    <w:p w14:paraId="7934FE90" w14:textId="77777777" w:rsidR="00F502BA" w:rsidRPr="000E2036" w:rsidRDefault="00F502BA" w:rsidP="008E759D">
      <w:pPr>
        <w:jc w:val="both"/>
        <w:rPr>
          <w:rFonts w:eastAsia="ヒラギノ明朝 Pro W3"/>
          <w:sz w:val="22"/>
          <w:szCs w:val="22"/>
          <w:lang w:val="en-GB" w:eastAsia="zh-CN"/>
        </w:rPr>
      </w:pPr>
    </w:p>
    <w:p w14:paraId="06C134CE" w14:textId="6F0A2DF4" w:rsidR="00F502BA" w:rsidRPr="000E2036" w:rsidRDefault="001D1DE1" w:rsidP="00A567CB">
      <w:pPr>
        <w:jc w:val="both"/>
        <w:rPr>
          <w:rFonts w:eastAsia="ヒラギノ明朝 Pro W3"/>
          <w:sz w:val="22"/>
          <w:szCs w:val="22"/>
          <w:lang w:val="en-GB" w:eastAsia="zh-CN"/>
        </w:rPr>
      </w:pPr>
      <w:r w:rsidRPr="000E2036">
        <w:rPr>
          <w:rFonts w:eastAsia="ヒラギノ明朝 Pro W3"/>
          <w:sz w:val="22"/>
          <w:szCs w:val="22"/>
          <w:lang w:val="en-GB" w:eastAsia="zh-CN"/>
        </w:rPr>
        <w:t>The</w:t>
      </w:r>
      <w:r w:rsidR="00F502BA" w:rsidRPr="000E2036">
        <w:rPr>
          <w:rFonts w:eastAsia="ヒラギノ明朝 Pro W3"/>
          <w:sz w:val="22"/>
          <w:szCs w:val="22"/>
          <w:lang w:val="en-GB" w:eastAsia="zh-CN"/>
        </w:rPr>
        <w:t xml:space="preserve"> transfer of capital was pursued in a </w:t>
      </w:r>
      <w:r w:rsidRPr="000E2036">
        <w:rPr>
          <w:rFonts w:eastAsia="ヒラギノ明朝 Pro W3"/>
          <w:sz w:val="22"/>
          <w:szCs w:val="22"/>
          <w:lang w:val="en-GB" w:eastAsia="zh-CN"/>
        </w:rPr>
        <w:t>“</w:t>
      </w:r>
      <w:r w:rsidR="00F502BA" w:rsidRPr="000E2036">
        <w:rPr>
          <w:rFonts w:eastAsia="ヒラギノ明朝 Pro W3"/>
          <w:sz w:val="22"/>
          <w:szCs w:val="22"/>
          <w:lang w:val="en-GB" w:eastAsia="zh-CN"/>
        </w:rPr>
        <w:t>friendly</w:t>
      </w:r>
      <w:r w:rsidRPr="000E2036">
        <w:rPr>
          <w:rFonts w:eastAsia="ヒラギノ明朝 Pro W3"/>
          <w:sz w:val="22"/>
          <w:szCs w:val="22"/>
          <w:lang w:val="en-GB" w:eastAsia="zh-CN"/>
        </w:rPr>
        <w:t>”</w:t>
      </w:r>
      <w:r w:rsidR="00F502BA" w:rsidRPr="000E2036">
        <w:rPr>
          <w:rFonts w:eastAsia="ヒラギノ明朝 Pro W3"/>
          <w:sz w:val="22"/>
          <w:szCs w:val="22"/>
          <w:lang w:val="en-GB" w:eastAsia="zh-CN"/>
        </w:rPr>
        <w:t xml:space="preserve"> manner and viewed as an attractive offer for the company, its subsidiaries, its employees, and its shareholders.</w:t>
      </w:r>
      <w:r w:rsidR="00F502BA" w:rsidRPr="000E2036">
        <w:rPr>
          <w:rStyle w:val="EndnoteReference"/>
          <w:rFonts w:eastAsia="ヒラギノ明朝 Pro W3"/>
          <w:sz w:val="22"/>
          <w:szCs w:val="22"/>
          <w:lang w:val="en-GB" w:eastAsia="zh-CN"/>
        </w:rPr>
        <w:endnoteReference w:id="26"/>
      </w:r>
      <w:r w:rsidR="00F502BA" w:rsidRPr="000E2036">
        <w:rPr>
          <w:rFonts w:eastAsia="ヒラギノ明朝 Pro W3"/>
          <w:sz w:val="22"/>
          <w:szCs w:val="22"/>
          <w:lang w:val="en-GB" w:eastAsia="zh-CN"/>
        </w:rPr>
        <w:t xml:space="preserve"> Particularly, stakeholders did not perceive the acquisition by TTC as a threat </w:t>
      </w:r>
      <w:r w:rsidR="00621C0F" w:rsidRPr="000E2036">
        <w:rPr>
          <w:rFonts w:eastAsia="ヒラギノ明朝 Pro W3"/>
          <w:sz w:val="22"/>
          <w:szCs w:val="22"/>
          <w:lang w:val="en-GB" w:eastAsia="zh-CN"/>
        </w:rPr>
        <w:t>because the</w:t>
      </w:r>
      <w:r w:rsidR="00F502BA" w:rsidRPr="000E2036">
        <w:rPr>
          <w:rFonts w:eastAsia="ヒラギノ明朝 Pro W3"/>
          <w:sz w:val="22"/>
          <w:szCs w:val="22"/>
          <w:lang w:val="en-GB" w:eastAsia="zh-CN"/>
        </w:rPr>
        <w:t xml:space="preserve"> African continent was not an unknown territory for TTC</w:t>
      </w:r>
      <w:r w:rsidR="00F502BA" w:rsidRPr="000E2036">
        <w:rPr>
          <w:rStyle w:val="EndnoteReference"/>
          <w:rFonts w:eastAsia="ヒラギノ明朝 Pro W3"/>
          <w:sz w:val="22"/>
          <w:szCs w:val="22"/>
          <w:lang w:val="en-GB" w:eastAsia="zh-CN"/>
        </w:rPr>
        <w:endnoteReference w:id="27"/>
      </w:r>
      <w:r w:rsidR="00F502BA" w:rsidRPr="000E2036">
        <w:rPr>
          <w:rFonts w:eastAsia="ヒラギノ明朝 Pro W3"/>
          <w:sz w:val="22"/>
          <w:szCs w:val="22"/>
          <w:lang w:val="en-GB" w:eastAsia="zh-CN"/>
        </w:rPr>
        <w:t xml:space="preserve"> and the two companies had worked together before</w:t>
      </w:r>
      <w:r w:rsidR="00621C0F" w:rsidRPr="000E2036">
        <w:rPr>
          <w:rFonts w:eastAsia="ヒラギノ明朝 Pro W3"/>
          <w:sz w:val="22"/>
          <w:szCs w:val="22"/>
          <w:lang w:val="en-GB" w:eastAsia="zh-CN"/>
        </w:rPr>
        <w:t>,</w:t>
      </w:r>
      <w:r w:rsidR="00F502BA" w:rsidRPr="000E2036">
        <w:rPr>
          <w:rFonts w:eastAsia="ヒラギノ明朝 Pro W3"/>
          <w:sz w:val="22"/>
          <w:szCs w:val="22"/>
          <w:lang w:val="en-GB" w:eastAsia="zh-CN"/>
        </w:rPr>
        <w:t xml:space="preserve"> when CFAO Automotive was the exclusive supplier of Toyota cars in Africa.</w:t>
      </w:r>
      <w:r w:rsidR="00F502BA" w:rsidRPr="000E2036">
        <w:rPr>
          <w:rStyle w:val="EndnoteReference"/>
          <w:rFonts w:eastAsia="ヒラギノ明朝 Pro W3"/>
          <w:sz w:val="22"/>
          <w:szCs w:val="22"/>
          <w:lang w:val="en-GB" w:eastAsia="zh-CN"/>
        </w:rPr>
        <w:endnoteReference w:id="28"/>
      </w:r>
      <w:r w:rsidR="00F502BA" w:rsidRPr="000E2036">
        <w:rPr>
          <w:rFonts w:eastAsia="ヒラギノ明朝 Pro W3"/>
          <w:sz w:val="22"/>
          <w:szCs w:val="22"/>
          <w:lang w:val="en-GB" w:eastAsia="zh-CN"/>
        </w:rPr>
        <w:t xml:space="preserve"> Shortly after the capital participation, in September 2012, TTC launched a tender </w:t>
      </w:r>
      <w:r w:rsidR="00F502BA" w:rsidRPr="000E2036">
        <w:rPr>
          <w:rFonts w:eastAsia="ヒラギノ明朝 Pro W3"/>
          <w:sz w:val="22"/>
          <w:szCs w:val="22"/>
          <w:lang w:val="en-GB" w:eastAsia="zh-CN"/>
        </w:rPr>
        <w:lastRenderedPageBreak/>
        <w:t xml:space="preserve">offer for the remaining 12.2 per cent of </w:t>
      </w:r>
      <w:r w:rsidR="00740FEC" w:rsidRPr="000E2036">
        <w:rPr>
          <w:rFonts w:eastAsia="ヒラギノ明朝 Pro W3"/>
          <w:sz w:val="22"/>
          <w:szCs w:val="22"/>
          <w:lang w:val="en-GB" w:eastAsia="zh-CN"/>
        </w:rPr>
        <w:t>CFAO</w:t>
      </w:r>
      <w:r w:rsidR="00F502BA" w:rsidRPr="000E2036">
        <w:rPr>
          <w:rFonts w:eastAsia="ヒラギノ明朝 Pro W3"/>
          <w:sz w:val="22"/>
          <w:szCs w:val="22"/>
          <w:lang w:val="en-GB" w:eastAsia="zh-CN"/>
        </w:rPr>
        <w:t xml:space="preserve"> shares </w:t>
      </w:r>
      <w:r w:rsidR="00740FEC" w:rsidRPr="000E2036">
        <w:rPr>
          <w:rFonts w:eastAsia="ヒラギノ明朝 Pro W3"/>
          <w:sz w:val="22"/>
          <w:szCs w:val="22"/>
          <w:lang w:val="en-GB" w:eastAsia="zh-CN"/>
        </w:rPr>
        <w:t xml:space="preserve">held by PPR </w:t>
      </w:r>
      <w:r w:rsidR="00F502BA" w:rsidRPr="000E2036">
        <w:rPr>
          <w:rFonts w:eastAsia="ヒラギノ明朝 Pro W3"/>
          <w:sz w:val="22"/>
          <w:szCs w:val="22"/>
          <w:lang w:val="en-GB" w:eastAsia="zh-CN"/>
        </w:rPr>
        <w:t>and other shareholders.</w:t>
      </w:r>
      <w:r w:rsidR="00F502BA" w:rsidRPr="000E2036">
        <w:rPr>
          <w:rStyle w:val="EndnoteReference"/>
          <w:rFonts w:eastAsia="ヒラギノ明朝 Pro W3"/>
          <w:sz w:val="22"/>
          <w:szCs w:val="22"/>
          <w:lang w:val="en-GB" w:eastAsia="zh-CN"/>
        </w:rPr>
        <w:endnoteReference w:id="29"/>
      </w:r>
      <w:r w:rsidR="00F502BA" w:rsidRPr="000E2036">
        <w:rPr>
          <w:rFonts w:eastAsia="ヒラギノ明朝 Pro W3"/>
          <w:sz w:val="22"/>
          <w:szCs w:val="22"/>
          <w:lang w:val="en-GB" w:eastAsia="zh-CN"/>
        </w:rPr>
        <w:t xml:space="preserve"> At the close of </w:t>
      </w:r>
      <w:r w:rsidR="00214AD6" w:rsidRPr="000E2036">
        <w:rPr>
          <w:rFonts w:eastAsia="ヒラギノ明朝 Pro W3"/>
          <w:sz w:val="22"/>
          <w:szCs w:val="22"/>
          <w:lang w:val="en-GB" w:eastAsia="zh-CN"/>
        </w:rPr>
        <w:t xml:space="preserve">the </w:t>
      </w:r>
      <w:r w:rsidR="00F502BA" w:rsidRPr="000E2036">
        <w:rPr>
          <w:rFonts w:eastAsia="ヒラギノ明朝 Pro W3"/>
          <w:sz w:val="22"/>
          <w:szCs w:val="22"/>
          <w:lang w:val="en-GB" w:eastAsia="zh-CN"/>
        </w:rPr>
        <w:t xml:space="preserve">tender, TTC received </w:t>
      </w:r>
      <w:r w:rsidR="00214AD6" w:rsidRPr="000E2036">
        <w:rPr>
          <w:rFonts w:eastAsia="ヒラギノ明朝 Pro W3"/>
          <w:sz w:val="22"/>
          <w:szCs w:val="22"/>
          <w:lang w:val="en-GB" w:eastAsia="zh-CN"/>
        </w:rPr>
        <w:t>a</w:t>
      </w:r>
      <w:r w:rsidR="00F502BA" w:rsidRPr="000E2036">
        <w:rPr>
          <w:rFonts w:eastAsia="ヒラギノ明朝 Pro W3"/>
          <w:sz w:val="22"/>
          <w:szCs w:val="22"/>
          <w:lang w:val="en-GB" w:eastAsia="zh-CN"/>
        </w:rPr>
        <w:t xml:space="preserve"> total</w:t>
      </w:r>
      <w:r w:rsidR="00214AD6" w:rsidRPr="000E2036">
        <w:rPr>
          <w:rFonts w:eastAsia="ヒラギノ明朝 Pro W3"/>
          <w:sz w:val="22"/>
          <w:szCs w:val="22"/>
          <w:lang w:val="en-GB" w:eastAsia="zh-CN"/>
        </w:rPr>
        <w:t xml:space="preserve"> of</w:t>
      </w:r>
      <w:r w:rsidR="00F502BA" w:rsidRPr="000E2036">
        <w:rPr>
          <w:rFonts w:eastAsia="ヒラギノ明朝 Pro W3"/>
          <w:sz w:val="22"/>
          <w:szCs w:val="22"/>
          <w:lang w:val="en-GB" w:eastAsia="zh-CN"/>
        </w:rPr>
        <w:t xml:space="preserve"> 97.8 per cent of CFAO shares, becoming the </w:t>
      </w:r>
      <w:r w:rsidR="00214AD6" w:rsidRPr="000E2036">
        <w:rPr>
          <w:rFonts w:eastAsia="ヒラギノ明朝 Pro W3"/>
          <w:sz w:val="22"/>
          <w:szCs w:val="22"/>
          <w:lang w:val="en-GB" w:eastAsia="zh-CN"/>
        </w:rPr>
        <w:t xml:space="preserve">company’s </w:t>
      </w:r>
      <w:r w:rsidR="00F502BA" w:rsidRPr="000E2036">
        <w:rPr>
          <w:rFonts w:eastAsia="ヒラギノ明朝 Pro W3"/>
          <w:sz w:val="22"/>
          <w:szCs w:val="22"/>
          <w:lang w:val="en-GB" w:eastAsia="zh-CN"/>
        </w:rPr>
        <w:t>majority shareholder.</w:t>
      </w:r>
    </w:p>
    <w:p w14:paraId="3E39EBE0" w14:textId="77777777" w:rsidR="00214AD6" w:rsidRPr="000E2036" w:rsidRDefault="00214AD6" w:rsidP="00AC756C">
      <w:pPr>
        <w:jc w:val="both"/>
        <w:rPr>
          <w:rFonts w:ascii="Arial" w:eastAsia="ヒラギノ明朝 Pro W3" w:hAnsi="Arial" w:cs="Arial"/>
          <w:b/>
          <w:lang w:val="en-GB" w:eastAsia="zh-CN"/>
        </w:rPr>
      </w:pPr>
    </w:p>
    <w:p w14:paraId="335D0404" w14:textId="77777777" w:rsidR="00214AD6" w:rsidRPr="000E2036" w:rsidRDefault="00214AD6" w:rsidP="00AC756C">
      <w:pPr>
        <w:jc w:val="both"/>
        <w:rPr>
          <w:rFonts w:ascii="Arial" w:eastAsia="ヒラギノ明朝 Pro W3" w:hAnsi="Arial" w:cs="Arial"/>
          <w:b/>
          <w:lang w:val="en-GB" w:eastAsia="zh-CN"/>
        </w:rPr>
      </w:pPr>
    </w:p>
    <w:p w14:paraId="45E903C7" w14:textId="1221BD04" w:rsidR="00F502BA" w:rsidRPr="000E2036" w:rsidRDefault="00F502BA" w:rsidP="00AC756C">
      <w:pPr>
        <w:jc w:val="both"/>
        <w:rPr>
          <w:rFonts w:ascii="Arial" w:eastAsia="ヒラギノ明朝 Pro W3" w:hAnsi="Arial" w:cs="Arial"/>
          <w:b/>
          <w:lang w:val="en-GB" w:eastAsia="zh-CN"/>
        </w:rPr>
      </w:pPr>
      <w:r w:rsidRPr="000E2036">
        <w:rPr>
          <w:rFonts w:ascii="Arial" w:eastAsia="ヒラギノ明朝 Pro W3" w:hAnsi="Arial" w:cs="Arial"/>
          <w:b/>
          <w:lang w:val="en-GB" w:eastAsia="zh-CN"/>
        </w:rPr>
        <w:t>Post-Acquisition Adjustments</w:t>
      </w:r>
    </w:p>
    <w:p w14:paraId="7C7C17AF" w14:textId="77777777" w:rsidR="00F502BA" w:rsidRPr="000E2036" w:rsidRDefault="00F502BA" w:rsidP="000E4F83">
      <w:pPr>
        <w:jc w:val="both"/>
        <w:rPr>
          <w:rFonts w:eastAsia="ヒラギノ明朝 Pro W3"/>
          <w:sz w:val="22"/>
          <w:szCs w:val="22"/>
          <w:lang w:val="en-GB" w:eastAsia="zh-CN"/>
        </w:rPr>
      </w:pPr>
    </w:p>
    <w:p w14:paraId="0F22254E" w14:textId="69429570" w:rsidR="00F502BA" w:rsidRPr="000E2036" w:rsidRDefault="00F502BA" w:rsidP="00A15E39">
      <w:pPr>
        <w:jc w:val="both"/>
        <w:rPr>
          <w:rFonts w:eastAsia="ヒラギノ明朝 Pro W3"/>
          <w:sz w:val="22"/>
          <w:szCs w:val="22"/>
          <w:lang w:val="en-GB" w:eastAsia="zh-CN"/>
        </w:rPr>
      </w:pPr>
      <w:r w:rsidRPr="000E2036">
        <w:rPr>
          <w:rFonts w:eastAsia="ヒラギノ明朝 Pro W3"/>
          <w:sz w:val="22"/>
          <w:szCs w:val="22"/>
          <w:lang w:val="en-GB" w:eastAsia="zh-CN"/>
        </w:rPr>
        <w:t xml:space="preserve">As a majority shareholder of CFAO with dominant voting rights, TTC </w:t>
      </w:r>
      <w:r w:rsidR="00B96B29" w:rsidRPr="000E2036">
        <w:rPr>
          <w:rFonts w:eastAsia="ヒラギノ明朝 Pro W3"/>
          <w:sz w:val="22"/>
          <w:szCs w:val="22"/>
          <w:lang w:val="en-GB" w:eastAsia="zh-CN"/>
        </w:rPr>
        <w:t>w</w:t>
      </w:r>
      <w:r w:rsidR="00B96B29">
        <w:rPr>
          <w:rFonts w:eastAsia="ヒラギノ明朝 Pro W3"/>
          <w:sz w:val="22"/>
          <w:szCs w:val="22"/>
          <w:lang w:val="en-GB" w:eastAsia="zh-CN"/>
        </w:rPr>
        <w:t>as</w:t>
      </w:r>
      <w:r w:rsidR="00B96B29" w:rsidRPr="000E2036">
        <w:rPr>
          <w:rFonts w:eastAsia="ヒラギノ明朝 Pro W3"/>
          <w:sz w:val="22"/>
          <w:szCs w:val="22"/>
          <w:lang w:val="en-GB" w:eastAsia="zh-CN"/>
        </w:rPr>
        <w:t xml:space="preserve"> </w:t>
      </w:r>
      <w:r w:rsidRPr="000E2036">
        <w:rPr>
          <w:rFonts w:eastAsia="ヒラギノ明朝 Pro W3"/>
          <w:sz w:val="22"/>
          <w:szCs w:val="22"/>
          <w:lang w:val="en-GB" w:eastAsia="zh-CN"/>
        </w:rPr>
        <w:t>therefore able to exercise de facto sole control over the group and to influence its strategy and business development.</w:t>
      </w:r>
      <w:r w:rsidRPr="000E2036">
        <w:rPr>
          <w:rStyle w:val="EndnoteReference"/>
          <w:rFonts w:eastAsia="ヒラギノ明朝 Pro W3"/>
          <w:sz w:val="22"/>
          <w:szCs w:val="22"/>
          <w:lang w:val="en-GB" w:eastAsia="zh-CN"/>
        </w:rPr>
        <w:endnoteReference w:id="30"/>
      </w:r>
      <w:r w:rsidRPr="000E2036">
        <w:rPr>
          <w:rFonts w:eastAsia="ヒラギノ明朝 Pro W3"/>
          <w:sz w:val="22"/>
          <w:szCs w:val="22"/>
          <w:lang w:val="en-GB" w:eastAsia="zh-CN"/>
        </w:rPr>
        <w:t xml:space="preserve"> Some adjustments to operations and processes were required for the two entities to work together to realize potential synergies.</w:t>
      </w:r>
      <w:r w:rsidRPr="000E2036">
        <w:rPr>
          <w:rStyle w:val="EndnoteReference"/>
          <w:rFonts w:eastAsia="ヒラギノ明朝 Pro W3"/>
          <w:sz w:val="22"/>
          <w:szCs w:val="22"/>
          <w:lang w:val="en-GB" w:eastAsia="zh-CN"/>
        </w:rPr>
        <w:endnoteReference w:id="31"/>
      </w:r>
      <w:r w:rsidRPr="000E2036">
        <w:rPr>
          <w:rFonts w:eastAsia="ヒラギノ明朝 Pro W3"/>
          <w:sz w:val="22"/>
          <w:szCs w:val="22"/>
          <w:lang w:val="en-GB" w:eastAsia="zh-CN"/>
        </w:rPr>
        <w:t xml:space="preserve"> According to the French supervisory board, from an industrial perspective, TTC considered the acquisition a “friendly” transaction. TTC intended to support CFAO’s development activities in Africa, French overseas</w:t>
      </w:r>
      <w:r w:rsidR="00021824">
        <w:rPr>
          <w:rFonts w:eastAsia="ヒラギノ明朝 Pro W3"/>
          <w:sz w:val="22"/>
          <w:szCs w:val="22"/>
          <w:lang w:val="en-GB" w:eastAsia="zh-CN"/>
        </w:rPr>
        <w:t xml:space="preserve"> territories</w:t>
      </w:r>
      <w:r w:rsidRPr="000E2036">
        <w:rPr>
          <w:rFonts w:eastAsia="ヒラギノ明朝 Pro W3"/>
          <w:sz w:val="22"/>
          <w:szCs w:val="22"/>
          <w:lang w:val="en-GB" w:eastAsia="zh-CN"/>
        </w:rPr>
        <w:t xml:space="preserve">, and Vietnam. TTC notably expressed its intention to help CFAO manage businesses while preserving CFAO’s autonomy and entrepreneurial spirit. From </w:t>
      </w:r>
      <w:r w:rsidR="00214AD6" w:rsidRPr="000E2036">
        <w:rPr>
          <w:rFonts w:eastAsia="ヒラギノ明朝 Pro W3"/>
          <w:sz w:val="22"/>
          <w:szCs w:val="22"/>
          <w:lang w:val="en-GB" w:eastAsia="zh-CN"/>
        </w:rPr>
        <w:t>an</w:t>
      </w:r>
      <w:r w:rsidRPr="000E2036">
        <w:rPr>
          <w:rFonts w:eastAsia="ヒラギノ明朝 Pro W3"/>
          <w:sz w:val="22"/>
          <w:szCs w:val="22"/>
          <w:lang w:val="en-GB" w:eastAsia="zh-CN"/>
        </w:rPr>
        <w:t xml:space="preserve"> organizational and human resources perspective, TTC ensured that </w:t>
      </w:r>
      <w:r w:rsidR="00B96B29">
        <w:rPr>
          <w:rFonts w:eastAsia="ヒラギノ明朝 Pro W3"/>
          <w:sz w:val="22"/>
          <w:szCs w:val="22"/>
          <w:lang w:val="en-GB" w:eastAsia="zh-CN"/>
        </w:rPr>
        <w:t xml:space="preserve">the </w:t>
      </w:r>
      <w:r w:rsidRPr="000E2036">
        <w:rPr>
          <w:rFonts w:eastAsia="ヒラギノ明朝 Pro W3"/>
          <w:sz w:val="22"/>
          <w:szCs w:val="22"/>
          <w:lang w:val="en-GB" w:eastAsia="zh-CN"/>
        </w:rPr>
        <w:t xml:space="preserve">individual and collective status of CFAO’s employees would not suffer from the </w:t>
      </w:r>
      <w:r w:rsidR="00B96B29">
        <w:rPr>
          <w:rFonts w:eastAsia="ヒラギノ明朝 Pro W3"/>
          <w:sz w:val="22"/>
          <w:szCs w:val="22"/>
          <w:lang w:val="en-GB" w:eastAsia="zh-CN"/>
        </w:rPr>
        <w:t>bringing together</w:t>
      </w:r>
      <w:r w:rsidR="00B96B29" w:rsidRPr="000E2036">
        <w:rPr>
          <w:rFonts w:eastAsia="ヒラギノ明朝 Pro W3"/>
          <w:sz w:val="22"/>
          <w:szCs w:val="22"/>
          <w:lang w:val="en-GB" w:eastAsia="zh-CN"/>
        </w:rPr>
        <w:t xml:space="preserve"> </w:t>
      </w:r>
      <w:r w:rsidRPr="000E2036">
        <w:rPr>
          <w:rFonts w:eastAsia="ヒラギノ明朝 Pro W3"/>
          <w:sz w:val="22"/>
          <w:szCs w:val="22"/>
          <w:lang w:val="en-GB" w:eastAsia="zh-CN"/>
        </w:rPr>
        <w:t xml:space="preserve">of the two firms. TTC affirmed its intention to improve the company’s talents and intellectual capital. According to CFAO’s </w:t>
      </w:r>
      <w:r w:rsidR="00021824" w:rsidRPr="000E2036">
        <w:rPr>
          <w:rFonts w:eastAsia="ヒラギノ明朝 Pro W3"/>
          <w:sz w:val="22"/>
          <w:szCs w:val="22"/>
          <w:lang w:val="en-GB" w:eastAsia="zh-CN"/>
        </w:rPr>
        <w:t>chair</w:t>
      </w:r>
      <w:r w:rsidR="00021824">
        <w:rPr>
          <w:rFonts w:eastAsia="ヒラギノ明朝 Pro W3"/>
          <w:sz w:val="22"/>
          <w:szCs w:val="22"/>
          <w:lang w:val="en-GB" w:eastAsia="zh-CN"/>
        </w:rPr>
        <w:t>person</w:t>
      </w:r>
      <w:r w:rsidR="00021824" w:rsidRPr="000E2036">
        <w:rPr>
          <w:rFonts w:eastAsia="ヒラギノ明朝 Pro W3"/>
          <w:sz w:val="22"/>
          <w:szCs w:val="22"/>
          <w:lang w:val="en-GB" w:eastAsia="zh-CN"/>
        </w:rPr>
        <w:t xml:space="preserve"> </w:t>
      </w:r>
      <w:r w:rsidRPr="000E2036">
        <w:rPr>
          <w:rFonts w:eastAsia="ヒラギノ明朝 Pro W3"/>
          <w:sz w:val="22"/>
          <w:szCs w:val="22"/>
          <w:lang w:val="en-GB" w:eastAsia="zh-CN"/>
        </w:rPr>
        <w:t>Richard Bielle,</w:t>
      </w:r>
      <w:r w:rsidR="00214AD6" w:rsidRPr="000E2036">
        <w:rPr>
          <w:rFonts w:eastAsia="ヒラギノ明朝 Pro W3"/>
          <w:sz w:val="22"/>
          <w:szCs w:val="22"/>
          <w:lang w:val="en-GB" w:eastAsia="zh-CN"/>
        </w:rPr>
        <w:t xml:space="preserve"> “</w:t>
      </w:r>
      <w:r w:rsidRPr="000E2036">
        <w:rPr>
          <w:rFonts w:eastAsia="ヒラギノ明朝 Pro W3"/>
          <w:sz w:val="22"/>
          <w:szCs w:val="22"/>
          <w:lang w:val="en-GB" w:eastAsia="zh-CN"/>
        </w:rPr>
        <w:t>With the support of our reference shareholder, I am convinced that we will be able to strengthen CFAO leadership and its strategy around equipment, health</w:t>
      </w:r>
      <w:r w:rsidR="00256C40">
        <w:rPr>
          <w:rFonts w:eastAsia="ヒラギノ明朝 Pro W3"/>
          <w:sz w:val="22"/>
          <w:szCs w:val="22"/>
          <w:lang w:val="en-GB" w:eastAsia="zh-CN"/>
        </w:rPr>
        <w:t>,</w:t>
      </w:r>
      <w:r w:rsidRPr="000E2036">
        <w:rPr>
          <w:rFonts w:eastAsia="ヒラギノ明朝 Pro W3"/>
          <w:sz w:val="22"/>
          <w:szCs w:val="22"/>
          <w:lang w:val="en-GB" w:eastAsia="zh-CN"/>
        </w:rPr>
        <w:t xml:space="preserve"> and consumer goods; emphasizing our positioning of preferred partner of international brands in Africa.”</w:t>
      </w:r>
      <w:r w:rsidRPr="000E2036">
        <w:rPr>
          <w:rStyle w:val="EndnoteReference"/>
          <w:rFonts w:eastAsia="ヒラギノ明朝 Pro W3"/>
          <w:sz w:val="22"/>
          <w:szCs w:val="22"/>
          <w:lang w:val="en-GB" w:eastAsia="zh-CN"/>
        </w:rPr>
        <w:endnoteReference w:id="32"/>
      </w:r>
    </w:p>
    <w:p w14:paraId="1A49028F" w14:textId="77777777" w:rsidR="00F502BA" w:rsidRPr="000E2036" w:rsidRDefault="00F502BA" w:rsidP="000E4F83">
      <w:pPr>
        <w:jc w:val="both"/>
        <w:rPr>
          <w:rFonts w:eastAsia="ヒラギノ明朝 Pro W3"/>
          <w:sz w:val="22"/>
          <w:szCs w:val="22"/>
          <w:lang w:val="en-GB" w:eastAsia="zh-CN"/>
        </w:rPr>
      </w:pPr>
    </w:p>
    <w:p w14:paraId="2BFDE18D" w14:textId="6D0618BD" w:rsidR="00F502BA" w:rsidRPr="000E2036" w:rsidRDefault="00021824" w:rsidP="006A5DEF">
      <w:pPr>
        <w:pStyle w:val="BodyTextMain"/>
        <w:rPr>
          <w:rFonts w:eastAsia="ヒラギノ明朝 Pro W3"/>
          <w:lang w:val="en-GB" w:eastAsia="zh-CN"/>
        </w:rPr>
      </w:pPr>
      <w:r>
        <w:rPr>
          <w:rFonts w:eastAsia="ヒラギノ明朝 Pro W3"/>
          <w:lang w:val="en-GB" w:eastAsia="zh-CN"/>
        </w:rPr>
        <w:t>As</w:t>
      </w:r>
      <w:r w:rsidRPr="000E2036">
        <w:rPr>
          <w:rFonts w:eastAsia="ヒラギノ明朝 Pro W3"/>
          <w:lang w:val="en-GB" w:eastAsia="zh-CN"/>
        </w:rPr>
        <w:t xml:space="preserve"> </w:t>
      </w:r>
      <w:r w:rsidR="00F502BA" w:rsidRPr="000E2036">
        <w:rPr>
          <w:rFonts w:eastAsia="ヒラギノ明朝 Pro W3"/>
          <w:lang w:val="en-GB" w:eastAsia="zh-CN"/>
        </w:rPr>
        <w:t>a diversified conglomerate, TTC also understood CFAO’s need to diversify to maintain its growth. TTC expressed its intention to give CFAO a level of autonomy to operate its different businesses independently. Bielle said, “There are eight Japanese</w:t>
      </w:r>
      <w:r w:rsidR="00380103" w:rsidRPr="000E2036">
        <w:rPr>
          <w:rFonts w:eastAsia="ヒラギノ明朝 Pro W3"/>
          <w:lang w:val="en-GB" w:eastAsia="zh-CN"/>
        </w:rPr>
        <w:t xml:space="preserve"> employees</w:t>
      </w:r>
      <w:r w:rsidR="00F502BA" w:rsidRPr="000E2036">
        <w:rPr>
          <w:rFonts w:eastAsia="ヒラギノ明朝 Pro W3"/>
          <w:lang w:val="en-GB" w:eastAsia="zh-CN"/>
        </w:rPr>
        <w:t xml:space="preserve"> in our French headquarter</w:t>
      </w:r>
      <w:r w:rsidR="00380103" w:rsidRPr="000E2036">
        <w:rPr>
          <w:rFonts w:eastAsia="ヒラギノ明朝 Pro W3"/>
          <w:lang w:val="en-GB" w:eastAsia="zh-CN"/>
        </w:rPr>
        <w:t>s,</w:t>
      </w:r>
      <w:r w:rsidR="00F502BA" w:rsidRPr="000E2036">
        <w:rPr>
          <w:rFonts w:eastAsia="ヒラギノ明朝 Pro W3"/>
          <w:lang w:val="en-GB" w:eastAsia="zh-CN"/>
        </w:rPr>
        <w:t xml:space="preserve"> among which </w:t>
      </w:r>
      <w:r w:rsidR="00380103" w:rsidRPr="000E2036">
        <w:rPr>
          <w:rFonts w:eastAsia="ヒラギノ明朝 Pro W3"/>
          <w:lang w:val="en-GB" w:eastAsia="zh-CN"/>
        </w:rPr>
        <w:t>are the g</w:t>
      </w:r>
      <w:r w:rsidR="00F502BA" w:rsidRPr="000E2036">
        <w:rPr>
          <w:rFonts w:eastAsia="ヒラギノ明朝 Pro W3"/>
          <w:lang w:val="en-GB" w:eastAsia="zh-CN"/>
        </w:rPr>
        <w:t xml:space="preserve">roup’s </w:t>
      </w:r>
      <w:r w:rsidR="00380103" w:rsidRPr="000E2036">
        <w:rPr>
          <w:rFonts w:eastAsia="ヒラギノ明朝 Pro W3"/>
          <w:lang w:val="en-GB" w:eastAsia="zh-CN"/>
        </w:rPr>
        <w:t>v</w:t>
      </w:r>
      <w:r w:rsidR="00F502BA" w:rsidRPr="000E2036">
        <w:rPr>
          <w:rFonts w:eastAsia="ヒラギノ明朝 Pro W3"/>
          <w:lang w:val="en-GB" w:eastAsia="zh-CN"/>
        </w:rPr>
        <w:t>ice-</w:t>
      </w:r>
      <w:r w:rsidR="00380103" w:rsidRPr="000E2036">
        <w:rPr>
          <w:rFonts w:eastAsia="ヒラギノ明朝 Pro W3"/>
          <w:lang w:val="en-GB" w:eastAsia="zh-CN"/>
        </w:rPr>
        <w:t>p</w:t>
      </w:r>
      <w:r w:rsidR="00F502BA" w:rsidRPr="000E2036">
        <w:rPr>
          <w:rFonts w:eastAsia="ヒラギノ明朝 Pro W3"/>
          <w:lang w:val="en-GB" w:eastAsia="zh-CN"/>
        </w:rPr>
        <w:t xml:space="preserve">resident and </w:t>
      </w:r>
      <w:r w:rsidR="00380103" w:rsidRPr="000E2036">
        <w:rPr>
          <w:rFonts w:eastAsia="ヒラギノ明朝 Pro W3"/>
          <w:lang w:val="en-GB" w:eastAsia="zh-CN"/>
        </w:rPr>
        <w:t>d</w:t>
      </w:r>
      <w:r w:rsidR="00F502BA" w:rsidRPr="000E2036">
        <w:rPr>
          <w:rFonts w:eastAsia="ヒラギノ明朝 Pro W3"/>
          <w:lang w:val="en-GB" w:eastAsia="zh-CN"/>
        </w:rPr>
        <w:t xml:space="preserve">eputy </w:t>
      </w:r>
      <w:r w:rsidR="00380103" w:rsidRPr="000E2036">
        <w:rPr>
          <w:rFonts w:eastAsia="ヒラギノ明朝 Pro W3"/>
          <w:lang w:val="en-GB" w:eastAsia="zh-CN"/>
        </w:rPr>
        <w:t>c</w:t>
      </w:r>
      <w:r w:rsidR="00F502BA" w:rsidRPr="000E2036">
        <w:rPr>
          <w:rFonts w:eastAsia="ヒラギノ明朝 Pro W3"/>
          <w:lang w:val="en-GB" w:eastAsia="zh-CN"/>
        </w:rPr>
        <w:t xml:space="preserve">hief </w:t>
      </w:r>
      <w:r w:rsidR="00380103" w:rsidRPr="000E2036">
        <w:rPr>
          <w:rFonts w:eastAsia="ヒラギノ明朝 Pro W3"/>
          <w:lang w:val="en-GB" w:eastAsia="zh-CN"/>
        </w:rPr>
        <w:t>f</w:t>
      </w:r>
      <w:r w:rsidR="00F502BA" w:rsidRPr="000E2036">
        <w:rPr>
          <w:rFonts w:eastAsia="ヒラギノ明朝 Pro W3"/>
          <w:lang w:val="en-GB" w:eastAsia="zh-CN"/>
        </w:rPr>
        <w:t xml:space="preserve">inancial </w:t>
      </w:r>
      <w:r w:rsidR="00380103" w:rsidRPr="000E2036">
        <w:rPr>
          <w:rFonts w:eastAsia="ヒラギノ明朝 Pro W3"/>
          <w:lang w:val="en-GB" w:eastAsia="zh-CN"/>
        </w:rPr>
        <w:t>o</w:t>
      </w:r>
      <w:r w:rsidR="00F502BA" w:rsidRPr="000E2036">
        <w:rPr>
          <w:rFonts w:eastAsia="ヒラギノ明朝 Pro W3"/>
          <w:lang w:val="en-GB" w:eastAsia="zh-CN"/>
        </w:rPr>
        <w:t>fficer. They constitute a very helpful interface that let</w:t>
      </w:r>
      <w:r w:rsidR="00380103" w:rsidRPr="000E2036">
        <w:rPr>
          <w:rFonts w:eastAsia="ヒラギノ明朝 Pro W3"/>
          <w:lang w:val="en-GB" w:eastAsia="zh-CN"/>
        </w:rPr>
        <w:t>s</w:t>
      </w:r>
      <w:r w:rsidR="00F502BA" w:rsidRPr="000E2036">
        <w:rPr>
          <w:rFonts w:eastAsia="ヒラギノ明朝 Pro W3"/>
          <w:lang w:val="en-GB" w:eastAsia="zh-CN"/>
        </w:rPr>
        <w:t xml:space="preserve"> our group operate exactly as before, in a perfect relationship of trust.</w:t>
      </w:r>
      <w:r w:rsidR="002313B6" w:rsidRPr="000E2036">
        <w:rPr>
          <w:rFonts w:eastAsia="ヒラギノ明朝 Pro W3"/>
          <w:lang w:val="en-GB" w:eastAsia="zh-CN"/>
        </w:rPr>
        <w:t>”</w:t>
      </w:r>
      <w:r w:rsidR="003070D8" w:rsidRPr="000E2036">
        <w:rPr>
          <w:rStyle w:val="EndnoteReference"/>
          <w:rFonts w:eastAsia="ヒラギノ明朝 Pro W3"/>
          <w:lang w:val="en-GB" w:eastAsia="zh-CN"/>
        </w:rPr>
        <w:endnoteReference w:id="33"/>
      </w:r>
      <w:r w:rsidR="00F502BA" w:rsidRPr="000E2036">
        <w:rPr>
          <w:rFonts w:eastAsia="ヒラギノ明朝 Pro W3"/>
          <w:lang w:val="en-GB" w:eastAsia="zh-CN"/>
        </w:rPr>
        <w:t xml:space="preserve"> CFAO owned a dozen </w:t>
      </w:r>
      <w:r w:rsidR="00F93263" w:rsidRPr="000E2036">
        <w:rPr>
          <w:rFonts w:eastAsia="ヒラギノ明朝 Pro W3"/>
          <w:lang w:val="en-GB" w:eastAsia="zh-CN"/>
        </w:rPr>
        <w:t xml:space="preserve">different </w:t>
      </w:r>
      <w:r w:rsidR="00F502BA" w:rsidRPr="000E2036">
        <w:rPr>
          <w:rFonts w:eastAsia="ヒラギノ明朝 Pro W3"/>
          <w:lang w:val="en-GB" w:eastAsia="zh-CN"/>
        </w:rPr>
        <w:t>manufacture</w:t>
      </w:r>
      <w:r w:rsidR="00F93263" w:rsidRPr="000E2036">
        <w:rPr>
          <w:rFonts w:eastAsia="ヒラギノ明朝 Pro W3"/>
          <w:lang w:val="en-GB" w:eastAsia="zh-CN"/>
        </w:rPr>
        <w:t>r</w:t>
      </w:r>
      <w:r w:rsidR="00F502BA" w:rsidRPr="000E2036">
        <w:rPr>
          <w:rFonts w:eastAsia="ヒラギノ明朝 Pro W3"/>
          <w:lang w:val="en-GB" w:eastAsia="zh-CN"/>
        </w:rPr>
        <w:t>s in Africa (</w:t>
      </w:r>
      <w:r>
        <w:rPr>
          <w:rFonts w:eastAsia="ヒラギノ明朝 Pro W3"/>
          <w:lang w:val="en-GB" w:eastAsia="zh-CN"/>
        </w:rPr>
        <w:t>for example</w:t>
      </w:r>
      <w:r w:rsidR="00F93263" w:rsidRPr="000E2036">
        <w:rPr>
          <w:rFonts w:eastAsia="ヒラギノ明朝 Pro W3"/>
          <w:lang w:val="en-GB" w:eastAsia="zh-CN"/>
        </w:rPr>
        <w:t xml:space="preserve">, </w:t>
      </w:r>
      <w:r w:rsidR="00F502BA" w:rsidRPr="000E2036">
        <w:rPr>
          <w:rFonts w:eastAsia="ヒラギノ明朝 Pro W3"/>
          <w:lang w:val="en-GB" w:eastAsia="zh-CN"/>
        </w:rPr>
        <w:t>brewer</w:t>
      </w:r>
      <w:r w:rsidR="00F93263" w:rsidRPr="000E2036">
        <w:rPr>
          <w:rFonts w:eastAsia="ヒラギノ明朝 Pro W3"/>
          <w:lang w:val="en-GB" w:eastAsia="zh-CN"/>
        </w:rPr>
        <w:t>ies</w:t>
      </w:r>
      <w:r w:rsidR="00F502BA" w:rsidRPr="000E2036">
        <w:rPr>
          <w:rFonts w:eastAsia="ヒラギノ明朝 Pro W3"/>
          <w:lang w:val="en-GB" w:eastAsia="zh-CN"/>
        </w:rPr>
        <w:t>, packag</w:t>
      </w:r>
      <w:r w:rsidR="00F93263" w:rsidRPr="000E2036">
        <w:rPr>
          <w:rFonts w:eastAsia="ヒラギノ明朝 Pro W3"/>
          <w:lang w:val="en-GB" w:eastAsia="zh-CN"/>
        </w:rPr>
        <w:t>ers</w:t>
      </w:r>
      <w:r w:rsidR="00F502BA" w:rsidRPr="000E2036">
        <w:rPr>
          <w:rFonts w:eastAsia="ヒラギノ明朝 Pro W3"/>
          <w:lang w:val="en-GB" w:eastAsia="zh-CN"/>
        </w:rPr>
        <w:t>, autom</w:t>
      </w:r>
      <w:r w:rsidR="00F93263" w:rsidRPr="000E2036">
        <w:rPr>
          <w:rFonts w:eastAsia="ヒラギノ明朝 Pro W3"/>
          <w:lang w:val="en-GB" w:eastAsia="zh-CN"/>
        </w:rPr>
        <w:t>akers</w:t>
      </w:r>
      <w:r w:rsidR="00380103" w:rsidRPr="000E2036">
        <w:rPr>
          <w:rFonts w:eastAsia="ヒラギノ明朝 Pro W3"/>
          <w:lang w:val="en-GB" w:eastAsia="zh-CN"/>
        </w:rPr>
        <w:t>,</w:t>
      </w:r>
      <w:r w:rsidR="00F502BA" w:rsidRPr="000E2036">
        <w:rPr>
          <w:rFonts w:eastAsia="ヒラギノ明朝 Pro W3"/>
          <w:lang w:val="en-GB" w:eastAsia="zh-CN"/>
        </w:rPr>
        <w:t xml:space="preserve"> and pharmaceutical</w:t>
      </w:r>
      <w:r>
        <w:rPr>
          <w:rFonts w:eastAsia="ヒラギノ明朝 Pro W3"/>
          <w:lang w:val="en-GB" w:eastAsia="zh-CN"/>
        </w:rPr>
        <w:t xml:space="preserve"> companie</w:t>
      </w:r>
      <w:r w:rsidR="00F93263" w:rsidRPr="000E2036">
        <w:rPr>
          <w:rFonts w:eastAsia="ヒラギノ明朝 Pro W3"/>
          <w:lang w:val="en-GB" w:eastAsia="zh-CN"/>
        </w:rPr>
        <w:t>s</w:t>
      </w:r>
      <w:r w:rsidR="00F502BA" w:rsidRPr="000E2036">
        <w:rPr>
          <w:rFonts w:eastAsia="ヒラギノ明朝 Pro W3"/>
          <w:lang w:val="en-GB" w:eastAsia="zh-CN"/>
        </w:rPr>
        <w:t>) and TTC</w:t>
      </w:r>
      <w:r w:rsidR="00380103" w:rsidRPr="000E2036">
        <w:rPr>
          <w:rFonts w:eastAsia="ヒラギノ明朝 Pro W3"/>
          <w:lang w:val="en-GB" w:eastAsia="zh-CN"/>
        </w:rPr>
        <w:t>,</w:t>
      </w:r>
      <w:r w:rsidR="00F502BA" w:rsidRPr="000E2036">
        <w:rPr>
          <w:rFonts w:eastAsia="ヒラギノ明朝 Pro W3"/>
          <w:lang w:val="en-GB" w:eastAsia="zh-CN"/>
        </w:rPr>
        <w:t xml:space="preserve"> which </w:t>
      </w:r>
      <w:r w:rsidR="00F93263" w:rsidRPr="000E2036">
        <w:rPr>
          <w:rFonts w:eastAsia="ヒラギノ明朝 Pro W3"/>
          <w:lang w:val="en-GB" w:eastAsia="zh-CN"/>
        </w:rPr>
        <w:t>wa</w:t>
      </w:r>
      <w:r w:rsidR="00F502BA" w:rsidRPr="000E2036">
        <w:rPr>
          <w:rFonts w:eastAsia="ヒラギノ明朝 Pro W3"/>
          <w:lang w:val="en-GB" w:eastAsia="zh-CN"/>
        </w:rPr>
        <w:t>s present all over the world</w:t>
      </w:r>
      <w:r w:rsidR="00380103" w:rsidRPr="000E2036">
        <w:rPr>
          <w:rFonts w:eastAsia="ヒラギノ明朝 Pro W3"/>
          <w:lang w:val="en-GB" w:eastAsia="zh-CN"/>
        </w:rPr>
        <w:t>,</w:t>
      </w:r>
      <w:r w:rsidR="00F502BA" w:rsidRPr="000E2036">
        <w:rPr>
          <w:rFonts w:eastAsia="ヒラギノ明朝 Pro W3"/>
          <w:lang w:val="en-GB" w:eastAsia="zh-CN"/>
        </w:rPr>
        <w:t xml:space="preserve"> helped the </w:t>
      </w:r>
      <w:r w:rsidR="00380103" w:rsidRPr="000E2036">
        <w:rPr>
          <w:rFonts w:eastAsia="ヒラギノ明朝 Pro W3"/>
          <w:lang w:val="en-GB" w:eastAsia="zh-CN"/>
        </w:rPr>
        <w:t>g</w:t>
      </w:r>
      <w:r w:rsidR="00F502BA" w:rsidRPr="000E2036">
        <w:rPr>
          <w:rFonts w:eastAsia="ヒラギノ明朝 Pro W3"/>
          <w:lang w:val="en-GB" w:eastAsia="zh-CN"/>
        </w:rPr>
        <w:t xml:space="preserve">roup in </w:t>
      </w:r>
      <w:r w:rsidR="00380103" w:rsidRPr="000E2036">
        <w:rPr>
          <w:rFonts w:eastAsia="ヒラギノ明朝 Pro W3"/>
          <w:lang w:val="en-GB" w:eastAsia="zh-CN"/>
        </w:rPr>
        <w:t>terms of</w:t>
      </w:r>
      <w:r w:rsidR="00F502BA" w:rsidRPr="000E2036">
        <w:rPr>
          <w:rFonts w:eastAsia="ヒラギノ明朝 Pro W3"/>
          <w:lang w:val="en-GB" w:eastAsia="zh-CN"/>
        </w:rPr>
        <w:t xml:space="preserve"> management and logistics. </w:t>
      </w:r>
      <w:r w:rsidR="00380103" w:rsidRPr="000E2036">
        <w:rPr>
          <w:rFonts w:eastAsia="ヒラギノ明朝 Pro W3"/>
          <w:lang w:val="en-GB" w:eastAsia="zh-CN"/>
        </w:rPr>
        <w:t>The</w:t>
      </w:r>
      <w:r w:rsidR="00F93263" w:rsidRPr="000E2036">
        <w:rPr>
          <w:rFonts w:eastAsia="ヒラギノ明朝 Pro W3"/>
          <w:lang w:val="en-GB" w:eastAsia="zh-CN"/>
        </w:rPr>
        <w:t>refore, the</w:t>
      </w:r>
      <w:r w:rsidR="00380103" w:rsidRPr="000E2036">
        <w:rPr>
          <w:rFonts w:eastAsia="ヒラギノ明朝 Pro W3"/>
          <w:lang w:val="en-GB" w:eastAsia="zh-CN"/>
        </w:rPr>
        <w:t xml:space="preserve"> </w:t>
      </w:r>
      <w:r w:rsidR="00F502BA" w:rsidRPr="000E2036">
        <w:rPr>
          <w:rFonts w:eastAsia="ヒラギノ明朝 Pro W3"/>
          <w:lang w:val="en-GB" w:eastAsia="zh-CN"/>
        </w:rPr>
        <w:t>Japanese</w:t>
      </w:r>
      <w:r w:rsidR="00380103" w:rsidRPr="000E2036">
        <w:rPr>
          <w:rFonts w:eastAsia="ヒラギノ明朝 Pro W3"/>
          <w:lang w:val="en-GB" w:eastAsia="zh-CN"/>
        </w:rPr>
        <w:t xml:space="preserve"> influence was</w:t>
      </w:r>
      <w:r w:rsidR="00F502BA" w:rsidRPr="000E2036">
        <w:rPr>
          <w:rFonts w:eastAsia="ヒラギノ明朝 Pro W3"/>
          <w:lang w:val="en-GB" w:eastAsia="zh-CN"/>
        </w:rPr>
        <w:t xml:space="preserve"> </w:t>
      </w:r>
      <w:r w:rsidR="00F93263" w:rsidRPr="000E2036">
        <w:rPr>
          <w:rFonts w:eastAsia="ヒラギノ明朝 Pro W3"/>
          <w:lang w:val="en-GB" w:eastAsia="zh-CN"/>
        </w:rPr>
        <w:t xml:space="preserve">felt </w:t>
      </w:r>
      <w:r w:rsidR="00F502BA" w:rsidRPr="000E2036">
        <w:rPr>
          <w:rFonts w:eastAsia="ヒラギノ明朝 Pro W3"/>
          <w:lang w:val="en-GB" w:eastAsia="zh-CN"/>
        </w:rPr>
        <w:t xml:space="preserve">more in the process and </w:t>
      </w:r>
      <w:r w:rsidR="00380103" w:rsidRPr="000E2036">
        <w:rPr>
          <w:rFonts w:eastAsia="ヒラギノ明朝 Pro W3"/>
          <w:lang w:val="en-GB" w:eastAsia="zh-CN"/>
        </w:rPr>
        <w:t xml:space="preserve">the </w:t>
      </w:r>
      <w:r w:rsidR="00F502BA" w:rsidRPr="000E2036">
        <w:rPr>
          <w:rFonts w:eastAsia="ヒラギノ明朝 Pro W3"/>
          <w:lang w:val="en-GB" w:eastAsia="zh-CN"/>
        </w:rPr>
        <w:t xml:space="preserve">French </w:t>
      </w:r>
      <w:r w:rsidR="00380103" w:rsidRPr="000E2036">
        <w:rPr>
          <w:rFonts w:eastAsia="ヒラギノ明朝 Pro W3"/>
          <w:lang w:val="en-GB" w:eastAsia="zh-CN"/>
        </w:rPr>
        <w:t xml:space="preserve">more </w:t>
      </w:r>
      <w:r w:rsidR="00F502BA" w:rsidRPr="000E2036">
        <w:rPr>
          <w:rFonts w:eastAsia="ヒラギノ明朝 Pro W3"/>
          <w:lang w:val="en-GB" w:eastAsia="zh-CN"/>
        </w:rPr>
        <w:t xml:space="preserve">in the field. Finally, </w:t>
      </w:r>
      <w:r>
        <w:rPr>
          <w:rFonts w:eastAsia="ヒラギノ明朝 Pro W3"/>
          <w:lang w:val="en-GB" w:eastAsia="zh-CN"/>
        </w:rPr>
        <w:t xml:space="preserve">the </w:t>
      </w:r>
      <w:r w:rsidR="00F502BA" w:rsidRPr="000E2036">
        <w:rPr>
          <w:rFonts w:eastAsia="ヒラギノ明朝 Pro W3"/>
          <w:lang w:val="en-GB" w:eastAsia="zh-CN"/>
        </w:rPr>
        <w:t xml:space="preserve">approaches </w:t>
      </w:r>
      <w:r>
        <w:rPr>
          <w:rFonts w:eastAsia="ヒラギノ明朝 Pro W3"/>
          <w:lang w:val="en-GB" w:eastAsia="zh-CN"/>
        </w:rPr>
        <w:t xml:space="preserve">of </w:t>
      </w:r>
      <w:r w:rsidRPr="000E2036">
        <w:rPr>
          <w:rFonts w:eastAsia="ヒラギノ明朝 Pro W3"/>
          <w:lang w:val="en-GB" w:eastAsia="zh-CN"/>
        </w:rPr>
        <w:t xml:space="preserve">both </w:t>
      </w:r>
      <w:r w:rsidR="00F502BA" w:rsidRPr="000E2036">
        <w:rPr>
          <w:rFonts w:eastAsia="ヒラギノ明朝 Pro W3"/>
          <w:lang w:val="en-GB" w:eastAsia="zh-CN"/>
        </w:rPr>
        <w:t xml:space="preserve">were complementary and allowed </w:t>
      </w:r>
      <w:r w:rsidR="00380103" w:rsidRPr="000E2036">
        <w:rPr>
          <w:rFonts w:eastAsia="ヒラギノ明朝 Pro W3"/>
          <w:lang w:val="en-GB" w:eastAsia="zh-CN"/>
        </w:rPr>
        <w:t xml:space="preserve">for the </w:t>
      </w:r>
      <w:r w:rsidR="00F502BA" w:rsidRPr="000E2036">
        <w:rPr>
          <w:rFonts w:eastAsia="ヒラギノ明朝 Pro W3"/>
          <w:lang w:val="en-GB" w:eastAsia="zh-CN"/>
        </w:rPr>
        <w:t xml:space="preserve">creation of business synergies. </w:t>
      </w:r>
    </w:p>
    <w:p w14:paraId="3B6A83BA" w14:textId="77777777" w:rsidR="00F502BA" w:rsidRPr="000E2036" w:rsidRDefault="00F502BA" w:rsidP="000E4F83">
      <w:pPr>
        <w:jc w:val="both"/>
        <w:rPr>
          <w:rFonts w:eastAsia="ヒラギノ明朝 Pro W3"/>
          <w:sz w:val="22"/>
          <w:szCs w:val="22"/>
          <w:lang w:val="en-GB" w:eastAsia="zh-CN"/>
        </w:rPr>
      </w:pPr>
    </w:p>
    <w:p w14:paraId="40D4A6C3" w14:textId="77777777" w:rsidR="00F502BA" w:rsidRPr="000E2036" w:rsidRDefault="00F502BA" w:rsidP="000E4F83">
      <w:pPr>
        <w:jc w:val="both"/>
        <w:rPr>
          <w:rFonts w:eastAsia="ヒラギノ明朝 Pro W3"/>
          <w:sz w:val="22"/>
          <w:szCs w:val="22"/>
          <w:lang w:val="en-GB" w:eastAsia="zh-CN"/>
        </w:rPr>
      </w:pPr>
    </w:p>
    <w:p w14:paraId="004C5B6E" w14:textId="640BF62A" w:rsidR="00F502BA" w:rsidRPr="000E2036" w:rsidRDefault="00F502BA" w:rsidP="000E4F83">
      <w:pPr>
        <w:jc w:val="both"/>
        <w:rPr>
          <w:rFonts w:eastAsia="ヒラギノ明朝 Pro W3"/>
          <w:sz w:val="22"/>
          <w:szCs w:val="22"/>
          <w:lang w:val="en-GB" w:eastAsia="zh-CN"/>
        </w:rPr>
      </w:pPr>
      <w:r w:rsidRPr="000E2036">
        <w:rPr>
          <w:rFonts w:ascii="Arial" w:eastAsia="ヒラギノ明朝 Pro W3" w:hAnsi="Arial" w:cs="Arial"/>
          <w:b/>
          <w:lang w:val="en-GB" w:eastAsia="zh-CN"/>
        </w:rPr>
        <w:t>Complementary Businesses</w:t>
      </w:r>
    </w:p>
    <w:p w14:paraId="05ADBC85" w14:textId="77777777" w:rsidR="00F502BA" w:rsidRPr="000E2036" w:rsidRDefault="00F502BA" w:rsidP="000E4F83">
      <w:pPr>
        <w:jc w:val="both"/>
        <w:rPr>
          <w:rFonts w:eastAsia="ヒラギノ明朝 Pro W3"/>
          <w:sz w:val="22"/>
          <w:szCs w:val="22"/>
          <w:lang w:val="en-GB" w:eastAsia="zh-CN"/>
        </w:rPr>
      </w:pPr>
    </w:p>
    <w:p w14:paraId="2128284C" w14:textId="635E1049" w:rsidR="00F502BA" w:rsidRPr="000E2036" w:rsidRDefault="00F502BA" w:rsidP="004C666F">
      <w:pPr>
        <w:jc w:val="both"/>
        <w:rPr>
          <w:rFonts w:eastAsia="ヒラギノ明朝 Pro W3"/>
          <w:sz w:val="22"/>
          <w:szCs w:val="22"/>
          <w:lang w:val="en-GB" w:eastAsia="zh-CN"/>
        </w:rPr>
      </w:pPr>
      <w:r w:rsidRPr="000E2036">
        <w:rPr>
          <w:rFonts w:eastAsia="ヒラギノ明朝 Pro W3"/>
          <w:sz w:val="22"/>
          <w:szCs w:val="22"/>
          <w:lang w:val="en-GB" w:eastAsia="zh-CN"/>
        </w:rPr>
        <w:t xml:space="preserve">Geographically, TTC was mainly present in the English-speaking </w:t>
      </w:r>
      <w:r w:rsidR="00750E92" w:rsidRPr="000E2036">
        <w:rPr>
          <w:rFonts w:eastAsia="ヒラギノ明朝 Pro W3"/>
          <w:sz w:val="22"/>
          <w:szCs w:val="22"/>
          <w:lang w:val="en-GB" w:eastAsia="zh-CN"/>
        </w:rPr>
        <w:t>areas of e</w:t>
      </w:r>
      <w:r w:rsidRPr="000E2036">
        <w:rPr>
          <w:rFonts w:eastAsia="ヒラギノ明朝 Pro W3"/>
          <w:sz w:val="22"/>
          <w:szCs w:val="22"/>
          <w:lang w:val="en-GB" w:eastAsia="zh-CN"/>
        </w:rPr>
        <w:t>ast</w:t>
      </w:r>
      <w:r w:rsidR="00750E92" w:rsidRPr="000E2036">
        <w:rPr>
          <w:rFonts w:eastAsia="ヒラギノ明朝 Pro W3"/>
          <w:sz w:val="22"/>
          <w:szCs w:val="22"/>
          <w:lang w:val="en-GB" w:eastAsia="zh-CN"/>
        </w:rPr>
        <w:t>ern</w:t>
      </w:r>
      <w:r w:rsidRPr="000E2036">
        <w:rPr>
          <w:rFonts w:eastAsia="ヒラギノ明朝 Pro W3"/>
          <w:sz w:val="22"/>
          <w:szCs w:val="22"/>
          <w:lang w:val="en-GB" w:eastAsia="zh-CN"/>
        </w:rPr>
        <w:t xml:space="preserve"> and </w:t>
      </w:r>
      <w:r w:rsidR="00750E92" w:rsidRPr="000E2036">
        <w:rPr>
          <w:rFonts w:eastAsia="ヒラギノ明朝 Pro W3"/>
          <w:sz w:val="22"/>
          <w:szCs w:val="22"/>
          <w:lang w:val="en-GB" w:eastAsia="zh-CN"/>
        </w:rPr>
        <w:t>s</w:t>
      </w:r>
      <w:r w:rsidRPr="000E2036">
        <w:rPr>
          <w:rFonts w:eastAsia="ヒラギノ明朝 Pro W3"/>
          <w:sz w:val="22"/>
          <w:szCs w:val="22"/>
          <w:lang w:val="en-GB" w:eastAsia="zh-CN"/>
        </w:rPr>
        <w:t>outhern Africa</w:t>
      </w:r>
      <w:r w:rsidR="00750E92" w:rsidRPr="000E2036">
        <w:rPr>
          <w:rFonts w:eastAsia="ヒラギノ明朝 Pro W3"/>
          <w:sz w:val="22"/>
          <w:szCs w:val="22"/>
          <w:lang w:val="en-GB" w:eastAsia="zh-CN"/>
        </w:rPr>
        <w:t>.</w:t>
      </w:r>
      <w:r w:rsidRPr="000E2036">
        <w:rPr>
          <w:rFonts w:eastAsia="ヒラギノ明朝 Pro W3"/>
          <w:sz w:val="22"/>
          <w:szCs w:val="22"/>
          <w:lang w:val="en-GB" w:eastAsia="zh-CN"/>
        </w:rPr>
        <w:t xml:space="preserve"> CFAO</w:t>
      </w:r>
      <w:r w:rsidR="00750E92" w:rsidRPr="000E2036">
        <w:rPr>
          <w:rFonts w:eastAsia="ヒラギノ明朝 Pro W3"/>
          <w:sz w:val="22"/>
          <w:szCs w:val="22"/>
          <w:lang w:val="en-GB" w:eastAsia="zh-CN"/>
        </w:rPr>
        <w:t>, however,</w:t>
      </w:r>
      <w:r w:rsidRPr="000E2036">
        <w:rPr>
          <w:rFonts w:eastAsia="ヒラギノ明朝 Pro W3"/>
          <w:sz w:val="22"/>
          <w:szCs w:val="22"/>
          <w:lang w:val="en-GB" w:eastAsia="zh-CN"/>
        </w:rPr>
        <w:t xml:space="preserve"> was not an ordinary enterprise</w:t>
      </w:r>
      <w:r w:rsidR="00750E92" w:rsidRPr="000E2036">
        <w:rPr>
          <w:rFonts w:eastAsia="ヒラギノ明朝 Pro W3"/>
          <w:sz w:val="22"/>
          <w:szCs w:val="22"/>
          <w:lang w:val="en-GB" w:eastAsia="zh-CN"/>
        </w:rPr>
        <w:t>; it was</w:t>
      </w:r>
      <w:r w:rsidRPr="000E2036">
        <w:rPr>
          <w:rFonts w:eastAsia="ヒラギノ明朝 Pro W3"/>
          <w:sz w:val="22"/>
          <w:szCs w:val="22"/>
          <w:lang w:val="en-GB" w:eastAsia="zh-CN"/>
        </w:rPr>
        <w:t xml:space="preserve"> a leader of international business in Africa</w:t>
      </w:r>
      <w:r w:rsidR="00750E92" w:rsidRPr="000E2036">
        <w:rPr>
          <w:rFonts w:eastAsia="ヒラギノ明朝 Pro W3"/>
          <w:sz w:val="22"/>
          <w:szCs w:val="22"/>
          <w:lang w:val="en-GB" w:eastAsia="zh-CN"/>
        </w:rPr>
        <w:t>,</w:t>
      </w:r>
      <w:r w:rsidRPr="000E2036">
        <w:rPr>
          <w:rFonts w:eastAsia="ヒラギノ明朝 Pro W3"/>
          <w:sz w:val="22"/>
          <w:szCs w:val="22"/>
          <w:lang w:val="en-GB" w:eastAsia="zh-CN"/>
        </w:rPr>
        <w:t xml:space="preserve"> with a presence in 34 countries. Through the </w:t>
      </w:r>
      <w:r w:rsidR="00750E92" w:rsidRPr="000E2036">
        <w:rPr>
          <w:rFonts w:eastAsia="ヒラギノ明朝 Pro W3"/>
          <w:sz w:val="22"/>
          <w:szCs w:val="22"/>
          <w:lang w:val="en-GB" w:eastAsia="zh-CN"/>
        </w:rPr>
        <w:t xml:space="preserve">CFAO </w:t>
      </w:r>
      <w:r w:rsidRPr="000E2036">
        <w:rPr>
          <w:rFonts w:eastAsia="ヒラギノ明朝 Pro W3"/>
          <w:sz w:val="22"/>
          <w:szCs w:val="22"/>
          <w:lang w:val="en-GB" w:eastAsia="zh-CN"/>
        </w:rPr>
        <w:t xml:space="preserve">acquisition, TTC </w:t>
      </w:r>
      <w:r w:rsidR="00750E92" w:rsidRPr="000E2036">
        <w:rPr>
          <w:rFonts w:eastAsia="ヒラギノ明朝 Pro W3"/>
          <w:sz w:val="22"/>
          <w:szCs w:val="22"/>
          <w:lang w:val="en-GB" w:eastAsia="zh-CN"/>
        </w:rPr>
        <w:t>gained</w:t>
      </w:r>
      <w:r w:rsidRPr="000E2036">
        <w:rPr>
          <w:rFonts w:eastAsia="ヒラギノ明朝 Pro W3"/>
          <w:sz w:val="22"/>
          <w:szCs w:val="22"/>
          <w:lang w:val="en-GB" w:eastAsia="zh-CN"/>
        </w:rPr>
        <w:t xml:space="preserve"> presen</w:t>
      </w:r>
      <w:r w:rsidR="00750E92" w:rsidRPr="000E2036">
        <w:rPr>
          <w:rFonts w:eastAsia="ヒラギノ明朝 Pro W3"/>
          <w:sz w:val="22"/>
          <w:szCs w:val="22"/>
          <w:lang w:val="en-GB" w:eastAsia="zh-CN"/>
        </w:rPr>
        <w:t>ce</w:t>
      </w:r>
      <w:r w:rsidRPr="000E2036">
        <w:rPr>
          <w:rFonts w:eastAsia="ヒラギノ明朝 Pro W3"/>
          <w:sz w:val="22"/>
          <w:szCs w:val="22"/>
          <w:lang w:val="en-GB" w:eastAsia="zh-CN"/>
        </w:rPr>
        <w:t xml:space="preserve"> in 53 </w:t>
      </w:r>
      <w:r w:rsidR="00750E92" w:rsidRPr="000E2036">
        <w:rPr>
          <w:rFonts w:eastAsia="ヒラギノ明朝 Pro W3"/>
          <w:sz w:val="22"/>
          <w:szCs w:val="22"/>
          <w:lang w:val="en-GB" w:eastAsia="zh-CN"/>
        </w:rPr>
        <w:t xml:space="preserve">of 54 </w:t>
      </w:r>
      <w:r w:rsidRPr="000E2036">
        <w:rPr>
          <w:rFonts w:eastAsia="ヒラギノ明朝 Pro W3"/>
          <w:sz w:val="22"/>
          <w:szCs w:val="22"/>
          <w:lang w:val="en-GB" w:eastAsia="zh-CN"/>
        </w:rPr>
        <w:t>African countries, thus strengthening its position and automobile distribution capability in the African market. Importantly, the two companies had diversified portfolios and operations in almost identical fields.</w:t>
      </w:r>
    </w:p>
    <w:p w14:paraId="1C9EB14C" w14:textId="77777777" w:rsidR="00F502BA" w:rsidRPr="000E2036" w:rsidRDefault="00F502BA" w:rsidP="004D5468">
      <w:pPr>
        <w:jc w:val="both"/>
        <w:rPr>
          <w:rFonts w:eastAsia="ヒラギノ明朝 Pro W3"/>
          <w:sz w:val="22"/>
          <w:szCs w:val="22"/>
          <w:lang w:val="en-GB" w:eastAsia="zh-CN"/>
        </w:rPr>
      </w:pPr>
    </w:p>
    <w:p w14:paraId="6857AE48" w14:textId="18EF7F4C" w:rsidR="00F502BA" w:rsidRPr="000E2036" w:rsidRDefault="00F502BA" w:rsidP="004D5468">
      <w:pPr>
        <w:jc w:val="both"/>
        <w:rPr>
          <w:rFonts w:eastAsia="ヒラギノ明朝 Pro W3"/>
          <w:sz w:val="22"/>
          <w:szCs w:val="22"/>
          <w:lang w:val="en-GB" w:eastAsia="zh-CN"/>
        </w:rPr>
      </w:pPr>
      <w:r w:rsidRPr="000E2036">
        <w:rPr>
          <w:rFonts w:eastAsia="ヒラギノ明朝 Pro W3"/>
          <w:sz w:val="22"/>
          <w:szCs w:val="22"/>
          <w:lang w:val="en-GB" w:eastAsia="zh-CN"/>
        </w:rPr>
        <w:t>TTC was among Japan</w:t>
      </w:r>
      <w:r w:rsidR="00F93263" w:rsidRPr="000E2036">
        <w:rPr>
          <w:rFonts w:eastAsia="ヒラギノ明朝 Pro W3"/>
          <w:sz w:val="22"/>
          <w:szCs w:val="22"/>
          <w:lang w:val="en-GB" w:eastAsia="zh-CN"/>
        </w:rPr>
        <w:t>’</w:t>
      </w:r>
      <w:r w:rsidRPr="000E2036">
        <w:rPr>
          <w:rFonts w:eastAsia="ヒラギノ明朝 Pro W3"/>
          <w:sz w:val="22"/>
          <w:szCs w:val="22"/>
          <w:lang w:val="en-GB" w:eastAsia="zh-CN"/>
        </w:rPr>
        <w:t>s</w:t>
      </w:r>
      <w:r w:rsidR="00F93263" w:rsidRPr="000E2036">
        <w:rPr>
          <w:rFonts w:eastAsia="ヒラギノ明朝 Pro W3"/>
          <w:sz w:val="22"/>
          <w:szCs w:val="22"/>
          <w:lang w:val="en-GB" w:eastAsia="zh-CN"/>
        </w:rPr>
        <w:t xml:space="preserve"> top seven </w:t>
      </w:r>
      <w:r w:rsidRPr="000E2036">
        <w:rPr>
          <w:rFonts w:eastAsia="ヒラギノ明朝 Pro W3"/>
          <w:sz w:val="22"/>
          <w:szCs w:val="22"/>
          <w:lang w:val="en-GB" w:eastAsia="zh-CN"/>
        </w:rPr>
        <w:t>general trading houses.</w:t>
      </w:r>
      <w:r w:rsidRPr="000E2036">
        <w:rPr>
          <w:rStyle w:val="EndnoteReference"/>
          <w:rFonts w:eastAsia="ヒラギノ明朝 Pro W3"/>
          <w:sz w:val="22"/>
          <w:szCs w:val="22"/>
          <w:lang w:val="en-GB" w:eastAsia="zh-CN"/>
        </w:rPr>
        <w:endnoteReference w:id="34"/>
      </w:r>
      <w:r w:rsidRPr="000E2036">
        <w:rPr>
          <w:rFonts w:eastAsia="ヒラギノ明朝 Pro W3"/>
          <w:sz w:val="22"/>
          <w:szCs w:val="22"/>
          <w:lang w:val="en-GB" w:eastAsia="zh-CN"/>
        </w:rPr>
        <w:t xml:space="preserve"> It provided information services, logistics, financing, risk management, and other functions for import and export, a</w:t>
      </w:r>
      <w:r w:rsidR="00750E92" w:rsidRPr="000E2036">
        <w:rPr>
          <w:rFonts w:eastAsia="ヒラギノ明朝 Pro W3"/>
          <w:sz w:val="22"/>
          <w:szCs w:val="22"/>
          <w:lang w:val="en-GB" w:eastAsia="zh-CN"/>
        </w:rPr>
        <w:t>s well as providing various</w:t>
      </w:r>
      <w:r w:rsidRPr="000E2036">
        <w:rPr>
          <w:rFonts w:eastAsia="ヒラギノ明朝 Pro W3"/>
          <w:sz w:val="22"/>
          <w:szCs w:val="22"/>
          <w:lang w:val="en-GB" w:eastAsia="zh-CN"/>
        </w:rPr>
        <w:t xml:space="preserve"> domestic trading businesses. It had business in the seven </w:t>
      </w:r>
      <w:r w:rsidR="00F93263" w:rsidRPr="000E2036">
        <w:rPr>
          <w:rFonts w:eastAsia="ヒラギノ明朝 Pro W3"/>
          <w:sz w:val="22"/>
          <w:szCs w:val="22"/>
          <w:lang w:val="en-GB" w:eastAsia="zh-CN"/>
        </w:rPr>
        <w:t xml:space="preserve">different </w:t>
      </w:r>
      <w:r w:rsidRPr="000E2036">
        <w:rPr>
          <w:rFonts w:eastAsia="ヒラギノ明朝 Pro W3"/>
          <w:sz w:val="22"/>
          <w:szCs w:val="22"/>
          <w:lang w:val="en-GB" w:eastAsia="zh-CN"/>
        </w:rPr>
        <w:t>divisions.</w:t>
      </w:r>
      <w:r w:rsidRPr="000E2036">
        <w:rPr>
          <w:rStyle w:val="EndnoteReference"/>
          <w:rFonts w:eastAsia="ヒラギノ明朝 Pro W3"/>
          <w:sz w:val="22"/>
          <w:szCs w:val="22"/>
          <w:lang w:val="en-GB" w:eastAsia="zh-CN"/>
        </w:rPr>
        <w:endnoteReference w:id="35"/>
      </w:r>
      <w:r w:rsidRPr="000E2036">
        <w:rPr>
          <w:rFonts w:eastAsia="ヒラギノ明朝 Pro W3"/>
          <w:sz w:val="22"/>
          <w:szCs w:val="22"/>
          <w:lang w:val="en-GB" w:eastAsia="zh-CN"/>
        </w:rPr>
        <w:t xml:space="preserve"> The metals division provided unique steel and nonferrous metal</w:t>
      </w:r>
      <w:r w:rsidR="00750E92" w:rsidRPr="000E2036">
        <w:rPr>
          <w:rFonts w:eastAsia="ヒラギノ明朝 Pro W3"/>
          <w:sz w:val="22"/>
          <w:szCs w:val="22"/>
          <w:lang w:val="en-GB" w:eastAsia="zh-CN"/>
        </w:rPr>
        <w:t xml:space="preserve"> product</w:t>
      </w:r>
      <w:r w:rsidRPr="000E2036">
        <w:rPr>
          <w:rFonts w:eastAsia="ヒラギノ明朝 Pro W3"/>
          <w:sz w:val="22"/>
          <w:szCs w:val="22"/>
          <w:lang w:val="en-GB" w:eastAsia="zh-CN"/>
        </w:rPr>
        <w:t>s</w:t>
      </w:r>
      <w:r w:rsidR="00750E92" w:rsidRPr="000E2036">
        <w:rPr>
          <w:rFonts w:eastAsia="ヒラギノ明朝 Pro W3"/>
          <w:sz w:val="22"/>
          <w:szCs w:val="22"/>
          <w:lang w:val="en-GB" w:eastAsia="zh-CN"/>
        </w:rPr>
        <w:t>,</w:t>
      </w:r>
      <w:r w:rsidRPr="000E2036">
        <w:rPr>
          <w:rFonts w:eastAsia="ヒラギノ明朝 Pro W3"/>
          <w:sz w:val="22"/>
          <w:szCs w:val="22"/>
          <w:lang w:val="en-GB" w:eastAsia="zh-CN"/>
        </w:rPr>
        <w:t xml:space="preserve"> a</w:t>
      </w:r>
      <w:r w:rsidR="00750E92" w:rsidRPr="000E2036">
        <w:rPr>
          <w:rFonts w:eastAsia="ヒラギノ明朝 Pro W3"/>
          <w:sz w:val="22"/>
          <w:szCs w:val="22"/>
          <w:lang w:val="en-GB" w:eastAsia="zh-CN"/>
        </w:rPr>
        <w:t>s well as</w:t>
      </w:r>
      <w:r w:rsidRPr="000E2036">
        <w:rPr>
          <w:rFonts w:eastAsia="ヒラギノ明朝 Pro W3"/>
          <w:sz w:val="22"/>
          <w:szCs w:val="22"/>
          <w:lang w:val="en-GB" w:eastAsia="zh-CN"/>
        </w:rPr>
        <w:t xml:space="preserve"> logistics, and also operated a recycling business. The global parts and logistics division built </w:t>
      </w:r>
      <w:r w:rsidR="00B924CB" w:rsidRPr="000E2036">
        <w:rPr>
          <w:rFonts w:eastAsia="ヒラギノ明朝 Pro W3"/>
          <w:sz w:val="22"/>
          <w:szCs w:val="22"/>
          <w:lang w:val="en-GB" w:eastAsia="zh-CN"/>
        </w:rPr>
        <w:t xml:space="preserve">up </w:t>
      </w:r>
      <w:r w:rsidRPr="000E2036">
        <w:rPr>
          <w:rFonts w:eastAsia="ヒラギノ明朝 Pro W3"/>
          <w:sz w:val="22"/>
          <w:szCs w:val="22"/>
          <w:lang w:val="en-GB" w:eastAsia="zh-CN"/>
        </w:rPr>
        <w:t>a global supply chain</w:t>
      </w:r>
      <w:r w:rsidR="00B924CB" w:rsidRPr="000E2036">
        <w:rPr>
          <w:rFonts w:eastAsia="ヒラギノ明朝 Pro W3"/>
          <w:sz w:val="22"/>
          <w:szCs w:val="22"/>
          <w:lang w:val="en-GB" w:eastAsia="zh-CN"/>
        </w:rPr>
        <w:t xml:space="preserve"> by</w:t>
      </w:r>
      <w:r w:rsidRPr="000E2036">
        <w:rPr>
          <w:rFonts w:eastAsia="ヒラギノ明朝 Pro W3"/>
          <w:sz w:val="22"/>
          <w:szCs w:val="22"/>
          <w:lang w:val="en-GB" w:eastAsia="zh-CN"/>
        </w:rPr>
        <w:t xml:space="preserve"> linking automakers and parts manufacturers</w:t>
      </w:r>
      <w:r w:rsidR="00021824">
        <w:rPr>
          <w:rFonts w:eastAsia="ヒラギノ明朝 Pro W3"/>
          <w:sz w:val="22"/>
          <w:szCs w:val="22"/>
          <w:lang w:val="en-GB" w:eastAsia="zh-CN"/>
        </w:rPr>
        <w:t xml:space="preserve"> and</w:t>
      </w:r>
      <w:r w:rsidRPr="000E2036">
        <w:rPr>
          <w:rFonts w:eastAsia="ヒラギノ明朝 Pro W3"/>
          <w:sz w:val="22"/>
          <w:szCs w:val="22"/>
          <w:lang w:val="en-GB" w:eastAsia="zh-CN"/>
        </w:rPr>
        <w:t xml:space="preserve"> offer</w:t>
      </w:r>
      <w:r w:rsidR="00B924CB" w:rsidRPr="000E2036">
        <w:rPr>
          <w:rFonts w:eastAsia="ヒラギノ明朝 Pro W3"/>
          <w:sz w:val="22"/>
          <w:szCs w:val="22"/>
          <w:lang w:val="en-GB" w:eastAsia="zh-CN"/>
        </w:rPr>
        <w:t>ing</w:t>
      </w:r>
      <w:r w:rsidRPr="000E2036">
        <w:rPr>
          <w:rFonts w:eastAsia="ヒラギノ明朝 Pro W3"/>
          <w:sz w:val="22"/>
          <w:szCs w:val="22"/>
          <w:lang w:val="en-GB" w:eastAsia="zh-CN"/>
        </w:rPr>
        <w:t xml:space="preserve"> manufacturing functions. The automotive division exported vehicles and parts manufactured by the Toyota Group and other companies. The machinery, energy</w:t>
      </w:r>
      <w:r w:rsidR="00021824">
        <w:rPr>
          <w:rFonts w:eastAsia="ヒラギノ明朝 Pro W3"/>
          <w:sz w:val="22"/>
          <w:szCs w:val="22"/>
          <w:lang w:val="en-GB" w:eastAsia="zh-CN"/>
        </w:rPr>
        <w:t>,</w:t>
      </w:r>
      <w:r w:rsidRPr="000E2036">
        <w:rPr>
          <w:rFonts w:eastAsia="ヒラギノ明朝 Pro W3"/>
          <w:sz w:val="22"/>
          <w:szCs w:val="22"/>
          <w:lang w:val="en-GB" w:eastAsia="zh-CN"/>
        </w:rPr>
        <w:t xml:space="preserve"> and project division provided supports for the automotive production and energy business. The chemicals and electronics division operated integrated automotive materials, chemicals, electronic devices, and </w:t>
      </w:r>
      <w:r w:rsidR="005D73C7" w:rsidRPr="000E2036">
        <w:rPr>
          <w:rFonts w:eastAsia="ヒラギノ明朝 Pro W3"/>
          <w:sz w:val="22"/>
          <w:szCs w:val="22"/>
          <w:lang w:val="en-GB" w:eastAsia="zh-CN"/>
        </w:rPr>
        <w:t>information and communications technology</w:t>
      </w:r>
      <w:r w:rsidRPr="000E2036">
        <w:rPr>
          <w:rFonts w:eastAsia="ヒラギノ明朝 Pro W3"/>
          <w:sz w:val="22"/>
          <w:szCs w:val="22"/>
          <w:lang w:val="en-GB" w:eastAsia="zh-CN"/>
        </w:rPr>
        <w:t xml:space="preserve"> solutions. </w:t>
      </w:r>
      <w:r w:rsidR="00B924CB" w:rsidRPr="000E2036">
        <w:rPr>
          <w:rFonts w:eastAsia="ヒラギノ明朝 Pro W3"/>
          <w:sz w:val="22"/>
          <w:szCs w:val="22"/>
          <w:lang w:val="en-GB" w:eastAsia="zh-CN"/>
        </w:rPr>
        <w:t>The f</w:t>
      </w:r>
      <w:r w:rsidRPr="000E2036">
        <w:rPr>
          <w:rFonts w:eastAsia="ヒラギノ明朝 Pro W3"/>
          <w:sz w:val="22"/>
          <w:szCs w:val="22"/>
          <w:lang w:val="en-GB" w:eastAsia="zh-CN"/>
        </w:rPr>
        <w:t xml:space="preserve">ood and agribusiness division provided a variety of products </w:t>
      </w:r>
      <w:r w:rsidRPr="000E2036">
        <w:rPr>
          <w:rFonts w:eastAsia="ヒラギノ明朝 Pro W3"/>
          <w:sz w:val="22"/>
          <w:szCs w:val="22"/>
          <w:lang w:val="en-GB" w:eastAsia="zh-CN"/>
        </w:rPr>
        <w:lastRenderedPageBreak/>
        <w:t>and services, helping people live healthier</w:t>
      </w:r>
      <w:r w:rsidR="00B924CB" w:rsidRPr="000E2036">
        <w:rPr>
          <w:rFonts w:eastAsia="ヒラギノ明朝 Pro W3"/>
          <w:sz w:val="22"/>
          <w:szCs w:val="22"/>
          <w:lang w:val="en-GB" w:eastAsia="zh-CN"/>
        </w:rPr>
        <w:t xml:space="preserve"> lives</w:t>
      </w:r>
      <w:r w:rsidRPr="000E2036">
        <w:rPr>
          <w:rFonts w:eastAsia="ヒラギノ明朝 Pro W3"/>
          <w:sz w:val="22"/>
          <w:szCs w:val="22"/>
          <w:lang w:val="en-GB" w:eastAsia="zh-CN"/>
        </w:rPr>
        <w:t xml:space="preserve">. The Africa division drew on the networks and know-how developed in African nations to pursue business in a wide range of industries. </w:t>
      </w:r>
    </w:p>
    <w:p w14:paraId="053BDCF1" w14:textId="359582E4" w:rsidR="00F502BA" w:rsidRPr="000E2036" w:rsidRDefault="00F502BA" w:rsidP="003F3387">
      <w:pPr>
        <w:jc w:val="both"/>
        <w:rPr>
          <w:rFonts w:eastAsia="ヒラギノ明朝 Pro W3"/>
          <w:sz w:val="22"/>
          <w:szCs w:val="22"/>
          <w:lang w:val="en-GB" w:eastAsia="zh-CN"/>
        </w:rPr>
      </w:pPr>
    </w:p>
    <w:p w14:paraId="60A6F559" w14:textId="1B31F52E" w:rsidR="00F502BA" w:rsidRPr="000E2036" w:rsidRDefault="00B924CB" w:rsidP="005910BB">
      <w:pPr>
        <w:jc w:val="both"/>
        <w:rPr>
          <w:rFonts w:eastAsia="ヒラギノ明朝 Pro W3"/>
          <w:sz w:val="22"/>
          <w:szCs w:val="22"/>
          <w:lang w:val="en-GB" w:eastAsia="zh-CN"/>
        </w:rPr>
      </w:pPr>
      <w:r w:rsidRPr="000E2036">
        <w:rPr>
          <w:rFonts w:eastAsia="ヒラギノ明朝 Pro W3"/>
          <w:sz w:val="22"/>
          <w:szCs w:val="22"/>
          <w:lang w:val="en-GB" w:eastAsia="zh-CN"/>
        </w:rPr>
        <w:t xml:space="preserve">The </w:t>
      </w:r>
      <w:r w:rsidR="00F502BA" w:rsidRPr="000E2036">
        <w:rPr>
          <w:rFonts w:eastAsia="ヒラギノ明朝 Pro W3"/>
          <w:sz w:val="22"/>
          <w:szCs w:val="22"/>
          <w:lang w:val="en-GB" w:eastAsia="zh-CN"/>
        </w:rPr>
        <w:t xml:space="preserve">CFAO Group catered to </w:t>
      </w:r>
      <w:r w:rsidRPr="000E2036">
        <w:rPr>
          <w:rFonts w:eastAsia="ヒラギノ明朝 Pro W3"/>
          <w:sz w:val="22"/>
          <w:szCs w:val="22"/>
          <w:lang w:val="en-GB" w:eastAsia="zh-CN"/>
        </w:rPr>
        <w:t xml:space="preserve">a </w:t>
      </w:r>
      <w:r w:rsidR="00F502BA" w:rsidRPr="000E2036">
        <w:rPr>
          <w:rFonts w:eastAsia="ヒラギノ明朝 Pro W3"/>
          <w:sz w:val="22"/>
          <w:szCs w:val="22"/>
          <w:lang w:val="en-GB" w:eastAsia="zh-CN"/>
        </w:rPr>
        <w:t>demand for services</w:t>
      </w:r>
      <w:r w:rsidR="00021824">
        <w:rPr>
          <w:rFonts w:eastAsia="ヒラギノ明朝 Pro W3"/>
          <w:sz w:val="22"/>
          <w:szCs w:val="22"/>
          <w:lang w:val="en-GB" w:eastAsia="zh-CN"/>
        </w:rPr>
        <w:t>,</w:t>
      </w:r>
      <w:r w:rsidR="00F502BA" w:rsidRPr="000E2036">
        <w:rPr>
          <w:rFonts w:eastAsia="ヒラギノ明朝 Pro W3"/>
          <w:sz w:val="22"/>
          <w:szCs w:val="22"/>
          <w:lang w:val="en-GB" w:eastAsia="zh-CN"/>
        </w:rPr>
        <w:t xml:space="preserve"> equipment, </w:t>
      </w:r>
      <w:r w:rsidR="00021824">
        <w:rPr>
          <w:rFonts w:eastAsia="ヒラギノ明朝 Pro W3"/>
          <w:sz w:val="22"/>
          <w:szCs w:val="22"/>
          <w:lang w:val="en-GB" w:eastAsia="zh-CN"/>
        </w:rPr>
        <w:t>and</w:t>
      </w:r>
      <w:r w:rsidR="00F502BA" w:rsidRPr="000E2036">
        <w:rPr>
          <w:rFonts w:eastAsia="ヒラギノ明朝 Pro W3"/>
          <w:sz w:val="22"/>
          <w:szCs w:val="22"/>
          <w:lang w:val="en-GB" w:eastAsia="zh-CN"/>
        </w:rPr>
        <w:t xml:space="preserve"> health</w:t>
      </w:r>
      <w:r w:rsidR="005D73C7" w:rsidRPr="000E2036">
        <w:rPr>
          <w:rFonts w:eastAsia="ヒラギノ明朝 Pro W3"/>
          <w:sz w:val="22"/>
          <w:szCs w:val="22"/>
          <w:lang w:val="en-GB" w:eastAsia="zh-CN"/>
        </w:rPr>
        <w:t xml:space="preserve"> </w:t>
      </w:r>
      <w:r w:rsidR="00F502BA" w:rsidRPr="000E2036">
        <w:rPr>
          <w:rFonts w:eastAsia="ヒラギノ明朝 Pro W3"/>
          <w:sz w:val="22"/>
          <w:szCs w:val="22"/>
          <w:lang w:val="en-GB" w:eastAsia="zh-CN"/>
        </w:rPr>
        <w:t>care and consumer goods in Africa and the French overseas territories.</w:t>
      </w:r>
      <w:r w:rsidR="00F502BA" w:rsidRPr="000E2036">
        <w:rPr>
          <w:rStyle w:val="EndnoteReference"/>
          <w:rFonts w:eastAsia="ヒラギノ明朝 Pro W3"/>
          <w:sz w:val="22"/>
          <w:szCs w:val="22"/>
          <w:lang w:val="en-GB" w:eastAsia="zh-CN"/>
        </w:rPr>
        <w:endnoteReference w:id="36"/>
      </w:r>
      <w:r w:rsidR="00F502BA" w:rsidRPr="000E2036">
        <w:rPr>
          <w:rFonts w:eastAsia="ヒラギノ明朝 Pro W3"/>
          <w:sz w:val="22"/>
          <w:szCs w:val="22"/>
          <w:lang w:val="en-GB" w:eastAsia="zh-CN"/>
        </w:rPr>
        <w:t xml:space="preserve"> It also had </w:t>
      </w:r>
      <w:r w:rsidRPr="000E2036">
        <w:rPr>
          <w:rFonts w:eastAsia="ヒラギノ明朝 Pro W3"/>
          <w:sz w:val="22"/>
          <w:szCs w:val="22"/>
          <w:lang w:val="en-GB" w:eastAsia="zh-CN"/>
        </w:rPr>
        <w:t>a</w:t>
      </w:r>
      <w:r w:rsidR="00F502BA" w:rsidRPr="000E2036">
        <w:rPr>
          <w:rFonts w:eastAsia="ヒラギノ明朝 Pro W3"/>
          <w:sz w:val="22"/>
          <w:szCs w:val="22"/>
          <w:lang w:val="en-GB" w:eastAsia="zh-CN"/>
        </w:rPr>
        <w:t xml:space="preserve"> similar business in the seven divisions.</w:t>
      </w:r>
      <w:r w:rsidR="00F502BA" w:rsidRPr="000E2036">
        <w:rPr>
          <w:rStyle w:val="EndnoteReference"/>
          <w:rFonts w:eastAsia="ヒラギノ明朝 Pro W3"/>
          <w:sz w:val="22"/>
          <w:szCs w:val="22"/>
          <w:lang w:val="en-GB" w:eastAsia="zh-CN"/>
        </w:rPr>
        <w:endnoteReference w:id="37"/>
      </w:r>
      <w:r w:rsidR="00F502BA" w:rsidRPr="000E2036">
        <w:rPr>
          <w:rFonts w:eastAsia="ヒラギノ明朝 Pro W3"/>
          <w:sz w:val="22"/>
          <w:szCs w:val="22"/>
          <w:lang w:val="en-GB" w:eastAsia="zh-CN"/>
        </w:rPr>
        <w:t xml:space="preserve"> The automotive equipment and services division sold and serviced a complete range of light and heavy vehicles with </w:t>
      </w:r>
      <w:r w:rsidRPr="000E2036">
        <w:rPr>
          <w:rFonts w:eastAsia="ヒラギノ明朝 Pro W3"/>
          <w:sz w:val="22"/>
          <w:szCs w:val="22"/>
          <w:lang w:val="en-GB" w:eastAsia="zh-CN"/>
        </w:rPr>
        <w:t>53</w:t>
      </w:r>
      <w:r w:rsidR="005D73C7" w:rsidRPr="000E2036">
        <w:rPr>
          <w:rFonts w:eastAsia="ヒラギノ明朝 Pro W3"/>
          <w:sz w:val="22"/>
          <w:szCs w:val="22"/>
          <w:lang w:val="en-GB" w:eastAsia="zh-CN"/>
        </w:rPr>
        <w:t xml:space="preserve"> </w:t>
      </w:r>
      <w:r w:rsidR="00F502BA" w:rsidRPr="000E2036">
        <w:rPr>
          <w:rFonts w:eastAsia="ヒラギノ明朝 Pro W3"/>
          <w:sz w:val="22"/>
          <w:szCs w:val="22"/>
          <w:lang w:val="en-GB" w:eastAsia="zh-CN"/>
        </w:rPr>
        <w:t xml:space="preserve">globally renowned brands through a lasting relationship with leading automakers and an extensive market network in Africa. CFAO was present in </w:t>
      </w:r>
      <w:r w:rsidRPr="000E2036">
        <w:rPr>
          <w:rFonts w:eastAsia="ヒラギノ明朝 Pro W3"/>
          <w:sz w:val="22"/>
          <w:szCs w:val="22"/>
          <w:lang w:val="en-GB" w:eastAsia="zh-CN"/>
        </w:rPr>
        <w:t>34</w:t>
      </w:r>
      <w:r w:rsidR="00F502BA" w:rsidRPr="000E2036">
        <w:rPr>
          <w:rFonts w:eastAsia="ヒラギノ明朝 Pro W3"/>
          <w:sz w:val="22"/>
          <w:szCs w:val="22"/>
          <w:lang w:val="en-GB" w:eastAsia="zh-CN"/>
        </w:rPr>
        <w:t xml:space="preserve"> countries in Africa, three French overseas territories (French Guiana, New Caledonia</w:t>
      </w:r>
      <w:r w:rsidRPr="000E2036">
        <w:rPr>
          <w:rFonts w:eastAsia="ヒラギノ明朝 Pro W3"/>
          <w:sz w:val="22"/>
          <w:szCs w:val="22"/>
          <w:lang w:val="en-GB" w:eastAsia="zh-CN"/>
        </w:rPr>
        <w:t>,</w:t>
      </w:r>
      <w:r w:rsidR="00F502BA" w:rsidRPr="000E2036">
        <w:rPr>
          <w:rFonts w:eastAsia="ヒラギノ明朝 Pro W3"/>
          <w:sz w:val="22"/>
          <w:szCs w:val="22"/>
          <w:lang w:val="en-GB" w:eastAsia="zh-CN"/>
        </w:rPr>
        <w:t xml:space="preserve"> and Reunion), Vietnam, and Cambodia.</w:t>
      </w:r>
      <w:r w:rsidR="00F502BA" w:rsidRPr="000E2036">
        <w:rPr>
          <w:rStyle w:val="EndnoteReference"/>
          <w:rFonts w:eastAsia="ヒラギノ明朝 Pro W3"/>
          <w:sz w:val="22"/>
          <w:szCs w:val="22"/>
          <w:lang w:val="en-GB" w:eastAsia="zh-CN"/>
        </w:rPr>
        <w:endnoteReference w:id="38"/>
      </w:r>
      <w:r w:rsidR="00F502BA" w:rsidRPr="000E2036">
        <w:rPr>
          <w:rFonts w:eastAsia="ヒラギノ明朝 Pro W3"/>
          <w:sz w:val="22"/>
          <w:szCs w:val="22"/>
          <w:lang w:val="en-GB" w:eastAsia="zh-CN"/>
        </w:rPr>
        <w:t xml:space="preserve"> This division also responded to the expansion of infrastructure, increasing urbanization, and growing mining and farming industries through its equipment business in eight African countries.</w:t>
      </w:r>
    </w:p>
    <w:p w14:paraId="19B33C34" w14:textId="77777777" w:rsidR="00F502BA" w:rsidRPr="000E2036" w:rsidRDefault="00F502BA" w:rsidP="00EB0983">
      <w:pPr>
        <w:jc w:val="both"/>
        <w:rPr>
          <w:rFonts w:eastAsia="ヒラギノ明朝 Pro W3"/>
          <w:sz w:val="22"/>
          <w:szCs w:val="22"/>
          <w:lang w:val="en-GB" w:eastAsia="zh-CN"/>
        </w:rPr>
      </w:pPr>
    </w:p>
    <w:p w14:paraId="0CA6EFC1" w14:textId="6F3DA840" w:rsidR="00F502BA" w:rsidRPr="000E2036" w:rsidRDefault="00F502BA" w:rsidP="00EA61E8">
      <w:pPr>
        <w:jc w:val="both"/>
        <w:rPr>
          <w:rFonts w:eastAsia="ヒラギノ明朝 Pro W3"/>
          <w:sz w:val="22"/>
          <w:szCs w:val="22"/>
          <w:lang w:val="en-GB" w:eastAsia="zh-CN"/>
        </w:rPr>
      </w:pPr>
      <w:r w:rsidRPr="000E2036">
        <w:rPr>
          <w:rFonts w:eastAsia="ヒラギノ明朝 Pro W3"/>
          <w:sz w:val="22"/>
          <w:szCs w:val="22"/>
          <w:lang w:val="en-GB" w:eastAsia="zh-CN"/>
        </w:rPr>
        <w:t xml:space="preserve">For non-automotive businesses, the Eurapharma </w:t>
      </w:r>
      <w:r w:rsidR="00B924CB" w:rsidRPr="000E2036">
        <w:rPr>
          <w:rFonts w:eastAsia="ヒラギノ明朝 Pro W3"/>
          <w:sz w:val="22"/>
          <w:szCs w:val="22"/>
          <w:lang w:val="en-GB" w:eastAsia="zh-CN"/>
        </w:rPr>
        <w:t>division</w:t>
      </w:r>
      <w:r w:rsidRPr="000E2036">
        <w:rPr>
          <w:rFonts w:eastAsia="ヒラギノ明朝 Pro W3"/>
          <w:sz w:val="22"/>
          <w:szCs w:val="22"/>
          <w:lang w:val="en-GB" w:eastAsia="zh-CN"/>
        </w:rPr>
        <w:t xml:space="preserve"> had over </w:t>
      </w:r>
      <w:r w:rsidR="00B924CB" w:rsidRPr="000E2036">
        <w:rPr>
          <w:rFonts w:eastAsia="ヒラギノ明朝 Pro W3"/>
          <w:sz w:val="22"/>
          <w:szCs w:val="22"/>
          <w:lang w:val="en-GB" w:eastAsia="zh-CN"/>
        </w:rPr>
        <w:t>60</w:t>
      </w:r>
      <w:r w:rsidRPr="000E2036">
        <w:rPr>
          <w:rFonts w:eastAsia="ヒラギノ明朝 Pro W3"/>
          <w:sz w:val="22"/>
          <w:szCs w:val="22"/>
          <w:lang w:val="en-GB" w:eastAsia="zh-CN"/>
        </w:rPr>
        <w:t xml:space="preserve"> years of experience in pharmaceutical distribution and was among the largest pharmaceutical distributors in Africa and French overseas territories, offering a unique range of services to both upstream </w:t>
      </w:r>
      <w:r w:rsidR="00B924CB" w:rsidRPr="000E2036">
        <w:rPr>
          <w:rFonts w:eastAsia="ヒラギノ明朝 Pro W3"/>
          <w:sz w:val="22"/>
          <w:szCs w:val="22"/>
          <w:lang w:val="en-GB" w:eastAsia="zh-CN"/>
        </w:rPr>
        <w:t xml:space="preserve">clients </w:t>
      </w:r>
      <w:r w:rsidR="00021824">
        <w:rPr>
          <w:rFonts w:eastAsia="ヒラギノ明朝 Pro W3"/>
          <w:sz w:val="22"/>
          <w:szCs w:val="22"/>
          <w:lang w:val="en-GB" w:eastAsia="zh-CN"/>
        </w:rPr>
        <w:t>such as</w:t>
      </w:r>
      <w:r w:rsidRPr="000E2036">
        <w:rPr>
          <w:rFonts w:eastAsia="ヒラギノ明朝 Pro W3"/>
          <w:sz w:val="22"/>
          <w:szCs w:val="22"/>
          <w:lang w:val="en-GB" w:eastAsia="zh-CN"/>
        </w:rPr>
        <w:t xml:space="preserve"> laboratories and downstream </w:t>
      </w:r>
      <w:r w:rsidR="00B924CB" w:rsidRPr="000E2036">
        <w:rPr>
          <w:rFonts w:eastAsia="ヒラギノ明朝 Pro W3"/>
          <w:sz w:val="22"/>
          <w:szCs w:val="22"/>
          <w:lang w:val="en-GB" w:eastAsia="zh-CN"/>
        </w:rPr>
        <w:t xml:space="preserve">customers </w:t>
      </w:r>
      <w:r w:rsidR="00021824">
        <w:rPr>
          <w:rFonts w:eastAsia="ヒラギノ明朝 Pro W3"/>
          <w:sz w:val="22"/>
          <w:szCs w:val="22"/>
          <w:lang w:val="en-GB" w:eastAsia="zh-CN"/>
        </w:rPr>
        <w:t>such as</w:t>
      </w:r>
      <w:r w:rsidRPr="000E2036">
        <w:rPr>
          <w:rFonts w:eastAsia="ヒラギノ明朝 Pro W3"/>
          <w:sz w:val="22"/>
          <w:szCs w:val="22"/>
          <w:lang w:val="en-GB" w:eastAsia="zh-CN"/>
        </w:rPr>
        <w:t xml:space="preserve"> pharmacists.</w:t>
      </w:r>
      <w:r w:rsidRPr="000E2036">
        <w:rPr>
          <w:rStyle w:val="EndnoteReference"/>
          <w:rFonts w:eastAsia="ヒラギノ明朝 Pro W3"/>
          <w:sz w:val="22"/>
          <w:szCs w:val="22"/>
          <w:lang w:val="en-GB" w:eastAsia="zh-CN"/>
        </w:rPr>
        <w:endnoteReference w:id="39"/>
      </w:r>
      <w:r w:rsidRPr="000E2036">
        <w:rPr>
          <w:rFonts w:eastAsia="ヒラギノ明朝 Pro W3"/>
          <w:sz w:val="22"/>
          <w:szCs w:val="22"/>
          <w:lang w:val="en-GB" w:eastAsia="zh-CN"/>
        </w:rPr>
        <w:t xml:space="preserve"> The fast-moving consumer goods and agricultural division distributed and produced consumer goods, including beverages, writing instruments, shaving products</w:t>
      </w:r>
      <w:r w:rsidR="00B65B49" w:rsidRPr="000E2036">
        <w:rPr>
          <w:rFonts w:eastAsia="ヒラギノ明朝 Pro W3"/>
          <w:sz w:val="22"/>
          <w:szCs w:val="22"/>
          <w:lang w:val="en-GB" w:eastAsia="zh-CN"/>
        </w:rPr>
        <w:t>,</w:t>
      </w:r>
      <w:r w:rsidRPr="000E2036">
        <w:rPr>
          <w:rFonts w:eastAsia="ヒラギノ明朝 Pro W3"/>
          <w:sz w:val="22"/>
          <w:szCs w:val="22"/>
          <w:lang w:val="en-GB" w:eastAsia="zh-CN"/>
        </w:rPr>
        <w:t xml:space="preserve"> and cosmetics</w:t>
      </w:r>
      <w:r w:rsidR="00021824">
        <w:rPr>
          <w:rFonts w:eastAsia="ヒラギノ明朝 Pro W3"/>
          <w:sz w:val="22"/>
          <w:szCs w:val="22"/>
          <w:lang w:val="en-GB" w:eastAsia="zh-CN"/>
        </w:rPr>
        <w:t>,</w:t>
      </w:r>
      <w:r w:rsidR="00021824" w:rsidRPr="000E2036">
        <w:rPr>
          <w:rFonts w:eastAsia="ヒラギノ明朝 Pro W3"/>
          <w:sz w:val="22"/>
          <w:szCs w:val="22"/>
          <w:lang w:val="en-GB" w:eastAsia="zh-CN"/>
        </w:rPr>
        <w:t xml:space="preserve"> throughout Africa</w:t>
      </w:r>
      <w:r w:rsidRPr="000E2036">
        <w:rPr>
          <w:rFonts w:eastAsia="ヒラギノ明朝 Pro W3"/>
          <w:sz w:val="22"/>
          <w:szCs w:val="22"/>
          <w:lang w:val="en-GB" w:eastAsia="zh-CN"/>
        </w:rPr>
        <w:t>.</w:t>
      </w:r>
      <w:r w:rsidRPr="000E2036">
        <w:rPr>
          <w:rStyle w:val="EndnoteReference"/>
          <w:rFonts w:eastAsia="ヒラギノ明朝 Pro W3"/>
          <w:sz w:val="22"/>
          <w:szCs w:val="22"/>
          <w:lang w:val="en-GB" w:eastAsia="zh-CN"/>
        </w:rPr>
        <w:endnoteReference w:id="40"/>
      </w:r>
      <w:r w:rsidRPr="000E2036">
        <w:rPr>
          <w:rFonts w:eastAsia="ヒラギノ明朝 Pro W3"/>
          <w:sz w:val="22"/>
          <w:szCs w:val="22"/>
          <w:lang w:val="en-GB" w:eastAsia="zh-CN"/>
        </w:rPr>
        <w:t xml:space="preserve"> The retail division responded to the emerging African consumer market through a </w:t>
      </w:r>
      <w:r w:rsidR="005D73C7" w:rsidRPr="000E2036">
        <w:rPr>
          <w:rFonts w:eastAsia="ヒラギノ明朝 Pro W3"/>
          <w:sz w:val="22"/>
          <w:szCs w:val="22"/>
          <w:lang w:val="en-GB" w:eastAsia="zh-CN"/>
        </w:rPr>
        <w:t xml:space="preserve">network of </w:t>
      </w:r>
      <w:r w:rsidRPr="000E2036">
        <w:rPr>
          <w:rFonts w:eastAsia="ヒラギノ明朝 Pro W3"/>
          <w:sz w:val="22"/>
          <w:szCs w:val="22"/>
          <w:lang w:val="en-GB" w:eastAsia="zh-CN"/>
        </w:rPr>
        <w:t>localized shopping centr</w:t>
      </w:r>
      <w:r w:rsidR="005D73C7" w:rsidRPr="000E2036">
        <w:rPr>
          <w:rFonts w:eastAsia="ヒラギノ明朝 Pro W3"/>
          <w:sz w:val="22"/>
          <w:szCs w:val="22"/>
          <w:lang w:val="en-GB" w:eastAsia="zh-CN"/>
        </w:rPr>
        <w:t>e</w:t>
      </w:r>
      <w:r w:rsidRPr="000E2036">
        <w:rPr>
          <w:rFonts w:eastAsia="ヒラギノ明朝 Pro W3"/>
          <w:sz w:val="22"/>
          <w:szCs w:val="22"/>
          <w:lang w:val="en-GB" w:eastAsia="zh-CN"/>
        </w:rPr>
        <w:t xml:space="preserve">s </w:t>
      </w:r>
      <w:r w:rsidR="00021824">
        <w:rPr>
          <w:rFonts w:eastAsia="ヒラギノ明朝 Pro W3"/>
          <w:sz w:val="22"/>
          <w:szCs w:val="22"/>
          <w:lang w:val="en-GB" w:eastAsia="zh-CN"/>
        </w:rPr>
        <w:t>and</w:t>
      </w:r>
      <w:r w:rsidR="00021824" w:rsidRPr="000E2036">
        <w:rPr>
          <w:rFonts w:eastAsia="ヒラギノ明朝 Pro W3"/>
          <w:sz w:val="22"/>
          <w:szCs w:val="22"/>
          <w:lang w:val="en-GB" w:eastAsia="zh-CN"/>
        </w:rPr>
        <w:t xml:space="preserve"> </w:t>
      </w:r>
      <w:r w:rsidRPr="000E2036">
        <w:rPr>
          <w:rFonts w:eastAsia="ヒラギノ明朝 Pro W3"/>
          <w:sz w:val="22"/>
          <w:szCs w:val="22"/>
          <w:lang w:val="en-GB" w:eastAsia="zh-CN"/>
        </w:rPr>
        <w:t>plans to construct shopping centr</w:t>
      </w:r>
      <w:r w:rsidR="005D73C7" w:rsidRPr="000E2036">
        <w:rPr>
          <w:rFonts w:eastAsia="ヒラギノ明朝 Pro W3"/>
          <w:sz w:val="22"/>
          <w:szCs w:val="22"/>
          <w:lang w:val="en-GB" w:eastAsia="zh-CN"/>
        </w:rPr>
        <w:t>e</w:t>
      </w:r>
      <w:r w:rsidRPr="000E2036">
        <w:rPr>
          <w:rFonts w:eastAsia="ヒラギノ明朝 Pro W3"/>
          <w:sz w:val="22"/>
          <w:szCs w:val="22"/>
          <w:lang w:val="en-GB" w:eastAsia="zh-CN"/>
        </w:rPr>
        <w:t>s in partnership with Carrefour.</w:t>
      </w:r>
      <w:r w:rsidRPr="000E2036">
        <w:rPr>
          <w:rStyle w:val="EndnoteReference"/>
          <w:rFonts w:eastAsia="ヒラギノ明朝 Pro W3"/>
          <w:sz w:val="22"/>
          <w:szCs w:val="22"/>
          <w:lang w:val="en-GB" w:eastAsia="zh-CN"/>
        </w:rPr>
        <w:endnoteReference w:id="41"/>
      </w:r>
      <w:r w:rsidRPr="000E2036">
        <w:rPr>
          <w:rFonts w:eastAsia="ヒラギノ明朝 Pro W3"/>
          <w:sz w:val="22"/>
          <w:szCs w:val="22"/>
          <w:lang w:val="en-GB" w:eastAsia="zh-CN"/>
        </w:rPr>
        <w:t xml:space="preserve"> The technologies division supplied integrated </w:t>
      </w:r>
      <w:r w:rsidR="00B65B49" w:rsidRPr="000E2036">
        <w:rPr>
          <w:rFonts w:eastAsia="ヒラギノ明朝 Pro W3"/>
          <w:sz w:val="22"/>
          <w:szCs w:val="22"/>
          <w:lang w:val="en-GB" w:eastAsia="zh-CN"/>
        </w:rPr>
        <w:t>information technology</w:t>
      </w:r>
      <w:r w:rsidRPr="000E2036">
        <w:rPr>
          <w:rFonts w:eastAsia="ヒラギノ明朝 Pro W3"/>
          <w:sz w:val="22"/>
          <w:szCs w:val="22"/>
          <w:lang w:val="en-GB" w:eastAsia="zh-CN"/>
        </w:rPr>
        <w:t xml:space="preserve"> products and services, including telecommunications systems, workstation and </w:t>
      </w:r>
      <w:r w:rsidR="00B65B49" w:rsidRPr="000E2036">
        <w:rPr>
          <w:rFonts w:eastAsia="ヒラギノ明朝 Pro W3"/>
          <w:sz w:val="22"/>
          <w:szCs w:val="22"/>
          <w:lang w:val="en-GB" w:eastAsia="zh-CN"/>
        </w:rPr>
        <w:t>automated teller machine</w:t>
      </w:r>
      <w:r w:rsidRPr="000E2036">
        <w:rPr>
          <w:rFonts w:eastAsia="ヒラギノ明朝 Pro W3"/>
          <w:sz w:val="22"/>
          <w:szCs w:val="22"/>
          <w:lang w:val="en-GB" w:eastAsia="zh-CN"/>
        </w:rPr>
        <w:t xml:space="preserve"> services, and radio communication operator services.</w:t>
      </w:r>
      <w:r w:rsidRPr="000E2036">
        <w:rPr>
          <w:rStyle w:val="EndnoteReference"/>
          <w:rFonts w:eastAsia="ヒラギノ明朝 Pro W3"/>
          <w:sz w:val="22"/>
          <w:szCs w:val="22"/>
          <w:lang w:val="en-GB" w:eastAsia="zh-CN"/>
        </w:rPr>
        <w:endnoteReference w:id="42"/>
      </w:r>
      <w:r w:rsidRPr="000E2036">
        <w:rPr>
          <w:rFonts w:eastAsia="ヒラギノ明朝 Pro W3"/>
          <w:sz w:val="22"/>
          <w:szCs w:val="22"/>
          <w:lang w:val="en-GB" w:eastAsia="zh-CN"/>
        </w:rPr>
        <w:t xml:space="preserve"> The energy section </w:t>
      </w:r>
      <w:r w:rsidR="00B65B49" w:rsidRPr="000E2036">
        <w:rPr>
          <w:rFonts w:eastAsia="ヒラギノ明朝 Pro W3"/>
          <w:sz w:val="22"/>
          <w:szCs w:val="22"/>
          <w:lang w:val="en-GB" w:eastAsia="zh-CN"/>
        </w:rPr>
        <w:t xml:space="preserve">was </w:t>
      </w:r>
      <w:r w:rsidRPr="000E2036">
        <w:rPr>
          <w:rFonts w:eastAsia="ヒラギノ明朝 Pro W3"/>
          <w:sz w:val="22"/>
          <w:szCs w:val="22"/>
          <w:lang w:val="en-GB" w:eastAsia="zh-CN"/>
        </w:rPr>
        <w:t xml:space="preserve">involved in renewable energies </w:t>
      </w:r>
      <w:r w:rsidR="00B65B49" w:rsidRPr="000E2036">
        <w:rPr>
          <w:rFonts w:eastAsia="ヒラギノ明朝 Pro W3"/>
          <w:sz w:val="22"/>
          <w:szCs w:val="22"/>
          <w:lang w:val="en-GB" w:eastAsia="zh-CN"/>
        </w:rPr>
        <w:t>such as</w:t>
      </w:r>
      <w:r w:rsidRPr="000E2036">
        <w:rPr>
          <w:rFonts w:eastAsia="ヒラギノ明朝 Pro W3"/>
          <w:sz w:val="22"/>
          <w:szCs w:val="22"/>
          <w:lang w:val="en-GB" w:eastAsia="zh-CN"/>
        </w:rPr>
        <w:t xml:space="preserve"> geothermal power plants in Kenya.</w:t>
      </w:r>
      <w:r w:rsidRPr="000E2036">
        <w:rPr>
          <w:rStyle w:val="EndnoteReference"/>
          <w:rFonts w:eastAsia="ヒラギノ明朝 Pro W3"/>
          <w:sz w:val="22"/>
          <w:szCs w:val="22"/>
          <w:lang w:val="en-GB" w:eastAsia="zh-CN"/>
        </w:rPr>
        <w:endnoteReference w:id="43"/>
      </w:r>
      <w:r w:rsidRPr="000E2036">
        <w:rPr>
          <w:rFonts w:eastAsia="ヒラギノ明朝 Pro W3"/>
          <w:sz w:val="22"/>
          <w:szCs w:val="22"/>
          <w:lang w:val="en-GB" w:eastAsia="zh-CN"/>
        </w:rPr>
        <w:t xml:space="preserve"> The production support division provided specialized and tailored supply chain solutions for a wide range of products and services in South Africa.</w:t>
      </w:r>
      <w:r w:rsidRPr="000E2036">
        <w:rPr>
          <w:rStyle w:val="EndnoteReference"/>
          <w:rFonts w:eastAsia="ヒラギノ明朝 Pro W3"/>
          <w:sz w:val="22"/>
          <w:szCs w:val="22"/>
          <w:lang w:val="en-GB" w:eastAsia="zh-CN"/>
        </w:rPr>
        <w:endnoteReference w:id="44"/>
      </w:r>
    </w:p>
    <w:p w14:paraId="50A1278E" w14:textId="77777777" w:rsidR="00F502BA" w:rsidRPr="000E2036" w:rsidRDefault="00F502BA" w:rsidP="000E4F83">
      <w:pPr>
        <w:jc w:val="both"/>
        <w:rPr>
          <w:rFonts w:eastAsia="ヒラギノ明朝 Pro W3"/>
          <w:sz w:val="22"/>
          <w:szCs w:val="22"/>
          <w:lang w:val="en-GB" w:eastAsia="zh-CN"/>
        </w:rPr>
      </w:pPr>
    </w:p>
    <w:p w14:paraId="517747B4" w14:textId="77777777" w:rsidR="00F502BA" w:rsidRPr="000E2036" w:rsidRDefault="00F502BA" w:rsidP="000E4F83">
      <w:pPr>
        <w:jc w:val="both"/>
        <w:rPr>
          <w:rFonts w:eastAsia="ヒラギノ明朝 Pro W3"/>
          <w:sz w:val="22"/>
          <w:szCs w:val="22"/>
          <w:lang w:val="en-GB" w:eastAsia="zh-CN"/>
        </w:rPr>
      </w:pPr>
    </w:p>
    <w:p w14:paraId="55F389B0" w14:textId="77777777" w:rsidR="00F502BA" w:rsidRPr="000E2036" w:rsidRDefault="00F502BA" w:rsidP="000E4F83">
      <w:pPr>
        <w:jc w:val="both"/>
        <w:rPr>
          <w:rFonts w:ascii="Arial" w:eastAsia="ヒラギノ明朝 Pro W3" w:hAnsi="Arial"/>
          <w:b/>
          <w:lang w:val="en-GB" w:eastAsia="zh-CN"/>
        </w:rPr>
      </w:pPr>
      <w:r w:rsidRPr="001741D1">
        <w:rPr>
          <w:rFonts w:ascii="Arial" w:eastAsia="ヒラギノ明朝 Pro W3" w:hAnsi="Arial"/>
          <w:b/>
          <w:lang w:val="en-GB" w:eastAsia="zh-CN"/>
        </w:rPr>
        <w:t>THE COMPETITION</w:t>
      </w:r>
    </w:p>
    <w:p w14:paraId="49EB6D96" w14:textId="77777777" w:rsidR="00F502BA" w:rsidRPr="000E2036" w:rsidRDefault="00F502BA" w:rsidP="000E4F83">
      <w:pPr>
        <w:jc w:val="both"/>
        <w:rPr>
          <w:rFonts w:eastAsia="ヒラギノ明朝 Pro W3"/>
          <w:sz w:val="22"/>
          <w:szCs w:val="22"/>
          <w:lang w:val="en-GB" w:eastAsia="zh-CN"/>
        </w:rPr>
      </w:pPr>
    </w:p>
    <w:p w14:paraId="4DB05D16" w14:textId="41B2C523" w:rsidR="00F502BA" w:rsidRPr="000E2036" w:rsidRDefault="00F502BA" w:rsidP="000E4F83">
      <w:pPr>
        <w:jc w:val="both"/>
        <w:rPr>
          <w:rFonts w:eastAsia="ヒラギノ明朝 Pro W3"/>
          <w:sz w:val="22"/>
          <w:szCs w:val="22"/>
          <w:lang w:val="en-GB" w:eastAsia="zh-CN"/>
        </w:rPr>
      </w:pPr>
      <w:r w:rsidRPr="000E2036">
        <w:rPr>
          <w:rFonts w:eastAsia="ヒラギノ明朝 Pro W3"/>
          <w:sz w:val="22"/>
          <w:szCs w:val="22"/>
          <w:lang w:val="en-GB" w:eastAsia="zh-CN"/>
        </w:rPr>
        <w:t>The African countries in which CFAO operated were experiencing growth</w:t>
      </w:r>
      <w:r w:rsidR="00BE72A4" w:rsidRPr="000E2036">
        <w:rPr>
          <w:rFonts w:eastAsia="ヒラギノ明朝 Pro W3"/>
          <w:sz w:val="22"/>
          <w:szCs w:val="22"/>
          <w:lang w:val="en-GB" w:eastAsia="zh-CN"/>
        </w:rPr>
        <w:t>,</w:t>
      </w:r>
      <w:r w:rsidRPr="000E2036">
        <w:rPr>
          <w:rFonts w:eastAsia="ヒラギノ明朝 Pro W3"/>
          <w:sz w:val="22"/>
          <w:szCs w:val="22"/>
          <w:lang w:val="en-GB" w:eastAsia="zh-CN"/>
        </w:rPr>
        <w:t xml:space="preserve"> while some economies had entered a mature phase.</w:t>
      </w:r>
      <w:r w:rsidRPr="000E2036">
        <w:rPr>
          <w:rStyle w:val="EndnoteReference"/>
          <w:rFonts w:eastAsia="ヒラギノ明朝 Pro W3"/>
          <w:sz w:val="22"/>
          <w:szCs w:val="22"/>
          <w:lang w:val="en-GB" w:eastAsia="zh-CN"/>
        </w:rPr>
        <w:endnoteReference w:id="45"/>
      </w:r>
      <w:r w:rsidRPr="000E2036">
        <w:rPr>
          <w:rFonts w:eastAsia="ヒラギノ明朝 Pro W3"/>
          <w:sz w:val="22"/>
          <w:szCs w:val="22"/>
          <w:lang w:val="en-GB" w:eastAsia="zh-CN"/>
        </w:rPr>
        <w:t xml:space="preserve"> This mixed economic situation attracted a wide variety of manufacturers of all sorts of goods to the continent. New distributors were constantly trying to penetrate the market</w:t>
      </w:r>
      <w:r w:rsidR="00BE72A4" w:rsidRPr="000E2036">
        <w:rPr>
          <w:rFonts w:eastAsia="ヒラギノ明朝 Pro W3"/>
          <w:sz w:val="22"/>
          <w:szCs w:val="22"/>
          <w:lang w:val="en-GB" w:eastAsia="zh-CN"/>
        </w:rPr>
        <w:t>. I</w:t>
      </w:r>
      <w:r w:rsidRPr="000E2036">
        <w:rPr>
          <w:rFonts w:eastAsia="ヒラギノ明朝 Pro W3"/>
          <w:sz w:val="22"/>
          <w:szCs w:val="22"/>
          <w:lang w:val="en-GB" w:eastAsia="zh-CN"/>
        </w:rPr>
        <w:t>n certain cases, manufacturers began to distribute their own products directly or through wholly</w:t>
      </w:r>
      <w:r w:rsidR="00B01C3A">
        <w:rPr>
          <w:rFonts w:eastAsia="ヒラギノ明朝 Pro W3"/>
          <w:sz w:val="22"/>
          <w:szCs w:val="22"/>
          <w:lang w:val="en-GB" w:eastAsia="zh-CN"/>
        </w:rPr>
        <w:t xml:space="preserve"> </w:t>
      </w:r>
      <w:r w:rsidRPr="000E2036">
        <w:rPr>
          <w:rFonts w:eastAsia="ヒラギノ明朝 Pro W3"/>
          <w:sz w:val="22"/>
          <w:szCs w:val="22"/>
          <w:lang w:val="en-GB" w:eastAsia="zh-CN"/>
        </w:rPr>
        <w:t xml:space="preserve">owned </w:t>
      </w:r>
      <w:r w:rsidR="00C81BBD" w:rsidRPr="000E2036">
        <w:rPr>
          <w:rFonts w:eastAsia="ヒラギノ明朝 Pro W3"/>
          <w:sz w:val="22"/>
          <w:szCs w:val="22"/>
          <w:lang w:val="en-GB" w:eastAsia="zh-CN"/>
        </w:rPr>
        <w:t>subsidiar</w:t>
      </w:r>
      <w:r w:rsidR="00C81BBD">
        <w:rPr>
          <w:rFonts w:eastAsia="ヒラギノ明朝 Pro W3"/>
          <w:sz w:val="22"/>
          <w:szCs w:val="22"/>
          <w:lang w:val="en-GB" w:eastAsia="zh-CN"/>
        </w:rPr>
        <w:t>ies</w:t>
      </w:r>
      <w:r w:rsidRPr="000E2036">
        <w:rPr>
          <w:rFonts w:eastAsia="ヒラギノ明朝 Pro W3"/>
          <w:sz w:val="22"/>
          <w:szCs w:val="22"/>
          <w:lang w:val="en-GB" w:eastAsia="zh-CN"/>
        </w:rPr>
        <w:t>. These phenomena all served to intensify competition in the African market in general.</w:t>
      </w:r>
    </w:p>
    <w:p w14:paraId="2B47A606" w14:textId="77777777" w:rsidR="00F502BA" w:rsidRPr="000E2036" w:rsidRDefault="00F502BA" w:rsidP="000E4F83">
      <w:pPr>
        <w:jc w:val="both"/>
        <w:rPr>
          <w:rFonts w:eastAsia="ヒラギノ明朝 Pro W3"/>
          <w:sz w:val="22"/>
          <w:szCs w:val="22"/>
          <w:lang w:val="en-GB" w:eastAsia="zh-CN"/>
        </w:rPr>
      </w:pPr>
    </w:p>
    <w:p w14:paraId="327DD01E" w14:textId="4DFCC94F" w:rsidR="00F502BA" w:rsidRPr="000E2036" w:rsidRDefault="00BE7A98" w:rsidP="000E4F83">
      <w:pPr>
        <w:jc w:val="both"/>
        <w:rPr>
          <w:rFonts w:eastAsia="ヒラギノ明朝 Pro W3"/>
          <w:sz w:val="22"/>
          <w:szCs w:val="22"/>
          <w:lang w:val="en-GB" w:eastAsia="zh-CN"/>
        </w:rPr>
      </w:pPr>
      <w:r w:rsidRPr="000E2036">
        <w:rPr>
          <w:rFonts w:eastAsia="ヒラギノ明朝 Pro W3"/>
          <w:sz w:val="22"/>
          <w:szCs w:val="22"/>
          <w:lang w:val="en-GB" w:eastAsia="zh-CN"/>
        </w:rPr>
        <w:t>In</w:t>
      </w:r>
      <w:r w:rsidR="00F502BA" w:rsidRPr="000E2036">
        <w:rPr>
          <w:rFonts w:eastAsia="ヒラギノ明朝 Pro W3"/>
          <w:sz w:val="22"/>
          <w:szCs w:val="22"/>
          <w:lang w:val="en-GB" w:eastAsia="zh-CN"/>
        </w:rPr>
        <w:t xml:space="preserve"> the automotive sector, 2013</w:t>
      </w:r>
      <w:r w:rsidRPr="000E2036">
        <w:rPr>
          <w:rFonts w:eastAsia="ヒラギノ明朝 Pro W3"/>
          <w:sz w:val="22"/>
          <w:szCs w:val="22"/>
          <w:lang w:val="en-GB" w:eastAsia="zh-CN"/>
        </w:rPr>
        <w:t xml:space="preserve"> saw various</w:t>
      </w:r>
      <w:r w:rsidR="00F502BA" w:rsidRPr="000E2036">
        <w:rPr>
          <w:rFonts w:eastAsia="ヒラギノ明朝 Pro W3"/>
          <w:sz w:val="22"/>
          <w:szCs w:val="22"/>
          <w:lang w:val="en-GB" w:eastAsia="zh-CN"/>
        </w:rPr>
        <w:t xml:space="preserve"> major Asian automotive manufacturers</w:t>
      </w:r>
      <w:r w:rsidRPr="000E2036">
        <w:rPr>
          <w:rFonts w:eastAsia="ヒラギノ明朝 Pro W3"/>
          <w:sz w:val="22"/>
          <w:szCs w:val="22"/>
          <w:lang w:val="en-GB" w:eastAsia="zh-CN"/>
        </w:rPr>
        <w:t xml:space="preserve"> gain a dominant presence in the eastern, southern, and western parts of Africa</w:t>
      </w:r>
      <w:r w:rsidR="00C81BBD">
        <w:rPr>
          <w:rFonts w:eastAsia="ヒラギノ明朝 Pro W3"/>
          <w:sz w:val="22"/>
          <w:szCs w:val="22"/>
          <w:lang w:val="en-GB" w:eastAsia="zh-CN"/>
        </w:rPr>
        <w:t>; these</w:t>
      </w:r>
      <w:r w:rsidR="00C81BBD" w:rsidRPr="000E2036">
        <w:rPr>
          <w:rFonts w:eastAsia="ヒラギノ明朝 Pro W3"/>
          <w:sz w:val="22"/>
          <w:szCs w:val="22"/>
          <w:lang w:val="en-GB" w:eastAsia="zh-CN"/>
        </w:rPr>
        <w:t xml:space="preserve"> includ</w:t>
      </w:r>
      <w:r w:rsidR="00C81BBD">
        <w:rPr>
          <w:rFonts w:eastAsia="ヒラギノ明朝 Pro W3"/>
          <w:sz w:val="22"/>
          <w:szCs w:val="22"/>
          <w:lang w:val="en-GB" w:eastAsia="zh-CN"/>
        </w:rPr>
        <w:t>ed</w:t>
      </w:r>
      <w:r w:rsidR="00C81BBD" w:rsidRPr="000E2036">
        <w:rPr>
          <w:rFonts w:eastAsia="ヒラギノ明朝 Pro W3"/>
          <w:sz w:val="22"/>
          <w:szCs w:val="22"/>
          <w:lang w:val="en-GB" w:eastAsia="zh-CN"/>
        </w:rPr>
        <w:t xml:space="preserve"> </w:t>
      </w:r>
      <w:r w:rsidR="00F502BA" w:rsidRPr="000E2036">
        <w:rPr>
          <w:rFonts w:eastAsia="ヒラギノ明朝 Pro W3"/>
          <w:sz w:val="22"/>
          <w:szCs w:val="22"/>
          <w:lang w:val="en-GB" w:eastAsia="zh-CN"/>
        </w:rPr>
        <w:t>the Korean automakers Hyundai, Kia, and Daewoo</w:t>
      </w:r>
      <w:r w:rsidRPr="000E2036">
        <w:rPr>
          <w:rFonts w:eastAsia="ヒラギノ明朝 Pro W3"/>
          <w:sz w:val="22"/>
          <w:szCs w:val="22"/>
          <w:lang w:val="en-GB" w:eastAsia="zh-CN"/>
        </w:rPr>
        <w:t>;</w:t>
      </w:r>
      <w:r w:rsidR="00F502BA" w:rsidRPr="000E2036">
        <w:rPr>
          <w:rFonts w:eastAsia="ヒラギノ明朝 Pro W3"/>
          <w:sz w:val="22"/>
          <w:szCs w:val="22"/>
          <w:lang w:val="en-GB" w:eastAsia="zh-CN"/>
        </w:rPr>
        <w:t xml:space="preserve"> </w:t>
      </w:r>
      <w:r w:rsidR="001741D1">
        <w:rPr>
          <w:rFonts w:eastAsia="ヒラギノ明朝 Pro W3"/>
          <w:sz w:val="22"/>
          <w:szCs w:val="22"/>
          <w:lang w:val="en-GB" w:eastAsia="zh-CN"/>
        </w:rPr>
        <w:t xml:space="preserve">the </w:t>
      </w:r>
      <w:r w:rsidR="00F502BA" w:rsidRPr="000E2036">
        <w:rPr>
          <w:rFonts w:eastAsia="ヒラギノ明朝 Pro W3"/>
          <w:sz w:val="22"/>
          <w:szCs w:val="22"/>
          <w:lang w:val="en-GB" w:eastAsia="zh-CN"/>
        </w:rPr>
        <w:t xml:space="preserve">Indian </w:t>
      </w:r>
      <w:r w:rsidRPr="000E2036">
        <w:rPr>
          <w:rFonts w:eastAsia="ヒラギノ明朝 Pro W3"/>
          <w:sz w:val="22"/>
          <w:szCs w:val="22"/>
          <w:lang w:val="en-GB" w:eastAsia="zh-CN"/>
        </w:rPr>
        <w:t xml:space="preserve">automaker </w:t>
      </w:r>
      <w:r w:rsidR="00F502BA" w:rsidRPr="000E2036">
        <w:rPr>
          <w:rFonts w:eastAsia="ヒラギノ明朝 Pro W3"/>
          <w:sz w:val="22"/>
          <w:szCs w:val="22"/>
          <w:lang w:val="en-GB" w:eastAsia="zh-CN"/>
        </w:rPr>
        <w:t>Tata Motors</w:t>
      </w:r>
      <w:r w:rsidRPr="000E2036">
        <w:rPr>
          <w:rFonts w:eastAsia="ヒラギノ明朝 Pro W3"/>
          <w:sz w:val="22"/>
          <w:szCs w:val="22"/>
          <w:lang w:val="en-GB" w:eastAsia="zh-CN"/>
        </w:rPr>
        <w:t>;</w:t>
      </w:r>
      <w:r w:rsidR="00F502BA" w:rsidRPr="000E2036">
        <w:rPr>
          <w:rFonts w:eastAsia="ヒラギノ明朝 Pro W3"/>
          <w:sz w:val="22"/>
          <w:szCs w:val="22"/>
          <w:lang w:val="en-GB" w:eastAsia="zh-CN"/>
        </w:rPr>
        <w:t xml:space="preserve"> and some Chinese manufacturers.</w:t>
      </w:r>
      <w:r w:rsidR="001741D1">
        <w:rPr>
          <w:rStyle w:val="EndnoteReference"/>
          <w:rFonts w:eastAsia="ヒラギノ明朝 Pro W3"/>
          <w:sz w:val="22"/>
          <w:szCs w:val="22"/>
          <w:lang w:val="en-GB" w:eastAsia="zh-CN"/>
        </w:rPr>
        <w:endnoteReference w:id="46"/>
      </w:r>
      <w:r w:rsidR="00F502BA" w:rsidRPr="000E2036">
        <w:rPr>
          <w:rFonts w:eastAsia="ヒラギノ明朝 Pro W3"/>
          <w:sz w:val="22"/>
          <w:szCs w:val="22"/>
          <w:lang w:val="en-GB" w:eastAsia="zh-CN"/>
        </w:rPr>
        <w:t xml:space="preserve"> However, their</w:t>
      </w:r>
      <w:r w:rsidRPr="000E2036">
        <w:rPr>
          <w:rFonts w:eastAsia="ヒラギノ明朝 Pro W3"/>
          <w:sz w:val="22"/>
          <w:szCs w:val="22"/>
          <w:lang w:val="en-GB" w:eastAsia="zh-CN"/>
        </w:rPr>
        <w:t xml:space="preserve"> annual</w:t>
      </w:r>
      <w:r w:rsidR="00F502BA" w:rsidRPr="000E2036">
        <w:rPr>
          <w:rFonts w:eastAsia="ヒラギノ明朝 Pro W3"/>
          <w:sz w:val="22"/>
          <w:szCs w:val="22"/>
          <w:lang w:val="en-GB" w:eastAsia="zh-CN"/>
        </w:rPr>
        <w:t xml:space="preserve"> sales </w:t>
      </w:r>
      <w:r w:rsidRPr="000E2036">
        <w:rPr>
          <w:rFonts w:eastAsia="ヒラギノ明朝 Pro W3"/>
          <w:sz w:val="22"/>
          <w:szCs w:val="22"/>
          <w:lang w:val="en-GB" w:eastAsia="zh-CN"/>
        </w:rPr>
        <w:t>remained below those of</w:t>
      </w:r>
      <w:r w:rsidR="00F502BA" w:rsidRPr="000E2036">
        <w:rPr>
          <w:rFonts w:eastAsia="ヒラギノ明朝 Pro W3"/>
          <w:sz w:val="22"/>
          <w:szCs w:val="22"/>
          <w:lang w:val="en-GB" w:eastAsia="zh-CN"/>
        </w:rPr>
        <w:t xml:space="preserve"> CFAO</w:t>
      </w:r>
      <w:r w:rsidRPr="000E2036">
        <w:rPr>
          <w:rFonts w:eastAsia="ヒラギノ明朝 Pro W3"/>
          <w:sz w:val="22"/>
          <w:szCs w:val="22"/>
          <w:lang w:val="en-GB" w:eastAsia="zh-CN"/>
        </w:rPr>
        <w:t xml:space="preserve">, </w:t>
      </w:r>
      <w:r w:rsidR="00C81BBD" w:rsidRPr="000E2036">
        <w:rPr>
          <w:rFonts w:eastAsia="ヒラギノ明朝 Pro W3"/>
          <w:sz w:val="22"/>
          <w:szCs w:val="22"/>
          <w:lang w:val="en-GB" w:eastAsia="zh-CN"/>
        </w:rPr>
        <w:t>wh</w:t>
      </w:r>
      <w:r w:rsidR="00C81BBD">
        <w:rPr>
          <w:rFonts w:eastAsia="ヒラギノ明朝 Pro W3"/>
          <w:sz w:val="22"/>
          <w:szCs w:val="22"/>
          <w:lang w:val="en-GB" w:eastAsia="zh-CN"/>
        </w:rPr>
        <w:t>ich</w:t>
      </w:r>
      <w:r w:rsidR="00C81BBD" w:rsidRPr="000E2036">
        <w:rPr>
          <w:rFonts w:eastAsia="ヒラギノ明朝 Pro W3"/>
          <w:sz w:val="22"/>
          <w:szCs w:val="22"/>
          <w:lang w:val="en-GB" w:eastAsia="zh-CN"/>
        </w:rPr>
        <w:t xml:space="preserve"> </w:t>
      </w:r>
      <w:r w:rsidR="00C81BBD">
        <w:rPr>
          <w:rFonts w:eastAsia="ヒラギノ明朝 Pro W3"/>
          <w:sz w:val="22"/>
          <w:szCs w:val="22"/>
          <w:lang w:val="en-GB" w:eastAsia="zh-CN"/>
        </w:rPr>
        <w:t>had been</w:t>
      </w:r>
      <w:r w:rsidR="00C81BBD" w:rsidRPr="000E2036">
        <w:rPr>
          <w:rFonts w:eastAsia="ヒラギノ明朝 Pro W3"/>
          <w:sz w:val="22"/>
          <w:szCs w:val="22"/>
          <w:lang w:val="en-GB" w:eastAsia="zh-CN"/>
        </w:rPr>
        <w:t xml:space="preserve"> </w:t>
      </w:r>
      <w:r w:rsidR="00F502BA" w:rsidRPr="000E2036">
        <w:rPr>
          <w:rFonts w:eastAsia="ヒラギノ明朝 Pro W3"/>
          <w:sz w:val="22"/>
          <w:szCs w:val="22"/>
          <w:lang w:val="en-GB" w:eastAsia="zh-CN"/>
        </w:rPr>
        <w:t>an early entrant in the African market</w:t>
      </w:r>
      <w:r w:rsidRPr="000E2036">
        <w:rPr>
          <w:rFonts w:eastAsia="ヒラギノ明朝 Pro W3"/>
          <w:sz w:val="22"/>
          <w:szCs w:val="22"/>
          <w:lang w:val="en-GB" w:eastAsia="zh-CN"/>
        </w:rPr>
        <w:t>,</w:t>
      </w:r>
      <w:r w:rsidR="00F502BA" w:rsidRPr="000E2036">
        <w:rPr>
          <w:rFonts w:eastAsia="ヒラギノ明朝 Pro W3"/>
          <w:sz w:val="22"/>
          <w:szCs w:val="22"/>
          <w:lang w:val="en-GB" w:eastAsia="zh-CN"/>
        </w:rPr>
        <w:t xml:space="preserve"> when very few competitors </w:t>
      </w:r>
      <w:r w:rsidRPr="000E2036">
        <w:rPr>
          <w:rFonts w:eastAsia="ヒラギノ明朝 Pro W3"/>
          <w:sz w:val="22"/>
          <w:szCs w:val="22"/>
          <w:lang w:val="en-GB" w:eastAsia="zh-CN"/>
        </w:rPr>
        <w:t>existed</w:t>
      </w:r>
      <w:r w:rsidR="00F502BA" w:rsidRPr="000E2036">
        <w:rPr>
          <w:rFonts w:eastAsia="ヒラギノ明朝 Pro W3"/>
          <w:sz w:val="22"/>
          <w:szCs w:val="22"/>
          <w:lang w:val="en-GB" w:eastAsia="zh-CN"/>
        </w:rPr>
        <w:t>.</w:t>
      </w:r>
    </w:p>
    <w:p w14:paraId="01EFF37B" w14:textId="66557084" w:rsidR="00F502BA" w:rsidRPr="000E2036" w:rsidRDefault="00F502BA" w:rsidP="000E4F83">
      <w:pPr>
        <w:jc w:val="both"/>
        <w:rPr>
          <w:rFonts w:eastAsia="ヒラギノ明朝 Pro W3"/>
          <w:sz w:val="22"/>
          <w:szCs w:val="22"/>
          <w:lang w:val="en-GB" w:eastAsia="zh-CN"/>
        </w:rPr>
      </w:pPr>
    </w:p>
    <w:p w14:paraId="0D82F857" w14:textId="474791F3" w:rsidR="00F502BA" w:rsidRPr="000E2036" w:rsidRDefault="00F502BA" w:rsidP="000E4F83">
      <w:pPr>
        <w:jc w:val="both"/>
        <w:rPr>
          <w:rFonts w:eastAsia="ヒラギノ明朝 Pro W3"/>
          <w:sz w:val="22"/>
          <w:szCs w:val="22"/>
          <w:lang w:val="en-GB" w:eastAsia="zh-CN"/>
        </w:rPr>
      </w:pPr>
      <w:r w:rsidRPr="000E2036">
        <w:rPr>
          <w:rFonts w:eastAsia="ヒラギノ明朝 Pro W3"/>
          <w:sz w:val="22"/>
          <w:szCs w:val="22"/>
          <w:lang w:val="en-GB" w:eastAsia="zh-CN"/>
        </w:rPr>
        <w:t>However, TTC’s acquisition of a stake in CFAO made it difficult for CFAO to negotiate with automakers other than Toyota</w:t>
      </w:r>
      <w:r w:rsidR="00913302" w:rsidRPr="000E2036">
        <w:rPr>
          <w:rFonts w:eastAsia="ヒラギノ明朝 Pro W3"/>
          <w:sz w:val="22"/>
          <w:szCs w:val="22"/>
          <w:lang w:val="en-GB" w:eastAsia="zh-CN"/>
        </w:rPr>
        <w:t>, which</w:t>
      </w:r>
      <w:r w:rsidRPr="000E2036">
        <w:rPr>
          <w:rFonts w:eastAsia="ヒラギノ明朝 Pro W3"/>
          <w:sz w:val="22"/>
          <w:szCs w:val="22"/>
          <w:lang w:val="en-GB" w:eastAsia="zh-CN"/>
        </w:rPr>
        <w:t xml:space="preserve"> reduce</w:t>
      </w:r>
      <w:r w:rsidR="00913302" w:rsidRPr="000E2036">
        <w:rPr>
          <w:rFonts w:eastAsia="ヒラギノ明朝 Pro W3"/>
          <w:sz w:val="22"/>
          <w:szCs w:val="22"/>
          <w:lang w:val="en-GB" w:eastAsia="zh-CN"/>
        </w:rPr>
        <w:t>d</w:t>
      </w:r>
      <w:r w:rsidRPr="000E2036">
        <w:rPr>
          <w:rFonts w:eastAsia="ヒラギノ明朝 Pro W3"/>
          <w:sz w:val="22"/>
          <w:szCs w:val="22"/>
          <w:lang w:val="en-GB" w:eastAsia="zh-CN"/>
        </w:rPr>
        <w:t xml:space="preserve"> its bargain</w:t>
      </w:r>
      <w:r w:rsidR="00C81BBD">
        <w:rPr>
          <w:rFonts w:eastAsia="ヒラギノ明朝 Pro W3"/>
          <w:sz w:val="22"/>
          <w:szCs w:val="22"/>
          <w:lang w:val="en-GB" w:eastAsia="zh-CN"/>
        </w:rPr>
        <w:t>ing</w:t>
      </w:r>
      <w:r w:rsidRPr="000E2036">
        <w:rPr>
          <w:rFonts w:eastAsia="ヒラギノ明朝 Pro W3"/>
          <w:sz w:val="22"/>
          <w:szCs w:val="22"/>
          <w:lang w:val="en-GB" w:eastAsia="zh-CN"/>
        </w:rPr>
        <w:t xml:space="preserve"> power in certain areas. This conflict</w:t>
      </w:r>
      <w:r w:rsidR="00F81E34" w:rsidRPr="000E2036">
        <w:rPr>
          <w:rFonts w:eastAsia="ヒラギノ明朝 Pro W3"/>
          <w:sz w:val="22"/>
          <w:szCs w:val="22"/>
          <w:lang w:val="en-GB" w:eastAsia="zh-CN"/>
        </w:rPr>
        <w:t xml:space="preserve"> of</w:t>
      </w:r>
      <w:r w:rsidRPr="000E2036">
        <w:rPr>
          <w:rFonts w:eastAsia="ヒラギノ明朝 Pro W3"/>
          <w:sz w:val="22"/>
          <w:szCs w:val="22"/>
          <w:lang w:val="en-GB" w:eastAsia="zh-CN"/>
        </w:rPr>
        <w:t xml:space="preserve"> interest following </w:t>
      </w:r>
      <w:r w:rsidR="00F81E34" w:rsidRPr="000E2036">
        <w:rPr>
          <w:rFonts w:eastAsia="ヒラギノ明朝 Pro W3"/>
          <w:sz w:val="22"/>
          <w:szCs w:val="22"/>
          <w:lang w:val="en-GB" w:eastAsia="zh-CN"/>
        </w:rPr>
        <w:t>TTC’s</w:t>
      </w:r>
      <w:r w:rsidRPr="000E2036">
        <w:rPr>
          <w:rFonts w:eastAsia="ヒラギノ明朝 Pro W3"/>
          <w:sz w:val="22"/>
          <w:szCs w:val="22"/>
          <w:lang w:val="en-GB" w:eastAsia="zh-CN"/>
        </w:rPr>
        <w:t xml:space="preserve"> equity participation in CFAO allowed certain European, South Korean, and Chinese companies to enter the African automotive market, thereby reducing CFAO’s opportunities </w:t>
      </w:r>
      <w:r w:rsidR="00C81BBD">
        <w:rPr>
          <w:rFonts w:eastAsia="ヒラギノ明朝 Pro W3"/>
          <w:sz w:val="22"/>
          <w:szCs w:val="22"/>
          <w:lang w:val="en-GB" w:eastAsia="zh-CN"/>
        </w:rPr>
        <w:t>for</w:t>
      </w:r>
      <w:r w:rsidR="00C81BBD" w:rsidRPr="000E2036">
        <w:rPr>
          <w:rFonts w:eastAsia="ヒラギノ明朝 Pro W3"/>
          <w:sz w:val="22"/>
          <w:szCs w:val="22"/>
          <w:lang w:val="en-GB" w:eastAsia="zh-CN"/>
        </w:rPr>
        <w:t xml:space="preserve"> </w:t>
      </w:r>
      <w:r w:rsidRPr="000E2036">
        <w:rPr>
          <w:rFonts w:eastAsia="ヒラギノ明朝 Pro W3"/>
          <w:sz w:val="22"/>
          <w:szCs w:val="22"/>
          <w:lang w:val="en-GB" w:eastAsia="zh-CN"/>
        </w:rPr>
        <w:t xml:space="preserve">business development with certain automakers. Nevertheless, </w:t>
      </w:r>
      <w:r w:rsidR="00F81E34" w:rsidRPr="000E2036">
        <w:rPr>
          <w:rFonts w:eastAsia="ヒラギノ明朝 Pro W3"/>
          <w:sz w:val="22"/>
          <w:szCs w:val="22"/>
          <w:lang w:val="en-GB" w:eastAsia="zh-CN"/>
        </w:rPr>
        <w:t>de</w:t>
      </w:r>
      <w:r w:rsidRPr="000E2036">
        <w:rPr>
          <w:rFonts w:eastAsia="ヒラギノ明朝 Pro W3"/>
          <w:sz w:val="22"/>
          <w:szCs w:val="22"/>
          <w:lang w:val="en-GB" w:eastAsia="zh-CN"/>
        </w:rPr>
        <w:t xml:space="preserve">spite new entries and </w:t>
      </w:r>
      <w:r w:rsidR="00F81E34" w:rsidRPr="000E2036">
        <w:rPr>
          <w:rFonts w:eastAsia="ヒラギノ明朝 Pro W3"/>
          <w:sz w:val="22"/>
          <w:szCs w:val="22"/>
          <w:lang w:val="en-GB" w:eastAsia="zh-CN"/>
        </w:rPr>
        <w:t>high</w:t>
      </w:r>
      <w:r w:rsidRPr="000E2036">
        <w:rPr>
          <w:rFonts w:eastAsia="ヒラギノ明朝 Pro W3"/>
          <w:sz w:val="22"/>
          <w:szCs w:val="22"/>
          <w:lang w:val="en-GB" w:eastAsia="zh-CN"/>
        </w:rPr>
        <w:t xml:space="preserve"> competition in certain areas, CFAO </w:t>
      </w:r>
      <w:r w:rsidR="00F81E34" w:rsidRPr="000E2036">
        <w:rPr>
          <w:rFonts w:eastAsia="ヒラギノ明朝 Pro W3"/>
          <w:sz w:val="22"/>
          <w:szCs w:val="22"/>
          <w:lang w:val="en-GB" w:eastAsia="zh-CN"/>
        </w:rPr>
        <w:t>retained</w:t>
      </w:r>
      <w:r w:rsidRPr="000E2036">
        <w:rPr>
          <w:rFonts w:eastAsia="ヒラギノ明朝 Pro W3"/>
          <w:sz w:val="22"/>
          <w:szCs w:val="22"/>
          <w:lang w:val="en-GB" w:eastAsia="zh-CN"/>
        </w:rPr>
        <w:t xml:space="preserve"> its position </w:t>
      </w:r>
      <w:r w:rsidR="00C81BBD">
        <w:rPr>
          <w:rFonts w:eastAsia="ヒラギノ明朝 Pro W3"/>
          <w:sz w:val="22"/>
          <w:szCs w:val="22"/>
          <w:lang w:val="en-GB" w:eastAsia="zh-CN"/>
        </w:rPr>
        <w:t xml:space="preserve">as a </w:t>
      </w:r>
      <w:r w:rsidR="00C81BBD" w:rsidRPr="000E2036">
        <w:rPr>
          <w:rFonts w:eastAsia="ヒラギノ明朝 Pro W3"/>
          <w:sz w:val="22"/>
          <w:szCs w:val="22"/>
          <w:lang w:val="en-GB" w:eastAsia="zh-CN"/>
        </w:rPr>
        <w:t xml:space="preserve">leader </w:t>
      </w:r>
      <w:r w:rsidRPr="000E2036">
        <w:rPr>
          <w:rFonts w:eastAsia="ヒラギノ明朝 Pro W3"/>
          <w:sz w:val="22"/>
          <w:szCs w:val="22"/>
          <w:lang w:val="en-GB" w:eastAsia="zh-CN"/>
        </w:rPr>
        <w:t>in automobile distribution in Africa.</w:t>
      </w:r>
    </w:p>
    <w:p w14:paraId="19D49EC5" w14:textId="77777777" w:rsidR="00F502BA" w:rsidRDefault="00F502BA" w:rsidP="000E4F83">
      <w:pPr>
        <w:jc w:val="both"/>
        <w:rPr>
          <w:rFonts w:eastAsia="ヒラギノ明朝 Pro W3"/>
          <w:sz w:val="22"/>
          <w:szCs w:val="22"/>
          <w:lang w:val="en-GB" w:eastAsia="zh-CN"/>
        </w:rPr>
      </w:pPr>
    </w:p>
    <w:p w14:paraId="19D208F1" w14:textId="77777777" w:rsidR="00AE683E" w:rsidRDefault="00AE683E" w:rsidP="000E4F83">
      <w:pPr>
        <w:jc w:val="both"/>
        <w:rPr>
          <w:rFonts w:eastAsia="ヒラギノ明朝 Pro W3"/>
          <w:sz w:val="22"/>
          <w:szCs w:val="22"/>
          <w:lang w:val="en-GB" w:eastAsia="zh-CN"/>
        </w:rPr>
      </w:pPr>
    </w:p>
    <w:p w14:paraId="1FC0A4EE" w14:textId="77777777" w:rsidR="00796B78" w:rsidRDefault="00796B78" w:rsidP="000E4F83">
      <w:pPr>
        <w:jc w:val="both"/>
        <w:rPr>
          <w:rFonts w:eastAsia="ヒラギノ明朝 Pro W3"/>
          <w:sz w:val="22"/>
          <w:szCs w:val="22"/>
          <w:lang w:val="en-GB" w:eastAsia="zh-CN"/>
        </w:rPr>
      </w:pPr>
    </w:p>
    <w:p w14:paraId="3C841262" w14:textId="77777777" w:rsidR="00796B78" w:rsidRDefault="00796B78" w:rsidP="000E4F83">
      <w:pPr>
        <w:jc w:val="both"/>
        <w:rPr>
          <w:rFonts w:ascii="Arial" w:eastAsia="ヒラギノ明朝 Pro W3" w:hAnsi="Arial"/>
          <w:b/>
          <w:lang w:val="en-GB" w:eastAsia="zh-CN"/>
        </w:rPr>
      </w:pPr>
    </w:p>
    <w:p w14:paraId="4303171D" w14:textId="77777777" w:rsidR="00F502BA" w:rsidRPr="000E2036" w:rsidRDefault="00F502BA" w:rsidP="000E4F83">
      <w:pPr>
        <w:jc w:val="both"/>
        <w:rPr>
          <w:rFonts w:ascii="Arial" w:eastAsia="ヒラギノ明朝 Pro W3" w:hAnsi="Arial"/>
          <w:b/>
          <w:lang w:val="en-GB" w:eastAsia="zh-CN"/>
        </w:rPr>
      </w:pPr>
      <w:bookmarkStart w:id="0" w:name="_GoBack"/>
      <w:bookmarkEnd w:id="0"/>
      <w:r w:rsidRPr="006B442F">
        <w:rPr>
          <w:rFonts w:ascii="Arial" w:eastAsia="ヒラギノ明朝 Pro W3" w:hAnsi="Arial"/>
          <w:b/>
          <w:lang w:val="en-GB" w:eastAsia="zh-CN"/>
        </w:rPr>
        <w:lastRenderedPageBreak/>
        <w:t>THE TRANSACTION’S EFFECTS</w:t>
      </w:r>
    </w:p>
    <w:p w14:paraId="01A8C4EA" w14:textId="77777777" w:rsidR="00F502BA" w:rsidRPr="000E2036" w:rsidRDefault="00F502BA" w:rsidP="000E4F83">
      <w:pPr>
        <w:jc w:val="both"/>
        <w:rPr>
          <w:rFonts w:eastAsia="ヒラギノ明朝 Pro W3"/>
          <w:sz w:val="22"/>
          <w:szCs w:val="22"/>
          <w:lang w:val="en-GB" w:eastAsia="zh-CN"/>
        </w:rPr>
      </w:pPr>
    </w:p>
    <w:p w14:paraId="745F63F0" w14:textId="1FB6FE62" w:rsidR="00C81BBD" w:rsidRDefault="00F502BA" w:rsidP="00D7286B">
      <w:pPr>
        <w:jc w:val="both"/>
        <w:rPr>
          <w:rFonts w:eastAsia="ヒラギノ明朝 Pro W3"/>
          <w:sz w:val="22"/>
          <w:szCs w:val="22"/>
          <w:lang w:val="en-GB" w:eastAsia="zh-CN"/>
        </w:rPr>
      </w:pPr>
      <w:r w:rsidRPr="000E2036">
        <w:rPr>
          <w:rFonts w:eastAsia="ヒラギノ明朝 Pro W3"/>
          <w:sz w:val="22"/>
          <w:szCs w:val="22"/>
          <w:lang w:val="en-GB" w:eastAsia="zh-CN"/>
        </w:rPr>
        <w:t xml:space="preserve">At the close of the tender offer on CFAO shares, TTC decided to waive its right to implement a squeeze-out </w:t>
      </w:r>
      <w:r w:rsidR="00C40DDD">
        <w:rPr>
          <w:rFonts w:eastAsia="ヒラギノ明朝 Pro W3"/>
          <w:sz w:val="22"/>
          <w:szCs w:val="22"/>
          <w:lang w:val="en-GB" w:eastAsia="zh-CN"/>
        </w:rPr>
        <w:t xml:space="preserve">(or freeze-out) </w:t>
      </w:r>
      <w:r w:rsidRPr="000E2036">
        <w:rPr>
          <w:rFonts w:eastAsia="ヒラギノ明朝 Pro W3"/>
          <w:sz w:val="22"/>
          <w:szCs w:val="22"/>
          <w:lang w:val="en-GB" w:eastAsia="zh-CN"/>
        </w:rPr>
        <w:t xml:space="preserve">procedure </w:t>
      </w:r>
      <w:r w:rsidR="00C40DDD">
        <w:rPr>
          <w:rFonts w:eastAsia="ヒラギノ明朝 Pro W3"/>
          <w:sz w:val="22"/>
          <w:szCs w:val="22"/>
          <w:lang w:val="en-GB" w:eastAsia="zh-CN"/>
        </w:rPr>
        <w:t>t</w:t>
      </w:r>
      <w:r w:rsidRPr="000E2036">
        <w:rPr>
          <w:rFonts w:eastAsia="ヒラギノ明朝 Pro W3"/>
          <w:sz w:val="22"/>
          <w:szCs w:val="22"/>
          <w:lang w:val="en-GB" w:eastAsia="zh-CN"/>
        </w:rPr>
        <w:t>o</w:t>
      </w:r>
      <w:r w:rsidR="00C40DDD">
        <w:rPr>
          <w:rFonts w:eastAsia="ヒラギノ明朝 Pro W3"/>
          <w:sz w:val="22"/>
          <w:szCs w:val="22"/>
          <w:lang w:val="en-GB" w:eastAsia="zh-CN"/>
        </w:rPr>
        <w:t xml:space="preserve"> pressure</w:t>
      </w:r>
      <w:r w:rsidRPr="000E2036">
        <w:rPr>
          <w:rFonts w:eastAsia="ヒラギノ明朝 Pro W3"/>
          <w:sz w:val="22"/>
          <w:szCs w:val="22"/>
          <w:lang w:val="en-GB" w:eastAsia="zh-CN"/>
        </w:rPr>
        <w:t xml:space="preserve"> minority shareholders</w:t>
      </w:r>
      <w:r w:rsidR="00C40DDD">
        <w:rPr>
          <w:rFonts w:eastAsia="ヒラギノ明朝 Pro W3"/>
          <w:sz w:val="22"/>
          <w:szCs w:val="22"/>
          <w:lang w:val="en-GB" w:eastAsia="zh-CN"/>
        </w:rPr>
        <w:t xml:space="preserve"> to sell their CFAO stock</w:t>
      </w:r>
      <w:r w:rsidRPr="000E2036">
        <w:rPr>
          <w:rFonts w:eastAsia="ヒラギノ明朝 Pro W3"/>
          <w:sz w:val="22"/>
          <w:szCs w:val="22"/>
          <w:lang w:val="en-GB" w:eastAsia="zh-CN"/>
        </w:rPr>
        <w:t xml:space="preserve">. It also decided to maintain the group’s listing status on the Paris Stock Exchange. According to Jun Karube, the </w:t>
      </w:r>
      <w:r w:rsidR="00957E1B" w:rsidRPr="000E2036">
        <w:rPr>
          <w:rFonts w:eastAsia="ヒラギノ明朝 Pro W3"/>
          <w:sz w:val="22"/>
          <w:szCs w:val="22"/>
          <w:lang w:val="en-GB" w:eastAsia="zh-CN"/>
        </w:rPr>
        <w:t>c</w:t>
      </w:r>
      <w:r w:rsidRPr="000E2036">
        <w:rPr>
          <w:rFonts w:eastAsia="ヒラギノ明朝 Pro W3"/>
          <w:sz w:val="22"/>
          <w:szCs w:val="22"/>
          <w:lang w:val="en-GB" w:eastAsia="zh-CN"/>
        </w:rPr>
        <w:t>hairman of TTC, “Through continuing to be listed on public, we look forward to ensuring the company’s management credibility and transparency. And we are sure that our determination will maintain CFAO’s autonomy and entrepreneurship spirit and support sustainable growth for CFAO.”</w:t>
      </w:r>
      <w:r w:rsidRPr="000E2036">
        <w:rPr>
          <w:rStyle w:val="EndnoteReference"/>
          <w:rFonts w:eastAsia="ヒラギノ明朝 Pro W3"/>
          <w:sz w:val="22"/>
          <w:szCs w:val="22"/>
          <w:lang w:val="en-GB" w:eastAsia="zh-CN"/>
        </w:rPr>
        <w:endnoteReference w:id="47"/>
      </w:r>
      <w:r w:rsidRPr="000E2036">
        <w:rPr>
          <w:rFonts w:eastAsia="ヒラギノ明朝 Pro W3"/>
          <w:sz w:val="22"/>
          <w:szCs w:val="22"/>
          <w:lang w:val="en-GB" w:eastAsia="zh-CN"/>
        </w:rPr>
        <w:t xml:space="preserve"> Meanwhile,</w:t>
      </w:r>
      <w:r w:rsidRPr="000E2036">
        <w:rPr>
          <w:lang w:val="en-GB"/>
        </w:rPr>
        <w:t xml:space="preserve"> </w:t>
      </w:r>
      <w:r w:rsidRPr="000E2036">
        <w:rPr>
          <w:rFonts w:eastAsia="ヒラギノ明朝 Pro W3"/>
          <w:sz w:val="22"/>
          <w:szCs w:val="22"/>
          <w:lang w:val="en-GB" w:eastAsia="zh-CN"/>
        </w:rPr>
        <w:t xml:space="preserve">Alain Viry, </w:t>
      </w:r>
      <w:r w:rsidR="009D0A9E" w:rsidRPr="000E2036">
        <w:rPr>
          <w:rFonts w:eastAsia="ヒラギノ明朝 Pro W3"/>
          <w:sz w:val="22"/>
          <w:szCs w:val="22"/>
          <w:lang w:val="en-GB" w:eastAsia="zh-CN"/>
        </w:rPr>
        <w:t>the c</w:t>
      </w:r>
      <w:r w:rsidRPr="000E2036">
        <w:rPr>
          <w:rFonts w:eastAsia="ヒラギノ明朝 Pro W3"/>
          <w:sz w:val="22"/>
          <w:szCs w:val="22"/>
          <w:lang w:val="en-GB" w:eastAsia="zh-CN"/>
        </w:rPr>
        <w:t>hairman of CFAO</w:t>
      </w:r>
      <w:r w:rsidR="009D0A9E" w:rsidRPr="000E2036">
        <w:rPr>
          <w:rFonts w:eastAsia="ヒラギノ明朝 Pro W3"/>
          <w:sz w:val="22"/>
          <w:szCs w:val="22"/>
          <w:lang w:val="en-GB" w:eastAsia="zh-CN"/>
        </w:rPr>
        <w:t>’s m</w:t>
      </w:r>
      <w:r w:rsidRPr="000E2036">
        <w:rPr>
          <w:rFonts w:eastAsia="ヒラギノ明朝 Pro W3"/>
          <w:sz w:val="22"/>
          <w:szCs w:val="22"/>
          <w:lang w:val="en-GB" w:eastAsia="zh-CN"/>
        </w:rPr>
        <w:t xml:space="preserve">anagement </w:t>
      </w:r>
      <w:r w:rsidR="009D0A9E" w:rsidRPr="000E2036">
        <w:rPr>
          <w:rFonts w:eastAsia="ヒラギノ明朝 Pro W3"/>
          <w:sz w:val="22"/>
          <w:szCs w:val="22"/>
          <w:lang w:val="en-GB" w:eastAsia="zh-CN"/>
        </w:rPr>
        <w:t>b</w:t>
      </w:r>
      <w:r w:rsidRPr="000E2036">
        <w:rPr>
          <w:rFonts w:eastAsia="ヒラギノ明朝 Pro W3"/>
          <w:sz w:val="22"/>
          <w:szCs w:val="22"/>
          <w:lang w:val="en-GB" w:eastAsia="zh-CN"/>
        </w:rPr>
        <w:t>oard, commented,</w:t>
      </w:r>
    </w:p>
    <w:p w14:paraId="554CBE81" w14:textId="77777777" w:rsidR="00C81BBD" w:rsidRDefault="00C81BBD" w:rsidP="00D7286B">
      <w:pPr>
        <w:jc w:val="both"/>
        <w:rPr>
          <w:rFonts w:eastAsia="ヒラギノ明朝 Pro W3"/>
          <w:sz w:val="22"/>
          <w:szCs w:val="22"/>
          <w:lang w:val="en-GB" w:eastAsia="zh-CN"/>
        </w:rPr>
      </w:pPr>
    </w:p>
    <w:p w14:paraId="4C424E53" w14:textId="4A49A6AE" w:rsidR="00F502BA" w:rsidRPr="000E2036" w:rsidRDefault="00F502BA" w:rsidP="00C81BBD">
      <w:pPr>
        <w:ind w:left="720"/>
        <w:jc w:val="both"/>
        <w:rPr>
          <w:rFonts w:eastAsia="ヒラギノ明朝 Pro W3"/>
          <w:sz w:val="22"/>
          <w:szCs w:val="22"/>
          <w:lang w:val="en-GB" w:eastAsia="zh-CN"/>
        </w:rPr>
      </w:pPr>
      <w:r w:rsidRPr="000E2036">
        <w:rPr>
          <w:rFonts w:eastAsia="ヒラギノ明朝 Pro W3"/>
          <w:sz w:val="22"/>
          <w:szCs w:val="22"/>
          <w:lang w:val="en-GB" w:eastAsia="zh-CN"/>
        </w:rPr>
        <w:t>I applaud TTC’s decision to maintain the Group’s listing on the Paris stock market, in line with the intentions announced at the time of the tender offer. This decision allows those shareholders who have stood by us to continue to accompany CFAO’s growth. It also provides clarity in terms of corporate governance, thereby guaranteeing for our partners autonomous management at the operational level, as well as the continuation of the multi-brand strategy in our markets.</w:t>
      </w:r>
      <w:r w:rsidRPr="000E2036">
        <w:rPr>
          <w:rStyle w:val="EndnoteReference"/>
          <w:rFonts w:eastAsia="ヒラギノ明朝 Pro W3"/>
          <w:sz w:val="22"/>
          <w:szCs w:val="22"/>
          <w:lang w:val="en-GB" w:eastAsia="zh-CN"/>
        </w:rPr>
        <w:endnoteReference w:id="48"/>
      </w:r>
    </w:p>
    <w:p w14:paraId="2B84ECF8" w14:textId="77777777" w:rsidR="00F502BA" w:rsidRPr="000E2036" w:rsidRDefault="00F502BA" w:rsidP="00680E16">
      <w:pPr>
        <w:jc w:val="both"/>
        <w:rPr>
          <w:rFonts w:eastAsia="ヒラギノ明朝 Pro W3"/>
          <w:sz w:val="22"/>
          <w:szCs w:val="22"/>
          <w:lang w:val="en-GB" w:eastAsia="zh-CN"/>
        </w:rPr>
      </w:pPr>
    </w:p>
    <w:p w14:paraId="187F99A5" w14:textId="4C9CD513" w:rsidR="00C81BBD" w:rsidRDefault="00F502BA" w:rsidP="00680E16">
      <w:pPr>
        <w:jc w:val="both"/>
        <w:rPr>
          <w:rFonts w:eastAsia="ヒラギノ明朝 Pro W3"/>
          <w:sz w:val="22"/>
          <w:szCs w:val="22"/>
          <w:lang w:val="en-GB" w:eastAsia="zh-CN"/>
        </w:rPr>
      </w:pPr>
      <w:r w:rsidRPr="000E2036">
        <w:rPr>
          <w:rFonts w:eastAsia="ヒラギノ明朝 Pro W3"/>
          <w:sz w:val="22"/>
          <w:szCs w:val="22"/>
          <w:lang w:val="en-GB" w:eastAsia="zh-CN"/>
        </w:rPr>
        <w:t xml:space="preserve">In 2013, CFAO announced that it would develop a network of shopping malls, adapted to African consumers’ needs, together with </w:t>
      </w:r>
      <w:r w:rsidR="00896121" w:rsidRPr="000E2036">
        <w:rPr>
          <w:rFonts w:eastAsia="ヒラギノ明朝 Pro W3"/>
          <w:sz w:val="22"/>
          <w:szCs w:val="22"/>
          <w:lang w:val="en-GB" w:eastAsia="zh-CN"/>
        </w:rPr>
        <w:t xml:space="preserve">Carrefour, </w:t>
      </w:r>
      <w:r w:rsidRPr="000E2036">
        <w:rPr>
          <w:rFonts w:eastAsia="ヒラギノ明朝 Pro W3"/>
          <w:sz w:val="22"/>
          <w:szCs w:val="22"/>
          <w:lang w:val="en-GB" w:eastAsia="zh-CN"/>
        </w:rPr>
        <w:t xml:space="preserve">the </w:t>
      </w:r>
      <w:r w:rsidR="00896121" w:rsidRPr="000E2036">
        <w:rPr>
          <w:rFonts w:eastAsia="ヒラギノ明朝 Pro W3"/>
          <w:sz w:val="22"/>
          <w:szCs w:val="22"/>
          <w:lang w:val="en-GB" w:eastAsia="zh-CN"/>
        </w:rPr>
        <w:t>thi</w:t>
      </w:r>
      <w:r w:rsidRPr="000E2036">
        <w:rPr>
          <w:rFonts w:eastAsia="ヒラギノ明朝 Pro W3"/>
          <w:sz w:val="22"/>
          <w:szCs w:val="22"/>
          <w:lang w:val="en-GB" w:eastAsia="zh-CN"/>
        </w:rPr>
        <w:t>rd</w:t>
      </w:r>
      <w:r w:rsidR="00896121" w:rsidRPr="000E2036">
        <w:rPr>
          <w:rFonts w:eastAsia="ヒラギノ明朝 Pro W3"/>
          <w:sz w:val="22"/>
          <w:szCs w:val="22"/>
          <w:lang w:val="en-GB" w:eastAsia="zh-CN"/>
        </w:rPr>
        <w:t>-</w:t>
      </w:r>
      <w:r w:rsidRPr="000E2036">
        <w:rPr>
          <w:rFonts w:eastAsia="ヒラギノ明朝 Pro W3"/>
          <w:sz w:val="22"/>
          <w:szCs w:val="22"/>
          <w:lang w:val="en-GB" w:eastAsia="zh-CN"/>
        </w:rPr>
        <w:t xml:space="preserve">largest French retailer </w:t>
      </w:r>
      <w:r w:rsidR="00896121" w:rsidRPr="000E2036">
        <w:rPr>
          <w:rFonts w:eastAsia="ヒラギノ明朝 Pro W3"/>
          <w:sz w:val="22"/>
          <w:szCs w:val="22"/>
          <w:lang w:val="en-GB" w:eastAsia="zh-CN"/>
        </w:rPr>
        <w:t>(see Exhibit</w:t>
      </w:r>
      <w:r w:rsidR="006B442F">
        <w:rPr>
          <w:rFonts w:eastAsia="ヒラギノ明朝 Pro W3"/>
          <w:sz w:val="22"/>
          <w:szCs w:val="22"/>
          <w:lang w:val="en-GB" w:eastAsia="zh-CN"/>
        </w:rPr>
        <w:t xml:space="preserve"> 4</w:t>
      </w:r>
      <w:r w:rsidR="00896121" w:rsidRPr="000E2036">
        <w:rPr>
          <w:rFonts w:eastAsia="ヒラギノ明朝 Pro W3"/>
          <w:sz w:val="22"/>
          <w:szCs w:val="22"/>
          <w:lang w:val="en-GB" w:eastAsia="zh-CN"/>
        </w:rPr>
        <w:t>).</w:t>
      </w:r>
      <w:r w:rsidRPr="000E2036">
        <w:rPr>
          <w:rStyle w:val="EndnoteReference"/>
          <w:rFonts w:eastAsia="ヒラギノ明朝 Pro W3"/>
          <w:sz w:val="22"/>
          <w:szCs w:val="22"/>
          <w:lang w:val="en-GB" w:eastAsia="zh-CN"/>
        </w:rPr>
        <w:endnoteReference w:id="49"/>
      </w:r>
      <w:r w:rsidRPr="000E2036">
        <w:rPr>
          <w:rFonts w:eastAsia="ヒラギノ明朝 Pro W3"/>
          <w:sz w:val="22"/>
          <w:szCs w:val="22"/>
          <w:lang w:val="en-GB" w:eastAsia="zh-CN"/>
        </w:rPr>
        <w:t xml:space="preserve"> The two companies had signed a memorandum of understanding to establish a joint venture</w:t>
      </w:r>
      <w:r w:rsidR="00896121" w:rsidRPr="000E2036">
        <w:rPr>
          <w:rFonts w:eastAsia="ヒラギノ明朝 Pro W3"/>
          <w:sz w:val="22"/>
          <w:szCs w:val="22"/>
          <w:lang w:val="en-GB" w:eastAsia="zh-CN"/>
        </w:rPr>
        <w:t xml:space="preserve"> with</w:t>
      </w:r>
      <w:r w:rsidRPr="000E2036">
        <w:rPr>
          <w:rFonts w:eastAsia="ヒラギノ明朝 Pro W3"/>
          <w:sz w:val="22"/>
          <w:szCs w:val="22"/>
          <w:lang w:val="en-GB" w:eastAsia="zh-CN"/>
        </w:rPr>
        <w:t xml:space="preserve"> 55 per cent </w:t>
      </w:r>
      <w:r w:rsidR="00896121" w:rsidRPr="000E2036">
        <w:rPr>
          <w:rFonts w:eastAsia="ヒラギノ明朝 Pro W3"/>
          <w:sz w:val="22"/>
          <w:szCs w:val="22"/>
          <w:lang w:val="en-GB" w:eastAsia="zh-CN"/>
        </w:rPr>
        <w:t xml:space="preserve">ownership </w:t>
      </w:r>
      <w:r w:rsidRPr="000E2036">
        <w:rPr>
          <w:rFonts w:eastAsia="ヒラギノ明朝 Pro W3"/>
          <w:sz w:val="22"/>
          <w:szCs w:val="22"/>
          <w:lang w:val="en-GB" w:eastAsia="zh-CN"/>
        </w:rPr>
        <w:t xml:space="preserve">by CFAO and 45 per cent by Carrefour. The joint venture initially </w:t>
      </w:r>
      <w:r w:rsidR="00896121" w:rsidRPr="000E2036">
        <w:rPr>
          <w:rFonts w:eastAsia="ヒラギノ明朝 Pro W3"/>
          <w:sz w:val="22"/>
          <w:szCs w:val="22"/>
          <w:lang w:val="en-GB" w:eastAsia="zh-CN"/>
        </w:rPr>
        <w:t xml:space="preserve">aimed to </w:t>
      </w:r>
      <w:r w:rsidRPr="000E2036">
        <w:rPr>
          <w:rFonts w:eastAsia="ヒラギノ明朝 Pro W3"/>
          <w:sz w:val="22"/>
          <w:szCs w:val="22"/>
          <w:lang w:val="en-GB" w:eastAsia="zh-CN"/>
        </w:rPr>
        <w:t>develop retail operations in eight sub-Saharan nations. Karube</w:t>
      </w:r>
      <w:r w:rsidR="00C81BBD">
        <w:rPr>
          <w:rFonts w:eastAsia="ヒラギノ明朝 Pro W3"/>
          <w:sz w:val="22"/>
          <w:szCs w:val="22"/>
          <w:lang w:val="en-GB" w:eastAsia="zh-CN"/>
        </w:rPr>
        <w:t xml:space="preserve"> said</w:t>
      </w:r>
      <w:r w:rsidRPr="000E2036">
        <w:rPr>
          <w:rFonts w:eastAsia="ヒラギノ明朝 Pro W3"/>
          <w:sz w:val="22"/>
          <w:szCs w:val="22"/>
          <w:lang w:val="en-GB" w:eastAsia="zh-CN"/>
        </w:rPr>
        <w:t>,</w:t>
      </w:r>
    </w:p>
    <w:p w14:paraId="1D07948C" w14:textId="77777777" w:rsidR="00C81BBD" w:rsidRDefault="00C81BBD" w:rsidP="00680E16">
      <w:pPr>
        <w:jc w:val="both"/>
        <w:rPr>
          <w:rFonts w:eastAsia="ヒラギノ明朝 Pro W3"/>
          <w:sz w:val="22"/>
          <w:szCs w:val="22"/>
          <w:lang w:val="en-GB" w:eastAsia="zh-CN"/>
        </w:rPr>
      </w:pPr>
    </w:p>
    <w:p w14:paraId="546DD41E" w14:textId="21E37838" w:rsidR="00C81BBD" w:rsidRDefault="00F502BA" w:rsidP="00C81BBD">
      <w:pPr>
        <w:ind w:left="720"/>
        <w:jc w:val="both"/>
        <w:rPr>
          <w:rFonts w:eastAsia="ヒラギノ明朝 Pro W3"/>
          <w:sz w:val="22"/>
          <w:szCs w:val="22"/>
          <w:lang w:val="en-GB" w:eastAsia="zh-CN"/>
        </w:rPr>
      </w:pPr>
      <w:r w:rsidRPr="000E2036">
        <w:rPr>
          <w:rFonts w:eastAsia="ヒラギノ明朝 Pro W3"/>
          <w:sz w:val="22"/>
          <w:szCs w:val="22"/>
          <w:lang w:val="en-GB" w:eastAsia="zh-CN"/>
        </w:rPr>
        <w:t>I heartily welcome the collaboration between our strategic partner CFAO and the iconic retailer, Carrefour. Consumer purchasing power is mounting steadily in Africa, and serving consumer demand in several product categories has been a strategic priority for CFAO. This business initiative will buttress the comprehensive African presence that we and CFAO are building through our strategic partnership.</w:t>
      </w:r>
      <w:r w:rsidRPr="000E2036">
        <w:rPr>
          <w:rStyle w:val="EndnoteReference"/>
          <w:rFonts w:eastAsia="ヒラギノ明朝 Pro W3"/>
          <w:sz w:val="22"/>
          <w:szCs w:val="22"/>
          <w:lang w:val="en-GB" w:eastAsia="zh-CN"/>
        </w:rPr>
        <w:endnoteReference w:id="50"/>
      </w:r>
    </w:p>
    <w:p w14:paraId="0E039ED2" w14:textId="77777777" w:rsidR="00C81BBD" w:rsidRDefault="00C81BBD" w:rsidP="00680E16">
      <w:pPr>
        <w:jc w:val="both"/>
        <w:rPr>
          <w:rFonts w:eastAsia="ヒラギノ明朝 Pro W3"/>
          <w:sz w:val="22"/>
          <w:szCs w:val="22"/>
          <w:lang w:val="en-GB" w:eastAsia="zh-CN"/>
        </w:rPr>
      </w:pPr>
    </w:p>
    <w:p w14:paraId="2583A077" w14:textId="146F5459" w:rsidR="00F502BA" w:rsidRPr="000E2036" w:rsidRDefault="00F502BA" w:rsidP="00680E16">
      <w:pPr>
        <w:jc w:val="both"/>
        <w:rPr>
          <w:rFonts w:eastAsia="ヒラギノ明朝 Pro W3"/>
          <w:sz w:val="22"/>
          <w:szCs w:val="22"/>
          <w:lang w:val="en-GB" w:eastAsia="zh-CN"/>
        </w:rPr>
      </w:pPr>
      <w:r w:rsidRPr="000E2036">
        <w:rPr>
          <w:rFonts w:eastAsia="ヒラギノ明朝 Pro W3"/>
          <w:sz w:val="22"/>
          <w:szCs w:val="22"/>
          <w:lang w:val="en-GB" w:eastAsia="zh-CN"/>
        </w:rPr>
        <w:t>Following this initiative, Carrefour opened its first hypermarket in 2015 in Abidjan, Ivory Coast.</w:t>
      </w:r>
      <w:r w:rsidRPr="000E2036">
        <w:rPr>
          <w:rStyle w:val="EndnoteReference"/>
          <w:rFonts w:eastAsia="ヒラギノ明朝 Pro W3"/>
          <w:sz w:val="22"/>
          <w:szCs w:val="22"/>
          <w:lang w:val="en-GB" w:eastAsia="zh-CN"/>
        </w:rPr>
        <w:endnoteReference w:id="51"/>
      </w:r>
    </w:p>
    <w:p w14:paraId="45AFBBD0" w14:textId="77777777" w:rsidR="00F502BA" w:rsidRPr="000E2036" w:rsidRDefault="00F502BA" w:rsidP="00680E16">
      <w:pPr>
        <w:jc w:val="both"/>
        <w:rPr>
          <w:rFonts w:eastAsia="ヒラギノ明朝 Pro W3"/>
          <w:sz w:val="22"/>
          <w:szCs w:val="22"/>
          <w:lang w:val="en-GB" w:eastAsia="zh-CN"/>
        </w:rPr>
      </w:pPr>
    </w:p>
    <w:p w14:paraId="25378EBA" w14:textId="2E87CF84" w:rsidR="00F502BA" w:rsidRPr="000E2036" w:rsidRDefault="002324D3" w:rsidP="00567039">
      <w:pPr>
        <w:jc w:val="both"/>
        <w:rPr>
          <w:rFonts w:eastAsia="ヒラギノ明朝 Pro W3"/>
          <w:sz w:val="22"/>
          <w:szCs w:val="22"/>
          <w:lang w:val="en-GB" w:eastAsia="zh-CN"/>
        </w:rPr>
      </w:pPr>
      <w:r w:rsidRPr="000E2036">
        <w:rPr>
          <w:rFonts w:eastAsia="ヒラギノ明朝 Pro W3"/>
          <w:sz w:val="22"/>
          <w:szCs w:val="22"/>
          <w:lang w:val="en-GB" w:eastAsia="zh-CN"/>
        </w:rPr>
        <w:t>Although</w:t>
      </w:r>
      <w:r w:rsidR="00F502BA" w:rsidRPr="000E2036">
        <w:rPr>
          <w:rFonts w:eastAsia="ヒラギノ明朝 Pro W3"/>
          <w:sz w:val="22"/>
          <w:szCs w:val="22"/>
          <w:lang w:val="en-GB" w:eastAsia="zh-CN"/>
        </w:rPr>
        <w:t xml:space="preserve"> “CFAO was TTC’s largest-ever investment,” the investment did not have </w:t>
      </w:r>
      <w:r w:rsidR="00896121" w:rsidRPr="000E2036">
        <w:rPr>
          <w:rFonts w:eastAsia="ヒラギノ明朝 Pro W3"/>
          <w:sz w:val="22"/>
          <w:szCs w:val="22"/>
          <w:lang w:val="en-GB" w:eastAsia="zh-CN"/>
        </w:rPr>
        <w:t xml:space="preserve">a </w:t>
      </w:r>
      <w:r w:rsidR="00F502BA" w:rsidRPr="000E2036">
        <w:rPr>
          <w:rFonts w:eastAsia="ヒラギノ明朝 Pro W3"/>
          <w:sz w:val="22"/>
          <w:szCs w:val="22"/>
          <w:lang w:val="en-GB" w:eastAsia="zh-CN"/>
        </w:rPr>
        <w:t xml:space="preserve">negative </w:t>
      </w:r>
      <w:r w:rsidR="00C81BBD">
        <w:rPr>
          <w:rFonts w:eastAsia="ヒラギノ明朝 Pro W3"/>
          <w:sz w:val="22"/>
          <w:szCs w:val="22"/>
          <w:lang w:val="en-GB" w:eastAsia="zh-CN"/>
        </w:rPr>
        <w:t>effe</w:t>
      </w:r>
      <w:r w:rsidR="00C81BBD" w:rsidRPr="000E2036">
        <w:rPr>
          <w:rFonts w:eastAsia="ヒラギノ明朝 Pro W3"/>
          <w:sz w:val="22"/>
          <w:szCs w:val="22"/>
          <w:lang w:val="en-GB" w:eastAsia="zh-CN"/>
        </w:rPr>
        <w:t xml:space="preserve">ct </w:t>
      </w:r>
      <w:r w:rsidR="00F502BA" w:rsidRPr="000E2036">
        <w:rPr>
          <w:rFonts w:eastAsia="ヒラギノ明朝 Pro W3"/>
          <w:sz w:val="22"/>
          <w:szCs w:val="22"/>
          <w:lang w:val="en-GB" w:eastAsia="zh-CN"/>
        </w:rPr>
        <w:t>on TTC’s performance</w:t>
      </w:r>
      <w:r w:rsidRPr="000E2036">
        <w:rPr>
          <w:rFonts w:eastAsia="ヒラギノ明朝 Pro W3"/>
          <w:sz w:val="22"/>
          <w:szCs w:val="22"/>
          <w:lang w:val="en-GB" w:eastAsia="zh-CN"/>
        </w:rPr>
        <w:t>, according to Karube</w:t>
      </w:r>
      <w:r w:rsidR="00F502BA" w:rsidRPr="000E2036">
        <w:rPr>
          <w:rFonts w:eastAsia="ヒラギノ明朝 Pro W3"/>
          <w:sz w:val="22"/>
          <w:szCs w:val="22"/>
          <w:lang w:val="en-GB" w:eastAsia="zh-CN"/>
        </w:rPr>
        <w:t>.</w:t>
      </w:r>
      <w:r w:rsidR="00F502BA" w:rsidRPr="000E2036">
        <w:rPr>
          <w:rStyle w:val="EndnoteReference"/>
          <w:rFonts w:eastAsia="ヒラギノ明朝 Pro W3"/>
          <w:sz w:val="22"/>
          <w:szCs w:val="22"/>
          <w:lang w:val="en-GB" w:eastAsia="zh-CN"/>
        </w:rPr>
        <w:endnoteReference w:id="52"/>
      </w:r>
      <w:r w:rsidR="00F502BA" w:rsidRPr="000E2036">
        <w:rPr>
          <w:rFonts w:eastAsia="ヒラギノ明朝 Pro W3"/>
          <w:sz w:val="22"/>
          <w:szCs w:val="22"/>
          <w:lang w:val="en-GB" w:eastAsia="zh-CN"/>
        </w:rPr>
        <w:t xml:space="preserve"> On the contrary, TTC increased its year</w:t>
      </w:r>
      <w:r w:rsidR="00650072" w:rsidRPr="000E2036">
        <w:rPr>
          <w:rFonts w:eastAsia="ヒラギノ明朝 Pro W3"/>
          <w:sz w:val="22"/>
          <w:szCs w:val="22"/>
          <w:lang w:val="en-GB" w:eastAsia="zh-CN"/>
        </w:rPr>
        <w:t>-</w:t>
      </w:r>
      <w:r w:rsidR="00F502BA" w:rsidRPr="000E2036">
        <w:rPr>
          <w:rFonts w:eastAsia="ヒラギノ明朝 Pro W3"/>
          <w:sz w:val="22"/>
          <w:szCs w:val="22"/>
          <w:lang w:val="en-GB" w:eastAsia="zh-CN"/>
        </w:rPr>
        <w:t>on</w:t>
      </w:r>
      <w:r w:rsidR="00650072" w:rsidRPr="000E2036">
        <w:rPr>
          <w:rFonts w:eastAsia="ヒラギノ明朝 Pro W3"/>
          <w:sz w:val="22"/>
          <w:szCs w:val="22"/>
          <w:lang w:val="en-GB" w:eastAsia="zh-CN"/>
        </w:rPr>
        <w:t>-</w:t>
      </w:r>
      <w:r w:rsidR="00F502BA" w:rsidRPr="000E2036">
        <w:rPr>
          <w:rFonts w:eastAsia="ヒラギノ明朝 Pro W3"/>
          <w:sz w:val="22"/>
          <w:szCs w:val="22"/>
          <w:lang w:val="en-GB" w:eastAsia="zh-CN"/>
        </w:rPr>
        <w:t xml:space="preserve">year net income by 2 per cent to ¥67.4 billion, operating income by 25 per cent to ¥115.9 billion, and net sales by 7 per cent to ¥6,304.4 billion in </w:t>
      </w:r>
      <w:r w:rsidR="00D02B74" w:rsidRPr="000E2036">
        <w:rPr>
          <w:rFonts w:eastAsia="ヒラギノ明朝 Pro W3"/>
          <w:sz w:val="22"/>
          <w:szCs w:val="22"/>
          <w:lang w:val="en-GB" w:eastAsia="zh-CN"/>
        </w:rPr>
        <w:t>FY</w:t>
      </w:r>
      <w:r w:rsidR="00F502BA" w:rsidRPr="000E2036">
        <w:rPr>
          <w:rFonts w:eastAsia="ヒラギノ明朝 Pro W3"/>
          <w:sz w:val="22"/>
          <w:szCs w:val="22"/>
          <w:lang w:val="en-GB" w:eastAsia="zh-CN"/>
        </w:rPr>
        <w:t xml:space="preserve"> 20</w:t>
      </w:r>
      <w:r w:rsidR="00763007">
        <w:rPr>
          <w:rFonts w:eastAsia="ヒラギノ明朝 Pro W3"/>
          <w:sz w:val="22"/>
          <w:szCs w:val="22"/>
          <w:lang w:val="en-GB" w:eastAsia="zh-CN"/>
        </w:rPr>
        <w:t>12/</w:t>
      </w:r>
      <w:r w:rsidR="00F502BA" w:rsidRPr="000E2036">
        <w:rPr>
          <w:rFonts w:eastAsia="ヒラギノ明朝 Pro W3"/>
          <w:sz w:val="22"/>
          <w:szCs w:val="22"/>
          <w:lang w:val="en-GB" w:eastAsia="zh-CN"/>
        </w:rPr>
        <w:t>13 (</w:t>
      </w:r>
      <w:r w:rsidRPr="000E2036">
        <w:rPr>
          <w:rFonts w:eastAsia="ヒラギノ明朝 Pro W3"/>
          <w:sz w:val="22"/>
          <w:szCs w:val="22"/>
          <w:lang w:val="en-GB" w:eastAsia="zh-CN"/>
        </w:rPr>
        <w:t>s</w:t>
      </w:r>
      <w:r w:rsidR="00F502BA" w:rsidRPr="000E2036">
        <w:rPr>
          <w:rFonts w:eastAsia="ヒラギノ明朝 Pro W3"/>
          <w:sz w:val="22"/>
          <w:szCs w:val="22"/>
          <w:lang w:val="en-GB" w:eastAsia="zh-CN"/>
        </w:rPr>
        <w:t xml:space="preserve">ee </w:t>
      </w:r>
      <w:r w:rsidR="00872D58" w:rsidRPr="000E2036">
        <w:rPr>
          <w:rFonts w:eastAsia="ヒラギノ明朝 Pro W3"/>
          <w:sz w:val="22"/>
          <w:szCs w:val="22"/>
          <w:lang w:val="en-GB" w:eastAsia="zh-CN"/>
        </w:rPr>
        <w:t>Exhibit 5</w:t>
      </w:r>
      <w:r w:rsidR="00F502BA" w:rsidRPr="000E2036">
        <w:rPr>
          <w:rFonts w:eastAsia="ヒラギノ明朝 Pro W3"/>
          <w:sz w:val="22"/>
          <w:szCs w:val="22"/>
          <w:lang w:val="en-GB" w:eastAsia="zh-CN"/>
        </w:rPr>
        <w:t>)</w:t>
      </w:r>
      <w:r w:rsidRPr="000E2036">
        <w:rPr>
          <w:rFonts w:eastAsia="ヒラギノ明朝 Pro W3"/>
          <w:sz w:val="22"/>
          <w:szCs w:val="22"/>
          <w:lang w:val="en-GB" w:eastAsia="zh-CN"/>
        </w:rPr>
        <w:t>.</w:t>
      </w:r>
      <w:r w:rsidR="00F502BA" w:rsidRPr="000E2036">
        <w:rPr>
          <w:rFonts w:eastAsia="ヒラギノ明朝 Pro W3"/>
          <w:sz w:val="22"/>
          <w:szCs w:val="22"/>
          <w:lang w:val="en-GB" w:eastAsia="zh-CN"/>
        </w:rPr>
        <w:t xml:space="preserve"> However, TTC’s overall increase in sales and earnings </w:t>
      </w:r>
      <w:r w:rsidRPr="000E2036">
        <w:rPr>
          <w:rFonts w:eastAsia="ヒラギノ明朝 Pro W3"/>
          <w:sz w:val="22"/>
          <w:szCs w:val="22"/>
          <w:lang w:val="en-GB" w:eastAsia="zh-CN"/>
        </w:rPr>
        <w:t>was consistent with</w:t>
      </w:r>
      <w:r w:rsidR="008F1392" w:rsidRPr="000E2036">
        <w:rPr>
          <w:rFonts w:eastAsia="ヒラギノ明朝 Pro W3"/>
          <w:sz w:val="22"/>
          <w:szCs w:val="22"/>
          <w:lang w:val="en-GB" w:eastAsia="zh-CN"/>
        </w:rPr>
        <w:t xml:space="preserve"> the</w:t>
      </w:r>
      <w:r w:rsidR="00F502BA" w:rsidRPr="000E2036">
        <w:rPr>
          <w:rFonts w:eastAsia="ヒラギノ明朝 Pro W3"/>
          <w:sz w:val="22"/>
          <w:szCs w:val="22"/>
          <w:lang w:val="en-GB" w:eastAsia="zh-CN"/>
        </w:rPr>
        <w:t xml:space="preserve"> global growth in vehicle production and sales by its automaker customers and </w:t>
      </w:r>
      <w:r w:rsidRPr="000E2036">
        <w:rPr>
          <w:rFonts w:eastAsia="ヒラギノ明朝 Pro W3"/>
          <w:sz w:val="22"/>
          <w:szCs w:val="22"/>
          <w:lang w:val="en-GB" w:eastAsia="zh-CN"/>
        </w:rPr>
        <w:t xml:space="preserve">with </w:t>
      </w:r>
      <w:r w:rsidR="00F502BA" w:rsidRPr="000E2036">
        <w:rPr>
          <w:rFonts w:eastAsia="ヒラギノ明朝 Pro W3"/>
          <w:sz w:val="22"/>
          <w:szCs w:val="22"/>
          <w:lang w:val="en-GB" w:eastAsia="zh-CN"/>
        </w:rPr>
        <w:t>the inclusion of performance from additional subsidiaries in the consolidated accounts.</w:t>
      </w:r>
    </w:p>
    <w:p w14:paraId="2FA4C56B" w14:textId="77777777" w:rsidR="00F502BA" w:rsidRPr="000E2036" w:rsidRDefault="00F502BA" w:rsidP="00567039">
      <w:pPr>
        <w:jc w:val="both"/>
        <w:rPr>
          <w:rFonts w:eastAsia="ヒラギノ明朝 Pro W3"/>
          <w:sz w:val="22"/>
          <w:szCs w:val="22"/>
          <w:lang w:val="en-GB" w:eastAsia="zh-CN"/>
        </w:rPr>
      </w:pPr>
    </w:p>
    <w:p w14:paraId="005E5CD6" w14:textId="09329A83" w:rsidR="00F502BA" w:rsidRPr="000E2036" w:rsidRDefault="00F502BA" w:rsidP="00E55635">
      <w:pPr>
        <w:jc w:val="both"/>
        <w:rPr>
          <w:rFonts w:eastAsia="ヒラギノ明朝 Pro W3"/>
          <w:sz w:val="22"/>
          <w:szCs w:val="22"/>
          <w:lang w:val="en-GB" w:eastAsia="zh-CN"/>
        </w:rPr>
      </w:pPr>
      <w:r w:rsidRPr="000E2036">
        <w:rPr>
          <w:rFonts w:eastAsia="ヒラギノ明朝 Pro W3"/>
          <w:sz w:val="22"/>
          <w:szCs w:val="22"/>
          <w:lang w:val="en-GB" w:eastAsia="zh-CN"/>
        </w:rPr>
        <w:t xml:space="preserve">CFAO Automotive recorded a great </w:t>
      </w:r>
      <w:r w:rsidR="008F1392" w:rsidRPr="000E2036">
        <w:rPr>
          <w:rFonts w:eastAsia="ヒラギノ明朝 Pro W3"/>
          <w:sz w:val="22"/>
          <w:szCs w:val="22"/>
          <w:lang w:val="en-GB" w:eastAsia="zh-CN"/>
        </w:rPr>
        <w:t xml:space="preserve">year in </w:t>
      </w:r>
      <w:r w:rsidRPr="000E2036">
        <w:rPr>
          <w:rFonts w:eastAsia="ヒラギノ明朝 Pro W3"/>
          <w:sz w:val="22"/>
          <w:szCs w:val="22"/>
          <w:lang w:val="en-GB" w:eastAsia="zh-CN"/>
        </w:rPr>
        <w:t>2012 with 95,063 new cars sold, an increase of 16 per cent from the previous year</w:t>
      </w:r>
      <w:r w:rsidR="00C81BBD">
        <w:rPr>
          <w:rFonts w:eastAsia="ヒラギノ明朝 Pro W3"/>
          <w:sz w:val="22"/>
          <w:szCs w:val="22"/>
          <w:lang w:val="en-GB" w:eastAsia="zh-CN"/>
        </w:rPr>
        <w:t>; this</w:t>
      </w:r>
      <w:r w:rsidRPr="000E2036">
        <w:rPr>
          <w:rFonts w:eastAsia="ヒラギノ明朝 Pro W3"/>
          <w:sz w:val="22"/>
          <w:szCs w:val="22"/>
          <w:lang w:val="en-GB" w:eastAsia="zh-CN"/>
        </w:rPr>
        <w:t xml:space="preserve"> included 52,808 cars sold from markets in Maghreb. However, it suffered from a hard </w:t>
      </w:r>
      <w:r w:rsidR="008F1392" w:rsidRPr="000E2036">
        <w:rPr>
          <w:rFonts w:eastAsia="ヒラギノ明朝 Pro W3"/>
          <w:sz w:val="22"/>
          <w:szCs w:val="22"/>
          <w:lang w:val="en-GB" w:eastAsia="zh-CN"/>
        </w:rPr>
        <w:t xml:space="preserve">first quarter in </w:t>
      </w:r>
      <w:r w:rsidRPr="000E2036">
        <w:rPr>
          <w:rFonts w:eastAsia="ヒラギノ明朝 Pro W3"/>
          <w:sz w:val="22"/>
          <w:szCs w:val="22"/>
          <w:lang w:val="en-GB" w:eastAsia="zh-CN"/>
        </w:rPr>
        <w:t>2013 with a decrease of 28 per cent on sales, due to the decline of some ma</w:t>
      </w:r>
      <w:r w:rsidR="008F1392" w:rsidRPr="000E2036">
        <w:rPr>
          <w:rFonts w:eastAsia="ヒラギノ明朝 Pro W3"/>
          <w:sz w:val="22"/>
          <w:szCs w:val="22"/>
          <w:lang w:val="en-GB" w:eastAsia="zh-CN"/>
        </w:rPr>
        <w:t>jor</w:t>
      </w:r>
      <w:r w:rsidRPr="000E2036">
        <w:rPr>
          <w:rFonts w:eastAsia="ヒラギノ明朝 Pro W3"/>
          <w:sz w:val="22"/>
          <w:szCs w:val="22"/>
          <w:lang w:val="en-GB" w:eastAsia="zh-CN"/>
        </w:rPr>
        <w:t xml:space="preserve"> automotive markets, notably in Algeria, Morocco</w:t>
      </w:r>
      <w:r w:rsidR="006B442F">
        <w:rPr>
          <w:rFonts w:eastAsia="ヒラギノ明朝 Pro W3"/>
          <w:sz w:val="22"/>
          <w:szCs w:val="22"/>
          <w:lang w:val="en-GB" w:eastAsia="zh-CN"/>
        </w:rPr>
        <w:t>,</w:t>
      </w:r>
      <w:r w:rsidRPr="000E2036">
        <w:rPr>
          <w:rFonts w:eastAsia="ヒラギノ明朝 Pro W3"/>
          <w:sz w:val="22"/>
          <w:szCs w:val="22"/>
          <w:lang w:val="en-GB" w:eastAsia="zh-CN"/>
        </w:rPr>
        <w:t xml:space="preserve"> and Ghana.</w:t>
      </w:r>
      <w:r w:rsidRPr="000E2036">
        <w:rPr>
          <w:rStyle w:val="EndnoteReference"/>
          <w:rFonts w:eastAsia="ヒラギノ明朝 Pro W3"/>
          <w:sz w:val="22"/>
          <w:szCs w:val="22"/>
          <w:lang w:val="en-GB" w:eastAsia="zh-CN"/>
        </w:rPr>
        <w:endnoteReference w:id="53"/>
      </w:r>
      <w:r w:rsidRPr="000E2036">
        <w:rPr>
          <w:rFonts w:eastAsia="ヒラギノ明朝 Pro W3"/>
          <w:sz w:val="22"/>
          <w:szCs w:val="22"/>
          <w:lang w:val="en-GB" w:eastAsia="zh-CN"/>
        </w:rPr>
        <w:t xml:space="preserve"> CFAO</w:t>
      </w:r>
      <w:r w:rsidR="00E07029">
        <w:rPr>
          <w:rFonts w:eastAsia="ヒラギノ明朝 Pro W3"/>
          <w:sz w:val="22"/>
          <w:szCs w:val="22"/>
          <w:lang w:val="en-GB" w:eastAsia="zh-CN"/>
        </w:rPr>
        <w:t xml:space="preserve"> confirmed the negative expectations</w:t>
      </w:r>
      <w:r w:rsidR="00763007">
        <w:rPr>
          <w:rFonts w:eastAsia="ヒラギノ明朝 Pro W3"/>
          <w:sz w:val="22"/>
          <w:szCs w:val="22"/>
          <w:lang w:val="en-GB" w:eastAsia="zh-CN"/>
        </w:rPr>
        <w:t xml:space="preserve"> as follows</w:t>
      </w:r>
      <w:r w:rsidR="00E07029">
        <w:rPr>
          <w:rFonts w:eastAsia="ヒラギノ明朝 Pro W3"/>
          <w:sz w:val="22"/>
          <w:szCs w:val="22"/>
          <w:lang w:val="en-GB" w:eastAsia="zh-CN"/>
        </w:rPr>
        <w:t>:</w:t>
      </w:r>
      <w:r w:rsidR="008F1392" w:rsidRPr="000E2036">
        <w:rPr>
          <w:rFonts w:eastAsia="ヒラギノ明朝 Pro W3"/>
          <w:sz w:val="22"/>
          <w:szCs w:val="22"/>
          <w:lang w:val="en-GB" w:eastAsia="zh-CN"/>
        </w:rPr>
        <w:t xml:space="preserve"> “</w:t>
      </w:r>
      <w:r w:rsidRPr="000E2036">
        <w:rPr>
          <w:rFonts w:eastAsia="ヒラギノ明朝 Pro W3"/>
          <w:sz w:val="22"/>
          <w:szCs w:val="22"/>
          <w:lang w:val="en-GB" w:eastAsia="zh-CN"/>
        </w:rPr>
        <w:t xml:space="preserve">Due to an activity lower than expected during </w:t>
      </w:r>
      <w:r w:rsidR="008F1392" w:rsidRPr="000E2036">
        <w:rPr>
          <w:rFonts w:eastAsia="ヒラギノ明朝 Pro W3"/>
          <w:sz w:val="22"/>
          <w:szCs w:val="22"/>
          <w:lang w:val="en-GB" w:eastAsia="zh-CN"/>
        </w:rPr>
        <w:t xml:space="preserve">the </w:t>
      </w:r>
      <w:r w:rsidRPr="000E2036">
        <w:rPr>
          <w:rFonts w:eastAsia="ヒラギノ明朝 Pro W3"/>
          <w:sz w:val="22"/>
          <w:szCs w:val="22"/>
          <w:lang w:val="en-GB" w:eastAsia="zh-CN"/>
        </w:rPr>
        <w:t xml:space="preserve">first nine months of the year, and the current evolution of leading markets, mainly Algeria, it is doubtful that the division </w:t>
      </w:r>
      <w:r w:rsidR="008F1392" w:rsidRPr="000E2036">
        <w:rPr>
          <w:rFonts w:eastAsia="ヒラギノ明朝 Pro W3"/>
          <w:sz w:val="22"/>
          <w:szCs w:val="22"/>
          <w:lang w:val="en-GB" w:eastAsia="zh-CN"/>
        </w:rPr>
        <w:t xml:space="preserve">will </w:t>
      </w:r>
      <w:r w:rsidRPr="000E2036">
        <w:rPr>
          <w:rFonts w:eastAsia="ヒラギノ明朝 Pro W3"/>
          <w:sz w:val="22"/>
          <w:szCs w:val="22"/>
          <w:lang w:val="en-GB" w:eastAsia="zh-CN"/>
        </w:rPr>
        <w:t>register a positive growth this year</w:t>
      </w:r>
      <w:r w:rsidR="00E07029">
        <w:rPr>
          <w:rFonts w:eastAsia="ヒラギノ明朝 Pro W3"/>
          <w:sz w:val="22"/>
          <w:szCs w:val="22"/>
          <w:lang w:val="en-GB" w:eastAsia="zh-CN"/>
        </w:rPr>
        <w:t>.</w:t>
      </w:r>
      <w:r w:rsidRPr="000E2036">
        <w:rPr>
          <w:rFonts w:eastAsia="ヒラギノ明朝 Pro W3"/>
          <w:sz w:val="22"/>
          <w:szCs w:val="22"/>
          <w:lang w:val="en-GB" w:eastAsia="zh-CN"/>
        </w:rPr>
        <w:t>”</w:t>
      </w:r>
      <w:r w:rsidRPr="000E2036">
        <w:rPr>
          <w:rStyle w:val="EndnoteReference"/>
          <w:rFonts w:eastAsia="ヒラギノ明朝 Pro W3"/>
          <w:sz w:val="22"/>
          <w:szCs w:val="22"/>
          <w:lang w:val="en-GB" w:eastAsia="zh-CN"/>
        </w:rPr>
        <w:endnoteReference w:id="54"/>
      </w:r>
      <w:r w:rsidRPr="000E2036">
        <w:rPr>
          <w:rFonts w:eastAsia="ヒラギノ明朝 Pro W3"/>
          <w:sz w:val="22"/>
          <w:szCs w:val="22"/>
          <w:lang w:val="en-GB" w:eastAsia="zh-CN"/>
        </w:rPr>
        <w:t xml:space="preserve"> Sales in Algeria </w:t>
      </w:r>
      <w:r w:rsidR="008F1392" w:rsidRPr="000E2036">
        <w:rPr>
          <w:rFonts w:eastAsia="ヒラギノ明朝 Pro W3"/>
          <w:sz w:val="22"/>
          <w:szCs w:val="22"/>
          <w:lang w:val="en-GB" w:eastAsia="zh-CN"/>
        </w:rPr>
        <w:t>alone were</w:t>
      </w:r>
      <w:r w:rsidRPr="000E2036">
        <w:rPr>
          <w:rFonts w:eastAsia="ヒラギノ明朝 Pro W3"/>
          <w:sz w:val="22"/>
          <w:szCs w:val="22"/>
          <w:lang w:val="en-GB" w:eastAsia="zh-CN"/>
        </w:rPr>
        <w:t xml:space="preserve"> down 21.6 per cent, </w:t>
      </w:r>
      <w:r w:rsidR="008F1392" w:rsidRPr="000E2036">
        <w:rPr>
          <w:rFonts w:eastAsia="ヒラギノ明朝 Pro W3"/>
          <w:sz w:val="22"/>
          <w:szCs w:val="22"/>
          <w:lang w:val="en-GB" w:eastAsia="zh-CN"/>
        </w:rPr>
        <w:t>which affected</w:t>
      </w:r>
      <w:r w:rsidRPr="000E2036">
        <w:rPr>
          <w:rFonts w:eastAsia="ヒラギノ明朝 Pro W3"/>
          <w:sz w:val="22"/>
          <w:szCs w:val="22"/>
          <w:lang w:val="en-GB" w:eastAsia="zh-CN"/>
        </w:rPr>
        <w:t xml:space="preserve"> the whole automotive division’s performance</w:t>
      </w:r>
      <w:r w:rsidR="008F1392" w:rsidRPr="000E2036">
        <w:rPr>
          <w:rFonts w:eastAsia="ヒラギノ明朝 Pro W3"/>
          <w:sz w:val="22"/>
          <w:szCs w:val="22"/>
          <w:lang w:val="en-GB" w:eastAsia="zh-CN"/>
        </w:rPr>
        <w:t>.</w:t>
      </w:r>
      <w:r w:rsidRPr="000E2036">
        <w:rPr>
          <w:rFonts w:eastAsia="ヒラギノ明朝 Pro W3"/>
          <w:sz w:val="22"/>
          <w:szCs w:val="22"/>
          <w:lang w:val="en-GB" w:eastAsia="zh-CN"/>
        </w:rPr>
        <w:t xml:space="preserve"> </w:t>
      </w:r>
      <w:r w:rsidR="008F1392" w:rsidRPr="000E2036">
        <w:rPr>
          <w:rFonts w:eastAsia="ヒラギノ明朝 Pro W3"/>
          <w:sz w:val="22"/>
          <w:szCs w:val="22"/>
          <w:lang w:val="en-GB" w:eastAsia="zh-CN"/>
        </w:rPr>
        <w:t xml:space="preserve">The impact was </w:t>
      </w:r>
      <w:r w:rsidRPr="000E2036">
        <w:rPr>
          <w:rFonts w:eastAsia="ヒラギノ明朝 Pro W3"/>
          <w:sz w:val="22"/>
          <w:szCs w:val="22"/>
          <w:lang w:val="en-GB" w:eastAsia="zh-CN"/>
        </w:rPr>
        <w:t>especially s</w:t>
      </w:r>
      <w:r w:rsidR="008F1392" w:rsidRPr="000E2036">
        <w:rPr>
          <w:rFonts w:eastAsia="ヒラギノ明朝 Pro W3"/>
          <w:sz w:val="22"/>
          <w:szCs w:val="22"/>
          <w:lang w:val="en-GB" w:eastAsia="zh-CN"/>
        </w:rPr>
        <w:t>trong due to</w:t>
      </w:r>
      <w:r w:rsidRPr="000E2036">
        <w:rPr>
          <w:rFonts w:eastAsia="ヒラギノ明朝 Pro W3"/>
          <w:sz w:val="22"/>
          <w:szCs w:val="22"/>
          <w:lang w:val="en-GB" w:eastAsia="zh-CN"/>
        </w:rPr>
        <w:t xml:space="preserve"> the market </w:t>
      </w:r>
      <w:r w:rsidR="008F1392" w:rsidRPr="000E2036">
        <w:rPr>
          <w:rFonts w:eastAsia="ヒラギノ明朝 Pro W3"/>
          <w:sz w:val="22"/>
          <w:szCs w:val="22"/>
          <w:lang w:val="en-GB" w:eastAsia="zh-CN"/>
        </w:rPr>
        <w:t>being</w:t>
      </w:r>
      <w:r w:rsidRPr="000E2036">
        <w:rPr>
          <w:rFonts w:eastAsia="ヒラギノ明朝 Pro W3"/>
          <w:sz w:val="22"/>
          <w:szCs w:val="22"/>
          <w:lang w:val="en-GB" w:eastAsia="zh-CN"/>
        </w:rPr>
        <w:t xml:space="preserve"> associated with Congo, Réunion Island, Cameroon, Antilles, and </w:t>
      </w:r>
      <w:r w:rsidR="008F1392" w:rsidRPr="000E2036">
        <w:rPr>
          <w:rFonts w:eastAsia="ヒラギノ明朝 Pro W3"/>
          <w:sz w:val="22"/>
          <w:szCs w:val="22"/>
          <w:lang w:val="en-GB" w:eastAsia="zh-CN"/>
        </w:rPr>
        <w:t xml:space="preserve">the </w:t>
      </w:r>
      <w:r w:rsidRPr="000E2036">
        <w:rPr>
          <w:rFonts w:eastAsia="ヒラギノ明朝 Pro W3"/>
          <w:sz w:val="22"/>
          <w:szCs w:val="22"/>
          <w:lang w:val="en-GB" w:eastAsia="zh-CN"/>
        </w:rPr>
        <w:t>Ivory Coast</w:t>
      </w:r>
      <w:r w:rsidR="008F1392" w:rsidRPr="000E2036">
        <w:rPr>
          <w:rFonts w:eastAsia="ヒラギノ明朝 Pro W3"/>
          <w:sz w:val="22"/>
          <w:szCs w:val="22"/>
          <w:lang w:val="en-GB" w:eastAsia="zh-CN"/>
        </w:rPr>
        <w:t>,</w:t>
      </w:r>
      <w:r w:rsidRPr="000E2036">
        <w:rPr>
          <w:rFonts w:eastAsia="ヒラギノ明朝 Pro W3"/>
          <w:sz w:val="22"/>
          <w:szCs w:val="22"/>
          <w:lang w:val="en-GB" w:eastAsia="zh-CN"/>
        </w:rPr>
        <w:t xml:space="preserve"> which </w:t>
      </w:r>
      <w:r w:rsidR="00F1391E" w:rsidRPr="000E2036">
        <w:rPr>
          <w:rFonts w:eastAsia="ヒラギノ明朝 Pro W3"/>
          <w:sz w:val="22"/>
          <w:szCs w:val="22"/>
          <w:lang w:val="en-GB" w:eastAsia="zh-CN"/>
        </w:rPr>
        <w:t>had</w:t>
      </w:r>
      <w:r w:rsidRPr="000E2036">
        <w:rPr>
          <w:rFonts w:eastAsia="ヒラギノ明朝 Pro W3"/>
          <w:sz w:val="22"/>
          <w:szCs w:val="22"/>
          <w:lang w:val="en-GB" w:eastAsia="zh-CN"/>
        </w:rPr>
        <w:t xml:space="preserve"> contributed significantly to the performance of CFAO’s automotive sector. The fall of automotive sales in the Maghreb region and the economic slowdown in oil-producing countries continued to affect CFAO’s revenue until 2015</w:t>
      </w:r>
      <w:r w:rsidR="006B59AF" w:rsidRPr="000E2036">
        <w:rPr>
          <w:rFonts w:eastAsia="ヒラギノ明朝 Pro W3"/>
          <w:sz w:val="22"/>
          <w:szCs w:val="22"/>
          <w:lang w:val="en-GB" w:eastAsia="zh-CN"/>
        </w:rPr>
        <w:t xml:space="preserve"> (</w:t>
      </w:r>
      <w:r w:rsidR="00F1391E" w:rsidRPr="000E2036">
        <w:rPr>
          <w:rFonts w:eastAsia="ヒラギノ明朝 Pro W3"/>
          <w:sz w:val="22"/>
          <w:szCs w:val="22"/>
          <w:lang w:val="en-GB" w:eastAsia="zh-CN"/>
        </w:rPr>
        <w:t>s</w:t>
      </w:r>
      <w:r w:rsidR="006B59AF" w:rsidRPr="000E2036">
        <w:rPr>
          <w:rFonts w:eastAsia="ヒラギノ明朝 Pro W3"/>
          <w:sz w:val="22"/>
          <w:szCs w:val="22"/>
          <w:lang w:val="en-GB" w:eastAsia="zh-CN"/>
        </w:rPr>
        <w:t>ee Exhibit 6)</w:t>
      </w:r>
      <w:r w:rsidR="00F1391E" w:rsidRPr="000E2036">
        <w:rPr>
          <w:rFonts w:eastAsia="ヒラギノ明朝 Pro W3"/>
          <w:sz w:val="22"/>
          <w:szCs w:val="22"/>
          <w:lang w:val="en-GB" w:eastAsia="zh-CN"/>
        </w:rPr>
        <w:t>.</w:t>
      </w:r>
    </w:p>
    <w:p w14:paraId="2FA0C922" w14:textId="77777777" w:rsidR="00F502BA" w:rsidRPr="000E2036" w:rsidRDefault="00F502BA" w:rsidP="00680E16">
      <w:pPr>
        <w:jc w:val="both"/>
        <w:rPr>
          <w:rFonts w:eastAsia="ヒラギノ明朝 Pro W3"/>
          <w:sz w:val="22"/>
          <w:szCs w:val="22"/>
          <w:lang w:val="en-GB" w:eastAsia="zh-CN"/>
        </w:rPr>
      </w:pPr>
    </w:p>
    <w:p w14:paraId="17CB1437" w14:textId="755E4078" w:rsidR="00F502BA" w:rsidRPr="000E2036" w:rsidRDefault="00F219E2" w:rsidP="00680E16">
      <w:pPr>
        <w:jc w:val="both"/>
        <w:rPr>
          <w:rFonts w:eastAsia="ヒラギノ明朝 Pro W3"/>
          <w:sz w:val="22"/>
          <w:szCs w:val="22"/>
          <w:lang w:val="en-GB" w:eastAsia="zh-CN"/>
        </w:rPr>
      </w:pPr>
      <w:r w:rsidRPr="000E2036">
        <w:rPr>
          <w:rFonts w:eastAsia="ヒラギノ明朝 Pro W3"/>
          <w:sz w:val="22"/>
          <w:szCs w:val="22"/>
          <w:lang w:val="en-GB" w:eastAsia="zh-CN"/>
        </w:rPr>
        <w:lastRenderedPageBreak/>
        <w:t>However, t</w:t>
      </w:r>
      <w:r w:rsidR="00F502BA" w:rsidRPr="000E2036">
        <w:rPr>
          <w:rFonts w:eastAsia="ヒラギノ明朝 Pro W3"/>
          <w:sz w:val="22"/>
          <w:szCs w:val="22"/>
          <w:lang w:val="en-GB" w:eastAsia="zh-CN"/>
        </w:rPr>
        <w:t xml:space="preserve">he slow performance in the automotive sector, particularly affected by the collapse of </w:t>
      </w:r>
      <w:r w:rsidRPr="000E2036">
        <w:rPr>
          <w:rFonts w:eastAsia="ヒラギノ明朝 Pro W3"/>
          <w:sz w:val="22"/>
          <w:szCs w:val="22"/>
          <w:lang w:val="en-GB" w:eastAsia="zh-CN"/>
        </w:rPr>
        <w:t xml:space="preserve">the </w:t>
      </w:r>
      <w:r w:rsidR="00F502BA" w:rsidRPr="000E2036">
        <w:rPr>
          <w:rFonts w:eastAsia="ヒラギノ明朝 Pro W3"/>
          <w:sz w:val="22"/>
          <w:szCs w:val="22"/>
          <w:lang w:val="en-GB" w:eastAsia="zh-CN"/>
        </w:rPr>
        <w:t xml:space="preserve">Algerian market and the breach of </w:t>
      </w:r>
      <w:r w:rsidRPr="000E2036">
        <w:rPr>
          <w:rFonts w:eastAsia="ヒラギノ明朝 Pro W3"/>
          <w:sz w:val="22"/>
          <w:szCs w:val="22"/>
          <w:lang w:val="en-GB" w:eastAsia="zh-CN"/>
        </w:rPr>
        <w:t xml:space="preserve">a </w:t>
      </w:r>
      <w:r w:rsidR="00F502BA" w:rsidRPr="000E2036">
        <w:rPr>
          <w:rFonts w:eastAsia="ヒラギノ明朝 Pro W3"/>
          <w:sz w:val="22"/>
          <w:szCs w:val="22"/>
          <w:lang w:val="en-GB" w:eastAsia="zh-CN"/>
        </w:rPr>
        <w:t>contract with Nissan, did not prevent CFAO from exploiting its strength and pertinence in Africa. At the end of 2014, CFAO announced a joint venture with Porsche Holding Salzburg to import and distribute Volkswagen’s passenger cars and light commercial vehicles in East Africa.</w:t>
      </w:r>
      <w:r w:rsidR="00F502BA" w:rsidRPr="000E2036">
        <w:rPr>
          <w:rStyle w:val="EndnoteReference"/>
          <w:rFonts w:eastAsia="ヒラギノ明朝 Pro W3"/>
          <w:sz w:val="22"/>
          <w:szCs w:val="22"/>
          <w:lang w:val="en-GB" w:eastAsia="zh-CN"/>
        </w:rPr>
        <w:endnoteReference w:id="55"/>
      </w:r>
      <w:r w:rsidR="00F502BA" w:rsidRPr="000E2036">
        <w:rPr>
          <w:rFonts w:eastAsia="ヒラギノ明朝 Pro W3"/>
          <w:sz w:val="22"/>
          <w:szCs w:val="22"/>
          <w:lang w:val="en-GB" w:eastAsia="zh-CN"/>
        </w:rPr>
        <w:t xml:space="preserve"> In February 2015, CFAO enhanced its partnership with Yamaha Motor </w:t>
      </w:r>
      <w:r w:rsidR="00C81BBD" w:rsidRPr="00C81BBD">
        <w:rPr>
          <w:rFonts w:eastAsia="ヒラギノ明朝 Pro W3"/>
          <w:sz w:val="22"/>
          <w:szCs w:val="22"/>
          <w:lang w:val="en-GB" w:eastAsia="zh-CN"/>
        </w:rPr>
        <w:t xml:space="preserve">Company Limited </w:t>
      </w:r>
      <w:r w:rsidR="00F502BA" w:rsidRPr="000E2036">
        <w:rPr>
          <w:rFonts w:eastAsia="ヒラギノ明朝 Pro W3"/>
          <w:sz w:val="22"/>
          <w:szCs w:val="22"/>
          <w:lang w:val="en-GB" w:eastAsia="zh-CN"/>
        </w:rPr>
        <w:t xml:space="preserve">by jointly creating a company in Nigeria to make “Africa’s </w:t>
      </w:r>
      <w:r w:rsidRPr="000E2036">
        <w:rPr>
          <w:rFonts w:eastAsia="ヒラギノ明朝 Pro W3"/>
          <w:sz w:val="22"/>
          <w:szCs w:val="22"/>
          <w:lang w:val="en-GB" w:eastAsia="zh-CN"/>
        </w:rPr>
        <w:t>fir</w:t>
      </w:r>
      <w:r w:rsidR="00F502BA" w:rsidRPr="000E2036">
        <w:rPr>
          <w:rFonts w:eastAsia="ヒラギノ明朝 Pro W3"/>
          <w:sz w:val="22"/>
          <w:szCs w:val="22"/>
          <w:lang w:val="en-GB" w:eastAsia="zh-CN"/>
        </w:rPr>
        <w:t xml:space="preserve">st market with more than </w:t>
      </w:r>
      <w:r w:rsidRPr="000E2036">
        <w:rPr>
          <w:rFonts w:eastAsia="ヒラギノ明朝 Pro W3"/>
          <w:sz w:val="22"/>
          <w:szCs w:val="22"/>
          <w:lang w:val="en-GB" w:eastAsia="zh-CN"/>
        </w:rPr>
        <w:t>1</w:t>
      </w:r>
      <w:r w:rsidR="00F502BA" w:rsidRPr="000E2036">
        <w:rPr>
          <w:rFonts w:eastAsia="ヒラギノ明朝 Pro W3"/>
          <w:sz w:val="22"/>
          <w:szCs w:val="22"/>
          <w:lang w:val="en-GB" w:eastAsia="zh-CN"/>
        </w:rPr>
        <w:t xml:space="preserve"> million new motorcycles sold every year.” Before</w:t>
      </w:r>
      <w:r w:rsidRPr="000E2036">
        <w:rPr>
          <w:rFonts w:eastAsia="ヒラギノ明朝 Pro W3"/>
          <w:sz w:val="22"/>
          <w:szCs w:val="22"/>
          <w:lang w:val="en-GB" w:eastAsia="zh-CN"/>
        </w:rPr>
        <w:t xml:space="preserve"> that</w:t>
      </w:r>
      <w:r w:rsidR="00F502BA" w:rsidRPr="000E2036">
        <w:rPr>
          <w:rFonts w:eastAsia="ヒラギノ明朝 Pro W3"/>
          <w:sz w:val="22"/>
          <w:szCs w:val="22"/>
          <w:lang w:val="en-GB" w:eastAsia="zh-CN"/>
        </w:rPr>
        <w:t xml:space="preserve">, CFAO </w:t>
      </w:r>
      <w:r w:rsidRPr="000E2036">
        <w:rPr>
          <w:rFonts w:eastAsia="ヒラギノ明朝 Pro W3"/>
          <w:sz w:val="22"/>
          <w:szCs w:val="22"/>
          <w:lang w:val="en-GB" w:eastAsia="zh-CN"/>
        </w:rPr>
        <w:t xml:space="preserve">had been </w:t>
      </w:r>
      <w:r w:rsidR="00F502BA" w:rsidRPr="000E2036">
        <w:rPr>
          <w:rFonts w:eastAsia="ヒラギノ明朝 Pro W3"/>
          <w:sz w:val="22"/>
          <w:szCs w:val="22"/>
          <w:lang w:val="en-GB" w:eastAsia="zh-CN"/>
        </w:rPr>
        <w:t>already distribut</w:t>
      </w:r>
      <w:r w:rsidRPr="000E2036">
        <w:rPr>
          <w:rFonts w:eastAsia="ヒラギノ明朝 Pro W3"/>
          <w:sz w:val="22"/>
          <w:szCs w:val="22"/>
          <w:lang w:val="en-GB" w:eastAsia="zh-CN"/>
        </w:rPr>
        <w:t>ing</w:t>
      </w:r>
      <w:r w:rsidR="00F502BA" w:rsidRPr="000E2036">
        <w:rPr>
          <w:rFonts w:eastAsia="ヒラギノ明朝 Pro W3"/>
          <w:sz w:val="22"/>
          <w:szCs w:val="22"/>
          <w:lang w:val="en-GB" w:eastAsia="zh-CN"/>
        </w:rPr>
        <w:t xml:space="preserve"> Yamaha motorcycles in 15 African countries.</w:t>
      </w:r>
      <w:r w:rsidR="00F502BA" w:rsidRPr="000E2036">
        <w:rPr>
          <w:rStyle w:val="EndnoteReference"/>
          <w:rFonts w:eastAsia="ヒラギノ明朝 Pro W3"/>
          <w:sz w:val="22"/>
          <w:szCs w:val="22"/>
          <w:lang w:val="en-GB" w:eastAsia="zh-CN"/>
        </w:rPr>
        <w:endnoteReference w:id="56"/>
      </w:r>
      <w:r w:rsidR="00F502BA" w:rsidRPr="000E2036">
        <w:rPr>
          <w:rFonts w:eastAsia="ヒラギノ明朝 Pro W3"/>
          <w:sz w:val="22"/>
          <w:szCs w:val="22"/>
          <w:lang w:val="en-GB" w:eastAsia="zh-CN"/>
        </w:rPr>
        <w:t xml:space="preserve"> In June 2015, CFAO established two new car dealerships in Abidjan, </w:t>
      </w:r>
      <w:r w:rsidRPr="000E2036">
        <w:rPr>
          <w:rFonts w:eastAsia="ヒラギノ明朝 Pro W3"/>
          <w:sz w:val="22"/>
          <w:szCs w:val="22"/>
          <w:lang w:val="en-GB" w:eastAsia="zh-CN"/>
        </w:rPr>
        <w:t xml:space="preserve">the </w:t>
      </w:r>
      <w:r w:rsidR="00F502BA" w:rsidRPr="000E2036">
        <w:rPr>
          <w:rFonts w:eastAsia="ヒラギノ明朝 Pro W3"/>
          <w:sz w:val="22"/>
          <w:szCs w:val="22"/>
          <w:lang w:val="en-GB" w:eastAsia="zh-CN"/>
        </w:rPr>
        <w:t>Ivory Coast capital</w:t>
      </w:r>
      <w:r w:rsidRPr="000E2036">
        <w:rPr>
          <w:rFonts w:eastAsia="ヒラギノ明朝 Pro W3"/>
          <w:sz w:val="22"/>
          <w:szCs w:val="22"/>
          <w:lang w:val="en-GB" w:eastAsia="zh-CN"/>
        </w:rPr>
        <w:t>,</w:t>
      </w:r>
      <w:r w:rsidR="00F502BA" w:rsidRPr="000E2036">
        <w:rPr>
          <w:rFonts w:eastAsia="ヒラギノ明朝 Pro W3"/>
          <w:sz w:val="22"/>
          <w:szCs w:val="22"/>
          <w:lang w:val="en-GB" w:eastAsia="zh-CN"/>
        </w:rPr>
        <w:t xml:space="preserve"> and in Kinshasa, </w:t>
      </w:r>
      <w:r w:rsidRPr="000E2036">
        <w:rPr>
          <w:rFonts w:eastAsia="ヒラギノ明朝 Pro W3"/>
          <w:sz w:val="22"/>
          <w:szCs w:val="22"/>
          <w:lang w:val="en-GB" w:eastAsia="zh-CN"/>
        </w:rPr>
        <w:t xml:space="preserve">the </w:t>
      </w:r>
      <w:r w:rsidR="00F502BA" w:rsidRPr="000E2036">
        <w:rPr>
          <w:rFonts w:eastAsia="ヒラギノ明朝 Pro W3"/>
          <w:sz w:val="22"/>
          <w:szCs w:val="22"/>
          <w:lang w:val="en-GB" w:eastAsia="zh-CN"/>
        </w:rPr>
        <w:t xml:space="preserve">Democratic Republic of Congo capital. Abidjan’s dealership exclusively distributed </w:t>
      </w:r>
      <w:r w:rsidRPr="000E2036">
        <w:rPr>
          <w:rFonts w:eastAsia="ヒラギノ明朝 Pro W3"/>
          <w:sz w:val="22"/>
          <w:szCs w:val="22"/>
          <w:lang w:val="en-GB" w:eastAsia="zh-CN"/>
        </w:rPr>
        <w:t xml:space="preserve">the </w:t>
      </w:r>
      <w:r w:rsidR="00F502BA" w:rsidRPr="000E2036">
        <w:rPr>
          <w:rFonts w:eastAsia="ヒラギノ明朝 Pro W3"/>
          <w:sz w:val="22"/>
          <w:szCs w:val="22"/>
          <w:lang w:val="en-GB" w:eastAsia="zh-CN"/>
        </w:rPr>
        <w:t>Toyota brand</w:t>
      </w:r>
      <w:r w:rsidR="00AA5AB9" w:rsidRPr="000E2036">
        <w:rPr>
          <w:rFonts w:eastAsia="ヒラギノ明朝 Pro W3"/>
          <w:sz w:val="22"/>
          <w:szCs w:val="22"/>
          <w:lang w:val="en-GB" w:eastAsia="zh-CN"/>
        </w:rPr>
        <w:t>;</w:t>
      </w:r>
      <w:r w:rsidR="00F502BA" w:rsidRPr="000E2036">
        <w:rPr>
          <w:rFonts w:eastAsia="ヒラギノ明朝 Pro W3"/>
          <w:sz w:val="22"/>
          <w:szCs w:val="22"/>
          <w:lang w:val="en-GB" w:eastAsia="zh-CN"/>
        </w:rPr>
        <w:t xml:space="preserve"> in Kinshasa, customers ha</w:t>
      </w:r>
      <w:r w:rsidR="00AA5AB9" w:rsidRPr="000E2036">
        <w:rPr>
          <w:rFonts w:eastAsia="ヒラギノ明朝 Pro W3"/>
          <w:sz w:val="22"/>
          <w:szCs w:val="22"/>
          <w:lang w:val="en-GB" w:eastAsia="zh-CN"/>
        </w:rPr>
        <w:t>d various</w:t>
      </w:r>
      <w:r w:rsidR="00F502BA" w:rsidRPr="000E2036">
        <w:rPr>
          <w:rFonts w:eastAsia="ヒラギノ明朝 Pro W3"/>
          <w:sz w:val="22"/>
          <w:szCs w:val="22"/>
          <w:lang w:val="en-GB" w:eastAsia="zh-CN"/>
        </w:rPr>
        <w:t xml:space="preserve"> choices</w:t>
      </w:r>
      <w:r w:rsidR="00923032">
        <w:rPr>
          <w:rFonts w:eastAsia="ヒラギノ明朝 Pro W3"/>
          <w:sz w:val="22"/>
          <w:szCs w:val="22"/>
          <w:lang w:val="en-GB" w:eastAsia="zh-CN"/>
        </w:rPr>
        <w:t>,</w:t>
      </w:r>
      <w:r w:rsidR="00F502BA" w:rsidRPr="000E2036">
        <w:rPr>
          <w:rFonts w:eastAsia="ヒラギノ明朝 Pro W3"/>
          <w:sz w:val="22"/>
          <w:szCs w:val="22"/>
          <w:lang w:val="en-GB" w:eastAsia="zh-CN"/>
        </w:rPr>
        <w:t xml:space="preserve"> including Toyota, Peugeot, and Suzuki.</w:t>
      </w:r>
      <w:r w:rsidR="00F502BA" w:rsidRPr="000E2036">
        <w:rPr>
          <w:rStyle w:val="EndnoteReference"/>
          <w:rFonts w:eastAsia="ヒラギノ明朝 Pro W3"/>
          <w:sz w:val="22"/>
          <w:szCs w:val="22"/>
          <w:lang w:val="en-GB" w:eastAsia="zh-CN"/>
        </w:rPr>
        <w:endnoteReference w:id="57"/>
      </w:r>
      <w:r w:rsidR="00F502BA" w:rsidRPr="000E2036">
        <w:rPr>
          <w:rFonts w:eastAsia="ヒラギノ明朝 Pro W3"/>
          <w:sz w:val="22"/>
          <w:szCs w:val="22"/>
          <w:lang w:val="en-GB" w:eastAsia="zh-CN"/>
        </w:rPr>
        <w:t xml:space="preserve"> Meanwhile, TTC registered record highs for net sales and operating income in </w:t>
      </w:r>
      <w:r w:rsidR="00D02B74" w:rsidRPr="000E2036">
        <w:rPr>
          <w:rFonts w:eastAsia="ヒラギノ明朝 Pro W3"/>
          <w:sz w:val="22"/>
          <w:szCs w:val="22"/>
          <w:lang w:val="en-GB" w:eastAsia="zh-CN"/>
        </w:rPr>
        <w:t>FY</w:t>
      </w:r>
      <w:r w:rsidR="00F502BA" w:rsidRPr="000E2036">
        <w:rPr>
          <w:rFonts w:eastAsia="ヒラギノ明朝 Pro W3"/>
          <w:sz w:val="22"/>
          <w:szCs w:val="22"/>
          <w:lang w:val="en-GB" w:eastAsia="zh-CN"/>
        </w:rPr>
        <w:t xml:space="preserve"> 20</w:t>
      </w:r>
      <w:r w:rsidR="00763007">
        <w:rPr>
          <w:rFonts w:eastAsia="ヒラギノ明朝 Pro W3"/>
          <w:sz w:val="22"/>
          <w:szCs w:val="22"/>
          <w:lang w:val="en-GB" w:eastAsia="zh-CN"/>
        </w:rPr>
        <w:t>14/</w:t>
      </w:r>
      <w:r w:rsidR="00F502BA" w:rsidRPr="000E2036">
        <w:rPr>
          <w:rFonts w:eastAsia="ヒラギノ明朝 Pro W3"/>
          <w:sz w:val="22"/>
          <w:szCs w:val="22"/>
          <w:lang w:val="en-GB" w:eastAsia="zh-CN"/>
        </w:rPr>
        <w:t>15.</w:t>
      </w:r>
      <w:r w:rsidR="00F502BA" w:rsidRPr="000E2036">
        <w:rPr>
          <w:rStyle w:val="EndnoteReference"/>
          <w:rFonts w:eastAsia="ヒラギノ明朝 Pro W3"/>
          <w:sz w:val="22"/>
          <w:szCs w:val="22"/>
          <w:lang w:val="en-GB" w:eastAsia="zh-CN"/>
        </w:rPr>
        <w:endnoteReference w:id="58"/>
      </w:r>
      <w:r w:rsidR="00F502BA" w:rsidRPr="000E2036">
        <w:rPr>
          <w:rFonts w:eastAsia="ヒラギノ明朝 Pro W3"/>
          <w:sz w:val="22"/>
          <w:szCs w:val="22"/>
          <w:lang w:val="en-GB" w:eastAsia="zh-CN"/>
        </w:rPr>
        <w:t xml:space="preserve"> Operating income increased 5.0 per cent to ¥169.5 billion</w:t>
      </w:r>
      <w:r w:rsidR="00923032">
        <w:rPr>
          <w:rFonts w:eastAsia="ヒラギノ明朝 Pro W3"/>
          <w:sz w:val="22"/>
          <w:szCs w:val="22"/>
          <w:lang w:val="en-GB" w:eastAsia="zh-CN"/>
        </w:rPr>
        <w:t>,</w:t>
      </w:r>
      <w:r w:rsidR="00F502BA" w:rsidRPr="000E2036">
        <w:rPr>
          <w:rFonts w:eastAsia="ヒラギノ明朝 Pro W3"/>
          <w:sz w:val="22"/>
          <w:szCs w:val="22"/>
          <w:lang w:val="en-GB" w:eastAsia="zh-CN"/>
        </w:rPr>
        <w:t xml:space="preserve"> and net sales increased 11.9 per cent to ¥8,663.5 billion </w:t>
      </w:r>
      <w:r w:rsidR="005B158A" w:rsidRPr="000E2036">
        <w:rPr>
          <w:rFonts w:eastAsia="ヒラギノ明朝 Pro W3"/>
          <w:sz w:val="22"/>
          <w:szCs w:val="22"/>
          <w:lang w:val="en-GB" w:eastAsia="zh-CN"/>
        </w:rPr>
        <w:t>(</w:t>
      </w:r>
      <w:r w:rsidR="00AA5AB9" w:rsidRPr="000E2036">
        <w:rPr>
          <w:rFonts w:eastAsia="ヒラギノ明朝 Pro W3"/>
          <w:sz w:val="22"/>
          <w:szCs w:val="22"/>
          <w:lang w:val="en-GB" w:eastAsia="zh-CN"/>
        </w:rPr>
        <w:t>s</w:t>
      </w:r>
      <w:r w:rsidR="005B158A" w:rsidRPr="000E2036">
        <w:rPr>
          <w:rFonts w:eastAsia="ヒラギノ明朝 Pro W3"/>
          <w:sz w:val="22"/>
          <w:szCs w:val="22"/>
          <w:lang w:val="en-GB" w:eastAsia="zh-CN"/>
        </w:rPr>
        <w:t>ee Exhibit 5</w:t>
      </w:r>
      <w:r w:rsidR="00F502BA" w:rsidRPr="000E2036">
        <w:rPr>
          <w:rFonts w:eastAsia="ヒラギノ明朝 Pro W3"/>
          <w:sz w:val="22"/>
          <w:szCs w:val="22"/>
          <w:lang w:val="en-GB" w:eastAsia="zh-CN"/>
        </w:rPr>
        <w:t>)</w:t>
      </w:r>
      <w:r w:rsidR="00AA5AB9" w:rsidRPr="000E2036">
        <w:rPr>
          <w:rFonts w:eastAsia="ヒラギノ明朝 Pro W3"/>
          <w:sz w:val="22"/>
          <w:szCs w:val="22"/>
          <w:lang w:val="en-GB" w:eastAsia="zh-CN"/>
        </w:rPr>
        <w:t>.</w:t>
      </w:r>
      <w:r w:rsidR="00923032">
        <w:rPr>
          <w:rFonts w:eastAsia="ヒラギノ明朝 Pro W3"/>
          <w:sz w:val="22"/>
          <w:szCs w:val="22"/>
          <w:lang w:val="en-GB" w:eastAsia="zh-CN"/>
        </w:rPr>
        <w:t xml:space="preserve"> </w:t>
      </w:r>
    </w:p>
    <w:p w14:paraId="64D3450A" w14:textId="77777777" w:rsidR="00F502BA" w:rsidRPr="000E2036" w:rsidRDefault="00F502BA" w:rsidP="00680E16">
      <w:pPr>
        <w:jc w:val="both"/>
        <w:rPr>
          <w:rFonts w:eastAsia="ヒラギノ明朝 Pro W3"/>
          <w:sz w:val="22"/>
          <w:szCs w:val="22"/>
          <w:lang w:val="en-GB" w:eastAsia="zh-CN"/>
        </w:rPr>
      </w:pPr>
    </w:p>
    <w:p w14:paraId="32A1EFFF" w14:textId="77777777" w:rsidR="00F502BA" w:rsidRPr="000E2036" w:rsidRDefault="00F502BA" w:rsidP="00680E16">
      <w:pPr>
        <w:jc w:val="both"/>
        <w:rPr>
          <w:rFonts w:eastAsia="ヒラギノ明朝 Pro W3"/>
          <w:sz w:val="22"/>
          <w:szCs w:val="22"/>
          <w:lang w:val="en-GB" w:eastAsia="zh-CN"/>
        </w:rPr>
      </w:pPr>
    </w:p>
    <w:p w14:paraId="0980D910" w14:textId="3BDC343B" w:rsidR="00F502BA" w:rsidRPr="000E2036" w:rsidRDefault="00BF010D" w:rsidP="00680E16">
      <w:pPr>
        <w:jc w:val="both"/>
        <w:rPr>
          <w:rFonts w:ascii="Arial" w:eastAsia="ヒラギノ明朝 Pro W3" w:hAnsi="Arial"/>
          <w:b/>
          <w:lang w:val="en-GB" w:eastAsia="zh-CN"/>
        </w:rPr>
      </w:pPr>
      <w:r w:rsidRPr="000E2036">
        <w:rPr>
          <w:rFonts w:ascii="Arial" w:eastAsia="ヒラギノ明朝 Pro W3" w:hAnsi="Arial"/>
          <w:b/>
          <w:lang w:val="en-GB" w:eastAsia="zh-CN"/>
        </w:rPr>
        <w:t xml:space="preserve">INTERNALIZING </w:t>
      </w:r>
      <w:r w:rsidR="00F502BA" w:rsidRPr="000E2036">
        <w:rPr>
          <w:rFonts w:ascii="Arial" w:eastAsia="ヒラギノ明朝 Pro W3" w:hAnsi="Arial"/>
          <w:b/>
          <w:lang w:val="en-GB" w:eastAsia="zh-CN"/>
        </w:rPr>
        <w:t>CFAO AS A WHOLLY</w:t>
      </w:r>
      <w:r w:rsidR="00923032">
        <w:rPr>
          <w:rFonts w:ascii="Arial" w:eastAsia="ヒラギノ明朝 Pro W3" w:hAnsi="Arial"/>
          <w:b/>
          <w:lang w:val="en-GB" w:eastAsia="zh-CN"/>
        </w:rPr>
        <w:t xml:space="preserve"> </w:t>
      </w:r>
      <w:r w:rsidR="00F502BA" w:rsidRPr="000E2036">
        <w:rPr>
          <w:rFonts w:ascii="Arial" w:eastAsia="ヒラギノ明朝 Pro W3" w:hAnsi="Arial"/>
          <w:b/>
          <w:lang w:val="en-GB" w:eastAsia="zh-CN"/>
        </w:rPr>
        <w:t>OWNED SUBSIDIARY</w:t>
      </w:r>
    </w:p>
    <w:p w14:paraId="65F227BA" w14:textId="77777777" w:rsidR="00F502BA" w:rsidRPr="000E2036" w:rsidRDefault="00F502BA" w:rsidP="00680E16">
      <w:pPr>
        <w:jc w:val="both"/>
        <w:rPr>
          <w:rFonts w:eastAsia="ヒラギノ明朝 Pro W3"/>
          <w:sz w:val="22"/>
          <w:szCs w:val="22"/>
          <w:lang w:val="en-GB" w:eastAsia="zh-CN"/>
        </w:rPr>
      </w:pPr>
    </w:p>
    <w:p w14:paraId="40FF2B02" w14:textId="055714D5" w:rsidR="00F502BA" w:rsidRPr="000E2036" w:rsidRDefault="00F502BA" w:rsidP="00680E16">
      <w:pPr>
        <w:jc w:val="both"/>
        <w:rPr>
          <w:rFonts w:eastAsia="ヒラギノ明朝 Pro W3"/>
          <w:sz w:val="22"/>
          <w:szCs w:val="22"/>
          <w:lang w:val="en-GB" w:eastAsia="zh-CN"/>
        </w:rPr>
      </w:pPr>
      <w:r w:rsidRPr="000E2036">
        <w:rPr>
          <w:rFonts w:eastAsia="ヒラギノ明朝 Pro W3"/>
          <w:sz w:val="22"/>
          <w:szCs w:val="22"/>
          <w:lang w:val="en-GB" w:eastAsia="zh-CN"/>
        </w:rPr>
        <w:t>Exactly four years after the acquisition of over 95 per cent of CFAO’s shares, TTC held a public buyout offer in December 2016 for the remaining shares of CFAO</w:t>
      </w:r>
      <w:r w:rsidRPr="000E2036">
        <w:rPr>
          <w:rStyle w:val="EndnoteReference"/>
          <w:rFonts w:eastAsia="ヒラギノ明朝 Pro W3"/>
          <w:sz w:val="22"/>
          <w:szCs w:val="22"/>
          <w:lang w:val="en-GB" w:eastAsia="zh-CN"/>
        </w:rPr>
        <w:endnoteReference w:id="59"/>
      </w:r>
      <w:r w:rsidR="00F71EB8" w:rsidRPr="000E2036">
        <w:rPr>
          <w:rFonts w:eastAsia="ヒラギノ明朝 Pro W3"/>
          <w:sz w:val="22"/>
          <w:szCs w:val="22"/>
          <w:lang w:val="en-GB" w:eastAsia="zh-CN"/>
        </w:rPr>
        <w:t xml:space="preserve"> for the following</w:t>
      </w:r>
      <w:r w:rsidRPr="000E2036">
        <w:rPr>
          <w:rFonts w:eastAsia="ヒラギノ明朝 Pro W3"/>
          <w:sz w:val="22"/>
          <w:szCs w:val="22"/>
          <w:lang w:val="en-GB" w:eastAsia="zh-CN"/>
        </w:rPr>
        <w:t xml:space="preserve"> reason</w:t>
      </w:r>
      <w:r w:rsidR="00F71EB8" w:rsidRPr="000E2036">
        <w:rPr>
          <w:rFonts w:eastAsia="ヒラギノ明朝 Pro W3"/>
          <w:sz w:val="22"/>
          <w:szCs w:val="22"/>
          <w:lang w:val="en-GB" w:eastAsia="zh-CN"/>
        </w:rPr>
        <w:t>s:</w:t>
      </w:r>
      <w:r w:rsidRPr="000E2036">
        <w:rPr>
          <w:rFonts w:eastAsia="ヒラギノ明朝 Pro W3"/>
          <w:sz w:val="22"/>
          <w:szCs w:val="22"/>
          <w:lang w:val="en-GB" w:eastAsia="zh-CN"/>
        </w:rPr>
        <w:t xml:space="preserve"> CFAO’s shareholding structure was dispersed; there were no structural, economic, or family links between shareholders; and most of the shareholders had a purely financial interest in CFAO. Being a majority shareholder was not sufficient for TTC to run CFAO to meet its objectives. Following the full acquisition, TTC also delisted CFAO from the Euronext Paris stock exchange. According to a management</w:t>
      </w:r>
      <w:r w:rsidR="00F71EB8" w:rsidRPr="000E2036">
        <w:rPr>
          <w:rFonts w:eastAsia="ヒラギノ明朝 Pro W3"/>
          <w:sz w:val="22"/>
          <w:szCs w:val="22"/>
          <w:lang w:val="en-GB" w:eastAsia="zh-CN"/>
        </w:rPr>
        <w:t xml:space="preserve"> team member, “b</w:t>
      </w:r>
      <w:r w:rsidRPr="000E2036">
        <w:rPr>
          <w:rFonts w:eastAsia="ヒラギノ明朝 Pro W3"/>
          <w:sz w:val="22"/>
          <w:szCs w:val="22"/>
          <w:lang w:val="en-GB" w:eastAsia="zh-CN"/>
        </w:rPr>
        <w:t>eing listed no longer made sense.”</w:t>
      </w:r>
      <w:r w:rsidRPr="000E2036">
        <w:rPr>
          <w:rStyle w:val="EndnoteReference"/>
          <w:rFonts w:eastAsia="ヒラギノ明朝 Pro W3"/>
          <w:sz w:val="22"/>
          <w:szCs w:val="22"/>
          <w:lang w:val="en-GB" w:eastAsia="zh-CN"/>
        </w:rPr>
        <w:endnoteReference w:id="60"/>
      </w:r>
      <w:r w:rsidRPr="000E2036">
        <w:rPr>
          <w:rFonts w:eastAsia="ヒラギノ明朝 Pro W3"/>
          <w:sz w:val="22"/>
          <w:szCs w:val="22"/>
          <w:lang w:val="en-GB" w:eastAsia="zh-CN"/>
        </w:rPr>
        <w:t xml:space="preserve"> France’s securities regulator, the Autorité des Marchés Financiers</w:t>
      </w:r>
      <w:r w:rsidR="00D90CB3">
        <w:rPr>
          <w:rFonts w:eastAsia="ヒラギノ明朝 Pro W3"/>
          <w:sz w:val="22"/>
          <w:szCs w:val="22"/>
          <w:lang w:val="en-GB" w:eastAsia="zh-CN"/>
        </w:rPr>
        <w:t>,</w:t>
      </w:r>
      <w:r w:rsidRPr="000E2036">
        <w:rPr>
          <w:rFonts w:eastAsia="ヒラギノ明朝 Pro W3"/>
          <w:sz w:val="22"/>
          <w:szCs w:val="22"/>
          <w:lang w:val="en-GB" w:eastAsia="zh-CN"/>
        </w:rPr>
        <w:t xml:space="preserve"> approved the squeeze-out of CFAO</w:t>
      </w:r>
      <w:r w:rsidR="001C03BD">
        <w:rPr>
          <w:rFonts w:eastAsia="ヒラギノ明朝 Pro W3"/>
          <w:sz w:val="22"/>
          <w:szCs w:val="22"/>
          <w:lang w:val="en-GB" w:eastAsia="zh-CN"/>
        </w:rPr>
        <w:t xml:space="preserve"> shares</w:t>
      </w:r>
      <w:r w:rsidR="00F71EB8" w:rsidRPr="000E2036">
        <w:rPr>
          <w:rFonts w:eastAsia="ヒラギノ明朝 Pro W3"/>
          <w:sz w:val="22"/>
          <w:szCs w:val="22"/>
          <w:lang w:val="en-GB" w:eastAsia="zh-CN"/>
        </w:rPr>
        <w:t>. A</w:t>
      </w:r>
      <w:r w:rsidRPr="000E2036">
        <w:rPr>
          <w:rFonts w:eastAsia="ヒラギノ明朝 Pro W3"/>
          <w:sz w:val="22"/>
          <w:szCs w:val="22"/>
          <w:lang w:val="en-GB" w:eastAsia="zh-CN"/>
        </w:rPr>
        <w:t>s a result, CFAO became a wholly</w:t>
      </w:r>
      <w:r w:rsidR="00D90CB3">
        <w:rPr>
          <w:rFonts w:eastAsia="ヒラギノ明朝 Pro W3"/>
          <w:sz w:val="22"/>
          <w:szCs w:val="22"/>
          <w:lang w:val="en-GB" w:eastAsia="zh-CN"/>
        </w:rPr>
        <w:t xml:space="preserve"> </w:t>
      </w:r>
      <w:r w:rsidRPr="000E2036">
        <w:rPr>
          <w:rFonts w:eastAsia="ヒラギノ明朝 Pro W3"/>
          <w:sz w:val="22"/>
          <w:szCs w:val="22"/>
          <w:lang w:val="en-GB" w:eastAsia="zh-CN"/>
        </w:rPr>
        <w:t>owned subsidiary of TTC</w:t>
      </w:r>
      <w:r w:rsidR="00F71EB8" w:rsidRPr="000E2036">
        <w:rPr>
          <w:rFonts w:eastAsia="ヒラギノ明朝 Pro W3"/>
          <w:sz w:val="22"/>
          <w:szCs w:val="22"/>
          <w:lang w:val="en-GB" w:eastAsia="zh-CN"/>
        </w:rPr>
        <w:t xml:space="preserve"> on December 31, 2016</w:t>
      </w:r>
      <w:r w:rsidRPr="000E2036">
        <w:rPr>
          <w:rFonts w:eastAsia="ヒラギノ明朝 Pro W3"/>
          <w:sz w:val="22"/>
          <w:szCs w:val="22"/>
          <w:lang w:val="en-GB" w:eastAsia="zh-CN"/>
        </w:rPr>
        <w:t>.</w:t>
      </w:r>
    </w:p>
    <w:p w14:paraId="0024A203" w14:textId="77777777" w:rsidR="00F502BA" w:rsidRPr="000E2036" w:rsidRDefault="00F502BA" w:rsidP="00210E50">
      <w:pPr>
        <w:jc w:val="both"/>
        <w:rPr>
          <w:rFonts w:eastAsia="ヒラギノ明朝 Pro W3"/>
          <w:sz w:val="22"/>
          <w:szCs w:val="22"/>
          <w:lang w:val="en-GB" w:eastAsia="zh-CN"/>
        </w:rPr>
      </w:pPr>
    </w:p>
    <w:p w14:paraId="420639EF" w14:textId="79958CEA" w:rsidR="00F502BA" w:rsidRPr="000E2036" w:rsidRDefault="00F502BA" w:rsidP="00210E50">
      <w:pPr>
        <w:jc w:val="both"/>
        <w:rPr>
          <w:rFonts w:eastAsia="ヒラギノ明朝 Pro W3"/>
          <w:sz w:val="22"/>
          <w:szCs w:val="22"/>
          <w:lang w:val="en-GB" w:eastAsia="zh-CN"/>
        </w:rPr>
      </w:pPr>
      <w:r w:rsidRPr="000E2036">
        <w:rPr>
          <w:rFonts w:eastAsia="ヒラギノ明朝 Pro W3"/>
          <w:sz w:val="22"/>
          <w:szCs w:val="22"/>
          <w:lang w:val="en-GB" w:eastAsia="zh-CN"/>
        </w:rPr>
        <w:t xml:space="preserve">However, before the equity participation by TTC, CFAO was concurrently a customer and supplier of many Japanese companies. </w:t>
      </w:r>
      <w:r w:rsidR="001C03BD">
        <w:rPr>
          <w:rFonts w:eastAsia="ヒラギノ明朝 Pro W3"/>
          <w:sz w:val="22"/>
          <w:szCs w:val="22"/>
          <w:lang w:val="en-GB" w:eastAsia="zh-CN"/>
        </w:rPr>
        <w:t>Although</w:t>
      </w:r>
      <w:r w:rsidRPr="000E2036">
        <w:rPr>
          <w:rFonts w:eastAsia="ヒラギノ明朝 Pro W3"/>
          <w:sz w:val="22"/>
          <w:szCs w:val="22"/>
          <w:lang w:val="en-GB" w:eastAsia="zh-CN"/>
        </w:rPr>
        <w:t xml:space="preserve"> CFAO intended to pursue a multi-brand strategy in its automotive distribution after </w:t>
      </w:r>
      <w:r w:rsidR="001C03BD">
        <w:rPr>
          <w:rFonts w:eastAsia="ヒラギノ明朝 Pro W3"/>
          <w:sz w:val="22"/>
          <w:szCs w:val="22"/>
          <w:lang w:val="en-GB" w:eastAsia="zh-CN"/>
        </w:rPr>
        <w:t>its</w:t>
      </w:r>
      <w:r w:rsidRPr="000E2036">
        <w:rPr>
          <w:rFonts w:eastAsia="ヒラギノ明朝 Pro W3"/>
          <w:sz w:val="22"/>
          <w:szCs w:val="22"/>
          <w:lang w:val="en-GB" w:eastAsia="zh-CN"/>
        </w:rPr>
        <w:t xml:space="preserve"> transaction with TTC, some of its automaker customers, such as Isuzu and Nissan</w:t>
      </w:r>
      <w:r w:rsidR="00F71EB8" w:rsidRPr="000E2036">
        <w:rPr>
          <w:rFonts w:eastAsia="ヒラギノ明朝 Pro W3"/>
          <w:sz w:val="22"/>
          <w:szCs w:val="22"/>
          <w:lang w:val="en-GB" w:eastAsia="zh-CN"/>
        </w:rPr>
        <w:t>,</w:t>
      </w:r>
      <w:r w:rsidRPr="000E2036">
        <w:rPr>
          <w:rFonts w:eastAsia="ヒラギノ明朝 Pro W3"/>
          <w:sz w:val="22"/>
          <w:szCs w:val="22"/>
          <w:lang w:val="en-GB" w:eastAsia="zh-CN"/>
        </w:rPr>
        <w:t xml:space="preserve"> were not comfortable with the new shareholding structure of CFAO.</w:t>
      </w:r>
      <w:r w:rsidRPr="000E2036">
        <w:rPr>
          <w:rStyle w:val="EndnoteReference"/>
          <w:rFonts w:eastAsia="ヒラギノ明朝 Pro W3"/>
          <w:sz w:val="22"/>
          <w:szCs w:val="22"/>
          <w:lang w:val="en-GB" w:eastAsia="zh-CN"/>
        </w:rPr>
        <w:endnoteReference w:id="61"/>
      </w:r>
      <w:r w:rsidRPr="000E2036">
        <w:rPr>
          <w:rFonts w:eastAsia="ヒラギノ明朝 Pro W3"/>
          <w:sz w:val="22"/>
          <w:szCs w:val="22"/>
          <w:lang w:val="en-GB" w:eastAsia="zh-CN"/>
        </w:rPr>
        <w:t xml:space="preserve"> Knowing that TTC was directly affiliated with the Toyota Group, its major competitor, Nissan decided not to renew </w:t>
      </w:r>
      <w:r w:rsidR="00F71EB8" w:rsidRPr="000E2036">
        <w:rPr>
          <w:rFonts w:eastAsia="ヒラギノ明朝 Pro W3"/>
          <w:sz w:val="22"/>
          <w:szCs w:val="22"/>
          <w:lang w:val="en-GB" w:eastAsia="zh-CN"/>
        </w:rPr>
        <w:t xml:space="preserve">all but one (Morocco) of </w:t>
      </w:r>
      <w:r w:rsidRPr="000E2036">
        <w:rPr>
          <w:rFonts w:eastAsia="ヒラギノ明朝 Pro W3"/>
          <w:sz w:val="22"/>
          <w:szCs w:val="22"/>
          <w:lang w:val="en-GB" w:eastAsia="zh-CN"/>
        </w:rPr>
        <w:t xml:space="preserve">its distribution contracts with CFAO Automotive. </w:t>
      </w:r>
      <w:r w:rsidR="00F71EB8" w:rsidRPr="000E2036">
        <w:rPr>
          <w:rFonts w:eastAsia="ヒラギノ明朝 Pro W3"/>
          <w:sz w:val="22"/>
          <w:szCs w:val="22"/>
          <w:lang w:val="en-GB" w:eastAsia="zh-CN"/>
        </w:rPr>
        <w:t>T</w:t>
      </w:r>
      <w:r w:rsidRPr="000E2036">
        <w:rPr>
          <w:rFonts w:eastAsia="ヒラギノ明朝 Pro W3"/>
          <w:sz w:val="22"/>
          <w:szCs w:val="22"/>
          <w:lang w:val="en-GB" w:eastAsia="zh-CN"/>
        </w:rPr>
        <w:t xml:space="preserve">he large proportion of CFAO’s shares held by TTC had also reduced the liquidity of the CFAO stocks. </w:t>
      </w:r>
      <w:r w:rsidR="00F71EB8" w:rsidRPr="000E2036">
        <w:rPr>
          <w:rFonts w:eastAsia="ヒラギノ明朝 Pro W3"/>
          <w:sz w:val="22"/>
          <w:szCs w:val="22"/>
          <w:lang w:val="en-GB" w:eastAsia="zh-CN"/>
        </w:rPr>
        <w:t>Therefore</w:t>
      </w:r>
      <w:r w:rsidRPr="000E2036">
        <w:rPr>
          <w:rFonts w:eastAsia="ヒラギノ明朝 Pro W3"/>
          <w:sz w:val="22"/>
          <w:szCs w:val="22"/>
          <w:lang w:val="en-GB" w:eastAsia="zh-CN"/>
        </w:rPr>
        <w:t>, the share price could not accurately reflect the firm</w:t>
      </w:r>
      <w:r w:rsidR="00D90CB3">
        <w:rPr>
          <w:rFonts w:eastAsia="ヒラギノ明朝 Pro W3"/>
          <w:sz w:val="22"/>
          <w:szCs w:val="22"/>
          <w:lang w:val="en-GB" w:eastAsia="zh-CN"/>
        </w:rPr>
        <w:t>’s</w:t>
      </w:r>
      <w:r w:rsidRPr="000E2036">
        <w:rPr>
          <w:rFonts w:eastAsia="ヒラギノ明朝 Pro W3"/>
          <w:sz w:val="22"/>
          <w:szCs w:val="22"/>
          <w:lang w:val="en-GB" w:eastAsia="zh-CN"/>
        </w:rPr>
        <w:t xml:space="preserve"> value.</w:t>
      </w:r>
      <w:r w:rsidRPr="000E2036">
        <w:rPr>
          <w:rStyle w:val="EndnoteReference"/>
          <w:rFonts w:eastAsia="ヒラギノ明朝 Pro W3"/>
          <w:sz w:val="22"/>
          <w:szCs w:val="22"/>
          <w:lang w:val="en-GB" w:eastAsia="zh-CN"/>
        </w:rPr>
        <w:endnoteReference w:id="62"/>
      </w:r>
    </w:p>
    <w:p w14:paraId="77B088B9" w14:textId="77777777" w:rsidR="00F502BA" w:rsidRPr="000E2036" w:rsidRDefault="00F502BA" w:rsidP="000E4F83">
      <w:pPr>
        <w:jc w:val="both"/>
        <w:rPr>
          <w:rFonts w:eastAsia="ヒラギノ明朝 Pro W3"/>
          <w:sz w:val="22"/>
          <w:szCs w:val="22"/>
          <w:lang w:val="en-GB" w:eastAsia="zh-CN"/>
        </w:rPr>
      </w:pPr>
    </w:p>
    <w:p w14:paraId="27D22AE2" w14:textId="77777777" w:rsidR="00F502BA" w:rsidRPr="000E2036" w:rsidRDefault="00F502BA" w:rsidP="000E4F83">
      <w:pPr>
        <w:jc w:val="both"/>
        <w:rPr>
          <w:rFonts w:eastAsia="ヒラギノ明朝 Pro W3"/>
          <w:sz w:val="22"/>
          <w:szCs w:val="22"/>
          <w:lang w:val="en-GB" w:eastAsia="zh-CN"/>
        </w:rPr>
      </w:pPr>
    </w:p>
    <w:p w14:paraId="34721981" w14:textId="78C6F5E2" w:rsidR="00F502BA" w:rsidRPr="000E2036" w:rsidRDefault="00F502BA" w:rsidP="000E4F83">
      <w:pPr>
        <w:jc w:val="both"/>
        <w:rPr>
          <w:rFonts w:ascii="Arial" w:eastAsia="ヒラギノ明朝 Pro W3" w:hAnsi="Arial"/>
          <w:b/>
          <w:lang w:val="en-GB" w:eastAsia="zh-CN"/>
        </w:rPr>
      </w:pPr>
      <w:r w:rsidRPr="000E2036">
        <w:rPr>
          <w:rFonts w:ascii="Arial" w:eastAsia="ヒラギノ明朝 Pro W3" w:hAnsi="Arial"/>
          <w:b/>
          <w:lang w:val="en-GB" w:eastAsia="zh-CN"/>
        </w:rPr>
        <w:t>VISION 2015 VALIDATED BUT</w:t>
      </w:r>
      <w:r w:rsidR="00D90CB3">
        <w:rPr>
          <w:rFonts w:ascii="Arial" w:eastAsia="ヒラギノ明朝 Pro W3" w:hAnsi="Arial"/>
          <w:b/>
          <w:lang w:val="en-GB" w:eastAsia="zh-CN"/>
        </w:rPr>
        <w:t>,</w:t>
      </w:r>
      <w:r w:rsidRPr="000E2036">
        <w:rPr>
          <w:rFonts w:ascii="Arial" w:eastAsia="ヒラギノ明朝 Pro W3" w:hAnsi="Arial"/>
          <w:b/>
          <w:lang w:val="en-GB" w:eastAsia="zh-CN"/>
        </w:rPr>
        <w:t xml:space="preserve"> GIVEN A COMPLICATED YEAR 2016</w:t>
      </w:r>
      <w:r w:rsidR="00D90CB3">
        <w:rPr>
          <w:rFonts w:ascii="Arial" w:eastAsia="ヒラギノ明朝 Pro W3" w:hAnsi="Arial"/>
          <w:b/>
          <w:lang w:val="en-GB" w:eastAsia="zh-CN"/>
        </w:rPr>
        <w:t xml:space="preserve">, </w:t>
      </w:r>
      <w:r w:rsidRPr="000E2036">
        <w:rPr>
          <w:rFonts w:ascii="Arial" w:eastAsia="ヒラギノ明朝 Pro W3" w:hAnsi="Arial"/>
          <w:b/>
          <w:lang w:val="en-GB" w:eastAsia="zh-CN"/>
        </w:rPr>
        <w:t>WHAT’S NEXT?</w:t>
      </w:r>
    </w:p>
    <w:p w14:paraId="4A7A13F6" w14:textId="77777777" w:rsidR="00F502BA" w:rsidRPr="000E2036" w:rsidRDefault="00F502BA" w:rsidP="000E4F83">
      <w:pPr>
        <w:jc w:val="both"/>
        <w:rPr>
          <w:rFonts w:eastAsia="ヒラギノ明朝 Pro W3"/>
          <w:sz w:val="22"/>
          <w:szCs w:val="22"/>
          <w:lang w:val="en-GB" w:eastAsia="zh-CN"/>
        </w:rPr>
      </w:pPr>
    </w:p>
    <w:p w14:paraId="1EA700EB" w14:textId="03D3DC63" w:rsidR="00F502BA" w:rsidRPr="000E2036" w:rsidRDefault="00F502BA" w:rsidP="000E4F83">
      <w:pPr>
        <w:jc w:val="both"/>
        <w:rPr>
          <w:rFonts w:eastAsia="ヒラギノ明朝 Pro W3"/>
          <w:sz w:val="22"/>
          <w:szCs w:val="22"/>
          <w:lang w:val="en-GB" w:eastAsia="zh-CN"/>
        </w:rPr>
      </w:pPr>
      <w:r w:rsidRPr="000E2036">
        <w:rPr>
          <w:rFonts w:eastAsia="ヒラギノ明朝 Pro W3"/>
          <w:sz w:val="22"/>
          <w:szCs w:val="22"/>
          <w:lang w:val="en-GB" w:eastAsia="zh-CN"/>
        </w:rPr>
        <w:t>TTC launched</w:t>
      </w:r>
      <w:r w:rsidR="001C03BD">
        <w:rPr>
          <w:rFonts w:eastAsia="ヒラギノ明朝 Pro W3"/>
          <w:sz w:val="22"/>
          <w:szCs w:val="22"/>
          <w:lang w:val="en-GB" w:eastAsia="zh-CN"/>
        </w:rPr>
        <w:t xml:space="preserve"> the</w:t>
      </w:r>
      <w:r w:rsidRPr="000E2036">
        <w:rPr>
          <w:rFonts w:eastAsia="ヒラギノ明朝 Pro W3"/>
          <w:sz w:val="22"/>
          <w:szCs w:val="22"/>
          <w:lang w:val="en-GB" w:eastAsia="zh-CN"/>
        </w:rPr>
        <w:t xml:space="preserve"> Vision 2015</w:t>
      </w:r>
      <w:r w:rsidR="00332F06" w:rsidRPr="000E2036">
        <w:rPr>
          <w:rFonts w:eastAsia="ヒラギノ明朝 Pro W3"/>
          <w:sz w:val="22"/>
          <w:szCs w:val="22"/>
          <w:lang w:val="en-GB" w:eastAsia="zh-CN"/>
        </w:rPr>
        <w:t xml:space="preserve"> </w:t>
      </w:r>
      <w:r w:rsidR="001C03BD">
        <w:rPr>
          <w:rFonts w:eastAsia="ヒラギノ明朝 Pro W3"/>
          <w:sz w:val="22"/>
          <w:szCs w:val="22"/>
          <w:lang w:val="en-GB" w:eastAsia="zh-CN"/>
        </w:rPr>
        <w:t xml:space="preserve">campaign </w:t>
      </w:r>
      <w:r w:rsidR="00332F06" w:rsidRPr="000E2036">
        <w:rPr>
          <w:rFonts w:eastAsia="ヒラギノ明朝 Pro W3"/>
          <w:sz w:val="22"/>
          <w:szCs w:val="22"/>
          <w:lang w:val="en-GB" w:eastAsia="zh-CN"/>
        </w:rPr>
        <w:t>in 2007</w:t>
      </w:r>
      <w:r w:rsidRPr="000E2036">
        <w:rPr>
          <w:rFonts w:eastAsia="ヒラギノ明朝 Pro W3"/>
          <w:sz w:val="22"/>
          <w:szCs w:val="22"/>
          <w:lang w:val="en-GB" w:eastAsia="zh-CN"/>
        </w:rPr>
        <w:t xml:space="preserve"> and </w:t>
      </w:r>
      <w:r w:rsidR="00332F06" w:rsidRPr="000E2036">
        <w:rPr>
          <w:rFonts w:eastAsia="ヒラギノ明朝 Pro W3"/>
          <w:sz w:val="22"/>
          <w:szCs w:val="22"/>
          <w:lang w:val="en-GB" w:eastAsia="zh-CN"/>
        </w:rPr>
        <w:t>went on to</w:t>
      </w:r>
      <w:r w:rsidRPr="000E2036">
        <w:rPr>
          <w:rFonts w:eastAsia="ヒラギノ明朝 Pro W3"/>
          <w:sz w:val="22"/>
          <w:szCs w:val="22"/>
          <w:lang w:val="en-GB" w:eastAsia="zh-CN"/>
        </w:rPr>
        <w:t xml:space="preserve"> achieve positive results in 2015. T</w:t>
      </w:r>
      <w:r w:rsidR="00332F06" w:rsidRPr="000E2036">
        <w:rPr>
          <w:rFonts w:eastAsia="ヒラギノ明朝 Pro W3"/>
          <w:sz w:val="22"/>
          <w:szCs w:val="22"/>
          <w:lang w:val="en-GB" w:eastAsia="zh-CN"/>
        </w:rPr>
        <w:t>he company</w:t>
      </w:r>
      <w:r w:rsidR="00255212" w:rsidRPr="000E2036">
        <w:rPr>
          <w:rFonts w:eastAsia="ヒラギノ明朝 Pro W3"/>
          <w:sz w:val="22"/>
          <w:szCs w:val="22"/>
          <w:lang w:val="en-GB" w:eastAsia="zh-CN"/>
        </w:rPr>
        <w:t xml:space="preserve"> made great strides toward</w:t>
      </w:r>
      <w:r w:rsidRPr="000E2036">
        <w:rPr>
          <w:rFonts w:eastAsia="ヒラギノ明朝 Pro W3"/>
          <w:sz w:val="22"/>
          <w:szCs w:val="22"/>
          <w:lang w:val="en-GB" w:eastAsia="zh-CN"/>
        </w:rPr>
        <w:t xml:space="preserve"> its goal </w:t>
      </w:r>
      <w:r w:rsidR="001C03BD">
        <w:rPr>
          <w:rFonts w:eastAsia="ヒラギノ明朝 Pro W3"/>
          <w:sz w:val="22"/>
          <w:szCs w:val="22"/>
          <w:lang w:val="en-GB" w:eastAsia="zh-CN"/>
        </w:rPr>
        <w:t>of</w:t>
      </w:r>
      <w:r w:rsidRPr="000E2036">
        <w:rPr>
          <w:rFonts w:eastAsia="ヒラギノ明朝 Pro W3"/>
          <w:sz w:val="22"/>
          <w:szCs w:val="22"/>
          <w:lang w:val="en-GB" w:eastAsia="zh-CN"/>
        </w:rPr>
        <w:t xml:space="preserve"> balancing a business portfolio between automotive and non-automotive business.</w:t>
      </w:r>
      <w:r w:rsidRPr="000E2036">
        <w:rPr>
          <w:rStyle w:val="EndnoteReference"/>
          <w:rFonts w:eastAsia="ヒラギノ明朝 Pro W3"/>
          <w:sz w:val="22"/>
          <w:szCs w:val="22"/>
          <w:lang w:val="en-GB" w:eastAsia="zh-CN"/>
        </w:rPr>
        <w:endnoteReference w:id="63"/>
      </w:r>
      <w:r w:rsidRPr="000E2036">
        <w:rPr>
          <w:rFonts w:eastAsia="ヒラギノ明朝 Pro W3"/>
          <w:sz w:val="22"/>
          <w:szCs w:val="22"/>
          <w:lang w:val="en-GB" w:eastAsia="zh-CN"/>
        </w:rPr>
        <w:t xml:space="preserve"> </w:t>
      </w:r>
      <w:r w:rsidR="00255212" w:rsidRPr="000E2036">
        <w:rPr>
          <w:rFonts w:eastAsia="ヒラギノ明朝 Pro W3"/>
          <w:sz w:val="22"/>
          <w:szCs w:val="22"/>
          <w:lang w:val="en-GB" w:eastAsia="zh-CN"/>
        </w:rPr>
        <w:t>Although</w:t>
      </w:r>
      <w:r w:rsidRPr="000E2036">
        <w:rPr>
          <w:rFonts w:eastAsia="ヒラギノ明朝 Pro W3"/>
          <w:sz w:val="22"/>
          <w:szCs w:val="22"/>
          <w:lang w:val="en-GB" w:eastAsia="zh-CN"/>
        </w:rPr>
        <w:t xml:space="preserve"> TTC did not reach the expected 50:50 </w:t>
      </w:r>
      <w:r w:rsidR="001C03BD">
        <w:rPr>
          <w:rFonts w:eastAsia="ヒラギノ明朝 Pro W3"/>
          <w:sz w:val="22"/>
          <w:szCs w:val="22"/>
          <w:lang w:val="en-GB" w:eastAsia="zh-CN"/>
        </w:rPr>
        <w:t>balance</w:t>
      </w:r>
      <w:r w:rsidR="00255212" w:rsidRPr="000E2036">
        <w:rPr>
          <w:rFonts w:eastAsia="ヒラギノ明朝 Pro W3"/>
          <w:sz w:val="22"/>
          <w:szCs w:val="22"/>
          <w:lang w:val="en-GB" w:eastAsia="zh-CN"/>
        </w:rPr>
        <w:t xml:space="preserve"> </w:t>
      </w:r>
      <w:r w:rsidRPr="000E2036">
        <w:rPr>
          <w:rFonts w:eastAsia="ヒラギノ明朝 Pro W3"/>
          <w:sz w:val="22"/>
          <w:szCs w:val="22"/>
          <w:lang w:val="en-GB" w:eastAsia="zh-CN"/>
        </w:rPr>
        <w:t>in its business portfolio for the two sectors</w:t>
      </w:r>
      <w:r w:rsidR="00255212" w:rsidRPr="000E2036">
        <w:rPr>
          <w:rFonts w:eastAsia="ヒラギノ明朝 Pro W3"/>
          <w:sz w:val="22"/>
          <w:szCs w:val="22"/>
          <w:lang w:val="en-GB" w:eastAsia="zh-CN"/>
        </w:rPr>
        <w:t>,</w:t>
      </w:r>
      <w:r w:rsidRPr="000E2036">
        <w:rPr>
          <w:rFonts w:eastAsia="ヒラギノ明朝 Pro W3"/>
          <w:sz w:val="22"/>
          <w:szCs w:val="22"/>
          <w:lang w:val="en-GB" w:eastAsia="zh-CN"/>
        </w:rPr>
        <w:t xml:space="preserve"> it </w:t>
      </w:r>
      <w:r w:rsidR="00255212" w:rsidRPr="000E2036">
        <w:rPr>
          <w:rFonts w:eastAsia="ヒラギノ明朝 Pro W3"/>
          <w:sz w:val="22"/>
          <w:szCs w:val="22"/>
          <w:lang w:val="en-GB" w:eastAsia="zh-CN"/>
        </w:rPr>
        <w:t>did</w:t>
      </w:r>
      <w:r w:rsidRPr="000E2036">
        <w:rPr>
          <w:rFonts w:eastAsia="ヒラギノ明朝 Pro W3"/>
          <w:sz w:val="22"/>
          <w:szCs w:val="22"/>
          <w:lang w:val="en-GB" w:eastAsia="zh-CN"/>
        </w:rPr>
        <w:t xml:space="preserve"> reduce the gap to </w:t>
      </w:r>
      <w:r w:rsidR="00255212" w:rsidRPr="000E2036">
        <w:rPr>
          <w:rFonts w:eastAsia="ヒラギノ明朝 Pro W3"/>
          <w:sz w:val="22"/>
          <w:szCs w:val="22"/>
          <w:lang w:val="en-GB" w:eastAsia="zh-CN"/>
        </w:rPr>
        <w:t xml:space="preserve">a </w:t>
      </w:r>
      <w:r w:rsidRPr="000E2036">
        <w:rPr>
          <w:rFonts w:eastAsia="ヒラギノ明朝 Pro W3"/>
          <w:sz w:val="22"/>
          <w:szCs w:val="22"/>
          <w:lang w:val="en-GB" w:eastAsia="zh-CN"/>
        </w:rPr>
        <w:t>60:40</w:t>
      </w:r>
      <w:r w:rsidR="00255212" w:rsidRPr="000E2036">
        <w:rPr>
          <w:rFonts w:eastAsia="ヒラギノ明朝 Pro W3"/>
          <w:sz w:val="22"/>
          <w:szCs w:val="22"/>
          <w:lang w:val="en-GB" w:eastAsia="zh-CN"/>
        </w:rPr>
        <w:t xml:space="preserve"> ratio (s</w:t>
      </w:r>
      <w:r w:rsidR="00872D58" w:rsidRPr="000E2036">
        <w:rPr>
          <w:rFonts w:eastAsia="ヒラギノ明朝 Pro W3"/>
          <w:sz w:val="22"/>
          <w:szCs w:val="22"/>
          <w:lang w:val="en-GB" w:eastAsia="zh-CN"/>
        </w:rPr>
        <w:t>ee Exhibit 7</w:t>
      </w:r>
      <w:r w:rsidRPr="000E2036">
        <w:rPr>
          <w:rFonts w:eastAsia="ヒラギノ明朝 Pro W3"/>
          <w:sz w:val="22"/>
          <w:szCs w:val="22"/>
          <w:lang w:val="en-GB" w:eastAsia="zh-CN"/>
        </w:rPr>
        <w:t>)</w:t>
      </w:r>
      <w:r w:rsidR="00255212" w:rsidRPr="000E2036">
        <w:rPr>
          <w:rFonts w:eastAsia="ヒラギノ明朝 Pro W3"/>
          <w:sz w:val="22"/>
          <w:szCs w:val="22"/>
          <w:lang w:val="en-GB" w:eastAsia="zh-CN"/>
        </w:rPr>
        <w:t>.</w:t>
      </w:r>
      <w:r w:rsidRPr="000E2036">
        <w:rPr>
          <w:rFonts w:eastAsia="ヒラギノ明朝 Pro W3"/>
          <w:sz w:val="22"/>
          <w:szCs w:val="22"/>
          <w:lang w:val="en-GB" w:eastAsia="zh-CN"/>
        </w:rPr>
        <w:t xml:space="preserve"> To </w:t>
      </w:r>
      <w:r w:rsidR="00255212" w:rsidRPr="000E2036">
        <w:rPr>
          <w:rFonts w:eastAsia="ヒラギノ明朝 Pro W3"/>
          <w:sz w:val="22"/>
          <w:szCs w:val="22"/>
          <w:lang w:val="en-GB" w:eastAsia="zh-CN"/>
        </w:rPr>
        <w:t>extend the company’s</w:t>
      </w:r>
      <w:r w:rsidRPr="000E2036">
        <w:rPr>
          <w:rFonts w:eastAsia="ヒラギノ明朝 Pro W3"/>
          <w:sz w:val="22"/>
          <w:szCs w:val="22"/>
          <w:lang w:val="en-GB" w:eastAsia="zh-CN"/>
        </w:rPr>
        <w:t xml:space="preserve"> vision, TTC create</w:t>
      </w:r>
      <w:r w:rsidR="00255212" w:rsidRPr="000E2036">
        <w:rPr>
          <w:rFonts w:eastAsia="ヒラギノ明朝 Pro W3"/>
          <w:sz w:val="22"/>
          <w:szCs w:val="22"/>
          <w:lang w:val="en-GB" w:eastAsia="zh-CN"/>
        </w:rPr>
        <w:t>d</w:t>
      </w:r>
      <w:r w:rsidRPr="000E2036">
        <w:rPr>
          <w:rFonts w:eastAsia="ヒラギノ明朝 Pro W3"/>
          <w:sz w:val="22"/>
          <w:szCs w:val="22"/>
          <w:lang w:val="en-GB" w:eastAsia="zh-CN"/>
        </w:rPr>
        <w:t xml:space="preserve"> a </w:t>
      </w:r>
      <w:r w:rsidR="001C03BD">
        <w:rPr>
          <w:rFonts w:eastAsia="ヒラギノ明朝 Pro W3"/>
          <w:sz w:val="22"/>
          <w:szCs w:val="22"/>
          <w:lang w:val="en-GB" w:eastAsia="zh-CN"/>
        </w:rPr>
        <w:t xml:space="preserve">new </w:t>
      </w:r>
      <w:r w:rsidR="00255212" w:rsidRPr="000E2036">
        <w:rPr>
          <w:rFonts w:eastAsia="ヒラギノ明朝 Pro W3"/>
          <w:sz w:val="22"/>
          <w:szCs w:val="22"/>
          <w:lang w:val="en-GB" w:eastAsia="zh-CN"/>
        </w:rPr>
        <w:t>g</w:t>
      </w:r>
      <w:r w:rsidRPr="000E2036">
        <w:rPr>
          <w:rFonts w:eastAsia="ヒラギノ明朝 Pro W3"/>
          <w:sz w:val="22"/>
          <w:szCs w:val="22"/>
          <w:lang w:val="en-GB" w:eastAsia="zh-CN"/>
        </w:rPr>
        <w:t xml:space="preserve">lobal </w:t>
      </w:r>
      <w:r w:rsidR="00255212" w:rsidRPr="000E2036">
        <w:rPr>
          <w:rFonts w:eastAsia="ヒラギノ明朝 Pro W3"/>
          <w:sz w:val="22"/>
          <w:szCs w:val="22"/>
          <w:lang w:val="en-GB" w:eastAsia="zh-CN"/>
        </w:rPr>
        <w:t>v</w:t>
      </w:r>
      <w:r w:rsidRPr="000E2036">
        <w:rPr>
          <w:rFonts w:eastAsia="ヒラギノ明朝 Pro W3"/>
          <w:sz w:val="22"/>
          <w:szCs w:val="22"/>
          <w:lang w:val="en-GB" w:eastAsia="zh-CN"/>
        </w:rPr>
        <w:t xml:space="preserve">ision in 2016. However, </w:t>
      </w:r>
      <w:r w:rsidR="00D90CB3">
        <w:rPr>
          <w:rFonts w:eastAsia="ヒラギノ明朝 Pro W3"/>
          <w:sz w:val="22"/>
          <w:szCs w:val="22"/>
          <w:lang w:val="en-GB" w:eastAsia="zh-CN"/>
        </w:rPr>
        <w:t xml:space="preserve">the company </w:t>
      </w:r>
      <w:r w:rsidR="00255212" w:rsidRPr="000E2036">
        <w:rPr>
          <w:rFonts w:eastAsia="ヒラギノ明朝 Pro W3"/>
          <w:sz w:val="22"/>
          <w:szCs w:val="22"/>
          <w:lang w:val="en-GB" w:eastAsia="zh-CN"/>
        </w:rPr>
        <w:t xml:space="preserve">did not fare as well </w:t>
      </w:r>
      <w:r w:rsidR="00D90CB3">
        <w:rPr>
          <w:rFonts w:eastAsia="ヒラギノ明朝 Pro W3"/>
          <w:sz w:val="22"/>
          <w:szCs w:val="22"/>
          <w:lang w:val="en-GB" w:eastAsia="zh-CN"/>
        </w:rPr>
        <w:t xml:space="preserve">in </w:t>
      </w:r>
      <w:r w:rsidR="00D90CB3" w:rsidRPr="000E2036">
        <w:rPr>
          <w:rFonts w:eastAsia="ヒラギノ明朝 Pro W3"/>
          <w:sz w:val="22"/>
          <w:szCs w:val="22"/>
          <w:lang w:val="en-GB" w:eastAsia="zh-CN"/>
        </w:rPr>
        <w:t xml:space="preserve">2016 </w:t>
      </w:r>
      <w:r w:rsidR="00255212" w:rsidRPr="000E2036">
        <w:rPr>
          <w:rFonts w:eastAsia="ヒラギノ明朝 Pro W3"/>
          <w:sz w:val="22"/>
          <w:szCs w:val="22"/>
          <w:lang w:val="en-GB" w:eastAsia="zh-CN"/>
        </w:rPr>
        <w:t xml:space="preserve">as </w:t>
      </w:r>
      <w:r w:rsidR="00D90CB3">
        <w:rPr>
          <w:rFonts w:eastAsia="ヒラギノ明朝 Pro W3"/>
          <w:sz w:val="22"/>
          <w:szCs w:val="22"/>
          <w:lang w:val="en-GB" w:eastAsia="zh-CN"/>
        </w:rPr>
        <w:t xml:space="preserve">in </w:t>
      </w:r>
      <w:r w:rsidR="00255212" w:rsidRPr="000E2036">
        <w:rPr>
          <w:rFonts w:eastAsia="ヒラギノ明朝 Pro W3"/>
          <w:sz w:val="22"/>
          <w:szCs w:val="22"/>
          <w:lang w:val="en-GB" w:eastAsia="zh-CN"/>
        </w:rPr>
        <w:t>2015.</w:t>
      </w:r>
      <w:r w:rsidRPr="000E2036">
        <w:rPr>
          <w:rFonts w:eastAsia="ヒラギノ明朝 Pro W3"/>
          <w:sz w:val="22"/>
          <w:szCs w:val="22"/>
          <w:lang w:val="en-GB" w:eastAsia="zh-CN"/>
        </w:rPr>
        <w:t xml:space="preserve"> TTC recorded its first financial loss </w:t>
      </w:r>
      <w:r w:rsidR="00255212" w:rsidRPr="000E2036">
        <w:rPr>
          <w:rFonts w:eastAsia="ヒラギノ明朝 Pro W3"/>
          <w:sz w:val="22"/>
          <w:szCs w:val="22"/>
          <w:lang w:val="en-GB" w:eastAsia="zh-CN"/>
        </w:rPr>
        <w:t>in 16</w:t>
      </w:r>
      <w:r w:rsidRPr="000E2036">
        <w:rPr>
          <w:rFonts w:eastAsia="ヒラギノ明朝 Pro W3"/>
          <w:sz w:val="22"/>
          <w:szCs w:val="22"/>
          <w:lang w:val="en-GB" w:eastAsia="zh-CN"/>
        </w:rPr>
        <w:t xml:space="preserve"> years.</w:t>
      </w:r>
      <w:r w:rsidRPr="000E2036">
        <w:rPr>
          <w:rStyle w:val="EndnoteReference"/>
          <w:rFonts w:eastAsia="ヒラギノ明朝 Pro W3"/>
          <w:sz w:val="22"/>
          <w:szCs w:val="22"/>
          <w:lang w:val="en-GB" w:eastAsia="zh-CN"/>
        </w:rPr>
        <w:endnoteReference w:id="64"/>
      </w:r>
      <w:r w:rsidRPr="000E2036">
        <w:rPr>
          <w:rFonts w:eastAsia="ヒラギノ明朝 Pro W3"/>
          <w:sz w:val="22"/>
          <w:szCs w:val="22"/>
          <w:lang w:val="en-GB" w:eastAsia="zh-CN"/>
        </w:rPr>
        <w:t xml:space="preserve"> </w:t>
      </w:r>
      <w:r w:rsidR="00255212" w:rsidRPr="000E2036">
        <w:rPr>
          <w:rFonts w:eastAsia="ヒラギノ明朝 Pro W3"/>
          <w:sz w:val="22"/>
          <w:szCs w:val="22"/>
          <w:lang w:val="en-GB" w:eastAsia="zh-CN"/>
        </w:rPr>
        <w:t>Specifically</w:t>
      </w:r>
      <w:r w:rsidRPr="000E2036">
        <w:rPr>
          <w:rFonts w:eastAsia="ヒラギノ明朝 Pro W3"/>
          <w:sz w:val="22"/>
          <w:szCs w:val="22"/>
          <w:lang w:val="en-GB" w:eastAsia="zh-CN"/>
        </w:rPr>
        <w:t>, TTC posted a loss attributable to the parent’s shareholders of ¥43.7 billion in 2016</w:t>
      </w:r>
      <w:r w:rsidR="00255212" w:rsidRPr="000E2036">
        <w:rPr>
          <w:rFonts w:eastAsia="ヒラギノ明朝 Pro W3"/>
          <w:sz w:val="22"/>
          <w:szCs w:val="22"/>
          <w:lang w:val="en-GB" w:eastAsia="zh-CN"/>
        </w:rPr>
        <w:t>,</w:t>
      </w:r>
      <w:r w:rsidRPr="000E2036">
        <w:rPr>
          <w:rFonts w:eastAsia="ヒラギノ明朝 Pro W3"/>
          <w:sz w:val="22"/>
          <w:szCs w:val="22"/>
          <w:lang w:val="en-GB" w:eastAsia="zh-CN"/>
        </w:rPr>
        <w:t xml:space="preserve"> compared with net income of ¥67.5 billion in 2015. Net sales and operating income were also down 5.7 per cent and 17.2 per cent</w:t>
      </w:r>
      <w:r w:rsidR="00D90CB3">
        <w:rPr>
          <w:rFonts w:eastAsia="ヒラギノ明朝 Pro W3"/>
          <w:sz w:val="22"/>
          <w:szCs w:val="22"/>
          <w:lang w:val="en-GB" w:eastAsia="zh-CN"/>
        </w:rPr>
        <w:t>,</w:t>
      </w:r>
      <w:r w:rsidRPr="000E2036">
        <w:rPr>
          <w:rFonts w:eastAsia="ヒラギノ明朝 Pro W3"/>
          <w:sz w:val="22"/>
          <w:szCs w:val="22"/>
          <w:lang w:val="en-GB" w:eastAsia="zh-CN"/>
        </w:rPr>
        <w:t xml:space="preserve"> to ¥8,170.2 billion and ¥140.2 billion respectively </w:t>
      </w:r>
      <w:r w:rsidR="00872D58" w:rsidRPr="000E2036">
        <w:rPr>
          <w:rFonts w:eastAsia="ヒラギノ明朝 Pro W3"/>
          <w:sz w:val="22"/>
          <w:szCs w:val="22"/>
          <w:lang w:val="en-GB" w:eastAsia="zh-CN"/>
        </w:rPr>
        <w:t>(</w:t>
      </w:r>
      <w:r w:rsidR="00255212" w:rsidRPr="000E2036">
        <w:rPr>
          <w:rFonts w:eastAsia="ヒラギノ明朝 Pro W3"/>
          <w:sz w:val="22"/>
          <w:szCs w:val="22"/>
          <w:lang w:val="en-GB" w:eastAsia="zh-CN"/>
        </w:rPr>
        <w:t>s</w:t>
      </w:r>
      <w:r w:rsidR="00872D58" w:rsidRPr="000E2036">
        <w:rPr>
          <w:rFonts w:eastAsia="ヒラギノ明朝 Pro W3"/>
          <w:sz w:val="22"/>
          <w:szCs w:val="22"/>
          <w:lang w:val="en-GB" w:eastAsia="zh-CN"/>
        </w:rPr>
        <w:t>ee Exhibit 8</w:t>
      </w:r>
      <w:r w:rsidRPr="000E2036">
        <w:rPr>
          <w:rFonts w:eastAsia="ヒラギノ明朝 Pro W3"/>
          <w:sz w:val="22"/>
          <w:szCs w:val="22"/>
          <w:lang w:val="en-GB" w:eastAsia="zh-CN"/>
        </w:rPr>
        <w:t>)</w:t>
      </w:r>
      <w:r w:rsidR="00255212" w:rsidRPr="000E2036">
        <w:rPr>
          <w:rFonts w:eastAsia="ヒラギノ明朝 Pro W3"/>
          <w:sz w:val="22"/>
          <w:szCs w:val="22"/>
          <w:lang w:val="en-GB" w:eastAsia="zh-CN"/>
        </w:rPr>
        <w:t xml:space="preserve">. What had led to such a negative change for the company? </w:t>
      </w:r>
      <w:r w:rsidRPr="000E2036">
        <w:rPr>
          <w:rFonts w:eastAsia="ヒラギノ明朝 Pro W3"/>
          <w:sz w:val="22"/>
          <w:szCs w:val="22"/>
          <w:lang w:val="en-GB" w:eastAsia="zh-CN"/>
        </w:rPr>
        <w:t xml:space="preserve"> </w:t>
      </w:r>
    </w:p>
    <w:p w14:paraId="75A10ACB" w14:textId="77777777" w:rsidR="00F502BA" w:rsidRPr="000E2036" w:rsidRDefault="00F502BA" w:rsidP="000E4F83">
      <w:pPr>
        <w:jc w:val="both"/>
        <w:rPr>
          <w:rFonts w:eastAsia="ヒラギノ明朝 Pro W3"/>
          <w:sz w:val="22"/>
          <w:szCs w:val="22"/>
          <w:lang w:val="en-GB" w:eastAsia="zh-CN"/>
        </w:rPr>
      </w:pPr>
    </w:p>
    <w:p w14:paraId="654778D4" w14:textId="30039E68" w:rsidR="00F502BA" w:rsidRDefault="00F502BA" w:rsidP="00081138">
      <w:pPr>
        <w:jc w:val="both"/>
        <w:rPr>
          <w:rFonts w:eastAsia="ヒラギノ明朝 Pro W3"/>
          <w:sz w:val="22"/>
          <w:szCs w:val="22"/>
          <w:lang w:val="en-GB" w:eastAsia="zh-CN"/>
        </w:rPr>
      </w:pPr>
      <w:r w:rsidRPr="000E2036">
        <w:rPr>
          <w:rFonts w:eastAsia="ヒラギノ明朝 Pro W3"/>
          <w:sz w:val="22"/>
          <w:szCs w:val="22"/>
          <w:lang w:val="en-GB" w:eastAsia="zh-CN"/>
        </w:rPr>
        <w:lastRenderedPageBreak/>
        <w:t xml:space="preserve">The downturn in profitability resulted from impairment losses incurred on natural gas development projects </w:t>
      </w:r>
      <w:r w:rsidR="00255212" w:rsidRPr="000E2036">
        <w:rPr>
          <w:rFonts w:eastAsia="ヒラギノ明朝 Pro W3"/>
          <w:sz w:val="22"/>
          <w:szCs w:val="22"/>
          <w:lang w:val="en-GB" w:eastAsia="zh-CN"/>
        </w:rPr>
        <w:t>relating to</w:t>
      </w:r>
      <w:r w:rsidRPr="000E2036">
        <w:rPr>
          <w:rFonts w:eastAsia="ヒラギノ明朝 Pro W3"/>
          <w:sz w:val="22"/>
          <w:szCs w:val="22"/>
          <w:lang w:val="en-GB" w:eastAsia="zh-CN"/>
        </w:rPr>
        <w:t xml:space="preserve"> the slump in natural resources prices and from losses recorded on investments in other sectors. In particular, the main losses were the impairment losses on Australian and Canadian gas businesses and the write-down of deferred tax assets</w:t>
      </w:r>
      <w:r w:rsidRPr="000E2036">
        <w:rPr>
          <w:rStyle w:val="EndnoteReference"/>
          <w:rFonts w:eastAsia="ヒラギノ明朝 Pro W3"/>
          <w:sz w:val="22"/>
          <w:szCs w:val="22"/>
          <w:lang w:val="en-GB" w:eastAsia="zh-CN"/>
        </w:rPr>
        <w:endnoteReference w:id="65"/>
      </w:r>
      <w:r w:rsidR="00872D58" w:rsidRPr="000E2036">
        <w:rPr>
          <w:rFonts w:eastAsia="ヒラギノ明朝 Pro W3"/>
          <w:sz w:val="22"/>
          <w:szCs w:val="22"/>
          <w:lang w:val="en-GB" w:eastAsia="zh-CN"/>
        </w:rPr>
        <w:t xml:space="preserve"> (see Exhibit 9</w:t>
      </w:r>
      <w:r w:rsidRPr="000E2036">
        <w:rPr>
          <w:rFonts w:eastAsia="ヒラギノ明朝 Pro W3"/>
          <w:sz w:val="22"/>
          <w:szCs w:val="22"/>
          <w:lang w:val="en-GB" w:eastAsia="zh-CN"/>
        </w:rPr>
        <w:t>)</w:t>
      </w:r>
      <w:r w:rsidR="00255212" w:rsidRPr="000E2036">
        <w:rPr>
          <w:rFonts w:eastAsia="ヒラギノ明朝 Pro W3"/>
          <w:sz w:val="22"/>
          <w:szCs w:val="22"/>
          <w:lang w:val="en-GB" w:eastAsia="zh-CN"/>
        </w:rPr>
        <w:t>.</w:t>
      </w:r>
      <w:r w:rsidRPr="000E2036">
        <w:rPr>
          <w:rFonts w:eastAsia="ヒラギノ明朝 Pro W3"/>
          <w:sz w:val="22"/>
          <w:szCs w:val="22"/>
          <w:lang w:val="en-GB" w:eastAsia="zh-CN"/>
        </w:rPr>
        <w:t xml:space="preserve"> TTC booked an extraordinary loss (impairment loss) of approximately ¥37.0 billion against its Australian gas business, including a coalbed methane gas development and supply project in Queensland. As result of impairment testing, TTC also booked an extraordinary loss of approximately ¥8 billion against Canadian gas development and production. </w:t>
      </w:r>
      <w:r w:rsidR="00255212" w:rsidRPr="000E2036">
        <w:rPr>
          <w:rFonts w:eastAsia="ヒラギノ明朝 Pro W3"/>
          <w:sz w:val="22"/>
          <w:szCs w:val="22"/>
          <w:lang w:val="en-GB" w:eastAsia="zh-CN"/>
        </w:rPr>
        <w:t>Despite</w:t>
      </w:r>
      <w:r w:rsidRPr="000E2036">
        <w:rPr>
          <w:rFonts w:eastAsia="ヒラギノ明朝 Pro W3"/>
          <w:sz w:val="22"/>
          <w:szCs w:val="22"/>
          <w:lang w:val="en-GB" w:eastAsia="zh-CN"/>
        </w:rPr>
        <w:t xml:space="preserve"> this disappointing performance, TTC intended to assert its innate strengths on achieving renewed growth.</w:t>
      </w:r>
    </w:p>
    <w:p w14:paraId="776FC9C6" w14:textId="77777777" w:rsidR="004013C4" w:rsidRDefault="004013C4" w:rsidP="00081138">
      <w:pPr>
        <w:jc w:val="both"/>
        <w:rPr>
          <w:rFonts w:eastAsia="ヒラギノ明朝 Pro W3"/>
          <w:sz w:val="22"/>
          <w:szCs w:val="22"/>
          <w:lang w:val="en-GB" w:eastAsia="zh-CN"/>
        </w:rPr>
      </w:pPr>
    </w:p>
    <w:p w14:paraId="169CAD17" w14:textId="77777777" w:rsidR="004013C4" w:rsidRPr="000E2036" w:rsidRDefault="004013C4" w:rsidP="00081138">
      <w:pPr>
        <w:jc w:val="both"/>
        <w:rPr>
          <w:rFonts w:eastAsia="ヒラギノ明朝 Pro W3"/>
          <w:sz w:val="22"/>
          <w:szCs w:val="22"/>
          <w:lang w:val="en-GB" w:eastAsia="zh-CN"/>
        </w:rPr>
      </w:pPr>
    </w:p>
    <w:p w14:paraId="01F34193" w14:textId="15E0B9C0" w:rsidR="00F502BA" w:rsidRPr="000E2036" w:rsidRDefault="00F502BA" w:rsidP="000E4F83">
      <w:pPr>
        <w:jc w:val="both"/>
        <w:rPr>
          <w:rFonts w:ascii="Arial" w:eastAsia="ヒラギノ明朝 Pro W3" w:hAnsi="Arial" w:cs="Arial"/>
          <w:b/>
          <w:lang w:val="en-GB" w:eastAsia="zh-CN"/>
        </w:rPr>
      </w:pPr>
      <w:r w:rsidRPr="000E2036">
        <w:rPr>
          <w:rFonts w:ascii="Arial" w:eastAsia="ヒラギノ明朝 Pro W3" w:hAnsi="Arial" w:cs="Arial"/>
          <w:b/>
          <w:lang w:val="en-GB" w:eastAsia="zh-CN"/>
        </w:rPr>
        <w:t xml:space="preserve">THE GLOBAL VISION AND </w:t>
      </w:r>
      <w:r w:rsidR="00255212" w:rsidRPr="000E2036">
        <w:rPr>
          <w:rFonts w:ascii="Arial" w:eastAsia="ヒラギノ明朝 Pro W3" w:hAnsi="Arial" w:cs="Arial"/>
          <w:b/>
          <w:lang w:val="en-GB" w:eastAsia="zh-CN"/>
        </w:rPr>
        <w:t>10</w:t>
      </w:r>
      <w:r w:rsidRPr="000E2036">
        <w:rPr>
          <w:rFonts w:ascii="Arial" w:eastAsia="ヒラギノ明朝 Pro W3" w:hAnsi="Arial" w:cs="Arial"/>
          <w:b/>
          <w:lang w:val="en-GB" w:eastAsia="zh-CN"/>
        </w:rPr>
        <w:t>-YEAR PLAN FROM MAY 2016</w:t>
      </w:r>
    </w:p>
    <w:p w14:paraId="3EC11C94" w14:textId="77777777" w:rsidR="00F502BA" w:rsidRPr="000E2036" w:rsidRDefault="00F502BA" w:rsidP="000E4F83">
      <w:pPr>
        <w:jc w:val="both"/>
        <w:rPr>
          <w:rFonts w:eastAsia="ヒラギノ明朝 Pro W3"/>
          <w:sz w:val="22"/>
          <w:szCs w:val="22"/>
          <w:lang w:val="en-GB" w:eastAsia="zh-CN"/>
        </w:rPr>
      </w:pPr>
    </w:p>
    <w:p w14:paraId="4FAF2A51" w14:textId="25EB6676" w:rsidR="00F502BA" w:rsidRPr="000E2036" w:rsidRDefault="00F502BA" w:rsidP="00AE0FD1">
      <w:pPr>
        <w:jc w:val="both"/>
        <w:rPr>
          <w:rFonts w:eastAsia="ヒラギノ明朝 Pro W3"/>
          <w:sz w:val="22"/>
          <w:szCs w:val="22"/>
          <w:lang w:val="en-GB" w:eastAsia="zh-CN"/>
        </w:rPr>
      </w:pPr>
      <w:r w:rsidRPr="000E2036">
        <w:rPr>
          <w:rFonts w:eastAsia="ヒラギノ明朝 Pro W3"/>
          <w:sz w:val="22"/>
          <w:szCs w:val="22"/>
          <w:lang w:val="en-GB" w:eastAsia="zh-CN"/>
        </w:rPr>
        <w:t xml:space="preserve">In </w:t>
      </w:r>
      <w:r w:rsidR="00D02B74" w:rsidRPr="000E2036">
        <w:rPr>
          <w:rFonts w:eastAsia="ヒラギノ明朝 Pro W3"/>
          <w:sz w:val="22"/>
          <w:szCs w:val="22"/>
          <w:lang w:val="en-GB" w:eastAsia="zh-CN"/>
        </w:rPr>
        <w:t>FY</w:t>
      </w:r>
      <w:r w:rsidR="00255212" w:rsidRPr="000E2036">
        <w:rPr>
          <w:rFonts w:eastAsia="ヒラギノ明朝 Pro W3"/>
          <w:sz w:val="22"/>
          <w:szCs w:val="22"/>
          <w:lang w:val="en-GB" w:eastAsia="zh-CN"/>
        </w:rPr>
        <w:t xml:space="preserve"> 2015/16</w:t>
      </w:r>
      <w:r w:rsidRPr="000E2036">
        <w:rPr>
          <w:rFonts w:eastAsia="ヒラギノ明朝 Pro W3"/>
          <w:sz w:val="22"/>
          <w:szCs w:val="22"/>
          <w:lang w:val="en-GB" w:eastAsia="zh-CN"/>
        </w:rPr>
        <w:t>, Karube stated, “Under our Global Vision, we have reinforced our foundation for pursuing renewed growth for the group for the next 10 years.”</w:t>
      </w:r>
      <w:r w:rsidR="00333DA7" w:rsidRPr="000E2036">
        <w:rPr>
          <w:rFonts w:eastAsia="ヒラギノ明朝 Pro W3"/>
          <w:sz w:val="22"/>
          <w:szCs w:val="22"/>
          <w:lang w:val="en-GB" w:eastAsia="zh-CN"/>
        </w:rPr>
        <w:t xml:space="preserve"> </w:t>
      </w:r>
      <w:r w:rsidRPr="000E2036">
        <w:rPr>
          <w:rFonts w:eastAsia="ヒラギノ明朝 Pro W3"/>
          <w:sz w:val="22"/>
          <w:szCs w:val="22"/>
          <w:lang w:val="en-GB" w:eastAsia="zh-CN"/>
        </w:rPr>
        <w:t xml:space="preserve">This global vision would start </w:t>
      </w:r>
      <w:r w:rsidR="00255212" w:rsidRPr="000E2036">
        <w:rPr>
          <w:rFonts w:eastAsia="ヒラギノ明朝 Pro W3"/>
          <w:sz w:val="22"/>
          <w:szCs w:val="22"/>
          <w:lang w:val="en-GB" w:eastAsia="zh-CN"/>
        </w:rPr>
        <w:t>in</w:t>
      </w:r>
      <w:r w:rsidRPr="000E2036">
        <w:rPr>
          <w:rFonts w:eastAsia="ヒラギノ明朝 Pro W3"/>
          <w:sz w:val="22"/>
          <w:szCs w:val="22"/>
          <w:lang w:val="en-GB" w:eastAsia="zh-CN"/>
        </w:rPr>
        <w:t xml:space="preserve"> May 2016 to reaffirm the group’s mission to achieve sustainable growth on a global scale in a rapidly changing business environment. Going beyond </w:t>
      </w:r>
      <w:r w:rsidR="00D90CB3" w:rsidRPr="000E2036">
        <w:rPr>
          <w:rFonts w:eastAsia="ヒラギノ明朝 Pro W3"/>
          <w:sz w:val="22"/>
          <w:szCs w:val="22"/>
          <w:lang w:val="en-GB" w:eastAsia="zh-CN"/>
        </w:rPr>
        <w:t>balanc</w:t>
      </w:r>
      <w:r w:rsidR="00D90CB3">
        <w:rPr>
          <w:rFonts w:eastAsia="ヒラギノ明朝 Pro W3"/>
          <w:sz w:val="22"/>
          <w:szCs w:val="22"/>
          <w:lang w:val="en-GB" w:eastAsia="zh-CN"/>
        </w:rPr>
        <w:t>ing</w:t>
      </w:r>
      <w:r w:rsidR="00D90CB3" w:rsidRPr="000E2036">
        <w:rPr>
          <w:rFonts w:eastAsia="ヒラギノ明朝 Pro W3"/>
          <w:sz w:val="22"/>
          <w:szCs w:val="22"/>
          <w:lang w:val="en-GB" w:eastAsia="zh-CN"/>
        </w:rPr>
        <w:t xml:space="preserve"> the </w:t>
      </w:r>
      <w:r w:rsidRPr="000E2036">
        <w:rPr>
          <w:rFonts w:eastAsia="ヒラギノ明朝 Pro W3"/>
          <w:sz w:val="22"/>
          <w:szCs w:val="22"/>
          <w:lang w:val="en-GB" w:eastAsia="zh-CN"/>
        </w:rPr>
        <w:t>portfolio between automotive and non-automotive businesses, TTC aimed to</w:t>
      </w:r>
      <w:r w:rsidRPr="000E2036">
        <w:rPr>
          <w:lang w:val="en-GB"/>
        </w:rPr>
        <w:t xml:space="preserve"> </w:t>
      </w:r>
      <w:r w:rsidRPr="000E2036">
        <w:rPr>
          <w:rFonts w:eastAsia="ヒラギノ明朝 Pro W3"/>
          <w:sz w:val="22"/>
          <w:szCs w:val="22"/>
          <w:lang w:val="en-GB" w:eastAsia="zh-CN"/>
        </w:rPr>
        <w:t xml:space="preserve">achieve balance among </w:t>
      </w:r>
      <w:r w:rsidR="00B006CB" w:rsidRPr="000E2036">
        <w:rPr>
          <w:rFonts w:eastAsia="ヒラギノ明朝 Pro W3"/>
          <w:sz w:val="22"/>
          <w:szCs w:val="22"/>
          <w:lang w:val="en-GB" w:eastAsia="zh-CN"/>
        </w:rPr>
        <w:t>its</w:t>
      </w:r>
      <w:r w:rsidRPr="000E2036">
        <w:rPr>
          <w:rFonts w:eastAsia="ヒラギノ明朝 Pro W3"/>
          <w:sz w:val="22"/>
          <w:szCs w:val="22"/>
          <w:lang w:val="en-GB" w:eastAsia="zh-CN"/>
        </w:rPr>
        <w:t xml:space="preserve"> three business domains</w:t>
      </w:r>
      <w:r w:rsidR="00B006CB" w:rsidRPr="000E2036">
        <w:rPr>
          <w:rFonts w:eastAsia="ヒラギノ明朝 Pro W3"/>
          <w:sz w:val="22"/>
          <w:szCs w:val="22"/>
          <w:lang w:val="en-GB" w:eastAsia="zh-CN"/>
        </w:rPr>
        <w:t>:</w:t>
      </w:r>
      <w:r w:rsidRPr="000E2036">
        <w:rPr>
          <w:rFonts w:eastAsia="ヒラギノ明朝 Pro W3"/>
          <w:sz w:val="22"/>
          <w:szCs w:val="22"/>
          <w:lang w:val="en-GB" w:eastAsia="zh-CN"/>
        </w:rPr>
        <w:t xml:space="preserve"> </w:t>
      </w:r>
      <w:r w:rsidR="00CE6A01">
        <w:rPr>
          <w:rFonts w:eastAsia="ヒラギノ明朝 Pro W3"/>
          <w:sz w:val="22"/>
          <w:szCs w:val="22"/>
          <w:lang w:val="en-GB" w:eastAsia="zh-CN"/>
        </w:rPr>
        <w:t xml:space="preserve">(1) </w:t>
      </w:r>
      <w:r w:rsidR="00D90CB3">
        <w:rPr>
          <w:rFonts w:eastAsia="ヒラギノ明朝 Pro W3"/>
          <w:sz w:val="22"/>
          <w:szCs w:val="22"/>
          <w:lang w:val="en-GB" w:eastAsia="zh-CN"/>
        </w:rPr>
        <w:t>m</w:t>
      </w:r>
      <w:r w:rsidR="00D90CB3" w:rsidRPr="000E2036">
        <w:rPr>
          <w:rFonts w:eastAsia="ヒラギノ明朝 Pro W3"/>
          <w:sz w:val="22"/>
          <w:szCs w:val="22"/>
          <w:lang w:val="en-GB" w:eastAsia="zh-CN"/>
        </w:rPr>
        <w:t>obility</w:t>
      </w:r>
      <w:r w:rsidR="00B006CB" w:rsidRPr="000E2036">
        <w:rPr>
          <w:rFonts w:eastAsia="ヒラギノ明朝 Pro W3"/>
          <w:sz w:val="22"/>
          <w:szCs w:val="22"/>
          <w:lang w:val="en-GB" w:eastAsia="zh-CN"/>
        </w:rPr>
        <w:t>—</w:t>
      </w:r>
      <w:r w:rsidRPr="000E2036">
        <w:rPr>
          <w:rFonts w:eastAsia="ヒラギノ明朝 Pro W3"/>
          <w:sz w:val="22"/>
          <w:szCs w:val="22"/>
          <w:lang w:val="en-GB" w:eastAsia="zh-CN"/>
        </w:rPr>
        <w:t>to deliver valuable businesses to earn customer trust by deepening and stabilizing supply chains</w:t>
      </w:r>
      <w:r w:rsidR="00B006CB" w:rsidRPr="000E2036">
        <w:rPr>
          <w:rFonts w:eastAsia="ヒラギノ明朝 Pro W3"/>
          <w:sz w:val="22"/>
          <w:szCs w:val="22"/>
          <w:lang w:val="en-GB" w:eastAsia="zh-CN"/>
        </w:rPr>
        <w:t>;</w:t>
      </w:r>
      <w:r w:rsidRPr="000E2036">
        <w:rPr>
          <w:rFonts w:eastAsia="ヒラギノ明朝 Pro W3"/>
          <w:sz w:val="22"/>
          <w:szCs w:val="22"/>
          <w:lang w:val="en-GB" w:eastAsia="zh-CN"/>
        </w:rPr>
        <w:t xml:space="preserve"> </w:t>
      </w:r>
      <w:r w:rsidR="00CE6A01">
        <w:rPr>
          <w:rFonts w:eastAsia="ヒラギノ明朝 Pro W3"/>
          <w:sz w:val="22"/>
          <w:szCs w:val="22"/>
          <w:lang w:val="en-GB" w:eastAsia="zh-CN"/>
        </w:rPr>
        <w:t xml:space="preserve">(2) </w:t>
      </w:r>
      <w:r w:rsidR="00D90CB3">
        <w:rPr>
          <w:rFonts w:eastAsia="ヒラギノ明朝 Pro W3"/>
          <w:sz w:val="22"/>
          <w:szCs w:val="22"/>
          <w:lang w:val="en-GB" w:eastAsia="zh-CN"/>
        </w:rPr>
        <w:t>l</w:t>
      </w:r>
      <w:r w:rsidR="00D90CB3" w:rsidRPr="000E2036">
        <w:rPr>
          <w:rFonts w:eastAsia="ヒラギノ明朝 Pro W3"/>
          <w:sz w:val="22"/>
          <w:szCs w:val="22"/>
          <w:lang w:val="en-GB" w:eastAsia="zh-CN"/>
        </w:rPr>
        <w:t xml:space="preserve">ife </w:t>
      </w:r>
      <w:r w:rsidRPr="000E2036">
        <w:rPr>
          <w:rFonts w:eastAsia="ヒラギノ明朝 Pro W3"/>
          <w:sz w:val="22"/>
          <w:szCs w:val="22"/>
          <w:lang w:val="en-GB" w:eastAsia="zh-CN"/>
        </w:rPr>
        <w:t xml:space="preserve">and </w:t>
      </w:r>
      <w:r w:rsidR="00D90CB3">
        <w:rPr>
          <w:rFonts w:eastAsia="ヒラギノ明朝 Pro W3"/>
          <w:sz w:val="22"/>
          <w:szCs w:val="22"/>
          <w:lang w:val="en-GB" w:eastAsia="zh-CN"/>
        </w:rPr>
        <w:t>c</w:t>
      </w:r>
      <w:r w:rsidR="00D90CB3" w:rsidRPr="000E2036">
        <w:rPr>
          <w:rFonts w:eastAsia="ヒラギノ明朝 Pro W3"/>
          <w:sz w:val="22"/>
          <w:szCs w:val="22"/>
          <w:lang w:val="en-GB" w:eastAsia="zh-CN"/>
        </w:rPr>
        <w:t>ommunity</w:t>
      </w:r>
      <w:r w:rsidR="00B006CB" w:rsidRPr="000E2036">
        <w:rPr>
          <w:rFonts w:eastAsia="ヒラギノ明朝 Pro W3"/>
          <w:sz w:val="22"/>
          <w:szCs w:val="22"/>
          <w:lang w:val="en-GB" w:eastAsia="zh-CN"/>
        </w:rPr>
        <w:t>—</w:t>
      </w:r>
      <w:r w:rsidRPr="000E2036">
        <w:rPr>
          <w:rFonts w:eastAsia="ヒラギノ明朝 Pro W3"/>
          <w:sz w:val="22"/>
          <w:szCs w:val="22"/>
          <w:lang w:val="en-GB" w:eastAsia="zh-CN"/>
        </w:rPr>
        <w:t>to improve living conditions</w:t>
      </w:r>
      <w:r w:rsidR="00B006CB" w:rsidRPr="000E2036">
        <w:rPr>
          <w:rFonts w:eastAsia="ヒラギノ明朝 Pro W3"/>
          <w:sz w:val="22"/>
          <w:szCs w:val="22"/>
          <w:lang w:val="en-GB" w:eastAsia="zh-CN"/>
        </w:rPr>
        <w:t>;</w:t>
      </w:r>
      <w:r w:rsidRPr="000E2036">
        <w:rPr>
          <w:rFonts w:eastAsia="ヒラギノ明朝 Pro W3"/>
          <w:sz w:val="22"/>
          <w:szCs w:val="22"/>
          <w:lang w:val="en-GB" w:eastAsia="zh-CN"/>
        </w:rPr>
        <w:t xml:space="preserve"> and </w:t>
      </w:r>
      <w:r w:rsidR="00CE6A01">
        <w:rPr>
          <w:rFonts w:eastAsia="ヒラギノ明朝 Pro W3"/>
          <w:sz w:val="22"/>
          <w:szCs w:val="22"/>
          <w:lang w:val="en-GB" w:eastAsia="zh-CN"/>
        </w:rPr>
        <w:t xml:space="preserve">(3) </w:t>
      </w:r>
      <w:r w:rsidR="00D90CB3">
        <w:rPr>
          <w:rFonts w:eastAsia="ヒラギノ明朝 Pro W3"/>
          <w:sz w:val="22"/>
          <w:szCs w:val="22"/>
          <w:lang w:val="en-GB" w:eastAsia="zh-CN"/>
        </w:rPr>
        <w:t>r</w:t>
      </w:r>
      <w:r w:rsidR="00D90CB3" w:rsidRPr="000E2036">
        <w:rPr>
          <w:rFonts w:eastAsia="ヒラギノ明朝 Pro W3"/>
          <w:sz w:val="22"/>
          <w:szCs w:val="22"/>
          <w:lang w:val="en-GB" w:eastAsia="zh-CN"/>
        </w:rPr>
        <w:t xml:space="preserve">esources </w:t>
      </w:r>
      <w:r w:rsidRPr="000E2036">
        <w:rPr>
          <w:rFonts w:eastAsia="ヒラギノ明朝 Pro W3"/>
          <w:sz w:val="22"/>
          <w:szCs w:val="22"/>
          <w:lang w:val="en-GB" w:eastAsia="zh-CN"/>
        </w:rPr>
        <w:t xml:space="preserve">and </w:t>
      </w:r>
      <w:r w:rsidR="00D90CB3">
        <w:rPr>
          <w:rFonts w:eastAsia="ヒラギノ明朝 Pro W3"/>
          <w:sz w:val="22"/>
          <w:szCs w:val="22"/>
          <w:lang w:val="en-GB" w:eastAsia="zh-CN"/>
        </w:rPr>
        <w:t>e</w:t>
      </w:r>
      <w:r w:rsidR="00D90CB3" w:rsidRPr="000E2036">
        <w:rPr>
          <w:rFonts w:eastAsia="ヒラギノ明朝 Pro W3"/>
          <w:sz w:val="22"/>
          <w:szCs w:val="22"/>
          <w:lang w:val="en-GB" w:eastAsia="zh-CN"/>
        </w:rPr>
        <w:t>nvironment</w:t>
      </w:r>
      <w:r w:rsidR="00B006CB" w:rsidRPr="000E2036">
        <w:rPr>
          <w:rFonts w:eastAsia="ヒラギノ明朝 Pro W3"/>
          <w:sz w:val="22"/>
          <w:szCs w:val="22"/>
          <w:lang w:val="en-GB" w:eastAsia="zh-CN"/>
        </w:rPr>
        <w:t>—</w:t>
      </w:r>
      <w:r w:rsidRPr="000E2036">
        <w:rPr>
          <w:rFonts w:eastAsia="ヒラギノ明朝 Pro W3"/>
          <w:sz w:val="22"/>
          <w:szCs w:val="22"/>
          <w:lang w:val="en-GB" w:eastAsia="zh-CN"/>
        </w:rPr>
        <w:t xml:space="preserve">to provide solutions for a sustainable society. The </w:t>
      </w:r>
      <w:r w:rsidR="00B006CB" w:rsidRPr="000E2036">
        <w:rPr>
          <w:rFonts w:eastAsia="ヒラギノ明朝 Pro W3"/>
          <w:sz w:val="22"/>
          <w:szCs w:val="22"/>
          <w:lang w:val="en-GB" w:eastAsia="zh-CN"/>
        </w:rPr>
        <w:t>main corporate image</w:t>
      </w:r>
      <w:r w:rsidR="00D90CB3">
        <w:rPr>
          <w:rFonts w:eastAsia="ヒラギノ明朝 Pro W3"/>
          <w:sz w:val="22"/>
          <w:szCs w:val="22"/>
          <w:lang w:val="en-GB" w:eastAsia="zh-CN"/>
        </w:rPr>
        <w:t>—</w:t>
      </w:r>
      <w:r w:rsidR="00B006CB" w:rsidRPr="000E2036">
        <w:rPr>
          <w:rFonts w:eastAsia="ヒラギノ明朝 Pro W3"/>
          <w:sz w:val="22"/>
          <w:szCs w:val="22"/>
          <w:lang w:val="en-GB" w:eastAsia="zh-CN"/>
        </w:rPr>
        <w:t>for the company</w:t>
      </w:r>
      <w:r w:rsidRPr="000E2036">
        <w:rPr>
          <w:rFonts w:eastAsia="ヒラギノ明朝 Pro W3"/>
          <w:sz w:val="22"/>
          <w:szCs w:val="22"/>
          <w:lang w:val="en-GB" w:eastAsia="zh-CN"/>
        </w:rPr>
        <w:t xml:space="preserve"> to “Be the Right One”</w:t>
      </w:r>
      <w:r w:rsidR="00D90CB3">
        <w:rPr>
          <w:rFonts w:eastAsia="ヒラギノ明朝 Pro W3"/>
          <w:sz w:val="22"/>
          <w:szCs w:val="22"/>
          <w:lang w:val="en-GB" w:eastAsia="zh-CN"/>
        </w:rPr>
        <w:t>—</w:t>
      </w:r>
      <w:r w:rsidR="00CE6A01">
        <w:rPr>
          <w:rFonts w:eastAsia="ヒラギノ明朝 Pro W3"/>
          <w:sz w:val="22"/>
          <w:szCs w:val="22"/>
          <w:lang w:val="en-GB" w:eastAsia="zh-CN"/>
        </w:rPr>
        <w:t>was</w:t>
      </w:r>
      <w:r w:rsidR="00B006CB" w:rsidRPr="000E2036">
        <w:rPr>
          <w:rFonts w:eastAsia="ヒラギノ明朝 Pro W3"/>
          <w:sz w:val="22"/>
          <w:szCs w:val="22"/>
          <w:lang w:val="en-GB" w:eastAsia="zh-CN"/>
        </w:rPr>
        <w:t xml:space="preserve"> broken down into three s</w:t>
      </w:r>
      <w:r w:rsidR="00CE6A01">
        <w:rPr>
          <w:rFonts w:eastAsia="ヒラギノ明朝 Pro W3"/>
          <w:sz w:val="22"/>
          <w:szCs w:val="22"/>
          <w:lang w:val="en-GB" w:eastAsia="zh-CN"/>
        </w:rPr>
        <w:t>ubcategories</w:t>
      </w:r>
      <w:r w:rsidR="00B006CB" w:rsidRPr="000E2036">
        <w:rPr>
          <w:rFonts w:eastAsia="ヒラギノ明朝 Pro W3"/>
          <w:sz w:val="22"/>
          <w:szCs w:val="22"/>
          <w:lang w:val="en-GB" w:eastAsia="zh-CN"/>
        </w:rPr>
        <w:t>:</w:t>
      </w:r>
      <w:r w:rsidRPr="000E2036">
        <w:rPr>
          <w:rFonts w:eastAsia="ヒラギノ明朝 Pro W3"/>
          <w:sz w:val="22"/>
          <w:szCs w:val="22"/>
          <w:lang w:val="en-GB" w:eastAsia="zh-CN"/>
        </w:rPr>
        <w:t xml:space="preserve"> “The Right One for </w:t>
      </w:r>
      <w:r w:rsidR="00CE6A01">
        <w:rPr>
          <w:rFonts w:eastAsia="ヒラギノ明朝 Pro W3"/>
          <w:sz w:val="22"/>
          <w:szCs w:val="22"/>
          <w:lang w:val="en-GB" w:eastAsia="zh-CN"/>
        </w:rPr>
        <w:t>Y</w:t>
      </w:r>
      <w:r w:rsidRPr="000E2036">
        <w:rPr>
          <w:rFonts w:eastAsia="ヒラギノ明朝 Pro W3"/>
          <w:sz w:val="22"/>
          <w:szCs w:val="22"/>
          <w:lang w:val="en-GB" w:eastAsia="zh-CN"/>
        </w:rPr>
        <w:t xml:space="preserve">ou,” “The Right One for </w:t>
      </w:r>
      <w:r w:rsidR="00CE6A01">
        <w:rPr>
          <w:rFonts w:eastAsia="ヒラギノ明朝 Pro W3"/>
          <w:sz w:val="22"/>
          <w:szCs w:val="22"/>
          <w:lang w:val="en-GB" w:eastAsia="zh-CN"/>
        </w:rPr>
        <w:t>U</w:t>
      </w:r>
      <w:r w:rsidRPr="000E2036">
        <w:rPr>
          <w:rFonts w:eastAsia="ヒラギノ明朝 Pro W3"/>
          <w:sz w:val="22"/>
          <w:szCs w:val="22"/>
          <w:lang w:val="en-GB" w:eastAsia="zh-CN"/>
        </w:rPr>
        <w:t xml:space="preserve">s,” and “The Right One for </w:t>
      </w:r>
      <w:r w:rsidR="00B006CB" w:rsidRPr="000E2036">
        <w:rPr>
          <w:rFonts w:eastAsia="ヒラギノ明朝 Pro W3"/>
          <w:sz w:val="22"/>
          <w:szCs w:val="22"/>
          <w:lang w:val="en-GB" w:eastAsia="zh-CN"/>
        </w:rPr>
        <w:t>the F</w:t>
      </w:r>
      <w:r w:rsidRPr="000E2036">
        <w:rPr>
          <w:rFonts w:eastAsia="ヒラギノ明朝 Pro W3"/>
          <w:sz w:val="22"/>
          <w:szCs w:val="22"/>
          <w:lang w:val="en-GB" w:eastAsia="zh-CN"/>
        </w:rPr>
        <w:t>uture</w:t>
      </w:r>
      <w:r w:rsidR="00B006CB" w:rsidRPr="000E2036">
        <w:rPr>
          <w:rFonts w:eastAsia="ヒラギノ明朝 Pro W3"/>
          <w:sz w:val="22"/>
          <w:szCs w:val="22"/>
          <w:lang w:val="en-GB" w:eastAsia="zh-CN"/>
        </w:rPr>
        <w:t>.</w:t>
      </w:r>
      <w:r w:rsidRPr="000E2036">
        <w:rPr>
          <w:rFonts w:eastAsia="ヒラギノ明朝 Pro W3"/>
          <w:sz w:val="22"/>
          <w:szCs w:val="22"/>
          <w:lang w:val="en-GB" w:eastAsia="zh-CN"/>
        </w:rPr>
        <w:t xml:space="preserve">” </w:t>
      </w:r>
      <w:r w:rsidR="00B006CB" w:rsidRPr="000E2036">
        <w:rPr>
          <w:rFonts w:eastAsia="ヒラギノ明朝 Pro W3"/>
          <w:sz w:val="22"/>
          <w:szCs w:val="22"/>
          <w:lang w:val="en-GB" w:eastAsia="zh-CN"/>
        </w:rPr>
        <w:t xml:space="preserve">These </w:t>
      </w:r>
      <w:r w:rsidR="00047095">
        <w:rPr>
          <w:rFonts w:eastAsia="ヒラギノ明朝 Pro W3"/>
          <w:sz w:val="22"/>
          <w:szCs w:val="22"/>
          <w:lang w:val="en-GB" w:eastAsia="zh-CN"/>
        </w:rPr>
        <w:t xml:space="preserve">corporate </w:t>
      </w:r>
      <w:r w:rsidR="00B006CB" w:rsidRPr="000E2036">
        <w:rPr>
          <w:rFonts w:eastAsia="ヒラギノ明朝 Pro W3"/>
          <w:sz w:val="22"/>
          <w:szCs w:val="22"/>
          <w:lang w:val="en-GB" w:eastAsia="zh-CN"/>
        </w:rPr>
        <w:t xml:space="preserve">images showed </w:t>
      </w:r>
      <w:r w:rsidR="00D90CB3">
        <w:rPr>
          <w:rFonts w:eastAsia="ヒラギノ明朝 Pro W3"/>
          <w:sz w:val="22"/>
          <w:szCs w:val="22"/>
          <w:lang w:val="en-GB" w:eastAsia="zh-CN"/>
        </w:rPr>
        <w:t xml:space="preserve">the </w:t>
      </w:r>
      <w:r w:rsidR="00B006CB" w:rsidRPr="000E2036">
        <w:rPr>
          <w:rFonts w:eastAsia="ヒラギノ明朝 Pro W3"/>
          <w:sz w:val="22"/>
          <w:szCs w:val="22"/>
          <w:lang w:val="en-GB" w:eastAsia="zh-CN"/>
        </w:rPr>
        <w:t xml:space="preserve">company as </w:t>
      </w:r>
      <w:r w:rsidRPr="000E2036">
        <w:rPr>
          <w:rFonts w:eastAsia="ヒラギノ明朝 Pro W3"/>
          <w:sz w:val="22"/>
          <w:szCs w:val="22"/>
          <w:lang w:val="en-GB" w:eastAsia="zh-CN"/>
        </w:rPr>
        <w:t>assur</w:t>
      </w:r>
      <w:r w:rsidR="00047095">
        <w:rPr>
          <w:rFonts w:eastAsia="ヒラギノ明朝 Pro W3"/>
          <w:sz w:val="22"/>
          <w:szCs w:val="22"/>
          <w:lang w:val="en-GB" w:eastAsia="zh-CN"/>
        </w:rPr>
        <w:t>ing</w:t>
      </w:r>
      <w:r w:rsidRPr="000E2036">
        <w:rPr>
          <w:rFonts w:eastAsia="ヒラギノ明朝 Pro W3"/>
          <w:sz w:val="22"/>
          <w:szCs w:val="22"/>
          <w:lang w:val="en-GB" w:eastAsia="zh-CN"/>
        </w:rPr>
        <w:t xml:space="preserve"> </w:t>
      </w:r>
      <w:r w:rsidR="00047095">
        <w:rPr>
          <w:rFonts w:eastAsia="ヒラギノ明朝 Pro W3"/>
          <w:sz w:val="22"/>
          <w:szCs w:val="22"/>
          <w:lang w:val="en-GB" w:eastAsia="zh-CN"/>
        </w:rPr>
        <w:t xml:space="preserve">three types of services: (1) </w:t>
      </w:r>
      <w:r w:rsidRPr="000E2036">
        <w:rPr>
          <w:rFonts w:eastAsia="ヒラギノ明朝 Pro W3"/>
          <w:sz w:val="22"/>
          <w:szCs w:val="22"/>
          <w:lang w:val="en-GB" w:eastAsia="zh-CN"/>
        </w:rPr>
        <w:t>safety, quality, and reliability</w:t>
      </w:r>
      <w:r w:rsidR="00047095">
        <w:rPr>
          <w:rFonts w:eastAsia="ヒラギノ明朝 Pro W3"/>
          <w:sz w:val="22"/>
          <w:szCs w:val="22"/>
          <w:lang w:val="en-GB" w:eastAsia="zh-CN"/>
        </w:rPr>
        <w:t>,</w:t>
      </w:r>
      <w:r w:rsidRPr="000E2036">
        <w:rPr>
          <w:rFonts w:eastAsia="ヒラギノ明朝 Pro W3"/>
          <w:sz w:val="22"/>
          <w:szCs w:val="22"/>
          <w:lang w:val="en-GB" w:eastAsia="zh-CN"/>
        </w:rPr>
        <w:t xml:space="preserve"> based on people’s needs</w:t>
      </w:r>
      <w:r w:rsidR="00B006CB" w:rsidRPr="000E2036">
        <w:rPr>
          <w:rFonts w:eastAsia="ヒラギノ明朝 Pro W3"/>
          <w:sz w:val="22"/>
          <w:szCs w:val="22"/>
          <w:lang w:val="en-GB" w:eastAsia="zh-CN"/>
        </w:rPr>
        <w:t>;</w:t>
      </w:r>
      <w:r w:rsidRPr="000E2036">
        <w:rPr>
          <w:rFonts w:eastAsia="ヒラギノ明朝 Pro W3"/>
          <w:sz w:val="22"/>
          <w:szCs w:val="22"/>
          <w:lang w:val="en-GB" w:eastAsia="zh-CN"/>
        </w:rPr>
        <w:t xml:space="preserve"> </w:t>
      </w:r>
      <w:r w:rsidR="00047095">
        <w:rPr>
          <w:rFonts w:eastAsia="ヒラギノ明朝 Pro W3"/>
          <w:sz w:val="22"/>
          <w:szCs w:val="22"/>
          <w:lang w:val="en-GB" w:eastAsia="zh-CN"/>
        </w:rPr>
        <w:t xml:space="preserve">(2) </w:t>
      </w:r>
      <w:r w:rsidRPr="000E2036">
        <w:rPr>
          <w:rFonts w:eastAsia="ヒラギノ明朝 Pro W3"/>
          <w:sz w:val="22"/>
          <w:szCs w:val="22"/>
          <w:lang w:val="en-GB" w:eastAsia="zh-CN"/>
        </w:rPr>
        <w:t>the maximization of individual capabilities, global networks, and diversity to create synergetic strengths</w:t>
      </w:r>
      <w:r w:rsidR="00B006CB" w:rsidRPr="000E2036">
        <w:rPr>
          <w:rFonts w:eastAsia="ヒラギノ明朝 Pro W3"/>
          <w:sz w:val="22"/>
          <w:szCs w:val="22"/>
          <w:lang w:val="en-GB" w:eastAsia="zh-CN"/>
        </w:rPr>
        <w:t>;</w:t>
      </w:r>
      <w:r w:rsidRPr="000E2036">
        <w:rPr>
          <w:rFonts w:eastAsia="ヒラギノ明朝 Pro W3"/>
          <w:sz w:val="22"/>
          <w:szCs w:val="22"/>
          <w:lang w:val="en-GB" w:eastAsia="zh-CN"/>
        </w:rPr>
        <w:t xml:space="preserve"> and </w:t>
      </w:r>
      <w:r w:rsidR="00D9404E">
        <w:rPr>
          <w:rFonts w:eastAsia="ヒラギノ明朝 Pro W3"/>
          <w:sz w:val="22"/>
          <w:szCs w:val="22"/>
          <w:lang w:val="en-GB" w:eastAsia="zh-CN"/>
        </w:rPr>
        <w:t xml:space="preserve">(3) </w:t>
      </w:r>
      <w:r w:rsidRPr="000E2036">
        <w:rPr>
          <w:rFonts w:eastAsia="ヒラギノ明朝 Pro W3"/>
          <w:sz w:val="22"/>
          <w:szCs w:val="22"/>
          <w:lang w:val="en-GB" w:eastAsia="zh-CN"/>
        </w:rPr>
        <w:t xml:space="preserve">the unique insights and capabilities to explore new opportunities for </w:t>
      </w:r>
      <w:r w:rsidR="00D90CB3">
        <w:rPr>
          <w:rFonts w:eastAsia="ヒラギノ明朝 Pro W3"/>
          <w:sz w:val="22"/>
          <w:szCs w:val="22"/>
          <w:lang w:val="en-GB" w:eastAsia="zh-CN"/>
        </w:rPr>
        <w:t xml:space="preserve">the </w:t>
      </w:r>
      <w:r w:rsidRPr="000E2036">
        <w:rPr>
          <w:rFonts w:eastAsia="ヒラギノ明朝 Pro W3"/>
          <w:sz w:val="22"/>
          <w:szCs w:val="22"/>
          <w:lang w:val="en-GB" w:eastAsia="zh-CN"/>
        </w:rPr>
        <w:t xml:space="preserve">future and </w:t>
      </w:r>
      <w:r w:rsidR="00D90CB3">
        <w:rPr>
          <w:rFonts w:eastAsia="ヒラギノ明朝 Pro W3"/>
          <w:sz w:val="22"/>
          <w:szCs w:val="22"/>
          <w:lang w:val="en-GB" w:eastAsia="zh-CN"/>
        </w:rPr>
        <w:t xml:space="preserve">a </w:t>
      </w:r>
      <w:r w:rsidRPr="000E2036">
        <w:rPr>
          <w:rFonts w:eastAsia="ヒラギノ明朝 Pro W3"/>
          <w:sz w:val="22"/>
          <w:szCs w:val="22"/>
          <w:lang w:val="en-GB" w:eastAsia="zh-CN"/>
        </w:rPr>
        <w:t>sustainable society.</w:t>
      </w:r>
      <w:r w:rsidR="00333DA7" w:rsidRPr="000E2036">
        <w:rPr>
          <w:rStyle w:val="EndnoteReference"/>
          <w:rFonts w:eastAsia="ヒラギノ明朝 Pro W3"/>
          <w:sz w:val="22"/>
          <w:szCs w:val="22"/>
          <w:lang w:val="en-GB" w:eastAsia="zh-CN"/>
        </w:rPr>
        <w:endnoteReference w:id="66"/>
      </w:r>
    </w:p>
    <w:p w14:paraId="0E2E73B3" w14:textId="77777777" w:rsidR="00F502BA" w:rsidRPr="000E2036" w:rsidRDefault="00F502BA" w:rsidP="000E4F83">
      <w:pPr>
        <w:jc w:val="both"/>
        <w:rPr>
          <w:rFonts w:eastAsia="ヒラギノ明朝 Pro W3"/>
          <w:sz w:val="22"/>
          <w:szCs w:val="22"/>
          <w:lang w:val="en-GB" w:eastAsia="zh-CN"/>
        </w:rPr>
      </w:pPr>
    </w:p>
    <w:p w14:paraId="3F6288E2" w14:textId="059C3698" w:rsidR="00F502BA" w:rsidRPr="000E2036" w:rsidRDefault="00300D3F" w:rsidP="000E4F83">
      <w:pPr>
        <w:jc w:val="both"/>
        <w:rPr>
          <w:rFonts w:eastAsia="ヒラギノ明朝 Pro W3"/>
          <w:sz w:val="22"/>
          <w:szCs w:val="22"/>
          <w:lang w:val="en-GB" w:eastAsia="zh-CN"/>
        </w:rPr>
      </w:pPr>
      <w:r w:rsidRPr="000E2036">
        <w:rPr>
          <w:rFonts w:eastAsia="ヒラギノ明朝 Pro W3"/>
          <w:sz w:val="22"/>
          <w:szCs w:val="22"/>
          <w:lang w:val="en-GB" w:eastAsia="zh-CN"/>
        </w:rPr>
        <w:t xml:space="preserve">In </w:t>
      </w:r>
      <w:r w:rsidR="00F502BA" w:rsidRPr="000E2036">
        <w:rPr>
          <w:rFonts w:eastAsia="ヒラギノ明朝 Pro W3"/>
          <w:sz w:val="22"/>
          <w:szCs w:val="22"/>
          <w:lang w:val="en-GB" w:eastAsia="zh-CN"/>
        </w:rPr>
        <w:t xml:space="preserve">May 2016, TTC decided to chart its progress toward fulfilling </w:t>
      </w:r>
      <w:r w:rsidR="00D9404E">
        <w:rPr>
          <w:rFonts w:eastAsia="ヒラギノ明朝 Pro W3"/>
          <w:sz w:val="22"/>
          <w:szCs w:val="22"/>
          <w:lang w:val="en-GB" w:eastAsia="zh-CN"/>
        </w:rPr>
        <w:t>i</w:t>
      </w:r>
      <w:r w:rsidR="00F502BA" w:rsidRPr="000E2036">
        <w:rPr>
          <w:rFonts w:eastAsia="ヒラギノ明朝 Pro W3"/>
          <w:sz w:val="22"/>
          <w:szCs w:val="22"/>
          <w:lang w:val="en-GB" w:eastAsia="zh-CN"/>
        </w:rPr>
        <w:t>t</w:t>
      </w:r>
      <w:r w:rsidR="00D9404E">
        <w:rPr>
          <w:rFonts w:eastAsia="ヒラギノ明朝 Pro W3"/>
          <w:sz w:val="22"/>
          <w:szCs w:val="22"/>
          <w:lang w:val="en-GB" w:eastAsia="zh-CN"/>
        </w:rPr>
        <w:t>s</w:t>
      </w:r>
      <w:r w:rsidR="00F502BA" w:rsidRPr="000E2036">
        <w:rPr>
          <w:rFonts w:eastAsia="ヒラギノ明朝 Pro W3"/>
          <w:sz w:val="22"/>
          <w:szCs w:val="22"/>
          <w:lang w:val="en-GB" w:eastAsia="zh-CN"/>
        </w:rPr>
        <w:t xml:space="preserve"> corporate vision</w:t>
      </w:r>
      <w:r w:rsidRPr="000E2036">
        <w:rPr>
          <w:rFonts w:eastAsia="ヒラギノ明朝 Pro W3"/>
          <w:sz w:val="22"/>
          <w:szCs w:val="22"/>
          <w:lang w:val="en-GB" w:eastAsia="zh-CN"/>
        </w:rPr>
        <w:t>.</w:t>
      </w:r>
      <w:r w:rsidR="00F502BA" w:rsidRPr="000E2036">
        <w:rPr>
          <w:rFonts w:eastAsia="ヒラギノ明朝 Pro W3"/>
          <w:sz w:val="22"/>
          <w:szCs w:val="22"/>
          <w:lang w:val="en-GB" w:eastAsia="zh-CN"/>
        </w:rPr>
        <w:t xml:space="preserve"> </w:t>
      </w:r>
      <w:r w:rsidRPr="000E2036">
        <w:rPr>
          <w:rFonts w:eastAsia="ヒラギノ明朝 Pro W3"/>
          <w:sz w:val="22"/>
          <w:szCs w:val="22"/>
          <w:lang w:val="en-GB" w:eastAsia="zh-CN"/>
        </w:rPr>
        <w:t xml:space="preserve">A </w:t>
      </w:r>
      <w:r w:rsidR="00F502BA" w:rsidRPr="000E2036">
        <w:rPr>
          <w:rFonts w:eastAsia="ヒラギノ明朝 Pro W3"/>
          <w:sz w:val="22"/>
          <w:szCs w:val="22"/>
          <w:lang w:val="en-GB" w:eastAsia="zh-CN"/>
        </w:rPr>
        <w:t>long-term plan outlined management</w:t>
      </w:r>
      <w:r w:rsidRPr="000E2036">
        <w:rPr>
          <w:rFonts w:eastAsia="ヒラギノ明朝 Pro W3"/>
          <w:sz w:val="22"/>
          <w:szCs w:val="22"/>
          <w:lang w:val="en-GB" w:eastAsia="zh-CN"/>
        </w:rPr>
        <w:t>’s</w:t>
      </w:r>
      <w:r w:rsidR="00F502BA" w:rsidRPr="000E2036">
        <w:rPr>
          <w:rFonts w:eastAsia="ヒラギノ明朝 Pro W3"/>
          <w:sz w:val="22"/>
          <w:szCs w:val="22"/>
          <w:lang w:val="en-GB" w:eastAsia="zh-CN"/>
        </w:rPr>
        <w:t xml:space="preserve"> strategy and policy </w:t>
      </w:r>
      <w:r w:rsidRPr="000E2036">
        <w:rPr>
          <w:rFonts w:eastAsia="ヒラギノ明朝 Pro W3"/>
          <w:sz w:val="22"/>
          <w:szCs w:val="22"/>
          <w:lang w:val="en-GB" w:eastAsia="zh-CN"/>
        </w:rPr>
        <w:t>over</w:t>
      </w:r>
      <w:r w:rsidR="00F502BA" w:rsidRPr="000E2036">
        <w:rPr>
          <w:rFonts w:eastAsia="ヒラギノ明朝 Pro W3"/>
          <w:sz w:val="22"/>
          <w:szCs w:val="22"/>
          <w:lang w:val="en-GB" w:eastAsia="zh-CN"/>
        </w:rPr>
        <w:t xml:space="preserve"> a five-year horizon, w</w:t>
      </w:r>
      <w:r w:rsidRPr="000E2036">
        <w:rPr>
          <w:rFonts w:eastAsia="ヒラギノ明朝 Pro W3"/>
          <w:sz w:val="22"/>
          <w:szCs w:val="22"/>
          <w:lang w:val="en-GB" w:eastAsia="zh-CN"/>
        </w:rPr>
        <w:t>ith</w:t>
      </w:r>
      <w:r w:rsidR="00F502BA" w:rsidRPr="000E2036">
        <w:rPr>
          <w:rFonts w:eastAsia="ヒラギノ明朝 Pro W3"/>
          <w:sz w:val="22"/>
          <w:szCs w:val="22"/>
          <w:lang w:val="en-GB" w:eastAsia="zh-CN"/>
        </w:rPr>
        <w:t xml:space="preserve"> a longer-term plan </w:t>
      </w:r>
      <w:r w:rsidRPr="000E2036">
        <w:rPr>
          <w:rFonts w:eastAsia="ヒラギノ明朝 Pro W3"/>
          <w:sz w:val="22"/>
          <w:szCs w:val="22"/>
          <w:lang w:val="en-GB" w:eastAsia="zh-CN"/>
        </w:rPr>
        <w:t>to</w:t>
      </w:r>
      <w:r w:rsidR="00F502BA" w:rsidRPr="000E2036">
        <w:rPr>
          <w:rFonts w:eastAsia="ヒラギノ明朝 Pro W3"/>
          <w:sz w:val="22"/>
          <w:szCs w:val="22"/>
          <w:lang w:val="en-GB" w:eastAsia="zh-CN"/>
        </w:rPr>
        <w:t xml:space="preserve"> be revised annually</w:t>
      </w:r>
      <w:r w:rsidR="00D9404E">
        <w:rPr>
          <w:rFonts w:eastAsia="ヒラギノ明朝 Pro W3"/>
          <w:sz w:val="22"/>
          <w:szCs w:val="22"/>
          <w:lang w:val="en-GB" w:eastAsia="zh-CN"/>
        </w:rPr>
        <w:t>,</w:t>
      </w:r>
      <w:r w:rsidR="00F502BA" w:rsidRPr="000E2036">
        <w:rPr>
          <w:rFonts w:eastAsia="ヒラギノ明朝 Pro W3"/>
          <w:sz w:val="22"/>
          <w:szCs w:val="22"/>
          <w:lang w:val="en-GB" w:eastAsia="zh-CN"/>
        </w:rPr>
        <w:t xml:space="preserve"> based on changes in the economic environment and corporate circumstances.</w:t>
      </w:r>
      <w:r w:rsidR="00F502BA" w:rsidRPr="000E2036">
        <w:rPr>
          <w:rStyle w:val="EndnoteReference"/>
          <w:rFonts w:eastAsia="ヒラギノ明朝 Pro W3"/>
          <w:sz w:val="22"/>
          <w:szCs w:val="22"/>
          <w:lang w:val="en-GB" w:eastAsia="zh-CN"/>
        </w:rPr>
        <w:endnoteReference w:id="67"/>
      </w:r>
      <w:r w:rsidR="00F502BA" w:rsidRPr="000E2036">
        <w:rPr>
          <w:rFonts w:eastAsia="ヒラギノ明朝 Pro W3"/>
          <w:sz w:val="22"/>
          <w:szCs w:val="22"/>
          <w:lang w:val="en-GB" w:eastAsia="zh-CN"/>
        </w:rPr>
        <w:t xml:space="preserve"> In terms of management strategy, the </w:t>
      </w:r>
      <w:r w:rsidRPr="000E2036">
        <w:rPr>
          <w:rFonts w:eastAsia="ヒラギノ明朝 Pro W3"/>
          <w:sz w:val="22"/>
          <w:szCs w:val="22"/>
          <w:lang w:val="en-GB" w:eastAsia="zh-CN"/>
        </w:rPr>
        <w:t xml:space="preserve">corporate </w:t>
      </w:r>
      <w:r w:rsidR="00F502BA" w:rsidRPr="000E2036">
        <w:rPr>
          <w:rFonts w:eastAsia="ヒラギノ明朝 Pro W3"/>
          <w:sz w:val="22"/>
          <w:szCs w:val="22"/>
          <w:lang w:val="en-GB" w:eastAsia="zh-CN"/>
        </w:rPr>
        <w:t xml:space="preserve">group would strengthen </w:t>
      </w:r>
      <w:r w:rsidR="00D9404E">
        <w:rPr>
          <w:rFonts w:eastAsia="ヒラギノ明朝 Pro W3"/>
          <w:sz w:val="22"/>
          <w:szCs w:val="22"/>
          <w:lang w:val="en-GB" w:eastAsia="zh-CN"/>
        </w:rPr>
        <w:t xml:space="preserve">its </w:t>
      </w:r>
      <w:r w:rsidR="00F502BA" w:rsidRPr="000E2036">
        <w:rPr>
          <w:rFonts w:eastAsia="ヒラギノ明朝 Pro W3"/>
          <w:sz w:val="22"/>
          <w:szCs w:val="22"/>
          <w:lang w:val="en-GB" w:eastAsia="zh-CN"/>
        </w:rPr>
        <w:t xml:space="preserve">earnings foundation and pursue opportunities in the three </w:t>
      </w:r>
      <w:r w:rsidRPr="000E2036">
        <w:rPr>
          <w:rFonts w:eastAsia="ヒラギノ明朝 Pro W3"/>
          <w:sz w:val="22"/>
          <w:szCs w:val="22"/>
          <w:lang w:val="en-GB" w:eastAsia="zh-CN"/>
        </w:rPr>
        <w:t>key</w:t>
      </w:r>
      <w:r w:rsidR="00F502BA" w:rsidRPr="000E2036">
        <w:rPr>
          <w:rFonts w:eastAsia="ヒラギノ明朝 Pro W3"/>
          <w:sz w:val="22"/>
          <w:szCs w:val="22"/>
          <w:lang w:val="en-GB" w:eastAsia="zh-CN"/>
        </w:rPr>
        <w:t xml:space="preserve"> business domains. With respect to investment policy, the group would increase return on investment by employing quantitative benchmarks. Regarding financial policy, the group would strengthen cash flow managem</w:t>
      </w:r>
      <w:r w:rsidR="00872D58" w:rsidRPr="000E2036">
        <w:rPr>
          <w:rFonts w:eastAsia="ヒラギノ明朝 Pro W3"/>
          <w:sz w:val="22"/>
          <w:szCs w:val="22"/>
          <w:lang w:val="en-GB" w:eastAsia="zh-CN"/>
        </w:rPr>
        <w:t>ent (</w:t>
      </w:r>
      <w:r w:rsidRPr="000E2036">
        <w:rPr>
          <w:rFonts w:eastAsia="ヒラギノ明朝 Pro W3"/>
          <w:sz w:val="22"/>
          <w:szCs w:val="22"/>
          <w:lang w:val="en-GB" w:eastAsia="zh-CN"/>
        </w:rPr>
        <w:t>s</w:t>
      </w:r>
      <w:r w:rsidR="00872D58" w:rsidRPr="000E2036">
        <w:rPr>
          <w:rFonts w:eastAsia="ヒラギノ明朝 Pro W3"/>
          <w:sz w:val="22"/>
          <w:szCs w:val="22"/>
          <w:lang w:val="en-GB" w:eastAsia="zh-CN"/>
        </w:rPr>
        <w:t>ee Exhibit 10</w:t>
      </w:r>
      <w:r w:rsidR="00F502BA" w:rsidRPr="000E2036">
        <w:rPr>
          <w:rFonts w:eastAsia="ヒラギノ明朝 Pro W3"/>
          <w:sz w:val="22"/>
          <w:szCs w:val="22"/>
          <w:lang w:val="en-GB" w:eastAsia="zh-CN"/>
        </w:rPr>
        <w:t>)</w:t>
      </w:r>
      <w:r w:rsidRPr="000E2036">
        <w:rPr>
          <w:rFonts w:eastAsia="ヒラギノ明朝 Pro W3"/>
          <w:sz w:val="22"/>
          <w:szCs w:val="22"/>
          <w:lang w:val="en-GB" w:eastAsia="zh-CN"/>
        </w:rPr>
        <w:t>.</w:t>
      </w:r>
    </w:p>
    <w:p w14:paraId="565FB79C" w14:textId="7EB1035E" w:rsidR="00F502BA" w:rsidRPr="000E2036" w:rsidRDefault="00F502BA" w:rsidP="000E4F83">
      <w:pPr>
        <w:jc w:val="both"/>
        <w:rPr>
          <w:rFonts w:eastAsia="ヒラギノ明朝 Pro W3"/>
          <w:sz w:val="22"/>
          <w:szCs w:val="22"/>
          <w:lang w:val="en-GB" w:eastAsia="zh-CN"/>
        </w:rPr>
      </w:pPr>
    </w:p>
    <w:p w14:paraId="782A9752" w14:textId="40AA4396" w:rsidR="00E13F01" w:rsidRPr="000E2036" w:rsidRDefault="00300D3F" w:rsidP="00C11717">
      <w:pPr>
        <w:jc w:val="both"/>
        <w:rPr>
          <w:rFonts w:eastAsia="ヒラギノ明朝 Pro W3"/>
          <w:sz w:val="22"/>
          <w:szCs w:val="22"/>
          <w:lang w:val="en-GB" w:eastAsia="zh-CN"/>
        </w:rPr>
      </w:pPr>
      <w:r w:rsidRPr="000E2036">
        <w:rPr>
          <w:rFonts w:eastAsia="ヒラギノ明朝 Pro W3"/>
          <w:sz w:val="22"/>
          <w:szCs w:val="22"/>
          <w:lang w:val="en-GB" w:eastAsia="zh-CN"/>
        </w:rPr>
        <w:t>B</w:t>
      </w:r>
      <w:r w:rsidR="00F502BA" w:rsidRPr="000E2036">
        <w:rPr>
          <w:rFonts w:eastAsia="ヒラギノ明朝 Pro W3"/>
          <w:sz w:val="22"/>
          <w:szCs w:val="22"/>
          <w:lang w:val="en-GB" w:eastAsia="zh-CN"/>
        </w:rPr>
        <w:t xml:space="preserve">uilding a strong and extensive presence in Africa </w:t>
      </w:r>
      <w:r w:rsidRPr="000E2036">
        <w:rPr>
          <w:rFonts w:eastAsia="ヒラギノ明朝 Pro W3"/>
          <w:sz w:val="22"/>
          <w:szCs w:val="22"/>
          <w:lang w:val="en-GB" w:eastAsia="zh-CN"/>
        </w:rPr>
        <w:t>would be a continued focus</w:t>
      </w:r>
      <w:r w:rsidR="00F718BE" w:rsidRPr="000E2036">
        <w:rPr>
          <w:rFonts w:eastAsia="ヒラギノ明朝 Pro W3"/>
          <w:sz w:val="22"/>
          <w:szCs w:val="22"/>
          <w:lang w:val="en-GB" w:eastAsia="zh-CN"/>
        </w:rPr>
        <w:t xml:space="preserve"> for the company</w:t>
      </w:r>
      <w:r w:rsidRPr="000E2036">
        <w:rPr>
          <w:rFonts w:eastAsia="ヒラギノ明朝 Pro W3"/>
          <w:sz w:val="22"/>
          <w:szCs w:val="22"/>
          <w:lang w:val="en-GB" w:eastAsia="zh-CN"/>
        </w:rPr>
        <w:t>. I</w:t>
      </w:r>
      <w:r w:rsidR="00F502BA" w:rsidRPr="000E2036">
        <w:rPr>
          <w:rFonts w:eastAsia="ヒラギノ明朝 Pro W3"/>
          <w:sz w:val="22"/>
          <w:szCs w:val="22"/>
          <w:lang w:val="en-GB" w:eastAsia="zh-CN"/>
        </w:rPr>
        <w:t>ncreas</w:t>
      </w:r>
      <w:r w:rsidRPr="000E2036">
        <w:rPr>
          <w:rFonts w:eastAsia="ヒラギノ明朝 Pro W3"/>
          <w:sz w:val="22"/>
          <w:szCs w:val="22"/>
          <w:lang w:val="en-GB" w:eastAsia="zh-CN"/>
        </w:rPr>
        <w:t>ing</w:t>
      </w:r>
      <w:r w:rsidR="00F502BA" w:rsidRPr="000E2036">
        <w:rPr>
          <w:rFonts w:eastAsia="ヒラギノ明朝 Pro W3"/>
          <w:sz w:val="22"/>
          <w:szCs w:val="22"/>
          <w:lang w:val="en-GB" w:eastAsia="zh-CN"/>
        </w:rPr>
        <w:t xml:space="preserve"> the African contribution to </w:t>
      </w:r>
      <w:r w:rsidR="00F718BE" w:rsidRPr="000E2036">
        <w:rPr>
          <w:rFonts w:eastAsia="ヒラギノ明朝 Pro W3"/>
          <w:sz w:val="22"/>
          <w:szCs w:val="22"/>
          <w:lang w:val="en-GB" w:eastAsia="zh-CN"/>
        </w:rPr>
        <w:t>corporate</w:t>
      </w:r>
      <w:r w:rsidR="00F502BA" w:rsidRPr="000E2036">
        <w:rPr>
          <w:rFonts w:eastAsia="ヒラギノ明朝 Pro W3"/>
          <w:sz w:val="22"/>
          <w:szCs w:val="22"/>
          <w:lang w:val="en-GB" w:eastAsia="zh-CN"/>
        </w:rPr>
        <w:t xml:space="preserve"> earnings </w:t>
      </w:r>
      <w:r w:rsidRPr="000E2036">
        <w:rPr>
          <w:rFonts w:eastAsia="ヒラギノ明朝 Pro W3"/>
          <w:sz w:val="22"/>
          <w:szCs w:val="22"/>
          <w:lang w:val="en-GB" w:eastAsia="zh-CN"/>
        </w:rPr>
        <w:t xml:space="preserve">could be achieved </w:t>
      </w:r>
      <w:r w:rsidR="00F502BA" w:rsidRPr="000E2036">
        <w:rPr>
          <w:rFonts w:eastAsia="ヒラギノ明朝 Pro W3"/>
          <w:sz w:val="22"/>
          <w:szCs w:val="22"/>
          <w:lang w:val="en-GB" w:eastAsia="zh-CN"/>
        </w:rPr>
        <w:t xml:space="preserve">by fostering synergies between </w:t>
      </w:r>
      <w:r w:rsidR="00F718BE" w:rsidRPr="000E2036">
        <w:rPr>
          <w:rFonts w:eastAsia="ヒラギノ明朝 Pro W3"/>
          <w:sz w:val="22"/>
          <w:szCs w:val="22"/>
          <w:lang w:val="en-GB" w:eastAsia="zh-CN"/>
        </w:rPr>
        <w:t xml:space="preserve">the </w:t>
      </w:r>
      <w:r w:rsidR="00F502BA" w:rsidRPr="000E2036">
        <w:rPr>
          <w:rFonts w:eastAsia="ヒラギノ明朝 Pro W3"/>
          <w:sz w:val="22"/>
          <w:szCs w:val="22"/>
          <w:lang w:val="en-GB" w:eastAsia="zh-CN"/>
        </w:rPr>
        <w:t>established operations of T</w:t>
      </w:r>
      <w:r w:rsidRPr="000E2036">
        <w:rPr>
          <w:rFonts w:eastAsia="ヒラギノ明朝 Pro W3"/>
          <w:sz w:val="22"/>
          <w:szCs w:val="22"/>
          <w:lang w:val="en-GB" w:eastAsia="zh-CN"/>
        </w:rPr>
        <w:t>TC</w:t>
      </w:r>
      <w:r w:rsidR="00F502BA" w:rsidRPr="000E2036">
        <w:rPr>
          <w:rFonts w:eastAsia="ヒラギノ明朝 Pro W3"/>
          <w:sz w:val="22"/>
          <w:szCs w:val="22"/>
          <w:lang w:val="en-GB" w:eastAsia="zh-CN"/>
        </w:rPr>
        <w:t xml:space="preserve"> and CFAO</w:t>
      </w:r>
      <w:r w:rsidR="004013C4" w:rsidRPr="000E2036">
        <w:rPr>
          <w:rFonts w:eastAsia="ヒラギノ明朝 Pro W3"/>
          <w:sz w:val="22"/>
          <w:szCs w:val="22"/>
          <w:lang w:val="en-GB" w:eastAsia="zh-CN"/>
        </w:rPr>
        <w:t>, to</w:t>
      </w:r>
      <w:r w:rsidR="00F502BA" w:rsidRPr="000E2036">
        <w:rPr>
          <w:rFonts w:eastAsia="ヒラギノ明朝 Pro W3"/>
          <w:sz w:val="22"/>
          <w:szCs w:val="22"/>
          <w:lang w:val="en-GB" w:eastAsia="zh-CN"/>
        </w:rPr>
        <w:t xml:space="preserve"> achieve ¥10 billion growth in earnings.</w:t>
      </w:r>
      <w:r w:rsidR="00F502BA" w:rsidRPr="000E2036">
        <w:rPr>
          <w:rStyle w:val="EndnoteReference"/>
          <w:rFonts w:eastAsia="ヒラギノ明朝 Pro W3"/>
          <w:sz w:val="22"/>
          <w:szCs w:val="22"/>
          <w:lang w:val="en-GB" w:eastAsia="zh-CN"/>
        </w:rPr>
        <w:endnoteReference w:id="68"/>
      </w:r>
      <w:r w:rsidR="00F718BE" w:rsidRPr="000E2036">
        <w:rPr>
          <w:rFonts w:eastAsia="ヒラギノ明朝 Pro W3"/>
          <w:sz w:val="22"/>
          <w:szCs w:val="22"/>
          <w:lang w:val="en-GB" w:eastAsia="zh-CN"/>
        </w:rPr>
        <w:t xml:space="preserve"> This could be done in four steps.</w:t>
      </w:r>
      <w:r w:rsidR="00F502BA" w:rsidRPr="000E2036">
        <w:rPr>
          <w:rFonts w:eastAsia="ヒラギノ明朝 Pro W3"/>
          <w:sz w:val="22"/>
          <w:szCs w:val="22"/>
          <w:lang w:val="en-GB" w:eastAsia="zh-CN"/>
        </w:rPr>
        <w:t xml:space="preserve"> The first step would be </w:t>
      </w:r>
      <w:r w:rsidR="00F718BE" w:rsidRPr="000E2036">
        <w:rPr>
          <w:rFonts w:eastAsia="ヒラギノ明朝 Pro W3"/>
          <w:sz w:val="22"/>
          <w:szCs w:val="22"/>
          <w:lang w:val="en-GB" w:eastAsia="zh-CN"/>
        </w:rPr>
        <w:t>to</w:t>
      </w:r>
      <w:r w:rsidR="00F502BA" w:rsidRPr="000E2036">
        <w:rPr>
          <w:rFonts w:eastAsia="ヒラギノ明朝 Pro W3"/>
          <w:sz w:val="22"/>
          <w:szCs w:val="22"/>
          <w:lang w:val="en-GB" w:eastAsia="zh-CN"/>
        </w:rPr>
        <w:t xml:space="preserve"> increase </w:t>
      </w:r>
      <w:r w:rsidR="00F718BE" w:rsidRPr="000E2036">
        <w:rPr>
          <w:rFonts w:eastAsia="ヒラギノ明朝 Pro W3"/>
          <w:sz w:val="22"/>
          <w:szCs w:val="22"/>
          <w:lang w:val="en-GB" w:eastAsia="zh-CN"/>
        </w:rPr>
        <w:t xml:space="preserve">the number </w:t>
      </w:r>
      <w:r w:rsidR="00F502BA" w:rsidRPr="000E2036">
        <w:rPr>
          <w:rFonts w:eastAsia="ヒラギノ明朝 Pro W3"/>
          <w:sz w:val="22"/>
          <w:szCs w:val="22"/>
          <w:lang w:val="en-GB" w:eastAsia="zh-CN"/>
        </w:rPr>
        <w:t xml:space="preserve">of automobile distributors and </w:t>
      </w:r>
      <w:r w:rsidR="00F718BE" w:rsidRPr="000E2036">
        <w:rPr>
          <w:rFonts w:eastAsia="ヒラギノ明朝 Pro W3"/>
          <w:sz w:val="22"/>
          <w:szCs w:val="22"/>
          <w:lang w:val="en-GB" w:eastAsia="zh-CN"/>
        </w:rPr>
        <w:t>the</w:t>
      </w:r>
      <w:r w:rsidR="00F502BA" w:rsidRPr="000E2036">
        <w:rPr>
          <w:rFonts w:eastAsia="ヒラギノ明朝 Pro W3"/>
          <w:sz w:val="22"/>
          <w:szCs w:val="22"/>
          <w:lang w:val="en-GB" w:eastAsia="zh-CN"/>
        </w:rPr>
        <w:t xml:space="preserve"> volume </w:t>
      </w:r>
      <w:r w:rsidR="00F718BE" w:rsidRPr="000E2036">
        <w:rPr>
          <w:rFonts w:eastAsia="ヒラギノ明朝 Pro W3"/>
          <w:sz w:val="22"/>
          <w:szCs w:val="22"/>
          <w:lang w:val="en-GB" w:eastAsia="zh-CN"/>
        </w:rPr>
        <w:t xml:space="preserve">of sales </w:t>
      </w:r>
      <w:r w:rsidR="00F502BA" w:rsidRPr="000E2036">
        <w:rPr>
          <w:rFonts w:eastAsia="ヒラギノ明朝 Pro W3"/>
          <w:sz w:val="22"/>
          <w:szCs w:val="22"/>
          <w:lang w:val="en-GB" w:eastAsia="zh-CN"/>
        </w:rPr>
        <w:t>in all regions of Africa</w:t>
      </w:r>
      <w:r w:rsidR="00F718BE" w:rsidRPr="000E2036">
        <w:rPr>
          <w:rFonts w:eastAsia="ヒラギノ明朝 Pro W3"/>
          <w:sz w:val="22"/>
          <w:szCs w:val="22"/>
          <w:lang w:val="en-GB" w:eastAsia="zh-CN"/>
        </w:rPr>
        <w:t>. The next step would be to</w:t>
      </w:r>
      <w:r w:rsidR="00F502BA" w:rsidRPr="000E2036">
        <w:rPr>
          <w:rFonts w:eastAsia="ヒラギノ明朝 Pro W3"/>
          <w:sz w:val="22"/>
          <w:szCs w:val="22"/>
          <w:lang w:val="en-GB" w:eastAsia="zh-CN"/>
        </w:rPr>
        <w:t xml:space="preserve"> deploy T</w:t>
      </w:r>
      <w:r w:rsidR="00F718BE" w:rsidRPr="000E2036">
        <w:rPr>
          <w:rFonts w:eastAsia="ヒラギノ明朝 Pro W3"/>
          <w:sz w:val="22"/>
          <w:szCs w:val="22"/>
          <w:lang w:val="en-GB" w:eastAsia="zh-CN"/>
        </w:rPr>
        <w:t>TC</w:t>
      </w:r>
      <w:r w:rsidR="00F502BA" w:rsidRPr="000E2036">
        <w:rPr>
          <w:rFonts w:eastAsia="ヒラギノ明朝 Pro W3"/>
          <w:sz w:val="22"/>
          <w:szCs w:val="22"/>
          <w:lang w:val="en-GB" w:eastAsia="zh-CN"/>
        </w:rPr>
        <w:t xml:space="preserve">’s strengths in CFAO and in the French-speaking </w:t>
      </w:r>
      <w:r w:rsidR="00F718BE" w:rsidRPr="000E2036">
        <w:rPr>
          <w:rFonts w:eastAsia="ヒラギノ明朝 Pro W3"/>
          <w:sz w:val="22"/>
          <w:szCs w:val="22"/>
          <w:lang w:val="en-GB" w:eastAsia="zh-CN"/>
        </w:rPr>
        <w:t xml:space="preserve">regions of </w:t>
      </w:r>
      <w:r w:rsidR="00F502BA" w:rsidRPr="000E2036">
        <w:rPr>
          <w:rFonts w:eastAsia="ヒラギノ明朝 Pro W3"/>
          <w:sz w:val="22"/>
          <w:szCs w:val="22"/>
          <w:lang w:val="en-GB" w:eastAsia="zh-CN"/>
        </w:rPr>
        <w:t>Africa</w:t>
      </w:r>
      <w:r w:rsidR="00F718BE" w:rsidRPr="000E2036">
        <w:rPr>
          <w:rFonts w:eastAsia="ヒラギノ明朝 Pro W3"/>
          <w:sz w:val="22"/>
          <w:szCs w:val="22"/>
          <w:lang w:val="en-GB" w:eastAsia="zh-CN"/>
        </w:rPr>
        <w:t>.</w:t>
      </w:r>
      <w:r w:rsidR="00F502BA" w:rsidRPr="000E2036">
        <w:rPr>
          <w:rFonts w:eastAsia="ヒラギノ明朝 Pro W3"/>
          <w:sz w:val="22"/>
          <w:szCs w:val="22"/>
          <w:lang w:val="en-GB" w:eastAsia="zh-CN"/>
        </w:rPr>
        <w:t xml:space="preserve"> </w:t>
      </w:r>
      <w:r w:rsidR="00F718BE" w:rsidRPr="000E2036">
        <w:rPr>
          <w:rFonts w:eastAsia="ヒラギノ明朝 Pro W3"/>
          <w:sz w:val="22"/>
          <w:szCs w:val="22"/>
          <w:lang w:val="en-GB" w:eastAsia="zh-CN"/>
        </w:rPr>
        <w:t xml:space="preserve">The third step would be to </w:t>
      </w:r>
      <w:r w:rsidR="00F502BA" w:rsidRPr="000E2036">
        <w:rPr>
          <w:rFonts w:eastAsia="ヒラギノ明朝 Pro W3"/>
          <w:sz w:val="22"/>
          <w:szCs w:val="22"/>
          <w:lang w:val="en-GB" w:eastAsia="zh-CN"/>
        </w:rPr>
        <w:t xml:space="preserve">create new businesses that correspond to Africa’s rapidly growing middle class. The last step would </w:t>
      </w:r>
      <w:r w:rsidR="00D9404E">
        <w:rPr>
          <w:rFonts w:eastAsia="ヒラギノ明朝 Pro W3"/>
          <w:sz w:val="22"/>
          <w:szCs w:val="22"/>
          <w:lang w:val="en-GB" w:eastAsia="zh-CN"/>
        </w:rPr>
        <w:t xml:space="preserve">be </w:t>
      </w:r>
      <w:r w:rsidR="00F718BE" w:rsidRPr="000E2036">
        <w:rPr>
          <w:rFonts w:eastAsia="ヒラギノ明朝 Pro W3"/>
          <w:sz w:val="22"/>
          <w:szCs w:val="22"/>
          <w:lang w:val="en-GB" w:eastAsia="zh-CN"/>
        </w:rPr>
        <w:t>to</w:t>
      </w:r>
      <w:r w:rsidR="00F502BA" w:rsidRPr="000E2036">
        <w:rPr>
          <w:rFonts w:eastAsia="ヒラギノ明朝 Pro W3"/>
          <w:sz w:val="22"/>
          <w:szCs w:val="22"/>
          <w:lang w:val="en-GB" w:eastAsia="zh-CN"/>
        </w:rPr>
        <w:t xml:space="preserve"> establish new alliances with outstanding French companies. Such potential synergies would come from expanding mutual automotive business and building on CFAO’s strengths in pharmaceuticals and medical supplies, consumer goods, and beverages.</w:t>
      </w:r>
      <w:r w:rsidR="00F502BA" w:rsidRPr="000E2036">
        <w:rPr>
          <w:rStyle w:val="EndnoteReference"/>
          <w:rFonts w:eastAsia="ヒラギノ明朝 Pro W3"/>
          <w:sz w:val="22"/>
          <w:szCs w:val="22"/>
          <w:lang w:val="en-GB" w:eastAsia="zh-CN"/>
        </w:rPr>
        <w:endnoteReference w:id="69"/>
      </w:r>
      <w:r w:rsidR="00F502BA" w:rsidRPr="000E2036">
        <w:rPr>
          <w:rFonts w:eastAsia="ヒラギノ明朝 Pro W3"/>
          <w:sz w:val="22"/>
          <w:szCs w:val="22"/>
          <w:lang w:val="en-GB" w:eastAsia="zh-CN"/>
        </w:rPr>
        <w:t xml:space="preserve"> </w:t>
      </w:r>
      <w:r w:rsidR="001B23A8" w:rsidRPr="000E2036">
        <w:rPr>
          <w:rFonts w:eastAsia="ヒラギノ明朝 Pro W3"/>
          <w:sz w:val="22"/>
          <w:szCs w:val="22"/>
          <w:lang w:val="en-GB" w:eastAsia="zh-CN"/>
        </w:rPr>
        <w:t xml:space="preserve">Essentially, CFAO would be the gateway for TTC to enter African French-speaking countries and to contribute to the creation of a </w:t>
      </w:r>
      <w:r w:rsidR="002649A1" w:rsidRPr="000E2036">
        <w:rPr>
          <w:rFonts w:eastAsia="ヒラギノ明朝 Pro W3"/>
          <w:sz w:val="22"/>
          <w:szCs w:val="22"/>
          <w:lang w:val="en-GB" w:eastAsia="zh-CN"/>
        </w:rPr>
        <w:t>healthier</w:t>
      </w:r>
      <w:r w:rsidR="002649A1">
        <w:rPr>
          <w:rFonts w:eastAsia="ヒラギノ明朝 Pro W3"/>
          <w:sz w:val="22"/>
          <w:szCs w:val="22"/>
          <w:lang w:val="en-GB" w:eastAsia="zh-CN"/>
        </w:rPr>
        <w:t>,</w:t>
      </w:r>
      <w:r w:rsidR="002649A1" w:rsidRPr="000E2036">
        <w:rPr>
          <w:rFonts w:eastAsia="ヒラギノ明朝 Pro W3"/>
          <w:sz w:val="22"/>
          <w:szCs w:val="22"/>
          <w:lang w:val="en-GB" w:eastAsia="zh-CN"/>
        </w:rPr>
        <w:t xml:space="preserve"> </w:t>
      </w:r>
      <w:r w:rsidR="001B23A8" w:rsidRPr="000E2036">
        <w:rPr>
          <w:rFonts w:eastAsia="ヒラギノ明朝 Pro W3"/>
          <w:sz w:val="22"/>
          <w:szCs w:val="22"/>
          <w:lang w:val="en-GB" w:eastAsia="zh-CN"/>
        </w:rPr>
        <w:t>more prosperous Africa.</w:t>
      </w:r>
      <w:r w:rsidR="006A5DEF" w:rsidRPr="000E2036">
        <w:rPr>
          <w:rFonts w:eastAsia="ヒラギノ明朝 Pro W3"/>
          <w:sz w:val="22"/>
          <w:szCs w:val="22"/>
          <w:lang w:val="en-GB" w:eastAsia="zh-CN"/>
        </w:rPr>
        <w:br w:type="page"/>
      </w:r>
    </w:p>
    <w:p w14:paraId="036E70A3" w14:textId="57356BA6" w:rsidR="00FC4FA5" w:rsidRPr="000E2036" w:rsidRDefault="00FC4FA5" w:rsidP="006A5DEF">
      <w:pPr>
        <w:pStyle w:val="ExhibitHeading"/>
        <w:rPr>
          <w:lang w:val="en-GB" w:eastAsia="zh-CN"/>
        </w:rPr>
      </w:pPr>
      <w:r w:rsidRPr="000E2036">
        <w:rPr>
          <w:lang w:val="en-GB" w:eastAsia="zh-CN"/>
        </w:rPr>
        <w:lastRenderedPageBreak/>
        <w:t>Exhibit 1</w:t>
      </w:r>
      <w:r w:rsidR="00D735F4" w:rsidRPr="000E2036">
        <w:rPr>
          <w:lang w:val="en-GB" w:eastAsia="zh-CN"/>
        </w:rPr>
        <w:t xml:space="preserve">: </w:t>
      </w:r>
      <w:r w:rsidRPr="000E2036">
        <w:rPr>
          <w:lang w:val="en-GB" w:eastAsia="zh-CN"/>
        </w:rPr>
        <w:t xml:space="preserve">FINANCIAL HIGHLIGHTS </w:t>
      </w:r>
      <w:r w:rsidR="00016B68" w:rsidRPr="000E2036">
        <w:rPr>
          <w:lang w:val="en-GB" w:eastAsia="zh-CN"/>
        </w:rPr>
        <w:t xml:space="preserve">(CONSOLIDATED) </w:t>
      </w:r>
      <w:r w:rsidRPr="000E2036">
        <w:rPr>
          <w:lang w:val="en-GB" w:eastAsia="zh-CN"/>
        </w:rPr>
        <w:t xml:space="preserve">OF TOYOTA TSUSHO </w:t>
      </w:r>
      <w:r w:rsidR="00A63EDC" w:rsidRPr="000E2036">
        <w:rPr>
          <w:lang w:val="en-GB" w:eastAsia="zh-CN"/>
        </w:rPr>
        <w:t xml:space="preserve">Corporation </w:t>
      </w:r>
      <w:r w:rsidR="00016B68" w:rsidRPr="000E2036">
        <w:rPr>
          <w:lang w:val="en-GB" w:eastAsia="zh-CN"/>
        </w:rPr>
        <w:t xml:space="preserve">AND TOMEN </w:t>
      </w:r>
      <w:r w:rsidR="00A63EDC" w:rsidRPr="000E2036">
        <w:rPr>
          <w:lang w:val="en-GB" w:eastAsia="zh-CN"/>
        </w:rPr>
        <w:t>Corpora</w:t>
      </w:r>
      <w:r w:rsidR="006E7357" w:rsidRPr="000E2036">
        <w:rPr>
          <w:lang w:val="en-GB" w:eastAsia="zh-CN"/>
        </w:rPr>
        <w:t>t</w:t>
      </w:r>
      <w:r w:rsidR="00A63EDC" w:rsidRPr="000E2036">
        <w:rPr>
          <w:lang w:val="en-GB" w:eastAsia="zh-CN"/>
        </w:rPr>
        <w:t xml:space="preserve">ion </w:t>
      </w:r>
      <w:r w:rsidR="00016B68" w:rsidRPr="000E2036">
        <w:rPr>
          <w:lang w:val="en-GB" w:eastAsia="zh-CN"/>
        </w:rPr>
        <w:t xml:space="preserve">BEFORE </w:t>
      </w:r>
      <w:r w:rsidR="00067E57" w:rsidRPr="000E2036">
        <w:rPr>
          <w:lang w:val="en-GB" w:eastAsia="zh-CN"/>
        </w:rPr>
        <w:t xml:space="preserve">THE </w:t>
      </w:r>
      <w:r w:rsidR="00016B68" w:rsidRPr="000E2036">
        <w:rPr>
          <w:lang w:val="en-GB" w:eastAsia="zh-CN"/>
        </w:rPr>
        <w:t xml:space="preserve">MERGER </w:t>
      </w:r>
      <w:r w:rsidR="00A63EDC" w:rsidRPr="000E2036">
        <w:rPr>
          <w:lang w:val="en-GB" w:eastAsia="zh-CN"/>
        </w:rPr>
        <w:t>in</w:t>
      </w:r>
      <w:r w:rsidR="00D22A9D" w:rsidRPr="000E2036">
        <w:rPr>
          <w:lang w:val="en-GB" w:eastAsia="zh-CN"/>
        </w:rPr>
        <w:t xml:space="preserve"> 2005</w:t>
      </w:r>
      <w:r w:rsidR="00A63EDC" w:rsidRPr="000E2036">
        <w:rPr>
          <w:lang w:val="en-GB" w:eastAsia="zh-CN"/>
        </w:rPr>
        <w:t>–</w:t>
      </w:r>
      <w:r w:rsidR="002649A1">
        <w:rPr>
          <w:lang w:val="en-GB" w:eastAsia="zh-CN"/>
        </w:rPr>
        <w:t>20</w:t>
      </w:r>
      <w:r w:rsidR="00D22A9D" w:rsidRPr="000E2036">
        <w:rPr>
          <w:lang w:val="en-GB" w:eastAsia="zh-CN"/>
        </w:rPr>
        <w:t>06</w:t>
      </w:r>
      <w:r w:rsidR="00016B68" w:rsidRPr="000E2036">
        <w:rPr>
          <w:lang w:val="en-GB" w:eastAsia="zh-CN"/>
        </w:rPr>
        <w:t xml:space="preserve"> (</w:t>
      </w:r>
      <w:r w:rsidR="007840C4" w:rsidRPr="000E2036">
        <w:rPr>
          <w:lang w:val="en-GB" w:eastAsia="zh-CN"/>
        </w:rPr>
        <w:t xml:space="preserve">IN </w:t>
      </w:r>
      <w:r w:rsidR="00A63EDC" w:rsidRPr="000E2036">
        <w:rPr>
          <w:lang w:val="en-GB" w:eastAsia="zh-CN"/>
        </w:rPr>
        <w:t xml:space="preserve">¥ </w:t>
      </w:r>
      <w:r w:rsidR="00016B68" w:rsidRPr="000E2036">
        <w:rPr>
          <w:lang w:val="en-GB" w:eastAsia="zh-CN"/>
        </w:rPr>
        <w:t>MILLION)</w:t>
      </w:r>
    </w:p>
    <w:p w14:paraId="407BCC5E" w14:textId="77777777" w:rsidR="00FC4FA5" w:rsidRPr="000E2036" w:rsidRDefault="00FC4FA5" w:rsidP="00F07535">
      <w:pPr>
        <w:autoSpaceDE w:val="0"/>
        <w:autoSpaceDN w:val="0"/>
        <w:adjustRightInd w:val="0"/>
        <w:spacing w:line="200" w:lineRule="exact"/>
        <w:rPr>
          <w:rFonts w:ascii="Arial" w:hAnsi="Arial" w:cs="Arial"/>
          <w:b/>
          <w:caps/>
          <w:lang w:val="en-GB" w:eastAsia="zh-CN"/>
        </w:rPr>
      </w:pPr>
    </w:p>
    <w:tbl>
      <w:tblPr>
        <w:tblW w:w="9080" w:type="dxa"/>
        <w:tblInd w:w="93" w:type="dxa"/>
        <w:tblLook w:val="04A0" w:firstRow="1" w:lastRow="0" w:firstColumn="1" w:lastColumn="0" w:noHBand="0" w:noVBand="1"/>
      </w:tblPr>
      <w:tblGrid>
        <w:gridCol w:w="2580"/>
        <w:gridCol w:w="1300"/>
        <w:gridCol w:w="1300"/>
        <w:gridCol w:w="1300"/>
        <w:gridCol w:w="1300"/>
        <w:gridCol w:w="1300"/>
      </w:tblGrid>
      <w:tr w:rsidR="008E29C9" w:rsidRPr="000E2036" w14:paraId="14EFBA25" w14:textId="77777777" w:rsidTr="00DD0126">
        <w:trPr>
          <w:trHeight w:val="240"/>
        </w:trPr>
        <w:tc>
          <w:tcPr>
            <w:tcW w:w="25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CD0A0F4" w14:textId="77777777" w:rsidR="008E29C9" w:rsidRPr="000E2036" w:rsidRDefault="008E29C9" w:rsidP="008E29C9">
            <w:pPr>
              <w:jc w:val="center"/>
              <w:rPr>
                <w:rFonts w:ascii="Arial" w:eastAsia="SimSun" w:hAnsi="Arial" w:cs="Arial"/>
                <w:b/>
                <w:color w:val="000000"/>
                <w:kern w:val="0"/>
                <w:lang w:val="en-GB" w:eastAsia="zh-CN"/>
              </w:rPr>
            </w:pPr>
            <w:r w:rsidRPr="000E2036">
              <w:rPr>
                <w:rFonts w:ascii="Arial" w:eastAsia="SimSun" w:hAnsi="Arial" w:cs="Arial"/>
                <w:b/>
                <w:color w:val="000000"/>
                <w:kern w:val="0"/>
                <w:lang w:val="en-GB" w:eastAsia="zh-CN"/>
              </w:rPr>
              <w:t>Financial Performance</w:t>
            </w:r>
          </w:p>
        </w:tc>
        <w:tc>
          <w:tcPr>
            <w:tcW w:w="2600" w:type="dxa"/>
            <w:gridSpan w:val="2"/>
            <w:tcBorders>
              <w:top w:val="single" w:sz="4" w:space="0" w:color="auto"/>
              <w:left w:val="nil"/>
              <w:bottom w:val="single" w:sz="4" w:space="0" w:color="auto"/>
              <w:right w:val="single" w:sz="4" w:space="0" w:color="000000"/>
            </w:tcBorders>
            <w:shd w:val="clear" w:color="auto" w:fill="auto"/>
            <w:vAlign w:val="center"/>
            <w:hideMark/>
          </w:tcPr>
          <w:p w14:paraId="5ABB6DB5" w14:textId="77777777" w:rsidR="008E29C9" w:rsidRPr="000E2036" w:rsidRDefault="008E29C9" w:rsidP="008E29C9">
            <w:pPr>
              <w:jc w:val="center"/>
              <w:rPr>
                <w:rFonts w:ascii="Arial" w:eastAsia="SimSun" w:hAnsi="Arial" w:cs="Arial"/>
                <w:b/>
                <w:color w:val="000000"/>
                <w:kern w:val="0"/>
                <w:lang w:val="en-GB" w:eastAsia="zh-CN"/>
              </w:rPr>
            </w:pPr>
            <w:r w:rsidRPr="000E2036">
              <w:rPr>
                <w:rFonts w:ascii="Arial" w:eastAsia="SimSun" w:hAnsi="Arial" w:cs="Arial"/>
                <w:b/>
                <w:color w:val="000000"/>
                <w:kern w:val="0"/>
                <w:lang w:val="en-GB" w:eastAsia="zh-CN"/>
              </w:rPr>
              <w:t>Toyota Tsusho Corporation</w:t>
            </w:r>
          </w:p>
        </w:tc>
        <w:tc>
          <w:tcPr>
            <w:tcW w:w="2600" w:type="dxa"/>
            <w:gridSpan w:val="2"/>
            <w:tcBorders>
              <w:top w:val="single" w:sz="4" w:space="0" w:color="auto"/>
              <w:left w:val="nil"/>
              <w:bottom w:val="single" w:sz="4" w:space="0" w:color="auto"/>
              <w:right w:val="single" w:sz="4" w:space="0" w:color="000000"/>
            </w:tcBorders>
            <w:shd w:val="clear" w:color="auto" w:fill="auto"/>
            <w:vAlign w:val="center"/>
            <w:hideMark/>
          </w:tcPr>
          <w:p w14:paraId="636C9404" w14:textId="77777777" w:rsidR="008E29C9" w:rsidRPr="000E2036" w:rsidRDefault="008E29C9" w:rsidP="008E29C9">
            <w:pPr>
              <w:jc w:val="center"/>
              <w:rPr>
                <w:rFonts w:ascii="Arial" w:eastAsia="SimSun" w:hAnsi="Arial" w:cs="Arial"/>
                <w:b/>
                <w:color w:val="000000"/>
                <w:kern w:val="0"/>
                <w:lang w:val="en-GB" w:eastAsia="zh-CN"/>
              </w:rPr>
            </w:pPr>
            <w:r w:rsidRPr="000E2036">
              <w:rPr>
                <w:rFonts w:ascii="Arial" w:eastAsia="SimSun" w:hAnsi="Arial" w:cs="Arial"/>
                <w:b/>
                <w:color w:val="000000"/>
                <w:kern w:val="0"/>
                <w:lang w:val="en-GB" w:eastAsia="zh-CN"/>
              </w:rPr>
              <w:t>Tomen Corporation</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5777406F" w14:textId="77777777" w:rsidR="008E29C9" w:rsidRPr="000E2036" w:rsidRDefault="008E29C9" w:rsidP="008E29C9">
            <w:pPr>
              <w:jc w:val="center"/>
              <w:rPr>
                <w:rFonts w:ascii="Arial" w:eastAsia="SimSun" w:hAnsi="Arial" w:cs="Arial"/>
                <w:b/>
                <w:color w:val="000000"/>
                <w:kern w:val="0"/>
                <w:lang w:val="en-GB" w:eastAsia="zh-CN"/>
              </w:rPr>
            </w:pPr>
            <w:r w:rsidRPr="000E2036">
              <w:rPr>
                <w:rFonts w:ascii="Arial" w:eastAsia="SimSun" w:hAnsi="Arial" w:cs="Arial"/>
                <w:b/>
                <w:color w:val="000000"/>
                <w:kern w:val="0"/>
                <w:lang w:val="en-GB" w:eastAsia="zh-CN"/>
              </w:rPr>
              <w:t>Simple Sum</w:t>
            </w:r>
          </w:p>
        </w:tc>
      </w:tr>
      <w:tr w:rsidR="008E29C9" w:rsidRPr="000E2036" w14:paraId="710455ED" w14:textId="77777777" w:rsidTr="00DD0126">
        <w:trPr>
          <w:trHeight w:val="240"/>
        </w:trPr>
        <w:tc>
          <w:tcPr>
            <w:tcW w:w="2580" w:type="dxa"/>
            <w:vMerge/>
            <w:tcBorders>
              <w:top w:val="single" w:sz="4" w:space="0" w:color="auto"/>
              <w:left w:val="single" w:sz="4" w:space="0" w:color="auto"/>
              <w:bottom w:val="single" w:sz="4" w:space="0" w:color="000000"/>
              <w:right w:val="single" w:sz="4" w:space="0" w:color="auto"/>
            </w:tcBorders>
            <w:vAlign w:val="center"/>
            <w:hideMark/>
          </w:tcPr>
          <w:p w14:paraId="4BC4CC6C" w14:textId="77777777" w:rsidR="008E29C9" w:rsidRPr="000E2036" w:rsidRDefault="008E29C9" w:rsidP="008E29C9">
            <w:pPr>
              <w:rPr>
                <w:rFonts w:ascii="Arial" w:eastAsia="SimSun" w:hAnsi="Arial" w:cs="Arial"/>
                <w:color w:val="000000"/>
                <w:kern w:val="0"/>
                <w:lang w:val="en-GB" w:eastAsia="zh-CN"/>
              </w:rPr>
            </w:pPr>
          </w:p>
        </w:tc>
        <w:tc>
          <w:tcPr>
            <w:tcW w:w="1300" w:type="dxa"/>
            <w:tcBorders>
              <w:top w:val="nil"/>
              <w:left w:val="nil"/>
              <w:bottom w:val="single" w:sz="4" w:space="0" w:color="auto"/>
              <w:right w:val="single" w:sz="4" w:space="0" w:color="auto"/>
            </w:tcBorders>
            <w:shd w:val="clear" w:color="auto" w:fill="auto"/>
            <w:vAlign w:val="center"/>
            <w:hideMark/>
          </w:tcPr>
          <w:p w14:paraId="57E320CD" w14:textId="77777777" w:rsidR="008E29C9" w:rsidRPr="000E2036" w:rsidRDefault="008E29C9" w:rsidP="008E29C9">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2006</w:t>
            </w:r>
          </w:p>
        </w:tc>
        <w:tc>
          <w:tcPr>
            <w:tcW w:w="1300" w:type="dxa"/>
            <w:tcBorders>
              <w:top w:val="nil"/>
              <w:left w:val="single" w:sz="4" w:space="0" w:color="auto"/>
              <w:bottom w:val="single" w:sz="4" w:space="0" w:color="auto"/>
              <w:right w:val="single" w:sz="4" w:space="0" w:color="auto"/>
            </w:tcBorders>
            <w:shd w:val="clear" w:color="auto" w:fill="auto"/>
            <w:vAlign w:val="center"/>
            <w:hideMark/>
          </w:tcPr>
          <w:p w14:paraId="3F6E42F2" w14:textId="77777777" w:rsidR="008E29C9" w:rsidRPr="000E2036" w:rsidRDefault="008E29C9" w:rsidP="008E29C9">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2005</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040B1C07" w14:textId="77777777" w:rsidR="008E29C9" w:rsidRPr="000E2036" w:rsidRDefault="008E29C9" w:rsidP="008E29C9">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2006</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3EF16A" w14:textId="77777777" w:rsidR="008E29C9" w:rsidRPr="000E2036" w:rsidRDefault="008E29C9" w:rsidP="008E29C9">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2005</w:t>
            </w:r>
          </w:p>
        </w:tc>
        <w:tc>
          <w:tcPr>
            <w:tcW w:w="1300" w:type="dxa"/>
            <w:tcBorders>
              <w:top w:val="nil"/>
              <w:left w:val="nil"/>
              <w:bottom w:val="single" w:sz="4" w:space="0" w:color="auto"/>
              <w:right w:val="single" w:sz="4" w:space="0" w:color="auto"/>
            </w:tcBorders>
            <w:shd w:val="clear" w:color="auto" w:fill="auto"/>
            <w:vAlign w:val="center"/>
            <w:hideMark/>
          </w:tcPr>
          <w:p w14:paraId="3EC0442D" w14:textId="77777777" w:rsidR="008E29C9" w:rsidRPr="000E2036" w:rsidRDefault="008E29C9" w:rsidP="008E29C9">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2006</w:t>
            </w:r>
          </w:p>
        </w:tc>
      </w:tr>
      <w:tr w:rsidR="008E29C9" w:rsidRPr="000E2036" w14:paraId="58C30D58" w14:textId="77777777" w:rsidTr="002723AF">
        <w:trPr>
          <w:trHeight w:val="332"/>
        </w:trPr>
        <w:tc>
          <w:tcPr>
            <w:tcW w:w="2580" w:type="dxa"/>
            <w:tcBorders>
              <w:top w:val="nil"/>
              <w:left w:val="single" w:sz="4" w:space="0" w:color="auto"/>
              <w:bottom w:val="nil"/>
              <w:right w:val="nil"/>
            </w:tcBorders>
            <w:shd w:val="clear" w:color="auto" w:fill="auto"/>
            <w:noWrap/>
            <w:vAlign w:val="bottom"/>
            <w:hideMark/>
          </w:tcPr>
          <w:p w14:paraId="4E614E4C" w14:textId="77777777" w:rsidR="008E29C9" w:rsidRPr="000E2036" w:rsidRDefault="008E29C9" w:rsidP="008E29C9">
            <w:pPr>
              <w:rPr>
                <w:rFonts w:ascii="Arial" w:eastAsia="SimSun" w:hAnsi="Arial" w:cs="Arial"/>
                <w:color w:val="000000"/>
                <w:kern w:val="0"/>
                <w:u w:val="single"/>
                <w:lang w:val="en-GB" w:eastAsia="zh-CN"/>
              </w:rPr>
            </w:pPr>
            <w:r w:rsidRPr="000E2036">
              <w:rPr>
                <w:rFonts w:ascii="Arial" w:eastAsia="SimSun" w:hAnsi="Arial" w:cs="Arial"/>
                <w:color w:val="000000"/>
                <w:kern w:val="0"/>
                <w:u w:val="single"/>
                <w:lang w:val="en-GB" w:eastAsia="zh-CN"/>
              </w:rPr>
              <w:t xml:space="preserve">For the Year: </w:t>
            </w:r>
          </w:p>
        </w:tc>
        <w:tc>
          <w:tcPr>
            <w:tcW w:w="1300" w:type="dxa"/>
            <w:tcBorders>
              <w:top w:val="nil"/>
              <w:left w:val="single" w:sz="4" w:space="0" w:color="auto"/>
              <w:bottom w:val="nil"/>
              <w:right w:val="single" w:sz="4" w:space="0" w:color="auto"/>
            </w:tcBorders>
            <w:shd w:val="clear" w:color="auto" w:fill="auto"/>
            <w:vAlign w:val="bottom"/>
            <w:hideMark/>
          </w:tcPr>
          <w:p w14:paraId="0605945A" w14:textId="1E7B3B68" w:rsidR="008E29C9" w:rsidRPr="000E2036" w:rsidRDefault="008E29C9" w:rsidP="008E29C9">
            <w:pPr>
              <w:rPr>
                <w:rFonts w:ascii="Arial" w:eastAsia="SimSun" w:hAnsi="Arial" w:cs="Arial"/>
                <w:color w:val="000000"/>
                <w:kern w:val="0"/>
                <w:lang w:val="en-GB" w:eastAsia="zh-CN"/>
              </w:rPr>
            </w:pPr>
          </w:p>
        </w:tc>
        <w:tc>
          <w:tcPr>
            <w:tcW w:w="1300" w:type="dxa"/>
            <w:tcBorders>
              <w:top w:val="nil"/>
              <w:left w:val="nil"/>
              <w:bottom w:val="nil"/>
              <w:right w:val="single" w:sz="4" w:space="0" w:color="auto"/>
            </w:tcBorders>
            <w:shd w:val="clear" w:color="auto" w:fill="auto"/>
            <w:vAlign w:val="bottom"/>
            <w:hideMark/>
          </w:tcPr>
          <w:p w14:paraId="1F18F2E6" w14:textId="78A2D540" w:rsidR="008E29C9" w:rsidRPr="000E2036" w:rsidRDefault="008E29C9" w:rsidP="008E29C9">
            <w:pPr>
              <w:rPr>
                <w:rFonts w:ascii="Arial" w:eastAsia="SimSun" w:hAnsi="Arial" w:cs="Arial"/>
                <w:color w:val="000000"/>
                <w:kern w:val="0"/>
                <w:lang w:val="en-GB" w:eastAsia="zh-CN"/>
              </w:rPr>
            </w:pPr>
          </w:p>
        </w:tc>
        <w:tc>
          <w:tcPr>
            <w:tcW w:w="1300" w:type="dxa"/>
            <w:tcBorders>
              <w:top w:val="nil"/>
              <w:left w:val="nil"/>
              <w:bottom w:val="nil"/>
              <w:right w:val="single" w:sz="4" w:space="0" w:color="auto"/>
            </w:tcBorders>
            <w:shd w:val="clear" w:color="auto" w:fill="auto"/>
            <w:vAlign w:val="bottom"/>
            <w:hideMark/>
          </w:tcPr>
          <w:p w14:paraId="1B2B2FDB" w14:textId="19DBFB9A" w:rsidR="008E29C9" w:rsidRPr="000E2036" w:rsidRDefault="008E29C9" w:rsidP="008E29C9">
            <w:pPr>
              <w:rPr>
                <w:rFonts w:ascii="Arial" w:eastAsia="SimSun" w:hAnsi="Arial" w:cs="Arial"/>
                <w:color w:val="000000"/>
                <w:kern w:val="0"/>
                <w:lang w:val="en-GB" w:eastAsia="zh-CN"/>
              </w:rPr>
            </w:pPr>
          </w:p>
        </w:tc>
        <w:tc>
          <w:tcPr>
            <w:tcW w:w="1300" w:type="dxa"/>
            <w:tcBorders>
              <w:top w:val="nil"/>
              <w:left w:val="nil"/>
              <w:bottom w:val="nil"/>
              <w:right w:val="single" w:sz="4" w:space="0" w:color="auto"/>
            </w:tcBorders>
            <w:shd w:val="clear" w:color="auto" w:fill="auto"/>
            <w:vAlign w:val="bottom"/>
            <w:hideMark/>
          </w:tcPr>
          <w:p w14:paraId="62D7B747" w14:textId="27500675" w:rsidR="008E29C9" w:rsidRPr="000E2036" w:rsidRDefault="008E29C9" w:rsidP="008E29C9">
            <w:pPr>
              <w:rPr>
                <w:rFonts w:ascii="Arial" w:eastAsia="SimSun" w:hAnsi="Arial" w:cs="Arial"/>
                <w:color w:val="000000"/>
                <w:kern w:val="0"/>
                <w:lang w:val="en-GB" w:eastAsia="zh-CN"/>
              </w:rPr>
            </w:pPr>
          </w:p>
        </w:tc>
        <w:tc>
          <w:tcPr>
            <w:tcW w:w="1300" w:type="dxa"/>
            <w:tcBorders>
              <w:top w:val="nil"/>
              <w:left w:val="nil"/>
              <w:bottom w:val="nil"/>
              <w:right w:val="single" w:sz="4" w:space="0" w:color="auto"/>
            </w:tcBorders>
            <w:shd w:val="clear" w:color="auto" w:fill="auto"/>
            <w:vAlign w:val="bottom"/>
            <w:hideMark/>
          </w:tcPr>
          <w:p w14:paraId="089F0D04" w14:textId="4414833B" w:rsidR="008E29C9" w:rsidRPr="000E2036" w:rsidRDefault="008E29C9" w:rsidP="008E29C9">
            <w:pPr>
              <w:rPr>
                <w:rFonts w:ascii="Arial" w:eastAsia="SimSun" w:hAnsi="Arial" w:cs="Arial"/>
                <w:color w:val="000000"/>
                <w:kern w:val="0"/>
                <w:lang w:val="en-GB" w:eastAsia="zh-CN"/>
              </w:rPr>
            </w:pPr>
          </w:p>
        </w:tc>
      </w:tr>
      <w:tr w:rsidR="008E29C9" w:rsidRPr="000E2036" w14:paraId="6CD3FB50" w14:textId="77777777" w:rsidTr="008E29C9">
        <w:trPr>
          <w:trHeight w:val="240"/>
        </w:trPr>
        <w:tc>
          <w:tcPr>
            <w:tcW w:w="2580" w:type="dxa"/>
            <w:tcBorders>
              <w:top w:val="nil"/>
              <w:left w:val="single" w:sz="4" w:space="0" w:color="auto"/>
              <w:bottom w:val="nil"/>
              <w:right w:val="nil"/>
            </w:tcBorders>
            <w:shd w:val="clear" w:color="auto" w:fill="auto"/>
            <w:noWrap/>
            <w:vAlign w:val="bottom"/>
            <w:hideMark/>
          </w:tcPr>
          <w:p w14:paraId="4DE3E054" w14:textId="77777777" w:rsidR="008E29C9" w:rsidRPr="000E2036" w:rsidRDefault="008E29C9" w:rsidP="008E29C9">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Net Sales</w:t>
            </w:r>
          </w:p>
        </w:tc>
        <w:tc>
          <w:tcPr>
            <w:tcW w:w="1300" w:type="dxa"/>
            <w:tcBorders>
              <w:top w:val="nil"/>
              <w:left w:val="single" w:sz="4" w:space="0" w:color="auto"/>
              <w:bottom w:val="nil"/>
              <w:right w:val="single" w:sz="4" w:space="0" w:color="auto"/>
            </w:tcBorders>
            <w:shd w:val="clear" w:color="auto" w:fill="auto"/>
            <w:vAlign w:val="bottom"/>
            <w:hideMark/>
          </w:tcPr>
          <w:p w14:paraId="3A21DDEB"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3,945,319</w:t>
            </w:r>
          </w:p>
        </w:tc>
        <w:tc>
          <w:tcPr>
            <w:tcW w:w="1300" w:type="dxa"/>
            <w:tcBorders>
              <w:top w:val="nil"/>
              <w:left w:val="nil"/>
              <w:bottom w:val="nil"/>
              <w:right w:val="single" w:sz="4" w:space="0" w:color="auto"/>
            </w:tcBorders>
            <w:shd w:val="clear" w:color="auto" w:fill="auto"/>
            <w:vAlign w:val="bottom"/>
            <w:hideMark/>
          </w:tcPr>
          <w:p w14:paraId="404B4D53"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3,315,831</w:t>
            </w:r>
          </w:p>
        </w:tc>
        <w:tc>
          <w:tcPr>
            <w:tcW w:w="1300" w:type="dxa"/>
            <w:tcBorders>
              <w:top w:val="nil"/>
              <w:left w:val="nil"/>
              <w:bottom w:val="nil"/>
              <w:right w:val="single" w:sz="4" w:space="0" w:color="auto"/>
            </w:tcBorders>
            <w:shd w:val="clear" w:color="auto" w:fill="auto"/>
            <w:vAlign w:val="bottom"/>
            <w:hideMark/>
          </w:tcPr>
          <w:p w14:paraId="23E23189"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1,810,844</w:t>
            </w:r>
          </w:p>
        </w:tc>
        <w:tc>
          <w:tcPr>
            <w:tcW w:w="1300" w:type="dxa"/>
            <w:tcBorders>
              <w:top w:val="nil"/>
              <w:left w:val="nil"/>
              <w:bottom w:val="nil"/>
              <w:right w:val="single" w:sz="4" w:space="0" w:color="auto"/>
            </w:tcBorders>
            <w:shd w:val="clear" w:color="auto" w:fill="auto"/>
            <w:vAlign w:val="bottom"/>
            <w:hideMark/>
          </w:tcPr>
          <w:p w14:paraId="37931A14"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1,577,303</w:t>
            </w:r>
          </w:p>
        </w:tc>
        <w:tc>
          <w:tcPr>
            <w:tcW w:w="1300" w:type="dxa"/>
            <w:tcBorders>
              <w:top w:val="nil"/>
              <w:left w:val="nil"/>
              <w:bottom w:val="nil"/>
              <w:right w:val="single" w:sz="4" w:space="0" w:color="auto"/>
            </w:tcBorders>
            <w:shd w:val="clear" w:color="auto" w:fill="auto"/>
            <w:vAlign w:val="bottom"/>
            <w:hideMark/>
          </w:tcPr>
          <w:p w14:paraId="215C4BC8"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5,756,163</w:t>
            </w:r>
          </w:p>
        </w:tc>
      </w:tr>
      <w:tr w:rsidR="008E29C9" w:rsidRPr="000E2036" w14:paraId="15E86267" w14:textId="77777777" w:rsidTr="008E29C9">
        <w:trPr>
          <w:trHeight w:val="240"/>
        </w:trPr>
        <w:tc>
          <w:tcPr>
            <w:tcW w:w="2580" w:type="dxa"/>
            <w:tcBorders>
              <w:top w:val="nil"/>
              <w:left w:val="single" w:sz="4" w:space="0" w:color="auto"/>
              <w:bottom w:val="nil"/>
              <w:right w:val="nil"/>
            </w:tcBorders>
            <w:shd w:val="clear" w:color="auto" w:fill="auto"/>
            <w:noWrap/>
            <w:vAlign w:val="bottom"/>
            <w:hideMark/>
          </w:tcPr>
          <w:p w14:paraId="1B5D2D17" w14:textId="77777777" w:rsidR="008E29C9" w:rsidRPr="000E2036" w:rsidRDefault="008E29C9" w:rsidP="008E29C9">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Gross Trading Profit</w:t>
            </w:r>
          </w:p>
        </w:tc>
        <w:tc>
          <w:tcPr>
            <w:tcW w:w="1300" w:type="dxa"/>
            <w:tcBorders>
              <w:top w:val="nil"/>
              <w:left w:val="single" w:sz="4" w:space="0" w:color="auto"/>
              <w:bottom w:val="nil"/>
              <w:right w:val="single" w:sz="4" w:space="0" w:color="auto"/>
            </w:tcBorders>
            <w:shd w:val="clear" w:color="auto" w:fill="auto"/>
            <w:vAlign w:val="bottom"/>
            <w:hideMark/>
          </w:tcPr>
          <w:p w14:paraId="60979D1A"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221,593</w:t>
            </w:r>
          </w:p>
        </w:tc>
        <w:tc>
          <w:tcPr>
            <w:tcW w:w="1300" w:type="dxa"/>
            <w:tcBorders>
              <w:top w:val="nil"/>
              <w:left w:val="nil"/>
              <w:bottom w:val="nil"/>
              <w:right w:val="single" w:sz="4" w:space="0" w:color="auto"/>
            </w:tcBorders>
            <w:shd w:val="clear" w:color="auto" w:fill="auto"/>
            <w:vAlign w:val="bottom"/>
            <w:hideMark/>
          </w:tcPr>
          <w:p w14:paraId="3372CECE"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175,683</w:t>
            </w:r>
          </w:p>
        </w:tc>
        <w:tc>
          <w:tcPr>
            <w:tcW w:w="1300" w:type="dxa"/>
            <w:tcBorders>
              <w:top w:val="nil"/>
              <w:left w:val="nil"/>
              <w:bottom w:val="nil"/>
              <w:right w:val="single" w:sz="4" w:space="0" w:color="auto"/>
            </w:tcBorders>
            <w:shd w:val="clear" w:color="auto" w:fill="auto"/>
            <w:vAlign w:val="bottom"/>
            <w:hideMark/>
          </w:tcPr>
          <w:p w14:paraId="56747EF0"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77,135</w:t>
            </w:r>
          </w:p>
        </w:tc>
        <w:tc>
          <w:tcPr>
            <w:tcW w:w="1300" w:type="dxa"/>
            <w:tcBorders>
              <w:top w:val="nil"/>
              <w:left w:val="nil"/>
              <w:bottom w:val="nil"/>
              <w:right w:val="single" w:sz="4" w:space="0" w:color="auto"/>
            </w:tcBorders>
            <w:shd w:val="clear" w:color="auto" w:fill="auto"/>
            <w:vAlign w:val="bottom"/>
            <w:hideMark/>
          </w:tcPr>
          <w:p w14:paraId="4E36AFAD"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82,915</w:t>
            </w:r>
          </w:p>
        </w:tc>
        <w:tc>
          <w:tcPr>
            <w:tcW w:w="1300" w:type="dxa"/>
            <w:tcBorders>
              <w:top w:val="nil"/>
              <w:left w:val="nil"/>
              <w:bottom w:val="nil"/>
              <w:right w:val="single" w:sz="4" w:space="0" w:color="auto"/>
            </w:tcBorders>
            <w:shd w:val="clear" w:color="auto" w:fill="auto"/>
            <w:vAlign w:val="bottom"/>
            <w:hideMark/>
          </w:tcPr>
          <w:p w14:paraId="22FE6EAB"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298,728</w:t>
            </w:r>
          </w:p>
        </w:tc>
      </w:tr>
      <w:tr w:rsidR="008E29C9" w:rsidRPr="000E2036" w14:paraId="6DE9FFEF" w14:textId="77777777" w:rsidTr="008E29C9">
        <w:trPr>
          <w:trHeight w:val="240"/>
        </w:trPr>
        <w:tc>
          <w:tcPr>
            <w:tcW w:w="2580" w:type="dxa"/>
            <w:tcBorders>
              <w:top w:val="nil"/>
              <w:left w:val="single" w:sz="4" w:space="0" w:color="auto"/>
              <w:bottom w:val="nil"/>
              <w:right w:val="nil"/>
            </w:tcBorders>
            <w:shd w:val="clear" w:color="auto" w:fill="auto"/>
            <w:vAlign w:val="bottom"/>
            <w:hideMark/>
          </w:tcPr>
          <w:p w14:paraId="0F13B973" w14:textId="77777777" w:rsidR="008E29C9" w:rsidRPr="000E2036" w:rsidRDefault="008E29C9" w:rsidP="008E29C9">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Operating Income </w:t>
            </w:r>
          </w:p>
        </w:tc>
        <w:tc>
          <w:tcPr>
            <w:tcW w:w="1300" w:type="dxa"/>
            <w:tcBorders>
              <w:top w:val="nil"/>
              <w:left w:val="single" w:sz="4" w:space="0" w:color="auto"/>
              <w:bottom w:val="nil"/>
              <w:right w:val="single" w:sz="4" w:space="0" w:color="auto"/>
            </w:tcBorders>
            <w:shd w:val="clear" w:color="auto" w:fill="auto"/>
            <w:vAlign w:val="bottom"/>
            <w:hideMark/>
          </w:tcPr>
          <w:p w14:paraId="02BE34D1"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80,057</w:t>
            </w:r>
          </w:p>
        </w:tc>
        <w:tc>
          <w:tcPr>
            <w:tcW w:w="1300" w:type="dxa"/>
            <w:tcBorders>
              <w:top w:val="nil"/>
              <w:left w:val="nil"/>
              <w:bottom w:val="nil"/>
              <w:right w:val="single" w:sz="4" w:space="0" w:color="auto"/>
            </w:tcBorders>
            <w:shd w:val="clear" w:color="auto" w:fill="auto"/>
            <w:vAlign w:val="bottom"/>
            <w:hideMark/>
          </w:tcPr>
          <w:p w14:paraId="55FCE6B4"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56,315</w:t>
            </w:r>
          </w:p>
        </w:tc>
        <w:tc>
          <w:tcPr>
            <w:tcW w:w="1300" w:type="dxa"/>
            <w:tcBorders>
              <w:top w:val="nil"/>
              <w:left w:val="nil"/>
              <w:bottom w:val="nil"/>
              <w:right w:val="single" w:sz="4" w:space="0" w:color="auto"/>
            </w:tcBorders>
            <w:shd w:val="clear" w:color="auto" w:fill="auto"/>
            <w:vAlign w:val="bottom"/>
            <w:hideMark/>
          </w:tcPr>
          <w:p w14:paraId="622B6ABF"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21,066</w:t>
            </w:r>
          </w:p>
        </w:tc>
        <w:tc>
          <w:tcPr>
            <w:tcW w:w="1300" w:type="dxa"/>
            <w:tcBorders>
              <w:top w:val="nil"/>
              <w:left w:val="nil"/>
              <w:bottom w:val="nil"/>
              <w:right w:val="single" w:sz="4" w:space="0" w:color="auto"/>
            </w:tcBorders>
            <w:shd w:val="clear" w:color="auto" w:fill="auto"/>
            <w:vAlign w:val="bottom"/>
            <w:hideMark/>
          </w:tcPr>
          <w:p w14:paraId="36AB0CAF"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26,568</w:t>
            </w:r>
          </w:p>
        </w:tc>
        <w:tc>
          <w:tcPr>
            <w:tcW w:w="1300" w:type="dxa"/>
            <w:tcBorders>
              <w:top w:val="nil"/>
              <w:left w:val="nil"/>
              <w:bottom w:val="nil"/>
              <w:right w:val="single" w:sz="4" w:space="0" w:color="auto"/>
            </w:tcBorders>
            <w:shd w:val="clear" w:color="auto" w:fill="auto"/>
            <w:vAlign w:val="bottom"/>
            <w:hideMark/>
          </w:tcPr>
          <w:p w14:paraId="5B12739C"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101,123</w:t>
            </w:r>
          </w:p>
        </w:tc>
      </w:tr>
      <w:tr w:rsidR="008E29C9" w:rsidRPr="000E2036" w14:paraId="7136CDAC" w14:textId="77777777" w:rsidTr="008E29C9">
        <w:trPr>
          <w:trHeight w:val="240"/>
        </w:trPr>
        <w:tc>
          <w:tcPr>
            <w:tcW w:w="2580" w:type="dxa"/>
            <w:tcBorders>
              <w:top w:val="nil"/>
              <w:left w:val="single" w:sz="4" w:space="0" w:color="auto"/>
              <w:bottom w:val="nil"/>
              <w:right w:val="nil"/>
            </w:tcBorders>
            <w:shd w:val="clear" w:color="auto" w:fill="auto"/>
            <w:vAlign w:val="bottom"/>
            <w:hideMark/>
          </w:tcPr>
          <w:p w14:paraId="450C72FA" w14:textId="77777777" w:rsidR="008E29C9" w:rsidRPr="000E2036" w:rsidRDefault="008E29C9" w:rsidP="008E29C9">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Net Income (Loss)</w:t>
            </w:r>
          </w:p>
        </w:tc>
        <w:tc>
          <w:tcPr>
            <w:tcW w:w="1300" w:type="dxa"/>
            <w:tcBorders>
              <w:top w:val="nil"/>
              <w:left w:val="single" w:sz="4" w:space="0" w:color="auto"/>
              <w:bottom w:val="nil"/>
              <w:right w:val="single" w:sz="4" w:space="0" w:color="auto"/>
            </w:tcBorders>
            <w:shd w:val="clear" w:color="auto" w:fill="auto"/>
            <w:vAlign w:val="bottom"/>
            <w:hideMark/>
          </w:tcPr>
          <w:p w14:paraId="09A3C41B"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45,733</w:t>
            </w:r>
          </w:p>
        </w:tc>
        <w:tc>
          <w:tcPr>
            <w:tcW w:w="1300" w:type="dxa"/>
            <w:tcBorders>
              <w:top w:val="nil"/>
              <w:left w:val="nil"/>
              <w:bottom w:val="nil"/>
              <w:right w:val="single" w:sz="4" w:space="0" w:color="auto"/>
            </w:tcBorders>
            <w:shd w:val="clear" w:color="auto" w:fill="auto"/>
            <w:vAlign w:val="bottom"/>
            <w:hideMark/>
          </w:tcPr>
          <w:p w14:paraId="6AA6E6C5"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37,522</w:t>
            </w:r>
          </w:p>
        </w:tc>
        <w:tc>
          <w:tcPr>
            <w:tcW w:w="1300" w:type="dxa"/>
            <w:tcBorders>
              <w:top w:val="nil"/>
              <w:left w:val="nil"/>
              <w:bottom w:val="nil"/>
              <w:right w:val="single" w:sz="4" w:space="0" w:color="auto"/>
            </w:tcBorders>
            <w:shd w:val="clear" w:color="auto" w:fill="auto"/>
            <w:vAlign w:val="bottom"/>
            <w:hideMark/>
          </w:tcPr>
          <w:p w14:paraId="1FEFFECB" w14:textId="2B6A2F1B" w:rsidR="008E29C9" w:rsidRPr="000E2036" w:rsidRDefault="002649A1"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8E29C9" w:rsidRPr="000E2036">
              <w:rPr>
                <w:rFonts w:ascii="Arial" w:eastAsia="SimSun" w:hAnsi="Arial" w:cs="Arial"/>
                <w:color w:val="000000"/>
                <w:kern w:val="0"/>
                <w:lang w:val="en-GB" w:eastAsia="zh-CN"/>
              </w:rPr>
              <w:t>48,317</w:t>
            </w:r>
          </w:p>
        </w:tc>
        <w:tc>
          <w:tcPr>
            <w:tcW w:w="1300" w:type="dxa"/>
            <w:tcBorders>
              <w:top w:val="nil"/>
              <w:left w:val="nil"/>
              <w:bottom w:val="nil"/>
              <w:right w:val="single" w:sz="4" w:space="0" w:color="auto"/>
            </w:tcBorders>
            <w:shd w:val="clear" w:color="auto" w:fill="auto"/>
            <w:vAlign w:val="bottom"/>
            <w:hideMark/>
          </w:tcPr>
          <w:p w14:paraId="550E6273"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9,627</w:t>
            </w:r>
          </w:p>
        </w:tc>
        <w:tc>
          <w:tcPr>
            <w:tcW w:w="1300" w:type="dxa"/>
            <w:tcBorders>
              <w:top w:val="nil"/>
              <w:left w:val="nil"/>
              <w:bottom w:val="nil"/>
              <w:right w:val="single" w:sz="4" w:space="0" w:color="auto"/>
            </w:tcBorders>
            <w:shd w:val="clear" w:color="auto" w:fill="auto"/>
            <w:vAlign w:val="bottom"/>
            <w:hideMark/>
          </w:tcPr>
          <w:p w14:paraId="23E3B22A" w14:textId="7A3139D3" w:rsidR="008E29C9" w:rsidRPr="000E2036" w:rsidRDefault="002649A1"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8E29C9" w:rsidRPr="000E2036">
              <w:rPr>
                <w:rFonts w:ascii="Arial" w:eastAsia="SimSun" w:hAnsi="Arial" w:cs="Arial"/>
                <w:color w:val="000000"/>
                <w:kern w:val="0"/>
                <w:lang w:val="en-GB" w:eastAsia="zh-CN"/>
              </w:rPr>
              <w:t>2,584</w:t>
            </w:r>
          </w:p>
        </w:tc>
      </w:tr>
      <w:tr w:rsidR="008E29C9" w:rsidRPr="000E2036" w14:paraId="0F854B43" w14:textId="77777777" w:rsidTr="002723AF">
        <w:trPr>
          <w:trHeight w:val="207"/>
        </w:trPr>
        <w:tc>
          <w:tcPr>
            <w:tcW w:w="2580" w:type="dxa"/>
            <w:tcBorders>
              <w:top w:val="nil"/>
              <w:left w:val="single" w:sz="4" w:space="0" w:color="auto"/>
              <w:bottom w:val="single" w:sz="4" w:space="0" w:color="auto"/>
              <w:right w:val="nil"/>
            </w:tcBorders>
            <w:shd w:val="clear" w:color="auto" w:fill="auto"/>
            <w:vAlign w:val="bottom"/>
            <w:hideMark/>
          </w:tcPr>
          <w:p w14:paraId="5E7D2636" w14:textId="77777777" w:rsidR="008E29C9" w:rsidRPr="000E2036" w:rsidRDefault="008E29C9" w:rsidP="008E29C9">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Free Cash Flow </w:t>
            </w:r>
          </w:p>
        </w:tc>
        <w:tc>
          <w:tcPr>
            <w:tcW w:w="1300" w:type="dxa"/>
            <w:tcBorders>
              <w:top w:val="nil"/>
              <w:left w:val="single" w:sz="4" w:space="0" w:color="auto"/>
              <w:bottom w:val="single" w:sz="4" w:space="0" w:color="auto"/>
              <w:right w:val="single" w:sz="4" w:space="0" w:color="auto"/>
            </w:tcBorders>
            <w:shd w:val="clear" w:color="auto" w:fill="auto"/>
            <w:vAlign w:val="bottom"/>
            <w:hideMark/>
          </w:tcPr>
          <w:p w14:paraId="022FC0A9" w14:textId="670ADBE4" w:rsidR="008E29C9" w:rsidRPr="000E2036" w:rsidRDefault="002649A1"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8E29C9" w:rsidRPr="000E2036">
              <w:rPr>
                <w:rFonts w:ascii="Arial" w:eastAsia="SimSun" w:hAnsi="Arial" w:cs="Arial"/>
                <w:color w:val="000000"/>
                <w:kern w:val="0"/>
                <w:lang w:val="en-GB" w:eastAsia="zh-CN"/>
              </w:rPr>
              <w:t>86,290</w:t>
            </w:r>
          </w:p>
        </w:tc>
        <w:tc>
          <w:tcPr>
            <w:tcW w:w="1300" w:type="dxa"/>
            <w:tcBorders>
              <w:top w:val="nil"/>
              <w:left w:val="nil"/>
              <w:bottom w:val="single" w:sz="4" w:space="0" w:color="auto"/>
              <w:right w:val="single" w:sz="4" w:space="0" w:color="auto"/>
            </w:tcBorders>
            <w:shd w:val="clear" w:color="auto" w:fill="auto"/>
            <w:vAlign w:val="bottom"/>
            <w:hideMark/>
          </w:tcPr>
          <w:p w14:paraId="7CFEBB1A" w14:textId="4A82C531" w:rsidR="008E29C9" w:rsidRPr="000E2036" w:rsidRDefault="002649A1"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8E29C9" w:rsidRPr="000E2036">
              <w:rPr>
                <w:rFonts w:ascii="Arial" w:eastAsia="SimSun" w:hAnsi="Arial" w:cs="Arial"/>
                <w:color w:val="000000"/>
                <w:kern w:val="0"/>
                <w:lang w:val="en-GB" w:eastAsia="zh-CN"/>
              </w:rPr>
              <w:t>11,574</w:t>
            </w:r>
          </w:p>
        </w:tc>
        <w:tc>
          <w:tcPr>
            <w:tcW w:w="1300" w:type="dxa"/>
            <w:tcBorders>
              <w:top w:val="nil"/>
              <w:left w:val="nil"/>
              <w:bottom w:val="single" w:sz="4" w:space="0" w:color="auto"/>
              <w:right w:val="single" w:sz="4" w:space="0" w:color="auto"/>
            </w:tcBorders>
            <w:shd w:val="clear" w:color="auto" w:fill="auto"/>
            <w:vAlign w:val="bottom"/>
            <w:hideMark/>
          </w:tcPr>
          <w:p w14:paraId="535CDEFD"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48,303</w:t>
            </w:r>
          </w:p>
        </w:tc>
        <w:tc>
          <w:tcPr>
            <w:tcW w:w="1300" w:type="dxa"/>
            <w:tcBorders>
              <w:top w:val="nil"/>
              <w:left w:val="nil"/>
              <w:bottom w:val="single" w:sz="4" w:space="0" w:color="auto"/>
              <w:right w:val="single" w:sz="4" w:space="0" w:color="auto"/>
            </w:tcBorders>
            <w:shd w:val="clear" w:color="auto" w:fill="auto"/>
            <w:vAlign w:val="bottom"/>
            <w:hideMark/>
          </w:tcPr>
          <w:p w14:paraId="2CE37B22"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42,646</w:t>
            </w:r>
          </w:p>
        </w:tc>
        <w:tc>
          <w:tcPr>
            <w:tcW w:w="1300" w:type="dxa"/>
            <w:tcBorders>
              <w:top w:val="nil"/>
              <w:left w:val="nil"/>
              <w:bottom w:val="single" w:sz="4" w:space="0" w:color="auto"/>
              <w:right w:val="single" w:sz="4" w:space="0" w:color="auto"/>
            </w:tcBorders>
            <w:shd w:val="clear" w:color="auto" w:fill="auto"/>
            <w:vAlign w:val="bottom"/>
            <w:hideMark/>
          </w:tcPr>
          <w:p w14:paraId="2DF79E6B" w14:textId="7899B6D7" w:rsidR="008E29C9" w:rsidRPr="000E2036" w:rsidRDefault="002649A1"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8E29C9" w:rsidRPr="000E2036">
              <w:rPr>
                <w:rFonts w:ascii="Arial" w:eastAsia="SimSun" w:hAnsi="Arial" w:cs="Arial"/>
                <w:color w:val="000000"/>
                <w:kern w:val="0"/>
                <w:lang w:val="en-GB" w:eastAsia="zh-CN"/>
              </w:rPr>
              <w:t>37,987</w:t>
            </w:r>
          </w:p>
        </w:tc>
      </w:tr>
      <w:tr w:rsidR="008E29C9" w:rsidRPr="000E2036" w14:paraId="3A6445B9" w14:textId="77777777" w:rsidTr="002723AF">
        <w:trPr>
          <w:trHeight w:val="350"/>
        </w:trPr>
        <w:tc>
          <w:tcPr>
            <w:tcW w:w="2580" w:type="dxa"/>
            <w:tcBorders>
              <w:top w:val="nil"/>
              <w:left w:val="single" w:sz="4" w:space="0" w:color="auto"/>
              <w:bottom w:val="nil"/>
              <w:right w:val="nil"/>
            </w:tcBorders>
            <w:shd w:val="clear" w:color="auto" w:fill="auto"/>
            <w:vAlign w:val="bottom"/>
            <w:hideMark/>
          </w:tcPr>
          <w:p w14:paraId="07A4FB65" w14:textId="3C085688" w:rsidR="008E29C9" w:rsidRPr="000E2036" w:rsidRDefault="008E29C9" w:rsidP="008E29C9">
            <w:pPr>
              <w:rPr>
                <w:rFonts w:ascii="Arial" w:eastAsia="SimSun" w:hAnsi="Arial" w:cs="Arial"/>
                <w:color w:val="000000"/>
                <w:kern w:val="0"/>
                <w:u w:val="single"/>
                <w:lang w:val="en-GB" w:eastAsia="zh-CN"/>
              </w:rPr>
            </w:pPr>
            <w:r w:rsidRPr="000E2036">
              <w:rPr>
                <w:rFonts w:ascii="Arial" w:eastAsia="SimSun" w:hAnsi="Arial" w:cs="Arial"/>
                <w:color w:val="000000"/>
                <w:kern w:val="0"/>
                <w:u w:val="single"/>
                <w:lang w:val="en-GB" w:eastAsia="zh-CN"/>
              </w:rPr>
              <w:t>At Year</w:t>
            </w:r>
            <w:r w:rsidR="002649A1">
              <w:rPr>
                <w:rFonts w:ascii="Arial" w:eastAsia="SimSun" w:hAnsi="Arial" w:cs="Arial"/>
                <w:color w:val="000000"/>
                <w:kern w:val="0"/>
                <w:u w:val="single"/>
                <w:lang w:val="en-GB" w:eastAsia="zh-CN"/>
              </w:rPr>
              <w:t xml:space="preserve"> </w:t>
            </w:r>
            <w:r w:rsidR="00A63EDC" w:rsidRPr="000E2036">
              <w:rPr>
                <w:rFonts w:ascii="Arial" w:eastAsia="SimSun" w:hAnsi="Arial" w:cs="Arial"/>
                <w:color w:val="000000"/>
                <w:kern w:val="0"/>
                <w:u w:val="single"/>
                <w:lang w:val="en-GB" w:eastAsia="zh-CN"/>
              </w:rPr>
              <w:t>E</w:t>
            </w:r>
            <w:r w:rsidRPr="000E2036">
              <w:rPr>
                <w:rFonts w:ascii="Arial" w:eastAsia="SimSun" w:hAnsi="Arial" w:cs="Arial"/>
                <w:color w:val="000000"/>
                <w:kern w:val="0"/>
                <w:u w:val="single"/>
                <w:lang w:val="en-GB" w:eastAsia="zh-CN"/>
              </w:rPr>
              <w:t>nd:</w:t>
            </w:r>
          </w:p>
        </w:tc>
        <w:tc>
          <w:tcPr>
            <w:tcW w:w="1300" w:type="dxa"/>
            <w:tcBorders>
              <w:top w:val="nil"/>
              <w:left w:val="single" w:sz="4" w:space="0" w:color="auto"/>
              <w:bottom w:val="nil"/>
              <w:right w:val="single" w:sz="4" w:space="0" w:color="auto"/>
            </w:tcBorders>
            <w:shd w:val="clear" w:color="auto" w:fill="auto"/>
            <w:vAlign w:val="bottom"/>
            <w:hideMark/>
          </w:tcPr>
          <w:p w14:paraId="5F4D120E" w14:textId="61FB4845" w:rsidR="008E29C9" w:rsidRPr="000E2036" w:rsidRDefault="008E29C9" w:rsidP="008E29C9">
            <w:pPr>
              <w:jc w:val="right"/>
              <w:rPr>
                <w:rFonts w:ascii="Arial" w:eastAsia="SimSun" w:hAnsi="Arial" w:cs="Arial"/>
                <w:color w:val="000000"/>
                <w:kern w:val="0"/>
                <w:lang w:val="en-GB" w:eastAsia="zh-CN"/>
              </w:rPr>
            </w:pPr>
          </w:p>
        </w:tc>
        <w:tc>
          <w:tcPr>
            <w:tcW w:w="1300" w:type="dxa"/>
            <w:tcBorders>
              <w:top w:val="nil"/>
              <w:left w:val="nil"/>
              <w:bottom w:val="nil"/>
              <w:right w:val="single" w:sz="4" w:space="0" w:color="auto"/>
            </w:tcBorders>
            <w:shd w:val="clear" w:color="auto" w:fill="auto"/>
            <w:vAlign w:val="bottom"/>
            <w:hideMark/>
          </w:tcPr>
          <w:p w14:paraId="2ABA7E0D" w14:textId="0010771B" w:rsidR="008E29C9" w:rsidRPr="000E2036" w:rsidRDefault="008E29C9" w:rsidP="008E29C9">
            <w:pPr>
              <w:jc w:val="right"/>
              <w:rPr>
                <w:rFonts w:ascii="Arial" w:eastAsia="SimSun" w:hAnsi="Arial" w:cs="Arial"/>
                <w:color w:val="000000"/>
                <w:kern w:val="0"/>
                <w:lang w:val="en-GB" w:eastAsia="zh-CN"/>
              </w:rPr>
            </w:pPr>
          </w:p>
        </w:tc>
        <w:tc>
          <w:tcPr>
            <w:tcW w:w="1300" w:type="dxa"/>
            <w:tcBorders>
              <w:top w:val="nil"/>
              <w:left w:val="nil"/>
              <w:bottom w:val="nil"/>
              <w:right w:val="single" w:sz="4" w:space="0" w:color="auto"/>
            </w:tcBorders>
            <w:shd w:val="clear" w:color="auto" w:fill="auto"/>
            <w:vAlign w:val="bottom"/>
            <w:hideMark/>
          </w:tcPr>
          <w:p w14:paraId="4F827FD4" w14:textId="12B5F9D6" w:rsidR="008E29C9" w:rsidRPr="000E2036" w:rsidRDefault="008E29C9" w:rsidP="008E29C9">
            <w:pPr>
              <w:jc w:val="right"/>
              <w:rPr>
                <w:rFonts w:ascii="Arial" w:eastAsia="SimSun" w:hAnsi="Arial" w:cs="Arial"/>
                <w:color w:val="000000"/>
                <w:kern w:val="0"/>
                <w:lang w:val="en-GB" w:eastAsia="zh-CN"/>
              </w:rPr>
            </w:pPr>
          </w:p>
        </w:tc>
        <w:tc>
          <w:tcPr>
            <w:tcW w:w="1300" w:type="dxa"/>
            <w:tcBorders>
              <w:top w:val="nil"/>
              <w:left w:val="nil"/>
              <w:bottom w:val="nil"/>
              <w:right w:val="single" w:sz="4" w:space="0" w:color="auto"/>
            </w:tcBorders>
            <w:shd w:val="clear" w:color="auto" w:fill="auto"/>
            <w:vAlign w:val="bottom"/>
            <w:hideMark/>
          </w:tcPr>
          <w:p w14:paraId="5C6ED050" w14:textId="6A3E54F7" w:rsidR="008E29C9" w:rsidRPr="000E2036" w:rsidRDefault="008E29C9" w:rsidP="008E29C9">
            <w:pPr>
              <w:jc w:val="right"/>
              <w:rPr>
                <w:rFonts w:ascii="Arial" w:eastAsia="SimSun" w:hAnsi="Arial" w:cs="Arial"/>
                <w:color w:val="000000"/>
                <w:kern w:val="0"/>
                <w:lang w:val="en-GB" w:eastAsia="zh-CN"/>
              </w:rPr>
            </w:pPr>
          </w:p>
        </w:tc>
        <w:tc>
          <w:tcPr>
            <w:tcW w:w="1300" w:type="dxa"/>
            <w:tcBorders>
              <w:top w:val="nil"/>
              <w:left w:val="nil"/>
              <w:bottom w:val="nil"/>
              <w:right w:val="single" w:sz="4" w:space="0" w:color="auto"/>
            </w:tcBorders>
            <w:shd w:val="clear" w:color="auto" w:fill="auto"/>
            <w:vAlign w:val="bottom"/>
            <w:hideMark/>
          </w:tcPr>
          <w:p w14:paraId="223A8746" w14:textId="744E8780" w:rsidR="008E29C9" w:rsidRPr="000E2036" w:rsidRDefault="008E29C9" w:rsidP="008E29C9">
            <w:pPr>
              <w:jc w:val="right"/>
              <w:rPr>
                <w:rFonts w:ascii="Arial" w:eastAsia="SimSun" w:hAnsi="Arial" w:cs="Arial"/>
                <w:color w:val="000000"/>
                <w:kern w:val="0"/>
                <w:lang w:val="en-GB" w:eastAsia="zh-CN"/>
              </w:rPr>
            </w:pPr>
          </w:p>
        </w:tc>
      </w:tr>
      <w:tr w:rsidR="008E29C9" w:rsidRPr="000E2036" w14:paraId="17AB2C5E" w14:textId="77777777" w:rsidTr="008E29C9">
        <w:trPr>
          <w:trHeight w:val="240"/>
        </w:trPr>
        <w:tc>
          <w:tcPr>
            <w:tcW w:w="2580" w:type="dxa"/>
            <w:tcBorders>
              <w:top w:val="nil"/>
              <w:left w:val="single" w:sz="4" w:space="0" w:color="auto"/>
              <w:bottom w:val="nil"/>
              <w:right w:val="nil"/>
            </w:tcBorders>
            <w:shd w:val="clear" w:color="auto" w:fill="auto"/>
            <w:noWrap/>
            <w:vAlign w:val="bottom"/>
            <w:hideMark/>
          </w:tcPr>
          <w:p w14:paraId="33D39403" w14:textId="77777777" w:rsidR="008E29C9" w:rsidRPr="000E2036" w:rsidRDefault="008E29C9" w:rsidP="008E29C9">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Total Assets</w:t>
            </w:r>
          </w:p>
        </w:tc>
        <w:tc>
          <w:tcPr>
            <w:tcW w:w="1300" w:type="dxa"/>
            <w:tcBorders>
              <w:top w:val="nil"/>
              <w:left w:val="single" w:sz="4" w:space="0" w:color="auto"/>
              <w:bottom w:val="nil"/>
              <w:right w:val="single" w:sz="4" w:space="0" w:color="auto"/>
            </w:tcBorders>
            <w:shd w:val="clear" w:color="auto" w:fill="auto"/>
            <w:vAlign w:val="bottom"/>
            <w:hideMark/>
          </w:tcPr>
          <w:p w14:paraId="56E20DB5"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1,602,702</w:t>
            </w:r>
          </w:p>
        </w:tc>
        <w:tc>
          <w:tcPr>
            <w:tcW w:w="1300" w:type="dxa"/>
            <w:tcBorders>
              <w:top w:val="nil"/>
              <w:left w:val="nil"/>
              <w:bottom w:val="nil"/>
              <w:right w:val="single" w:sz="4" w:space="0" w:color="auto"/>
            </w:tcBorders>
            <w:shd w:val="clear" w:color="auto" w:fill="auto"/>
            <w:vAlign w:val="bottom"/>
            <w:hideMark/>
          </w:tcPr>
          <w:p w14:paraId="3934B1B2"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1,198,394</w:t>
            </w:r>
          </w:p>
        </w:tc>
        <w:tc>
          <w:tcPr>
            <w:tcW w:w="1300" w:type="dxa"/>
            <w:tcBorders>
              <w:top w:val="nil"/>
              <w:left w:val="nil"/>
              <w:bottom w:val="nil"/>
              <w:right w:val="single" w:sz="4" w:space="0" w:color="auto"/>
            </w:tcBorders>
            <w:shd w:val="clear" w:color="auto" w:fill="auto"/>
            <w:vAlign w:val="bottom"/>
            <w:hideMark/>
          </w:tcPr>
          <w:p w14:paraId="3591C472"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698,322</w:t>
            </w:r>
          </w:p>
        </w:tc>
        <w:tc>
          <w:tcPr>
            <w:tcW w:w="1300" w:type="dxa"/>
            <w:tcBorders>
              <w:top w:val="nil"/>
              <w:left w:val="nil"/>
              <w:bottom w:val="nil"/>
              <w:right w:val="single" w:sz="4" w:space="0" w:color="auto"/>
            </w:tcBorders>
            <w:shd w:val="clear" w:color="auto" w:fill="auto"/>
            <w:vAlign w:val="bottom"/>
            <w:hideMark/>
          </w:tcPr>
          <w:p w14:paraId="342A0788"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733,794</w:t>
            </w:r>
          </w:p>
        </w:tc>
        <w:tc>
          <w:tcPr>
            <w:tcW w:w="1300" w:type="dxa"/>
            <w:tcBorders>
              <w:top w:val="nil"/>
              <w:left w:val="nil"/>
              <w:bottom w:val="nil"/>
              <w:right w:val="single" w:sz="4" w:space="0" w:color="auto"/>
            </w:tcBorders>
            <w:shd w:val="clear" w:color="auto" w:fill="auto"/>
            <w:vAlign w:val="bottom"/>
            <w:hideMark/>
          </w:tcPr>
          <w:p w14:paraId="4B6FB623"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2,301,024</w:t>
            </w:r>
          </w:p>
        </w:tc>
      </w:tr>
      <w:tr w:rsidR="008E29C9" w:rsidRPr="000E2036" w14:paraId="33C40567" w14:textId="77777777" w:rsidTr="008E29C9">
        <w:trPr>
          <w:trHeight w:val="240"/>
        </w:trPr>
        <w:tc>
          <w:tcPr>
            <w:tcW w:w="2580" w:type="dxa"/>
            <w:tcBorders>
              <w:top w:val="nil"/>
              <w:left w:val="single" w:sz="4" w:space="0" w:color="auto"/>
              <w:bottom w:val="nil"/>
              <w:right w:val="nil"/>
            </w:tcBorders>
            <w:shd w:val="clear" w:color="auto" w:fill="auto"/>
            <w:noWrap/>
            <w:vAlign w:val="bottom"/>
            <w:hideMark/>
          </w:tcPr>
          <w:p w14:paraId="1CD1C8D9" w14:textId="26EC8623" w:rsidR="008E29C9" w:rsidRPr="000E2036" w:rsidRDefault="008E29C9" w:rsidP="00643336">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Total </w:t>
            </w:r>
            <w:r w:rsidR="002649A1" w:rsidRPr="000E2036">
              <w:rPr>
                <w:rFonts w:ascii="Arial" w:eastAsia="SimSun" w:hAnsi="Arial" w:cs="Arial"/>
                <w:color w:val="000000"/>
                <w:kern w:val="0"/>
                <w:lang w:val="en-GB" w:eastAsia="zh-CN"/>
              </w:rPr>
              <w:t>Shareholders</w:t>
            </w:r>
            <w:r w:rsidR="002649A1">
              <w:rPr>
                <w:rFonts w:ascii="Arial" w:eastAsia="SimSun" w:hAnsi="Arial" w:cs="Arial"/>
                <w:color w:val="000000"/>
                <w:kern w:val="0"/>
                <w:lang w:val="en-GB" w:eastAsia="zh-CN"/>
              </w:rPr>
              <w:t>’</w:t>
            </w:r>
            <w:r w:rsidR="002649A1" w:rsidRPr="000E2036">
              <w:rPr>
                <w:rFonts w:ascii="Arial" w:eastAsia="SimSun" w:hAnsi="Arial" w:cs="Arial"/>
                <w:color w:val="000000"/>
                <w:kern w:val="0"/>
                <w:lang w:val="en-GB" w:eastAsia="zh-CN"/>
              </w:rPr>
              <w:t xml:space="preserve"> </w:t>
            </w:r>
            <w:r w:rsidRPr="000E2036">
              <w:rPr>
                <w:rFonts w:ascii="Arial" w:eastAsia="SimSun" w:hAnsi="Arial" w:cs="Arial"/>
                <w:color w:val="000000"/>
                <w:kern w:val="0"/>
                <w:lang w:val="en-GB" w:eastAsia="zh-CN"/>
              </w:rPr>
              <w:t>Equity</w:t>
            </w:r>
          </w:p>
        </w:tc>
        <w:tc>
          <w:tcPr>
            <w:tcW w:w="1300" w:type="dxa"/>
            <w:tcBorders>
              <w:top w:val="nil"/>
              <w:left w:val="single" w:sz="4" w:space="0" w:color="auto"/>
              <w:bottom w:val="nil"/>
              <w:right w:val="single" w:sz="4" w:space="0" w:color="auto"/>
            </w:tcBorders>
            <w:shd w:val="clear" w:color="auto" w:fill="auto"/>
            <w:vAlign w:val="bottom"/>
            <w:hideMark/>
          </w:tcPr>
          <w:p w14:paraId="3712F73D"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314,319</w:t>
            </w:r>
          </w:p>
        </w:tc>
        <w:tc>
          <w:tcPr>
            <w:tcW w:w="1300" w:type="dxa"/>
            <w:tcBorders>
              <w:top w:val="nil"/>
              <w:left w:val="nil"/>
              <w:bottom w:val="nil"/>
              <w:right w:val="single" w:sz="4" w:space="0" w:color="auto"/>
            </w:tcBorders>
            <w:shd w:val="clear" w:color="auto" w:fill="auto"/>
            <w:vAlign w:val="bottom"/>
            <w:hideMark/>
          </w:tcPr>
          <w:p w14:paraId="6DA3A0CB"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237,132</w:t>
            </w:r>
          </w:p>
        </w:tc>
        <w:tc>
          <w:tcPr>
            <w:tcW w:w="1300" w:type="dxa"/>
            <w:tcBorders>
              <w:top w:val="nil"/>
              <w:left w:val="nil"/>
              <w:bottom w:val="nil"/>
              <w:right w:val="single" w:sz="4" w:space="0" w:color="auto"/>
            </w:tcBorders>
            <w:shd w:val="clear" w:color="auto" w:fill="auto"/>
            <w:vAlign w:val="bottom"/>
            <w:hideMark/>
          </w:tcPr>
          <w:p w14:paraId="395C9072"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13,986</w:t>
            </w:r>
          </w:p>
        </w:tc>
        <w:tc>
          <w:tcPr>
            <w:tcW w:w="1300" w:type="dxa"/>
            <w:tcBorders>
              <w:top w:val="nil"/>
              <w:left w:val="nil"/>
              <w:bottom w:val="nil"/>
              <w:right w:val="single" w:sz="4" w:space="0" w:color="auto"/>
            </w:tcBorders>
            <w:shd w:val="clear" w:color="auto" w:fill="auto"/>
            <w:vAlign w:val="bottom"/>
            <w:hideMark/>
          </w:tcPr>
          <w:p w14:paraId="2F1E3344"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41,350</w:t>
            </w:r>
          </w:p>
        </w:tc>
        <w:tc>
          <w:tcPr>
            <w:tcW w:w="1300" w:type="dxa"/>
            <w:tcBorders>
              <w:top w:val="nil"/>
              <w:left w:val="nil"/>
              <w:bottom w:val="nil"/>
              <w:right w:val="single" w:sz="4" w:space="0" w:color="auto"/>
            </w:tcBorders>
            <w:shd w:val="clear" w:color="auto" w:fill="auto"/>
            <w:vAlign w:val="bottom"/>
            <w:hideMark/>
          </w:tcPr>
          <w:p w14:paraId="34A186FA"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328,305</w:t>
            </w:r>
          </w:p>
        </w:tc>
      </w:tr>
      <w:tr w:rsidR="008E29C9" w:rsidRPr="000E2036" w14:paraId="52213199" w14:textId="77777777" w:rsidTr="008E29C9">
        <w:trPr>
          <w:trHeight w:val="240"/>
        </w:trPr>
        <w:tc>
          <w:tcPr>
            <w:tcW w:w="2580" w:type="dxa"/>
            <w:tcBorders>
              <w:top w:val="nil"/>
              <w:left w:val="single" w:sz="4" w:space="0" w:color="auto"/>
              <w:bottom w:val="single" w:sz="4" w:space="0" w:color="auto"/>
              <w:right w:val="nil"/>
            </w:tcBorders>
            <w:shd w:val="clear" w:color="auto" w:fill="auto"/>
            <w:noWrap/>
            <w:vAlign w:val="bottom"/>
            <w:hideMark/>
          </w:tcPr>
          <w:p w14:paraId="02101F6E" w14:textId="3B3AFA12" w:rsidR="008E29C9" w:rsidRPr="000E2036" w:rsidRDefault="008E29C9" w:rsidP="008E29C9">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Interest-</w:t>
            </w:r>
            <w:r w:rsidR="00A63EDC" w:rsidRPr="000E2036">
              <w:rPr>
                <w:rFonts w:ascii="Arial" w:eastAsia="SimSun" w:hAnsi="Arial" w:cs="Arial"/>
                <w:color w:val="000000"/>
                <w:kern w:val="0"/>
                <w:lang w:val="en-GB" w:eastAsia="zh-CN"/>
              </w:rPr>
              <w:t>B</w:t>
            </w:r>
            <w:r w:rsidRPr="000E2036">
              <w:rPr>
                <w:rFonts w:ascii="Arial" w:eastAsia="SimSun" w:hAnsi="Arial" w:cs="Arial"/>
                <w:color w:val="000000"/>
                <w:kern w:val="0"/>
                <w:lang w:val="en-GB" w:eastAsia="zh-CN"/>
              </w:rPr>
              <w:t xml:space="preserve">earing </w:t>
            </w:r>
            <w:r w:rsidR="00BE7E94" w:rsidRPr="000E2036">
              <w:rPr>
                <w:rFonts w:ascii="Arial" w:eastAsia="SimSun" w:hAnsi="Arial" w:cs="Arial"/>
                <w:color w:val="000000"/>
                <w:kern w:val="0"/>
                <w:lang w:val="en-GB" w:eastAsia="zh-CN"/>
              </w:rPr>
              <w:t>Liabilities</w:t>
            </w:r>
            <w:r w:rsidRPr="000E2036">
              <w:rPr>
                <w:rFonts w:ascii="Arial" w:eastAsia="SimSun" w:hAnsi="Arial" w:cs="Arial"/>
                <w:color w:val="000000"/>
                <w:kern w:val="0"/>
                <w:lang w:val="en-GB" w:eastAsia="zh-CN"/>
              </w:rPr>
              <w:t xml:space="preserve"> </w:t>
            </w:r>
          </w:p>
        </w:tc>
        <w:tc>
          <w:tcPr>
            <w:tcW w:w="1300" w:type="dxa"/>
            <w:tcBorders>
              <w:top w:val="nil"/>
              <w:left w:val="single" w:sz="4" w:space="0" w:color="auto"/>
              <w:bottom w:val="single" w:sz="4" w:space="0" w:color="auto"/>
              <w:right w:val="single" w:sz="4" w:space="0" w:color="auto"/>
            </w:tcBorders>
            <w:shd w:val="clear" w:color="auto" w:fill="auto"/>
            <w:vAlign w:val="bottom"/>
            <w:hideMark/>
          </w:tcPr>
          <w:p w14:paraId="3F927EBA"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508,895</w:t>
            </w:r>
          </w:p>
        </w:tc>
        <w:tc>
          <w:tcPr>
            <w:tcW w:w="1300" w:type="dxa"/>
            <w:tcBorders>
              <w:top w:val="nil"/>
              <w:left w:val="nil"/>
              <w:bottom w:val="single" w:sz="4" w:space="0" w:color="auto"/>
              <w:right w:val="single" w:sz="4" w:space="0" w:color="auto"/>
            </w:tcBorders>
            <w:shd w:val="clear" w:color="auto" w:fill="auto"/>
            <w:vAlign w:val="bottom"/>
            <w:hideMark/>
          </w:tcPr>
          <w:p w14:paraId="72146F26"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389,332</w:t>
            </w:r>
          </w:p>
        </w:tc>
        <w:tc>
          <w:tcPr>
            <w:tcW w:w="1300" w:type="dxa"/>
            <w:tcBorders>
              <w:top w:val="nil"/>
              <w:left w:val="nil"/>
              <w:bottom w:val="single" w:sz="4" w:space="0" w:color="auto"/>
              <w:right w:val="single" w:sz="4" w:space="0" w:color="auto"/>
            </w:tcBorders>
            <w:shd w:val="clear" w:color="auto" w:fill="auto"/>
            <w:vAlign w:val="bottom"/>
            <w:hideMark/>
          </w:tcPr>
          <w:p w14:paraId="14F903E3"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393,365</w:t>
            </w:r>
          </w:p>
        </w:tc>
        <w:tc>
          <w:tcPr>
            <w:tcW w:w="1300" w:type="dxa"/>
            <w:tcBorders>
              <w:top w:val="nil"/>
              <w:left w:val="nil"/>
              <w:bottom w:val="single" w:sz="4" w:space="0" w:color="auto"/>
              <w:right w:val="single" w:sz="4" w:space="0" w:color="auto"/>
            </w:tcBorders>
            <w:shd w:val="clear" w:color="auto" w:fill="auto"/>
            <w:vAlign w:val="bottom"/>
            <w:hideMark/>
          </w:tcPr>
          <w:p w14:paraId="3016D157"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438,766</w:t>
            </w:r>
          </w:p>
        </w:tc>
        <w:tc>
          <w:tcPr>
            <w:tcW w:w="1300" w:type="dxa"/>
            <w:tcBorders>
              <w:top w:val="nil"/>
              <w:left w:val="nil"/>
              <w:bottom w:val="single" w:sz="4" w:space="0" w:color="auto"/>
              <w:right w:val="single" w:sz="4" w:space="0" w:color="auto"/>
            </w:tcBorders>
            <w:shd w:val="clear" w:color="auto" w:fill="auto"/>
            <w:vAlign w:val="bottom"/>
            <w:hideMark/>
          </w:tcPr>
          <w:p w14:paraId="7669C115" w14:textId="77777777" w:rsidR="008E29C9" w:rsidRPr="000E2036" w:rsidRDefault="008E29C9" w:rsidP="008E29C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902,260</w:t>
            </w:r>
          </w:p>
        </w:tc>
      </w:tr>
    </w:tbl>
    <w:p w14:paraId="53228BA2" w14:textId="77777777" w:rsidR="00FC4FA5" w:rsidRPr="000E2036" w:rsidRDefault="00FC4FA5" w:rsidP="00F07535">
      <w:pPr>
        <w:autoSpaceDE w:val="0"/>
        <w:autoSpaceDN w:val="0"/>
        <w:adjustRightInd w:val="0"/>
        <w:spacing w:line="200" w:lineRule="exact"/>
        <w:rPr>
          <w:rFonts w:ascii="Arial" w:hAnsi="Arial" w:cs="Arial"/>
          <w:b/>
          <w:caps/>
          <w:lang w:val="en-GB" w:eastAsia="zh-CN"/>
        </w:rPr>
      </w:pPr>
    </w:p>
    <w:p w14:paraId="2A927AB5" w14:textId="7C234F17" w:rsidR="00AF7B9D" w:rsidRPr="000E2036" w:rsidRDefault="00AF7B9D" w:rsidP="005B2C1A">
      <w:pPr>
        <w:jc w:val="both"/>
        <w:rPr>
          <w:rFonts w:ascii="Arial" w:hAnsi="Arial" w:cs="Arial"/>
          <w:sz w:val="17"/>
          <w:szCs w:val="17"/>
          <w:lang w:val="en-GB"/>
        </w:rPr>
      </w:pPr>
      <w:r w:rsidRPr="000E2036">
        <w:rPr>
          <w:rFonts w:ascii="Arial" w:hAnsi="Arial" w:cs="Arial"/>
          <w:sz w:val="17"/>
          <w:szCs w:val="17"/>
          <w:lang w:val="en-GB"/>
        </w:rPr>
        <w:t>Note: ¥ = Japanese yen; US$1</w:t>
      </w:r>
      <w:r w:rsidR="002649A1">
        <w:rPr>
          <w:rFonts w:ascii="Arial" w:hAnsi="Arial" w:cs="Arial"/>
          <w:sz w:val="17"/>
          <w:szCs w:val="17"/>
          <w:lang w:val="en-GB"/>
        </w:rPr>
        <w:t>.00</w:t>
      </w:r>
      <w:r w:rsidRPr="000E2036">
        <w:rPr>
          <w:rFonts w:ascii="Arial" w:hAnsi="Arial" w:cs="Arial"/>
          <w:sz w:val="17"/>
          <w:szCs w:val="17"/>
          <w:lang w:val="en-GB"/>
        </w:rPr>
        <w:t xml:space="preserve"> = ¥114.37 on December 1, 2016</w:t>
      </w:r>
      <w:r w:rsidR="002649A1">
        <w:rPr>
          <w:rFonts w:ascii="Arial" w:hAnsi="Arial" w:cs="Arial"/>
          <w:sz w:val="17"/>
          <w:szCs w:val="17"/>
          <w:lang w:val="en-GB"/>
        </w:rPr>
        <w:t>.</w:t>
      </w:r>
    </w:p>
    <w:p w14:paraId="5CCD97E4" w14:textId="5AE2A150" w:rsidR="00895412" w:rsidRPr="000E2036" w:rsidRDefault="00FE12F7" w:rsidP="002649A1">
      <w:pPr>
        <w:jc w:val="both"/>
        <w:rPr>
          <w:rFonts w:ascii="Arial" w:hAnsi="Arial" w:cs="Arial"/>
          <w:sz w:val="17"/>
          <w:szCs w:val="17"/>
          <w:lang w:val="en-GB"/>
        </w:rPr>
      </w:pPr>
      <w:r w:rsidRPr="000E2036">
        <w:rPr>
          <w:rFonts w:ascii="Arial" w:hAnsi="Arial" w:cs="Arial"/>
          <w:sz w:val="17"/>
          <w:szCs w:val="17"/>
          <w:lang w:val="en-GB"/>
        </w:rPr>
        <w:t xml:space="preserve">Source: </w:t>
      </w:r>
      <w:r w:rsidR="0037758B" w:rsidRPr="000E2036">
        <w:rPr>
          <w:rFonts w:ascii="Arial" w:hAnsi="Arial" w:cs="Arial"/>
          <w:sz w:val="17"/>
          <w:szCs w:val="17"/>
          <w:lang w:val="en-GB"/>
        </w:rPr>
        <w:t>Created by the case authors based on</w:t>
      </w:r>
      <w:r w:rsidR="0013420B" w:rsidRPr="000E2036">
        <w:rPr>
          <w:rFonts w:ascii="Arial" w:hAnsi="Arial" w:cs="Arial"/>
          <w:sz w:val="17"/>
          <w:szCs w:val="17"/>
          <w:lang w:val="en-GB"/>
        </w:rPr>
        <w:t xml:space="preserve"> </w:t>
      </w:r>
      <w:r w:rsidR="00FC4FA5" w:rsidRPr="000E2036">
        <w:rPr>
          <w:rFonts w:ascii="Arial" w:hAnsi="Arial" w:cs="Arial"/>
          <w:sz w:val="17"/>
          <w:szCs w:val="17"/>
          <w:lang w:val="en-GB"/>
        </w:rPr>
        <w:t>Toyota Tsusho</w:t>
      </w:r>
      <w:r w:rsidR="006E7357" w:rsidRPr="000E2036">
        <w:rPr>
          <w:rFonts w:ascii="Arial" w:hAnsi="Arial" w:cs="Arial"/>
          <w:sz w:val="17"/>
          <w:szCs w:val="17"/>
          <w:lang w:val="en-GB"/>
        </w:rPr>
        <w:t xml:space="preserve"> Corporation,</w:t>
      </w:r>
      <w:r w:rsidR="00FC4FA5" w:rsidRPr="000E2036">
        <w:rPr>
          <w:rFonts w:ascii="Arial" w:hAnsi="Arial" w:cs="Arial"/>
          <w:sz w:val="17"/>
          <w:szCs w:val="17"/>
          <w:lang w:val="en-GB"/>
        </w:rPr>
        <w:t xml:space="preserve"> </w:t>
      </w:r>
      <w:r w:rsidR="002649A1" w:rsidRPr="00C11717">
        <w:rPr>
          <w:rFonts w:ascii="Arial" w:hAnsi="Arial" w:cs="Arial"/>
          <w:i/>
          <w:sz w:val="17"/>
          <w:szCs w:val="17"/>
          <w:lang w:val="en-GB"/>
        </w:rPr>
        <w:t>Where New Value Takes Shape:</w:t>
      </w:r>
      <w:r w:rsidR="002649A1" w:rsidRPr="002649A1">
        <w:rPr>
          <w:rFonts w:ascii="Arial" w:hAnsi="Arial" w:cs="Arial"/>
          <w:i/>
          <w:sz w:val="17"/>
          <w:szCs w:val="17"/>
          <w:lang w:val="en-GB"/>
        </w:rPr>
        <w:t xml:space="preserve"> </w:t>
      </w:r>
      <w:r w:rsidR="00FC4FA5" w:rsidRPr="002C1C44">
        <w:rPr>
          <w:rFonts w:ascii="Arial" w:hAnsi="Arial" w:cs="Arial"/>
          <w:i/>
          <w:sz w:val="17"/>
          <w:szCs w:val="17"/>
          <w:lang w:val="en-GB"/>
        </w:rPr>
        <w:t>Annual Report</w:t>
      </w:r>
      <w:r w:rsidR="006E7357" w:rsidRPr="002C1C44">
        <w:rPr>
          <w:rFonts w:ascii="Arial" w:hAnsi="Arial" w:cs="Arial"/>
          <w:i/>
          <w:sz w:val="17"/>
          <w:szCs w:val="17"/>
          <w:lang w:val="en-GB"/>
        </w:rPr>
        <w:t xml:space="preserve"> 2006</w:t>
      </w:r>
      <w:r w:rsidR="002649A1" w:rsidRPr="000E2036">
        <w:rPr>
          <w:rFonts w:ascii="Arial" w:hAnsi="Arial" w:cs="Arial"/>
          <w:sz w:val="17"/>
          <w:szCs w:val="17"/>
          <w:lang w:val="en-GB"/>
        </w:rPr>
        <w:t>, 6</w:t>
      </w:r>
      <w:r w:rsidR="00FC4FA5" w:rsidRPr="000E2036">
        <w:rPr>
          <w:rFonts w:ascii="Arial" w:hAnsi="Arial" w:cs="Arial"/>
          <w:sz w:val="17"/>
          <w:szCs w:val="17"/>
          <w:lang w:val="en-GB"/>
        </w:rPr>
        <w:t xml:space="preserve">, accessed </w:t>
      </w:r>
      <w:r w:rsidR="005A642D" w:rsidRPr="000E2036">
        <w:rPr>
          <w:rFonts w:ascii="Arial" w:hAnsi="Arial" w:cs="Arial"/>
          <w:sz w:val="17"/>
          <w:szCs w:val="17"/>
          <w:lang w:val="en-GB"/>
        </w:rPr>
        <w:t>September 19</w:t>
      </w:r>
      <w:r w:rsidR="00FC4FA5" w:rsidRPr="000E2036">
        <w:rPr>
          <w:rFonts w:ascii="Arial" w:hAnsi="Arial" w:cs="Arial"/>
          <w:sz w:val="17"/>
          <w:szCs w:val="17"/>
          <w:lang w:val="en-GB"/>
        </w:rPr>
        <w:t>, 2017, www.toyota-tsusho.com/english/ir/pdf/library/integrated-report/detailobj-465-datafile.pdf.</w:t>
      </w:r>
    </w:p>
    <w:p w14:paraId="45E3FDA4" w14:textId="77777777" w:rsidR="00D67A99" w:rsidRPr="000E2036" w:rsidRDefault="00D67A99" w:rsidP="00E8070D">
      <w:pPr>
        <w:pStyle w:val="BodyTextMain"/>
        <w:rPr>
          <w:lang w:val="en-GB"/>
        </w:rPr>
      </w:pPr>
    </w:p>
    <w:p w14:paraId="456BF1F9" w14:textId="77777777" w:rsidR="00EE7B51" w:rsidRPr="000E2036" w:rsidRDefault="00EE7B51" w:rsidP="00E8070D">
      <w:pPr>
        <w:pStyle w:val="BodyTextMain"/>
        <w:rPr>
          <w:lang w:val="en-GB"/>
        </w:rPr>
      </w:pPr>
    </w:p>
    <w:p w14:paraId="4FC1FB3C" w14:textId="312C9719" w:rsidR="004E5B49" w:rsidRPr="000E2036" w:rsidRDefault="004E5B49" w:rsidP="002723AF">
      <w:pPr>
        <w:pStyle w:val="ExhibitHeading"/>
        <w:rPr>
          <w:lang w:val="en-GB" w:eastAsia="zh-CN"/>
        </w:rPr>
      </w:pPr>
      <w:r w:rsidRPr="000E2036">
        <w:rPr>
          <w:lang w:val="en-GB" w:eastAsia="zh-CN"/>
        </w:rPr>
        <w:t>Exhibit 2:</w:t>
      </w:r>
      <w:r w:rsidR="00067E57" w:rsidRPr="000E2036">
        <w:rPr>
          <w:lang w:val="en-GB" w:eastAsia="zh-CN"/>
        </w:rPr>
        <w:t xml:space="preserve"> TOYOTA TSUSHO</w:t>
      </w:r>
      <w:r w:rsidR="00AF7B9D" w:rsidRPr="000E2036">
        <w:rPr>
          <w:lang w:val="en-GB" w:eastAsia="zh-CN"/>
        </w:rPr>
        <w:t xml:space="preserve"> Corporation</w:t>
      </w:r>
      <w:r w:rsidR="00067E57" w:rsidRPr="000E2036">
        <w:rPr>
          <w:lang w:val="en-GB" w:eastAsia="zh-CN"/>
        </w:rPr>
        <w:t>’S AFRICAN OPERATIONS</w:t>
      </w:r>
    </w:p>
    <w:p w14:paraId="5FCFFE2B" w14:textId="77777777" w:rsidR="004E5B49" w:rsidRPr="000E2036" w:rsidRDefault="004E5B49" w:rsidP="00E8070D">
      <w:pPr>
        <w:pStyle w:val="BodyTextMain"/>
        <w:rPr>
          <w:lang w:val="en-GB"/>
        </w:rPr>
      </w:pPr>
    </w:p>
    <w:tbl>
      <w:tblPr>
        <w:tblW w:w="9180" w:type="dxa"/>
        <w:jc w:val="center"/>
        <w:tblLook w:val="04A0" w:firstRow="1" w:lastRow="0" w:firstColumn="1" w:lastColumn="0" w:noHBand="0" w:noVBand="1"/>
      </w:tblPr>
      <w:tblGrid>
        <w:gridCol w:w="3060"/>
        <w:gridCol w:w="3060"/>
        <w:gridCol w:w="3060"/>
      </w:tblGrid>
      <w:tr w:rsidR="00DD0126" w:rsidRPr="000E2036" w14:paraId="704633F9" w14:textId="77777777" w:rsidTr="002723AF">
        <w:trPr>
          <w:trHeight w:val="240"/>
          <w:jc w:val="center"/>
        </w:trPr>
        <w:tc>
          <w:tcPr>
            <w:tcW w:w="3060" w:type="dxa"/>
            <w:tcBorders>
              <w:top w:val="single" w:sz="4" w:space="0" w:color="auto"/>
              <w:left w:val="single" w:sz="4" w:space="0" w:color="auto"/>
              <w:bottom w:val="single" w:sz="4" w:space="0" w:color="auto"/>
              <w:right w:val="single" w:sz="4" w:space="0" w:color="auto"/>
            </w:tcBorders>
            <w:shd w:val="clear" w:color="auto" w:fill="auto"/>
            <w:hideMark/>
          </w:tcPr>
          <w:p w14:paraId="0DFEBE5D" w14:textId="77777777" w:rsidR="00DD0126" w:rsidRPr="00643336" w:rsidRDefault="00DD0126" w:rsidP="00DD0126">
            <w:pPr>
              <w:jc w:val="center"/>
              <w:rPr>
                <w:rFonts w:ascii="Arial" w:eastAsia="SimSun" w:hAnsi="Arial" w:cs="Arial"/>
                <w:b/>
                <w:color w:val="000000"/>
                <w:kern w:val="0"/>
                <w:lang w:val="en-GB" w:eastAsia="zh-CN"/>
              </w:rPr>
            </w:pPr>
            <w:r w:rsidRPr="00643336">
              <w:rPr>
                <w:rFonts w:ascii="Arial" w:eastAsia="SimSun" w:hAnsi="Arial" w:cs="Arial"/>
                <w:b/>
                <w:color w:val="000000"/>
                <w:kern w:val="0"/>
                <w:lang w:val="en-GB" w:eastAsia="zh-CN"/>
              </w:rPr>
              <w:t>Northern Africa</w:t>
            </w:r>
          </w:p>
        </w:tc>
        <w:tc>
          <w:tcPr>
            <w:tcW w:w="3060" w:type="dxa"/>
            <w:tcBorders>
              <w:top w:val="single" w:sz="4" w:space="0" w:color="auto"/>
              <w:left w:val="nil"/>
              <w:bottom w:val="single" w:sz="4" w:space="0" w:color="auto"/>
              <w:right w:val="single" w:sz="4" w:space="0" w:color="auto"/>
            </w:tcBorders>
            <w:shd w:val="clear" w:color="auto" w:fill="auto"/>
            <w:hideMark/>
          </w:tcPr>
          <w:p w14:paraId="00D9A212" w14:textId="77777777" w:rsidR="00DD0126" w:rsidRPr="00643336" w:rsidRDefault="00DD0126" w:rsidP="00DD0126">
            <w:pPr>
              <w:jc w:val="center"/>
              <w:rPr>
                <w:rFonts w:ascii="Arial" w:eastAsia="SimSun" w:hAnsi="Arial" w:cs="Arial"/>
                <w:b/>
                <w:color w:val="000000"/>
                <w:kern w:val="0"/>
                <w:lang w:val="en-GB" w:eastAsia="zh-CN"/>
              </w:rPr>
            </w:pPr>
            <w:r w:rsidRPr="00643336">
              <w:rPr>
                <w:rFonts w:ascii="Arial" w:eastAsia="SimSun" w:hAnsi="Arial" w:cs="Arial"/>
                <w:b/>
                <w:color w:val="000000"/>
                <w:kern w:val="0"/>
                <w:lang w:val="en-GB" w:eastAsia="zh-CN"/>
              </w:rPr>
              <w:t>Eastern Africa</w:t>
            </w:r>
          </w:p>
        </w:tc>
        <w:tc>
          <w:tcPr>
            <w:tcW w:w="3060" w:type="dxa"/>
            <w:tcBorders>
              <w:top w:val="single" w:sz="4" w:space="0" w:color="auto"/>
              <w:left w:val="nil"/>
              <w:bottom w:val="single" w:sz="4" w:space="0" w:color="auto"/>
              <w:right w:val="single" w:sz="4" w:space="0" w:color="auto"/>
            </w:tcBorders>
            <w:shd w:val="clear" w:color="auto" w:fill="auto"/>
            <w:hideMark/>
          </w:tcPr>
          <w:p w14:paraId="382B4D6E" w14:textId="77777777" w:rsidR="00DD0126" w:rsidRPr="002649A1" w:rsidRDefault="00DD0126" w:rsidP="00DD0126">
            <w:pPr>
              <w:jc w:val="center"/>
              <w:rPr>
                <w:rFonts w:ascii="Arial" w:eastAsia="SimSun" w:hAnsi="Arial" w:cs="Arial"/>
                <w:b/>
                <w:color w:val="000000"/>
                <w:kern w:val="0"/>
                <w:lang w:val="en-GB" w:eastAsia="zh-CN"/>
              </w:rPr>
            </w:pPr>
            <w:r w:rsidRPr="002649A1">
              <w:rPr>
                <w:rFonts w:ascii="Arial" w:eastAsia="SimSun" w:hAnsi="Arial" w:cs="Arial"/>
                <w:b/>
                <w:color w:val="000000"/>
                <w:kern w:val="0"/>
                <w:lang w:val="en-GB" w:eastAsia="zh-CN"/>
              </w:rPr>
              <w:t>Southern Africa</w:t>
            </w:r>
          </w:p>
        </w:tc>
      </w:tr>
      <w:tr w:rsidR="00DD0126" w:rsidRPr="000E2036" w14:paraId="2D8449E0" w14:textId="77777777" w:rsidTr="002723AF">
        <w:trPr>
          <w:trHeight w:val="240"/>
          <w:jc w:val="center"/>
        </w:trPr>
        <w:tc>
          <w:tcPr>
            <w:tcW w:w="3060" w:type="dxa"/>
            <w:tcBorders>
              <w:top w:val="nil"/>
              <w:left w:val="single" w:sz="4" w:space="0" w:color="auto"/>
              <w:bottom w:val="nil"/>
              <w:right w:val="single" w:sz="4" w:space="0" w:color="auto"/>
            </w:tcBorders>
            <w:shd w:val="clear" w:color="auto" w:fill="auto"/>
            <w:hideMark/>
          </w:tcPr>
          <w:p w14:paraId="5044D9E8" w14:textId="77777777" w:rsidR="00DD0126" w:rsidRPr="00643336" w:rsidRDefault="00DD0126" w:rsidP="00DD0126">
            <w:pPr>
              <w:rPr>
                <w:rFonts w:ascii="Arial" w:eastAsia="SimSun" w:hAnsi="Arial" w:cs="Arial"/>
                <w:color w:val="000000"/>
                <w:kern w:val="0"/>
                <w:u w:val="single"/>
                <w:lang w:val="en-GB" w:eastAsia="zh-CN"/>
              </w:rPr>
            </w:pPr>
            <w:r w:rsidRPr="00643336">
              <w:rPr>
                <w:rFonts w:ascii="Arial" w:eastAsia="SimSun" w:hAnsi="Arial" w:cs="Arial"/>
                <w:color w:val="000000"/>
                <w:kern w:val="0"/>
                <w:u w:val="single"/>
                <w:lang w:val="en-GB" w:eastAsia="zh-CN"/>
              </w:rPr>
              <w:t>Automotive Business:</w:t>
            </w:r>
          </w:p>
        </w:tc>
        <w:tc>
          <w:tcPr>
            <w:tcW w:w="3060" w:type="dxa"/>
            <w:tcBorders>
              <w:top w:val="nil"/>
              <w:left w:val="nil"/>
              <w:bottom w:val="nil"/>
              <w:right w:val="single" w:sz="4" w:space="0" w:color="auto"/>
            </w:tcBorders>
            <w:shd w:val="clear" w:color="auto" w:fill="auto"/>
            <w:hideMark/>
          </w:tcPr>
          <w:p w14:paraId="7C687C42" w14:textId="77777777" w:rsidR="00DD0126" w:rsidRPr="00643336" w:rsidRDefault="00DD0126" w:rsidP="00DD0126">
            <w:pPr>
              <w:rPr>
                <w:rFonts w:ascii="Arial" w:eastAsia="SimSun" w:hAnsi="Arial" w:cs="Arial"/>
                <w:color w:val="000000"/>
                <w:kern w:val="0"/>
                <w:u w:val="single"/>
                <w:lang w:val="en-GB" w:eastAsia="zh-CN"/>
              </w:rPr>
            </w:pPr>
            <w:r w:rsidRPr="00643336">
              <w:rPr>
                <w:rFonts w:ascii="Arial" w:eastAsia="SimSun" w:hAnsi="Arial" w:cs="Arial"/>
                <w:color w:val="000000"/>
                <w:kern w:val="0"/>
                <w:u w:val="single"/>
                <w:lang w:val="en-GB" w:eastAsia="zh-CN"/>
              </w:rPr>
              <w:t>Automotive Business:</w:t>
            </w:r>
          </w:p>
        </w:tc>
        <w:tc>
          <w:tcPr>
            <w:tcW w:w="3060" w:type="dxa"/>
            <w:tcBorders>
              <w:top w:val="nil"/>
              <w:left w:val="nil"/>
              <w:bottom w:val="nil"/>
              <w:right w:val="single" w:sz="4" w:space="0" w:color="auto"/>
            </w:tcBorders>
            <w:shd w:val="clear" w:color="auto" w:fill="auto"/>
            <w:hideMark/>
          </w:tcPr>
          <w:p w14:paraId="4F73EE28" w14:textId="77777777" w:rsidR="00DD0126" w:rsidRPr="00643336" w:rsidRDefault="00DD0126" w:rsidP="00DD0126">
            <w:pPr>
              <w:rPr>
                <w:rFonts w:ascii="Arial" w:eastAsia="SimSun" w:hAnsi="Arial" w:cs="Arial"/>
                <w:color w:val="000000"/>
                <w:kern w:val="0"/>
                <w:u w:val="single"/>
                <w:lang w:val="en-GB" w:eastAsia="zh-CN"/>
              </w:rPr>
            </w:pPr>
            <w:r w:rsidRPr="00643336">
              <w:rPr>
                <w:rFonts w:ascii="Arial" w:eastAsia="SimSun" w:hAnsi="Arial" w:cs="Arial"/>
                <w:color w:val="000000"/>
                <w:kern w:val="0"/>
                <w:u w:val="single"/>
                <w:lang w:val="en-GB" w:eastAsia="zh-CN"/>
              </w:rPr>
              <w:t>Automotive Business:</w:t>
            </w:r>
          </w:p>
        </w:tc>
      </w:tr>
      <w:tr w:rsidR="002723AF" w:rsidRPr="000E2036" w14:paraId="5A8E091E" w14:textId="77777777" w:rsidTr="002723AF">
        <w:trPr>
          <w:trHeight w:val="1880"/>
          <w:jc w:val="center"/>
        </w:trPr>
        <w:tc>
          <w:tcPr>
            <w:tcW w:w="3060" w:type="dxa"/>
            <w:tcBorders>
              <w:top w:val="nil"/>
              <w:left w:val="single" w:sz="4" w:space="0" w:color="auto"/>
              <w:right w:val="single" w:sz="4" w:space="0" w:color="auto"/>
            </w:tcBorders>
            <w:shd w:val="clear" w:color="auto" w:fill="auto"/>
            <w:hideMark/>
          </w:tcPr>
          <w:p w14:paraId="4712EBF1" w14:textId="77777777" w:rsidR="002723AF" w:rsidRPr="00C11717" w:rsidRDefault="002723AF" w:rsidP="002723AF">
            <w:pPr>
              <w:pStyle w:val="ListParagraph"/>
              <w:numPr>
                <w:ilvl w:val="0"/>
                <w:numId w:val="45"/>
              </w:numPr>
              <w:rPr>
                <w:rFonts w:ascii="Arial" w:eastAsia="SimSun" w:hAnsi="Arial" w:cs="Arial"/>
                <w:color w:val="000000"/>
                <w:kern w:val="0"/>
                <w:sz w:val="20"/>
                <w:szCs w:val="20"/>
                <w:lang w:val="en-GB" w:eastAsia="zh-CN"/>
              </w:rPr>
            </w:pPr>
            <w:r w:rsidRPr="00C11717">
              <w:rPr>
                <w:rFonts w:ascii="Arial" w:eastAsia="SimSun" w:hAnsi="Arial" w:cs="Arial"/>
                <w:color w:val="000000"/>
                <w:kern w:val="0"/>
                <w:sz w:val="20"/>
                <w:szCs w:val="20"/>
                <w:lang w:val="en-GB" w:eastAsia="zh-CN"/>
              </w:rPr>
              <w:t>CKD business</w:t>
            </w:r>
          </w:p>
        </w:tc>
        <w:tc>
          <w:tcPr>
            <w:tcW w:w="3060" w:type="dxa"/>
            <w:tcBorders>
              <w:top w:val="nil"/>
              <w:left w:val="nil"/>
              <w:right w:val="single" w:sz="4" w:space="0" w:color="auto"/>
            </w:tcBorders>
            <w:shd w:val="clear" w:color="auto" w:fill="auto"/>
            <w:hideMark/>
          </w:tcPr>
          <w:p w14:paraId="3BF26706" w14:textId="77777777" w:rsidR="002723AF" w:rsidRPr="00643336" w:rsidRDefault="002723AF" w:rsidP="002723AF">
            <w:pPr>
              <w:pStyle w:val="ListParagraph"/>
              <w:numPr>
                <w:ilvl w:val="0"/>
                <w:numId w:val="46"/>
              </w:numPr>
              <w:jc w:val="left"/>
              <w:rPr>
                <w:rFonts w:ascii="Arial" w:eastAsia="SimSun" w:hAnsi="Arial" w:cs="Arial"/>
                <w:color w:val="000000"/>
                <w:kern w:val="0"/>
                <w:sz w:val="20"/>
                <w:szCs w:val="20"/>
                <w:lang w:val="en-GB" w:eastAsia="zh-CN"/>
              </w:rPr>
            </w:pPr>
            <w:r w:rsidRPr="00643336">
              <w:rPr>
                <w:rFonts w:ascii="Arial" w:eastAsia="SimSun" w:hAnsi="Arial" w:cs="Arial"/>
                <w:color w:val="000000"/>
                <w:kern w:val="0"/>
                <w:sz w:val="20"/>
                <w:szCs w:val="20"/>
                <w:lang w:val="en-GB" w:eastAsia="zh-CN"/>
              </w:rPr>
              <w:t>Automobile sales</w:t>
            </w:r>
          </w:p>
        </w:tc>
        <w:tc>
          <w:tcPr>
            <w:tcW w:w="3060" w:type="dxa"/>
            <w:tcBorders>
              <w:top w:val="nil"/>
              <w:left w:val="nil"/>
              <w:right w:val="single" w:sz="4" w:space="0" w:color="auto"/>
            </w:tcBorders>
            <w:shd w:val="clear" w:color="auto" w:fill="auto"/>
            <w:hideMark/>
          </w:tcPr>
          <w:p w14:paraId="3484DDA3" w14:textId="77777777" w:rsidR="002723AF" w:rsidRPr="00643336" w:rsidRDefault="002723AF" w:rsidP="002723AF">
            <w:pPr>
              <w:pStyle w:val="ListParagraph"/>
              <w:numPr>
                <w:ilvl w:val="0"/>
                <w:numId w:val="40"/>
              </w:numPr>
              <w:jc w:val="left"/>
              <w:rPr>
                <w:rFonts w:ascii="Arial" w:eastAsia="SimSun" w:hAnsi="Arial" w:cs="Arial"/>
                <w:color w:val="000000"/>
                <w:kern w:val="0"/>
                <w:sz w:val="20"/>
                <w:szCs w:val="20"/>
                <w:lang w:val="en-GB" w:eastAsia="zh-CN"/>
              </w:rPr>
            </w:pPr>
            <w:r w:rsidRPr="00643336">
              <w:rPr>
                <w:rFonts w:ascii="Arial" w:eastAsia="SimSun" w:hAnsi="Arial" w:cs="Arial"/>
                <w:color w:val="000000"/>
                <w:kern w:val="0"/>
                <w:sz w:val="20"/>
                <w:szCs w:val="20"/>
                <w:lang w:val="en-GB" w:eastAsia="zh-CN"/>
              </w:rPr>
              <w:t>Automobile sales</w:t>
            </w:r>
          </w:p>
          <w:p w14:paraId="6837978B" w14:textId="77777777" w:rsidR="002723AF" w:rsidRPr="00643336" w:rsidRDefault="002723AF" w:rsidP="002723AF">
            <w:pPr>
              <w:pStyle w:val="ListParagraph"/>
              <w:numPr>
                <w:ilvl w:val="0"/>
                <w:numId w:val="40"/>
              </w:numPr>
              <w:jc w:val="left"/>
              <w:rPr>
                <w:rFonts w:ascii="Arial" w:eastAsia="SimSun" w:hAnsi="Arial" w:cs="Arial"/>
                <w:color w:val="000000"/>
                <w:kern w:val="0"/>
                <w:sz w:val="20"/>
                <w:szCs w:val="20"/>
                <w:lang w:val="en-GB" w:eastAsia="zh-CN"/>
              </w:rPr>
            </w:pPr>
            <w:r w:rsidRPr="00643336">
              <w:rPr>
                <w:rFonts w:ascii="Arial" w:eastAsia="SimSun" w:hAnsi="Arial" w:cs="Arial"/>
                <w:color w:val="000000"/>
                <w:kern w:val="0"/>
                <w:sz w:val="20"/>
                <w:szCs w:val="20"/>
                <w:lang w:val="en-GB" w:eastAsia="zh-CN"/>
              </w:rPr>
              <w:t>Sales financing services</w:t>
            </w:r>
          </w:p>
          <w:p w14:paraId="554A5173" w14:textId="77777777" w:rsidR="002649A1" w:rsidRDefault="002723AF" w:rsidP="002723AF">
            <w:pPr>
              <w:pStyle w:val="ListParagraph"/>
              <w:numPr>
                <w:ilvl w:val="0"/>
                <w:numId w:val="40"/>
              </w:numPr>
              <w:jc w:val="left"/>
              <w:rPr>
                <w:rFonts w:ascii="Arial" w:eastAsia="SimSun" w:hAnsi="Arial" w:cs="Arial"/>
                <w:color w:val="000000"/>
                <w:kern w:val="0"/>
                <w:sz w:val="20"/>
                <w:szCs w:val="20"/>
                <w:lang w:val="en-GB" w:eastAsia="zh-CN"/>
              </w:rPr>
            </w:pPr>
            <w:r w:rsidRPr="00643336">
              <w:rPr>
                <w:rFonts w:ascii="Arial" w:eastAsia="SimSun" w:hAnsi="Arial" w:cs="Arial"/>
                <w:color w:val="000000"/>
                <w:kern w:val="0"/>
                <w:sz w:val="20"/>
                <w:szCs w:val="20"/>
                <w:lang w:val="en-GB" w:eastAsia="zh-CN"/>
              </w:rPr>
              <w:t xml:space="preserve">Integrated support automobile production functions </w:t>
            </w:r>
          </w:p>
          <w:p w14:paraId="5D672F4A" w14:textId="1F23943A" w:rsidR="002723AF" w:rsidRPr="002649A1" w:rsidRDefault="002723AF" w:rsidP="002723AF">
            <w:pPr>
              <w:pStyle w:val="ListParagraph"/>
              <w:numPr>
                <w:ilvl w:val="0"/>
                <w:numId w:val="40"/>
              </w:numPr>
              <w:jc w:val="left"/>
              <w:rPr>
                <w:rFonts w:ascii="Arial" w:eastAsia="SimSun" w:hAnsi="Arial" w:cs="Arial"/>
                <w:color w:val="000000"/>
                <w:kern w:val="0"/>
                <w:sz w:val="20"/>
                <w:szCs w:val="20"/>
                <w:lang w:val="en-GB" w:eastAsia="zh-CN"/>
              </w:rPr>
            </w:pPr>
            <w:r w:rsidRPr="002649A1">
              <w:rPr>
                <w:rFonts w:ascii="Arial" w:eastAsia="SimSun" w:hAnsi="Arial" w:cs="Arial"/>
                <w:color w:val="000000"/>
                <w:kern w:val="0"/>
                <w:sz w:val="20"/>
                <w:szCs w:val="20"/>
                <w:lang w:val="en-GB" w:eastAsia="zh-CN"/>
              </w:rPr>
              <w:t>Blanking, scrap business, tire and wheel assembly, parts manufacturing</w:t>
            </w:r>
          </w:p>
        </w:tc>
      </w:tr>
      <w:tr w:rsidR="00DD0126" w:rsidRPr="000E2036" w14:paraId="07A906EE" w14:textId="77777777" w:rsidTr="002723AF">
        <w:trPr>
          <w:trHeight w:val="240"/>
          <w:jc w:val="center"/>
        </w:trPr>
        <w:tc>
          <w:tcPr>
            <w:tcW w:w="3060" w:type="dxa"/>
            <w:tcBorders>
              <w:top w:val="single" w:sz="4" w:space="0" w:color="auto"/>
              <w:left w:val="single" w:sz="4" w:space="0" w:color="auto"/>
              <w:bottom w:val="nil"/>
              <w:right w:val="single" w:sz="4" w:space="0" w:color="auto"/>
            </w:tcBorders>
            <w:shd w:val="clear" w:color="auto" w:fill="auto"/>
            <w:hideMark/>
          </w:tcPr>
          <w:p w14:paraId="0C3D2391" w14:textId="77777777" w:rsidR="00DD0126" w:rsidRPr="00643336" w:rsidRDefault="00DD0126" w:rsidP="00DD0126">
            <w:pPr>
              <w:rPr>
                <w:rFonts w:ascii="Arial" w:eastAsia="SimSun" w:hAnsi="Arial" w:cs="Arial"/>
                <w:color w:val="000000"/>
                <w:kern w:val="0"/>
                <w:u w:val="single"/>
                <w:lang w:val="en-GB" w:eastAsia="zh-CN"/>
              </w:rPr>
            </w:pPr>
            <w:r w:rsidRPr="00643336">
              <w:rPr>
                <w:rFonts w:ascii="Arial" w:eastAsia="SimSun" w:hAnsi="Arial" w:cs="Arial"/>
                <w:color w:val="000000"/>
                <w:kern w:val="0"/>
                <w:u w:val="single"/>
                <w:lang w:val="en-GB" w:eastAsia="zh-CN"/>
              </w:rPr>
              <w:t>Non-automotive Business:</w:t>
            </w:r>
          </w:p>
        </w:tc>
        <w:tc>
          <w:tcPr>
            <w:tcW w:w="3060" w:type="dxa"/>
            <w:tcBorders>
              <w:top w:val="single" w:sz="4" w:space="0" w:color="auto"/>
              <w:left w:val="nil"/>
              <w:bottom w:val="nil"/>
              <w:right w:val="single" w:sz="4" w:space="0" w:color="auto"/>
            </w:tcBorders>
            <w:shd w:val="clear" w:color="auto" w:fill="auto"/>
            <w:hideMark/>
          </w:tcPr>
          <w:p w14:paraId="208A375D" w14:textId="77777777" w:rsidR="00DD0126" w:rsidRPr="00643336" w:rsidRDefault="00DD0126" w:rsidP="00DD0126">
            <w:pPr>
              <w:rPr>
                <w:rFonts w:ascii="Arial" w:eastAsia="SimSun" w:hAnsi="Arial" w:cs="Arial"/>
                <w:color w:val="000000"/>
                <w:kern w:val="0"/>
                <w:u w:val="single"/>
                <w:lang w:val="en-GB" w:eastAsia="zh-CN"/>
              </w:rPr>
            </w:pPr>
            <w:r w:rsidRPr="00643336">
              <w:rPr>
                <w:rFonts w:ascii="Arial" w:eastAsia="SimSun" w:hAnsi="Arial" w:cs="Arial"/>
                <w:color w:val="000000"/>
                <w:kern w:val="0"/>
                <w:u w:val="single"/>
                <w:lang w:val="en-GB" w:eastAsia="zh-CN"/>
              </w:rPr>
              <w:t>Non-automotive Business:</w:t>
            </w:r>
          </w:p>
        </w:tc>
        <w:tc>
          <w:tcPr>
            <w:tcW w:w="3060" w:type="dxa"/>
            <w:tcBorders>
              <w:top w:val="single" w:sz="4" w:space="0" w:color="auto"/>
              <w:left w:val="nil"/>
              <w:bottom w:val="nil"/>
              <w:right w:val="single" w:sz="4" w:space="0" w:color="auto"/>
            </w:tcBorders>
            <w:shd w:val="clear" w:color="auto" w:fill="auto"/>
            <w:hideMark/>
          </w:tcPr>
          <w:p w14:paraId="717A9B69" w14:textId="77777777" w:rsidR="00DD0126" w:rsidRPr="00643336" w:rsidRDefault="00DD0126" w:rsidP="00DD0126">
            <w:pPr>
              <w:rPr>
                <w:rFonts w:ascii="Arial" w:eastAsia="SimSun" w:hAnsi="Arial" w:cs="Arial"/>
                <w:color w:val="000000"/>
                <w:kern w:val="0"/>
                <w:u w:val="single"/>
                <w:lang w:val="en-GB" w:eastAsia="zh-CN"/>
              </w:rPr>
            </w:pPr>
            <w:r w:rsidRPr="00643336">
              <w:rPr>
                <w:rFonts w:ascii="Arial" w:eastAsia="SimSun" w:hAnsi="Arial" w:cs="Arial"/>
                <w:color w:val="000000"/>
                <w:kern w:val="0"/>
                <w:u w:val="single"/>
                <w:lang w:val="en-GB" w:eastAsia="zh-CN"/>
              </w:rPr>
              <w:t>Non-automotive Business:</w:t>
            </w:r>
          </w:p>
        </w:tc>
      </w:tr>
      <w:tr w:rsidR="002723AF" w:rsidRPr="000E2036" w14:paraId="4D7B7E67" w14:textId="77777777" w:rsidTr="002723AF">
        <w:trPr>
          <w:trHeight w:val="1200"/>
          <w:jc w:val="center"/>
        </w:trPr>
        <w:tc>
          <w:tcPr>
            <w:tcW w:w="3060" w:type="dxa"/>
            <w:tcBorders>
              <w:top w:val="nil"/>
              <w:left w:val="single" w:sz="4" w:space="0" w:color="auto"/>
              <w:bottom w:val="nil"/>
              <w:right w:val="single" w:sz="4" w:space="0" w:color="auto"/>
            </w:tcBorders>
            <w:shd w:val="clear" w:color="auto" w:fill="auto"/>
            <w:hideMark/>
          </w:tcPr>
          <w:p w14:paraId="5D7BD45F" w14:textId="77777777" w:rsidR="002723AF" w:rsidRPr="00643336" w:rsidRDefault="002723AF" w:rsidP="002723AF">
            <w:pPr>
              <w:pStyle w:val="ListParagraph"/>
              <w:numPr>
                <w:ilvl w:val="0"/>
                <w:numId w:val="41"/>
              </w:numPr>
              <w:jc w:val="left"/>
              <w:rPr>
                <w:rFonts w:ascii="Arial" w:eastAsia="SimSun" w:hAnsi="Arial" w:cs="Arial"/>
                <w:color w:val="000000"/>
                <w:kern w:val="0"/>
                <w:sz w:val="20"/>
                <w:szCs w:val="20"/>
                <w:lang w:val="en-GB" w:eastAsia="zh-CN"/>
              </w:rPr>
            </w:pPr>
            <w:r w:rsidRPr="00643336">
              <w:rPr>
                <w:rFonts w:ascii="Arial" w:eastAsia="SimSun" w:hAnsi="Arial" w:cs="Arial"/>
                <w:color w:val="000000"/>
                <w:kern w:val="0"/>
                <w:sz w:val="20"/>
                <w:szCs w:val="20"/>
                <w:lang w:val="en-GB" w:eastAsia="zh-CN"/>
              </w:rPr>
              <w:t>Power plants</w:t>
            </w:r>
          </w:p>
          <w:p w14:paraId="32FA3AAE" w14:textId="77777777" w:rsidR="002649A1" w:rsidRDefault="002723AF" w:rsidP="002723AF">
            <w:pPr>
              <w:pStyle w:val="ListParagraph"/>
              <w:numPr>
                <w:ilvl w:val="0"/>
                <w:numId w:val="41"/>
              </w:numPr>
              <w:jc w:val="left"/>
              <w:rPr>
                <w:rFonts w:ascii="Arial" w:eastAsia="SimSun" w:hAnsi="Arial" w:cs="Arial"/>
                <w:color w:val="000000"/>
                <w:kern w:val="0"/>
                <w:sz w:val="20"/>
                <w:szCs w:val="20"/>
                <w:lang w:val="en-GB" w:eastAsia="zh-CN"/>
              </w:rPr>
            </w:pPr>
            <w:r w:rsidRPr="00643336">
              <w:rPr>
                <w:rFonts w:ascii="Arial" w:eastAsia="SimSun" w:hAnsi="Arial" w:cs="Arial"/>
                <w:color w:val="000000"/>
                <w:kern w:val="0"/>
                <w:sz w:val="20"/>
                <w:szCs w:val="20"/>
                <w:lang w:val="en-GB" w:eastAsia="zh-CN"/>
              </w:rPr>
              <w:t>Offshore gas field drilling</w:t>
            </w:r>
          </w:p>
          <w:p w14:paraId="7A7B8EA1" w14:textId="43536788" w:rsidR="002723AF" w:rsidRPr="00643336" w:rsidRDefault="002649A1" w:rsidP="00643336">
            <w:pPr>
              <w:pStyle w:val="ListParagraph"/>
              <w:numPr>
                <w:ilvl w:val="0"/>
                <w:numId w:val="41"/>
              </w:numPr>
              <w:jc w:val="left"/>
              <w:rPr>
                <w:rFonts w:ascii="Arial" w:eastAsia="SimSun" w:hAnsi="Arial" w:cs="Arial"/>
                <w:color w:val="000000"/>
                <w:kern w:val="0"/>
                <w:sz w:val="20"/>
                <w:szCs w:val="20"/>
                <w:lang w:val="en-GB" w:eastAsia="zh-CN"/>
              </w:rPr>
            </w:pPr>
            <w:r>
              <w:rPr>
                <w:rFonts w:ascii="Arial" w:eastAsia="SimSun" w:hAnsi="Arial" w:cs="Arial"/>
                <w:color w:val="000000"/>
                <w:kern w:val="0"/>
                <w:sz w:val="20"/>
                <w:szCs w:val="20"/>
                <w:lang w:val="en-GB" w:eastAsia="zh-CN"/>
              </w:rPr>
              <w:t>R</w:t>
            </w:r>
            <w:r w:rsidR="002723AF" w:rsidRPr="00643336">
              <w:rPr>
                <w:rFonts w:ascii="Arial" w:eastAsia="SimSun" w:hAnsi="Arial" w:cs="Arial"/>
                <w:color w:val="000000"/>
                <w:kern w:val="0"/>
                <w:sz w:val="20"/>
                <w:szCs w:val="20"/>
                <w:lang w:val="en-GB" w:eastAsia="zh-CN"/>
              </w:rPr>
              <w:t>ig chartering business</w:t>
            </w:r>
          </w:p>
        </w:tc>
        <w:tc>
          <w:tcPr>
            <w:tcW w:w="3060" w:type="dxa"/>
            <w:vMerge w:val="restart"/>
            <w:tcBorders>
              <w:top w:val="nil"/>
              <w:left w:val="nil"/>
              <w:bottom w:val="nil"/>
              <w:right w:val="single" w:sz="4" w:space="0" w:color="auto"/>
            </w:tcBorders>
            <w:shd w:val="clear" w:color="auto" w:fill="auto"/>
            <w:hideMark/>
          </w:tcPr>
          <w:p w14:paraId="766DC5CD" w14:textId="17F1D915" w:rsidR="002723AF" w:rsidRPr="00C11717" w:rsidRDefault="002723AF" w:rsidP="002723AF">
            <w:pPr>
              <w:pStyle w:val="ListParagraph"/>
              <w:numPr>
                <w:ilvl w:val="0"/>
                <w:numId w:val="44"/>
              </w:numPr>
              <w:jc w:val="left"/>
              <w:rPr>
                <w:rFonts w:ascii="Arial" w:eastAsia="SimSun" w:hAnsi="Arial" w:cs="Arial"/>
                <w:color w:val="000000"/>
                <w:kern w:val="0"/>
                <w:sz w:val="20"/>
                <w:szCs w:val="20"/>
                <w:lang w:val="en-GB" w:eastAsia="zh-CN"/>
              </w:rPr>
            </w:pPr>
            <w:r w:rsidRPr="00C11717">
              <w:rPr>
                <w:rFonts w:ascii="Arial" w:eastAsia="SimSun" w:hAnsi="Arial" w:cs="Arial"/>
                <w:color w:val="000000"/>
                <w:kern w:val="0"/>
                <w:sz w:val="20"/>
                <w:szCs w:val="20"/>
                <w:lang w:val="en-GB" w:eastAsia="zh-CN"/>
              </w:rPr>
              <w:t>Energy / power plant-related projects</w:t>
            </w:r>
            <w:r w:rsidRPr="00C11717">
              <w:rPr>
                <w:rFonts w:ascii="Arial" w:eastAsia="SimSun" w:hAnsi="Arial" w:cs="Arial"/>
                <w:color w:val="000000"/>
                <w:kern w:val="0"/>
                <w:sz w:val="20"/>
                <w:szCs w:val="20"/>
                <w:lang w:val="en-GB" w:eastAsia="zh-CN"/>
              </w:rPr>
              <w:br/>
              <w:t>(Geothermal power generation / harbo</w:t>
            </w:r>
            <w:r w:rsidR="00D9404E" w:rsidRPr="00C11717">
              <w:rPr>
                <w:rFonts w:ascii="Arial" w:eastAsia="SimSun" w:hAnsi="Arial" w:cs="Arial"/>
                <w:color w:val="000000"/>
                <w:kern w:val="0"/>
                <w:sz w:val="20"/>
                <w:szCs w:val="20"/>
                <w:lang w:val="en-GB" w:eastAsia="zh-CN"/>
              </w:rPr>
              <w:t>u</w:t>
            </w:r>
            <w:r w:rsidRPr="00C11717">
              <w:rPr>
                <w:rFonts w:ascii="Arial" w:eastAsia="SimSun" w:hAnsi="Arial" w:cs="Arial"/>
                <w:color w:val="000000"/>
                <w:kern w:val="0"/>
                <w:sz w:val="20"/>
                <w:szCs w:val="20"/>
                <w:lang w:val="en-GB" w:eastAsia="zh-CN"/>
              </w:rPr>
              <w:t>r restoration)</w:t>
            </w:r>
          </w:p>
          <w:p w14:paraId="6C4A488D" w14:textId="77777777" w:rsidR="002723AF" w:rsidRPr="00643336" w:rsidRDefault="002723AF" w:rsidP="002723AF">
            <w:pPr>
              <w:pStyle w:val="ListParagraph"/>
              <w:numPr>
                <w:ilvl w:val="0"/>
                <w:numId w:val="44"/>
              </w:numPr>
              <w:jc w:val="left"/>
              <w:rPr>
                <w:rFonts w:ascii="Arial" w:eastAsia="SimSun" w:hAnsi="Arial" w:cs="Arial"/>
                <w:color w:val="000000"/>
                <w:kern w:val="0"/>
                <w:sz w:val="20"/>
                <w:szCs w:val="20"/>
                <w:lang w:val="en-GB" w:eastAsia="zh-CN"/>
              </w:rPr>
            </w:pPr>
            <w:r w:rsidRPr="00643336">
              <w:rPr>
                <w:rFonts w:ascii="Arial" w:eastAsia="SimSun" w:hAnsi="Arial" w:cs="Arial"/>
                <w:color w:val="000000"/>
                <w:kern w:val="0"/>
                <w:sz w:val="20"/>
                <w:szCs w:val="20"/>
                <w:lang w:val="en-GB" w:eastAsia="zh-CN"/>
              </w:rPr>
              <w:t>Agriculture and construction machinery sales</w:t>
            </w:r>
          </w:p>
          <w:p w14:paraId="711BC333" w14:textId="78CE3C89" w:rsidR="002723AF" w:rsidRPr="00643336" w:rsidRDefault="002723AF" w:rsidP="002723AF">
            <w:pPr>
              <w:pStyle w:val="ListParagraph"/>
              <w:numPr>
                <w:ilvl w:val="0"/>
                <w:numId w:val="44"/>
              </w:numPr>
              <w:jc w:val="left"/>
              <w:rPr>
                <w:rFonts w:ascii="Arial" w:eastAsia="SimSun" w:hAnsi="Arial" w:cs="Arial"/>
                <w:color w:val="000000"/>
                <w:kern w:val="0"/>
                <w:sz w:val="20"/>
                <w:szCs w:val="20"/>
                <w:lang w:val="en-GB" w:eastAsia="zh-CN"/>
              </w:rPr>
            </w:pPr>
            <w:r w:rsidRPr="00643336">
              <w:rPr>
                <w:rFonts w:ascii="Arial" w:eastAsia="SimSun" w:hAnsi="Arial" w:cs="Arial"/>
                <w:color w:val="000000"/>
                <w:kern w:val="0"/>
                <w:sz w:val="20"/>
                <w:szCs w:val="20"/>
                <w:lang w:val="en-GB" w:eastAsia="zh-CN"/>
              </w:rPr>
              <w:t>Chemicals</w:t>
            </w:r>
          </w:p>
        </w:tc>
        <w:tc>
          <w:tcPr>
            <w:tcW w:w="3060" w:type="dxa"/>
            <w:tcBorders>
              <w:top w:val="nil"/>
              <w:left w:val="nil"/>
              <w:bottom w:val="nil"/>
              <w:right w:val="single" w:sz="4" w:space="0" w:color="auto"/>
            </w:tcBorders>
            <w:shd w:val="clear" w:color="auto" w:fill="auto"/>
            <w:hideMark/>
          </w:tcPr>
          <w:p w14:paraId="08C93130" w14:textId="77777777" w:rsidR="002723AF" w:rsidRPr="00643336" w:rsidRDefault="002723AF" w:rsidP="002723AF">
            <w:pPr>
              <w:pStyle w:val="ListParagraph"/>
              <w:numPr>
                <w:ilvl w:val="0"/>
                <w:numId w:val="43"/>
              </w:numPr>
              <w:jc w:val="left"/>
              <w:rPr>
                <w:rFonts w:ascii="Arial" w:eastAsia="SimSun" w:hAnsi="Arial" w:cs="Arial"/>
                <w:color w:val="000000"/>
                <w:kern w:val="0"/>
                <w:sz w:val="20"/>
                <w:szCs w:val="20"/>
                <w:lang w:val="en-GB" w:eastAsia="zh-CN"/>
              </w:rPr>
            </w:pPr>
            <w:r w:rsidRPr="00643336">
              <w:rPr>
                <w:rFonts w:ascii="Arial" w:eastAsia="SimSun" w:hAnsi="Arial" w:cs="Arial"/>
                <w:color w:val="000000"/>
                <w:kern w:val="0"/>
                <w:sz w:val="20"/>
                <w:szCs w:val="20"/>
                <w:lang w:val="en-GB" w:eastAsia="zh-CN"/>
              </w:rPr>
              <w:t>Logistics business</w:t>
            </w:r>
          </w:p>
          <w:p w14:paraId="511C8086" w14:textId="2970A986" w:rsidR="002723AF" w:rsidRPr="00643336" w:rsidRDefault="002723AF" w:rsidP="002723AF">
            <w:pPr>
              <w:pStyle w:val="ListParagraph"/>
              <w:numPr>
                <w:ilvl w:val="0"/>
                <w:numId w:val="43"/>
              </w:numPr>
              <w:jc w:val="left"/>
              <w:rPr>
                <w:rFonts w:ascii="Arial" w:eastAsia="SimSun" w:hAnsi="Arial" w:cs="Arial"/>
                <w:color w:val="000000"/>
                <w:kern w:val="0"/>
                <w:sz w:val="20"/>
                <w:szCs w:val="20"/>
                <w:lang w:val="en-GB" w:eastAsia="zh-CN"/>
              </w:rPr>
            </w:pPr>
            <w:r w:rsidRPr="00643336">
              <w:rPr>
                <w:rFonts w:ascii="Arial" w:eastAsia="SimSun" w:hAnsi="Arial" w:cs="Arial"/>
                <w:color w:val="000000"/>
                <w:kern w:val="0"/>
                <w:sz w:val="20"/>
                <w:szCs w:val="20"/>
                <w:lang w:val="en-GB" w:eastAsia="zh-CN"/>
              </w:rPr>
              <w:t>Agricultural business</w:t>
            </w:r>
            <w:r w:rsidRPr="00643336">
              <w:rPr>
                <w:rFonts w:ascii="Arial" w:eastAsia="SimSun" w:hAnsi="Arial" w:cs="Arial"/>
                <w:color w:val="000000"/>
                <w:kern w:val="0"/>
                <w:sz w:val="20"/>
                <w:szCs w:val="20"/>
                <w:lang w:val="en-GB" w:eastAsia="zh-CN"/>
              </w:rPr>
              <w:br/>
              <w:t>(Zambia and Mozambique)</w:t>
            </w:r>
          </w:p>
        </w:tc>
      </w:tr>
      <w:tr w:rsidR="002723AF" w:rsidRPr="000E2036" w14:paraId="0216CB36" w14:textId="77777777" w:rsidTr="002723AF">
        <w:trPr>
          <w:trHeight w:val="240"/>
          <w:jc w:val="center"/>
        </w:trPr>
        <w:tc>
          <w:tcPr>
            <w:tcW w:w="3060" w:type="dxa"/>
            <w:tcBorders>
              <w:top w:val="nil"/>
              <w:left w:val="single" w:sz="4" w:space="0" w:color="auto"/>
              <w:bottom w:val="single" w:sz="4" w:space="0" w:color="auto"/>
              <w:right w:val="single" w:sz="4" w:space="0" w:color="auto"/>
            </w:tcBorders>
            <w:shd w:val="clear" w:color="auto" w:fill="auto"/>
            <w:hideMark/>
          </w:tcPr>
          <w:p w14:paraId="15E05A4D" w14:textId="71B7B4B4" w:rsidR="002723AF" w:rsidRPr="00643336" w:rsidRDefault="002723AF" w:rsidP="00DD0126">
            <w:pPr>
              <w:rPr>
                <w:rFonts w:ascii="Arial" w:eastAsia="SimSun" w:hAnsi="Arial" w:cs="Arial"/>
                <w:color w:val="000000"/>
                <w:kern w:val="0"/>
                <w:lang w:val="en-GB" w:eastAsia="zh-CN"/>
              </w:rPr>
            </w:pPr>
          </w:p>
        </w:tc>
        <w:tc>
          <w:tcPr>
            <w:tcW w:w="3060" w:type="dxa"/>
            <w:vMerge/>
            <w:tcBorders>
              <w:left w:val="nil"/>
              <w:bottom w:val="single" w:sz="4" w:space="0" w:color="auto"/>
              <w:right w:val="single" w:sz="4" w:space="0" w:color="auto"/>
            </w:tcBorders>
            <w:shd w:val="clear" w:color="auto" w:fill="auto"/>
            <w:hideMark/>
          </w:tcPr>
          <w:p w14:paraId="5AF503FA" w14:textId="1F3A5437" w:rsidR="002723AF" w:rsidRPr="002649A1" w:rsidRDefault="002723AF" w:rsidP="002723AF">
            <w:pPr>
              <w:pStyle w:val="ListParagraph"/>
              <w:numPr>
                <w:ilvl w:val="0"/>
                <w:numId w:val="42"/>
              </w:numPr>
              <w:jc w:val="left"/>
              <w:rPr>
                <w:rFonts w:ascii="Arial" w:eastAsia="SimSun" w:hAnsi="Arial" w:cs="Arial"/>
                <w:color w:val="000000"/>
                <w:kern w:val="0"/>
                <w:sz w:val="20"/>
                <w:szCs w:val="20"/>
                <w:lang w:val="en-GB" w:eastAsia="zh-CN"/>
              </w:rPr>
            </w:pPr>
          </w:p>
        </w:tc>
        <w:tc>
          <w:tcPr>
            <w:tcW w:w="3060" w:type="dxa"/>
            <w:tcBorders>
              <w:top w:val="nil"/>
              <w:left w:val="nil"/>
              <w:bottom w:val="single" w:sz="4" w:space="0" w:color="auto"/>
              <w:right w:val="single" w:sz="4" w:space="0" w:color="auto"/>
            </w:tcBorders>
            <w:shd w:val="clear" w:color="auto" w:fill="auto"/>
            <w:hideMark/>
          </w:tcPr>
          <w:p w14:paraId="04A67D05" w14:textId="6ADBA1DB" w:rsidR="002723AF" w:rsidRPr="00643336" w:rsidRDefault="002723AF" w:rsidP="00DD0126">
            <w:pPr>
              <w:rPr>
                <w:rFonts w:ascii="Arial" w:eastAsia="SimSun" w:hAnsi="Arial" w:cs="Arial"/>
                <w:color w:val="000000"/>
                <w:kern w:val="0"/>
                <w:lang w:val="en-GB" w:eastAsia="zh-CN"/>
              </w:rPr>
            </w:pPr>
          </w:p>
        </w:tc>
      </w:tr>
    </w:tbl>
    <w:p w14:paraId="6F903AA6" w14:textId="77777777" w:rsidR="005A642D" w:rsidRPr="000E2036" w:rsidRDefault="005A642D" w:rsidP="00E8070D">
      <w:pPr>
        <w:pStyle w:val="BodyTextMain"/>
        <w:rPr>
          <w:rFonts w:ascii="Arial" w:hAnsi="Arial" w:cs="Arial"/>
          <w:sz w:val="17"/>
          <w:szCs w:val="17"/>
          <w:lang w:val="en-GB"/>
        </w:rPr>
      </w:pPr>
    </w:p>
    <w:p w14:paraId="46CA2C35" w14:textId="1BD96C50" w:rsidR="002723AF" w:rsidRPr="000E2036" w:rsidRDefault="005A642D" w:rsidP="00E8070D">
      <w:pPr>
        <w:pStyle w:val="BodyTextMain"/>
        <w:rPr>
          <w:rFonts w:ascii="Arial" w:hAnsi="Arial" w:cs="Arial"/>
          <w:sz w:val="17"/>
          <w:szCs w:val="17"/>
          <w:lang w:val="en-GB"/>
        </w:rPr>
      </w:pPr>
      <w:r w:rsidRPr="000E2036">
        <w:rPr>
          <w:rFonts w:ascii="Arial" w:hAnsi="Arial" w:cs="Arial"/>
          <w:sz w:val="17"/>
          <w:szCs w:val="17"/>
          <w:lang w:val="en-GB"/>
        </w:rPr>
        <w:t xml:space="preserve">Source: Created by the case authors based on Toyota Tsusho </w:t>
      </w:r>
      <w:r w:rsidR="006E7357" w:rsidRPr="000E2036">
        <w:rPr>
          <w:rFonts w:ascii="Arial" w:hAnsi="Arial" w:cs="Arial"/>
          <w:sz w:val="17"/>
          <w:szCs w:val="17"/>
          <w:lang w:val="en-GB"/>
        </w:rPr>
        <w:t>Corporation,</w:t>
      </w:r>
      <w:r w:rsidRPr="000E2036">
        <w:rPr>
          <w:rFonts w:ascii="Arial" w:hAnsi="Arial" w:cs="Arial"/>
          <w:sz w:val="17"/>
          <w:szCs w:val="17"/>
          <w:lang w:val="en-GB"/>
        </w:rPr>
        <w:t xml:space="preserve"> </w:t>
      </w:r>
      <w:r w:rsidR="002649A1" w:rsidRPr="004E425B">
        <w:rPr>
          <w:rFonts w:ascii="Arial" w:hAnsi="Arial" w:cs="Arial"/>
          <w:i/>
          <w:sz w:val="17"/>
          <w:szCs w:val="17"/>
          <w:lang w:val="en-GB"/>
        </w:rPr>
        <w:t>Where New Value Takes Shape:</w:t>
      </w:r>
      <w:r w:rsidR="002649A1" w:rsidRPr="002649A1">
        <w:rPr>
          <w:rFonts w:ascii="Arial" w:hAnsi="Arial" w:cs="Arial"/>
          <w:i/>
          <w:sz w:val="17"/>
          <w:szCs w:val="17"/>
          <w:lang w:val="en-GB"/>
        </w:rPr>
        <w:t xml:space="preserve"> </w:t>
      </w:r>
      <w:r w:rsidRPr="002C1C44">
        <w:rPr>
          <w:rFonts w:ascii="Arial" w:hAnsi="Arial" w:cs="Arial"/>
          <w:i/>
          <w:sz w:val="17"/>
          <w:szCs w:val="17"/>
          <w:lang w:val="en-GB"/>
        </w:rPr>
        <w:t>Annual Report</w:t>
      </w:r>
      <w:r w:rsidR="006E7357" w:rsidRPr="002C1C44">
        <w:rPr>
          <w:rFonts w:ascii="Arial" w:hAnsi="Arial" w:cs="Arial"/>
          <w:i/>
          <w:sz w:val="17"/>
          <w:szCs w:val="17"/>
          <w:lang w:val="en-GB"/>
        </w:rPr>
        <w:t xml:space="preserve"> 2006</w:t>
      </w:r>
      <w:r w:rsidR="002649A1" w:rsidRPr="000E2036">
        <w:rPr>
          <w:rFonts w:ascii="Arial" w:hAnsi="Arial" w:cs="Arial"/>
          <w:sz w:val="17"/>
          <w:szCs w:val="17"/>
          <w:lang w:val="en-GB"/>
        </w:rPr>
        <w:t>, 19</w:t>
      </w:r>
      <w:r w:rsidRPr="000E2036">
        <w:rPr>
          <w:rFonts w:ascii="Arial" w:hAnsi="Arial" w:cs="Arial"/>
          <w:sz w:val="17"/>
          <w:szCs w:val="17"/>
          <w:lang w:val="en-GB"/>
        </w:rPr>
        <w:t>, accessed September 19, 2017, www.toyota-tsusho.com/english/ir/pdf/library/integrated-report/ANNUAL2013EgALL.pdf.</w:t>
      </w:r>
    </w:p>
    <w:p w14:paraId="0B8EFDCB" w14:textId="5247BD13" w:rsidR="00870FCF" w:rsidRPr="000E2036" w:rsidRDefault="002723AF" w:rsidP="002723AF">
      <w:pPr>
        <w:spacing w:after="200" w:line="276" w:lineRule="auto"/>
        <w:rPr>
          <w:rFonts w:ascii="Arial" w:hAnsi="Arial" w:cs="Arial"/>
          <w:sz w:val="17"/>
          <w:szCs w:val="17"/>
          <w:lang w:val="en-GB"/>
        </w:rPr>
      </w:pPr>
      <w:r w:rsidRPr="000E2036">
        <w:rPr>
          <w:rFonts w:ascii="Arial" w:hAnsi="Arial" w:cs="Arial"/>
          <w:sz w:val="17"/>
          <w:szCs w:val="17"/>
          <w:lang w:val="en-GB"/>
        </w:rPr>
        <w:br w:type="page"/>
      </w:r>
    </w:p>
    <w:p w14:paraId="0BA3AD61" w14:textId="24119F8C" w:rsidR="00845CE8" w:rsidRPr="000E2036" w:rsidRDefault="004E5B49" w:rsidP="002723AF">
      <w:pPr>
        <w:pStyle w:val="ExhibitHeading"/>
        <w:rPr>
          <w:lang w:val="en-GB" w:eastAsia="zh-CN"/>
        </w:rPr>
      </w:pPr>
      <w:r w:rsidRPr="000E2036">
        <w:rPr>
          <w:lang w:val="en-GB" w:eastAsia="zh-CN"/>
        </w:rPr>
        <w:lastRenderedPageBreak/>
        <w:t>Exhibit 3:</w:t>
      </w:r>
      <w:r w:rsidR="00263D3F" w:rsidRPr="000E2036">
        <w:rPr>
          <w:lang w:val="en-GB" w:eastAsia="zh-CN"/>
        </w:rPr>
        <w:t xml:space="preserve"> FINANCIAL HIGHLIGHTS OF CFAO before THE acquisition in 2011</w:t>
      </w:r>
      <w:r w:rsidR="006400FF" w:rsidRPr="000E2036">
        <w:rPr>
          <w:lang w:val="en-GB" w:eastAsia="zh-CN"/>
        </w:rPr>
        <w:t>–</w:t>
      </w:r>
      <w:r w:rsidR="002649A1">
        <w:rPr>
          <w:lang w:val="en-GB" w:eastAsia="zh-CN"/>
        </w:rPr>
        <w:t>20</w:t>
      </w:r>
      <w:r w:rsidR="00263D3F" w:rsidRPr="000E2036">
        <w:rPr>
          <w:lang w:val="en-GB" w:eastAsia="zh-CN"/>
        </w:rPr>
        <w:t xml:space="preserve">12 </w:t>
      </w:r>
    </w:p>
    <w:p w14:paraId="44FD5CC8" w14:textId="7312A0B1" w:rsidR="004E5B49" w:rsidRPr="000E2036" w:rsidRDefault="00263D3F" w:rsidP="002723AF">
      <w:pPr>
        <w:pStyle w:val="ExhibitHeading"/>
        <w:rPr>
          <w:lang w:val="en-GB" w:eastAsia="zh-CN"/>
        </w:rPr>
      </w:pPr>
      <w:r w:rsidRPr="000E2036">
        <w:rPr>
          <w:lang w:val="en-GB" w:eastAsia="zh-CN"/>
        </w:rPr>
        <w:t xml:space="preserve">(IN </w:t>
      </w:r>
      <w:r w:rsidR="006400FF" w:rsidRPr="000E2036">
        <w:rPr>
          <w:lang w:val="en-GB" w:eastAsia="zh-CN"/>
        </w:rPr>
        <w:t xml:space="preserve">€ </w:t>
      </w:r>
      <w:r w:rsidRPr="000E2036">
        <w:rPr>
          <w:lang w:val="en-GB" w:eastAsia="zh-CN"/>
        </w:rPr>
        <w:t>MILLION)</w:t>
      </w:r>
    </w:p>
    <w:p w14:paraId="3775EEC9" w14:textId="77777777" w:rsidR="004E5B49" w:rsidRPr="000E2036" w:rsidRDefault="004E5B49" w:rsidP="00E8070D">
      <w:pPr>
        <w:pStyle w:val="BodyTextMain"/>
        <w:rPr>
          <w:lang w:val="en-GB"/>
        </w:rPr>
      </w:pPr>
    </w:p>
    <w:tbl>
      <w:tblPr>
        <w:tblW w:w="8200" w:type="dxa"/>
        <w:jc w:val="center"/>
        <w:tblLook w:val="04A0" w:firstRow="1" w:lastRow="0" w:firstColumn="1" w:lastColumn="0" w:noHBand="0" w:noVBand="1"/>
      </w:tblPr>
      <w:tblGrid>
        <w:gridCol w:w="4300"/>
        <w:gridCol w:w="1300"/>
        <w:gridCol w:w="1300"/>
        <w:gridCol w:w="1300"/>
      </w:tblGrid>
      <w:tr w:rsidR="00177959" w:rsidRPr="000E2036" w14:paraId="0BEC8771" w14:textId="77777777" w:rsidTr="002723AF">
        <w:trPr>
          <w:trHeight w:val="240"/>
          <w:jc w:val="center"/>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A93D3" w14:textId="77777777" w:rsidR="00177959" w:rsidRPr="000E2036" w:rsidRDefault="00177959" w:rsidP="00177959">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Financial Performance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F55DEE5" w14:textId="77777777" w:rsidR="00177959" w:rsidRPr="000E2036" w:rsidRDefault="00177959" w:rsidP="00177959">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C54B77B" w14:textId="77777777" w:rsidR="00177959" w:rsidRPr="000E2036" w:rsidRDefault="00177959" w:rsidP="00177959">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2012</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90FBDAE" w14:textId="77777777" w:rsidR="00177959" w:rsidRPr="000E2036" w:rsidRDefault="00177959" w:rsidP="00177959">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Change</w:t>
            </w:r>
          </w:p>
        </w:tc>
      </w:tr>
      <w:tr w:rsidR="00177959" w:rsidRPr="000E2036" w14:paraId="49857449" w14:textId="77777777" w:rsidTr="002723AF">
        <w:trPr>
          <w:trHeight w:val="240"/>
          <w:jc w:val="center"/>
        </w:trPr>
        <w:tc>
          <w:tcPr>
            <w:tcW w:w="4300" w:type="dxa"/>
            <w:tcBorders>
              <w:top w:val="nil"/>
              <w:left w:val="single" w:sz="4" w:space="0" w:color="auto"/>
              <w:bottom w:val="single" w:sz="4" w:space="0" w:color="auto"/>
              <w:right w:val="single" w:sz="4" w:space="0" w:color="auto"/>
            </w:tcBorders>
            <w:shd w:val="clear" w:color="auto" w:fill="auto"/>
            <w:noWrap/>
            <w:vAlign w:val="center"/>
            <w:hideMark/>
          </w:tcPr>
          <w:p w14:paraId="0C14BB9E" w14:textId="77777777" w:rsidR="00177959" w:rsidRPr="000E2036" w:rsidRDefault="00177959" w:rsidP="00177959">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Revenue </w:t>
            </w:r>
          </w:p>
        </w:tc>
        <w:tc>
          <w:tcPr>
            <w:tcW w:w="1300" w:type="dxa"/>
            <w:tcBorders>
              <w:top w:val="nil"/>
              <w:left w:val="nil"/>
              <w:bottom w:val="single" w:sz="4" w:space="0" w:color="auto"/>
              <w:right w:val="single" w:sz="4" w:space="0" w:color="auto"/>
            </w:tcBorders>
            <w:shd w:val="clear" w:color="auto" w:fill="auto"/>
            <w:noWrap/>
            <w:vAlign w:val="center"/>
            <w:hideMark/>
          </w:tcPr>
          <w:p w14:paraId="126E4D68" w14:textId="77777777"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3,123.70</w:t>
            </w:r>
          </w:p>
        </w:tc>
        <w:tc>
          <w:tcPr>
            <w:tcW w:w="1300" w:type="dxa"/>
            <w:tcBorders>
              <w:top w:val="nil"/>
              <w:left w:val="nil"/>
              <w:bottom w:val="single" w:sz="4" w:space="0" w:color="auto"/>
              <w:right w:val="single" w:sz="4" w:space="0" w:color="auto"/>
            </w:tcBorders>
            <w:shd w:val="clear" w:color="auto" w:fill="auto"/>
            <w:noWrap/>
            <w:vAlign w:val="center"/>
            <w:hideMark/>
          </w:tcPr>
          <w:p w14:paraId="2C9C3A51" w14:textId="77777777"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3,585.20</w:t>
            </w:r>
          </w:p>
        </w:tc>
        <w:tc>
          <w:tcPr>
            <w:tcW w:w="1300" w:type="dxa"/>
            <w:tcBorders>
              <w:top w:val="nil"/>
              <w:left w:val="nil"/>
              <w:bottom w:val="single" w:sz="4" w:space="0" w:color="auto"/>
              <w:right w:val="single" w:sz="4" w:space="0" w:color="auto"/>
            </w:tcBorders>
            <w:shd w:val="clear" w:color="auto" w:fill="auto"/>
            <w:noWrap/>
            <w:vAlign w:val="center"/>
            <w:hideMark/>
          </w:tcPr>
          <w:p w14:paraId="0075FD5C" w14:textId="77777777"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+14.8%</w:t>
            </w:r>
          </w:p>
        </w:tc>
      </w:tr>
      <w:tr w:rsidR="00177959" w:rsidRPr="000E2036" w14:paraId="52524FFE" w14:textId="77777777" w:rsidTr="002723AF">
        <w:trPr>
          <w:trHeight w:val="240"/>
          <w:jc w:val="center"/>
        </w:trPr>
        <w:tc>
          <w:tcPr>
            <w:tcW w:w="4300" w:type="dxa"/>
            <w:tcBorders>
              <w:top w:val="nil"/>
              <w:left w:val="single" w:sz="4" w:space="0" w:color="auto"/>
              <w:bottom w:val="single" w:sz="4" w:space="0" w:color="auto"/>
              <w:right w:val="single" w:sz="4" w:space="0" w:color="auto"/>
            </w:tcBorders>
            <w:shd w:val="clear" w:color="auto" w:fill="auto"/>
            <w:noWrap/>
            <w:vAlign w:val="center"/>
            <w:hideMark/>
          </w:tcPr>
          <w:p w14:paraId="1FCAE166" w14:textId="77777777" w:rsidR="00177959" w:rsidRPr="000E2036" w:rsidRDefault="00177959" w:rsidP="00177959">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Cost of sales </w:t>
            </w:r>
          </w:p>
        </w:tc>
        <w:tc>
          <w:tcPr>
            <w:tcW w:w="1300" w:type="dxa"/>
            <w:tcBorders>
              <w:top w:val="nil"/>
              <w:left w:val="nil"/>
              <w:bottom w:val="single" w:sz="4" w:space="0" w:color="auto"/>
              <w:right w:val="single" w:sz="4" w:space="0" w:color="auto"/>
            </w:tcBorders>
            <w:shd w:val="clear" w:color="auto" w:fill="auto"/>
            <w:noWrap/>
            <w:vAlign w:val="center"/>
            <w:hideMark/>
          </w:tcPr>
          <w:p w14:paraId="4535D2EE" w14:textId="180F293E" w:rsidR="00177959" w:rsidRPr="000E2036" w:rsidRDefault="002649A1"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177959" w:rsidRPr="000E2036">
              <w:rPr>
                <w:rFonts w:ascii="Arial" w:eastAsia="SimSun" w:hAnsi="Arial" w:cs="Arial"/>
                <w:color w:val="000000"/>
                <w:kern w:val="0"/>
                <w:lang w:val="en-GB" w:eastAsia="zh-CN"/>
              </w:rPr>
              <w:t>2,418.2</w:t>
            </w:r>
            <w:r w:rsidR="00AC391A">
              <w:rPr>
                <w:rFonts w:ascii="Arial" w:eastAsia="SimSun" w:hAnsi="Arial" w:cs="Arial"/>
                <w:color w:val="000000"/>
                <w:kern w:val="0"/>
                <w:lang w:val="en-GB" w:eastAsia="zh-CN"/>
              </w:rPr>
              <w:t>0</w:t>
            </w:r>
          </w:p>
        </w:tc>
        <w:tc>
          <w:tcPr>
            <w:tcW w:w="1300" w:type="dxa"/>
            <w:tcBorders>
              <w:top w:val="nil"/>
              <w:left w:val="nil"/>
              <w:bottom w:val="single" w:sz="4" w:space="0" w:color="auto"/>
              <w:right w:val="single" w:sz="4" w:space="0" w:color="auto"/>
            </w:tcBorders>
            <w:shd w:val="clear" w:color="auto" w:fill="auto"/>
            <w:noWrap/>
            <w:vAlign w:val="center"/>
            <w:hideMark/>
          </w:tcPr>
          <w:p w14:paraId="3CE9DC3D" w14:textId="61D90972" w:rsidR="00177959" w:rsidRPr="000E2036" w:rsidRDefault="002649A1"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177959" w:rsidRPr="000E2036">
              <w:rPr>
                <w:rFonts w:ascii="Arial" w:eastAsia="SimSun" w:hAnsi="Arial" w:cs="Arial"/>
                <w:color w:val="000000"/>
                <w:kern w:val="0"/>
                <w:lang w:val="en-GB" w:eastAsia="zh-CN"/>
              </w:rPr>
              <w:t>2,792.4</w:t>
            </w:r>
            <w:r w:rsidR="00AC391A">
              <w:rPr>
                <w:rFonts w:ascii="Arial" w:eastAsia="SimSun" w:hAnsi="Arial" w:cs="Arial"/>
                <w:color w:val="000000"/>
                <w:kern w:val="0"/>
                <w:lang w:val="en-GB" w:eastAsia="zh-CN"/>
              </w:rPr>
              <w:t>0</w:t>
            </w:r>
          </w:p>
        </w:tc>
        <w:tc>
          <w:tcPr>
            <w:tcW w:w="1300" w:type="dxa"/>
            <w:tcBorders>
              <w:top w:val="nil"/>
              <w:left w:val="nil"/>
              <w:bottom w:val="single" w:sz="4" w:space="0" w:color="auto"/>
              <w:right w:val="single" w:sz="4" w:space="0" w:color="auto"/>
            </w:tcBorders>
            <w:shd w:val="clear" w:color="auto" w:fill="auto"/>
            <w:noWrap/>
            <w:vAlign w:val="center"/>
            <w:hideMark/>
          </w:tcPr>
          <w:p w14:paraId="72B2D996" w14:textId="77777777"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+15.5%</w:t>
            </w:r>
          </w:p>
        </w:tc>
      </w:tr>
      <w:tr w:rsidR="00177959" w:rsidRPr="000E2036" w14:paraId="0B4C57CB" w14:textId="77777777" w:rsidTr="002723AF">
        <w:trPr>
          <w:trHeight w:val="240"/>
          <w:jc w:val="center"/>
        </w:trPr>
        <w:tc>
          <w:tcPr>
            <w:tcW w:w="4300" w:type="dxa"/>
            <w:tcBorders>
              <w:top w:val="nil"/>
              <w:left w:val="single" w:sz="4" w:space="0" w:color="auto"/>
              <w:bottom w:val="single" w:sz="4" w:space="0" w:color="auto"/>
              <w:right w:val="single" w:sz="4" w:space="0" w:color="auto"/>
            </w:tcBorders>
            <w:shd w:val="clear" w:color="auto" w:fill="auto"/>
            <w:noWrap/>
            <w:vAlign w:val="center"/>
            <w:hideMark/>
          </w:tcPr>
          <w:p w14:paraId="3AD3B0E5" w14:textId="77777777" w:rsidR="00177959" w:rsidRPr="000E2036" w:rsidRDefault="00177959" w:rsidP="00177959">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Gross profit </w:t>
            </w:r>
          </w:p>
        </w:tc>
        <w:tc>
          <w:tcPr>
            <w:tcW w:w="1300" w:type="dxa"/>
            <w:tcBorders>
              <w:top w:val="nil"/>
              <w:left w:val="nil"/>
              <w:bottom w:val="single" w:sz="4" w:space="0" w:color="auto"/>
              <w:right w:val="single" w:sz="4" w:space="0" w:color="auto"/>
            </w:tcBorders>
            <w:shd w:val="clear" w:color="auto" w:fill="auto"/>
            <w:noWrap/>
            <w:vAlign w:val="center"/>
            <w:hideMark/>
          </w:tcPr>
          <w:p w14:paraId="66361110" w14:textId="65C5651A"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705.5</w:t>
            </w:r>
            <w:r w:rsidR="00AC391A">
              <w:rPr>
                <w:rFonts w:ascii="Arial" w:eastAsia="SimSun" w:hAnsi="Arial" w:cs="Arial"/>
                <w:color w:val="000000"/>
                <w:kern w:val="0"/>
                <w:lang w:val="en-GB" w:eastAsia="zh-CN"/>
              </w:rPr>
              <w:t>0</w:t>
            </w:r>
          </w:p>
        </w:tc>
        <w:tc>
          <w:tcPr>
            <w:tcW w:w="1300" w:type="dxa"/>
            <w:tcBorders>
              <w:top w:val="nil"/>
              <w:left w:val="nil"/>
              <w:bottom w:val="single" w:sz="4" w:space="0" w:color="auto"/>
              <w:right w:val="single" w:sz="4" w:space="0" w:color="auto"/>
            </w:tcBorders>
            <w:shd w:val="clear" w:color="auto" w:fill="auto"/>
            <w:noWrap/>
            <w:vAlign w:val="center"/>
            <w:hideMark/>
          </w:tcPr>
          <w:p w14:paraId="433984C7" w14:textId="0527DFE7"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792.8</w:t>
            </w:r>
            <w:r w:rsidR="00AC391A">
              <w:rPr>
                <w:rFonts w:ascii="Arial" w:eastAsia="SimSun" w:hAnsi="Arial" w:cs="Arial"/>
                <w:color w:val="000000"/>
                <w:kern w:val="0"/>
                <w:lang w:val="en-GB" w:eastAsia="zh-CN"/>
              </w:rPr>
              <w:t>0</w:t>
            </w:r>
          </w:p>
        </w:tc>
        <w:tc>
          <w:tcPr>
            <w:tcW w:w="1300" w:type="dxa"/>
            <w:tcBorders>
              <w:top w:val="nil"/>
              <w:left w:val="nil"/>
              <w:bottom w:val="single" w:sz="4" w:space="0" w:color="auto"/>
              <w:right w:val="single" w:sz="4" w:space="0" w:color="auto"/>
            </w:tcBorders>
            <w:shd w:val="clear" w:color="auto" w:fill="auto"/>
            <w:noWrap/>
            <w:vAlign w:val="center"/>
            <w:hideMark/>
          </w:tcPr>
          <w:p w14:paraId="10A7AAB3" w14:textId="77777777"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+12.4%</w:t>
            </w:r>
          </w:p>
        </w:tc>
      </w:tr>
      <w:tr w:rsidR="00177959" w:rsidRPr="000E2036" w14:paraId="12652159" w14:textId="77777777" w:rsidTr="002723AF">
        <w:trPr>
          <w:trHeight w:val="240"/>
          <w:jc w:val="center"/>
        </w:trPr>
        <w:tc>
          <w:tcPr>
            <w:tcW w:w="4300" w:type="dxa"/>
            <w:tcBorders>
              <w:top w:val="nil"/>
              <w:left w:val="single" w:sz="4" w:space="0" w:color="auto"/>
              <w:bottom w:val="single" w:sz="4" w:space="0" w:color="auto"/>
              <w:right w:val="single" w:sz="4" w:space="0" w:color="auto"/>
            </w:tcBorders>
            <w:shd w:val="clear" w:color="auto" w:fill="auto"/>
            <w:noWrap/>
            <w:vAlign w:val="center"/>
            <w:hideMark/>
          </w:tcPr>
          <w:p w14:paraId="0AD0B428" w14:textId="7AF10F5F" w:rsidR="00177959" w:rsidRPr="000E2036" w:rsidRDefault="006400FF" w:rsidP="00177959">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Gross profit </w:t>
            </w:r>
            <w:r w:rsidR="00177959" w:rsidRPr="000E2036">
              <w:rPr>
                <w:rFonts w:ascii="Arial" w:eastAsia="SimSun" w:hAnsi="Arial" w:cs="Arial"/>
                <w:color w:val="000000"/>
                <w:kern w:val="0"/>
                <w:lang w:val="en-GB" w:eastAsia="zh-CN"/>
              </w:rPr>
              <w:t xml:space="preserve">as a </w:t>
            </w:r>
            <w:r w:rsidR="00D9404E">
              <w:rPr>
                <w:rFonts w:ascii="Arial" w:eastAsia="SimSun" w:hAnsi="Arial" w:cs="Arial"/>
                <w:color w:val="000000"/>
                <w:kern w:val="0"/>
                <w:lang w:val="en-GB" w:eastAsia="zh-CN"/>
              </w:rPr>
              <w:t>percentage</w:t>
            </w:r>
            <w:r w:rsidR="00177959" w:rsidRPr="000E2036">
              <w:rPr>
                <w:rFonts w:ascii="Arial" w:eastAsia="SimSun" w:hAnsi="Arial" w:cs="Arial"/>
                <w:color w:val="000000"/>
                <w:kern w:val="0"/>
                <w:lang w:val="en-GB" w:eastAsia="zh-CN"/>
              </w:rPr>
              <w:t xml:space="preserve"> of revenue </w:t>
            </w:r>
          </w:p>
        </w:tc>
        <w:tc>
          <w:tcPr>
            <w:tcW w:w="1300" w:type="dxa"/>
            <w:tcBorders>
              <w:top w:val="nil"/>
              <w:left w:val="nil"/>
              <w:bottom w:val="single" w:sz="4" w:space="0" w:color="auto"/>
              <w:right w:val="single" w:sz="4" w:space="0" w:color="auto"/>
            </w:tcBorders>
            <w:shd w:val="clear" w:color="auto" w:fill="auto"/>
            <w:noWrap/>
            <w:vAlign w:val="center"/>
            <w:hideMark/>
          </w:tcPr>
          <w:p w14:paraId="039C18DC" w14:textId="77777777"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22.6%</w:t>
            </w:r>
          </w:p>
        </w:tc>
        <w:tc>
          <w:tcPr>
            <w:tcW w:w="1300" w:type="dxa"/>
            <w:tcBorders>
              <w:top w:val="nil"/>
              <w:left w:val="nil"/>
              <w:bottom w:val="single" w:sz="4" w:space="0" w:color="auto"/>
              <w:right w:val="single" w:sz="4" w:space="0" w:color="auto"/>
            </w:tcBorders>
            <w:shd w:val="clear" w:color="auto" w:fill="auto"/>
            <w:noWrap/>
            <w:vAlign w:val="center"/>
            <w:hideMark/>
          </w:tcPr>
          <w:p w14:paraId="1672577D" w14:textId="77777777"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22.1%</w:t>
            </w:r>
          </w:p>
        </w:tc>
        <w:tc>
          <w:tcPr>
            <w:tcW w:w="1300" w:type="dxa"/>
            <w:tcBorders>
              <w:top w:val="nil"/>
              <w:left w:val="nil"/>
              <w:bottom w:val="single" w:sz="4" w:space="0" w:color="auto"/>
              <w:right w:val="single" w:sz="4" w:space="0" w:color="auto"/>
            </w:tcBorders>
            <w:shd w:val="clear" w:color="auto" w:fill="auto"/>
            <w:noWrap/>
            <w:vAlign w:val="center"/>
            <w:hideMark/>
          </w:tcPr>
          <w:p w14:paraId="3B93064A" w14:textId="5E4C4C87" w:rsidR="00177959" w:rsidRPr="000E2036" w:rsidRDefault="002649A1" w:rsidP="00177959">
            <w:pPr>
              <w:jc w:val="right"/>
              <w:rPr>
                <w:rFonts w:ascii="Arial" w:eastAsia="SimSun" w:hAnsi="Arial" w:cs="Arial"/>
                <w:color w:val="000000"/>
                <w:kern w:val="0"/>
                <w:lang w:val="en-GB" w:eastAsia="zh-CN"/>
              </w:rPr>
            </w:pPr>
            <w:r w:rsidRPr="002649A1">
              <w:rPr>
                <w:rFonts w:ascii="Arial" w:eastAsia="SimSun" w:hAnsi="Arial" w:cs="Arial"/>
                <w:color w:val="000000"/>
                <w:kern w:val="0"/>
                <w:lang w:val="en-GB" w:eastAsia="zh-CN"/>
              </w:rPr>
              <w:t>−</w:t>
            </w:r>
            <w:r w:rsidR="00177959" w:rsidRPr="000E2036">
              <w:rPr>
                <w:rFonts w:ascii="Arial" w:eastAsia="SimSun" w:hAnsi="Arial" w:cs="Arial"/>
                <w:color w:val="000000"/>
                <w:kern w:val="0"/>
                <w:lang w:val="en-GB" w:eastAsia="zh-CN"/>
              </w:rPr>
              <w:t xml:space="preserve">0.5 pts </w:t>
            </w:r>
          </w:p>
        </w:tc>
      </w:tr>
      <w:tr w:rsidR="00177959" w:rsidRPr="000E2036" w14:paraId="684267FF" w14:textId="77777777" w:rsidTr="002723AF">
        <w:trPr>
          <w:trHeight w:val="240"/>
          <w:jc w:val="center"/>
        </w:trPr>
        <w:tc>
          <w:tcPr>
            <w:tcW w:w="4300" w:type="dxa"/>
            <w:tcBorders>
              <w:top w:val="nil"/>
              <w:left w:val="single" w:sz="4" w:space="0" w:color="auto"/>
              <w:bottom w:val="single" w:sz="4" w:space="0" w:color="auto"/>
              <w:right w:val="single" w:sz="4" w:space="0" w:color="auto"/>
            </w:tcBorders>
            <w:shd w:val="clear" w:color="auto" w:fill="auto"/>
            <w:noWrap/>
            <w:vAlign w:val="center"/>
            <w:hideMark/>
          </w:tcPr>
          <w:p w14:paraId="4CBD0C5A" w14:textId="77777777" w:rsidR="00177959" w:rsidRPr="000E2036" w:rsidRDefault="00177959" w:rsidP="00177959">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Operating income </w:t>
            </w:r>
          </w:p>
        </w:tc>
        <w:tc>
          <w:tcPr>
            <w:tcW w:w="1300" w:type="dxa"/>
            <w:tcBorders>
              <w:top w:val="nil"/>
              <w:left w:val="nil"/>
              <w:bottom w:val="single" w:sz="4" w:space="0" w:color="auto"/>
              <w:right w:val="single" w:sz="4" w:space="0" w:color="auto"/>
            </w:tcBorders>
            <w:shd w:val="clear" w:color="auto" w:fill="auto"/>
            <w:noWrap/>
            <w:vAlign w:val="center"/>
            <w:hideMark/>
          </w:tcPr>
          <w:p w14:paraId="0B8FBB4E" w14:textId="60C47B86"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266.1</w:t>
            </w:r>
            <w:r w:rsidR="00AC391A">
              <w:rPr>
                <w:rFonts w:ascii="Arial" w:eastAsia="SimSun" w:hAnsi="Arial" w:cs="Arial"/>
                <w:color w:val="000000"/>
                <w:kern w:val="0"/>
                <w:lang w:val="en-GB" w:eastAsia="zh-CN"/>
              </w:rPr>
              <w:t>0</w:t>
            </w:r>
          </w:p>
        </w:tc>
        <w:tc>
          <w:tcPr>
            <w:tcW w:w="1300" w:type="dxa"/>
            <w:tcBorders>
              <w:top w:val="nil"/>
              <w:left w:val="nil"/>
              <w:bottom w:val="single" w:sz="4" w:space="0" w:color="auto"/>
              <w:right w:val="single" w:sz="4" w:space="0" w:color="auto"/>
            </w:tcBorders>
            <w:shd w:val="clear" w:color="auto" w:fill="auto"/>
            <w:noWrap/>
            <w:vAlign w:val="center"/>
            <w:hideMark/>
          </w:tcPr>
          <w:p w14:paraId="24115450" w14:textId="189E7385"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280.8</w:t>
            </w:r>
            <w:r w:rsidR="00AC391A">
              <w:rPr>
                <w:rFonts w:ascii="Arial" w:eastAsia="SimSun" w:hAnsi="Arial" w:cs="Arial"/>
                <w:color w:val="000000"/>
                <w:kern w:val="0"/>
                <w:lang w:val="en-GB" w:eastAsia="zh-CN"/>
              </w:rPr>
              <w:t>0</w:t>
            </w:r>
          </w:p>
        </w:tc>
        <w:tc>
          <w:tcPr>
            <w:tcW w:w="1300" w:type="dxa"/>
            <w:tcBorders>
              <w:top w:val="nil"/>
              <w:left w:val="nil"/>
              <w:bottom w:val="single" w:sz="4" w:space="0" w:color="auto"/>
              <w:right w:val="single" w:sz="4" w:space="0" w:color="auto"/>
            </w:tcBorders>
            <w:shd w:val="clear" w:color="auto" w:fill="auto"/>
            <w:noWrap/>
            <w:vAlign w:val="center"/>
            <w:hideMark/>
          </w:tcPr>
          <w:p w14:paraId="47DC44A6" w14:textId="77777777"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+5.5%</w:t>
            </w:r>
          </w:p>
        </w:tc>
      </w:tr>
      <w:tr w:rsidR="00177959" w:rsidRPr="000E2036" w14:paraId="3D23AAEE" w14:textId="77777777" w:rsidTr="002723AF">
        <w:trPr>
          <w:trHeight w:val="240"/>
          <w:jc w:val="center"/>
        </w:trPr>
        <w:tc>
          <w:tcPr>
            <w:tcW w:w="4300" w:type="dxa"/>
            <w:tcBorders>
              <w:top w:val="nil"/>
              <w:left w:val="single" w:sz="4" w:space="0" w:color="auto"/>
              <w:bottom w:val="single" w:sz="4" w:space="0" w:color="auto"/>
              <w:right w:val="single" w:sz="4" w:space="0" w:color="auto"/>
            </w:tcBorders>
            <w:shd w:val="clear" w:color="auto" w:fill="auto"/>
            <w:noWrap/>
            <w:vAlign w:val="center"/>
            <w:hideMark/>
          </w:tcPr>
          <w:p w14:paraId="569C9DB8" w14:textId="77777777" w:rsidR="00177959" w:rsidRPr="000E2036" w:rsidRDefault="00177959" w:rsidP="00177959">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EBITDA*</w:t>
            </w:r>
          </w:p>
        </w:tc>
        <w:tc>
          <w:tcPr>
            <w:tcW w:w="1300" w:type="dxa"/>
            <w:tcBorders>
              <w:top w:val="nil"/>
              <w:left w:val="nil"/>
              <w:bottom w:val="single" w:sz="4" w:space="0" w:color="auto"/>
              <w:right w:val="single" w:sz="4" w:space="0" w:color="auto"/>
            </w:tcBorders>
            <w:shd w:val="clear" w:color="auto" w:fill="auto"/>
            <w:noWrap/>
            <w:vAlign w:val="center"/>
            <w:hideMark/>
          </w:tcPr>
          <w:p w14:paraId="515B6DE4" w14:textId="6CC39ECA"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304.9</w:t>
            </w:r>
            <w:r w:rsidR="00AC391A">
              <w:rPr>
                <w:rFonts w:ascii="Arial" w:eastAsia="SimSun" w:hAnsi="Arial" w:cs="Arial"/>
                <w:color w:val="000000"/>
                <w:kern w:val="0"/>
                <w:lang w:val="en-GB" w:eastAsia="zh-CN"/>
              </w:rPr>
              <w:t>0</w:t>
            </w:r>
          </w:p>
        </w:tc>
        <w:tc>
          <w:tcPr>
            <w:tcW w:w="1300" w:type="dxa"/>
            <w:tcBorders>
              <w:top w:val="nil"/>
              <w:left w:val="nil"/>
              <w:bottom w:val="single" w:sz="4" w:space="0" w:color="auto"/>
              <w:right w:val="single" w:sz="4" w:space="0" w:color="auto"/>
            </w:tcBorders>
            <w:shd w:val="clear" w:color="auto" w:fill="auto"/>
            <w:noWrap/>
            <w:vAlign w:val="center"/>
            <w:hideMark/>
          </w:tcPr>
          <w:p w14:paraId="3B9399B2" w14:textId="11C26A85"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345.2</w:t>
            </w:r>
            <w:r w:rsidR="00AC391A">
              <w:rPr>
                <w:rFonts w:ascii="Arial" w:eastAsia="SimSun" w:hAnsi="Arial" w:cs="Arial"/>
                <w:color w:val="000000"/>
                <w:kern w:val="0"/>
                <w:lang w:val="en-GB" w:eastAsia="zh-CN"/>
              </w:rPr>
              <w:t>0</w:t>
            </w:r>
          </w:p>
        </w:tc>
        <w:tc>
          <w:tcPr>
            <w:tcW w:w="1300" w:type="dxa"/>
            <w:tcBorders>
              <w:top w:val="nil"/>
              <w:left w:val="nil"/>
              <w:bottom w:val="single" w:sz="4" w:space="0" w:color="auto"/>
              <w:right w:val="single" w:sz="4" w:space="0" w:color="auto"/>
            </w:tcBorders>
            <w:shd w:val="clear" w:color="auto" w:fill="auto"/>
            <w:noWrap/>
            <w:vAlign w:val="center"/>
            <w:hideMark/>
          </w:tcPr>
          <w:p w14:paraId="287C21A6" w14:textId="77777777"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13.20%</w:t>
            </w:r>
          </w:p>
        </w:tc>
      </w:tr>
      <w:tr w:rsidR="00177959" w:rsidRPr="000E2036" w14:paraId="78F51481" w14:textId="77777777" w:rsidTr="002723AF">
        <w:trPr>
          <w:trHeight w:val="240"/>
          <w:jc w:val="center"/>
        </w:trPr>
        <w:tc>
          <w:tcPr>
            <w:tcW w:w="4300" w:type="dxa"/>
            <w:tcBorders>
              <w:top w:val="nil"/>
              <w:left w:val="single" w:sz="4" w:space="0" w:color="auto"/>
              <w:bottom w:val="single" w:sz="4" w:space="0" w:color="auto"/>
              <w:right w:val="single" w:sz="4" w:space="0" w:color="auto"/>
            </w:tcBorders>
            <w:shd w:val="clear" w:color="auto" w:fill="auto"/>
            <w:noWrap/>
            <w:vAlign w:val="center"/>
            <w:hideMark/>
          </w:tcPr>
          <w:p w14:paraId="1C614D32" w14:textId="0CE7998A" w:rsidR="00177959" w:rsidRPr="000E2036" w:rsidRDefault="006400FF" w:rsidP="00177959">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EBITDA </w:t>
            </w:r>
            <w:r w:rsidR="00177959" w:rsidRPr="000E2036">
              <w:rPr>
                <w:rFonts w:ascii="Arial" w:eastAsia="SimSun" w:hAnsi="Arial" w:cs="Arial"/>
                <w:color w:val="000000"/>
                <w:kern w:val="0"/>
                <w:lang w:val="en-GB" w:eastAsia="zh-CN"/>
              </w:rPr>
              <w:t xml:space="preserve">as a </w:t>
            </w:r>
            <w:r w:rsidR="00D9404E">
              <w:rPr>
                <w:rFonts w:ascii="Arial" w:eastAsia="SimSun" w:hAnsi="Arial" w:cs="Arial"/>
                <w:color w:val="000000"/>
                <w:kern w:val="0"/>
                <w:lang w:val="en-GB" w:eastAsia="zh-CN"/>
              </w:rPr>
              <w:t>percentage</w:t>
            </w:r>
            <w:r w:rsidR="00177959" w:rsidRPr="000E2036">
              <w:rPr>
                <w:rFonts w:ascii="Arial" w:eastAsia="SimSun" w:hAnsi="Arial" w:cs="Arial"/>
                <w:color w:val="000000"/>
                <w:kern w:val="0"/>
                <w:lang w:val="en-GB" w:eastAsia="zh-CN"/>
              </w:rPr>
              <w:t xml:space="preserve"> of revenue </w:t>
            </w:r>
          </w:p>
        </w:tc>
        <w:tc>
          <w:tcPr>
            <w:tcW w:w="1300" w:type="dxa"/>
            <w:tcBorders>
              <w:top w:val="nil"/>
              <w:left w:val="nil"/>
              <w:bottom w:val="single" w:sz="4" w:space="0" w:color="auto"/>
              <w:right w:val="single" w:sz="4" w:space="0" w:color="auto"/>
            </w:tcBorders>
            <w:shd w:val="clear" w:color="auto" w:fill="auto"/>
            <w:noWrap/>
            <w:vAlign w:val="center"/>
            <w:hideMark/>
          </w:tcPr>
          <w:p w14:paraId="5BDB3DBF" w14:textId="77777777"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9.80%</w:t>
            </w:r>
          </w:p>
        </w:tc>
        <w:tc>
          <w:tcPr>
            <w:tcW w:w="1300" w:type="dxa"/>
            <w:tcBorders>
              <w:top w:val="nil"/>
              <w:left w:val="nil"/>
              <w:bottom w:val="single" w:sz="4" w:space="0" w:color="auto"/>
              <w:right w:val="single" w:sz="4" w:space="0" w:color="auto"/>
            </w:tcBorders>
            <w:shd w:val="clear" w:color="auto" w:fill="auto"/>
            <w:noWrap/>
            <w:vAlign w:val="center"/>
            <w:hideMark/>
          </w:tcPr>
          <w:p w14:paraId="04DCA647" w14:textId="77777777"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9.60%</w:t>
            </w:r>
          </w:p>
        </w:tc>
        <w:tc>
          <w:tcPr>
            <w:tcW w:w="1300" w:type="dxa"/>
            <w:tcBorders>
              <w:top w:val="nil"/>
              <w:left w:val="nil"/>
              <w:bottom w:val="single" w:sz="4" w:space="0" w:color="auto"/>
              <w:right w:val="single" w:sz="4" w:space="0" w:color="auto"/>
            </w:tcBorders>
            <w:shd w:val="clear" w:color="auto" w:fill="auto"/>
            <w:noWrap/>
            <w:vAlign w:val="center"/>
            <w:hideMark/>
          </w:tcPr>
          <w:p w14:paraId="1FE395C3" w14:textId="3020C963" w:rsidR="00177959" w:rsidRPr="000E2036" w:rsidRDefault="002649A1" w:rsidP="00177959">
            <w:pPr>
              <w:jc w:val="right"/>
              <w:rPr>
                <w:rFonts w:ascii="Arial" w:eastAsia="SimSun" w:hAnsi="Arial" w:cs="Arial"/>
                <w:color w:val="000000"/>
                <w:kern w:val="0"/>
                <w:lang w:val="en-GB" w:eastAsia="zh-CN"/>
              </w:rPr>
            </w:pPr>
            <w:r w:rsidRPr="002649A1">
              <w:rPr>
                <w:rFonts w:ascii="Arial" w:eastAsia="SimSun" w:hAnsi="Arial" w:cs="Arial"/>
                <w:color w:val="000000"/>
                <w:kern w:val="0"/>
                <w:lang w:val="en-GB" w:eastAsia="zh-CN"/>
              </w:rPr>
              <w:t>−</w:t>
            </w:r>
            <w:r w:rsidR="00177959" w:rsidRPr="000E2036">
              <w:rPr>
                <w:rFonts w:ascii="Arial" w:eastAsia="SimSun" w:hAnsi="Arial" w:cs="Arial"/>
                <w:color w:val="000000"/>
                <w:kern w:val="0"/>
                <w:lang w:val="en-GB" w:eastAsia="zh-CN"/>
              </w:rPr>
              <w:t xml:space="preserve">0.2 pts </w:t>
            </w:r>
          </w:p>
        </w:tc>
      </w:tr>
      <w:tr w:rsidR="00177959" w:rsidRPr="000E2036" w14:paraId="0746E650" w14:textId="77777777" w:rsidTr="002723AF">
        <w:trPr>
          <w:trHeight w:val="240"/>
          <w:jc w:val="center"/>
        </w:trPr>
        <w:tc>
          <w:tcPr>
            <w:tcW w:w="4300" w:type="dxa"/>
            <w:tcBorders>
              <w:top w:val="nil"/>
              <w:left w:val="single" w:sz="4" w:space="0" w:color="auto"/>
              <w:bottom w:val="single" w:sz="4" w:space="0" w:color="auto"/>
              <w:right w:val="single" w:sz="4" w:space="0" w:color="auto"/>
            </w:tcBorders>
            <w:shd w:val="clear" w:color="auto" w:fill="auto"/>
            <w:noWrap/>
            <w:vAlign w:val="center"/>
            <w:hideMark/>
          </w:tcPr>
          <w:p w14:paraId="6D20A1AE" w14:textId="77777777" w:rsidR="00177959" w:rsidRPr="000E2036" w:rsidRDefault="00177959" w:rsidP="00177959">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Net income of consolidated companies </w:t>
            </w:r>
          </w:p>
        </w:tc>
        <w:tc>
          <w:tcPr>
            <w:tcW w:w="1300" w:type="dxa"/>
            <w:tcBorders>
              <w:top w:val="nil"/>
              <w:left w:val="nil"/>
              <w:bottom w:val="single" w:sz="4" w:space="0" w:color="auto"/>
              <w:right w:val="single" w:sz="4" w:space="0" w:color="auto"/>
            </w:tcBorders>
            <w:shd w:val="clear" w:color="auto" w:fill="auto"/>
            <w:noWrap/>
            <w:vAlign w:val="center"/>
            <w:hideMark/>
          </w:tcPr>
          <w:p w14:paraId="17E78421" w14:textId="27AFA6CB"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170.6</w:t>
            </w:r>
            <w:r w:rsidR="00AC391A">
              <w:rPr>
                <w:rFonts w:ascii="Arial" w:eastAsia="SimSun" w:hAnsi="Arial" w:cs="Arial"/>
                <w:color w:val="000000"/>
                <w:kern w:val="0"/>
                <w:lang w:val="en-GB" w:eastAsia="zh-CN"/>
              </w:rPr>
              <w:t>0</w:t>
            </w:r>
          </w:p>
        </w:tc>
        <w:tc>
          <w:tcPr>
            <w:tcW w:w="1300" w:type="dxa"/>
            <w:tcBorders>
              <w:top w:val="nil"/>
              <w:left w:val="nil"/>
              <w:bottom w:val="single" w:sz="4" w:space="0" w:color="auto"/>
              <w:right w:val="single" w:sz="4" w:space="0" w:color="auto"/>
            </w:tcBorders>
            <w:shd w:val="clear" w:color="auto" w:fill="auto"/>
            <w:noWrap/>
            <w:vAlign w:val="center"/>
            <w:hideMark/>
          </w:tcPr>
          <w:p w14:paraId="27C49977" w14:textId="6A7D2271"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171.2</w:t>
            </w:r>
            <w:r w:rsidR="00AC391A">
              <w:rPr>
                <w:rFonts w:ascii="Arial" w:eastAsia="SimSun" w:hAnsi="Arial" w:cs="Arial"/>
                <w:color w:val="000000"/>
                <w:kern w:val="0"/>
                <w:lang w:val="en-GB" w:eastAsia="zh-CN"/>
              </w:rPr>
              <w:t>0</w:t>
            </w:r>
          </w:p>
        </w:tc>
        <w:tc>
          <w:tcPr>
            <w:tcW w:w="1300" w:type="dxa"/>
            <w:tcBorders>
              <w:top w:val="nil"/>
              <w:left w:val="nil"/>
              <w:bottom w:val="single" w:sz="4" w:space="0" w:color="auto"/>
              <w:right w:val="single" w:sz="4" w:space="0" w:color="auto"/>
            </w:tcBorders>
            <w:shd w:val="clear" w:color="auto" w:fill="auto"/>
            <w:noWrap/>
            <w:vAlign w:val="center"/>
            <w:hideMark/>
          </w:tcPr>
          <w:p w14:paraId="3C403BE7" w14:textId="77777777"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0.40%</w:t>
            </w:r>
          </w:p>
        </w:tc>
      </w:tr>
      <w:tr w:rsidR="00177959" w:rsidRPr="000E2036" w14:paraId="12EC7D2C" w14:textId="77777777" w:rsidTr="002723AF">
        <w:trPr>
          <w:trHeight w:val="240"/>
          <w:jc w:val="center"/>
        </w:trPr>
        <w:tc>
          <w:tcPr>
            <w:tcW w:w="4300" w:type="dxa"/>
            <w:tcBorders>
              <w:top w:val="nil"/>
              <w:left w:val="single" w:sz="4" w:space="0" w:color="auto"/>
              <w:bottom w:val="single" w:sz="4" w:space="0" w:color="auto"/>
              <w:right w:val="single" w:sz="4" w:space="0" w:color="auto"/>
            </w:tcBorders>
            <w:shd w:val="clear" w:color="auto" w:fill="auto"/>
            <w:noWrap/>
            <w:vAlign w:val="center"/>
            <w:hideMark/>
          </w:tcPr>
          <w:p w14:paraId="45FE32ED" w14:textId="77777777" w:rsidR="00177959" w:rsidRPr="000E2036" w:rsidRDefault="00177959" w:rsidP="00177959">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Earnings per share </w:t>
            </w:r>
          </w:p>
        </w:tc>
        <w:tc>
          <w:tcPr>
            <w:tcW w:w="1300" w:type="dxa"/>
            <w:tcBorders>
              <w:top w:val="nil"/>
              <w:left w:val="nil"/>
              <w:bottom w:val="single" w:sz="4" w:space="0" w:color="auto"/>
              <w:right w:val="single" w:sz="4" w:space="0" w:color="auto"/>
            </w:tcBorders>
            <w:shd w:val="clear" w:color="auto" w:fill="auto"/>
            <w:noWrap/>
            <w:vAlign w:val="center"/>
            <w:hideMark/>
          </w:tcPr>
          <w:p w14:paraId="43F479DA" w14:textId="77777777"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1.97</w:t>
            </w:r>
          </w:p>
        </w:tc>
        <w:tc>
          <w:tcPr>
            <w:tcW w:w="1300" w:type="dxa"/>
            <w:tcBorders>
              <w:top w:val="nil"/>
              <w:left w:val="nil"/>
              <w:bottom w:val="single" w:sz="4" w:space="0" w:color="auto"/>
              <w:right w:val="single" w:sz="4" w:space="0" w:color="auto"/>
            </w:tcBorders>
            <w:shd w:val="clear" w:color="auto" w:fill="auto"/>
            <w:noWrap/>
            <w:vAlign w:val="center"/>
            <w:hideMark/>
          </w:tcPr>
          <w:p w14:paraId="14F36C2D" w14:textId="77777777" w:rsidR="00177959" w:rsidRPr="000E2036" w:rsidRDefault="00177959" w:rsidP="00177959">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1.85</w:t>
            </w:r>
          </w:p>
        </w:tc>
        <w:tc>
          <w:tcPr>
            <w:tcW w:w="1300" w:type="dxa"/>
            <w:tcBorders>
              <w:top w:val="nil"/>
              <w:left w:val="nil"/>
              <w:bottom w:val="single" w:sz="4" w:space="0" w:color="auto"/>
              <w:right w:val="single" w:sz="4" w:space="0" w:color="auto"/>
            </w:tcBorders>
            <w:shd w:val="clear" w:color="auto" w:fill="auto"/>
            <w:noWrap/>
            <w:vAlign w:val="center"/>
            <w:hideMark/>
          </w:tcPr>
          <w:p w14:paraId="5989B4DE" w14:textId="74DA957B" w:rsidR="00177959" w:rsidRPr="000E2036" w:rsidRDefault="002649A1" w:rsidP="00177959">
            <w:pPr>
              <w:jc w:val="right"/>
              <w:rPr>
                <w:rFonts w:ascii="Arial" w:eastAsia="SimSun" w:hAnsi="Arial" w:cs="Arial"/>
                <w:color w:val="000000"/>
                <w:kern w:val="0"/>
                <w:lang w:val="en-GB" w:eastAsia="zh-CN"/>
              </w:rPr>
            </w:pPr>
            <w:r w:rsidRPr="002649A1">
              <w:rPr>
                <w:rFonts w:ascii="Arial" w:eastAsia="SimSun" w:hAnsi="Arial" w:cs="Arial"/>
                <w:color w:val="000000"/>
                <w:kern w:val="0"/>
                <w:lang w:val="en-GB" w:eastAsia="zh-CN"/>
              </w:rPr>
              <w:t>−</w:t>
            </w:r>
            <w:r w:rsidR="00177959" w:rsidRPr="000E2036">
              <w:rPr>
                <w:rFonts w:ascii="Arial" w:eastAsia="SimSun" w:hAnsi="Arial" w:cs="Arial"/>
                <w:color w:val="000000"/>
                <w:kern w:val="0"/>
                <w:lang w:val="en-GB" w:eastAsia="zh-CN"/>
              </w:rPr>
              <w:t>5.80%</w:t>
            </w:r>
          </w:p>
        </w:tc>
      </w:tr>
    </w:tbl>
    <w:p w14:paraId="06425A29" w14:textId="77777777" w:rsidR="005F2764" w:rsidRPr="000E2036" w:rsidRDefault="005F2764" w:rsidP="00E8070D">
      <w:pPr>
        <w:pStyle w:val="BodyTextMain"/>
        <w:rPr>
          <w:lang w:val="en-GB"/>
        </w:rPr>
      </w:pPr>
    </w:p>
    <w:p w14:paraId="6C33F131" w14:textId="4004143B" w:rsidR="006400FF" w:rsidRPr="000E2036" w:rsidRDefault="00AF7B9D" w:rsidP="00E8070D">
      <w:pPr>
        <w:pStyle w:val="BodyTextMain"/>
        <w:rPr>
          <w:rFonts w:ascii="Arial" w:hAnsi="Arial" w:cs="Arial"/>
          <w:sz w:val="17"/>
          <w:szCs w:val="17"/>
          <w:lang w:val="en-GB"/>
        </w:rPr>
      </w:pPr>
      <w:r w:rsidRPr="000E2036">
        <w:rPr>
          <w:rFonts w:ascii="Arial" w:hAnsi="Arial" w:cs="Arial"/>
          <w:sz w:val="17"/>
          <w:szCs w:val="17"/>
          <w:lang w:val="en-GB"/>
        </w:rPr>
        <w:t>Note: ¥ = Japanese yen; US$1</w:t>
      </w:r>
      <w:r w:rsidR="00AC391A">
        <w:rPr>
          <w:rFonts w:ascii="Arial" w:hAnsi="Arial" w:cs="Arial"/>
          <w:sz w:val="17"/>
          <w:szCs w:val="17"/>
          <w:lang w:val="en-GB"/>
        </w:rPr>
        <w:t>.00</w:t>
      </w:r>
      <w:r w:rsidRPr="000E2036">
        <w:rPr>
          <w:rFonts w:ascii="Arial" w:hAnsi="Arial" w:cs="Arial"/>
          <w:sz w:val="17"/>
          <w:szCs w:val="17"/>
          <w:lang w:val="en-GB"/>
        </w:rPr>
        <w:t xml:space="preserve"> = ¥114.37 on December 1, 2016;</w:t>
      </w:r>
      <w:r w:rsidR="006400FF" w:rsidRPr="000E2036">
        <w:rPr>
          <w:rFonts w:ascii="Arial" w:hAnsi="Arial" w:cs="Arial"/>
          <w:sz w:val="17"/>
          <w:szCs w:val="17"/>
          <w:lang w:val="en-GB"/>
        </w:rPr>
        <w:t xml:space="preserve"> EBITDA = earnings before interest, taxes, depreciation, and amortization</w:t>
      </w:r>
      <w:r w:rsidR="00AC391A">
        <w:rPr>
          <w:rFonts w:ascii="Arial" w:hAnsi="Arial" w:cs="Arial"/>
          <w:sz w:val="17"/>
          <w:szCs w:val="17"/>
          <w:lang w:val="en-GB"/>
        </w:rPr>
        <w:t>.</w:t>
      </w:r>
    </w:p>
    <w:p w14:paraId="4256621F" w14:textId="00A58A92" w:rsidR="004E5B49" w:rsidRPr="000E2036" w:rsidRDefault="005F2764" w:rsidP="00E8070D">
      <w:pPr>
        <w:pStyle w:val="BodyTextMain"/>
        <w:rPr>
          <w:rFonts w:ascii="Arial" w:hAnsi="Arial" w:cs="Arial"/>
          <w:sz w:val="17"/>
          <w:szCs w:val="17"/>
          <w:lang w:val="en-GB"/>
        </w:rPr>
      </w:pPr>
      <w:r w:rsidRPr="000E2036">
        <w:rPr>
          <w:rFonts w:ascii="Arial" w:hAnsi="Arial" w:cs="Arial"/>
          <w:sz w:val="17"/>
          <w:szCs w:val="17"/>
          <w:lang w:val="en-GB"/>
        </w:rPr>
        <w:t>Source: Created by the case authors based on CFAO</w:t>
      </w:r>
      <w:r w:rsidR="006400FF" w:rsidRPr="000E2036">
        <w:rPr>
          <w:rFonts w:ascii="Arial" w:hAnsi="Arial" w:cs="Arial"/>
          <w:sz w:val="17"/>
          <w:szCs w:val="17"/>
          <w:lang w:val="en-GB"/>
        </w:rPr>
        <w:t>,</w:t>
      </w:r>
      <w:r w:rsidRPr="000E2036">
        <w:rPr>
          <w:rFonts w:ascii="Arial" w:hAnsi="Arial" w:cs="Arial"/>
          <w:sz w:val="17"/>
          <w:szCs w:val="17"/>
          <w:lang w:val="en-GB"/>
        </w:rPr>
        <w:t xml:space="preserve"> </w:t>
      </w:r>
      <w:r w:rsidR="006400FF" w:rsidRPr="000E2036">
        <w:rPr>
          <w:rFonts w:ascii="Arial" w:hAnsi="Arial" w:cs="Arial"/>
          <w:sz w:val="17"/>
          <w:szCs w:val="17"/>
          <w:lang w:val="en-GB"/>
        </w:rPr>
        <w:t>“</w:t>
      </w:r>
      <w:r w:rsidRPr="000E2036">
        <w:rPr>
          <w:rFonts w:ascii="Arial" w:hAnsi="Arial" w:cs="Arial"/>
          <w:sz w:val="17"/>
          <w:szCs w:val="17"/>
          <w:lang w:val="en-GB"/>
        </w:rPr>
        <w:t xml:space="preserve">2012 </w:t>
      </w:r>
      <w:r w:rsidR="006400FF" w:rsidRPr="000E2036">
        <w:rPr>
          <w:rFonts w:ascii="Arial" w:hAnsi="Arial" w:cs="Arial"/>
          <w:sz w:val="17"/>
          <w:szCs w:val="17"/>
          <w:lang w:val="en-GB"/>
        </w:rPr>
        <w:t xml:space="preserve">Fourth-Quarter Revenue: 2012 </w:t>
      </w:r>
      <w:r w:rsidRPr="000E2036">
        <w:rPr>
          <w:rFonts w:ascii="Arial" w:hAnsi="Arial" w:cs="Arial"/>
          <w:sz w:val="17"/>
          <w:szCs w:val="17"/>
          <w:lang w:val="en-GB"/>
        </w:rPr>
        <w:t>Annual Re</w:t>
      </w:r>
      <w:r w:rsidR="006400FF" w:rsidRPr="000E2036">
        <w:rPr>
          <w:rFonts w:ascii="Arial" w:hAnsi="Arial" w:cs="Arial"/>
          <w:sz w:val="17"/>
          <w:szCs w:val="17"/>
          <w:lang w:val="en-GB"/>
        </w:rPr>
        <w:t>sults</w:t>
      </w:r>
      <w:r w:rsidRPr="000E2036">
        <w:rPr>
          <w:rFonts w:ascii="Arial" w:hAnsi="Arial" w:cs="Arial"/>
          <w:sz w:val="17"/>
          <w:szCs w:val="17"/>
          <w:lang w:val="en-GB"/>
        </w:rPr>
        <w:t xml:space="preserve">,” </w:t>
      </w:r>
      <w:r w:rsidR="006400FF" w:rsidRPr="000E2036">
        <w:rPr>
          <w:rFonts w:ascii="Arial" w:hAnsi="Arial" w:cs="Arial"/>
          <w:sz w:val="17"/>
          <w:szCs w:val="17"/>
          <w:lang w:val="en-GB"/>
        </w:rPr>
        <w:t>press release</w:t>
      </w:r>
      <w:r w:rsidR="002649A1" w:rsidRPr="000E2036">
        <w:rPr>
          <w:rFonts w:ascii="Arial" w:hAnsi="Arial" w:cs="Arial"/>
          <w:sz w:val="17"/>
          <w:szCs w:val="17"/>
          <w:lang w:val="en-GB"/>
        </w:rPr>
        <w:t>, 3</w:t>
      </w:r>
      <w:r w:rsidR="006400FF" w:rsidRPr="000E2036">
        <w:rPr>
          <w:rFonts w:ascii="Arial" w:hAnsi="Arial" w:cs="Arial"/>
          <w:sz w:val="17"/>
          <w:szCs w:val="17"/>
          <w:lang w:val="en-GB"/>
        </w:rPr>
        <w:t xml:space="preserve">, February 21, 2013, </w:t>
      </w:r>
      <w:r w:rsidRPr="000E2036">
        <w:rPr>
          <w:rFonts w:ascii="Arial" w:hAnsi="Arial" w:cs="Arial"/>
          <w:sz w:val="17"/>
          <w:szCs w:val="17"/>
          <w:lang w:val="en-GB"/>
        </w:rPr>
        <w:t>accessed September 19, 2017, http://phx.corporate-ir.net/External.File?item=UGFyZW50SUQ9MTcyNzA1fENoaWxkSUQ9LTF8VHlwZT0z&amp;t=1.</w:t>
      </w:r>
    </w:p>
    <w:p w14:paraId="06FF1595" w14:textId="77777777" w:rsidR="004E5B49" w:rsidRPr="000E2036" w:rsidRDefault="004E5B49" w:rsidP="00E8070D">
      <w:pPr>
        <w:pStyle w:val="BodyTextMain"/>
        <w:rPr>
          <w:lang w:val="en-GB"/>
        </w:rPr>
      </w:pPr>
    </w:p>
    <w:p w14:paraId="158AB044" w14:textId="77777777" w:rsidR="00177959" w:rsidRPr="000E2036" w:rsidRDefault="00177959" w:rsidP="00E8070D">
      <w:pPr>
        <w:pStyle w:val="BodyTextMain"/>
        <w:rPr>
          <w:lang w:val="en-GB"/>
        </w:rPr>
      </w:pPr>
    </w:p>
    <w:p w14:paraId="2BBA29C6" w14:textId="01A5DDD3" w:rsidR="004E5B49" w:rsidRPr="000E2036" w:rsidRDefault="004E5B49" w:rsidP="002723AF">
      <w:pPr>
        <w:pStyle w:val="ExhibitHeading"/>
        <w:rPr>
          <w:lang w:val="en-GB" w:eastAsia="zh-CN"/>
        </w:rPr>
      </w:pPr>
      <w:r w:rsidRPr="000E2036">
        <w:rPr>
          <w:lang w:val="en-GB" w:eastAsia="zh-CN"/>
        </w:rPr>
        <w:t>Exhibit 4:</w:t>
      </w:r>
      <w:r w:rsidR="002055C1" w:rsidRPr="000E2036">
        <w:rPr>
          <w:lang w:val="en-GB" w:eastAsia="zh-CN"/>
        </w:rPr>
        <w:t xml:space="preserve"> WORLD LARGEST MASS RETAIL COMPANIES IN 2013</w:t>
      </w:r>
    </w:p>
    <w:p w14:paraId="02EBB233" w14:textId="77777777" w:rsidR="004E5B49" w:rsidRPr="000E2036" w:rsidRDefault="004E5B49" w:rsidP="00E8070D">
      <w:pPr>
        <w:pStyle w:val="BodyTextMain"/>
        <w:rPr>
          <w:lang w:val="en-GB"/>
        </w:rPr>
      </w:pPr>
    </w:p>
    <w:tbl>
      <w:tblPr>
        <w:tblW w:w="9220" w:type="dxa"/>
        <w:tblInd w:w="93" w:type="dxa"/>
        <w:tblLook w:val="04A0" w:firstRow="1" w:lastRow="0" w:firstColumn="1" w:lastColumn="0" w:noHBand="0" w:noVBand="1"/>
      </w:tblPr>
      <w:tblGrid>
        <w:gridCol w:w="1005"/>
        <w:gridCol w:w="1985"/>
        <w:gridCol w:w="1039"/>
        <w:gridCol w:w="1439"/>
        <w:gridCol w:w="1159"/>
        <w:gridCol w:w="1272"/>
        <w:gridCol w:w="1321"/>
      </w:tblGrid>
      <w:tr w:rsidR="00D66F61" w:rsidRPr="000E2036" w14:paraId="5D15DA38" w14:textId="77777777" w:rsidTr="00D66F61">
        <w:trPr>
          <w:trHeight w:val="1440"/>
        </w:trPr>
        <w:tc>
          <w:tcPr>
            <w:tcW w:w="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CFBFD4" w14:textId="34E0AF15" w:rsidR="00D66F61" w:rsidRPr="000E2036" w:rsidRDefault="00D66F61" w:rsidP="00D66F61">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 xml:space="preserve">Top </w:t>
            </w:r>
            <w:r w:rsidR="006400FF" w:rsidRPr="000E2036">
              <w:rPr>
                <w:rFonts w:ascii="Arial" w:eastAsia="SimSun" w:hAnsi="Arial" w:cs="Arial"/>
                <w:b/>
                <w:bCs/>
                <w:color w:val="000000"/>
                <w:kern w:val="0"/>
                <w:lang w:val="en-GB" w:eastAsia="zh-CN"/>
              </w:rPr>
              <w:t>10</w:t>
            </w:r>
            <w:r w:rsidRPr="000E2036">
              <w:rPr>
                <w:rFonts w:ascii="Arial" w:eastAsia="SimSun" w:hAnsi="Arial" w:cs="Arial"/>
                <w:b/>
                <w:bCs/>
                <w:color w:val="000000"/>
                <w:kern w:val="0"/>
                <w:lang w:val="en-GB" w:eastAsia="zh-CN"/>
              </w:rPr>
              <w:t xml:space="preserve"> Ranking</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6FFF1AE1" w14:textId="77777777" w:rsidR="00D66F61" w:rsidRPr="000E2036" w:rsidRDefault="00D66F61" w:rsidP="00D66F61">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Name of Company</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28B7150A" w14:textId="77777777" w:rsidR="00D66F61" w:rsidRPr="000E2036" w:rsidRDefault="00D66F61" w:rsidP="00D66F61">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Country of Origin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2AED84F" w14:textId="77777777" w:rsidR="00D66F61" w:rsidRPr="000E2036" w:rsidRDefault="00D66F61" w:rsidP="00D66F61">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Retail Revenue (US$ million)</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58AD009A" w14:textId="77777777" w:rsidR="00D66F61" w:rsidRPr="000E2036" w:rsidRDefault="00D66F61" w:rsidP="00D66F61">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Retail Revenue Growth (%)</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FFCECBB" w14:textId="2AA9807D" w:rsidR="00D66F61" w:rsidRPr="000E2036" w:rsidRDefault="00D66F61" w:rsidP="00D66F61">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N</w:t>
            </w:r>
            <w:r w:rsidR="00150192" w:rsidRPr="000E2036">
              <w:rPr>
                <w:rFonts w:ascii="Arial" w:eastAsia="SimSun" w:hAnsi="Arial" w:cs="Arial"/>
                <w:b/>
                <w:bCs/>
                <w:color w:val="000000"/>
                <w:kern w:val="0"/>
                <w:lang w:val="en-GB" w:eastAsia="zh-CN"/>
              </w:rPr>
              <w:t>u</w:t>
            </w:r>
            <w:r w:rsidR="00AF7B9D" w:rsidRPr="000E2036">
              <w:rPr>
                <w:rFonts w:ascii="Arial" w:eastAsia="SimSun" w:hAnsi="Arial" w:cs="Arial"/>
                <w:b/>
                <w:bCs/>
                <w:color w:val="000000"/>
                <w:kern w:val="0"/>
                <w:lang w:val="en-GB" w:eastAsia="zh-CN"/>
              </w:rPr>
              <w:t>m</w:t>
            </w:r>
            <w:r w:rsidR="00150192" w:rsidRPr="000E2036">
              <w:rPr>
                <w:rFonts w:ascii="Arial" w:eastAsia="SimSun" w:hAnsi="Arial" w:cs="Arial"/>
                <w:b/>
                <w:bCs/>
                <w:color w:val="000000"/>
                <w:kern w:val="0"/>
                <w:lang w:val="en-GB" w:eastAsia="zh-CN"/>
              </w:rPr>
              <w:t>ber</w:t>
            </w:r>
            <w:r w:rsidRPr="000E2036">
              <w:rPr>
                <w:rFonts w:ascii="Arial" w:eastAsia="SimSun" w:hAnsi="Arial" w:cs="Arial"/>
                <w:b/>
                <w:bCs/>
                <w:color w:val="000000"/>
                <w:kern w:val="0"/>
                <w:lang w:val="en-GB" w:eastAsia="zh-CN"/>
              </w:rPr>
              <w:t xml:space="preserve"> of Countries in Operations</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2512CB81" w14:textId="77777777" w:rsidR="00D66F61" w:rsidRPr="000E2036" w:rsidRDefault="00D66F61" w:rsidP="00D66F61">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Retail Revenue from Foreign Operations (%)</w:t>
            </w:r>
          </w:p>
        </w:tc>
      </w:tr>
      <w:tr w:rsidR="00D66F61" w:rsidRPr="000E2036" w14:paraId="2A9FBF32" w14:textId="77777777" w:rsidTr="00D66F61">
        <w:trPr>
          <w:trHeight w:val="24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2A6185B0"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w:t>
            </w:r>
          </w:p>
        </w:tc>
        <w:tc>
          <w:tcPr>
            <w:tcW w:w="2160" w:type="dxa"/>
            <w:tcBorders>
              <w:top w:val="nil"/>
              <w:left w:val="nil"/>
              <w:bottom w:val="single" w:sz="4" w:space="0" w:color="auto"/>
              <w:right w:val="single" w:sz="4" w:space="0" w:color="auto"/>
            </w:tcBorders>
            <w:shd w:val="clear" w:color="auto" w:fill="auto"/>
            <w:vAlign w:val="center"/>
            <w:hideMark/>
          </w:tcPr>
          <w:p w14:paraId="7A5287A0" w14:textId="77777777" w:rsidR="00D66F61" w:rsidRPr="000E2036" w:rsidRDefault="00D66F61" w:rsidP="00D66F61">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Wal-Mart Stores, Inc.</w:t>
            </w:r>
          </w:p>
        </w:tc>
        <w:tc>
          <w:tcPr>
            <w:tcW w:w="1020" w:type="dxa"/>
            <w:tcBorders>
              <w:top w:val="nil"/>
              <w:left w:val="nil"/>
              <w:bottom w:val="single" w:sz="4" w:space="0" w:color="auto"/>
              <w:right w:val="single" w:sz="4" w:space="0" w:color="auto"/>
            </w:tcBorders>
            <w:shd w:val="clear" w:color="auto" w:fill="auto"/>
            <w:vAlign w:val="center"/>
            <w:hideMark/>
          </w:tcPr>
          <w:p w14:paraId="4B2A0B65"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U.S.</w:t>
            </w:r>
          </w:p>
        </w:tc>
        <w:tc>
          <w:tcPr>
            <w:tcW w:w="1260" w:type="dxa"/>
            <w:tcBorders>
              <w:top w:val="nil"/>
              <w:left w:val="nil"/>
              <w:bottom w:val="single" w:sz="4" w:space="0" w:color="auto"/>
              <w:right w:val="single" w:sz="4" w:space="0" w:color="auto"/>
            </w:tcBorders>
            <w:shd w:val="clear" w:color="auto" w:fill="auto"/>
            <w:vAlign w:val="center"/>
            <w:hideMark/>
          </w:tcPr>
          <w:p w14:paraId="27040EB7"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476,294</w:t>
            </w:r>
          </w:p>
        </w:tc>
        <w:tc>
          <w:tcPr>
            <w:tcW w:w="1200" w:type="dxa"/>
            <w:tcBorders>
              <w:top w:val="nil"/>
              <w:left w:val="nil"/>
              <w:bottom w:val="single" w:sz="4" w:space="0" w:color="auto"/>
              <w:right w:val="single" w:sz="4" w:space="0" w:color="auto"/>
            </w:tcBorders>
            <w:shd w:val="clear" w:color="auto" w:fill="auto"/>
            <w:vAlign w:val="center"/>
            <w:hideMark/>
          </w:tcPr>
          <w:p w14:paraId="61B540F8"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1.5</w:t>
            </w:r>
          </w:p>
        </w:tc>
        <w:tc>
          <w:tcPr>
            <w:tcW w:w="1260" w:type="dxa"/>
            <w:tcBorders>
              <w:top w:val="nil"/>
              <w:left w:val="nil"/>
              <w:bottom w:val="single" w:sz="4" w:space="0" w:color="auto"/>
              <w:right w:val="single" w:sz="4" w:space="0" w:color="auto"/>
            </w:tcBorders>
            <w:shd w:val="clear" w:color="auto" w:fill="auto"/>
            <w:vAlign w:val="center"/>
            <w:hideMark/>
          </w:tcPr>
          <w:p w14:paraId="018A56AB"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28</w:t>
            </w:r>
          </w:p>
        </w:tc>
        <w:tc>
          <w:tcPr>
            <w:tcW w:w="1340" w:type="dxa"/>
            <w:tcBorders>
              <w:top w:val="nil"/>
              <w:left w:val="nil"/>
              <w:bottom w:val="single" w:sz="4" w:space="0" w:color="auto"/>
              <w:right w:val="single" w:sz="4" w:space="0" w:color="auto"/>
            </w:tcBorders>
            <w:shd w:val="clear" w:color="auto" w:fill="auto"/>
            <w:vAlign w:val="center"/>
            <w:hideMark/>
          </w:tcPr>
          <w:p w14:paraId="332B992A"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28.9</w:t>
            </w:r>
          </w:p>
        </w:tc>
      </w:tr>
      <w:tr w:rsidR="00D66F61" w:rsidRPr="000E2036" w14:paraId="586C3DFB" w14:textId="77777777" w:rsidTr="00D66F61">
        <w:trPr>
          <w:trHeight w:val="48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4D76A576"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w:t>
            </w:r>
          </w:p>
        </w:tc>
        <w:tc>
          <w:tcPr>
            <w:tcW w:w="2160" w:type="dxa"/>
            <w:tcBorders>
              <w:top w:val="nil"/>
              <w:left w:val="nil"/>
              <w:bottom w:val="single" w:sz="4" w:space="0" w:color="auto"/>
              <w:right w:val="single" w:sz="4" w:space="0" w:color="auto"/>
            </w:tcBorders>
            <w:shd w:val="clear" w:color="auto" w:fill="auto"/>
            <w:vAlign w:val="center"/>
            <w:hideMark/>
          </w:tcPr>
          <w:p w14:paraId="5BB67C37" w14:textId="77777777" w:rsidR="00D66F61" w:rsidRPr="000E2036" w:rsidRDefault="00D66F61" w:rsidP="00D66F61">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Costco Wholesale Corporation</w:t>
            </w:r>
          </w:p>
        </w:tc>
        <w:tc>
          <w:tcPr>
            <w:tcW w:w="1020" w:type="dxa"/>
            <w:tcBorders>
              <w:top w:val="nil"/>
              <w:left w:val="nil"/>
              <w:bottom w:val="single" w:sz="4" w:space="0" w:color="auto"/>
              <w:right w:val="single" w:sz="4" w:space="0" w:color="auto"/>
            </w:tcBorders>
            <w:shd w:val="clear" w:color="auto" w:fill="auto"/>
            <w:vAlign w:val="center"/>
            <w:hideMark/>
          </w:tcPr>
          <w:p w14:paraId="02C83223"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U.S.</w:t>
            </w:r>
          </w:p>
        </w:tc>
        <w:tc>
          <w:tcPr>
            <w:tcW w:w="1260" w:type="dxa"/>
            <w:tcBorders>
              <w:top w:val="nil"/>
              <w:left w:val="nil"/>
              <w:bottom w:val="single" w:sz="4" w:space="0" w:color="auto"/>
              <w:right w:val="single" w:sz="4" w:space="0" w:color="auto"/>
            </w:tcBorders>
            <w:shd w:val="clear" w:color="auto" w:fill="auto"/>
            <w:vAlign w:val="center"/>
            <w:hideMark/>
          </w:tcPr>
          <w:p w14:paraId="55380842"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105,156</w:t>
            </w:r>
          </w:p>
        </w:tc>
        <w:tc>
          <w:tcPr>
            <w:tcW w:w="1200" w:type="dxa"/>
            <w:tcBorders>
              <w:top w:val="nil"/>
              <w:left w:val="nil"/>
              <w:bottom w:val="single" w:sz="4" w:space="0" w:color="auto"/>
              <w:right w:val="single" w:sz="4" w:space="0" w:color="auto"/>
            </w:tcBorders>
            <w:shd w:val="clear" w:color="auto" w:fill="auto"/>
            <w:vAlign w:val="center"/>
            <w:hideMark/>
          </w:tcPr>
          <w:p w14:paraId="61A1B7E0"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6.1</w:t>
            </w:r>
          </w:p>
        </w:tc>
        <w:tc>
          <w:tcPr>
            <w:tcW w:w="1260" w:type="dxa"/>
            <w:tcBorders>
              <w:top w:val="nil"/>
              <w:left w:val="nil"/>
              <w:bottom w:val="single" w:sz="4" w:space="0" w:color="auto"/>
              <w:right w:val="single" w:sz="4" w:space="0" w:color="auto"/>
            </w:tcBorders>
            <w:shd w:val="clear" w:color="auto" w:fill="auto"/>
            <w:vAlign w:val="center"/>
            <w:hideMark/>
          </w:tcPr>
          <w:p w14:paraId="1417EC70"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9</w:t>
            </w:r>
          </w:p>
        </w:tc>
        <w:tc>
          <w:tcPr>
            <w:tcW w:w="1340" w:type="dxa"/>
            <w:tcBorders>
              <w:top w:val="nil"/>
              <w:left w:val="nil"/>
              <w:bottom w:val="single" w:sz="4" w:space="0" w:color="auto"/>
              <w:right w:val="single" w:sz="4" w:space="0" w:color="auto"/>
            </w:tcBorders>
            <w:shd w:val="clear" w:color="auto" w:fill="auto"/>
            <w:vAlign w:val="center"/>
            <w:hideMark/>
          </w:tcPr>
          <w:p w14:paraId="74D632EA"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28.2</w:t>
            </w:r>
          </w:p>
        </w:tc>
      </w:tr>
      <w:tr w:rsidR="00D66F61" w:rsidRPr="000E2036" w14:paraId="0144C7E9" w14:textId="77777777" w:rsidTr="00D66F61">
        <w:trPr>
          <w:trHeight w:val="24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4B92B381"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w:t>
            </w:r>
          </w:p>
        </w:tc>
        <w:tc>
          <w:tcPr>
            <w:tcW w:w="2160" w:type="dxa"/>
            <w:tcBorders>
              <w:top w:val="nil"/>
              <w:left w:val="nil"/>
              <w:bottom w:val="single" w:sz="4" w:space="0" w:color="auto"/>
              <w:right w:val="single" w:sz="4" w:space="0" w:color="auto"/>
            </w:tcBorders>
            <w:shd w:val="clear" w:color="auto" w:fill="auto"/>
            <w:vAlign w:val="center"/>
            <w:hideMark/>
          </w:tcPr>
          <w:p w14:paraId="55FD363A" w14:textId="77777777" w:rsidR="00D66F61" w:rsidRPr="000E2036" w:rsidRDefault="00D66F61" w:rsidP="00D66F61">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Carrefour S.A.</w:t>
            </w:r>
          </w:p>
        </w:tc>
        <w:tc>
          <w:tcPr>
            <w:tcW w:w="1020" w:type="dxa"/>
            <w:tcBorders>
              <w:top w:val="nil"/>
              <w:left w:val="nil"/>
              <w:bottom w:val="single" w:sz="4" w:space="0" w:color="auto"/>
              <w:right w:val="single" w:sz="4" w:space="0" w:color="auto"/>
            </w:tcBorders>
            <w:shd w:val="clear" w:color="auto" w:fill="auto"/>
            <w:vAlign w:val="center"/>
            <w:hideMark/>
          </w:tcPr>
          <w:p w14:paraId="6E162B28"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France</w:t>
            </w:r>
          </w:p>
        </w:tc>
        <w:tc>
          <w:tcPr>
            <w:tcW w:w="1260" w:type="dxa"/>
            <w:tcBorders>
              <w:top w:val="nil"/>
              <w:left w:val="nil"/>
              <w:bottom w:val="single" w:sz="4" w:space="0" w:color="auto"/>
              <w:right w:val="single" w:sz="4" w:space="0" w:color="auto"/>
            </w:tcBorders>
            <w:shd w:val="clear" w:color="auto" w:fill="auto"/>
            <w:vAlign w:val="center"/>
            <w:hideMark/>
          </w:tcPr>
          <w:p w14:paraId="6382806F"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98,688</w:t>
            </w:r>
          </w:p>
        </w:tc>
        <w:tc>
          <w:tcPr>
            <w:tcW w:w="1200" w:type="dxa"/>
            <w:tcBorders>
              <w:top w:val="nil"/>
              <w:left w:val="nil"/>
              <w:bottom w:val="single" w:sz="4" w:space="0" w:color="auto"/>
              <w:right w:val="single" w:sz="4" w:space="0" w:color="auto"/>
            </w:tcBorders>
            <w:shd w:val="clear" w:color="auto" w:fill="auto"/>
            <w:vAlign w:val="center"/>
            <w:hideMark/>
          </w:tcPr>
          <w:p w14:paraId="2086198A" w14:textId="46E2BEDE" w:rsidR="00D66F61" w:rsidRPr="000E2036" w:rsidRDefault="00AC391A"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D66F61" w:rsidRPr="000E2036">
              <w:rPr>
                <w:rFonts w:ascii="Arial" w:eastAsia="SimSun" w:hAnsi="Arial" w:cs="Arial"/>
                <w:color w:val="000000"/>
                <w:kern w:val="0"/>
                <w:lang w:val="en-GB" w:eastAsia="zh-CN"/>
              </w:rPr>
              <w:t>2.4</w:t>
            </w:r>
          </w:p>
        </w:tc>
        <w:tc>
          <w:tcPr>
            <w:tcW w:w="1260" w:type="dxa"/>
            <w:tcBorders>
              <w:top w:val="nil"/>
              <w:left w:val="nil"/>
              <w:bottom w:val="single" w:sz="4" w:space="0" w:color="auto"/>
              <w:right w:val="single" w:sz="4" w:space="0" w:color="auto"/>
            </w:tcBorders>
            <w:shd w:val="clear" w:color="auto" w:fill="auto"/>
            <w:vAlign w:val="center"/>
            <w:hideMark/>
          </w:tcPr>
          <w:p w14:paraId="538E763C"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33</w:t>
            </w:r>
          </w:p>
        </w:tc>
        <w:tc>
          <w:tcPr>
            <w:tcW w:w="1340" w:type="dxa"/>
            <w:tcBorders>
              <w:top w:val="nil"/>
              <w:left w:val="nil"/>
              <w:bottom w:val="single" w:sz="4" w:space="0" w:color="auto"/>
              <w:right w:val="single" w:sz="4" w:space="0" w:color="auto"/>
            </w:tcBorders>
            <w:shd w:val="clear" w:color="auto" w:fill="auto"/>
            <w:vAlign w:val="center"/>
            <w:hideMark/>
          </w:tcPr>
          <w:p w14:paraId="1B5AB0FE"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52.7</w:t>
            </w:r>
          </w:p>
        </w:tc>
      </w:tr>
      <w:tr w:rsidR="00D66F61" w:rsidRPr="000E2036" w14:paraId="4E65447A" w14:textId="77777777" w:rsidTr="00D66F61">
        <w:trPr>
          <w:trHeight w:val="72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46B5DBA2"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4</w:t>
            </w:r>
          </w:p>
        </w:tc>
        <w:tc>
          <w:tcPr>
            <w:tcW w:w="2160" w:type="dxa"/>
            <w:tcBorders>
              <w:top w:val="nil"/>
              <w:left w:val="nil"/>
              <w:bottom w:val="single" w:sz="4" w:space="0" w:color="auto"/>
              <w:right w:val="single" w:sz="4" w:space="0" w:color="auto"/>
            </w:tcBorders>
            <w:shd w:val="clear" w:color="auto" w:fill="auto"/>
            <w:vAlign w:val="center"/>
            <w:hideMark/>
          </w:tcPr>
          <w:p w14:paraId="49B7B337" w14:textId="77777777" w:rsidR="00D66F61" w:rsidRPr="000E2036" w:rsidRDefault="00D66F61" w:rsidP="00D66F61">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Schwarz Unternehmens Treuhand KG</w:t>
            </w:r>
          </w:p>
        </w:tc>
        <w:tc>
          <w:tcPr>
            <w:tcW w:w="1020" w:type="dxa"/>
            <w:tcBorders>
              <w:top w:val="nil"/>
              <w:left w:val="nil"/>
              <w:bottom w:val="single" w:sz="4" w:space="0" w:color="auto"/>
              <w:right w:val="single" w:sz="4" w:space="0" w:color="auto"/>
            </w:tcBorders>
            <w:shd w:val="clear" w:color="auto" w:fill="auto"/>
            <w:vAlign w:val="center"/>
            <w:hideMark/>
          </w:tcPr>
          <w:p w14:paraId="2763105C"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Germany</w:t>
            </w:r>
          </w:p>
        </w:tc>
        <w:tc>
          <w:tcPr>
            <w:tcW w:w="1260" w:type="dxa"/>
            <w:tcBorders>
              <w:top w:val="nil"/>
              <w:left w:val="nil"/>
              <w:bottom w:val="single" w:sz="4" w:space="0" w:color="auto"/>
              <w:right w:val="single" w:sz="4" w:space="0" w:color="auto"/>
            </w:tcBorders>
            <w:shd w:val="clear" w:color="auto" w:fill="auto"/>
            <w:vAlign w:val="center"/>
            <w:hideMark/>
          </w:tcPr>
          <w:p w14:paraId="1E7768EC"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98,662</w:t>
            </w:r>
          </w:p>
        </w:tc>
        <w:tc>
          <w:tcPr>
            <w:tcW w:w="1200" w:type="dxa"/>
            <w:tcBorders>
              <w:top w:val="nil"/>
              <w:left w:val="nil"/>
              <w:bottom w:val="single" w:sz="4" w:space="0" w:color="auto"/>
              <w:right w:val="single" w:sz="4" w:space="0" w:color="auto"/>
            </w:tcBorders>
            <w:shd w:val="clear" w:color="auto" w:fill="auto"/>
            <w:vAlign w:val="center"/>
            <w:hideMark/>
          </w:tcPr>
          <w:p w14:paraId="6600F4DB"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9.5</w:t>
            </w:r>
          </w:p>
        </w:tc>
        <w:tc>
          <w:tcPr>
            <w:tcW w:w="1260" w:type="dxa"/>
            <w:tcBorders>
              <w:top w:val="nil"/>
              <w:left w:val="nil"/>
              <w:bottom w:val="single" w:sz="4" w:space="0" w:color="auto"/>
              <w:right w:val="single" w:sz="4" w:space="0" w:color="auto"/>
            </w:tcBorders>
            <w:shd w:val="clear" w:color="auto" w:fill="auto"/>
            <w:vAlign w:val="center"/>
            <w:hideMark/>
          </w:tcPr>
          <w:p w14:paraId="4DBE6E91"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26</w:t>
            </w:r>
          </w:p>
        </w:tc>
        <w:tc>
          <w:tcPr>
            <w:tcW w:w="1340" w:type="dxa"/>
            <w:tcBorders>
              <w:top w:val="nil"/>
              <w:left w:val="nil"/>
              <w:bottom w:val="single" w:sz="4" w:space="0" w:color="auto"/>
              <w:right w:val="single" w:sz="4" w:space="0" w:color="auto"/>
            </w:tcBorders>
            <w:shd w:val="clear" w:color="auto" w:fill="auto"/>
            <w:vAlign w:val="center"/>
            <w:hideMark/>
          </w:tcPr>
          <w:p w14:paraId="1DA497EE"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58.2</w:t>
            </w:r>
          </w:p>
        </w:tc>
      </w:tr>
      <w:tr w:rsidR="00D66F61" w:rsidRPr="000E2036" w14:paraId="2713302D" w14:textId="77777777" w:rsidTr="00D66F61">
        <w:trPr>
          <w:trHeight w:val="24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1E00CCF2"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5</w:t>
            </w:r>
          </w:p>
        </w:tc>
        <w:tc>
          <w:tcPr>
            <w:tcW w:w="2160" w:type="dxa"/>
            <w:tcBorders>
              <w:top w:val="nil"/>
              <w:left w:val="nil"/>
              <w:bottom w:val="single" w:sz="4" w:space="0" w:color="auto"/>
              <w:right w:val="single" w:sz="4" w:space="0" w:color="auto"/>
            </w:tcBorders>
            <w:shd w:val="clear" w:color="auto" w:fill="auto"/>
            <w:vAlign w:val="center"/>
            <w:hideMark/>
          </w:tcPr>
          <w:p w14:paraId="1FC3247A" w14:textId="77777777" w:rsidR="00D66F61" w:rsidRPr="000E2036" w:rsidRDefault="00D66F61" w:rsidP="00D66F61">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Tesco PLC</w:t>
            </w:r>
          </w:p>
        </w:tc>
        <w:tc>
          <w:tcPr>
            <w:tcW w:w="1020" w:type="dxa"/>
            <w:tcBorders>
              <w:top w:val="nil"/>
              <w:left w:val="nil"/>
              <w:bottom w:val="single" w:sz="4" w:space="0" w:color="auto"/>
              <w:right w:val="single" w:sz="4" w:space="0" w:color="auto"/>
            </w:tcBorders>
            <w:shd w:val="clear" w:color="auto" w:fill="auto"/>
            <w:vAlign w:val="center"/>
            <w:hideMark/>
          </w:tcPr>
          <w:p w14:paraId="1C5B1784"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U.K.</w:t>
            </w:r>
          </w:p>
        </w:tc>
        <w:tc>
          <w:tcPr>
            <w:tcW w:w="1260" w:type="dxa"/>
            <w:tcBorders>
              <w:top w:val="nil"/>
              <w:left w:val="nil"/>
              <w:bottom w:val="single" w:sz="4" w:space="0" w:color="auto"/>
              <w:right w:val="single" w:sz="4" w:space="0" w:color="auto"/>
            </w:tcBorders>
            <w:shd w:val="clear" w:color="auto" w:fill="auto"/>
            <w:vAlign w:val="center"/>
            <w:hideMark/>
          </w:tcPr>
          <w:p w14:paraId="6DA1E975"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98,631</w:t>
            </w:r>
          </w:p>
        </w:tc>
        <w:tc>
          <w:tcPr>
            <w:tcW w:w="1200" w:type="dxa"/>
            <w:tcBorders>
              <w:top w:val="nil"/>
              <w:left w:val="nil"/>
              <w:bottom w:val="single" w:sz="4" w:space="0" w:color="auto"/>
              <w:right w:val="single" w:sz="4" w:space="0" w:color="auto"/>
            </w:tcBorders>
            <w:shd w:val="clear" w:color="auto" w:fill="auto"/>
            <w:vAlign w:val="center"/>
            <w:hideMark/>
          </w:tcPr>
          <w:p w14:paraId="77862AC8" w14:textId="255F2D0A" w:rsidR="00D66F61" w:rsidRPr="000E2036" w:rsidRDefault="00AC391A" w:rsidP="00643336">
            <w:pPr>
              <w:jc w:val="right"/>
              <w:rPr>
                <w:rFonts w:ascii="Arial" w:eastAsia="SimSun" w:hAnsi="Arial" w:cs="Arial"/>
                <w:color w:val="000000"/>
                <w:kern w:val="0"/>
                <w:lang w:val="en-GB" w:eastAsia="zh-CN"/>
              </w:rPr>
            </w:pPr>
            <w:r w:rsidRPr="00AC391A">
              <w:rPr>
                <w:rFonts w:ascii="Arial" w:eastAsia="SimSun" w:hAnsi="Arial" w:cs="Arial"/>
                <w:color w:val="000000"/>
                <w:kern w:val="0"/>
                <w:lang w:val="en-GB" w:eastAsia="zh-CN"/>
              </w:rPr>
              <w:t>−</w:t>
            </w:r>
            <w:r w:rsidR="00D66F61" w:rsidRPr="000E2036">
              <w:rPr>
                <w:rFonts w:ascii="Arial" w:eastAsia="SimSun" w:hAnsi="Arial" w:cs="Arial"/>
                <w:color w:val="000000"/>
                <w:kern w:val="0"/>
                <w:lang w:val="en-GB" w:eastAsia="zh-CN"/>
              </w:rPr>
              <w:t>2.0</w:t>
            </w:r>
          </w:p>
        </w:tc>
        <w:tc>
          <w:tcPr>
            <w:tcW w:w="1260" w:type="dxa"/>
            <w:tcBorders>
              <w:top w:val="nil"/>
              <w:left w:val="nil"/>
              <w:bottom w:val="single" w:sz="4" w:space="0" w:color="auto"/>
              <w:right w:val="single" w:sz="4" w:space="0" w:color="auto"/>
            </w:tcBorders>
            <w:shd w:val="clear" w:color="auto" w:fill="auto"/>
            <w:vAlign w:val="center"/>
            <w:hideMark/>
          </w:tcPr>
          <w:p w14:paraId="71242F77"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13</w:t>
            </w:r>
          </w:p>
        </w:tc>
        <w:tc>
          <w:tcPr>
            <w:tcW w:w="1340" w:type="dxa"/>
            <w:tcBorders>
              <w:top w:val="nil"/>
              <w:left w:val="nil"/>
              <w:bottom w:val="single" w:sz="4" w:space="0" w:color="auto"/>
              <w:right w:val="single" w:sz="4" w:space="0" w:color="auto"/>
            </w:tcBorders>
            <w:shd w:val="clear" w:color="auto" w:fill="auto"/>
            <w:vAlign w:val="center"/>
            <w:hideMark/>
          </w:tcPr>
          <w:p w14:paraId="143DEF54"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32.3</w:t>
            </w:r>
          </w:p>
        </w:tc>
      </w:tr>
      <w:tr w:rsidR="00D66F61" w:rsidRPr="000E2036" w14:paraId="54BA1C69" w14:textId="77777777" w:rsidTr="00D66F61">
        <w:trPr>
          <w:trHeight w:val="24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262BECD7"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6</w:t>
            </w:r>
          </w:p>
        </w:tc>
        <w:tc>
          <w:tcPr>
            <w:tcW w:w="2160" w:type="dxa"/>
            <w:tcBorders>
              <w:top w:val="nil"/>
              <w:left w:val="nil"/>
              <w:bottom w:val="single" w:sz="4" w:space="0" w:color="auto"/>
              <w:right w:val="single" w:sz="4" w:space="0" w:color="auto"/>
            </w:tcBorders>
            <w:shd w:val="clear" w:color="auto" w:fill="auto"/>
            <w:vAlign w:val="center"/>
            <w:hideMark/>
          </w:tcPr>
          <w:p w14:paraId="7E29BA4F" w14:textId="77777777" w:rsidR="00D66F61" w:rsidRPr="000E2036" w:rsidRDefault="00D66F61" w:rsidP="00D66F61">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The Kroger Co.</w:t>
            </w:r>
          </w:p>
        </w:tc>
        <w:tc>
          <w:tcPr>
            <w:tcW w:w="1020" w:type="dxa"/>
            <w:tcBorders>
              <w:top w:val="nil"/>
              <w:left w:val="nil"/>
              <w:bottom w:val="single" w:sz="4" w:space="0" w:color="auto"/>
              <w:right w:val="single" w:sz="4" w:space="0" w:color="auto"/>
            </w:tcBorders>
            <w:shd w:val="clear" w:color="auto" w:fill="auto"/>
            <w:vAlign w:val="center"/>
            <w:hideMark/>
          </w:tcPr>
          <w:p w14:paraId="21DD7079"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U.S.</w:t>
            </w:r>
          </w:p>
        </w:tc>
        <w:tc>
          <w:tcPr>
            <w:tcW w:w="1260" w:type="dxa"/>
            <w:tcBorders>
              <w:top w:val="nil"/>
              <w:left w:val="nil"/>
              <w:bottom w:val="single" w:sz="4" w:space="0" w:color="auto"/>
              <w:right w:val="single" w:sz="4" w:space="0" w:color="auto"/>
            </w:tcBorders>
            <w:shd w:val="clear" w:color="auto" w:fill="auto"/>
            <w:vAlign w:val="center"/>
            <w:hideMark/>
          </w:tcPr>
          <w:p w14:paraId="47308A87"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98,375</w:t>
            </w:r>
          </w:p>
        </w:tc>
        <w:tc>
          <w:tcPr>
            <w:tcW w:w="1200" w:type="dxa"/>
            <w:tcBorders>
              <w:top w:val="nil"/>
              <w:left w:val="nil"/>
              <w:bottom w:val="single" w:sz="4" w:space="0" w:color="auto"/>
              <w:right w:val="single" w:sz="4" w:space="0" w:color="auto"/>
            </w:tcBorders>
            <w:shd w:val="clear" w:color="auto" w:fill="auto"/>
            <w:vAlign w:val="center"/>
            <w:hideMark/>
          </w:tcPr>
          <w:p w14:paraId="2C3F3C34"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1.7</w:t>
            </w:r>
          </w:p>
        </w:tc>
        <w:tc>
          <w:tcPr>
            <w:tcW w:w="1260" w:type="dxa"/>
            <w:tcBorders>
              <w:top w:val="nil"/>
              <w:left w:val="nil"/>
              <w:bottom w:val="single" w:sz="4" w:space="0" w:color="auto"/>
              <w:right w:val="single" w:sz="4" w:space="0" w:color="auto"/>
            </w:tcBorders>
            <w:shd w:val="clear" w:color="auto" w:fill="auto"/>
            <w:vAlign w:val="center"/>
            <w:hideMark/>
          </w:tcPr>
          <w:p w14:paraId="10F56498"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w:t>
            </w:r>
          </w:p>
        </w:tc>
        <w:tc>
          <w:tcPr>
            <w:tcW w:w="1340" w:type="dxa"/>
            <w:tcBorders>
              <w:top w:val="nil"/>
              <w:left w:val="nil"/>
              <w:bottom w:val="single" w:sz="4" w:space="0" w:color="auto"/>
              <w:right w:val="single" w:sz="4" w:space="0" w:color="auto"/>
            </w:tcBorders>
            <w:shd w:val="clear" w:color="auto" w:fill="auto"/>
            <w:vAlign w:val="center"/>
            <w:hideMark/>
          </w:tcPr>
          <w:p w14:paraId="3120DC8F"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0.0</w:t>
            </w:r>
          </w:p>
        </w:tc>
      </w:tr>
      <w:tr w:rsidR="00D66F61" w:rsidRPr="000E2036" w14:paraId="32749FE0" w14:textId="77777777" w:rsidTr="00D66F61">
        <w:trPr>
          <w:trHeight w:val="24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02E0C669"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7</w:t>
            </w:r>
          </w:p>
        </w:tc>
        <w:tc>
          <w:tcPr>
            <w:tcW w:w="2160" w:type="dxa"/>
            <w:tcBorders>
              <w:top w:val="nil"/>
              <w:left w:val="nil"/>
              <w:bottom w:val="single" w:sz="4" w:space="0" w:color="auto"/>
              <w:right w:val="single" w:sz="4" w:space="0" w:color="auto"/>
            </w:tcBorders>
            <w:shd w:val="clear" w:color="auto" w:fill="auto"/>
            <w:vAlign w:val="center"/>
            <w:hideMark/>
          </w:tcPr>
          <w:p w14:paraId="04284A98" w14:textId="77777777" w:rsidR="00D66F61" w:rsidRPr="000E2036" w:rsidRDefault="00D66F61" w:rsidP="00D66F61">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Metro Ag</w:t>
            </w:r>
          </w:p>
        </w:tc>
        <w:tc>
          <w:tcPr>
            <w:tcW w:w="1020" w:type="dxa"/>
            <w:tcBorders>
              <w:top w:val="nil"/>
              <w:left w:val="nil"/>
              <w:bottom w:val="single" w:sz="4" w:space="0" w:color="auto"/>
              <w:right w:val="single" w:sz="4" w:space="0" w:color="auto"/>
            </w:tcBorders>
            <w:shd w:val="clear" w:color="auto" w:fill="auto"/>
            <w:vAlign w:val="center"/>
            <w:hideMark/>
          </w:tcPr>
          <w:p w14:paraId="18C24F4A"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Germany</w:t>
            </w:r>
          </w:p>
        </w:tc>
        <w:tc>
          <w:tcPr>
            <w:tcW w:w="1260" w:type="dxa"/>
            <w:tcBorders>
              <w:top w:val="nil"/>
              <w:left w:val="nil"/>
              <w:bottom w:val="single" w:sz="4" w:space="0" w:color="auto"/>
              <w:right w:val="single" w:sz="4" w:space="0" w:color="auto"/>
            </w:tcBorders>
            <w:shd w:val="clear" w:color="auto" w:fill="auto"/>
            <w:vAlign w:val="center"/>
            <w:hideMark/>
          </w:tcPr>
          <w:p w14:paraId="7168787A"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86,393</w:t>
            </w:r>
          </w:p>
        </w:tc>
        <w:tc>
          <w:tcPr>
            <w:tcW w:w="1200" w:type="dxa"/>
            <w:tcBorders>
              <w:top w:val="nil"/>
              <w:left w:val="nil"/>
              <w:bottom w:val="single" w:sz="4" w:space="0" w:color="auto"/>
              <w:right w:val="single" w:sz="4" w:space="0" w:color="auto"/>
            </w:tcBorders>
            <w:shd w:val="clear" w:color="auto" w:fill="auto"/>
            <w:vAlign w:val="center"/>
            <w:hideMark/>
          </w:tcPr>
          <w:p w14:paraId="4FE2D086" w14:textId="3BB02979" w:rsidR="00D66F61" w:rsidRPr="000E2036" w:rsidRDefault="00AC391A" w:rsidP="00643336">
            <w:pPr>
              <w:jc w:val="right"/>
              <w:rPr>
                <w:rFonts w:ascii="Arial" w:eastAsia="SimSun" w:hAnsi="Arial" w:cs="Arial"/>
                <w:color w:val="000000"/>
                <w:kern w:val="0"/>
                <w:lang w:val="en-GB" w:eastAsia="zh-CN"/>
              </w:rPr>
            </w:pPr>
            <w:r w:rsidRPr="00AC391A">
              <w:rPr>
                <w:rFonts w:ascii="Arial" w:eastAsia="SimSun" w:hAnsi="Arial" w:cs="Arial"/>
                <w:color w:val="000000"/>
                <w:kern w:val="0"/>
                <w:lang w:val="en-GB" w:eastAsia="zh-CN"/>
              </w:rPr>
              <w:t>−</w:t>
            </w:r>
            <w:r w:rsidR="00D66F61" w:rsidRPr="000E2036">
              <w:rPr>
                <w:rFonts w:ascii="Arial" w:eastAsia="SimSun" w:hAnsi="Arial" w:cs="Arial"/>
                <w:color w:val="000000"/>
                <w:kern w:val="0"/>
                <w:lang w:val="en-GB" w:eastAsia="zh-CN"/>
              </w:rPr>
              <w:t>2.5</w:t>
            </w:r>
          </w:p>
        </w:tc>
        <w:tc>
          <w:tcPr>
            <w:tcW w:w="1260" w:type="dxa"/>
            <w:tcBorders>
              <w:top w:val="nil"/>
              <w:left w:val="nil"/>
              <w:bottom w:val="single" w:sz="4" w:space="0" w:color="auto"/>
              <w:right w:val="single" w:sz="4" w:space="0" w:color="auto"/>
            </w:tcBorders>
            <w:shd w:val="clear" w:color="auto" w:fill="auto"/>
            <w:vAlign w:val="center"/>
            <w:hideMark/>
          </w:tcPr>
          <w:p w14:paraId="4B669200"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32</w:t>
            </w:r>
          </w:p>
        </w:tc>
        <w:tc>
          <w:tcPr>
            <w:tcW w:w="1340" w:type="dxa"/>
            <w:tcBorders>
              <w:top w:val="nil"/>
              <w:left w:val="nil"/>
              <w:bottom w:val="single" w:sz="4" w:space="0" w:color="auto"/>
              <w:right w:val="single" w:sz="4" w:space="0" w:color="auto"/>
            </w:tcBorders>
            <w:shd w:val="clear" w:color="auto" w:fill="auto"/>
            <w:vAlign w:val="center"/>
            <w:hideMark/>
          </w:tcPr>
          <w:p w14:paraId="38FBE45D"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62.3</w:t>
            </w:r>
          </w:p>
        </w:tc>
      </w:tr>
      <w:tr w:rsidR="00D66F61" w:rsidRPr="000E2036" w14:paraId="15E6B3DC" w14:textId="77777777" w:rsidTr="00D66F61">
        <w:trPr>
          <w:trHeight w:val="48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3F2610EB"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8</w:t>
            </w:r>
          </w:p>
        </w:tc>
        <w:tc>
          <w:tcPr>
            <w:tcW w:w="2160" w:type="dxa"/>
            <w:tcBorders>
              <w:top w:val="nil"/>
              <w:left w:val="nil"/>
              <w:bottom w:val="single" w:sz="4" w:space="0" w:color="auto"/>
              <w:right w:val="single" w:sz="4" w:space="0" w:color="auto"/>
            </w:tcBorders>
            <w:shd w:val="clear" w:color="auto" w:fill="auto"/>
            <w:vAlign w:val="center"/>
            <w:hideMark/>
          </w:tcPr>
          <w:p w14:paraId="3263D838" w14:textId="77777777" w:rsidR="00D66F61" w:rsidRPr="000E2036" w:rsidRDefault="00D66F61" w:rsidP="00D66F61">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ALDI Einkauf GmbH &amp; Co. oHG</w:t>
            </w:r>
          </w:p>
        </w:tc>
        <w:tc>
          <w:tcPr>
            <w:tcW w:w="1020" w:type="dxa"/>
            <w:tcBorders>
              <w:top w:val="nil"/>
              <w:left w:val="nil"/>
              <w:bottom w:val="single" w:sz="4" w:space="0" w:color="auto"/>
              <w:right w:val="single" w:sz="4" w:space="0" w:color="auto"/>
            </w:tcBorders>
            <w:shd w:val="clear" w:color="auto" w:fill="auto"/>
            <w:vAlign w:val="center"/>
            <w:hideMark/>
          </w:tcPr>
          <w:p w14:paraId="3B6AB5CF"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Germany</w:t>
            </w:r>
          </w:p>
        </w:tc>
        <w:tc>
          <w:tcPr>
            <w:tcW w:w="1260" w:type="dxa"/>
            <w:tcBorders>
              <w:top w:val="nil"/>
              <w:left w:val="nil"/>
              <w:bottom w:val="single" w:sz="4" w:space="0" w:color="auto"/>
              <w:right w:val="single" w:sz="4" w:space="0" w:color="auto"/>
            </w:tcBorders>
            <w:shd w:val="clear" w:color="auto" w:fill="auto"/>
            <w:vAlign w:val="center"/>
            <w:hideMark/>
          </w:tcPr>
          <w:p w14:paraId="07CD9B65"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81,090</w:t>
            </w:r>
          </w:p>
        </w:tc>
        <w:tc>
          <w:tcPr>
            <w:tcW w:w="1200" w:type="dxa"/>
            <w:tcBorders>
              <w:top w:val="nil"/>
              <w:left w:val="nil"/>
              <w:bottom w:val="single" w:sz="4" w:space="0" w:color="auto"/>
              <w:right w:val="single" w:sz="4" w:space="0" w:color="auto"/>
            </w:tcBorders>
            <w:shd w:val="clear" w:color="auto" w:fill="auto"/>
            <w:vAlign w:val="center"/>
            <w:hideMark/>
          </w:tcPr>
          <w:p w14:paraId="75CF3952"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4.7</w:t>
            </w:r>
          </w:p>
        </w:tc>
        <w:tc>
          <w:tcPr>
            <w:tcW w:w="1260" w:type="dxa"/>
            <w:tcBorders>
              <w:top w:val="nil"/>
              <w:left w:val="nil"/>
              <w:bottom w:val="single" w:sz="4" w:space="0" w:color="auto"/>
              <w:right w:val="single" w:sz="4" w:space="0" w:color="auto"/>
            </w:tcBorders>
            <w:shd w:val="clear" w:color="auto" w:fill="auto"/>
            <w:vAlign w:val="center"/>
            <w:hideMark/>
          </w:tcPr>
          <w:p w14:paraId="29D6F182"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17</w:t>
            </w:r>
          </w:p>
        </w:tc>
        <w:tc>
          <w:tcPr>
            <w:tcW w:w="1340" w:type="dxa"/>
            <w:tcBorders>
              <w:top w:val="nil"/>
              <w:left w:val="nil"/>
              <w:bottom w:val="single" w:sz="4" w:space="0" w:color="auto"/>
              <w:right w:val="single" w:sz="4" w:space="0" w:color="auto"/>
            </w:tcBorders>
            <w:shd w:val="clear" w:color="auto" w:fill="auto"/>
            <w:vAlign w:val="center"/>
            <w:hideMark/>
          </w:tcPr>
          <w:p w14:paraId="35FBBF4D"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59.2</w:t>
            </w:r>
          </w:p>
        </w:tc>
      </w:tr>
      <w:tr w:rsidR="00D66F61" w:rsidRPr="000E2036" w14:paraId="266E4964" w14:textId="77777777" w:rsidTr="00D66F61">
        <w:trPr>
          <w:trHeight w:val="24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4E8EABF4"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9</w:t>
            </w:r>
          </w:p>
        </w:tc>
        <w:tc>
          <w:tcPr>
            <w:tcW w:w="2160" w:type="dxa"/>
            <w:tcBorders>
              <w:top w:val="nil"/>
              <w:left w:val="nil"/>
              <w:bottom w:val="single" w:sz="4" w:space="0" w:color="auto"/>
              <w:right w:val="single" w:sz="4" w:space="0" w:color="auto"/>
            </w:tcBorders>
            <w:shd w:val="clear" w:color="auto" w:fill="auto"/>
            <w:vAlign w:val="center"/>
            <w:hideMark/>
          </w:tcPr>
          <w:p w14:paraId="52678FD9" w14:textId="77777777" w:rsidR="00D66F61" w:rsidRPr="000E2036" w:rsidRDefault="00D66F61" w:rsidP="00D66F61">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The Home Depot, Inc.</w:t>
            </w:r>
          </w:p>
        </w:tc>
        <w:tc>
          <w:tcPr>
            <w:tcW w:w="1020" w:type="dxa"/>
            <w:tcBorders>
              <w:top w:val="nil"/>
              <w:left w:val="nil"/>
              <w:bottom w:val="single" w:sz="4" w:space="0" w:color="auto"/>
              <w:right w:val="single" w:sz="4" w:space="0" w:color="auto"/>
            </w:tcBorders>
            <w:shd w:val="clear" w:color="auto" w:fill="auto"/>
            <w:vAlign w:val="center"/>
            <w:hideMark/>
          </w:tcPr>
          <w:p w14:paraId="6A065A5C"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U.S.</w:t>
            </w:r>
          </w:p>
        </w:tc>
        <w:tc>
          <w:tcPr>
            <w:tcW w:w="1260" w:type="dxa"/>
            <w:tcBorders>
              <w:top w:val="nil"/>
              <w:left w:val="nil"/>
              <w:bottom w:val="single" w:sz="4" w:space="0" w:color="auto"/>
              <w:right w:val="single" w:sz="4" w:space="0" w:color="auto"/>
            </w:tcBorders>
            <w:shd w:val="clear" w:color="auto" w:fill="auto"/>
            <w:vAlign w:val="center"/>
            <w:hideMark/>
          </w:tcPr>
          <w:p w14:paraId="10C57628"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78,812</w:t>
            </w:r>
          </w:p>
        </w:tc>
        <w:tc>
          <w:tcPr>
            <w:tcW w:w="1200" w:type="dxa"/>
            <w:tcBorders>
              <w:top w:val="nil"/>
              <w:left w:val="nil"/>
              <w:bottom w:val="single" w:sz="4" w:space="0" w:color="auto"/>
              <w:right w:val="single" w:sz="4" w:space="0" w:color="auto"/>
            </w:tcBorders>
            <w:shd w:val="clear" w:color="auto" w:fill="auto"/>
            <w:vAlign w:val="center"/>
            <w:hideMark/>
          </w:tcPr>
          <w:p w14:paraId="0252A43E"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5.4</w:t>
            </w:r>
          </w:p>
        </w:tc>
        <w:tc>
          <w:tcPr>
            <w:tcW w:w="1260" w:type="dxa"/>
            <w:tcBorders>
              <w:top w:val="nil"/>
              <w:left w:val="nil"/>
              <w:bottom w:val="single" w:sz="4" w:space="0" w:color="auto"/>
              <w:right w:val="single" w:sz="4" w:space="0" w:color="auto"/>
            </w:tcBorders>
            <w:shd w:val="clear" w:color="auto" w:fill="auto"/>
            <w:vAlign w:val="center"/>
            <w:hideMark/>
          </w:tcPr>
          <w:p w14:paraId="37738B7B"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4</w:t>
            </w:r>
          </w:p>
        </w:tc>
        <w:tc>
          <w:tcPr>
            <w:tcW w:w="1340" w:type="dxa"/>
            <w:tcBorders>
              <w:top w:val="nil"/>
              <w:left w:val="nil"/>
              <w:bottom w:val="single" w:sz="4" w:space="0" w:color="auto"/>
              <w:right w:val="single" w:sz="4" w:space="0" w:color="auto"/>
            </w:tcBorders>
            <w:shd w:val="clear" w:color="auto" w:fill="auto"/>
            <w:vAlign w:val="center"/>
            <w:hideMark/>
          </w:tcPr>
          <w:p w14:paraId="66BAC6EC"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10.8</w:t>
            </w:r>
          </w:p>
        </w:tc>
      </w:tr>
      <w:tr w:rsidR="00D66F61" w:rsidRPr="000E2036" w14:paraId="1A412E09" w14:textId="77777777" w:rsidTr="00D66F61">
        <w:trPr>
          <w:trHeight w:val="24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70024C41"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10</w:t>
            </w:r>
          </w:p>
        </w:tc>
        <w:tc>
          <w:tcPr>
            <w:tcW w:w="2160" w:type="dxa"/>
            <w:tcBorders>
              <w:top w:val="nil"/>
              <w:left w:val="nil"/>
              <w:bottom w:val="single" w:sz="4" w:space="0" w:color="auto"/>
              <w:right w:val="single" w:sz="4" w:space="0" w:color="auto"/>
            </w:tcBorders>
            <w:shd w:val="clear" w:color="auto" w:fill="auto"/>
            <w:vAlign w:val="center"/>
            <w:hideMark/>
          </w:tcPr>
          <w:p w14:paraId="23344C08" w14:textId="77777777" w:rsidR="00D66F61" w:rsidRPr="000E2036" w:rsidRDefault="00D66F61" w:rsidP="00D66F61">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Target Corporation</w:t>
            </w:r>
          </w:p>
        </w:tc>
        <w:tc>
          <w:tcPr>
            <w:tcW w:w="1020" w:type="dxa"/>
            <w:tcBorders>
              <w:top w:val="nil"/>
              <w:left w:val="nil"/>
              <w:bottom w:val="single" w:sz="4" w:space="0" w:color="auto"/>
              <w:right w:val="single" w:sz="4" w:space="0" w:color="auto"/>
            </w:tcBorders>
            <w:shd w:val="clear" w:color="auto" w:fill="auto"/>
            <w:vAlign w:val="center"/>
            <w:hideMark/>
          </w:tcPr>
          <w:p w14:paraId="28559078" w14:textId="77777777"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U.S.</w:t>
            </w:r>
          </w:p>
        </w:tc>
        <w:tc>
          <w:tcPr>
            <w:tcW w:w="1260" w:type="dxa"/>
            <w:tcBorders>
              <w:top w:val="nil"/>
              <w:left w:val="nil"/>
              <w:bottom w:val="single" w:sz="4" w:space="0" w:color="auto"/>
              <w:right w:val="single" w:sz="4" w:space="0" w:color="auto"/>
            </w:tcBorders>
            <w:shd w:val="clear" w:color="auto" w:fill="auto"/>
            <w:vAlign w:val="center"/>
            <w:hideMark/>
          </w:tcPr>
          <w:p w14:paraId="759422F5"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72,596</w:t>
            </w:r>
          </w:p>
        </w:tc>
        <w:tc>
          <w:tcPr>
            <w:tcW w:w="1200" w:type="dxa"/>
            <w:tcBorders>
              <w:top w:val="nil"/>
              <w:left w:val="nil"/>
              <w:bottom w:val="single" w:sz="4" w:space="0" w:color="auto"/>
              <w:right w:val="single" w:sz="4" w:space="0" w:color="auto"/>
            </w:tcBorders>
            <w:shd w:val="clear" w:color="auto" w:fill="auto"/>
            <w:vAlign w:val="center"/>
            <w:hideMark/>
          </w:tcPr>
          <w:p w14:paraId="4F0E0943"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0.9</w:t>
            </w:r>
          </w:p>
        </w:tc>
        <w:tc>
          <w:tcPr>
            <w:tcW w:w="1260" w:type="dxa"/>
            <w:tcBorders>
              <w:top w:val="nil"/>
              <w:left w:val="nil"/>
              <w:bottom w:val="single" w:sz="4" w:space="0" w:color="auto"/>
              <w:right w:val="single" w:sz="4" w:space="0" w:color="auto"/>
            </w:tcBorders>
            <w:shd w:val="clear" w:color="auto" w:fill="auto"/>
            <w:vAlign w:val="center"/>
            <w:hideMark/>
          </w:tcPr>
          <w:p w14:paraId="68863DB5"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w:t>
            </w:r>
          </w:p>
        </w:tc>
        <w:tc>
          <w:tcPr>
            <w:tcW w:w="1340" w:type="dxa"/>
            <w:tcBorders>
              <w:top w:val="nil"/>
              <w:left w:val="nil"/>
              <w:bottom w:val="single" w:sz="4" w:space="0" w:color="auto"/>
              <w:right w:val="single" w:sz="4" w:space="0" w:color="auto"/>
            </w:tcBorders>
            <w:shd w:val="clear" w:color="auto" w:fill="auto"/>
            <w:vAlign w:val="center"/>
            <w:hideMark/>
          </w:tcPr>
          <w:p w14:paraId="00FA37F4"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1.8</w:t>
            </w:r>
          </w:p>
        </w:tc>
      </w:tr>
      <w:tr w:rsidR="00D66F61" w:rsidRPr="000E2036" w14:paraId="0EACBA34" w14:textId="77777777" w:rsidTr="00D66F61">
        <w:trPr>
          <w:trHeight w:val="240"/>
        </w:trPr>
        <w:tc>
          <w:tcPr>
            <w:tcW w:w="416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18FD10F" w14:textId="48F8C188" w:rsidR="00D66F61" w:rsidRPr="000E2036" w:rsidRDefault="00D66F61" w:rsidP="00D66F61">
            <w:pPr>
              <w:jc w:val="cente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Top Ten Companies</w:t>
            </w:r>
            <w:r w:rsidR="00D9404E">
              <w:rPr>
                <w:rFonts w:ascii="Arial" w:eastAsia="SimSun" w:hAnsi="Arial" w:cs="Arial"/>
                <w:color w:val="000000"/>
                <w:kern w:val="0"/>
                <w:lang w:val="en-GB" w:eastAsia="zh-CN"/>
              </w:rPr>
              <w:t xml:space="preserve"> Totals</w:t>
            </w:r>
          </w:p>
        </w:tc>
        <w:tc>
          <w:tcPr>
            <w:tcW w:w="1260" w:type="dxa"/>
            <w:tcBorders>
              <w:top w:val="nil"/>
              <w:left w:val="nil"/>
              <w:bottom w:val="single" w:sz="4" w:space="0" w:color="auto"/>
              <w:right w:val="single" w:sz="4" w:space="0" w:color="auto"/>
            </w:tcBorders>
            <w:shd w:val="clear" w:color="auto" w:fill="auto"/>
            <w:vAlign w:val="center"/>
            <w:hideMark/>
          </w:tcPr>
          <w:p w14:paraId="1553FDDD"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1,294,697</w:t>
            </w:r>
          </w:p>
        </w:tc>
        <w:tc>
          <w:tcPr>
            <w:tcW w:w="1200" w:type="dxa"/>
            <w:tcBorders>
              <w:top w:val="nil"/>
              <w:left w:val="nil"/>
              <w:bottom w:val="single" w:sz="4" w:space="0" w:color="auto"/>
              <w:right w:val="single" w:sz="4" w:space="0" w:color="auto"/>
            </w:tcBorders>
            <w:shd w:val="clear" w:color="auto" w:fill="auto"/>
            <w:vAlign w:val="center"/>
            <w:hideMark/>
          </w:tcPr>
          <w:p w14:paraId="523EB524"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2.0</w:t>
            </w:r>
          </w:p>
        </w:tc>
        <w:tc>
          <w:tcPr>
            <w:tcW w:w="1260" w:type="dxa"/>
            <w:tcBorders>
              <w:top w:val="nil"/>
              <w:left w:val="nil"/>
              <w:bottom w:val="single" w:sz="4" w:space="0" w:color="auto"/>
              <w:right w:val="single" w:sz="4" w:space="0" w:color="auto"/>
            </w:tcBorders>
            <w:shd w:val="clear" w:color="auto" w:fill="auto"/>
            <w:vAlign w:val="center"/>
            <w:hideMark/>
          </w:tcPr>
          <w:p w14:paraId="4AB80636"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16.5</w:t>
            </w:r>
          </w:p>
        </w:tc>
        <w:tc>
          <w:tcPr>
            <w:tcW w:w="1340" w:type="dxa"/>
            <w:tcBorders>
              <w:top w:val="nil"/>
              <w:left w:val="nil"/>
              <w:bottom w:val="single" w:sz="4" w:space="0" w:color="auto"/>
              <w:right w:val="single" w:sz="4" w:space="0" w:color="auto"/>
            </w:tcBorders>
            <w:shd w:val="clear" w:color="auto" w:fill="auto"/>
            <w:vAlign w:val="center"/>
            <w:hideMark/>
          </w:tcPr>
          <w:p w14:paraId="10D3212F" w14:textId="77777777" w:rsidR="00D66F61" w:rsidRPr="000E2036" w:rsidRDefault="00D66F61" w:rsidP="00D66F61">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32.5</w:t>
            </w:r>
          </w:p>
        </w:tc>
      </w:tr>
    </w:tbl>
    <w:p w14:paraId="54E7F3EA" w14:textId="77777777" w:rsidR="00334693" w:rsidRPr="000E2036" w:rsidRDefault="00334693" w:rsidP="00E8070D">
      <w:pPr>
        <w:pStyle w:val="BodyTextMain"/>
        <w:rPr>
          <w:lang w:val="en-GB"/>
        </w:rPr>
      </w:pPr>
    </w:p>
    <w:p w14:paraId="61854ACC" w14:textId="43B2F64E" w:rsidR="00334693" w:rsidRPr="000E2036" w:rsidRDefault="00334693" w:rsidP="00E8070D">
      <w:pPr>
        <w:pStyle w:val="BodyTextMain"/>
        <w:rPr>
          <w:rFonts w:ascii="Arial" w:hAnsi="Arial" w:cs="Arial"/>
          <w:sz w:val="17"/>
          <w:szCs w:val="17"/>
          <w:lang w:val="en-GB"/>
        </w:rPr>
      </w:pPr>
      <w:r w:rsidRPr="000E2036">
        <w:rPr>
          <w:rFonts w:ascii="Arial" w:hAnsi="Arial" w:cs="Arial"/>
          <w:sz w:val="17"/>
          <w:szCs w:val="17"/>
          <w:lang w:val="en-GB"/>
        </w:rPr>
        <w:t>Source: Created by the case authors based on “</w:t>
      </w:r>
      <w:r w:rsidR="00181D58" w:rsidRPr="000E2036">
        <w:rPr>
          <w:rFonts w:ascii="Arial" w:hAnsi="Arial" w:cs="Arial"/>
          <w:sz w:val="17"/>
          <w:szCs w:val="17"/>
          <w:lang w:val="en-GB"/>
        </w:rPr>
        <w:t xml:space="preserve">2015 TOP 250 </w:t>
      </w:r>
      <w:r w:rsidR="00150192" w:rsidRPr="000E2036">
        <w:rPr>
          <w:rFonts w:ascii="Arial" w:hAnsi="Arial" w:cs="Arial"/>
          <w:sz w:val="17"/>
          <w:szCs w:val="17"/>
          <w:lang w:val="en-GB"/>
        </w:rPr>
        <w:t>Global Powers of Retailing</w:t>
      </w:r>
      <w:r w:rsidRPr="000E2036">
        <w:rPr>
          <w:rFonts w:ascii="Arial" w:hAnsi="Arial" w:cs="Arial"/>
          <w:sz w:val="17"/>
          <w:szCs w:val="17"/>
          <w:lang w:val="en-GB"/>
        </w:rPr>
        <w:t xml:space="preserve">,” </w:t>
      </w:r>
      <w:r w:rsidR="00150192" w:rsidRPr="000E2036">
        <w:rPr>
          <w:rFonts w:ascii="Arial" w:hAnsi="Arial" w:cs="Arial"/>
          <w:sz w:val="17"/>
          <w:szCs w:val="17"/>
          <w:lang w:val="en-GB"/>
        </w:rPr>
        <w:t xml:space="preserve">National Retail Federation, </w:t>
      </w:r>
      <w:r w:rsidR="00181D58" w:rsidRPr="000E2036">
        <w:rPr>
          <w:rFonts w:ascii="Arial" w:hAnsi="Arial" w:cs="Arial"/>
          <w:sz w:val="17"/>
          <w:szCs w:val="17"/>
          <w:lang w:val="en-GB"/>
        </w:rPr>
        <w:t xml:space="preserve">January 11, 2015, </w:t>
      </w:r>
      <w:r w:rsidRPr="000E2036">
        <w:rPr>
          <w:rFonts w:ascii="Arial" w:hAnsi="Arial" w:cs="Arial"/>
          <w:sz w:val="17"/>
          <w:szCs w:val="17"/>
          <w:lang w:val="en-GB"/>
        </w:rPr>
        <w:t>accessed September 19, 2017, https://nrf.com/news/2015-top-250-global-powers-of-retailing.</w:t>
      </w:r>
    </w:p>
    <w:p w14:paraId="51935870" w14:textId="77777777" w:rsidR="00334693" w:rsidRPr="000E2036" w:rsidRDefault="00334693" w:rsidP="00E8070D">
      <w:pPr>
        <w:pStyle w:val="BodyTextMain"/>
        <w:rPr>
          <w:rFonts w:ascii="Arial" w:hAnsi="Arial" w:cs="Arial"/>
          <w:sz w:val="17"/>
          <w:szCs w:val="17"/>
          <w:lang w:val="en-GB"/>
        </w:rPr>
      </w:pPr>
    </w:p>
    <w:p w14:paraId="1CB4A2D9" w14:textId="77777777" w:rsidR="00334693" w:rsidRPr="000E2036" w:rsidRDefault="00334693" w:rsidP="00E8070D">
      <w:pPr>
        <w:pStyle w:val="BodyTextMain"/>
        <w:rPr>
          <w:lang w:val="en-GB"/>
        </w:rPr>
      </w:pPr>
    </w:p>
    <w:p w14:paraId="1370243A" w14:textId="77777777" w:rsidR="00D66F61" w:rsidRPr="000E2036" w:rsidRDefault="00D66F61" w:rsidP="00E8070D">
      <w:pPr>
        <w:pStyle w:val="BodyTextMain"/>
        <w:rPr>
          <w:lang w:val="en-GB"/>
        </w:rPr>
      </w:pPr>
    </w:p>
    <w:p w14:paraId="5A868721" w14:textId="42E9421C" w:rsidR="0020378C" w:rsidRPr="000E2036" w:rsidRDefault="004E5B49" w:rsidP="002723AF">
      <w:pPr>
        <w:pStyle w:val="ExhibitHeading"/>
        <w:rPr>
          <w:lang w:val="en-GB" w:eastAsia="zh-CN"/>
        </w:rPr>
      </w:pPr>
      <w:r w:rsidRPr="000E2036">
        <w:rPr>
          <w:lang w:val="en-GB" w:eastAsia="zh-CN"/>
        </w:rPr>
        <w:lastRenderedPageBreak/>
        <w:t>Exhibit 5:</w:t>
      </w:r>
      <w:r w:rsidR="0020378C" w:rsidRPr="000E2036">
        <w:rPr>
          <w:lang w:val="en-GB" w:eastAsia="zh-CN"/>
        </w:rPr>
        <w:t xml:space="preserve"> FINANCIAL HIGHLIGHTS (CONSOLIDATED) OF TOYOTA TSUSHO </w:t>
      </w:r>
      <w:r w:rsidR="00150192" w:rsidRPr="000E2036">
        <w:rPr>
          <w:lang w:val="en-GB" w:eastAsia="zh-CN"/>
        </w:rPr>
        <w:t>Corporation for</w:t>
      </w:r>
      <w:r w:rsidR="00D22A9D" w:rsidRPr="000E2036">
        <w:rPr>
          <w:lang w:val="en-GB" w:eastAsia="zh-CN"/>
        </w:rPr>
        <w:t xml:space="preserve"> 2009</w:t>
      </w:r>
      <w:r w:rsidR="00150192" w:rsidRPr="000E2036">
        <w:rPr>
          <w:lang w:val="en-GB" w:eastAsia="zh-CN"/>
        </w:rPr>
        <w:t>–</w:t>
      </w:r>
      <w:r w:rsidR="00D22A9D" w:rsidRPr="000E2036">
        <w:rPr>
          <w:lang w:val="en-GB" w:eastAsia="zh-CN"/>
        </w:rPr>
        <w:t xml:space="preserve">2013 </w:t>
      </w:r>
      <w:r w:rsidR="0020378C" w:rsidRPr="000E2036">
        <w:rPr>
          <w:lang w:val="en-GB" w:eastAsia="zh-CN"/>
        </w:rPr>
        <w:t xml:space="preserve">(IN </w:t>
      </w:r>
      <w:r w:rsidR="00150192" w:rsidRPr="000E2036">
        <w:rPr>
          <w:lang w:val="en-GB" w:eastAsia="zh-CN"/>
        </w:rPr>
        <w:t xml:space="preserve">¥ </w:t>
      </w:r>
      <w:r w:rsidR="0020378C" w:rsidRPr="000E2036">
        <w:rPr>
          <w:lang w:val="en-GB" w:eastAsia="zh-CN"/>
        </w:rPr>
        <w:t>MILLION)</w:t>
      </w:r>
    </w:p>
    <w:p w14:paraId="5047666D" w14:textId="21CF8635" w:rsidR="004E5B49" w:rsidRPr="000E2036" w:rsidRDefault="004E5B49" w:rsidP="004E5B49">
      <w:pPr>
        <w:pStyle w:val="BodyTextMain"/>
        <w:rPr>
          <w:rFonts w:ascii="Arial" w:hAnsi="Arial"/>
          <w:b/>
          <w:caps/>
          <w:sz w:val="20"/>
          <w:szCs w:val="20"/>
          <w:lang w:val="en-GB" w:eastAsia="zh-CN"/>
        </w:rPr>
      </w:pPr>
    </w:p>
    <w:tbl>
      <w:tblPr>
        <w:tblW w:w="9340" w:type="dxa"/>
        <w:tblInd w:w="93" w:type="dxa"/>
        <w:tblLook w:val="04A0" w:firstRow="1" w:lastRow="0" w:firstColumn="1" w:lastColumn="0" w:noHBand="0" w:noVBand="1"/>
      </w:tblPr>
      <w:tblGrid>
        <w:gridCol w:w="1598"/>
        <w:gridCol w:w="1106"/>
        <w:gridCol w:w="1106"/>
        <w:gridCol w:w="1106"/>
        <w:gridCol w:w="1106"/>
        <w:gridCol w:w="1106"/>
        <w:gridCol w:w="1106"/>
        <w:gridCol w:w="1106"/>
      </w:tblGrid>
      <w:tr w:rsidR="00CE4927" w:rsidRPr="000E2036" w14:paraId="0590F827" w14:textId="77777777" w:rsidTr="00CE4927">
        <w:trPr>
          <w:trHeight w:val="480"/>
        </w:trPr>
        <w:tc>
          <w:tcPr>
            <w:tcW w:w="1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38BA98" w14:textId="77777777" w:rsidR="00CE4927" w:rsidRPr="000E2036" w:rsidRDefault="00CE4927" w:rsidP="00CE4927">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Results of Operations</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505B38AD" w14:textId="77777777" w:rsidR="00CE4927" w:rsidRPr="000E2036" w:rsidRDefault="00CE4927" w:rsidP="00CE4927">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2009</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569A2E6C" w14:textId="77777777" w:rsidR="00CE4927" w:rsidRPr="000E2036" w:rsidRDefault="00CE4927" w:rsidP="00CE4927">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2010</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73F3BC73" w14:textId="77777777" w:rsidR="00CE4927" w:rsidRPr="000E2036" w:rsidRDefault="00CE4927" w:rsidP="00CE4927">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2011</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68917219" w14:textId="77777777" w:rsidR="00CE4927" w:rsidRPr="000E2036" w:rsidRDefault="00CE4927" w:rsidP="00CE4927">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2012</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2ED31FB2" w14:textId="77777777" w:rsidR="00CE4927" w:rsidRPr="000E2036" w:rsidRDefault="00CE4927" w:rsidP="00CE4927">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2013</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7473B7BE" w14:textId="77777777" w:rsidR="00CE4927" w:rsidRPr="000E2036" w:rsidRDefault="00CE4927" w:rsidP="00CE4927">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2014</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165CEA30" w14:textId="77777777" w:rsidR="00CE4927" w:rsidRPr="000E2036" w:rsidRDefault="00CE4927" w:rsidP="00CE4927">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2015</w:t>
            </w:r>
          </w:p>
        </w:tc>
      </w:tr>
      <w:tr w:rsidR="00CE4927" w:rsidRPr="000E2036" w14:paraId="5C077A05" w14:textId="77777777" w:rsidTr="00CE4927">
        <w:trPr>
          <w:trHeight w:val="240"/>
        </w:trPr>
        <w:tc>
          <w:tcPr>
            <w:tcW w:w="1920" w:type="dxa"/>
            <w:tcBorders>
              <w:top w:val="nil"/>
              <w:left w:val="single" w:sz="4" w:space="0" w:color="auto"/>
              <w:bottom w:val="single" w:sz="4" w:space="0" w:color="auto"/>
              <w:right w:val="single" w:sz="4" w:space="0" w:color="auto"/>
            </w:tcBorders>
            <w:shd w:val="clear" w:color="auto" w:fill="auto"/>
            <w:vAlign w:val="bottom"/>
            <w:hideMark/>
          </w:tcPr>
          <w:p w14:paraId="258C92F0" w14:textId="77777777" w:rsidR="00CE4927" w:rsidRPr="000E2036" w:rsidRDefault="00CE4927" w:rsidP="00CE4927">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Net Sales</w:t>
            </w:r>
          </w:p>
        </w:tc>
        <w:tc>
          <w:tcPr>
            <w:tcW w:w="1060" w:type="dxa"/>
            <w:tcBorders>
              <w:top w:val="nil"/>
              <w:left w:val="nil"/>
              <w:bottom w:val="single" w:sz="4" w:space="0" w:color="auto"/>
              <w:right w:val="single" w:sz="4" w:space="0" w:color="auto"/>
            </w:tcBorders>
            <w:shd w:val="clear" w:color="auto" w:fill="auto"/>
            <w:vAlign w:val="bottom"/>
            <w:hideMark/>
          </w:tcPr>
          <w:p w14:paraId="1CEDBF75"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6,286,996 </w:t>
            </w:r>
          </w:p>
        </w:tc>
        <w:tc>
          <w:tcPr>
            <w:tcW w:w="1060" w:type="dxa"/>
            <w:tcBorders>
              <w:top w:val="nil"/>
              <w:left w:val="nil"/>
              <w:bottom w:val="single" w:sz="4" w:space="0" w:color="auto"/>
              <w:right w:val="single" w:sz="4" w:space="0" w:color="auto"/>
            </w:tcBorders>
            <w:shd w:val="clear" w:color="auto" w:fill="auto"/>
            <w:vAlign w:val="bottom"/>
            <w:hideMark/>
          </w:tcPr>
          <w:p w14:paraId="67D69CCE"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5,102,261 </w:t>
            </w:r>
          </w:p>
        </w:tc>
        <w:tc>
          <w:tcPr>
            <w:tcW w:w="1060" w:type="dxa"/>
            <w:tcBorders>
              <w:top w:val="nil"/>
              <w:left w:val="nil"/>
              <w:bottom w:val="single" w:sz="4" w:space="0" w:color="auto"/>
              <w:right w:val="single" w:sz="4" w:space="0" w:color="auto"/>
            </w:tcBorders>
            <w:shd w:val="clear" w:color="auto" w:fill="auto"/>
            <w:vAlign w:val="bottom"/>
            <w:hideMark/>
          </w:tcPr>
          <w:p w14:paraId="2F4A789B"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5,743,649 </w:t>
            </w:r>
          </w:p>
        </w:tc>
        <w:tc>
          <w:tcPr>
            <w:tcW w:w="1060" w:type="dxa"/>
            <w:tcBorders>
              <w:top w:val="nil"/>
              <w:left w:val="nil"/>
              <w:bottom w:val="single" w:sz="4" w:space="0" w:color="auto"/>
              <w:right w:val="single" w:sz="4" w:space="0" w:color="auto"/>
            </w:tcBorders>
            <w:shd w:val="clear" w:color="auto" w:fill="auto"/>
            <w:vAlign w:val="bottom"/>
            <w:hideMark/>
          </w:tcPr>
          <w:p w14:paraId="5701B01E"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5,916,759 </w:t>
            </w:r>
          </w:p>
        </w:tc>
        <w:tc>
          <w:tcPr>
            <w:tcW w:w="1060" w:type="dxa"/>
            <w:tcBorders>
              <w:top w:val="nil"/>
              <w:left w:val="nil"/>
              <w:bottom w:val="single" w:sz="4" w:space="0" w:color="auto"/>
              <w:right w:val="single" w:sz="4" w:space="0" w:color="auto"/>
            </w:tcBorders>
            <w:shd w:val="clear" w:color="auto" w:fill="auto"/>
            <w:vAlign w:val="bottom"/>
            <w:hideMark/>
          </w:tcPr>
          <w:p w14:paraId="76CE589F"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6,304,354 </w:t>
            </w:r>
          </w:p>
        </w:tc>
        <w:tc>
          <w:tcPr>
            <w:tcW w:w="1060" w:type="dxa"/>
            <w:tcBorders>
              <w:top w:val="nil"/>
              <w:left w:val="nil"/>
              <w:bottom w:val="single" w:sz="4" w:space="0" w:color="auto"/>
              <w:right w:val="single" w:sz="4" w:space="0" w:color="auto"/>
            </w:tcBorders>
            <w:shd w:val="clear" w:color="auto" w:fill="auto"/>
            <w:vAlign w:val="bottom"/>
            <w:hideMark/>
          </w:tcPr>
          <w:p w14:paraId="652AB0EA"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7,743,237 </w:t>
            </w:r>
          </w:p>
        </w:tc>
        <w:tc>
          <w:tcPr>
            <w:tcW w:w="1060" w:type="dxa"/>
            <w:tcBorders>
              <w:top w:val="nil"/>
              <w:left w:val="nil"/>
              <w:bottom w:val="single" w:sz="4" w:space="0" w:color="auto"/>
              <w:right w:val="single" w:sz="4" w:space="0" w:color="auto"/>
            </w:tcBorders>
            <w:shd w:val="clear" w:color="auto" w:fill="auto"/>
            <w:vAlign w:val="bottom"/>
            <w:hideMark/>
          </w:tcPr>
          <w:p w14:paraId="31D1E33D"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8,663,460 </w:t>
            </w:r>
          </w:p>
        </w:tc>
      </w:tr>
      <w:tr w:rsidR="00CE4927" w:rsidRPr="000E2036" w14:paraId="383371D3" w14:textId="77777777" w:rsidTr="00CE4927">
        <w:trPr>
          <w:trHeight w:val="240"/>
        </w:trPr>
        <w:tc>
          <w:tcPr>
            <w:tcW w:w="1920" w:type="dxa"/>
            <w:tcBorders>
              <w:top w:val="nil"/>
              <w:left w:val="single" w:sz="4" w:space="0" w:color="auto"/>
              <w:bottom w:val="single" w:sz="4" w:space="0" w:color="auto"/>
              <w:right w:val="single" w:sz="4" w:space="0" w:color="auto"/>
            </w:tcBorders>
            <w:shd w:val="clear" w:color="auto" w:fill="auto"/>
            <w:vAlign w:val="bottom"/>
            <w:hideMark/>
          </w:tcPr>
          <w:p w14:paraId="25E0EA02" w14:textId="77777777" w:rsidR="00CE4927" w:rsidRPr="000E2036" w:rsidRDefault="00CE4927" w:rsidP="00CE4927">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Gross Trading Profit</w:t>
            </w:r>
          </w:p>
        </w:tc>
        <w:tc>
          <w:tcPr>
            <w:tcW w:w="1060" w:type="dxa"/>
            <w:tcBorders>
              <w:top w:val="nil"/>
              <w:left w:val="nil"/>
              <w:bottom w:val="single" w:sz="4" w:space="0" w:color="auto"/>
              <w:right w:val="single" w:sz="4" w:space="0" w:color="auto"/>
            </w:tcBorders>
            <w:shd w:val="clear" w:color="auto" w:fill="auto"/>
            <w:vAlign w:val="bottom"/>
            <w:hideMark/>
          </w:tcPr>
          <w:p w14:paraId="407E208C"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326,679 </w:t>
            </w:r>
          </w:p>
        </w:tc>
        <w:tc>
          <w:tcPr>
            <w:tcW w:w="1060" w:type="dxa"/>
            <w:tcBorders>
              <w:top w:val="nil"/>
              <w:left w:val="nil"/>
              <w:bottom w:val="single" w:sz="4" w:space="0" w:color="auto"/>
              <w:right w:val="single" w:sz="4" w:space="0" w:color="auto"/>
            </w:tcBorders>
            <w:shd w:val="clear" w:color="auto" w:fill="auto"/>
            <w:vAlign w:val="bottom"/>
            <w:hideMark/>
          </w:tcPr>
          <w:p w14:paraId="41B38230"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280,790 </w:t>
            </w:r>
          </w:p>
        </w:tc>
        <w:tc>
          <w:tcPr>
            <w:tcW w:w="1060" w:type="dxa"/>
            <w:tcBorders>
              <w:top w:val="nil"/>
              <w:left w:val="nil"/>
              <w:bottom w:val="single" w:sz="4" w:space="0" w:color="auto"/>
              <w:right w:val="single" w:sz="4" w:space="0" w:color="auto"/>
            </w:tcBorders>
            <w:shd w:val="clear" w:color="auto" w:fill="auto"/>
            <w:vAlign w:val="bottom"/>
            <w:hideMark/>
          </w:tcPr>
          <w:p w14:paraId="1E96316C"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330,730 </w:t>
            </w:r>
          </w:p>
        </w:tc>
        <w:tc>
          <w:tcPr>
            <w:tcW w:w="1060" w:type="dxa"/>
            <w:tcBorders>
              <w:top w:val="nil"/>
              <w:left w:val="nil"/>
              <w:bottom w:val="single" w:sz="4" w:space="0" w:color="auto"/>
              <w:right w:val="single" w:sz="4" w:space="0" w:color="auto"/>
            </w:tcBorders>
            <w:shd w:val="clear" w:color="auto" w:fill="auto"/>
            <w:vAlign w:val="bottom"/>
            <w:hideMark/>
          </w:tcPr>
          <w:p w14:paraId="02F2C8BD"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343,999 </w:t>
            </w:r>
          </w:p>
        </w:tc>
        <w:tc>
          <w:tcPr>
            <w:tcW w:w="1060" w:type="dxa"/>
            <w:tcBorders>
              <w:top w:val="nil"/>
              <w:left w:val="nil"/>
              <w:bottom w:val="single" w:sz="4" w:space="0" w:color="auto"/>
              <w:right w:val="single" w:sz="4" w:space="0" w:color="auto"/>
            </w:tcBorders>
            <w:shd w:val="clear" w:color="auto" w:fill="auto"/>
            <w:vAlign w:val="bottom"/>
            <w:hideMark/>
          </w:tcPr>
          <w:p w14:paraId="370BBF98"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403,888 </w:t>
            </w:r>
          </w:p>
        </w:tc>
        <w:tc>
          <w:tcPr>
            <w:tcW w:w="1060" w:type="dxa"/>
            <w:tcBorders>
              <w:top w:val="nil"/>
              <w:left w:val="nil"/>
              <w:bottom w:val="single" w:sz="4" w:space="0" w:color="auto"/>
              <w:right w:val="single" w:sz="4" w:space="0" w:color="auto"/>
            </w:tcBorders>
            <w:shd w:val="clear" w:color="auto" w:fill="auto"/>
            <w:vAlign w:val="bottom"/>
            <w:hideMark/>
          </w:tcPr>
          <w:p w14:paraId="58C20841"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582,498 </w:t>
            </w:r>
          </w:p>
        </w:tc>
        <w:tc>
          <w:tcPr>
            <w:tcW w:w="1060" w:type="dxa"/>
            <w:tcBorders>
              <w:top w:val="nil"/>
              <w:left w:val="nil"/>
              <w:bottom w:val="single" w:sz="4" w:space="0" w:color="auto"/>
              <w:right w:val="single" w:sz="4" w:space="0" w:color="auto"/>
            </w:tcBorders>
            <w:shd w:val="clear" w:color="auto" w:fill="auto"/>
            <w:vAlign w:val="bottom"/>
            <w:hideMark/>
          </w:tcPr>
          <w:p w14:paraId="26C394E2"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634,572 </w:t>
            </w:r>
          </w:p>
        </w:tc>
      </w:tr>
      <w:tr w:rsidR="00CE4927" w:rsidRPr="000E2036" w14:paraId="6FBAA9D6" w14:textId="77777777" w:rsidTr="00CE4927">
        <w:trPr>
          <w:trHeight w:val="240"/>
        </w:trPr>
        <w:tc>
          <w:tcPr>
            <w:tcW w:w="1920" w:type="dxa"/>
            <w:tcBorders>
              <w:top w:val="nil"/>
              <w:left w:val="single" w:sz="4" w:space="0" w:color="auto"/>
              <w:bottom w:val="single" w:sz="4" w:space="0" w:color="auto"/>
              <w:right w:val="single" w:sz="4" w:space="0" w:color="auto"/>
            </w:tcBorders>
            <w:shd w:val="clear" w:color="auto" w:fill="auto"/>
            <w:vAlign w:val="bottom"/>
            <w:hideMark/>
          </w:tcPr>
          <w:p w14:paraId="28A28FAF" w14:textId="77777777" w:rsidR="00CE4927" w:rsidRPr="000E2036" w:rsidRDefault="00CE4927" w:rsidP="00CE4927">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SG&amp;A Expenses</w:t>
            </w:r>
          </w:p>
        </w:tc>
        <w:tc>
          <w:tcPr>
            <w:tcW w:w="1060" w:type="dxa"/>
            <w:tcBorders>
              <w:top w:val="nil"/>
              <w:left w:val="nil"/>
              <w:bottom w:val="single" w:sz="4" w:space="0" w:color="auto"/>
              <w:right w:val="single" w:sz="4" w:space="0" w:color="auto"/>
            </w:tcBorders>
            <w:shd w:val="clear" w:color="auto" w:fill="auto"/>
            <w:vAlign w:val="bottom"/>
            <w:hideMark/>
          </w:tcPr>
          <w:p w14:paraId="7F6EF2DA"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235,661 </w:t>
            </w:r>
          </w:p>
        </w:tc>
        <w:tc>
          <w:tcPr>
            <w:tcW w:w="1060" w:type="dxa"/>
            <w:tcBorders>
              <w:top w:val="nil"/>
              <w:left w:val="nil"/>
              <w:bottom w:val="single" w:sz="4" w:space="0" w:color="auto"/>
              <w:right w:val="single" w:sz="4" w:space="0" w:color="auto"/>
            </w:tcBorders>
            <w:shd w:val="clear" w:color="auto" w:fill="auto"/>
            <w:vAlign w:val="bottom"/>
            <w:hideMark/>
          </w:tcPr>
          <w:p w14:paraId="5E67A3EF"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225,199 </w:t>
            </w:r>
          </w:p>
        </w:tc>
        <w:tc>
          <w:tcPr>
            <w:tcW w:w="1060" w:type="dxa"/>
            <w:tcBorders>
              <w:top w:val="nil"/>
              <w:left w:val="nil"/>
              <w:bottom w:val="single" w:sz="4" w:space="0" w:color="auto"/>
              <w:right w:val="single" w:sz="4" w:space="0" w:color="auto"/>
            </w:tcBorders>
            <w:shd w:val="clear" w:color="auto" w:fill="auto"/>
            <w:vAlign w:val="bottom"/>
            <w:hideMark/>
          </w:tcPr>
          <w:p w14:paraId="4908E2B6"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245,432 </w:t>
            </w:r>
          </w:p>
        </w:tc>
        <w:tc>
          <w:tcPr>
            <w:tcW w:w="1060" w:type="dxa"/>
            <w:tcBorders>
              <w:top w:val="nil"/>
              <w:left w:val="nil"/>
              <w:bottom w:val="single" w:sz="4" w:space="0" w:color="auto"/>
              <w:right w:val="single" w:sz="4" w:space="0" w:color="auto"/>
            </w:tcBorders>
            <w:shd w:val="clear" w:color="auto" w:fill="auto"/>
            <w:vAlign w:val="bottom"/>
            <w:hideMark/>
          </w:tcPr>
          <w:p w14:paraId="74EE469E"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251,596 </w:t>
            </w:r>
          </w:p>
        </w:tc>
        <w:tc>
          <w:tcPr>
            <w:tcW w:w="1060" w:type="dxa"/>
            <w:tcBorders>
              <w:top w:val="nil"/>
              <w:left w:val="nil"/>
              <w:bottom w:val="single" w:sz="4" w:space="0" w:color="auto"/>
              <w:right w:val="single" w:sz="4" w:space="0" w:color="auto"/>
            </w:tcBorders>
            <w:shd w:val="clear" w:color="auto" w:fill="auto"/>
            <w:vAlign w:val="bottom"/>
            <w:hideMark/>
          </w:tcPr>
          <w:p w14:paraId="741807D1"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288,013 </w:t>
            </w:r>
          </w:p>
        </w:tc>
        <w:tc>
          <w:tcPr>
            <w:tcW w:w="1060" w:type="dxa"/>
            <w:tcBorders>
              <w:top w:val="nil"/>
              <w:left w:val="nil"/>
              <w:bottom w:val="single" w:sz="4" w:space="0" w:color="auto"/>
              <w:right w:val="single" w:sz="4" w:space="0" w:color="auto"/>
            </w:tcBorders>
            <w:shd w:val="clear" w:color="auto" w:fill="auto"/>
            <w:vAlign w:val="bottom"/>
            <w:hideMark/>
          </w:tcPr>
          <w:p w14:paraId="58F0D6D5"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421,177 </w:t>
            </w:r>
          </w:p>
        </w:tc>
        <w:tc>
          <w:tcPr>
            <w:tcW w:w="1060" w:type="dxa"/>
            <w:tcBorders>
              <w:top w:val="nil"/>
              <w:left w:val="nil"/>
              <w:bottom w:val="single" w:sz="4" w:space="0" w:color="auto"/>
              <w:right w:val="single" w:sz="4" w:space="0" w:color="auto"/>
            </w:tcBorders>
            <w:shd w:val="clear" w:color="auto" w:fill="auto"/>
            <w:vAlign w:val="bottom"/>
            <w:hideMark/>
          </w:tcPr>
          <w:p w14:paraId="2A6E979A"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465,115 </w:t>
            </w:r>
          </w:p>
        </w:tc>
      </w:tr>
      <w:tr w:rsidR="00CE4927" w:rsidRPr="000E2036" w14:paraId="0D63837A" w14:textId="77777777" w:rsidTr="00CE4927">
        <w:trPr>
          <w:trHeight w:val="240"/>
        </w:trPr>
        <w:tc>
          <w:tcPr>
            <w:tcW w:w="1920" w:type="dxa"/>
            <w:tcBorders>
              <w:top w:val="nil"/>
              <w:left w:val="single" w:sz="4" w:space="0" w:color="auto"/>
              <w:bottom w:val="single" w:sz="4" w:space="0" w:color="auto"/>
              <w:right w:val="single" w:sz="4" w:space="0" w:color="auto"/>
            </w:tcBorders>
            <w:shd w:val="clear" w:color="auto" w:fill="auto"/>
            <w:vAlign w:val="bottom"/>
            <w:hideMark/>
          </w:tcPr>
          <w:p w14:paraId="67126E1A" w14:textId="77777777" w:rsidR="00CE4927" w:rsidRPr="000E2036" w:rsidRDefault="00CE4927" w:rsidP="00CE4927">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Operating Income</w:t>
            </w:r>
          </w:p>
        </w:tc>
        <w:tc>
          <w:tcPr>
            <w:tcW w:w="1060" w:type="dxa"/>
            <w:tcBorders>
              <w:top w:val="nil"/>
              <w:left w:val="nil"/>
              <w:bottom w:val="single" w:sz="4" w:space="0" w:color="auto"/>
              <w:right w:val="single" w:sz="4" w:space="0" w:color="auto"/>
            </w:tcBorders>
            <w:shd w:val="clear" w:color="auto" w:fill="auto"/>
            <w:vAlign w:val="bottom"/>
            <w:hideMark/>
          </w:tcPr>
          <w:p w14:paraId="4916C2EC"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91,017 </w:t>
            </w:r>
          </w:p>
        </w:tc>
        <w:tc>
          <w:tcPr>
            <w:tcW w:w="1060" w:type="dxa"/>
            <w:tcBorders>
              <w:top w:val="nil"/>
              <w:left w:val="nil"/>
              <w:bottom w:val="single" w:sz="4" w:space="0" w:color="auto"/>
              <w:right w:val="single" w:sz="4" w:space="0" w:color="auto"/>
            </w:tcBorders>
            <w:shd w:val="clear" w:color="auto" w:fill="auto"/>
            <w:vAlign w:val="bottom"/>
            <w:hideMark/>
          </w:tcPr>
          <w:p w14:paraId="0940ABA8"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55,591 </w:t>
            </w:r>
          </w:p>
        </w:tc>
        <w:tc>
          <w:tcPr>
            <w:tcW w:w="1060" w:type="dxa"/>
            <w:tcBorders>
              <w:top w:val="nil"/>
              <w:left w:val="nil"/>
              <w:bottom w:val="single" w:sz="4" w:space="0" w:color="auto"/>
              <w:right w:val="single" w:sz="4" w:space="0" w:color="auto"/>
            </w:tcBorders>
            <w:shd w:val="clear" w:color="auto" w:fill="auto"/>
            <w:vAlign w:val="bottom"/>
            <w:hideMark/>
          </w:tcPr>
          <w:p w14:paraId="1106104B"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85,297 </w:t>
            </w:r>
          </w:p>
        </w:tc>
        <w:tc>
          <w:tcPr>
            <w:tcW w:w="1060" w:type="dxa"/>
            <w:tcBorders>
              <w:top w:val="nil"/>
              <w:left w:val="nil"/>
              <w:bottom w:val="single" w:sz="4" w:space="0" w:color="auto"/>
              <w:right w:val="single" w:sz="4" w:space="0" w:color="auto"/>
            </w:tcBorders>
            <w:shd w:val="clear" w:color="auto" w:fill="auto"/>
            <w:vAlign w:val="bottom"/>
            <w:hideMark/>
          </w:tcPr>
          <w:p w14:paraId="30ABD2EE"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92,403 </w:t>
            </w:r>
          </w:p>
        </w:tc>
        <w:tc>
          <w:tcPr>
            <w:tcW w:w="1060" w:type="dxa"/>
            <w:tcBorders>
              <w:top w:val="nil"/>
              <w:left w:val="nil"/>
              <w:bottom w:val="single" w:sz="4" w:space="0" w:color="auto"/>
              <w:right w:val="single" w:sz="4" w:space="0" w:color="auto"/>
            </w:tcBorders>
            <w:shd w:val="clear" w:color="auto" w:fill="auto"/>
            <w:vAlign w:val="bottom"/>
            <w:hideMark/>
          </w:tcPr>
          <w:p w14:paraId="4AC7CB74"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115,875 </w:t>
            </w:r>
          </w:p>
        </w:tc>
        <w:tc>
          <w:tcPr>
            <w:tcW w:w="1060" w:type="dxa"/>
            <w:tcBorders>
              <w:top w:val="nil"/>
              <w:left w:val="nil"/>
              <w:bottom w:val="single" w:sz="4" w:space="0" w:color="auto"/>
              <w:right w:val="single" w:sz="4" w:space="0" w:color="auto"/>
            </w:tcBorders>
            <w:shd w:val="clear" w:color="auto" w:fill="auto"/>
            <w:vAlign w:val="bottom"/>
            <w:hideMark/>
          </w:tcPr>
          <w:p w14:paraId="6DD4F68E"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161,321 </w:t>
            </w:r>
          </w:p>
        </w:tc>
        <w:tc>
          <w:tcPr>
            <w:tcW w:w="1060" w:type="dxa"/>
            <w:tcBorders>
              <w:top w:val="nil"/>
              <w:left w:val="nil"/>
              <w:bottom w:val="single" w:sz="4" w:space="0" w:color="auto"/>
              <w:right w:val="single" w:sz="4" w:space="0" w:color="auto"/>
            </w:tcBorders>
            <w:shd w:val="clear" w:color="auto" w:fill="auto"/>
            <w:vAlign w:val="bottom"/>
            <w:hideMark/>
          </w:tcPr>
          <w:p w14:paraId="1E03A87D"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169,456 </w:t>
            </w:r>
          </w:p>
        </w:tc>
      </w:tr>
      <w:tr w:rsidR="00CE4927" w:rsidRPr="000E2036" w14:paraId="5DF655D1" w14:textId="77777777" w:rsidTr="00CE4927">
        <w:trPr>
          <w:trHeight w:val="240"/>
        </w:trPr>
        <w:tc>
          <w:tcPr>
            <w:tcW w:w="1920" w:type="dxa"/>
            <w:tcBorders>
              <w:top w:val="nil"/>
              <w:left w:val="single" w:sz="4" w:space="0" w:color="auto"/>
              <w:bottom w:val="single" w:sz="4" w:space="0" w:color="auto"/>
              <w:right w:val="single" w:sz="4" w:space="0" w:color="auto"/>
            </w:tcBorders>
            <w:shd w:val="clear" w:color="auto" w:fill="auto"/>
            <w:vAlign w:val="bottom"/>
            <w:hideMark/>
          </w:tcPr>
          <w:p w14:paraId="3DB79E69" w14:textId="77777777" w:rsidR="00CE4927" w:rsidRPr="000E2036" w:rsidRDefault="00CE4927" w:rsidP="00CE4927">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Net Income</w:t>
            </w:r>
          </w:p>
        </w:tc>
        <w:tc>
          <w:tcPr>
            <w:tcW w:w="1060" w:type="dxa"/>
            <w:tcBorders>
              <w:top w:val="nil"/>
              <w:left w:val="nil"/>
              <w:bottom w:val="single" w:sz="4" w:space="0" w:color="auto"/>
              <w:right w:val="single" w:sz="4" w:space="0" w:color="auto"/>
            </w:tcBorders>
            <w:shd w:val="clear" w:color="auto" w:fill="auto"/>
            <w:vAlign w:val="bottom"/>
            <w:hideMark/>
          </w:tcPr>
          <w:p w14:paraId="4844F9BC"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40,224 </w:t>
            </w:r>
          </w:p>
        </w:tc>
        <w:tc>
          <w:tcPr>
            <w:tcW w:w="1060" w:type="dxa"/>
            <w:tcBorders>
              <w:top w:val="nil"/>
              <w:left w:val="nil"/>
              <w:bottom w:val="single" w:sz="4" w:space="0" w:color="auto"/>
              <w:right w:val="single" w:sz="4" w:space="0" w:color="auto"/>
            </w:tcBorders>
            <w:shd w:val="clear" w:color="auto" w:fill="auto"/>
            <w:vAlign w:val="bottom"/>
            <w:hideMark/>
          </w:tcPr>
          <w:p w14:paraId="192D881A"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27,339 </w:t>
            </w:r>
          </w:p>
        </w:tc>
        <w:tc>
          <w:tcPr>
            <w:tcW w:w="1060" w:type="dxa"/>
            <w:tcBorders>
              <w:top w:val="nil"/>
              <w:left w:val="nil"/>
              <w:bottom w:val="single" w:sz="4" w:space="0" w:color="auto"/>
              <w:right w:val="single" w:sz="4" w:space="0" w:color="auto"/>
            </w:tcBorders>
            <w:shd w:val="clear" w:color="auto" w:fill="auto"/>
            <w:vAlign w:val="bottom"/>
            <w:hideMark/>
          </w:tcPr>
          <w:p w14:paraId="02CB0904"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47,169 </w:t>
            </w:r>
          </w:p>
        </w:tc>
        <w:tc>
          <w:tcPr>
            <w:tcW w:w="1060" w:type="dxa"/>
            <w:tcBorders>
              <w:top w:val="nil"/>
              <w:left w:val="nil"/>
              <w:bottom w:val="single" w:sz="4" w:space="0" w:color="auto"/>
              <w:right w:val="single" w:sz="4" w:space="0" w:color="auto"/>
            </w:tcBorders>
            <w:shd w:val="clear" w:color="auto" w:fill="auto"/>
            <w:vAlign w:val="bottom"/>
            <w:hideMark/>
          </w:tcPr>
          <w:p w14:paraId="4225A170"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66,205 </w:t>
            </w:r>
          </w:p>
        </w:tc>
        <w:tc>
          <w:tcPr>
            <w:tcW w:w="1060" w:type="dxa"/>
            <w:tcBorders>
              <w:top w:val="nil"/>
              <w:left w:val="nil"/>
              <w:bottom w:val="single" w:sz="4" w:space="0" w:color="auto"/>
              <w:right w:val="single" w:sz="4" w:space="0" w:color="auto"/>
            </w:tcBorders>
            <w:shd w:val="clear" w:color="auto" w:fill="auto"/>
            <w:vAlign w:val="bottom"/>
            <w:hideMark/>
          </w:tcPr>
          <w:p w14:paraId="38AF2E5E"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67,432 </w:t>
            </w:r>
          </w:p>
        </w:tc>
        <w:tc>
          <w:tcPr>
            <w:tcW w:w="1060" w:type="dxa"/>
            <w:tcBorders>
              <w:top w:val="nil"/>
              <w:left w:val="nil"/>
              <w:bottom w:val="single" w:sz="4" w:space="0" w:color="auto"/>
              <w:right w:val="single" w:sz="4" w:space="0" w:color="auto"/>
            </w:tcBorders>
            <w:shd w:val="clear" w:color="auto" w:fill="auto"/>
            <w:vAlign w:val="bottom"/>
            <w:hideMark/>
          </w:tcPr>
          <w:p w14:paraId="33928D1D"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73,034 </w:t>
            </w:r>
          </w:p>
        </w:tc>
        <w:tc>
          <w:tcPr>
            <w:tcW w:w="1060" w:type="dxa"/>
            <w:tcBorders>
              <w:top w:val="nil"/>
              <w:left w:val="nil"/>
              <w:bottom w:val="single" w:sz="4" w:space="0" w:color="auto"/>
              <w:right w:val="single" w:sz="4" w:space="0" w:color="auto"/>
            </w:tcBorders>
            <w:shd w:val="clear" w:color="auto" w:fill="auto"/>
            <w:vAlign w:val="bottom"/>
            <w:hideMark/>
          </w:tcPr>
          <w:p w14:paraId="183C5785" w14:textId="77777777" w:rsidR="00CE4927" w:rsidRPr="000E2036" w:rsidRDefault="00CE4927" w:rsidP="00CE4927">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67,571 </w:t>
            </w:r>
          </w:p>
        </w:tc>
      </w:tr>
    </w:tbl>
    <w:p w14:paraId="6269CF95" w14:textId="77777777" w:rsidR="004E5B49" w:rsidRPr="000E2036" w:rsidRDefault="004E5B49" w:rsidP="00E8070D">
      <w:pPr>
        <w:pStyle w:val="BodyTextMain"/>
        <w:rPr>
          <w:lang w:val="en-GB"/>
        </w:rPr>
      </w:pPr>
    </w:p>
    <w:p w14:paraId="09D980F9" w14:textId="510E09F3" w:rsidR="00150192" w:rsidRPr="000E2036" w:rsidRDefault="00AF7B9D" w:rsidP="00E8070D">
      <w:pPr>
        <w:pStyle w:val="BodyTextMain"/>
        <w:rPr>
          <w:rFonts w:ascii="Arial" w:hAnsi="Arial" w:cs="Arial"/>
          <w:sz w:val="17"/>
          <w:szCs w:val="17"/>
          <w:lang w:val="en-GB"/>
        </w:rPr>
      </w:pPr>
      <w:r w:rsidRPr="000E2036">
        <w:rPr>
          <w:rFonts w:ascii="Arial" w:hAnsi="Arial" w:cs="Arial"/>
          <w:sz w:val="17"/>
          <w:szCs w:val="17"/>
          <w:lang w:val="en-GB"/>
        </w:rPr>
        <w:t>Note: ¥ = Japanese yen; US$1</w:t>
      </w:r>
      <w:r w:rsidR="00AC391A">
        <w:rPr>
          <w:rFonts w:ascii="Arial" w:hAnsi="Arial" w:cs="Arial"/>
          <w:sz w:val="17"/>
          <w:szCs w:val="17"/>
          <w:lang w:val="en-GB"/>
        </w:rPr>
        <w:t>.00</w:t>
      </w:r>
      <w:r w:rsidRPr="000E2036">
        <w:rPr>
          <w:rFonts w:ascii="Arial" w:hAnsi="Arial" w:cs="Arial"/>
          <w:sz w:val="17"/>
          <w:szCs w:val="17"/>
          <w:lang w:val="en-GB"/>
        </w:rPr>
        <w:t xml:space="preserve"> = ¥114.37 on December 1, 2016; </w:t>
      </w:r>
      <w:r w:rsidR="00150192" w:rsidRPr="000E2036">
        <w:rPr>
          <w:rFonts w:ascii="Arial" w:hAnsi="Arial" w:cs="Arial"/>
          <w:sz w:val="17"/>
          <w:szCs w:val="17"/>
          <w:lang w:val="en-GB"/>
        </w:rPr>
        <w:t>SG&amp;A = selling, general, and administrative expenses</w:t>
      </w:r>
      <w:r w:rsidR="00AC391A">
        <w:rPr>
          <w:rFonts w:ascii="Arial" w:hAnsi="Arial" w:cs="Arial"/>
          <w:sz w:val="17"/>
          <w:szCs w:val="17"/>
          <w:lang w:val="en-GB"/>
        </w:rPr>
        <w:t>.</w:t>
      </w:r>
    </w:p>
    <w:p w14:paraId="52DDE516" w14:textId="7033C9F1" w:rsidR="0061776A" w:rsidRPr="000E2036" w:rsidRDefault="0061776A" w:rsidP="00AC391A">
      <w:pPr>
        <w:pStyle w:val="BodyTextMain"/>
        <w:rPr>
          <w:rFonts w:ascii="Arial" w:hAnsi="Arial" w:cs="Arial"/>
          <w:sz w:val="17"/>
          <w:szCs w:val="17"/>
          <w:lang w:val="en-GB"/>
        </w:rPr>
      </w:pPr>
      <w:r w:rsidRPr="000E2036">
        <w:rPr>
          <w:rFonts w:ascii="Arial" w:hAnsi="Arial" w:cs="Arial"/>
          <w:sz w:val="17"/>
          <w:szCs w:val="17"/>
          <w:lang w:val="en-GB"/>
        </w:rPr>
        <w:t>Source: Created by the case authors based on Toyota Tsusho Corporation</w:t>
      </w:r>
      <w:r w:rsidR="0065626F" w:rsidRPr="000E2036">
        <w:rPr>
          <w:rFonts w:ascii="Arial" w:hAnsi="Arial" w:cs="Arial"/>
          <w:sz w:val="17"/>
          <w:szCs w:val="17"/>
          <w:lang w:val="en-GB"/>
        </w:rPr>
        <w:t>,</w:t>
      </w:r>
      <w:r w:rsidRPr="000E2036">
        <w:rPr>
          <w:rFonts w:ascii="Arial" w:hAnsi="Arial" w:cs="Arial"/>
          <w:sz w:val="17"/>
          <w:szCs w:val="17"/>
          <w:lang w:val="en-GB"/>
        </w:rPr>
        <w:t xml:space="preserve"> </w:t>
      </w:r>
      <w:r w:rsidRPr="002C1C44">
        <w:rPr>
          <w:rFonts w:ascii="Arial" w:hAnsi="Arial" w:cs="Arial"/>
          <w:i/>
          <w:sz w:val="17"/>
          <w:szCs w:val="17"/>
          <w:lang w:val="en-GB"/>
        </w:rPr>
        <w:t>Annual Report 2013</w:t>
      </w:r>
      <w:r w:rsidR="00AC391A">
        <w:rPr>
          <w:rFonts w:ascii="Arial" w:hAnsi="Arial" w:cs="Arial"/>
          <w:i/>
          <w:sz w:val="17"/>
          <w:szCs w:val="17"/>
          <w:lang w:val="en-GB"/>
        </w:rPr>
        <w:t xml:space="preserve">: </w:t>
      </w:r>
      <w:r w:rsidR="00AC391A" w:rsidRPr="00AC391A">
        <w:rPr>
          <w:rFonts w:ascii="Arial" w:hAnsi="Arial" w:cs="Arial"/>
          <w:i/>
          <w:sz w:val="17"/>
          <w:szCs w:val="17"/>
          <w:lang w:val="en-GB"/>
        </w:rPr>
        <w:t>Accelerating</w:t>
      </w:r>
      <w:r w:rsidR="00AC391A">
        <w:rPr>
          <w:rFonts w:ascii="Arial" w:hAnsi="Arial" w:cs="Arial"/>
          <w:i/>
          <w:sz w:val="17"/>
          <w:szCs w:val="17"/>
          <w:lang w:val="en-GB"/>
        </w:rPr>
        <w:t xml:space="preserve"> </w:t>
      </w:r>
      <w:r w:rsidR="00AC391A" w:rsidRPr="00AC391A">
        <w:rPr>
          <w:rFonts w:ascii="Arial" w:hAnsi="Arial" w:cs="Arial"/>
          <w:i/>
          <w:sz w:val="17"/>
          <w:szCs w:val="17"/>
          <w:lang w:val="en-GB"/>
        </w:rPr>
        <w:t>Growth</w:t>
      </w:r>
      <w:r w:rsidR="00AC391A">
        <w:rPr>
          <w:rFonts w:ascii="Arial" w:hAnsi="Arial" w:cs="Arial"/>
          <w:i/>
          <w:sz w:val="17"/>
          <w:szCs w:val="17"/>
          <w:lang w:val="en-GB"/>
        </w:rPr>
        <w:t xml:space="preserve"> i</w:t>
      </w:r>
      <w:r w:rsidR="00AC391A" w:rsidRPr="00AC391A">
        <w:rPr>
          <w:rFonts w:ascii="Arial" w:hAnsi="Arial" w:cs="Arial"/>
          <w:i/>
          <w:sz w:val="17"/>
          <w:szCs w:val="17"/>
          <w:lang w:val="en-GB"/>
        </w:rPr>
        <w:t>n Three Core Fields</w:t>
      </w:r>
      <w:r w:rsidR="00AC391A" w:rsidRPr="000E2036">
        <w:rPr>
          <w:rFonts w:ascii="Arial" w:hAnsi="Arial" w:cs="Arial"/>
          <w:sz w:val="17"/>
          <w:szCs w:val="17"/>
          <w:lang w:val="en-GB"/>
        </w:rPr>
        <w:t>, 8</w:t>
      </w:r>
      <w:r w:rsidRPr="000E2036">
        <w:rPr>
          <w:rFonts w:ascii="Arial" w:hAnsi="Arial" w:cs="Arial"/>
          <w:sz w:val="17"/>
          <w:szCs w:val="17"/>
          <w:lang w:val="en-GB"/>
        </w:rPr>
        <w:t>, accessed September 19, 2017, www.toyota-tsusho.com/english/ir/pdf/library/integrated-report/ANNUAL2013EgALL.pdf.</w:t>
      </w:r>
    </w:p>
    <w:p w14:paraId="25AA57E2" w14:textId="77777777" w:rsidR="0061776A" w:rsidRPr="000E2036" w:rsidRDefault="0061776A" w:rsidP="00E8070D">
      <w:pPr>
        <w:pStyle w:val="BodyTextMain"/>
        <w:rPr>
          <w:lang w:val="en-GB"/>
        </w:rPr>
      </w:pPr>
    </w:p>
    <w:p w14:paraId="690AF7C2" w14:textId="77777777" w:rsidR="005D44FD" w:rsidRPr="000E2036" w:rsidRDefault="005D44FD" w:rsidP="00E8070D">
      <w:pPr>
        <w:pStyle w:val="BodyTextMain"/>
        <w:rPr>
          <w:lang w:val="en-GB"/>
        </w:rPr>
      </w:pPr>
    </w:p>
    <w:p w14:paraId="315C6038" w14:textId="5154D4BB" w:rsidR="004E5B49" w:rsidRPr="000E2036" w:rsidRDefault="004E5B49" w:rsidP="002723AF">
      <w:pPr>
        <w:pStyle w:val="ExhibitHeading"/>
        <w:rPr>
          <w:lang w:val="en-GB" w:eastAsia="zh-CN"/>
        </w:rPr>
      </w:pPr>
      <w:r w:rsidRPr="000E2036">
        <w:rPr>
          <w:lang w:val="en-GB" w:eastAsia="zh-CN"/>
        </w:rPr>
        <w:t>Exhibit 6:</w:t>
      </w:r>
      <w:r w:rsidR="008A5C9B" w:rsidRPr="000E2036">
        <w:rPr>
          <w:lang w:val="en-GB" w:eastAsia="zh-CN"/>
        </w:rPr>
        <w:t xml:space="preserve"> CFAO </w:t>
      </w:r>
      <w:r w:rsidR="00BB2ECF" w:rsidRPr="000E2036">
        <w:rPr>
          <w:lang w:val="en-GB" w:eastAsia="zh-CN"/>
        </w:rPr>
        <w:t xml:space="preserve">NEW </w:t>
      </w:r>
      <w:r w:rsidR="008A5C9B" w:rsidRPr="000E2036">
        <w:rPr>
          <w:lang w:val="en-GB" w:eastAsia="zh-CN"/>
        </w:rPr>
        <w:t>VeHICLES SALES</w:t>
      </w:r>
      <w:r w:rsidR="00150192" w:rsidRPr="000E2036">
        <w:rPr>
          <w:lang w:val="en-GB" w:eastAsia="zh-CN"/>
        </w:rPr>
        <w:t>,</w:t>
      </w:r>
      <w:r w:rsidR="008A5C9B" w:rsidRPr="000E2036">
        <w:rPr>
          <w:lang w:val="en-GB" w:eastAsia="zh-CN"/>
        </w:rPr>
        <w:t xml:space="preserve"> 2005</w:t>
      </w:r>
      <w:r w:rsidR="00150192" w:rsidRPr="000E2036">
        <w:rPr>
          <w:lang w:val="en-GB" w:eastAsia="zh-CN"/>
        </w:rPr>
        <w:t>–</w:t>
      </w:r>
      <w:r w:rsidR="008A5C9B" w:rsidRPr="000E2036">
        <w:rPr>
          <w:lang w:val="en-GB" w:eastAsia="zh-CN"/>
        </w:rPr>
        <w:t>2013</w:t>
      </w:r>
    </w:p>
    <w:p w14:paraId="104D79C6" w14:textId="77777777" w:rsidR="004E5B49" w:rsidRPr="000E2036" w:rsidRDefault="004E5B49" w:rsidP="00E8070D">
      <w:pPr>
        <w:pStyle w:val="BodyTextMain"/>
        <w:rPr>
          <w:lang w:val="en-GB"/>
        </w:rPr>
      </w:pPr>
    </w:p>
    <w:tbl>
      <w:tblPr>
        <w:tblW w:w="9380" w:type="dxa"/>
        <w:tblInd w:w="93" w:type="dxa"/>
        <w:tblLook w:val="04A0" w:firstRow="1" w:lastRow="0" w:firstColumn="1" w:lastColumn="0" w:noHBand="0" w:noVBand="1"/>
      </w:tblPr>
      <w:tblGrid>
        <w:gridCol w:w="1928"/>
        <w:gridCol w:w="828"/>
        <w:gridCol w:w="828"/>
        <w:gridCol w:w="828"/>
        <w:gridCol w:w="828"/>
        <w:gridCol w:w="828"/>
        <w:gridCol w:w="828"/>
        <w:gridCol w:w="828"/>
        <w:gridCol w:w="828"/>
        <w:gridCol w:w="828"/>
      </w:tblGrid>
      <w:tr w:rsidR="008A5C9B" w:rsidRPr="000E2036" w14:paraId="2B2E9F1E" w14:textId="77777777" w:rsidTr="008A5C9B">
        <w:trPr>
          <w:trHeight w:val="24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B2D982" w14:textId="77777777" w:rsidR="008A5C9B" w:rsidRPr="000E2036" w:rsidRDefault="008A5C9B" w:rsidP="008A5C9B">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Year</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744F4FD4" w14:textId="77777777" w:rsidR="008A5C9B" w:rsidRPr="000E2036" w:rsidRDefault="008A5C9B" w:rsidP="008A5C9B">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2005</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21B65EBF" w14:textId="77777777" w:rsidR="008A5C9B" w:rsidRPr="000E2036" w:rsidRDefault="008A5C9B" w:rsidP="008A5C9B">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2006</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6C5D7A0F" w14:textId="77777777" w:rsidR="008A5C9B" w:rsidRPr="000E2036" w:rsidRDefault="008A5C9B" w:rsidP="008A5C9B">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2007</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592085E3" w14:textId="77777777" w:rsidR="008A5C9B" w:rsidRPr="000E2036" w:rsidRDefault="008A5C9B" w:rsidP="008A5C9B">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2008</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4FBD39CB" w14:textId="77777777" w:rsidR="008A5C9B" w:rsidRPr="000E2036" w:rsidRDefault="008A5C9B" w:rsidP="008A5C9B">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2009</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295F02E7" w14:textId="77777777" w:rsidR="008A5C9B" w:rsidRPr="000E2036" w:rsidRDefault="008A5C9B" w:rsidP="008A5C9B">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2010</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3CFF2FCF" w14:textId="77777777" w:rsidR="008A5C9B" w:rsidRPr="000E2036" w:rsidRDefault="008A5C9B" w:rsidP="008A5C9B">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2011</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24D9F483" w14:textId="77777777" w:rsidR="008A5C9B" w:rsidRPr="000E2036" w:rsidRDefault="008A5C9B" w:rsidP="008A5C9B">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2012</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58861709" w14:textId="77777777" w:rsidR="008A5C9B" w:rsidRPr="000E2036" w:rsidRDefault="008A5C9B" w:rsidP="008A5C9B">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2013</w:t>
            </w:r>
          </w:p>
        </w:tc>
      </w:tr>
      <w:tr w:rsidR="008A5C9B" w:rsidRPr="000E2036" w14:paraId="314763F9" w14:textId="77777777" w:rsidTr="008A5C9B">
        <w:trPr>
          <w:trHeight w:val="24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369B1C7D" w14:textId="77777777" w:rsidR="008A5C9B" w:rsidRPr="000E2036" w:rsidRDefault="008A5C9B" w:rsidP="008A5C9B">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Units</w:t>
            </w:r>
          </w:p>
        </w:tc>
        <w:tc>
          <w:tcPr>
            <w:tcW w:w="800" w:type="dxa"/>
            <w:tcBorders>
              <w:top w:val="nil"/>
              <w:left w:val="nil"/>
              <w:bottom w:val="single" w:sz="4" w:space="0" w:color="auto"/>
              <w:right w:val="single" w:sz="4" w:space="0" w:color="auto"/>
            </w:tcBorders>
            <w:shd w:val="clear" w:color="auto" w:fill="auto"/>
            <w:vAlign w:val="bottom"/>
            <w:hideMark/>
          </w:tcPr>
          <w:p w14:paraId="77A0B209"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42,526 </w:t>
            </w:r>
          </w:p>
        </w:tc>
        <w:tc>
          <w:tcPr>
            <w:tcW w:w="800" w:type="dxa"/>
            <w:tcBorders>
              <w:top w:val="nil"/>
              <w:left w:val="nil"/>
              <w:bottom w:val="single" w:sz="4" w:space="0" w:color="auto"/>
              <w:right w:val="single" w:sz="4" w:space="0" w:color="auto"/>
            </w:tcBorders>
            <w:shd w:val="clear" w:color="auto" w:fill="auto"/>
            <w:vAlign w:val="bottom"/>
            <w:hideMark/>
          </w:tcPr>
          <w:p w14:paraId="6ADB002C"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47,963 </w:t>
            </w:r>
          </w:p>
        </w:tc>
        <w:tc>
          <w:tcPr>
            <w:tcW w:w="800" w:type="dxa"/>
            <w:tcBorders>
              <w:top w:val="nil"/>
              <w:left w:val="nil"/>
              <w:bottom w:val="single" w:sz="4" w:space="0" w:color="auto"/>
              <w:right w:val="single" w:sz="4" w:space="0" w:color="auto"/>
            </w:tcBorders>
            <w:shd w:val="clear" w:color="auto" w:fill="auto"/>
            <w:vAlign w:val="bottom"/>
            <w:hideMark/>
          </w:tcPr>
          <w:p w14:paraId="6EA29064"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69,857 </w:t>
            </w:r>
          </w:p>
        </w:tc>
        <w:tc>
          <w:tcPr>
            <w:tcW w:w="800" w:type="dxa"/>
            <w:tcBorders>
              <w:top w:val="nil"/>
              <w:left w:val="nil"/>
              <w:bottom w:val="single" w:sz="4" w:space="0" w:color="auto"/>
              <w:right w:val="single" w:sz="4" w:space="0" w:color="auto"/>
            </w:tcBorders>
            <w:shd w:val="clear" w:color="auto" w:fill="auto"/>
            <w:vAlign w:val="bottom"/>
            <w:hideMark/>
          </w:tcPr>
          <w:p w14:paraId="6D8A48A2"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88,108 </w:t>
            </w:r>
          </w:p>
        </w:tc>
        <w:tc>
          <w:tcPr>
            <w:tcW w:w="800" w:type="dxa"/>
            <w:tcBorders>
              <w:top w:val="nil"/>
              <w:left w:val="nil"/>
              <w:bottom w:val="single" w:sz="4" w:space="0" w:color="auto"/>
              <w:right w:val="single" w:sz="4" w:space="0" w:color="auto"/>
            </w:tcBorders>
            <w:shd w:val="clear" w:color="auto" w:fill="auto"/>
            <w:vAlign w:val="bottom"/>
            <w:hideMark/>
          </w:tcPr>
          <w:p w14:paraId="6D1155E0"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66,728 </w:t>
            </w:r>
          </w:p>
        </w:tc>
        <w:tc>
          <w:tcPr>
            <w:tcW w:w="800" w:type="dxa"/>
            <w:tcBorders>
              <w:top w:val="nil"/>
              <w:left w:val="nil"/>
              <w:bottom w:val="single" w:sz="4" w:space="0" w:color="auto"/>
              <w:right w:val="single" w:sz="4" w:space="0" w:color="auto"/>
            </w:tcBorders>
            <w:shd w:val="clear" w:color="auto" w:fill="auto"/>
            <w:vAlign w:val="bottom"/>
            <w:hideMark/>
          </w:tcPr>
          <w:p w14:paraId="4D186949"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64,902 </w:t>
            </w:r>
          </w:p>
        </w:tc>
        <w:tc>
          <w:tcPr>
            <w:tcW w:w="800" w:type="dxa"/>
            <w:tcBorders>
              <w:top w:val="nil"/>
              <w:left w:val="nil"/>
              <w:bottom w:val="single" w:sz="4" w:space="0" w:color="auto"/>
              <w:right w:val="single" w:sz="4" w:space="0" w:color="auto"/>
            </w:tcBorders>
            <w:shd w:val="clear" w:color="auto" w:fill="auto"/>
            <w:vAlign w:val="bottom"/>
            <w:hideMark/>
          </w:tcPr>
          <w:p w14:paraId="3C8BF98D"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82,099 </w:t>
            </w:r>
          </w:p>
        </w:tc>
        <w:tc>
          <w:tcPr>
            <w:tcW w:w="800" w:type="dxa"/>
            <w:tcBorders>
              <w:top w:val="nil"/>
              <w:left w:val="nil"/>
              <w:bottom w:val="single" w:sz="4" w:space="0" w:color="auto"/>
              <w:right w:val="single" w:sz="4" w:space="0" w:color="auto"/>
            </w:tcBorders>
            <w:shd w:val="clear" w:color="auto" w:fill="auto"/>
            <w:vAlign w:val="bottom"/>
            <w:hideMark/>
          </w:tcPr>
          <w:p w14:paraId="60F15C81"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95,006 </w:t>
            </w:r>
          </w:p>
        </w:tc>
        <w:tc>
          <w:tcPr>
            <w:tcW w:w="800" w:type="dxa"/>
            <w:tcBorders>
              <w:top w:val="nil"/>
              <w:left w:val="nil"/>
              <w:bottom w:val="single" w:sz="4" w:space="0" w:color="auto"/>
              <w:right w:val="single" w:sz="4" w:space="0" w:color="auto"/>
            </w:tcBorders>
            <w:shd w:val="clear" w:color="auto" w:fill="auto"/>
            <w:vAlign w:val="bottom"/>
            <w:hideMark/>
          </w:tcPr>
          <w:p w14:paraId="2676A93E"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78,237 </w:t>
            </w:r>
          </w:p>
        </w:tc>
      </w:tr>
      <w:tr w:rsidR="008A5C9B" w:rsidRPr="000E2036" w14:paraId="023583A1" w14:textId="77777777" w:rsidTr="008A5C9B">
        <w:trPr>
          <w:trHeight w:val="48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5A076B30" w14:textId="77777777" w:rsidR="008A5C9B" w:rsidRPr="000E2036" w:rsidRDefault="008A5C9B" w:rsidP="008A5C9B">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Revenue </w:t>
            </w:r>
          </w:p>
          <w:p w14:paraId="1AD326FE" w14:textId="3338E939" w:rsidR="008A5C9B" w:rsidRPr="000E2036" w:rsidRDefault="008A5C9B" w:rsidP="008A5C9B">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w:t>
            </w:r>
            <w:r w:rsidR="00D9404E">
              <w:rPr>
                <w:rFonts w:ascii="Arial" w:eastAsia="SimSun" w:hAnsi="Arial" w:cs="Arial"/>
                <w:color w:val="000000"/>
                <w:kern w:val="0"/>
                <w:lang w:val="en-GB" w:eastAsia="zh-CN"/>
              </w:rPr>
              <w:t>in € m</w:t>
            </w:r>
            <w:r w:rsidRPr="000E2036">
              <w:rPr>
                <w:rFonts w:ascii="Arial" w:eastAsia="SimSun" w:hAnsi="Arial" w:cs="Arial"/>
                <w:color w:val="000000"/>
                <w:kern w:val="0"/>
                <w:lang w:val="en-GB" w:eastAsia="zh-CN"/>
              </w:rPr>
              <w:t>illion)</w:t>
            </w:r>
          </w:p>
        </w:tc>
        <w:tc>
          <w:tcPr>
            <w:tcW w:w="800" w:type="dxa"/>
            <w:tcBorders>
              <w:top w:val="nil"/>
              <w:left w:val="nil"/>
              <w:bottom w:val="single" w:sz="4" w:space="0" w:color="auto"/>
              <w:right w:val="single" w:sz="4" w:space="0" w:color="auto"/>
            </w:tcBorders>
            <w:shd w:val="clear" w:color="auto" w:fill="auto"/>
            <w:vAlign w:val="bottom"/>
            <w:hideMark/>
          </w:tcPr>
          <w:p w14:paraId="318BA874"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1,047 </w:t>
            </w:r>
          </w:p>
        </w:tc>
        <w:tc>
          <w:tcPr>
            <w:tcW w:w="800" w:type="dxa"/>
            <w:tcBorders>
              <w:top w:val="nil"/>
              <w:left w:val="nil"/>
              <w:bottom w:val="single" w:sz="4" w:space="0" w:color="auto"/>
              <w:right w:val="single" w:sz="4" w:space="0" w:color="auto"/>
            </w:tcBorders>
            <w:shd w:val="clear" w:color="auto" w:fill="auto"/>
            <w:vAlign w:val="bottom"/>
            <w:hideMark/>
          </w:tcPr>
          <w:p w14:paraId="55CA3D3C"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1,186 </w:t>
            </w:r>
          </w:p>
        </w:tc>
        <w:tc>
          <w:tcPr>
            <w:tcW w:w="800" w:type="dxa"/>
            <w:tcBorders>
              <w:top w:val="nil"/>
              <w:left w:val="nil"/>
              <w:bottom w:val="single" w:sz="4" w:space="0" w:color="auto"/>
              <w:right w:val="single" w:sz="4" w:space="0" w:color="auto"/>
            </w:tcBorders>
            <w:shd w:val="clear" w:color="auto" w:fill="auto"/>
            <w:vAlign w:val="bottom"/>
            <w:hideMark/>
          </w:tcPr>
          <w:p w14:paraId="4A9C117F"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1,508 </w:t>
            </w:r>
          </w:p>
        </w:tc>
        <w:tc>
          <w:tcPr>
            <w:tcW w:w="800" w:type="dxa"/>
            <w:tcBorders>
              <w:top w:val="nil"/>
              <w:left w:val="nil"/>
              <w:bottom w:val="single" w:sz="4" w:space="0" w:color="auto"/>
              <w:right w:val="single" w:sz="4" w:space="0" w:color="auto"/>
            </w:tcBorders>
            <w:shd w:val="clear" w:color="auto" w:fill="auto"/>
            <w:vAlign w:val="bottom"/>
            <w:hideMark/>
          </w:tcPr>
          <w:p w14:paraId="605801C9"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1,779 </w:t>
            </w:r>
          </w:p>
        </w:tc>
        <w:tc>
          <w:tcPr>
            <w:tcW w:w="800" w:type="dxa"/>
            <w:tcBorders>
              <w:top w:val="nil"/>
              <w:left w:val="nil"/>
              <w:bottom w:val="single" w:sz="4" w:space="0" w:color="auto"/>
              <w:right w:val="single" w:sz="4" w:space="0" w:color="auto"/>
            </w:tcBorders>
            <w:shd w:val="clear" w:color="auto" w:fill="auto"/>
            <w:vAlign w:val="bottom"/>
            <w:hideMark/>
          </w:tcPr>
          <w:p w14:paraId="2B497541"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1,451 </w:t>
            </w:r>
          </w:p>
        </w:tc>
        <w:tc>
          <w:tcPr>
            <w:tcW w:w="800" w:type="dxa"/>
            <w:tcBorders>
              <w:top w:val="nil"/>
              <w:left w:val="nil"/>
              <w:bottom w:val="single" w:sz="4" w:space="0" w:color="auto"/>
              <w:right w:val="single" w:sz="4" w:space="0" w:color="auto"/>
            </w:tcBorders>
            <w:shd w:val="clear" w:color="auto" w:fill="auto"/>
            <w:vAlign w:val="bottom"/>
            <w:hideMark/>
          </w:tcPr>
          <w:p w14:paraId="3C241468"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1,527 </w:t>
            </w:r>
          </w:p>
        </w:tc>
        <w:tc>
          <w:tcPr>
            <w:tcW w:w="800" w:type="dxa"/>
            <w:tcBorders>
              <w:top w:val="nil"/>
              <w:left w:val="nil"/>
              <w:bottom w:val="single" w:sz="4" w:space="0" w:color="auto"/>
              <w:right w:val="single" w:sz="4" w:space="0" w:color="auto"/>
            </w:tcBorders>
            <w:shd w:val="clear" w:color="auto" w:fill="auto"/>
            <w:vAlign w:val="bottom"/>
            <w:hideMark/>
          </w:tcPr>
          <w:p w14:paraId="4F2FB2CC"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1,892 </w:t>
            </w:r>
          </w:p>
        </w:tc>
        <w:tc>
          <w:tcPr>
            <w:tcW w:w="800" w:type="dxa"/>
            <w:tcBorders>
              <w:top w:val="nil"/>
              <w:left w:val="nil"/>
              <w:bottom w:val="single" w:sz="4" w:space="0" w:color="auto"/>
              <w:right w:val="single" w:sz="4" w:space="0" w:color="auto"/>
            </w:tcBorders>
            <w:shd w:val="clear" w:color="auto" w:fill="auto"/>
            <w:vAlign w:val="bottom"/>
            <w:hideMark/>
          </w:tcPr>
          <w:p w14:paraId="73EB0DDA"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2,188 </w:t>
            </w:r>
          </w:p>
        </w:tc>
        <w:tc>
          <w:tcPr>
            <w:tcW w:w="800" w:type="dxa"/>
            <w:tcBorders>
              <w:top w:val="nil"/>
              <w:left w:val="nil"/>
              <w:bottom w:val="single" w:sz="4" w:space="0" w:color="auto"/>
              <w:right w:val="single" w:sz="4" w:space="0" w:color="auto"/>
            </w:tcBorders>
            <w:shd w:val="clear" w:color="auto" w:fill="auto"/>
            <w:vAlign w:val="bottom"/>
            <w:hideMark/>
          </w:tcPr>
          <w:p w14:paraId="1B7F6AEB" w14:textId="77777777" w:rsidR="008A5C9B" w:rsidRPr="000E2036" w:rsidRDefault="008A5C9B" w:rsidP="008A5C9B">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2,049 </w:t>
            </w:r>
          </w:p>
        </w:tc>
      </w:tr>
    </w:tbl>
    <w:p w14:paraId="70B86FE0" w14:textId="77777777" w:rsidR="008A5C9B" w:rsidRPr="000E2036" w:rsidRDefault="008A5C9B" w:rsidP="00E8070D">
      <w:pPr>
        <w:pStyle w:val="BodyTextMain"/>
        <w:rPr>
          <w:lang w:val="en-GB"/>
        </w:rPr>
      </w:pPr>
    </w:p>
    <w:tbl>
      <w:tblPr>
        <w:tblW w:w="9340" w:type="dxa"/>
        <w:tblInd w:w="93" w:type="dxa"/>
        <w:tblLook w:val="04A0" w:firstRow="1" w:lastRow="0" w:firstColumn="1" w:lastColumn="0" w:noHBand="0" w:noVBand="1"/>
      </w:tblPr>
      <w:tblGrid>
        <w:gridCol w:w="5140"/>
        <w:gridCol w:w="1400"/>
        <w:gridCol w:w="1400"/>
        <w:gridCol w:w="1400"/>
      </w:tblGrid>
      <w:tr w:rsidR="00BB2ECF" w:rsidRPr="000E2036" w14:paraId="1BFDDEE8" w14:textId="77777777" w:rsidTr="00BB2ECF">
        <w:trPr>
          <w:trHeight w:val="240"/>
        </w:trPr>
        <w:tc>
          <w:tcPr>
            <w:tcW w:w="51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C49438" w14:textId="77777777" w:rsidR="00BB2ECF" w:rsidRPr="000E2036" w:rsidRDefault="00BB2ECF" w:rsidP="00BB2ECF">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New Vehicles Sales (Units)</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14:paraId="5B76FC69" w14:textId="77777777" w:rsidR="00BB2ECF" w:rsidRPr="000E2036" w:rsidRDefault="00BB2ECF" w:rsidP="00BB2ECF">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2012</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14:paraId="7EBE40B3" w14:textId="77777777" w:rsidR="00BB2ECF" w:rsidRPr="000E2036" w:rsidRDefault="00BB2ECF" w:rsidP="00BB2ECF">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2013</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14:paraId="63C51D31" w14:textId="77777777" w:rsidR="00BB2ECF" w:rsidRPr="000E2036" w:rsidRDefault="00BB2ECF" w:rsidP="00BB2ECF">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Change (%)</w:t>
            </w:r>
          </w:p>
        </w:tc>
      </w:tr>
      <w:tr w:rsidR="00BB2ECF" w:rsidRPr="000E2036" w14:paraId="6B671770" w14:textId="77777777" w:rsidTr="00BB2ECF">
        <w:trPr>
          <w:trHeight w:val="240"/>
        </w:trPr>
        <w:tc>
          <w:tcPr>
            <w:tcW w:w="5140" w:type="dxa"/>
            <w:tcBorders>
              <w:top w:val="nil"/>
              <w:left w:val="single" w:sz="4" w:space="0" w:color="auto"/>
              <w:bottom w:val="single" w:sz="4" w:space="0" w:color="auto"/>
              <w:right w:val="single" w:sz="4" w:space="0" w:color="auto"/>
            </w:tcBorders>
            <w:shd w:val="clear" w:color="auto" w:fill="auto"/>
            <w:vAlign w:val="bottom"/>
            <w:hideMark/>
          </w:tcPr>
          <w:p w14:paraId="755D38A7" w14:textId="2957F7B7" w:rsidR="00BB2ECF" w:rsidRPr="000E2036" w:rsidRDefault="00BB2ECF" w:rsidP="00BB2ECF">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French-</w:t>
            </w:r>
            <w:r w:rsidR="00D9404E">
              <w:rPr>
                <w:rFonts w:ascii="Arial" w:eastAsia="SimSun" w:hAnsi="Arial" w:cs="Arial"/>
                <w:color w:val="000000"/>
                <w:kern w:val="0"/>
                <w:lang w:val="en-GB" w:eastAsia="zh-CN"/>
              </w:rPr>
              <w:t>S</w:t>
            </w:r>
            <w:r w:rsidRPr="000E2036">
              <w:rPr>
                <w:rFonts w:ascii="Arial" w:eastAsia="SimSun" w:hAnsi="Arial" w:cs="Arial"/>
                <w:color w:val="000000"/>
                <w:kern w:val="0"/>
                <w:lang w:val="en-GB" w:eastAsia="zh-CN"/>
              </w:rPr>
              <w:t>peaking Sub-Saharan Africa</w:t>
            </w:r>
          </w:p>
        </w:tc>
        <w:tc>
          <w:tcPr>
            <w:tcW w:w="1400" w:type="dxa"/>
            <w:tcBorders>
              <w:top w:val="nil"/>
              <w:left w:val="nil"/>
              <w:bottom w:val="single" w:sz="4" w:space="0" w:color="auto"/>
              <w:right w:val="single" w:sz="4" w:space="0" w:color="auto"/>
            </w:tcBorders>
            <w:shd w:val="clear" w:color="auto" w:fill="auto"/>
            <w:vAlign w:val="bottom"/>
            <w:hideMark/>
          </w:tcPr>
          <w:p w14:paraId="14535EB9" w14:textId="77777777" w:rsidR="00BB2ECF" w:rsidRPr="000E2036" w:rsidRDefault="00BB2ECF" w:rsidP="00BB2ECF">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17,660 </w:t>
            </w:r>
          </w:p>
        </w:tc>
        <w:tc>
          <w:tcPr>
            <w:tcW w:w="1400" w:type="dxa"/>
            <w:tcBorders>
              <w:top w:val="nil"/>
              <w:left w:val="nil"/>
              <w:bottom w:val="single" w:sz="4" w:space="0" w:color="auto"/>
              <w:right w:val="single" w:sz="4" w:space="0" w:color="auto"/>
            </w:tcBorders>
            <w:shd w:val="clear" w:color="auto" w:fill="auto"/>
            <w:vAlign w:val="bottom"/>
            <w:hideMark/>
          </w:tcPr>
          <w:p w14:paraId="5D65A304" w14:textId="77777777" w:rsidR="00BB2ECF" w:rsidRPr="000E2036" w:rsidRDefault="00BB2ECF" w:rsidP="00BB2ECF">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17,853 </w:t>
            </w:r>
          </w:p>
        </w:tc>
        <w:tc>
          <w:tcPr>
            <w:tcW w:w="1400" w:type="dxa"/>
            <w:tcBorders>
              <w:top w:val="nil"/>
              <w:left w:val="nil"/>
              <w:bottom w:val="single" w:sz="4" w:space="0" w:color="auto"/>
              <w:right w:val="single" w:sz="4" w:space="0" w:color="auto"/>
            </w:tcBorders>
            <w:shd w:val="clear" w:color="auto" w:fill="auto"/>
            <w:vAlign w:val="bottom"/>
            <w:hideMark/>
          </w:tcPr>
          <w:p w14:paraId="1F2BB90E" w14:textId="0C5B1679" w:rsidR="00BB2ECF" w:rsidRPr="000E2036" w:rsidRDefault="00BB2ECF" w:rsidP="00BB2ECF">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+1.1</w:t>
            </w:r>
          </w:p>
        </w:tc>
      </w:tr>
      <w:tr w:rsidR="00BB2ECF" w:rsidRPr="000E2036" w14:paraId="1A44622B" w14:textId="77777777" w:rsidTr="00BB2ECF">
        <w:trPr>
          <w:trHeight w:val="240"/>
        </w:trPr>
        <w:tc>
          <w:tcPr>
            <w:tcW w:w="5140" w:type="dxa"/>
            <w:tcBorders>
              <w:top w:val="nil"/>
              <w:left w:val="single" w:sz="4" w:space="0" w:color="auto"/>
              <w:bottom w:val="single" w:sz="4" w:space="0" w:color="auto"/>
              <w:right w:val="single" w:sz="4" w:space="0" w:color="auto"/>
            </w:tcBorders>
            <w:shd w:val="clear" w:color="auto" w:fill="auto"/>
            <w:vAlign w:val="bottom"/>
            <w:hideMark/>
          </w:tcPr>
          <w:p w14:paraId="6CFB1D38" w14:textId="2EC6F050" w:rsidR="00BB2ECF" w:rsidRPr="000E2036" w:rsidRDefault="00BB2ECF" w:rsidP="00BB2ECF">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English-</w:t>
            </w:r>
            <w:r w:rsidR="00D9404E">
              <w:rPr>
                <w:rFonts w:ascii="Arial" w:eastAsia="SimSun" w:hAnsi="Arial" w:cs="Arial"/>
                <w:color w:val="000000"/>
                <w:kern w:val="0"/>
                <w:lang w:val="en-GB" w:eastAsia="zh-CN"/>
              </w:rPr>
              <w:t>S</w:t>
            </w:r>
            <w:r w:rsidR="00150192" w:rsidRPr="000E2036">
              <w:rPr>
                <w:rFonts w:ascii="Arial" w:eastAsia="SimSun" w:hAnsi="Arial" w:cs="Arial"/>
                <w:color w:val="000000"/>
                <w:kern w:val="0"/>
                <w:lang w:val="en-GB" w:eastAsia="zh-CN"/>
              </w:rPr>
              <w:t>peaking</w:t>
            </w:r>
            <w:r w:rsidRPr="000E2036">
              <w:rPr>
                <w:rFonts w:ascii="Arial" w:eastAsia="SimSun" w:hAnsi="Arial" w:cs="Arial"/>
                <w:color w:val="000000"/>
                <w:kern w:val="0"/>
                <w:lang w:val="en-GB" w:eastAsia="zh-CN"/>
              </w:rPr>
              <w:t xml:space="preserve"> and Portuguese-</w:t>
            </w:r>
            <w:r w:rsidR="00D9404E">
              <w:rPr>
                <w:rFonts w:ascii="Arial" w:eastAsia="SimSun" w:hAnsi="Arial" w:cs="Arial"/>
                <w:color w:val="000000"/>
                <w:kern w:val="0"/>
                <w:lang w:val="en-GB" w:eastAsia="zh-CN"/>
              </w:rPr>
              <w:t>S</w:t>
            </w:r>
            <w:r w:rsidRPr="000E2036">
              <w:rPr>
                <w:rFonts w:ascii="Arial" w:eastAsia="SimSun" w:hAnsi="Arial" w:cs="Arial"/>
                <w:color w:val="000000"/>
                <w:kern w:val="0"/>
                <w:lang w:val="en-GB" w:eastAsia="zh-CN"/>
              </w:rPr>
              <w:t>peaking Sub-Saharan Africa</w:t>
            </w:r>
          </w:p>
        </w:tc>
        <w:tc>
          <w:tcPr>
            <w:tcW w:w="1400" w:type="dxa"/>
            <w:tcBorders>
              <w:top w:val="nil"/>
              <w:left w:val="nil"/>
              <w:bottom w:val="single" w:sz="4" w:space="0" w:color="auto"/>
              <w:right w:val="single" w:sz="4" w:space="0" w:color="auto"/>
            </w:tcBorders>
            <w:shd w:val="clear" w:color="auto" w:fill="auto"/>
            <w:vAlign w:val="bottom"/>
            <w:hideMark/>
          </w:tcPr>
          <w:p w14:paraId="789CDF28" w14:textId="77777777" w:rsidR="00BB2ECF" w:rsidRPr="000E2036" w:rsidRDefault="00BB2ECF" w:rsidP="00BB2ECF">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14,156 </w:t>
            </w:r>
          </w:p>
        </w:tc>
        <w:tc>
          <w:tcPr>
            <w:tcW w:w="1400" w:type="dxa"/>
            <w:tcBorders>
              <w:top w:val="nil"/>
              <w:left w:val="nil"/>
              <w:bottom w:val="single" w:sz="4" w:space="0" w:color="auto"/>
              <w:right w:val="single" w:sz="4" w:space="0" w:color="auto"/>
            </w:tcBorders>
            <w:shd w:val="clear" w:color="auto" w:fill="auto"/>
            <w:vAlign w:val="bottom"/>
            <w:hideMark/>
          </w:tcPr>
          <w:p w14:paraId="3529FE70" w14:textId="77777777" w:rsidR="00BB2ECF" w:rsidRPr="000E2036" w:rsidRDefault="00BB2ECF" w:rsidP="00BB2ECF">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12,090 </w:t>
            </w:r>
          </w:p>
        </w:tc>
        <w:tc>
          <w:tcPr>
            <w:tcW w:w="1400" w:type="dxa"/>
            <w:tcBorders>
              <w:top w:val="nil"/>
              <w:left w:val="nil"/>
              <w:bottom w:val="single" w:sz="4" w:space="0" w:color="auto"/>
              <w:right w:val="single" w:sz="4" w:space="0" w:color="auto"/>
            </w:tcBorders>
            <w:shd w:val="clear" w:color="auto" w:fill="auto"/>
            <w:vAlign w:val="bottom"/>
            <w:hideMark/>
          </w:tcPr>
          <w:p w14:paraId="2712E0BC" w14:textId="0DD68079" w:rsidR="00BB2ECF" w:rsidRPr="000E2036" w:rsidRDefault="00AC391A"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BB2ECF" w:rsidRPr="000E2036">
              <w:rPr>
                <w:rFonts w:ascii="Arial" w:eastAsia="SimSun" w:hAnsi="Arial" w:cs="Arial"/>
                <w:color w:val="000000"/>
                <w:kern w:val="0"/>
                <w:lang w:val="en-GB" w:eastAsia="zh-CN"/>
              </w:rPr>
              <w:t>14.6</w:t>
            </w:r>
          </w:p>
        </w:tc>
      </w:tr>
      <w:tr w:rsidR="00BB2ECF" w:rsidRPr="000E2036" w14:paraId="3B4E5D84" w14:textId="77777777" w:rsidTr="00BB2ECF">
        <w:trPr>
          <w:trHeight w:val="240"/>
        </w:trPr>
        <w:tc>
          <w:tcPr>
            <w:tcW w:w="5140" w:type="dxa"/>
            <w:tcBorders>
              <w:top w:val="nil"/>
              <w:left w:val="single" w:sz="4" w:space="0" w:color="auto"/>
              <w:bottom w:val="single" w:sz="4" w:space="0" w:color="auto"/>
              <w:right w:val="single" w:sz="4" w:space="0" w:color="auto"/>
            </w:tcBorders>
            <w:shd w:val="clear" w:color="auto" w:fill="auto"/>
            <w:vAlign w:val="bottom"/>
            <w:hideMark/>
          </w:tcPr>
          <w:p w14:paraId="4C76C53E" w14:textId="77777777" w:rsidR="00BB2ECF" w:rsidRPr="000E2036" w:rsidRDefault="00BB2ECF" w:rsidP="00BB2ECF">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Algeria and Morocco</w:t>
            </w:r>
          </w:p>
        </w:tc>
        <w:tc>
          <w:tcPr>
            <w:tcW w:w="1400" w:type="dxa"/>
            <w:tcBorders>
              <w:top w:val="nil"/>
              <w:left w:val="nil"/>
              <w:bottom w:val="single" w:sz="4" w:space="0" w:color="auto"/>
              <w:right w:val="single" w:sz="4" w:space="0" w:color="auto"/>
            </w:tcBorders>
            <w:shd w:val="clear" w:color="auto" w:fill="auto"/>
            <w:vAlign w:val="bottom"/>
            <w:hideMark/>
          </w:tcPr>
          <w:p w14:paraId="0379A927" w14:textId="77777777" w:rsidR="00BB2ECF" w:rsidRPr="000E2036" w:rsidRDefault="00BB2ECF" w:rsidP="00BB2ECF">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52,808 </w:t>
            </w:r>
          </w:p>
        </w:tc>
        <w:tc>
          <w:tcPr>
            <w:tcW w:w="1400" w:type="dxa"/>
            <w:tcBorders>
              <w:top w:val="nil"/>
              <w:left w:val="nil"/>
              <w:bottom w:val="single" w:sz="4" w:space="0" w:color="auto"/>
              <w:right w:val="single" w:sz="4" w:space="0" w:color="auto"/>
            </w:tcBorders>
            <w:shd w:val="clear" w:color="auto" w:fill="auto"/>
            <w:vAlign w:val="bottom"/>
            <w:hideMark/>
          </w:tcPr>
          <w:p w14:paraId="6D5AF789" w14:textId="77777777" w:rsidR="00BB2ECF" w:rsidRPr="000E2036" w:rsidRDefault="00BB2ECF" w:rsidP="00BB2ECF">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38,172 </w:t>
            </w:r>
          </w:p>
        </w:tc>
        <w:tc>
          <w:tcPr>
            <w:tcW w:w="1400" w:type="dxa"/>
            <w:tcBorders>
              <w:top w:val="nil"/>
              <w:left w:val="nil"/>
              <w:bottom w:val="single" w:sz="4" w:space="0" w:color="auto"/>
              <w:right w:val="single" w:sz="4" w:space="0" w:color="auto"/>
            </w:tcBorders>
            <w:shd w:val="clear" w:color="auto" w:fill="auto"/>
            <w:vAlign w:val="bottom"/>
            <w:hideMark/>
          </w:tcPr>
          <w:p w14:paraId="55D72FB7" w14:textId="4246BB98" w:rsidR="00BB2ECF" w:rsidRPr="000E2036" w:rsidRDefault="00AC391A"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BB2ECF" w:rsidRPr="000E2036">
              <w:rPr>
                <w:rFonts w:ascii="Arial" w:eastAsia="SimSun" w:hAnsi="Arial" w:cs="Arial"/>
                <w:color w:val="000000"/>
                <w:kern w:val="0"/>
                <w:lang w:val="en-GB" w:eastAsia="zh-CN"/>
              </w:rPr>
              <w:t>27.7</w:t>
            </w:r>
          </w:p>
        </w:tc>
      </w:tr>
      <w:tr w:rsidR="00BB2ECF" w:rsidRPr="000E2036" w14:paraId="2C9780AE" w14:textId="77777777" w:rsidTr="00BB2ECF">
        <w:trPr>
          <w:trHeight w:val="240"/>
        </w:trPr>
        <w:tc>
          <w:tcPr>
            <w:tcW w:w="5140" w:type="dxa"/>
            <w:tcBorders>
              <w:top w:val="nil"/>
              <w:left w:val="single" w:sz="4" w:space="0" w:color="auto"/>
              <w:bottom w:val="single" w:sz="4" w:space="0" w:color="auto"/>
              <w:right w:val="single" w:sz="4" w:space="0" w:color="auto"/>
            </w:tcBorders>
            <w:shd w:val="clear" w:color="auto" w:fill="auto"/>
            <w:vAlign w:val="bottom"/>
            <w:hideMark/>
          </w:tcPr>
          <w:p w14:paraId="48666938" w14:textId="77777777" w:rsidR="00BB2ECF" w:rsidRPr="000E2036" w:rsidRDefault="00BB2ECF" w:rsidP="00BB2ECF">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FOTs</w:t>
            </w:r>
          </w:p>
        </w:tc>
        <w:tc>
          <w:tcPr>
            <w:tcW w:w="1400" w:type="dxa"/>
            <w:tcBorders>
              <w:top w:val="nil"/>
              <w:left w:val="nil"/>
              <w:bottom w:val="single" w:sz="4" w:space="0" w:color="auto"/>
              <w:right w:val="single" w:sz="4" w:space="0" w:color="auto"/>
            </w:tcBorders>
            <w:shd w:val="clear" w:color="auto" w:fill="auto"/>
            <w:vAlign w:val="bottom"/>
            <w:hideMark/>
          </w:tcPr>
          <w:p w14:paraId="1BDF6223" w14:textId="77777777" w:rsidR="00BB2ECF" w:rsidRPr="000E2036" w:rsidRDefault="00BB2ECF" w:rsidP="00BB2ECF">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10,439 </w:t>
            </w:r>
          </w:p>
        </w:tc>
        <w:tc>
          <w:tcPr>
            <w:tcW w:w="1400" w:type="dxa"/>
            <w:tcBorders>
              <w:top w:val="nil"/>
              <w:left w:val="nil"/>
              <w:bottom w:val="single" w:sz="4" w:space="0" w:color="auto"/>
              <w:right w:val="single" w:sz="4" w:space="0" w:color="auto"/>
            </w:tcBorders>
            <w:shd w:val="clear" w:color="auto" w:fill="auto"/>
            <w:vAlign w:val="bottom"/>
            <w:hideMark/>
          </w:tcPr>
          <w:p w14:paraId="63C4958E" w14:textId="77777777" w:rsidR="00BB2ECF" w:rsidRPr="000E2036" w:rsidRDefault="00BB2ECF" w:rsidP="00BB2ECF">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10,122 </w:t>
            </w:r>
          </w:p>
        </w:tc>
        <w:tc>
          <w:tcPr>
            <w:tcW w:w="1400" w:type="dxa"/>
            <w:tcBorders>
              <w:top w:val="nil"/>
              <w:left w:val="nil"/>
              <w:bottom w:val="single" w:sz="4" w:space="0" w:color="auto"/>
              <w:right w:val="single" w:sz="4" w:space="0" w:color="auto"/>
            </w:tcBorders>
            <w:shd w:val="clear" w:color="auto" w:fill="auto"/>
            <w:vAlign w:val="bottom"/>
            <w:hideMark/>
          </w:tcPr>
          <w:p w14:paraId="07AA5550" w14:textId="0470844D" w:rsidR="00BB2ECF" w:rsidRPr="000E2036" w:rsidRDefault="00AC391A"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BB2ECF" w:rsidRPr="000E2036">
              <w:rPr>
                <w:rFonts w:ascii="Arial" w:eastAsia="SimSun" w:hAnsi="Arial" w:cs="Arial"/>
                <w:color w:val="000000"/>
                <w:kern w:val="0"/>
                <w:lang w:val="en-GB" w:eastAsia="zh-CN"/>
              </w:rPr>
              <w:t>3.0</w:t>
            </w:r>
          </w:p>
        </w:tc>
      </w:tr>
      <w:tr w:rsidR="00BB2ECF" w:rsidRPr="000E2036" w14:paraId="487A3BD0" w14:textId="77777777" w:rsidTr="00BB2ECF">
        <w:trPr>
          <w:trHeight w:val="240"/>
        </w:trPr>
        <w:tc>
          <w:tcPr>
            <w:tcW w:w="5140" w:type="dxa"/>
            <w:tcBorders>
              <w:top w:val="nil"/>
              <w:left w:val="single" w:sz="4" w:space="0" w:color="auto"/>
              <w:bottom w:val="single" w:sz="4" w:space="0" w:color="auto"/>
              <w:right w:val="single" w:sz="4" w:space="0" w:color="auto"/>
            </w:tcBorders>
            <w:shd w:val="clear" w:color="auto" w:fill="auto"/>
            <w:vAlign w:val="bottom"/>
            <w:hideMark/>
          </w:tcPr>
          <w:p w14:paraId="4B3069E7" w14:textId="77777777" w:rsidR="00BB2ECF" w:rsidRPr="000E2036" w:rsidRDefault="00BB2ECF" w:rsidP="00BB2ECF">
            <w:pP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Total</w:t>
            </w:r>
          </w:p>
        </w:tc>
        <w:tc>
          <w:tcPr>
            <w:tcW w:w="1400" w:type="dxa"/>
            <w:tcBorders>
              <w:top w:val="nil"/>
              <w:left w:val="nil"/>
              <w:bottom w:val="single" w:sz="4" w:space="0" w:color="auto"/>
              <w:right w:val="single" w:sz="4" w:space="0" w:color="auto"/>
            </w:tcBorders>
            <w:shd w:val="clear" w:color="auto" w:fill="auto"/>
            <w:vAlign w:val="bottom"/>
            <w:hideMark/>
          </w:tcPr>
          <w:p w14:paraId="1B5BA2D4" w14:textId="77777777" w:rsidR="00BB2ECF" w:rsidRPr="000E2036" w:rsidRDefault="00BB2ECF" w:rsidP="00BB2ECF">
            <w:pPr>
              <w:jc w:val="right"/>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 xml:space="preserve">95,063 </w:t>
            </w:r>
          </w:p>
        </w:tc>
        <w:tc>
          <w:tcPr>
            <w:tcW w:w="1400" w:type="dxa"/>
            <w:tcBorders>
              <w:top w:val="nil"/>
              <w:left w:val="nil"/>
              <w:bottom w:val="single" w:sz="4" w:space="0" w:color="auto"/>
              <w:right w:val="single" w:sz="4" w:space="0" w:color="auto"/>
            </w:tcBorders>
            <w:shd w:val="clear" w:color="auto" w:fill="auto"/>
            <w:vAlign w:val="bottom"/>
            <w:hideMark/>
          </w:tcPr>
          <w:p w14:paraId="258265AD" w14:textId="77777777" w:rsidR="00BB2ECF" w:rsidRPr="000E2036" w:rsidRDefault="00BB2ECF" w:rsidP="00BB2ECF">
            <w:pPr>
              <w:jc w:val="right"/>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 xml:space="preserve">78,237 </w:t>
            </w:r>
          </w:p>
        </w:tc>
        <w:tc>
          <w:tcPr>
            <w:tcW w:w="1400" w:type="dxa"/>
            <w:tcBorders>
              <w:top w:val="nil"/>
              <w:left w:val="nil"/>
              <w:bottom w:val="single" w:sz="4" w:space="0" w:color="auto"/>
              <w:right w:val="single" w:sz="4" w:space="0" w:color="auto"/>
            </w:tcBorders>
            <w:shd w:val="clear" w:color="auto" w:fill="auto"/>
            <w:vAlign w:val="bottom"/>
            <w:hideMark/>
          </w:tcPr>
          <w:p w14:paraId="16835C57" w14:textId="16F68CBE" w:rsidR="00BB2ECF" w:rsidRPr="000E2036" w:rsidRDefault="00AC391A" w:rsidP="00643336">
            <w:pPr>
              <w:jc w:val="right"/>
              <w:rPr>
                <w:rFonts w:ascii="Arial" w:eastAsia="SimSun" w:hAnsi="Arial" w:cs="Arial"/>
                <w:b/>
                <w:bCs/>
                <w:color w:val="000000"/>
                <w:kern w:val="0"/>
                <w:lang w:val="en-GB" w:eastAsia="zh-CN"/>
              </w:rPr>
            </w:pPr>
            <w:r>
              <w:rPr>
                <w:rFonts w:ascii="Arial" w:eastAsia="SimSun" w:hAnsi="Arial" w:cs="Arial"/>
                <w:b/>
                <w:bCs/>
                <w:color w:val="000000"/>
                <w:kern w:val="0"/>
                <w:lang w:val="en-GB" w:eastAsia="zh-CN"/>
              </w:rPr>
              <w:t>−</w:t>
            </w:r>
            <w:r w:rsidR="00BB2ECF" w:rsidRPr="000E2036">
              <w:rPr>
                <w:rFonts w:ascii="Arial" w:eastAsia="SimSun" w:hAnsi="Arial" w:cs="Arial"/>
                <w:b/>
                <w:bCs/>
                <w:color w:val="000000"/>
                <w:kern w:val="0"/>
                <w:lang w:val="en-GB" w:eastAsia="zh-CN"/>
              </w:rPr>
              <w:t>17.7</w:t>
            </w:r>
          </w:p>
        </w:tc>
      </w:tr>
    </w:tbl>
    <w:p w14:paraId="17972E46" w14:textId="77777777" w:rsidR="00BB2ECF" w:rsidRPr="000E2036" w:rsidRDefault="00BB2ECF" w:rsidP="00E8070D">
      <w:pPr>
        <w:pStyle w:val="BodyTextMain"/>
        <w:rPr>
          <w:rFonts w:ascii="Arial" w:hAnsi="Arial" w:cs="Arial"/>
          <w:sz w:val="17"/>
          <w:szCs w:val="17"/>
          <w:lang w:val="en-GB"/>
        </w:rPr>
      </w:pPr>
    </w:p>
    <w:p w14:paraId="37CB754D" w14:textId="0BA1D17F" w:rsidR="00D9404E" w:rsidRDefault="00D9404E" w:rsidP="00E8070D">
      <w:pPr>
        <w:pStyle w:val="BodyTextMain"/>
        <w:rPr>
          <w:rFonts w:ascii="Arial" w:hAnsi="Arial" w:cs="Arial"/>
          <w:sz w:val="17"/>
          <w:szCs w:val="17"/>
          <w:lang w:val="en-GB"/>
        </w:rPr>
      </w:pPr>
      <w:r>
        <w:rPr>
          <w:rFonts w:ascii="Arial" w:hAnsi="Arial" w:cs="Arial"/>
          <w:sz w:val="17"/>
          <w:szCs w:val="17"/>
          <w:lang w:val="en-GB"/>
        </w:rPr>
        <w:t>Note: € = European euro; US$1</w:t>
      </w:r>
      <w:r w:rsidR="00AC391A">
        <w:rPr>
          <w:rFonts w:ascii="Arial" w:hAnsi="Arial" w:cs="Arial"/>
          <w:sz w:val="17"/>
          <w:szCs w:val="17"/>
          <w:lang w:val="en-GB"/>
        </w:rPr>
        <w:t>.00</w:t>
      </w:r>
      <w:r>
        <w:rPr>
          <w:rFonts w:ascii="Arial" w:hAnsi="Arial" w:cs="Arial"/>
          <w:sz w:val="17"/>
          <w:szCs w:val="17"/>
          <w:lang w:val="en-GB"/>
        </w:rPr>
        <w:t xml:space="preserve"> = €0.70 o</w:t>
      </w:r>
      <w:r w:rsidR="00DE06C3" w:rsidRPr="000E2036">
        <w:rPr>
          <w:rFonts w:ascii="Arial" w:hAnsi="Arial" w:cs="Arial"/>
          <w:sz w:val="17"/>
          <w:szCs w:val="17"/>
          <w:lang w:val="en-GB"/>
        </w:rPr>
        <w:t>n December 1, 2016</w:t>
      </w:r>
      <w:r w:rsidR="00DE06C3">
        <w:rPr>
          <w:rFonts w:ascii="Arial" w:hAnsi="Arial" w:cs="Arial"/>
          <w:sz w:val="17"/>
          <w:szCs w:val="17"/>
          <w:lang w:val="en-GB"/>
        </w:rPr>
        <w:t xml:space="preserve">; FOTs = </w:t>
      </w:r>
      <w:r w:rsidR="00DE06C3" w:rsidRPr="00DE06C3">
        <w:rPr>
          <w:rFonts w:ascii="Arial" w:hAnsi="Arial" w:cs="Arial"/>
          <w:sz w:val="17"/>
          <w:szCs w:val="17"/>
          <w:lang w:val="en-GB"/>
        </w:rPr>
        <w:t>French overseas territories</w:t>
      </w:r>
      <w:r w:rsidR="00AC391A">
        <w:rPr>
          <w:rFonts w:ascii="Arial" w:hAnsi="Arial" w:cs="Arial"/>
          <w:sz w:val="17"/>
          <w:szCs w:val="17"/>
          <w:lang w:val="en-GB"/>
        </w:rPr>
        <w:t>.</w:t>
      </w:r>
      <w:r>
        <w:rPr>
          <w:rFonts w:ascii="Arial" w:hAnsi="Arial" w:cs="Arial"/>
          <w:sz w:val="17"/>
          <w:szCs w:val="17"/>
          <w:lang w:val="en-GB"/>
        </w:rPr>
        <w:t xml:space="preserve"> </w:t>
      </w:r>
    </w:p>
    <w:p w14:paraId="0CEE93A5" w14:textId="1A024058" w:rsidR="002723AF" w:rsidRPr="004D1DA5" w:rsidRDefault="00BB2ECF" w:rsidP="00E8070D">
      <w:pPr>
        <w:pStyle w:val="BodyTextMain"/>
        <w:rPr>
          <w:rFonts w:ascii="Arial" w:hAnsi="Arial"/>
          <w:sz w:val="17"/>
          <w:szCs w:val="17"/>
          <w:lang w:val="en-GB"/>
        </w:rPr>
      </w:pPr>
      <w:r w:rsidRPr="00CA6A66">
        <w:rPr>
          <w:rFonts w:ascii="Arial" w:hAnsi="Arial" w:cs="Arial"/>
          <w:sz w:val="17"/>
          <w:szCs w:val="17"/>
          <w:lang w:val="en-GB"/>
        </w:rPr>
        <w:t>Source: Created by the case authors based on CFAO Group</w:t>
      </w:r>
      <w:r w:rsidR="00A47D11" w:rsidRPr="00CA6A66">
        <w:rPr>
          <w:rFonts w:ascii="Arial" w:hAnsi="Arial" w:cs="Arial"/>
          <w:sz w:val="17"/>
          <w:szCs w:val="17"/>
          <w:lang w:val="en-GB"/>
        </w:rPr>
        <w:t>,</w:t>
      </w:r>
      <w:r w:rsidRPr="00CA6A66">
        <w:rPr>
          <w:rFonts w:ascii="Arial" w:hAnsi="Arial" w:cs="Arial"/>
          <w:sz w:val="17"/>
          <w:szCs w:val="17"/>
          <w:lang w:val="en-GB"/>
        </w:rPr>
        <w:t xml:space="preserve"> </w:t>
      </w:r>
      <w:r w:rsidRPr="00CA6A66">
        <w:rPr>
          <w:rFonts w:ascii="Arial" w:hAnsi="Arial" w:cs="Arial"/>
          <w:i/>
          <w:sz w:val="17"/>
          <w:szCs w:val="17"/>
          <w:lang w:val="en-GB"/>
        </w:rPr>
        <w:t xml:space="preserve">Annual </w:t>
      </w:r>
      <w:r w:rsidR="00CA6A66" w:rsidRPr="00CA6A66">
        <w:rPr>
          <w:rFonts w:ascii="Arial" w:hAnsi="Arial" w:cs="Arial"/>
          <w:i/>
          <w:sz w:val="17"/>
          <w:szCs w:val="17"/>
          <w:lang w:val="en-GB"/>
        </w:rPr>
        <w:t xml:space="preserve">Results </w:t>
      </w:r>
      <w:r w:rsidR="002E0A18" w:rsidRPr="00CA6A66">
        <w:rPr>
          <w:rFonts w:ascii="Arial" w:hAnsi="Arial" w:cs="Arial"/>
          <w:i/>
          <w:sz w:val="17"/>
          <w:szCs w:val="17"/>
          <w:lang w:val="en-GB"/>
        </w:rPr>
        <w:t>2013</w:t>
      </w:r>
      <w:r w:rsidR="00AC391A" w:rsidRPr="00C56733">
        <w:rPr>
          <w:rFonts w:ascii="Arial" w:hAnsi="Arial" w:cs="Arial"/>
          <w:sz w:val="17"/>
          <w:szCs w:val="17"/>
        </w:rPr>
        <w:t>, 9</w:t>
      </w:r>
      <w:r w:rsidR="00AC391A">
        <w:rPr>
          <w:rFonts w:ascii="Arial" w:hAnsi="Arial" w:cs="Arial"/>
          <w:sz w:val="17"/>
          <w:szCs w:val="17"/>
        </w:rPr>
        <w:t>–</w:t>
      </w:r>
      <w:r w:rsidR="00AC391A" w:rsidRPr="00C56733">
        <w:rPr>
          <w:rFonts w:ascii="Arial" w:hAnsi="Arial" w:cs="Arial"/>
          <w:sz w:val="17"/>
          <w:szCs w:val="17"/>
        </w:rPr>
        <w:t>10</w:t>
      </w:r>
      <w:r w:rsidR="002E0A18" w:rsidRPr="00CA6A66">
        <w:rPr>
          <w:rFonts w:ascii="Arial" w:hAnsi="Arial" w:cs="Arial"/>
          <w:sz w:val="17"/>
          <w:szCs w:val="17"/>
          <w:lang w:val="en-GB"/>
        </w:rPr>
        <w:t>,</w:t>
      </w:r>
      <w:r w:rsidR="002E0A18" w:rsidRPr="004D1DA5">
        <w:rPr>
          <w:rFonts w:ascii="Arial" w:hAnsi="Arial"/>
          <w:sz w:val="17"/>
          <w:szCs w:val="17"/>
          <w:lang w:val="en-GB"/>
        </w:rPr>
        <w:t xml:space="preserve"> </w:t>
      </w:r>
      <w:r w:rsidR="00CA6A66" w:rsidRPr="004D1DA5">
        <w:rPr>
          <w:rFonts w:ascii="Arial" w:hAnsi="Arial"/>
          <w:sz w:val="17"/>
          <w:szCs w:val="17"/>
          <w:lang w:val="en-GB"/>
        </w:rPr>
        <w:t xml:space="preserve">February 20, 2014, </w:t>
      </w:r>
      <w:r w:rsidR="002E0A18" w:rsidRPr="00CA6A66">
        <w:rPr>
          <w:rFonts w:ascii="Arial" w:hAnsi="Arial" w:cs="Arial"/>
          <w:sz w:val="17"/>
          <w:szCs w:val="17"/>
          <w:lang w:val="en-GB"/>
        </w:rPr>
        <w:t xml:space="preserve">accessed </w:t>
      </w:r>
      <w:r w:rsidR="00CA6A66" w:rsidRPr="00CA6A66">
        <w:rPr>
          <w:rFonts w:ascii="Arial" w:hAnsi="Arial" w:cs="Arial"/>
          <w:sz w:val="17"/>
          <w:szCs w:val="17"/>
          <w:lang w:val="en-GB"/>
        </w:rPr>
        <w:t>November 22</w:t>
      </w:r>
      <w:r w:rsidR="002E0A18" w:rsidRPr="00CA6A66">
        <w:rPr>
          <w:rFonts w:ascii="Arial" w:hAnsi="Arial" w:cs="Arial"/>
          <w:sz w:val="17"/>
          <w:szCs w:val="17"/>
          <w:lang w:val="en-GB"/>
        </w:rPr>
        <w:t xml:space="preserve">, 2017, </w:t>
      </w:r>
      <w:r w:rsidR="00CA6A66" w:rsidRPr="00C56733">
        <w:rPr>
          <w:rFonts w:ascii="Arial" w:hAnsi="Arial" w:cs="Arial"/>
          <w:sz w:val="17"/>
          <w:szCs w:val="17"/>
          <w:lang w:val="en-GB"/>
        </w:rPr>
        <w:t>www.cfaogroup.com/static/2014/02/20/Annuels_2013_v6_ENG.pdf?Y0tmyRRx1ndM5kc7Kz9gvg:Y0tmyRRx1ndM5kc7Kz9gvg:BFBGrIAc_I0VKmFp0iY8-g</w:t>
      </w:r>
      <w:r w:rsidR="002E0A18" w:rsidRPr="008B58AF">
        <w:rPr>
          <w:rFonts w:ascii="Arial" w:hAnsi="Arial" w:cs="Arial"/>
          <w:sz w:val="17"/>
          <w:szCs w:val="17"/>
          <w:lang w:val="en-GB"/>
        </w:rPr>
        <w:t>.</w:t>
      </w:r>
    </w:p>
    <w:p w14:paraId="34148869" w14:textId="7AB17946" w:rsidR="00E03A05" w:rsidRPr="000E2036" w:rsidRDefault="002723AF" w:rsidP="002723AF">
      <w:pPr>
        <w:spacing w:after="200" w:line="276" w:lineRule="auto"/>
        <w:rPr>
          <w:sz w:val="22"/>
          <w:szCs w:val="22"/>
          <w:lang w:val="en-GB"/>
        </w:rPr>
      </w:pPr>
      <w:r w:rsidRPr="000E2036">
        <w:rPr>
          <w:lang w:val="en-GB"/>
        </w:rPr>
        <w:br w:type="page"/>
      </w:r>
    </w:p>
    <w:p w14:paraId="7A96EB48" w14:textId="04F567E3" w:rsidR="006577F3" w:rsidRPr="000E2036" w:rsidRDefault="008A5C9B" w:rsidP="002723AF">
      <w:pPr>
        <w:pStyle w:val="ExhibitHeading"/>
        <w:rPr>
          <w:lang w:val="en-GB" w:eastAsia="zh-CN"/>
        </w:rPr>
      </w:pPr>
      <w:r w:rsidRPr="000E2036">
        <w:rPr>
          <w:lang w:val="en-GB" w:eastAsia="zh-CN"/>
        </w:rPr>
        <w:lastRenderedPageBreak/>
        <w:t>Exhibit 7</w:t>
      </w:r>
      <w:r w:rsidR="006577F3" w:rsidRPr="000E2036">
        <w:rPr>
          <w:lang w:val="en-GB" w:eastAsia="zh-CN"/>
        </w:rPr>
        <w:t>:</w:t>
      </w:r>
      <w:r w:rsidRPr="000E2036">
        <w:rPr>
          <w:lang w:val="en-GB" w:eastAsia="zh-CN"/>
        </w:rPr>
        <w:t xml:space="preserve"> </w:t>
      </w:r>
      <w:r w:rsidR="00855B2A" w:rsidRPr="000E2036">
        <w:rPr>
          <w:lang w:val="en-GB" w:eastAsia="zh-CN"/>
        </w:rPr>
        <w:t>TOYOTA TSUSHO</w:t>
      </w:r>
      <w:r w:rsidR="00150192" w:rsidRPr="000E2036">
        <w:rPr>
          <w:lang w:val="en-GB" w:eastAsia="zh-CN"/>
        </w:rPr>
        <w:t xml:space="preserve"> Corporation</w:t>
      </w:r>
      <w:r w:rsidR="00855B2A" w:rsidRPr="000E2036">
        <w:rPr>
          <w:lang w:val="en-GB" w:eastAsia="zh-CN"/>
        </w:rPr>
        <w:t>’S RESULTS OF IMPLEMENTING VISION 2015</w:t>
      </w:r>
      <w:r w:rsidR="00F97F99" w:rsidRPr="000E2036">
        <w:rPr>
          <w:lang w:val="en-GB" w:eastAsia="zh-CN"/>
        </w:rPr>
        <w:t xml:space="preserve"> </w:t>
      </w:r>
      <w:r w:rsidR="00653503">
        <w:rPr>
          <w:lang w:val="en-GB" w:eastAsia="zh-CN"/>
        </w:rPr>
        <w:br/>
      </w:r>
      <w:r w:rsidR="00F97F99" w:rsidRPr="000E2036">
        <w:rPr>
          <w:lang w:val="en-GB" w:eastAsia="zh-CN"/>
        </w:rPr>
        <w:t>(</w:t>
      </w:r>
      <w:r w:rsidR="00150192" w:rsidRPr="000E2036">
        <w:rPr>
          <w:lang w:val="en-GB" w:eastAsia="zh-CN"/>
        </w:rPr>
        <w:t xml:space="preserve">in </w:t>
      </w:r>
      <w:r w:rsidR="00653503">
        <w:rPr>
          <w:lang w:val="en-GB" w:eastAsia="zh-CN"/>
        </w:rPr>
        <w:t>¥</w:t>
      </w:r>
      <w:r w:rsidR="00150192" w:rsidRPr="000E2036">
        <w:rPr>
          <w:lang w:val="en-GB" w:eastAsia="zh-CN"/>
        </w:rPr>
        <w:t xml:space="preserve"> </w:t>
      </w:r>
      <w:r w:rsidR="00F97F99" w:rsidRPr="000E2036">
        <w:rPr>
          <w:lang w:val="en-GB" w:eastAsia="zh-CN"/>
        </w:rPr>
        <w:t>BILLION)</w:t>
      </w:r>
    </w:p>
    <w:p w14:paraId="093FB168" w14:textId="77777777" w:rsidR="004E5B49" w:rsidRPr="000E2036" w:rsidRDefault="004E5B49" w:rsidP="00E8070D">
      <w:pPr>
        <w:pStyle w:val="BodyTextMain"/>
        <w:rPr>
          <w:lang w:val="en-GB"/>
        </w:rPr>
      </w:pPr>
    </w:p>
    <w:tbl>
      <w:tblPr>
        <w:tblW w:w="8180" w:type="dxa"/>
        <w:jc w:val="center"/>
        <w:tblLook w:val="04A0" w:firstRow="1" w:lastRow="0" w:firstColumn="1" w:lastColumn="0" w:noHBand="0" w:noVBand="1"/>
      </w:tblPr>
      <w:tblGrid>
        <w:gridCol w:w="3860"/>
        <w:gridCol w:w="1360"/>
        <w:gridCol w:w="1360"/>
        <w:gridCol w:w="1600"/>
      </w:tblGrid>
      <w:tr w:rsidR="00E03A05" w:rsidRPr="000E2036" w14:paraId="4B2C3ABC" w14:textId="77777777" w:rsidTr="002723AF">
        <w:trPr>
          <w:trHeight w:val="240"/>
          <w:jc w:val="center"/>
        </w:trPr>
        <w:tc>
          <w:tcPr>
            <w:tcW w:w="3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51620E" w14:textId="77777777" w:rsidR="00E03A05" w:rsidRPr="000E2036" w:rsidRDefault="00E03A05" w:rsidP="00E03A05">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Business Sectors</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7B2B5BEC" w14:textId="77777777" w:rsidR="00E03A05" w:rsidRPr="000E2036" w:rsidRDefault="00E03A05" w:rsidP="00E03A05">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2010</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49725D58" w14:textId="77777777" w:rsidR="00E03A05" w:rsidRPr="000E2036" w:rsidRDefault="00E03A05" w:rsidP="00E03A05">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2015</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14:paraId="4373C3D2" w14:textId="77777777" w:rsidR="00E03A05" w:rsidRPr="000E2036" w:rsidRDefault="00E03A05" w:rsidP="00E03A05">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Change (%)</w:t>
            </w:r>
          </w:p>
        </w:tc>
      </w:tr>
      <w:tr w:rsidR="00E03A05" w:rsidRPr="000E2036" w14:paraId="2EBFAF92" w14:textId="77777777" w:rsidTr="002723AF">
        <w:trPr>
          <w:trHeight w:val="320"/>
          <w:jc w:val="center"/>
        </w:trPr>
        <w:tc>
          <w:tcPr>
            <w:tcW w:w="3860" w:type="dxa"/>
            <w:tcBorders>
              <w:top w:val="nil"/>
              <w:left w:val="single" w:sz="4" w:space="0" w:color="auto"/>
              <w:bottom w:val="nil"/>
              <w:right w:val="single" w:sz="4" w:space="0" w:color="auto"/>
            </w:tcBorders>
            <w:shd w:val="clear" w:color="auto" w:fill="auto"/>
            <w:vAlign w:val="center"/>
            <w:hideMark/>
          </w:tcPr>
          <w:p w14:paraId="7AD62A44" w14:textId="77777777" w:rsidR="00E03A05" w:rsidRPr="000E2036" w:rsidRDefault="00E03A05" w:rsidP="00E03A05">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Metals </w:t>
            </w:r>
          </w:p>
        </w:tc>
        <w:tc>
          <w:tcPr>
            <w:tcW w:w="1360" w:type="dxa"/>
            <w:tcBorders>
              <w:top w:val="nil"/>
              <w:left w:val="nil"/>
              <w:bottom w:val="nil"/>
              <w:right w:val="single" w:sz="4" w:space="0" w:color="auto"/>
            </w:tcBorders>
            <w:shd w:val="clear" w:color="auto" w:fill="auto"/>
            <w:vAlign w:val="center"/>
            <w:hideMark/>
          </w:tcPr>
          <w:p w14:paraId="05206918"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37.9</w:t>
            </w:r>
          </w:p>
        </w:tc>
        <w:tc>
          <w:tcPr>
            <w:tcW w:w="1360" w:type="dxa"/>
            <w:tcBorders>
              <w:top w:val="nil"/>
              <w:left w:val="nil"/>
              <w:bottom w:val="nil"/>
              <w:right w:val="single" w:sz="4" w:space="0" w:color="auto"/>
            </w:tcBorders>
            <w:shd w:val="clear" w:color="auto" w:fill="auto"/>
            <w:vAlign w:val="center"/>
            <w:hideMark/>
          </w:tcPr>
          <w:p w14:paraId="476C70E5"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37.4</w:t>
            </w:r>
          </w:p>
        </w:tc>
        <w:tc>
          <w:tcPr>
            <w:tcW w:w="1600" w:type="dxa"/>
            <w:tcBorders>
              <w:top w:val="nil"/>
              <w:left w:val="nil"/>
              <w:bottom w:val="nil"/>
              <w:right w:val="single" w:sz="4" w:space="0" w:color="auto"/>
            </w:tcBorders>
            <w:shd w:val="clear" w:color="auto" w:fill="auto"/>
            <w:vAlign w:val="center"/>
            <w:hideMark/>
          </w:tcPr>
          <w:p w14:paraId="2633DD5B" w14:textId="1FABE48E" w:rsidR="00E03A05" w:rsidRPr="000E2036" w:rsidRDefault="00AC391A"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E03A05" w:rsidRPr="000E2036">
              <w:rPr>
                <w:rFonts w:ascii="Arial" w:eastAsia="SimSun" w:hAnsi="Arial" w:cs="Arial"/>
                <w:color w:val="000000"/>
                <w:kern w:val="0"/>
                <w:lang w:val="en-GB" w:eastAsia="zh-CN"/>
              </w:rPr>
              <w:t>1.3</w:t>
            </w:r>
          </w:p>
        </w:tc>
      </w:tr>
      <w:tr w:rsidR="00E03A05" w:rsidRPr="000E2036" w14:paraId="1B8530D1" w14:textId="77777777" w:rsidTr="002723AF">
        <w:trPr>
          <w:trHeight w:val="300"/>
          <w:jc w:val="center"/>
        </w:trPr>
        <w:tc>
          <w:tcPr>
            <w:tcW w:w="3860" w:type="dxa"/>
            <w:tcBorders>
              <w:top w:val="nil"/>
              <w:left w:val="single" w:sz="4" w:space="0" w:color="auto"/>
              <w:bottom w:val="nil"/>
              <w:right w:val="single" w:sz="4" w:space="0" w:color="auto"/>
            </w:tcBorders>
            <w:shd w:val="clear" w:color="auto" w:fill="auto"/>
            <w:vAlign w:val="center"/>
            <w:hideMark/>
          </w:tcPr>
          <w:p w14:paraId="0ABF40C5" w14:textId="77777777" w:rsidR="00E03A05" w:rsidRPr="000E2036" w:rsidRDefault="00E03A05" w:rsidP="00E03A05">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Global Parts &amp; Logistics </w:t>
            </w:r>
          </w:p>
        </w:tc>
        <w:tc>
          <w:tcPr>
            <w:tcW w:w="1360" w:type="dxa"/>
            <w:tcBorders>
              <w:top w:val="nil"/>
              <w:left w:val="nil"/>
              <w:bottom w:val="nil"/>
              <w:right w:val="single" w:sz="4" w:space="0" w:color="auto"/>
            </w:tcBorders>
            <w:shd w:val="clear" w:color="auto" w:fill="auto"/>
            <w:vAlign w:val="center"/>
            <w:hideMark/>
          </w:tcPr>
          <w:p w14:paraId="6624790A"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10.3</w:t>
            </w:r>
          </w:p>
        </w:tc>
        <w:tc>
          <w:tcPr>
            <w:tcW w:w="1360" w:type="dxa"/>
            <w:tcBorders>
              <w:top w:val="nil"/>
              <w:left w:val="nil"/>
              <w:bottom w:val="nil"/>
              <w:right w:val="single" w:sz="4" w:space="0" w:color="auto"/>
            </w:tcBorders>
            <w:shd w:val="clear" w:color="auto" w:fill="auto"/>
            <w:vAlign w:val="center"/>
            <w:hideMark/>
          </w:tcPr>
          <w:p w14:paraId="20446CAC"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21.6</w:t>
            </w:r>
          </w:p>
        </w:tc>
        <w:tc>
          <w:tcPr>
            <w:tcW w:w="1600" w:type="dxa"/>
            <w:tcBorders>
              <w:top w:val="nil"/>
              <w:left w:val="nil"/>
              <w:bottom w:val="nil"/>
              <w:right w:val="single" w:sz="4" w:space="0" w:color="auto"/>
            </w:tcBorders>
            <w:shd w:val="clear" w:color="auto" w:fill="auto"/>
            <w:vAlign w:val="center"/>
            <w:hideMark/>
          </w:tcPr>
          <w:p w14:paraId="7C09B582"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109.7</w:t>
            </w:r>
          </w:p>
        </w:tc>
      </w:tr>
      <w:tr w:rsidR="00E03A05" w:rsidRPr="000E2036" w14:paraId="5AEF2C57" w14:textId="77777777" w:rsidTr="002723AF">
        <w:trPr>
          <w:trHeight w:val="300"/>
          <w:jc w:val="center"/>
        </w:trPr>
        <w:tc>
          <w:tcPr>
            <w:tcW w:w="3860" w:type="dxa"/>
            <w:tcBorders>
              <w:top w:val="nil"/>
              <w:left w:val="single" w:sz="4" w:space="0" w:color="auto"/>
              <w:bottom w:val="nil"/>
              <w:right w:val="single" w:sz="4" w:space="0" w:color="auto"/>
            </w:tcBorders>
            <w:shd w:val="clear" w:color="auto" w:fill="auto"/>
            <w:vAlign w:val="center"/>
            <w:hideMark/>
          </w:tcPr>
          <w:p w14:paraId="5FAE8DAD" w14:textId="77777777" w:rsidR="00E03A05" w:rsidRPr="000E2036" w:rsidRDefault="00E03A05" w:rsidP="00E03A05">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Automotive </w:t>
            </w:r>
          </w:p>
        </w:tc>
        <w:tc>
          <w:tcPr>
            <w:tcW w:w="1360" w:type="dxa"/>
            <w:tcBorders>
              <w:top w:val="nil"/>
              <w:left w:val="nil"/>
              <w:bottom w:val="nil"/>
              <w:right w:val="single" w:sz="4" w:space="0" w:color="auto"/>
            </w:tcBorders>
            <w:shd w:val="clear" w:color="auto" w:fill="auto"/>
            <w:vAlign w:val="center"/>
            <w:hideMark/>
          </w:tcPr>
          <w:p w14:paraId="467E1830"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23.4</w:t>
            </w:r>
          </w:p>
        </w:tc>
        <w:tc>
          <w:tcPr>
            <w:tcW w:w="1360" w:type="dxa"/>
            <w:tcBorders>
              <w:top w:val="nil"/>
              <w:left w:val="nil"/>
              <w:bottom w:val="nil"/>
              <w:right w:val="single" w:sz="4" w:space="0" w:color="auto"/>
            </w:tcBorders>
            <w:shd w:val="clear" w:color="auto" w:fill="auto"/>
            <w:vAlign w:val="center"/>
            <w:hideMark/>
          </w:tcPr>
          <w:p w14:paraId="6E72CA51"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37.9</w:t>
            </w:r>
          </w:p>
        </w:tc>
        <w:tc>
          <w:tcPr>
            <w:tcW w:w="1600" w:type="dxa"/>
            <w:tcBorders>
              <w:top w:val="nil"/>
              <w:left w:val="nil"/>
              <w:bottom w:val="nil"/>
              <w:right w:val="single" w:sz="4" w:space="0" w:color="auto"/>
            </w:tcBorders>
            <w:shd w:val="clear" w:color="auto" w:fill="auto"/>
            <w:vAlign w:val="center"/>
            <w:hideMark/>
          </w:tcPr>
          <w:p w14:paraId="44C8804F"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62.0</w:t>
            </w:r>
          </w:p>
        </w:tc>
      </w:tr>
      <w:tr w:rsidR="00E03A05" w:rsidRPr="000E2036" w14:paraId="65DE9A00" w14:textId="77777777" w:rsidTr="002723AF">
        <w:trPr>
          <w:trHeight w:val="300"/>
          <w:jc w:val="center"/>
        </w:trPr>
        <w:tc>
          <w:tcPr>
            <w:tcW w:w="3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84F70D" w14:textId="77777777" w:rsidR="00E03A05" w:rsidRPr="000E2036" w:rsidRDefault="00E03A05" w:rsidP="00E03A05">
            <w:pP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Subtotal (Automotive Business)</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1C06615A" w14:textId="77777777" w:rsidR="00E03A05" w:rsidRPr="000E2036" w:rsidRDefault="00E03A05" w:rsidP="00E03A05">
            <w:pPr>
              <w:jc w:val="right"/>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71.6</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3BD172F1" w14:textId="77777777" w:rsidR="00E03A05" w:rsidRPr="000E2036" w:rsidRDefault="00E03A05" w:rsidP="00E03A05">
            <w:pPr>
              <w:jc w:val="right"/>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96.9</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14:paraId="6D3358B2" w14:textId="77777777" w:rsidR="00E03A05" w:rsidRPr="000E2036" w:rsidRDefault="00E03A05" w:rsidP="00E03A05">
            <w:pPr>
              <w:jc w:val="right"/>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35.3</w:t>
            </w:r>
          </w:p>
        </w:tc>
      </w:tr>
      <w:tr w:rsidR="00E03A05" w:rsidRPr="000E2036" w14:paraId="25C767D6" w14:textId="77777777" w:rsidTr="002723AF">
        <w:trPr>
          <w:trHeight w:val="300"/>
          <w:jc w:val="center"/>
        </w:trPr>
        <w:tc>
          <w:tcPr>
            <w:tcW w:w="3860" w:type="dxa"/>
            <w:tcBorders>
              <w:top w:val="nil"/>
              <w:left w:val="single" w:sz="4" w:space="0" w:color="auto"/>
              <w:bottom w:val="nil"/>
              <w:right w:val="single" w:sz="4" w:space="0" w:color="auto"/>
            </w:tcBorders>
            <w:shd w:val="clear" w:color="auto" w:fill="auto"/>
            <w:vAlign w:val="center"/>
            <w:hideMark/>
          </w:tcPr>
          <w:p w14:paraId="27C6DD39" w14:textId="77777777" w:rsidR="00E03A05" w:rsidRPr="000E2036" w:rsidRDefault="00E03A05" w:rsidP="00E03A05">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Machinery, Energy &amp; Project </w:t>
            </w:r>
          </w:p>
        </w:tc>
        <w:tc>
          <w:tcPr>
            <w:tcW w:w="1360" w:type="dxa"/>
            <w:tcBorders>
              <w:top w:val="nil"/>
              <w:left w:val="nil"/>
              <w:bottom w:val="nil"/>
              <w:right w:val="single" w:sz="4" w:space="0" w:color="auto"/>
            </w:tcBorders>
            <w:shd w:val="clear" w:color="auto" w:fill="auto"/>
            <w:vAlign w:val="center"/>
            <w:hideMark/>
          </w:tcPr>
          <w:p w14:paraId="1321AAC7"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3.2</w:t>
            </w:r>
          </w:p>
        </w:tc>
        <w:tc>
          <w:tcPr>
            <w:tcW w:w="1360" w:type="dxa"/>
            <w:tcBorders>
              <w:top w:val="nil"/>
              <w:left w:val="nil"/>
              <w:bottom w:val="nil"/>
              <w:right w:val="single" w:sz="4" w:space="0" w:color="auto"/>
            </w:tcBorders>
            <w:shd w:val="clear" w:color="auto" w:fill="auto"/>
            <w:vAlign w:val="center"/>
            <w:hideMark/>
          </w:tcPr>
          <w:p w14:paraId="0DA14A52"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21.3</w:t>
            </w:r>
          </w:p>
        </w:tc>
        <w:tc>
          <w:tcPr>
            <w:tcW w:w="1600" w:type="dxa"/>
            <w:tcBorders>
              <w:top w:val="nil"/>
              <w:left w:val="nil"/>
              <w:bottom w:val="nil"/>
              <w:right w:val="single" w:sz="4" w:space="0" w:color="auto"/>
            </w:tcBorders>
            <w:shd w:val="clear" w:color="auto" w:fill="auto"/>
            <w:vAlign w:val="center"/>
            <w:hideMark/>
          </w:tcPr>
          <w:p w14:paraId="7FACDDD6"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565.6</w:t>
            </w:r>
          </w:p>
        </w:tc>
      </w:tr>
      <w:tr w:rsidR="00E03A05" w:rsidRPr="000E2036" w14:paraId="08137E1B" w14:textId="77777777" w:rsidTr="002723AF">
        <w:trPr>
          <w:trHeight w:val="300"/>
          <w:jc w:val="center"/>
        </w:trPr>
        <w:tc>
          <w:tcPr>
            <w:tcW w:w="3860" w:type="dxa"/>
            <w:tcBorders>
              <w:top w:val="nil"/>
              <w:left w:val="single" w:sz="4" w:space="0" w:color="auto"/>
              <w:bottom w:val="nil"/>
              <w:right w:val="single" w:sz="4" w:space="0" w:color="auto"/>
            </w:tcBorders>
            <w:shd w:val="clear" w:color="auto" w:fill="auto"/>
            <w:vAlign w:val="center"/>
            <w:hideMark/>
          </w:tcPr>
          <w:p w14:paraId="6DE7316A" w14:textId="77777777" w:rsidR="00E03A05" w:rsidRPr="000E2036" w:rsidRDefault="00E03A05" w:rsidP="00E03A05">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Chemicals &amp; Electronics </w:t>
            </w:r>
          </w:p>
        </w:tc>
        <w:tc>
          <w:tcPr>
            <w:tcW w:w="1360" w:type="dxa"/>
            <w:tcBorders>
              <w:top w:val="nil"/>
              <w:left w:val="nil"/>
              <w:bottom w:val="nil"/>
              <w:right w:val="single" w:sz="4" w:space="0" w:color="auto"/>
            </w:tcBorders>
            <w:shd w:val="clear" w:color="auto" w:fill="auto"/>
            <w:vAlign w:val="center"/>
            <w:hideMark/>
          </w:tcPr>
          <w:p w14:paraId="595FA3F2"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12.0</w:t>
            </w:r>
          </w:p>
        </w:tc>
        <w:tc>
          <w:tcPr>
            <w:tcW w:w="1360" w:type="dxa"/>
            <w:tcBorders>
              <w:top w:val="nil"/>
              <w:left w:val="nil"/>
              <w:bottom w:val="nil"/>
              <w:right w:val="single" w:sz="4" w:space="0" w:color="auto"/>
            </w:tcBorders>
            <w:shd w:val="clear" w:color="auto" w:fill="auto"/>
            <w:vAlign w:val="center"/>
            <w:hideMark/>
          </w:tcPr>
          <w:p w14:paraId="45215F3E"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24.9</w:t>
            </w:r>
          </w:p>
        </w:tc>
        <w:tc>
          <w:tcPr>
            <w:tcW w:w="1600" w:type="dxa"/>
            <w:tcBorders>
              <w:top w:val="nil"/>
              <w:left w:val="nil"/>
              <w:bottom w:val="nil"/>
              <w:right w:val="single" w:sz="4" w:space="0" w:color="auto"/>
            </w:tcBorders>
            <w:shd w:val="clear" w:color="auto" w:fill="auto"/>
            <w:vAlign w:val="center"/>
            <w:hideMark/>
          </w:tcPr>
          <w:p w14:paraId="2C4FAFAE"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107.5</w:t>
            </w:r>
          </w:p>
        </w:tc>
      </w:tr>
      <w:tr w:rsidR="00E03A05" w:rsidRPr="000E2036" w14:paraId="132CAB5E" w14:textId="77777777" w:rsidTr="002723AF">
        <w:trPr>
          <w:trHeight w:val="300"/>
          <w:jc w:val="center"/>
        </w:trPr>
        <w:tc>
          <w:tcPr>
            <w:tcW w:w="3860" w:type="dxa"/>
            <w:tcBorders>
              <w:top w:val="nil"/>
              <w:left w:val="single" w:sz="4" w:space="0" w:color="auto"/>
              <w:bottom w:val="nil"/>
              <w:right w:val="single" w:sz="4" w:space="0" w:color="auto"/>
            </w:tcBorders>
            <w:shd w:val="clear" w:color="auto" w:fill="auto"/>
            <w:vAlign w:val="center"/>
            <w:hideMark/>
          </w:tcPr>
          <w:p w14:paraId="6ED987C1" w14:textId="77777777" w:rsidR="00E03A05" w:rsidRPr="000E2036" w:rsidRDefault="00E03A05" w:rsidP="00E03A05">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Food &amp; Agribusiness </w:t>
            </w:r>
          </w:p>
        </w:tc>
        <w:tc>
          <w:tcPr>
            <w:tcW w:w="1360" w:type="dxa"/>
            <w:tcBorders>
              <w:top w:val="nil"/>
              <w:left w:val="nil"/>
              <w:bottom w:val="nil"/>
              <w:right w:val="single" w:sz="4" w:space="0" w:color="auto"/>
            </w:tcBorders>
            <w:shd w:val="clear" w:color="auto" w:fill="auto"/>
            <w:vAlign w:val="center"/>
            <w:hideMark/>
          </w:tcPr>
          <w:p w14:paraId="2A39EEED"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0.8</w:t>
            </w:r>
          </w:p>
        </w:tc>
        <w:tc>
          <w:tcPr>
            <w:tcW w:w="1360" w:type="dxa"/>
            <w:tcBorders>
              <w:top w:val="nil"/>
              <w:left w:val="nil"/>
              <w:bottom w:val="nil"/>
              <w:right w:val="single" w:sz="4" w:space="0" w:color="auto"/>
            </w:tcBorders>
            <w:shd w:val="clear" w:color="auto" w:fill="auto"/>
            <w:vAlign w:val="center"/>
            <w:hideMark/>
          </w:tcPr>
          <w:p w14:paraId="0B8FBEA9"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3.6</w:t>
            </w:r>
          </w:p>
        </w:tc>
        <w:tc>
          <w:tcPr>
            <w:tcW w:w="1600" w:type="dxa"/>
            <w:tcBorders>
              <w:top w:val="nil"/>
              <w:left w:val="nil"/>
              <w:bottom w:val="nil"/>
              <w:right w:val="single" w:sz="4" w:space="0" w:color="auto"/>
            </w:tcBorders>
            <w:shd w:val="clear" w:color="auto" w:fill="auto"/>
            <w:vAlign w:val="center"/>
            <w:hideMark/>
          </w:tcPr>
          <w:p w14:paraId="24921497"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350.0</w:t>
            </w:r>
          </w:p>
        </w:tc>
      </w:tr>
      <w:tr w:rsidR="00E03A05" w:rsidRPr="000E2036" w14:paraId="51BFC9EE" w14:textId="77777777" w:rsidTr="002723AF">
        <w:trPr>
          <w:trHeight w:val="300"/>
          <w:jc w:val="center"/>
        </w:trPr>
        <w:tc>
          <w:tcPr>
            <w:tcW w:w="3860" w:type="dxa"/>
            <w:tcBorders>
              <w:top w:val="nil"/>
              <w:left w:val="single" w:sz="4" w:space="0" w:color="auto"/>
              <w:bottom w:val="nil"/>
              <w:right w:val="single" w:sz="4" w:space="0" w:color="auto"/>
            </w:tcBorders>
            <w:shd w:val="clear" w:color="auto" w:fill="auto"/>
            <w:vAlign w:val="center"/>
            <w:hideMark/>
          </w:tcPr>
          <w:p w14:paraId="33B6E5B4" w14:textId="77777777" w:rsidR="00E03A05" w:rsidRPr="000E2036" w:rsidRDefault="00E03A05" w:rsidP="00E03A05">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Consumer Products &amp; Services </w:t>
            </w:r>
          </w:p>
        </w:tc>
        <w:tc>
          <w:tcPr>
            <w:tcW w:w="1360" w:type="dxa"/>
            <w:tcBorders>
              <w:top w:val="nil"/>
              <w:left w:val="nil"/>
              <w:bottom w:val="nil"/>
              <w:right w:val="single" w:sz="4" w:space="0" w:color="auto"/>
            </w:tcBorders>
            <w:shd w:val="clear" w:color="auto" w:fill="auto"/>
            <w:vAlign w:val="center"/>
            <w:hideMark/>
          </w:tcPr>
          <w:p w14:paraId="0A96F8D8"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1.7</w:t>
            </w:r>
          </w:p>
        </w:tc>
        <w:tc>
          <w:tcPr>
            <w:tcW w:w="1360" w:type="dxa"/>
            <w:tcBorders>
              <w:top w:val="nil"/>
              <w:left w:val="nil"/>
              <w:bottom w:val="nil"/>
              <w:right w:val="single" w:sz="4" w:space="0" w:color="auto"/>
            </w:tcBorders>
            <w:shd w:val="clear" w:color="auto" w:fill="auto"/>
            <w:vAlign w:val="center"/>
            <w:hideMark/>
          </w:tcPr>
          <w:p w14:paraId="5CD530C3"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5.0</w:t>
            </w:r>
          </w:p>
        </w:tc>
        <w:tc>
          <w:tcPr>
            <w:tcW w:w="1600" w:type="dxa"/>
            <w:tcBorders>
              <w:top w:val="nil"/>
              <w:left w:val="nil"/>
              <w:bottom w:val="nil"/>
              <w:right w:val="single" w:sz="4" w:space="0" w:color="auto"/>
            </w:tcBorders>
            <w:shd w:val="clear" w:color="auto" w:fill="auto"/>
            <w:vAlign w:val="center"/>
            <w:hideMark/>
          </w:tcPr>
          <w:p w14:paraId="79BC8ED0"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194.1</w:t>
            </w:r>
          </w:p>
        </w:tc>
      </w:tr>
      <w:tr w:rsidR="00E03A05" w:rsidRPr="000E2036" w14:paraId="28F3A422" w14:textId="77777777" w:rsidTr="002723AF">
        <w:trPr>
          <w:trHeight w:val="300"/>
          <w:jc w:val="center"/>
        </w:trPr>
        <w:tc>
          <w:tcPr>
            <w:tcW w:w="3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B29FC7" w14:textId="559F1228" w:rsidR="00E03A05" w:rsidRPr="000E2036" w:rsidRDefault="00E03A05" w:rsidP="00E03A05">
            <w:pP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Subtotal (Non-</w:t>
            </w:r>
            <w:r w:rsidR="00653503">
              <w:rPr>
                <w:rFonts w:ascii="Arial" w:eastAsia="SimSun" w:hAnsi="Arial" w:cs="Arial"/>
                <w:b/>
                <w:bCs/>
                <w:color w:val="000000"/>
                <w:kern w:val="0"/>
                <w:lang w:val="en-GB" w:eastAsia="zh-CN"/>
              </w:rPr>
              <w:t>A</w:t>
            </w:r>
            <w:r w:rsidRPr="000E2036">
              <w:rPr>
                <w:rFonts w:ascii="Arial" w:eastAsia="SimSun" w:hAnsi="Arial" w:cs="Arial"/>
                <w:b/>
                <w:bCs/>
                <w:color w:val="000000"/>
                <w:kern w:val="0"/>
                <w:lang w:val="en-GB" w:eastAsia="zh-CN"/>
              </w:rPr>
              <w:t>utomotive Business)</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70A879D8" w14:textId="77777777" w:rsidR="00E03A05" w:rsidRPr="000E2036" w:rsidRDefault="00E03A05" w:rsidP="00E03A05">
            <w:pPr>
              <w:jc w:val="right"/>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17.7</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0A574A89" w14:textId="77777777" w:rsidR="00E03A05" w:rsidRPr="000E2036" w:rsidRDefault="00E03A05" w:rsidP="00E03A05">
            <w:pPr>
              <w:jc w:val="right"/>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54.8</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14:paraId="51D30F02" w14:textId="77777777" w:rsidR="00E03A05" w:rsidRPr="000E2036" w:rsidRDefault="00E03A05" w:rsidP="00E03A05">
            <w:pPr>
              <w:jc w:val="right"/>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209.6</w:t>
            </w:r>
          </w:p>
        </w:tc>
      </w:tr>
      <w:tr w:rsidR="00E03A05" w:rsidRPr="000E2036" w14:paraId="3D8B55EC" w14:textId="77777777" w:rsidTr="002723AF">
        <w:trPr>
          <w:trHeight w:val="300"/>
          <w:jc w:val="center"/>
        </w:trPr>
        <w:tc>
          <w:tcPr>
            <w:tcW w:w="3860" w:type="dxa"/>
            <w:tcBorders>
              <w:top w:val="nil"/>
              <w:left w:val="single" w:sz="4" w:space="0" w:color="auto"/>
              <w:bottom w:val="nil"/>
              <w:right w:val="single" w:sz="4" w:space="0" w:color="auto"/>
            </w:tcBorders>
            <w:shd w:val="clear" w:color="auto" w:fill="auto"/>
            <w:vAlign w:val="center"/>
            <w:hideMark/>
          </w:tcPr>
          <w:p w14:paraId="25EC6F1D" w14:textId="77777777" w:rsidR="00E03A05" w:rsidRPr="000E2036" w:rsidRDefault="00E03A05" w:rsidP="00E03A05">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Corporate </w:t>
            </w:r>
          </w:p>
        </w:tc>
        <w:tc>
          <w:tcPr>
            <w:tcW w:w="1360" w:type="dxa"/>
            <w:tcBorders>
              <w:top w:val="nil"/>
              <w:left w:val="nil"/>
              <w:bottom w:val="nil"/>
              <w:right w:val="single" w:sz="4" w:space="0" w:color="auto"/>
            </w:tcBorders>
            <w:shd w:val="clear" w:color="auto" w:fill="auto"/>
            <w:vAlign w:val="center"/>
            <w:hideMark/>
          </w:tcPr>
          <w:p w14:paraId="7A6F7F4D" w14:textId="650452B0" w:rsidR="00E03A05" w:rsidRPr="000E2036" w:rsidRDefault="00AC391A"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E03A05" w:rsidRPr="000E2036">
              <w:rPr>
                <w:rFonts w:ascii="Arial" w:eastAsia="SimSun" w:hAnsi="Arial" w:cs="Arial"/>
                <w:color w:val="000000"/>
                <w:kern w:val="0"/>
                <w:lang w:val="en-GB" w:eastAsia="zh-CN"/>
              </w:rPr>
              <w:t>4.1</w:t>
            </w:r>
          </w:p>
        </w:tc>
        <w:tc>
          <w:tcPr>
            <w:tcW w:w="1360" w:type="dxa"/>
            <w:tcBorders>
              <w:top w:val="nil"/>
              <w:left w:val="nil"/>
              <w:bottom w:val="single" w:sz="4" w:space="0" w:color="auto"/>
              <w:right w:val="single" w:sz="4" w:space="0" w:color="auto"/>
            </w:tcBorders>
            <w:shd w:val="clear" w:color="auto" w:fill="auto"/>
            <w:vAlign w:val="center"/>
            <w:hideMark/>
          </w:tcPr>
          <w:p w14:paraId="2273B006" w14:textId="7B166C38" w:rsidR="00E03A05" w:rsidRPr="000E2036" w:rsidRDefault="00AC391A"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E03A05" w:rsidRPr="000E2036">
              <w:rPr>
                <w:rFonts w:ascii="Arial" w:eastAsia="SimSun" w:hAnsi="Arial" w:cs="Arial"/>
                <w:color w:val="000000"/>
                <w:kern w:val="0"/>
                <w:lang w:val="en-GB" w:eastAsia="zh-CN"/>
              </w:rPr>
              <w:t>11.5</w:t>
            </w:r>
          </w:p>
        </w:tc>
        <w:tc>
          <w:tcPr>
            <w:tcW w:w="1600" w:type="dxa"/>
            <w:tcBorders>
              <w:top w:val="nil"/>
              <w:left w:val="nil"/>
              <w:bottom w:val="single" w:sz="4" w:space="0" w:color="auto"/>
              <w:right w:val="single" w:sz="4" w:space="0" w:color="auto"/>
            </w:tcBorders>
            <w:shd w:val="clear" w:color="auto" w:fill="auto"/>
            <w:vAlign w:val="center"/>
            <w:hideMark/>
          </w:tcPr>
          <w:p w14:paraId="4B34A42E"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180.5</w:t>
            </w:r>
          </w:p>
        </w:tc>
      </w:tr>
      <w:tr w:rsidR="00E03A05" w:rsidRPr="000E2036" w14:paraId="4AC6B054" w14:textId="77777777" w:rsidTr="002723AF">
        <w:trPr>
          <w:trHeight w:val="320"/>
          <w:jc w:val="center"/>
        </w:trPr>
        <w:tc>
          <w:tcPr>
            <w:tcW w:w="3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6C1714" w14:textId="77777777" w:rsidR="00E03A05" w:rsidRPr="000E2036" w:rsidRDefault="00E03A05" w:rsidP="00E03A05">
            <w:pP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 xml:space="preserve">Total </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3EBE13A9" w14:textId="77777777" w:rsidR="00E03A05" w:rsidRPr="000E2036" w:rsidRDefault="00E03A05" w:rsidP="00E03A05">
            <w:pPr>
              <w:jc w:val="right"/>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85.2</w:t>
            </w:r>
          </w:p>
        </w:tc>
        <w:tc>
          <w:tcPr>
            <w:tcW w:w="1360" w:type="dxa"/>
            <w:tcBorders>
              <w:top w:val="nil"/>
              <w:left w:val="nil"/>
              <w:bottom w:val="single" w:sz="4" w:space="0" w:color="auto"/>
              <w:right w:val="single" w:sz="4" w:space="0" w:color="auto"/>
            </w:tcBorders>
            <w:shd w:val="clear" w:color="auto" w:fill="auto"/>
            <w:vAlign w:val="center"/>
            <w:hideMark/>
          </w:tcPr>
          <w:p w14:paraId="1D05197B" w14:textId="77777777" w:rsidR="00E03A05" w:rsidRPr="000E2036" w:rsidRDefault="00E03A05" w:rsidP="00E03A05">
            <w:pPr>
              <w:jc w:val="right"/>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140.2</w:t>
            </w:r>
          </w:p>
        </w:tc>
        <w:tc>
          <w:tcPr>
            <w:tcW w:w="1600" w:type="dxa"/>
            <w:tcBorders>
              <w:top w:val="nil"/>
              <w:left w:val="nil"/>
              <w:bottom w:val="single" w:sz="4" w:space="0" w:color="auto"/>
              <w:right w:val="single" w:sz="4" w:space="0" w:color="auto"/>
            </w:tcBorders>
            <w:shd w:val="clear" w:color="auto" w:fill="auto"/>
            <w:vAlign w:val="center"/>
            <w:hideMark/>
          </w:tcPr>
          <w:p w14:paraId="67AF4A6A" w14:textId="77777777" w:rsidR="00E03A05" w:rsidRPr="000E2036" w:rsidRDefault="00E03A05" w:rsidP="00E03A05">
            <w:pPr>
              <w:jc w:val="right"/>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64.6</w:t>
            </w:r>
          </w:p>
        </w:tc>
      </w:tr>
      <w:tr w:rsidR="00E03A05" w:rsidRPr="000E2036" w14:paraId="0CE2A2F3" w14:textId="77777777" w:rsidTr="002723AF">
        <w:trPr>
          <w:trHeight w:val="480"/>
          <w:jc w:val="center"/>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3676EF7" w14:textId="52886631" w:rsidR="00E03A05" w:rsidRPr="000E2036" w:rsidRDefault="00E03A05" w:rsidP="00E03A05">
            <w:pP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Ratio between Automotive and Non-</w:t>
            </w:r>
            <w:r w:rsidR="00150192" w:rsidRPr="000E2036">
              <w:rPr>
                <w:rFonts w:ascii="Arial" w:eastAsia="SimSun" w:hAnsi="Arial" w:cs="Arial"/>
                <w:b/>
                <w:bCs/>
                <w:color w:val="000000"/>
                <w:kern w:val="0"/>
                <w:lang w:val="en-GB" w:eastAsia="zh-CN"/>
              </w:rPr>
              <w:t>A</w:t>
            </w:r>
            <w:r w:rsidRPr="000E2036">
              <w:rPr>
                <w:rFonts w:ascii="Arial" w:eastAsia="SimSun" w:hAnsi="Arial" w:cs="Arial"/>
                <w:b/>
                <w:bCs/>
                <w:color w:val="000000"/>
                <w:kern w:val="0"/>
                <w:lang w:val="en-GB" w:eastAsia="zh-CN"/>
              </w:rPr>
              <w:t>utomotive Business</w:t>
            </w:r>
          </w:p>
        </w:tc>
        <w:tc>
          <w:tcPr>
            <w:tcW w:w="1360" w:type="dxa"/>
            <w:tcBorders>
              <w:top w:val="nil"/>
              <w:left w:val="nil"/>
              <w:bottom w:val="single" w:sz="4" w:space="0" w:color="auto"/>
              <w:right w:val="single" w:sz="4" w:space="0" w:color="auto"/>
            </w:tcBorders>
            <w:shd w:val="clear" w:color="auto" w:fill="auto"/>
            <w:vAlign w:val="center"/>
            <w:hideMark/>
          </w:tcPr>
          <w:p w14:paraId="7218DB82" w14:textId="77777777" w:rsidR="00E03A05" w:rsidRPr="000E2036" w:rsidRDefault="00E03A05" w:rsidP="00E03A05">
            <w:pPr>
              <w:jc w:val="right"/>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80:20</w:t>
            </w:r>
          </w:p>
        </w:tc>
        <w:tc>
          <w:tcPr>
            <w:tcW w:w="1360" w:type="dxa"/>
            <w:tcBorders>
              <w:top w:val="nil"/>
              <w:left w:val="nil"/>
              <w:bottom w:val="single" w:sz="4" w:space="0" w:color="auto"/>
              <w:right w:val="single" w:sz="4" w:space="0" w:color="auto"/>
            </w:tcBorders>
            <w:shd w:val="clear" w:color="auto" w:fill="auto"/>
            <w:vAlign w:val="center"/>
            <w:hideMark/>
          </w:tcPr>
          <w:p w14:paraId="3EAA0C01" w14:textId="77777777" w:rsidR="00E03A05" w:rsidRPr="000E2036" w:rsidRDefault="00E03A05" w:rsidP="00E03A05">
            <w:pPr>
              <w:jc w:val="right"/>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64:36</w:t>
            </w:r>
          </w:p>
        </w:tc>
        <w:tc>
          <w:tcPr>
            <w:tcW w:w="1600" w:type="dxa"/>
            <w:tcBorders>
              <w:top w:val="nil"/>
              <w:left w:val="nil"/>
              <w:bottom w:val="single" w:sz="4" w:space="0" w:color="auto"/>
              <w:right w:val="single" w:sz="4" w:space="0" w:color="auto"/>
            </w:tcBorders>
            <w:shd w:val="clear" w:color="auto" w:fill="auto"/>
            <w:vAlign w:val="center"/>
            <w:hideMark/>
          </w:tcPr>
          <w:p w14:paraId="1C9B4CEB" w14:textId="639A7DAD" w:rsidR="00E03A05" w:rsidRPr="000E2036" w:rsidRDefault="00AC391A" w:rsidP="00643336">
            <w:pPr>
              <w:jc w:val="right"/>
              <w:rPr>
                <w:rFonts w:ascii="Arial" w:eastAsia="SimSun" w:hAnsi="Arial" w:cs="Arial"/>
                <w:b/>
                <w:bCs/>
                <w:color w:val="000000"/>
                <w:kern w:val="0"/>
                <w:lang w:val="en-GB" w:eastAsia="zh-CN"/>
              </w:rPr>
            </w:pPr>
            <w:r>
              <w:rPr>
                <w:rFonts w:ascii="Arial" w:eastAsia="SimSun" w:hAnsi="Arial" w:cs="Arial"/>
                <w:b/>
                <w:bCs/>
                <w:color w:val="000000"/>
                <w:kern w:val="0"/>
                <w:lang w:val="en-GB" w:eastAsia="zh-CN"/>
              </w:rPr>
              <w:t>−</w:t>
            </w:r>
            <w:r w:rsidR="00E03A05" w:rsidRPr="000E2036">
              <w:rPr>
                <w:rFonts w:ascii="Arial" w:eastAsia="SimSun" w:hAnsi="Arial" w:cs="Arial"/>
                <w:b/>
                <w:bCs/>
                <w:color w:val="000000"/>
                <w:kern w:val="0"/>
                <w:lang w:val="en-GB" w:eastAsia="zh-CN"/>
              </w:rPr>
              <w:t>20</w:t>
            </w:r>
            <w:r w:rsidR="00F97F99" w:rsidRPr="000E2036">
              <w:rPr>
                <w:rFonts w:ascii="Arial" w:eastAsia="SimSun" w:hAnsi="Arial" w:cs="Arial"/>
                <w:b/>
                <w:bCs/>
                <w:color w:val="000000"/>
                <w:kern w:val="0"/>
                <w:lang w:val="en-GB" w:eastAsia="zh-CN"/>
              </w:rPr>
              <w:t>.0</w:t>
            </w:r>
          </w:p>
        </w:tc>
      </w:tr>
      <w:tr w:rsidR="00E03A05" w:rsidRPr="000E2036" w14:paraId="746429D0" w14:textId="77777777" w:rsidTr="002723AF">
        <w:trPr>
          <w:trHeight w:val="240"/>
          <w:jc w:val="center"/>
        </w:trPr>
        <w:tc>
          <w:tcPr>
            <w:tcW w:w="3860" w:type="dxa"/>
            <w:tcBorders>
              <w:top w:val="nil"/>
              <w:left w:val="nil"/>
              <w:bottom w:val="nil"/>
              <w:right w:val="nil"/>
            </w:tcBorders>
            <w:shd w:val="clear" w:color="auto" w:fill="auto"/>
            <w:vAlign w:val="center"/>
            <w:hideMark/>
          </w:tcPr>
          <w:p w14:paraId="6D91F401" w14:textId="77777777" w:rsidR="00E03A05" w:rsidRPr="000E2036" w:rsidRDefault="00E03A05" w:rsidP="00E03A05">
            <w:pPr>
              <w:rPr>
                <w:rFonts w:ascii="Arial" w:eastAsia="SimSun" w:hAnsi="Arial" w:cs="Arial"/>
                <w:color w:val="000000"/>
                <w:kern w:val="0"/>
                <w:lang w:val="en-GB" w:eastAsia="zh-CN"/>
              </w:rPr>
            </w:pPr>
          </w:p>
        </w:tc>
        <w:tc>
          <w:tcPr>
            <w:tcW w:w="1360" w:type="dxa"/>
            <w:tcBorders>
              <w:top w:val="nil"/>
              <w:left w:val="nil"/>
              <w:bottom w:val="nil"/>
              <w:right w:val="nil"/>
            </w:tcBorders>
            <w:shd w:val="clear" w:color="auto" w:fill="auto"/>
            <w:vAlign w:val="center"/>
            <w:hideMark/>
          </w:tcPr>
          <w:p w14:paraId="134ABF41" w14:textId="77777777" w:rsidR="00E03A05" w:rsidRPr="000E2036" w:rsidRDefault="00E03A05" w:rsidP="00E03A05">
            <w:pPr>
              <w:rPr>
                <w:rFonts w:ascii="Arial" w:eastAsia="SimSun" w:hAnsi="Arial" w:cs="Arial"/>
                <w:color w:val="000000"/>
                <w:kern w:val="0"/>
                <w:lang w:val="en-GB" w:eastAsia="zh-CN"/>
              </w:rPr>
            </w:pPr>
          </w:p>
        </w:tc>
        <w:tc>
          <w:tcPr>
            <w:tcW w:w="1360" w:type="dxa"/>
            <w:tcBorders>
              <w:top w:val="nil"/>
              <w:left w:val="nil"/>
              <w:bottom w:val="nil"/>
              <w:right w:val="nil"/>
            </w:tcBorders>
            <w:shd w:val="clear" w:color="auto" w:fill="auto"/>
            <w:vAlign w:val="center"/>
            <w:hideMark/>
          </w:tcPr>
          <w:p w14:paraId="3597E1E0" w14:textId="77777777" w:rsidR="00E03A05" w:rsidRPr="000E2036" w:rsidRDefault="00E03A05" w:rsidP="00E03A05">
            <w:pPr>
              <w:rPr>
                <w:rFonts w:ascii="Arial" w:eastAsia="SimSun" w:hAnsi="Arial" w:cs="Arial"/>
                <w:color w:val="000000"/>
                <w:kern w:val="0"/>
                <w:lang w:val="en-GB" w:eastAsia="zh-CN"/>
              </w:rPr>
            </w:pPr>
          </w:p>
        </w:tc>
        <w:tc>
          <w:tcPr>
            <w:tcW w:w="1600" w:type="dxa"/>
            <w:tcBorders>
              <w:top w:val="nil"/>
              <w:left w:val="nil"/>
              <w:bottom w:val="nil"/>
              <w:right w:val="nil"/>
            </w:tcBorders>
            <w:shd w:val="clear" w:color="auto" w:fill="auto"/>
            <w:vAlign w:val="center"/>
            <w:hideMark/>
          </w:tcPr>
          <w:p w14:paraId="1EC1303C" w14:textId="77777777" w:rsidR="00E03A05" w:rsidRPr="000E2036" w:rsidRDefault="00E03A05" w:rsidP="00E03A05">
            <w:pPr>
              <w:rPr>
                <w:rFonts w:ascii="Arial" w:eastAsia="SimSun" w:hAnsi="Arial" w:cs="Arial"/>
                <w:color w:val="000000"/>
                <w:kern w:val="0"/>
                <w:lang w:val="en-GB" w:eastAsia="zh-CN"/>
              </w:rPr>
            </w:pPr>
          </w:p>
        </w:tc>
      </w:tr>
      <w:tr w:rsidR="00E03A05" w:rsidRPr="000E2036" w14:paraId="47A1B5E3" w14:textId="77777777" w:rsidTr="002723AF">
        <w:trPr>
          <w:trHeight w:val="240"/>
          <w:jc w:val="center"/>
        </w:trPr>
        <w:tc>
          <w:tcPr>
            <w:tcW w:w="3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A4FD5C" w14:textId="55C54196" w:rsidR="00E03A05" w:rsidRPr="000E2036" w:rsidRDefault="00E03A05" w:rsidP="00E03A05">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 xml:space="preserve">Financial Position </w:t>
            </w:r>
            <w:r w:rsidR="00653503">
              <w:rPr>
                <w:rFonts w:ascii="Arial" w:eastAsia="SimSun" w:hAnsi="Arial" w:cs="Arial"/>
                <w:b/>
                <w:bCs/>
                <w:color w:val="000000"/>
                <w:kern w:val="0"/>
                <w:lang w:val="en-GB" w:eastAsia="zh-CN"/>
              </w:rPr>
              <w:t xml:space="preserve">at </w:t>
            </w:r>
            <w:r w:rsidRPr="000E2036">
              <w:rPr>
                <w:rFonts w:ascii="Arial" w:eastAsia="SimSun" w:hAnsi="Arial" w:cs="Arial"/>
                <w:b/>
                <w:bCs/>
                <w:color w:val="000000"/>
                <w:kern w:val="0"/>
                <w:lang w:val="en-GB" w:eastAsia="zh-CN"/>
              </w:rPr>
              <w:t>Year End</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7198825E" w14:textId="77777777" w:rsidR="00E03A05" w:rsidRPr="000E2036" w:rsidRDefault="00E03A05" w:rsidP="00E03A05">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2010</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02CE4916" w14:textId="77777777" w:rsidR="00E03A05" w:rsidRPr="000E2036" w:rsidRDefault="00E03A05" w:rsidP="00E03A05">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2015</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14:paraId="3ED68B10" w14:textId="77777777" w:rsidR="00E03A05" w:rsidRPr="000E2036" w:rsidRDefault="00E03A05" w:rsidP="00E03A05">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Change (%)</w:t>
            </w:r>
          </w:p>
        </w:tc>
      </w:tr>
      <w:tr w:rsidR="00E03A05" w:rsidRPr="000E2036" w14:paraId="4EC3CBD6" w14:textId="77777777" w:rsidTr="002723AF">
        <w:trPr>
          <w:trHeight w:val="240"/>
          <w:jc w:val="center"/>
        </w:trPr>
        <w:tc>
          <w:tcPr>
            <w:tcW w:w="3860" w:type="dxa"/>
            <w:tcBorders>
              <w:top w:val="nil"/>
              <w:left w:val="single" w:sz="4" w:space="0" w:color="auto"/>
              <w:bottom w:val="nil"/>
              <w:right w:val="single" w:sz="4" w:space="0" w:color="auto"/>
            </w:tcBorders>
            <w:shd w:val="clear" w:color="auto" w:fill="auto"/>
            <w:vAlign w:val="center"/>
            <w:hideMark/>
          </w:tcPr>
          <w:p w14:paraId="21CBA47A" w14:textId="77777777" w:rsidR="00E03A05" w:rsidRPr="000E2036" w:rsidRDefault="00E03A05" w:rsidP="00E03A05">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Total assets</w:t>
            </w:r>
          </w:p>
        </w:tc>
        <w:tc>
          <w:tcPr>
            <w:tcW w:w="1360" w:type="dxa"/>
            <w:tcBorders>
              <w:top w:val="nil"/>
              <w:left w:val="nil"/>
              <w:bottom w:val="nil"/>
              <w:right w:val="single" w:sz="4" w:space="0" w:color="auto"/>
            </w:tcBorders>
            <w:shd w:val="clear" w:color="auto" w:fill="auto"/>
            <w:vAlign w:val="center"/>
            <w:hideMark/>
          </w:tcPr>
          <w:p w14:paraId="1C719C16" w14:textId="28F9D046"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2,436.2</w:t>
            </w:r>
          </w:p>
        </w:tc>
        <w:tc>
          <w:tcPr>
            <w:tcW w:w="1360" w:type="dxa"/>
            <w:tcBorders>
              <w:top w:val="nil"/>
              <w:left w:val="nil"/>
              <w:bottom w:val="nil"/>
              <w:right w:val="single" w:sz="4" w:space="0" w:color="auto"/>
            </w:tcBorders>
            <w:shd w:val="clear" w:color="auto" w:fill="auto"/>
            <w:vAlign w:val="center"/>
            <w:hideMark/>
          </w:tcPr>
          <w:p w14:paraId="4D7DC192" w14:textId="340215CF"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3,952.1</w:t>
            </w:r>
          </w:p>
        </w:tc>
        <w:tc>
          <w:tcPr>
            <w:tcW w:w="1600" w:type="dxa"/>
            <w:tcBorders>
              <w:top w:val="nil"/>
              <w:left w:val="nil"/>
              <w:bottom w:val="nil"/>
              <w:right w:val="single" w:sz="4" w:space="0" w:color="auto"/>
            </w:tcBorders>
            <w:shd w:val="clear" w:color="auto" w:fill="auto"/>
            <w:vAlign w:val="center"/>
            <w:hideMark/>
          </w:tcPr>
          <w:p w14:paraId="6C77E61D"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62.2</w:t>
            </w:r>
          </w:p>
        </w:tc>
      </w:tr>
      <w:tr w:rsidR="00E03A05" w:rsidRPr="000E2036" w14:paraId="7039A191" w14:textId="77777777" w:rsidTr="002723AF">
        <w:trPr>
          <w:trHeight w:val="240"/>
          <w:jc w:val="center"/>
        </w:trPr>
        <w:tc>
          <w:tcPr>
            <w:tcW w:w="3860" w:type="dxa"/>
            <w:tcBorders>
              <w:top w:val="nil"/>
              <w:left w:val="single" w:sz="4" w:space="0" w:color="auto"/>
              <w:bottom w:val="nil"/>
              <w:right w:val="single" w:sz="4" w:space="0" w:color="auto"/>
            </w:tcBorders>
            <w:shd w:val="clear" w:color="auto" w:fill="auto"/>
            <w:vAlign w:val="center"/>
            <w:hideMark/>
          </w:tcPr>
          <w:p w14:paraId="486FC0C3" w14:textId="77777777" w:rsidR="00E03A05" w:rsidRPr="000E2036" w:rsidRDefault="00E03A05" w:rsidP="00E03A05">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Capital employed</w:t>
            </w:r>
          </w:p>
        </w:tc>
        <w:tc>
          <w:tcPr>
            <w:tcW w:w="1360" w:type="dxa"/>
            <w:tcBorders>
              <w:top w:val="nil"/>
              <w:left w:val="nil"/>
              <w:bottom w:val="nil"/>
              <w:right w:val="single" w:sz="4" w:space="0" w:color="auto"/>
            </w:tcBorders>
            <w:shd w:val="clear" w:color="auto" w:fill="auto"/>
            <w:vAlign w:val="center"/>
            <w:hideMark/>
          </w:tcPr>
          <w:p w14:paraId="0242C186" w14:textId="12B7E613"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1,248.9</w:t>
            </w:r>
          </w:p>
        </w:tc>
        <w:tc>
          <w:tcPr>
            <w:tcW w:w="1360" w:type="dxa"/>
            <w:tcBorders>
              <w:top w:val="nil"/>
              <w:left w:val="nil"/>
              <w:bottom w:val="nil"/>
              <w:right w:val="single" w:sz="4" w:space="0" w:color="auto"/>
            </w:tcBorders>
            <w:shd w:val="clear" w:color="auto" w:fill="auto"/>
            <w:vAlign w:val="center"/>
            <w:hideMark/>
          </w:tcPr>
          <w:p w14:paraId="5606EC7F" w14:textId="4F0B74CC"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2,158.5</w:t>
            </w:r>
          </w:p>
        </w:tc>
        <w:tc>
          <w:tcPr>
            <w:tcW w:w="1600" w:type="dxa"/>
            <w:tcBorders>
              <w:top w:val="nil"/>
              <w:left w:val="nil"/>
              <w:bottom w:val="nil"/>
              <w:right w:val="single" w:sz="4" w:space="0" w:color="auto"/>
            </w:tcBorders>
            <w:shd w:val="clear" w:color="auto" w:fill="auto"/>
            <w:vAlign w:val="center"/>
            <w:hideMark/>
          </w:tcPr>
          <w:p w14:paraId="62ABB488"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72.8</w:t>
            </w:r>
          </w:p>
        </w:tc>
      </w:tr>
      <w:tr w:rsidR="00E03A05" w:rsidRPr="000E2036" w14:paraId="056D7A87" w14:textId="77777777" w:rsidTr="002723AF">
        <w:trPr>
          <w:trHeight w:val="240"/>
          <w:jc w:val="center"/>
        </w:trPr>
        <w:tc>
          <w:tcPr>
            <w:tcW w:w="3860" w:type="dxa"/>
            <w:tcBorders>
              <w:top w:val="nil"/>
              <w:left w:val="single" w:sz="4" w:space="0" w:color="auto"/>
              <w:bottom w:val="nil"/>
              <w:right w:val="single" w:sz="4" w:space="0" w:color="auto"/>
            </w:tcBorders>
            <w:shd w:val="clear" w:color="auto" w:fill="auto"/>
            <w:vAlign w:val="center"/>
            <w:hideMark/>
          </w:tcPr>
          <w:p w14:paraId="6DF8218C" w14:textId="77777777" w:rsidR="00E03A05" w:rsidRPr="000E2036" w:rsidRDefault="00E03A05" w:rsidP="00E03A05">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Net interest-bearing debt</w:t>
            </w:r>
          </w:p>
        </w:tc>
        <w:tc>
          <w:tcPr>
            <w:tcW w:w="1360" w:type="dxa"/>
            <w:tcBorders>
              <w:top w:val="nil"/>
              <w:left w:val="nil"/>
              <w:bottom w:val="nil"/>
              <w:right w:val="single" w:sz="4" w:space="0" w:color="auto"/>
            </w:tcBorders>
            <w:shd w:val="clear" w:color="auto" w:fill="auto"/>
            <w:vAlign w:val="center"/>
            <w:hideMark/>
          </w:tcPr>
          <w:p w14:paraId="632BEB06"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581.3</w:t>
            </w:r>
          </w:p>
        </w:tc>
        <w:tc>
          <w:tcPr>
            <w:tcW w:w="1360" w:type="dxa"/>
            <w:tcBorders>
              <w:top w:val="nil"/>
              <w:left w:val="nil"/>
              <w:bottom w:val="nil"/>
              <w:right w:val="single" w:sz="4" w:space="0" w:color="auto"/>
            </w:tcBorders>
            <w:shd w:val="clear" w:color="auto" w:fill="auto"/>
            <w:vAlign w:val="center"/>
            <w:hideMark/>
          </w:tcPr>
          <w:p w14:paraId="26E42610" w14:textId="058CA4B5"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1,102.7</w:t>
            </w:r>
          </w:p>
        </w:tc>
        <w:tc>
          <w:tcPr>
            <w:tcW w:w="1600" w:type="dxa"/>
            <w:tcBorders>
              <w:top w:val="nil"/>
              <w:left w:val="nil"/>
              <w:bottom w:val="nil"/>
              <w:right w:val="single" w:sz="4" w:space="0" w:color="auto"/>
            </w:tcBorders>
            <w:shd w:val="clear" w:color="auto" w:fill="auto"/>
            <w:vAlign w:val="center"/>
            <w:hideMark/>
          </w:tcPr>
          <w:p w14:paraId="19950856"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89.7</w:t>
            </w:r>
          </w:p>
        </w:tc>
      </w:tr>
      <w:tr w:rsidR="00E03A05" w:rsidRPr="000E2036" w14:paraId="4F7AC296" w14:textId="77777777" w:rsidTr="002723AF">
        <w:trPr>
          <w:trHeight w:val="240"/>
          <w:jc w:val="center"/>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540231C2" w14:textId="77777777" w:rsidR="00E03A05" w:rsidRPr="000E2036" w:rsidRDefault="00E03A05" w:rsidP="00E03A05">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Shareholders’ equity</w:t>
            </w:r>
          </w:p>
        </w:tc>
        <w:tc>
          <w:tcPr>
            <w:tcW w:w="1360" w:type="dxa"/>
            <w:tcBorders>
              <w:top w:val="nil"/>
              <w:left w:val="nil"/>
              <w:bottom w:val="single" w:sz="4" w:space="0" w:color="auto"/>
              <w:right w:val="single" w:sz="4" w:space="0" w:color="auto"/>
            </w:tcBorders>
            <w:shd w:val="clear" w:color="auto" w:fill="auto"/>
            <w:vAlign w:val="center"/>
            <w:hideMark/>
          </w:tcPr>
          <w:p w14:paraId="733BB976"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642.9</w:t>
            </w:r>
          </w:p>
        </w:tc>
        <w:tc>
          <w:tcPr>
            <w:tcW w:w="1360" w:type="dxa"/>
            <w:tcBorders>
              <w:top w:val="nil"/>
              <w:left w:val="nil"/>
              <w:bottom w:val="single" w:sz="4" w:space="0" w:color="auto"/>
              <w:right w:val="single" w:sz="4" w:space="0" w:color="auto"/>
            </w:tcBorders>
            <w:shd w:val="clear" w:color="auto" w:fill="auto"/>
            <w:vAlign w:val="center"/>
            <w:hideMark/>
          </w:tcPr>
          <w:p w14:paraId="5546E9D7"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777.4</w:t>
            </w:r>
          </w:p>
        </w:tc>
        <w:tc>
          <w:tcPr>
            <w:tcW w:w="1600" w:type="dxa"/>
            <w:tcBorders>
              <w:top w:val="nil"/>
              <w:left w:val="nil"/>
              <w:bottom w:val="single" w:sz="4" w:space="0" w:color="auto"/>
              <w:right w:val="single" w:sz="4" w:space="0" w:color="auto"/>
            </w:tcBorders>
            <w:shd w:val="clear" w:color="auto" w:fill="auto"/>
            <w:vAlign w:val="center"/>
            <w:hideMark/>
          </w:tcPr>
          <w:p w14:paraId="1C85AE41" w14:textId="77777777" w:rsidR="00E03A05" w:rsidRPr="000E2036" w:rsidRDefault="00E03A05" w:rsidP="00E03A0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20.9</w:t>
            </w:r>
          </w:p>
        </w:tc>
      </w:tr>
    </w:tbl>
    <w:p w14:paraId="2FEE27FB" w14:textId="77777777" w:rsidR="00E831D6" w:rsidRPr="000E2036" w:rsidRDefault="00E831D6" w:rsidP="00E8070D">
      <w:pPr>
        <w:pStyle w:val="BodyTextMain"/>
        <w:rPr>
          <w:lang w:val="en-GB"/>
        </w:rPr>
      </w:pPr>
    </w:p>
    <w:p w14:paraId="4F053F71" w14:textId="0E9C8106" w:rsidR="00AF7B9D" w:rsidRPr="000E2036" w:rsidRDefault="00AF7B9D" w:rsidP="00E8070D">
      <w:pPr>
        <w:pStyle w:val="BodyTextMain"/>
        <w:rPr>
          <w:rFonts w:ascii="Arial" w:hAnsi="Arial" w:cs="Arial"/>
          <w:sz w:val="17"/>
          <w:szCs w:val="17"/>
          <w:lang w:val="en-GB"/>
        </w:rPr>
      </w:pPr>
      <w:r w:rsidRPr="000E2036">
        <w:rPr>
          <w:rFonts w:ascii="Arial" w:hAnsi="Arial" w:cs="Arial"/>
          <w:sz w:val="17"/>
          <w:szCs w:val="17"/>
          <w:lang w:val="en-GB"/>
        </w:rPr>
        <w:t>Note: ¥ = Japanese yen; US$1</w:t>
      </w:r>
      <w:r w:rsidR="00AC391A">
        <w:rPr>
          <w:rFonts w:ascii="Arial" w:hAnsi="Arial" w:cs="Arial"/>
          <w:sz w:val="17"/>
          <w:szCs w:val="17"/>
          <w:lang w:val="en-GB"/>
        </w:rPr>
        <w:t>.00</w:t>
      </w:r>
      <w:r w:rsidRPr="000E2036">
        <w:rPr>
          <w:rFonts w:ascii="Arial" w:hAnsi="Arial" w:cs="Arial"/>
          <w:sz w:val="17"/>
          <w:szCs w:val="17"/>
          <w:lang w:val="en-GB"/>
        </w:rPr>
        <w:t xml:space="preserve"> = ¥114.37 on December 1, 2016</w:t>
      </w:r>
      <w:r w:rsidR="00AC391A">
        <w:rPr>
          <w:rFonts w:ascii="Arial" w:hAnsi="Arial" w:cs="Arial"/>
          <w:sz w:val="17"/>
          <w:szCs w:val="17"/>
          <w:lang w:val="en-GB"/>
        </w:rPr>
        <w:t>.</w:t>
      </w:r>
    </w:p>
    <w:p w14:paraId="6B85938F" w14:textId="38D43D19" w:rsidR="004E5B49" w:rsidRPr="000E2036" w:rsidRDefault="00E831D6" w:rsidP="00E8070D">
      <w:pPr>
        <w:pStyle w:val="BodyTextMain"/>
        <w:rPr>
          <w:rFonts w:ascii="Arial" w:hAnsi="Arial" w:cs="Arial"/>
          <w:sz w:val="17"/>
          <w:szCs w:val="17"/>
          <w:lang w:val="en-GB"/>
        </w:rPr>
      </w:pPr>
      <w:r w:rsidRPr="000E2036">
        <w:rPr>
          <w:rFonts w:ascii="Arial" w:hAnsi="Arial" w:cs="Arial"/>
          <w:sz w:val="17"/>
          <w:szCs w:val="17"/>
          <w:lang w:val="en-GB"/>
        </w:rPr>
        <w:t xml:space="preserve">Source: Created by the case authors based on </w:t>
      </w:r>
      <w:r w:rsidR="00150192" w:rsidRPr="000E2036">
        <w:rPr>
          <w:rFonts w:ascii="Arial" w:hAnsi="Arial" w:cs="Arial"/>
          <w:sz w:val="17"/>
          <w:szCs w:val="17"/>
          <w:lang w:val="en-GB"/>
        </w:rPr>
        <w:t xml:space="preserve">Toyota Tsusho Corporation, </w:t>
      </w:r>
      <w:r w:rsidRPr="002C1C44">
        <w:rPr>
          <w:rFonts w:ascii="Arial" w:hAnsi="Arial" w:cs="Arial"/>
          <w:i/>
          <w:sz w:val="17"/>
          <w:szCs w:val="17"/>
          <w:lang w:val="en-GB"/>
        </w:rPr>
        <w:t>New Global Vision and Long-Term Business Plan</w:t>
      </w:r>
      <w:r w:rsidR="00AC391A" w:rsidRPr="000E2036">
        <w:rPr>
          <w:rFonts w:ascii="Arial" w:hAnsi="Arial" w:cs="Arial"/>
          <w:sz w:val="17"/>
          <w:szCs w:val="17"/>
          <w:lang w:val="en-GB"/>
        </w:rPr>
        <w:t>, 6</w:t>
      </w:r>
      <w:r w:rsidRPr="000E2036">
        <w:rPr>
          <w:rFonts w:ascii="Arial" w:hAnsi="Arial" w:cs="Arial"/>
          <w:sz w:val="17"/>
          <w:szCs w:val="17"/>
          <w:lang w:val="en-GB"/>
        </w:rPr>
        <w:t>, May 6, 2016, accessed September 19, 2017, www.toyota-tsusho.com/english/ir/pdf/management/plan_20160513_01.pdf.</w:t>
      </w:r>
    </w:p>
    <w:p w14:paraId="7BD09B30" w14:textId="77777777" w:rsidR="001D3CE4" w:rsidRPr="000E2036" w:rsidRDefault="001D3CE4" w:rsidP="00E8070D">
      <w:pPr>
        <w:pStyle w:val="BodyTextMain"/>
        <w:rPr>
          <w:lang w:val="en-GB"/>
        </w:rPr>
      </w:pPr>
    </w:p>
    <w:p w14:paraId="42B7CA86" w14:textId="77777777" w:rsidR="00855B2A" w:rsidRPr="000E2036" w:rsidRDefault="00855B2A" w:rsidP="00E8070D">
      <w:pPr>
        <w:pStyle w:val="BodyTextMain"/>
        <w:rPr>
          <w:lang w:val="en-GB"/>
        </w:rPr>
      </w:pPr>
    </w:p>
    <w:p w14:paraId="5967A324" w14:textId="3B2EF87E" w:rsidR="001D3CE4" w:rsidRPr="000E2036" w:rsidRDefault="001D3CE4" w:rsidP="00855B2A">
      <w:pPr>
        <w:pStyle w:val="BodyTextMain"/>
        <w:jc w:val="center"/>
        <w:rPr>
          <w:rFonts w:ascii="Arial" w:hAnsi="Arial"/>
          <w:b/>
          <w:caps/>
          <w:sz w:val="20"/>
          <w:szCs w:val="20"/>
          <w:lang w:val="en-GB" w:eastAsia="zh-CN"/>
        </w:rPr>
      </w:pPr>
      <w:r w:rsidRPr="000E2036">
        <w:rPr>
          <w:rFonts w:ascii="Arial" w:hAnsi="Arial"/>
          <w:b/>
          <w:caps/>
          <w:sz w:val="20"/>
          <w:szCs w:val="20"/>
          <w:lang w:val="en-GB" w:eastAsia="zh-CN"/>
        </w:rPr>
        <w:t xml:space="preserve">Exhibit 8: </w:t>
      </w:r>
      <w:r w:rsidR="00855B2A" w:rsidRPr="000E2036">
        <w:rPr>
          <w:rFonts w:ascii="Arial" w:hAnsi="Arial"/>
          <w:b/>
          <w:caps/>
          <w:sz w:val="20"/>
          <w:szCs w:val="20"/>
          <w:lang w:val="en-GB" w:eastAsia="zh-CN"/>
        </w:rPr>
        <w:t>TOYOTA TSUSHO</w:t>
      </w:r>
      <w:r w:rsidR="00AF7B9D" w:rsidRPr="000E2036">
        <w:rPr>
          <w:rFonts w:ascii="Arial" w:hAnsi="Arial"/>
          <w:b/>
          <w:caps/>
          <w:sz w:val="20"/>
          <w:szCs w:val="20"/>
          <w:lang w:val="en-GB" w:eastAsia="zh-CN"/>
        </w:rPr>
        <w:t xml:space="preserve"> Corporation</w:t>
      </w:r>
      <w:r w:rsidR="00855B2A" w:rsidRPr="000E2036">
        <w:rPr>
          <w:rFonts w:ascii="Arial" w:hAnsi="Arial"/>
          <w:b/>
          <w:caps/>
          <w:sz w:val="20"/>
          <w:szCs w:val="20"/>
          <w:lang w:val="en-GB" w:eastAsia="zh-CN"/>
        </w:rPr>
        <w:t xml:space="preserve">’S </w:t>
      </w:r>
      <w:r w:rsidR="00F97F99" w:rsidRPr="000E2036">
        <w:rPr>
          <w:rFonts w:ascii="Arial" w:hAnsi="Arial"/>
          <w:b/>
          <w:caps/>
          <w:sz w:val="20"/>
          <w:szCs w:val="20"/>
          <w:lang w:val="en-GB" w:eastAsia="zh-CN"/>
        </w:rPr>
        <w:t xml:space="preserve">CONSOLIDATED </w:t>
      </w:r>
      <w:r w:rsidR="00855B2A" w:rsidRPr="000E2036">
        <w:rPr>
          <w:rFonts w:ascii="Arial" w:hAnsi="Arial"/>
          <w:b/>
          <w:caps/>
          <w:sz w:val="20"/>
          <w:szCs w:val="20"/>
          <w:lang w:val="en-GB" w:eastAsia="zh-CN"/>
        </w:rPr>
        <w:t>LOSSES</w:t>
      </w:r>
      <w:r w:rsidR="00F97F99" w:rsidRPr="000E2036">
        <w:rPr>
          <w:rFonts w:ascii="Arial" w:hAnsi="Arial"/>
          <w:b/>
          <w:caps/>
          <w:sz w:val="20"/>
          <w:szCs w:val="20"/>
          <w:lang w:val="en-GB" w:eastAsia="zh-CN"/>
        </w:rPr>
        <w:t xml:space="preserve">, </w:t>
      </w:r>
      <w:r w:rsidR="00551397" w:rsidRPr="000E2036">
        <w:rPr>
          <w:rFonts w:ascii="Arial" w:hAnsi="Arial"/>
          <w:b/>
          <w:caps/>
          <w:sz w:val="20"/>
          <w:szCs w:val="20"/>
          <w:lang w:val="en-GB" w:eastAsia="zh-CN"/>
        </w:rPr>
        <w:t>2015</w:t>
      </w:r>
      <w:r w:rsidR="00AF7B9D" w:rsidRPr="000E2036">
        <w:rPr>
          <w:rFonts w:ascii="Arial" w:hAnsi="Arial"/>
          <w:b/>
          <w:caps/>
          <w:sz w:val="20"/>
          <w:szCs w:val="20"/>
          <w:lang w:val="en-GB" w:eastAsia="zh-CN"/>
        </w:rPr>
        <w:t>–</w:t>
      </w:r>
      <w:r w:rsidR="007054A3">
        <w:rPr>
          <w:rFonts w:ascii="Arial" w:hAnsi="Arial"/>
          <w:b/>
          <w:caps/>
          <w:sz w:val="20"/>
          <w:szCs w:val="20"/>
          <w:lang w:val="en-GB" w:eastAsia="zh-CN"/>
        </w:rPr>
        <w:t>20</w:t>
      </w:r>
      <w:r w:rsidR="007054A3" w:rsidRPr="000E2036">
        <w:rPr>
          <w:rFonts w:ascii="Arial" w:hAnsi="Arial"/>
          <w:b/>
          <w:caps/>
          <w:sz w:val="20"/>
          <w:szCs w:val="20"/>
          <w:lang w:val="en-GB" w:eastAsia="zh-CN"/>
        </w:rPr>
        <w:t>16</w:t>
      </w:r>
      <w:r w:rsidR="007054A3">
        <w:rPr>
          <w:rFonts w:ascii="Arial" w:hAnsi="Arial"/>
          <w:b/>
          <w:caps/>
          <w:sz w:val="20"/>
          <w:szCs w:val="20"/>
          <w:lang w:val="en-GB" w:eastAsia="zh-CN"/>
        </w:rPr>
        <w:br/>
      </w:r>
      <w:r w:rsidR="003C21EF" w:rsidRPr="000E2036">
        <w:rPr>
          <w:rFonts w:ascii="Arial" w:hAnsi="Arial"/>
          <w:b/>
          <w:caps/>
          <w:sz w:val="20"/>
          <w:szCs w:val="20"/>
          <w:lang w:val="en-GB" w:eastAsia="zh-CN"/>
        </w:rPr>
        <w:t>(</w:t>
      </w:r>
      <w:r w:rsidR="00150192" w:rsidRPr="000E2036">
        <w:rPr>
          <w:rFonts w:ascii="Arial" w:hAnsi="Arial"/>
          <w:b/>
          <w:caps/>
          <w:sz w:val="20"/>
          <w:szCs w:val="20"/>
          <w:lang w:val="en-GB" w:eastAsia="zh-CN"/>
        </w:rPr>
        <w:t xml:space="preserve">in </w:t>
      </w:r>
      <w:r w:rsidR="00150192" w:rsidRPr="000E2036">
        <w:rPr>
          <w:rFonts w:ascii="Arial" w:hAnsi="Arial" w:cs="Arial"/>
          <w:b/>
          <w:caps/>
          <w:sz w:val="20"/>
          <w:szCs w:val="20"/>
          <w:lang w:val="en-GB" w:eastAsia="zh-CN"/>
        </w:rPr>
        <w:t>¥</w:t>
      </w:r>
      <w:r w:rsidR="00150192" w:rsidRPr="000E2036">
        <w:rPr>
          <w:rFonts w:ascii="Arial" w:hAnsi="Arial"/>
          <w:b/>
          <w:caps/>
          <w:sz w:val="20"/>
          <w:szCs w:val="20"/>
          <w:lang w:val="en-GB" w:eastAsia="zh-CN"/>
        </w:rPr>
        <w:t xml:space="preserve"> </w:t>
      </w:r>
      <w:r w:rsidR="003C21EF" w:rsidRPr="000E2036">
        <w:rPr>
          <w:rFonts w:ascii="Arial" w:hAnsi="Arial"/>
          <w:b/>
          <w:caps/>
          <w:sz w:val="20"/>
          <w:szCs w:val="20"/>
          <w:lang w:val="en-GB" w:eastAsia="zh-CN"/>
        </w:rPr>
        <w:t>BILLION)</w:t>
      </w:r>
    </w:p>
    <w:p w14:paraId="0CDE782D" w14:textId="77777777" w:rsidR="001D3CE4" w:rsidRPr="000E2036" w:rsidRDefault="001D3CE4" w:rsidP="00E8070D">
      <w:pPr>
        <w:pStyle w:val="BodyTextMain"/>
        <w:rPr>
          <w:lang w:val="en-GB"/>
        </w:rPr>
      </w:pPr>
    </w:p>
    <w:tbl>
      <w:tblPr>
        <w:tblW w:w="9364" w:type="dxa"/>
        <w:tblInd w:w="93" w:type="dxa"/>
        <w:tblLook w:val="04A0" w:firstRow="1" w:lastRow="0" w:firstColumn="1" w:lastColumn="0" w:noHBand="0" w:noVBand="1"/>
      </w:tblPr>
      <w:tblGrid>
        <w:gridCol w:w="4344"/>
        <w:gridCol w:w="1160"/>
        <w:gridCol w:w="1160"/>
        <w:gridCol w:w="1160"/>
        <w:gridCol w:w="1540"/>
      </w:tblGrid>
      <w:tr w:rsidR="00E50BB5" w:rsidRPr="000E2036" w14:paraId="56D9FAD4" w14:textId="77777777" w:rsidTr="00E50BB5">
        <w:trPr>
          <w:trHeight w:val="240"/>
        </w:trPr>
        <w:tc>
          <w:tcPr>
            <w:tcW w:w="4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E4060" w14:textId="77777777" w:rsidR="00E50BB5" w:rsidRPr="000E2036" w:rsidRDefault="00E50BB5" w:rsidP="00E50BB5">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Financial Highlights (Consolidated)</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DB8839B" w14:textId="77777777" w:rsidR="00E50BB5" w:rsidRPr="000E2036" w:rsidRDefault="00E50BB5" w:rsidP="00E50BB5">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2016</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A9DBE42" w14:textId="77777777" w:rsidR="00E50BB5" w:rsidRPr="000E2036" w:rsidRDefault="00E50BB5" w:rsidP="00E50BB5">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2015</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098A1A7" w14:textId="77777777" w:rsidR="00E50BB5" w:rsidRPr="000E2036" w:rsidRDefault="00E50BB5" w:rsidP="00E50BB5">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Change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A7E3591" w14:textId="77777777" w:rsidR="00E50BB5" w:rsidRPr="000E2036" w:rsidRDefault="00E50BB5" w:rsidP="00E50BB5">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Change (%)</w:t>
            </w:r>
          </w:p>
        </w:tc>
      </w:tr>
      <w:tr w:rsidR="00E50BB5" w:rsidRPr="000E2036" w14:paraId="0670718F" w14:textId="77777777" w:rsidTr="00E50BB5">
        <w:trPr>
          <w:trHeight w:val="24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037885D7" w14:textId="77777777" w:rsidR="00E50BB5" w:rsidRPr="000E2036" w:rsidRDefault="00E50BB5" w:rsidP="00E50BB5">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Net Sales</w:t>
            </w:r>
          </w:p>
        </w:tc>
        <w:tc>
          <w:tcPr>
            <w:tcW w:w="1160" w:type="dxa"/>
            <w:tcBorders>
              <w:top w:val="nil"/>
              <w:left w:val="nil"/>
              <w:bottom w:val="single" w:sz="4" w:space="0" w:color="auto"/>
              <w:right w:val="single" w:sz="4" w:space="0" w:color="auto"/>
            </w:tcBorders>
            <w:shd w:val="clear" w:color="auto" w:fill="auto"/>
            <w:noWrap/>
            <w:vAlign w:val="bottom"/>
            <w:hideMark/>
          </w:tcPr>
          <w:p w14:paraId="41B32F05" w14:textId="77777777" w:rsidR="00E50BB5" w:rsidRPr="000E2036" w:rsidRDefault="00E50BB5" w:rsidP="00E50BB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8,170.2 </w:t>
            </w:r>
          </w:p>
        </w:tc>
        <w:tc>
          <w:tcPr>
            <w:tcW w:w="1160" w:type="dxa"/>
            <w:tcBorders>
              <w:top w:val="nil"/>
              <w:left w:val="nil"/>
              <w:bottom w:val="single" w:sz="4" w:space="0" w:color="auto"/>
              <w:right w:val="single" w:sz="4" w:space="0" w:color="auto"/>
            </w:tcBorders>
            <w:shd w:val="clear" w:color="auto" w:fill="auto"/>
            <w:noWrap/>
            <w:vAlign w:val="bottom"/>
            <w:hideMark/>
          </w:tcPr>
          <w:p w14:paraId="121FA936" w14:textId="77777777" w:rsidR="00E50BB5" w:rsidRPr="000E2036" w:rsidRDefault="00E50BB5" w:rsidP="00E50BB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8,663.4 </w:t>
            </w:r>
          </w:p>
        </w:tc>
        <w:tc>
          <w:tcPr>
            <w:tcW w:w="1160" w:type="dxa"/>
            <w:tcBorders>
              <w:top w:val="nil"/>
              <w:left w:val="nil"/>
              <w:bottom w:val="single" w:sz="4" w:space="0" w:color="auto"/>
              <w:right w:val="single" w:sz="4" w:space="0" w:color="auto"/>
            </w:tcBorders>
            <w:shd w:val="clear" w:color="auto" w:fill="auto"/>
            <w:noWrap/>
            <w:vAlign w:val="bottom"/>
            <w:hideMark/>
          </w:tcPr>
          <w:p w14:paraId="63AB40A6" w14:textId="5535A46F" w:rsidR="00E50BB5" w:rsidRPr="000E2036" w:rsidRDefault="007054A3" w:rsidP="00643336">
            <w:pPr>
              <w:jc w:val="right"/>
              <w:rPr>
                <w:rFonts w:ascii="Arial" w:eastAsia="SimSun" w:hAnsi="Arial" w:cs="Arial"/>
                <w:color w:val="000000"/>
                <w:kern w:val="0"/>
                <w:lang w:val="en-GB" w:eastAsia="zh-CN"/>
              </w:rPr>
            </w:pPr>
            <w:r w:rsidRPr="007054A3">
              <w:rPr>
                <w:rFonts w:ascii="Arial" w:eastAsia="SimSun" w:hAnsi="Arial" w:cs="Arial"/>
                <w:color w:val="000000"/>
                <w:kern w:val="0"/>
                <w:lang w:val="en-GB" w:eastAsia="zh-CN"/>
              </w:rPr>
              <w:t>−</w:t>
            </w:r>
            <w:r w:rsidR="00E50BB5" w:rsidRPr="000E2036">
              <w:rPr>
                <w:rFonts w:ascii="Arial" w:eastAsia="SimSun" w:hAnsi="Arial" w:cs="Arial"/>
                <w:color w:val="000000"/>
                <w:kern w:val="0"/>
                <w:lang w:val="en-GB" w:eastAsia="zh-CN"/>
              </w:rPr>
              <w:t>493.2</w:t>
            </w:r>
          </w:p>
        </w:tc>
        <w:tc>
          <w:tcPr>
            <w:tcW w:w="1540" w:type="dxa"/>
            <w:tcBorders>
              <w:top w:val="nil"/>
              <w:left w:val="nil"/>
              <w:bottom w:val="single" w:sz="4" w:space="0" w:color="auto"/>
              <w:right w:val="single" w:sz="4" w:space="0" w:color="auto"/>
            </w:tcBorders>
            <w:shd w:val="clear" w:color="auto" w:fill="auto"/>
            <w:noWrap/>
            <w:vAlign w:val="bottom"/>
            <w:hideMark/>
          </w:tcPr>
          <w:p w14:paraId="3BDC1DCF" w14:textId="353D0C15" w:rsidR="00E50BB5" w:rsidRPr="000E2036" w:rsidRDefault="007054A3" w:rsidP="00643336">
            <w:pPr>
              <w:jc w:val="right"/>
              <w:rPr>
                <w:rFonts w:ascii="Arial" w:eastAsia="SimSun" w:hAnsi="Arial" w:cs="Arial"/>
                <w:color w:val="000000"/>
                <w:kern w:val="0"/>
                <w:lang w:val="en-GB" w:eastAsia="zh-CN"/>
              </w:rPr>
            </w:pPr>
            <w:r w:rsidRPr="007054A3">
              <w:rPr>
                <w:rFonts w:ascii="Arial" w:eastAsia="SimSun" w:hAnsi="Arial" w:cs="Arial"/>
                <w:color w:val="000000"/>
                <w:kern w:val="0"/>
                <w:lang w:val="en-GB" w:eastAsia="zh-CN"/>
              </w:rPr>
              <w:t>−</w:t>
            </w:r>
            <w:r w:rsidR="00E50BB5" w:rsidRPr="000E2036">
              <w:rPr>
                <w:rFonts w:ascii="Arial" w:eastAsia="SimSun" w:hAnsi="Arial" w:cs="Arial"/>
                <w:color w:val="000000"/>
                <w:kern w:val="0"/>
                <w:lang w:val="en-GB" w:eastAsia="zh-CN"/>
              </w:rPr>
              <w:t>5.7</w:t>
            </w:r>
          </w:p>
        </w:tc>
      </w:tr>
      <w:tr w:rsidR="00E50BB5" w:rsidRPr="000E2036" w14:paraId="35D2A4D7" w14:textId="77777777" w:rsidTr="00E50BB5">
        <w:trPr>
          <w:trHeight w:val="24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22C128E2" w14:textId="77777777" w:rsidR="00E50BB5" w:rsidRPr="000E2036" w:rsidRDefault="00E50BB5" w:rsidP="00E50BB5">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Operating Income</w:t>
            </w:r>
          </w:p>
        </w:tc>
        <w:tc>
          <w:tcPr>
            <w:tcW w:w="1160" w:type="dxa"/>
            <w:tcBorders>
              <w:top w:val="nil"/>
              <w:left w:val="nil"/>
              <w:bottom w:val="single" w:sz="4" w:space="0" w:color="auto"/>
              <w:right w:val="single" w:sz="4" w:space="0" w:color="auto"/>
            </w:tcBorders>
            <w:shd w:val="clear" w:color="auto" w:fill="auto"/>
            <w:noWrap/>
            <w:vAlign w:val="bottom"/>
            <w:hideMark/>
          </w:tcPr>
          <w:p w14:paraId="674A26D6" w14:textId="77777777" w:rsidR="00E50BB5" w:rsidRPr="000E2036" w:rsidRDefault="00E50BB5" w:rsidP="00E50BB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140.2</w:t>
            </w:r>
          </w:p>
        </w:tc>
        <w:tc>
          <w:tcPr>
            <w:tcW w:w="1160" w:type="dxa"/>
            <w:tcBorders>
              <w:top w:val="nil"/>
              <w:left w:val="nil"/>
              <w:bottom w:val="single" w:sz="4" w:space="0" w:color="auto"/>
              <w:right w:val="single" w:sz="4" w:space="0" w:color="auto"/>
            </w:tcBorders>
            <w:shd w:val="clear" w:color="auto" w:fill="auto"/>
            <w:noWrap/>
            <w:vAlign w:val="bottom"/>
            <w:hideMark/>
          </w:tcPr>
          <w:p w14:paraId="22C0DD8D" w14:textId="77777777" w:rsidR="00E50BB5" w:rsidRPr="000E2036" w:rsidRDefault="00E50BB5" w:rsidP="00E50BB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169.3</w:t>
            </w:r>
          </w:p>
        </w:tc>
        <w:tc>
          <w:tcPr>
            <w:tcW w:w="1160" w:type="dxa"/>
            <w:tcBorders>
              <w:top w:val="nil"/>
              <w:left w:val="nil"/>
              <w:bottom w:val="single" w:sz="4" w:space="0" w:color="auto"/>
              <w:right w:val="single" w:sz="4" w:space="0" w:color="auto"/>
            </w:tcBorders>
            <w:shd w:val="clear" w:color="auto" w:fill="auto"/>
            <w:noWrap/>
            <w:vAlign w:val="bottom"/>
            <w:hideMark/>
          </w:tcPr>
          <w:p w14:paraId="5C001CB9" w14:textId="20DDEFED" w:rsidR="00E50BB5" w:rsidRPr="000E2036" w:rsidRDefault="007054A3" w:rsidP="00643336">
            <w:pPr>
              <w:jc w:val="right"/>
              <w:rPr>
                <w:rFonts w:ascii="Arial" w:eastAsia="SimSun" w:hAnsi="Arial" w:cs="Arial"/>
                <w:color w:val="000000"/>
                <w:kern w:val="0"/>
                <w:lang w:val="en-GB" w:eastAsia="zh-CN"/>
              </w:rPr>
            </w:pPr>
            <w:r w:rsidRPr="007054A3">
              <w:rPr>
                <w:rFonts w:ascii="Arial" w:eastAsia="SimSun" w:hAnsi="Arial" w:cs="Arial"/>
                <w:color w:val="000000"/>
                <w:kern w:val="0"/>
                <w:lang w:val="en-GB" w:eastAsia="zh-CN"/>
              </w:rPr>
              <w:t>−</w:t>
            </w:r>
            <w:r w:rsidR="00E50BB5" w:rsidRPr="000E2036">
              <w:rPr>
                <w:rFonts w:ascii="Arial" w:eastAsia="SimSun" w:hAnsi="Arial" w:cs="Arial"/>
                <w:color w:val="000000"/>
                <w:kern w:val="0"/>
                <w:lang w:val="en-GB" w:eastAsia="zh-CN"/>
              </w:rPr>
              <w:t>29.1</w:t>
            </w:r>
          </w:p>
        </w:tc>
        <w:tc>
          <w:tcPr>
            <w:tcW w:w="1540" w:type="dxa"/>
            <w:tcBorders>
              <w:top w:val="nil"/>
              <w:left w:val="nil"/>
              <w:bottom w:val="single" w:sz="4" w:space="0" w:color="auto"/>
              <w:right w:val="single" w:sz="4" w:space="0" w:color="auto"/>
            </w:tcBorders>
            <w:shd w:val="clear" w:color="auto" w:fill="auto"/>
            <w:noWrap/>
            <w:vAlign w:val="bottom"/>
            <w:hideMark/>
          </w:tcPr>
          <w:p w14:paraId="0B5ACF62" w14:textId="1E563D21" w:rsidR="00E50BB5" w:rsidRPr="000E2036" w:rsidRDefault="007054A3" w:rsidP="00643336">
            <w:pPr>
              <w:jc w:val="right"/>
              <w:rPr>
                <w:rFonts w:ascii="Arial" w:eastAsia="SimSun" w:hAnsi="Arial" w:cs="Arial"/>
                <w:color w:val="000000"/>
                <w:kern w:val="0"/>
                <w:lang w:val="en-GB" w:eastAsia="zh-CN"/>
              </w:rPr>
            </w:pPr>
            <w:r w:rsidRPr="007054A3">
              <w:rPr>
                <w:rFonts w:ascii="Arial" w:eastAsia="SimSun" w:hAnsi="Arial" w:cs="Arial"/>
                <w:color w:val="000000"/>
                <w:kern w:val="0"/>
                <w:lang w:val="en-GB" w:eastAsia="zh-CN"/>
              </w:rPr>
              <w:t>−</w:t>
            </w:r>
            <w:r w:rsidR="00E50BB5" w:rsidRPr="000E2036">
              <w:rPr>
                <w:rFonts w:ascii="Arial" w:eastAsia="SimSun" w:hAnsi="Arial" w:cs="Arial"/>
                <w:color w:val="000000"/>
                <w:kern w:val="0"/>
                <w:lang w:val="en-GB" w:eastAsia="zh-CN"/>
              </w:rPr>
              <w:t>17.2</w:t>
            </w:r>
          </w:p>
        </w:tc>
      </w:tr>
      <w:tr w:rsidR="00E50BB5" w:rsidRPr="000E2036" w14:paraId="2D486F09" w14:textId="77777777" w:rsidTr="00E50BB5">
        <w:trPr>
          <w:trHeight w:val="24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6D0A9575" w14:textId="77777777" w:rsidR="00E50BB5" w:rsidRPr="000E2036" w:rsidRDefault="00E50BB5" w:rsidP="00E50BB5">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Profit (Loss) Attributable to Owners of the Parent</w:t>
            </w:r>
          </w:p>
        </w:tc>
        <w:tc>
          <w:tcPr>
            <w:tcW w:w="1160" w:type="dxa"/>
            <w:tcBorders>
              <w:top w:val="nil"/>
              <w:left w:val="nil"/>
              <w:bottom w:val="single" w:sz="4" w:space="0" w:color="auto"/>
              <w:right w:val="single" w:sz="4" w:space="0" w:color="auto"/>
            </w:tcBorders>
            <w:shd w:val="clear" w:color="auto" w:fill="auto"/>
            <w:noWrap/>
            <w:vAlign w:val="bottom"/>
            <w:hideMark/>
          </w:tcPr>
          <w:p w14:paraId="4A14A30A" w14:textId="10C9E5A0" w:rsidR="00E50BB5" w:rsidRPr="000E2036" w:rsidRDefault="007054A3"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E50BB5" w:rsidRPr="000E2036">
              <w:rPr>
                <w:rFonts w:ascii="Arial" w:eastAsia="SimSun" w:hAnsi="Arial" w:cs="Arial"/>
                <w:color w:val="000000"/>
                <w:kern w:val="0"/>
                <w:lang w:val="en-GB" w:eastAsia="zh-CN"/>
              </w:rPr>
              <w:t>43.7</w:t>
            </w:r>
          </w:p>
        </w:tc>
        <w:tc>
          <w:tcPr>
            <w:tcW w:w="1160" w:type="dxa"/>
            <w:tcBorders>
              <w:top w:val="nil"/>
              <w:left w:val="nil"/>
              <w:bottom w:val="single" w:sz="4" w:space="0" w:color="auto"/>
              <w:right w:val="single" w:sz="4" w:space="0" w:color="auto"/>
            </w:tcBorders>
            <w:shd w:val="clear" w:color="auto" w:fill="auto"/>
            <w:noWrap/>
            <w:vAlign w:val="bottom"/>
            <w:hideMark/>
          </w:tcPr>
          <w:p w14:paraId="14BF8217" w14:textId="77777777" w:rsidR="00E50BB5" w:rsidRPr="000E2036" w:rsidRDefault="00E50BB5" w:rsidP="00E50BB5">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67.5</w:t>
            </w:r>
          </w:p>
        </w:tc>
        <w:tc>
          <w:tcPr>
            <w:tcW w:w="1160" w:type="dxa"/>
            <w:tcBorders>
              <w:top w:val="nil"/>
              <w:left w:val="nil"/>
              <w:bottom w:val="single" w:sz="4" w:space="0" w:color="auto"/>
              <w:right w:val="single" w:sz="4" w:space="0" w:color="auto"/>
            </w:tcBorders>
            <w:shd w:val="clear" w:color="auto" w:fill="auto"/>
            <w:noWrap/>
            <w:vAlign w:val="bottom"/>
            <w:hideMark/>
          </w:tcPr>
          <w:p w14:paraId="11EE5C76" w14:textId="0480602B" w:rsidR="00E50BB5" w:rsidRPr="000E2036" w:rsidRDefault="007054A3" w:rsidP="00643336">
            <w:pPr>
              <w:jc w:val="right"/>
              <w:rPr>
                <w:rFonts w:ascii="Arial" w:eastAsia="SimSun" w:hAnsi="Arial" w:cs="Arial"/>
                <w:color w:val="000000"/>
                <w:kern w:val="0"/>
                <w:lang w:val="en-GB" w:eastAsia="zh-CN"/>
              </w:rPr>
            </w:pPr>
            <w:r w:rsidRPr="007054A3">
              <w:rPr>
                <w:rFonts w:ascii="Arial" w:eastAsia="SimSun" w:hAnsi="Arial" w:cs="Arial"/>
                <w:color w:val="000000"/>
                <w:kern w:val="0"/>
                <w:lang w:val="en-GB" w:eastAsia="zh-CN"/>
              </w:rPr>
              <w:t>−</w:t>
            </w:r>
            <w:r w:rsidR="00E50BB5" w:rsidRPr="000E2036">
              <w:rPr>
                <w:rFonts w:ascii="Arial" w:eastAsia="SimSun" w:hAnsi="Arial" w:cs="Arial"/>
                <w:color w:val="000000"/>
                <w:kern w:val="0"/>
                <w:lang w:val="en-GB" w:eastAsia="zh-CN"/>
              </w:rPr>
              <w:t>111.2</w:t>
            </w:r>
          </w:p>
        </w:tc>
        <w:tc>
          <w:tcPr>
            <w:tcW w:w="1540" w:type="dxa"/>
            <w:tcBorders>
              <w:top w:val="nil"/>
              <w:left w:val="nil"/>
              <w:bottom w:val="single" w:sz="4" w:space="0" w:color="auto"/>
              <w:right w:val="single" w:sz="4" w:space="0" w:color="auto"/>
            </w:tcBorders>
            <w:shd w:val="clear" w:color="auto" w:fill="auto"/>
            <w:noWrap/>
            <w:vAlign w:val="bottom"/>
            <w:hideMark/>
          </w:tcPr>
          <w:p w14:paraId="005DE5E0" w14:textId="379328BD" w:rsidR="00E50BB5" w:rsidRPr="000E2036" w:rsidRDefault="007054A3" w:rsidP="00643336">
            <w:pPr>
              <w:jc w:val="right"/>
              <w:rPr>
                <w:rFonts w:ascii="Arial" w:eastAsia="SimSun" w:hAnsi="Arial" w:cs="Arial"/>
                <w:color w:val="000000"/>
                <w:kern w:val="0"/>
                <w:lang w:val="en-GB" w:eastAsia="zh-CN"/>
              </w:rPr>
            </w:pPr>
            <w:r w:rsidRPr="007054A3">
              <w:rPr>
                <w:rFonts w:ascii="Arial" w:eastAsia="SimSun" w:hAnsi="Arial" w:cs="Arial"/>
                <w:color w:val="000000"/>
                <w:kern w:val="0"/>
                <w:lang w:val="en-GB" w:eastAsia="zh-CN"/>
              </w:rPr>
              <w:t>−</w:t>
            </w:r>
            <w:r w:rsidR="00E50BB5" w:rsidRPr="000E2036">
              <w:rPr>
                <w:rFonts w:ascii="Arial" w:eastAsia="SimSun" w:hAnsi="Arial" w:cs="Arial"/>
                <w:color w:val="000000"/>
                <w:kern w:val="0"/>
                <w:lang w:val="en-GB" w:eastAsia="zh-CN"/>
              </w:rPr>
              <w:t>164.7</w:t>
            </w:r>
          </w:p>
        </w:tc>
      </w:tr>
    </w:tbl>
    <w:p w14:paraId="6412A026" w14:textId="77777777" w:rsidR="00855B2A" w:rsidRPr="000E2036" w:rsidRDefault="00855B2A" w:rsidP="00E8070D">
      <w:pPr>
        <w:pStyle w:val="BodyTextMain"/>
        <w:rPr>
          <w:lang w:val="en-GB"/>
        </w:rPr>
      </w:pPr>
    </w:p>
    <w:p w14:paraId="3E009EB8" w14:textId="03B51E90" w:rsidR="00AF7B9D" w:rsidRPr="000E2036" w:rsidRDefault="00AF7B9D" w:rsidP="00E8070D">
      <w:pPr>
        <w:pStyle w:val="BodyTextMain"/>
        <w:rPr>
          <w:rFonts w:ascii="Arial" w:hAnsi="Arial" w:cs="Arial"/>
          <w:sz w:val="17"/>
          <w:szCs w:val="17"/>
          <w:lang w:val="en-GB"/>
        </w:rPr>
      </w:pPr>
      <w:r w:rsidRPr="000E2036">
        <w:rPr>
          <w:rFonts w:ascii="Arial" w:hAnsi="Arial" w:cs="Arial"/>
          <w:sz w:val="17"/>
          <w:szCs w:val="17"/>
          <w:lang w:val="en-GB"/>
        </w:rPr>
        <w:t>Note: ¥ = Japanese yen; US$1</w:t>
      </w:r>
      <w:r w:rsidR="007054A3">
        <w:rPr>
          <w:rFonts w:ascii="Arial" w:hAnsi="Arial" w:cs="Arial"/>
          <w:sz w:val="17"/>
          <w:szCs w:val="17"/>
          <w:lang w:val="en-GB"/>
        </w:rPr>
        <w:t>.00</w:t>
      </w:r>
      <w:r w:rsidRPr="000E2036">
        <w:rPr>
          <w:rFonts w:ascii="Arial" w:hAnsi="Arial" w:cs="Arial"/>
          <w:sz w:val="17"/>
          <w:szCs w:val="17"/>
          <w:lang w:val="en-GB"/>
        </w:rPr>
        <w:t xml:space="preserve"> = ¥114.37 on December 1, 2016</w:t>
      </w:r>
      <w:r w:rsidR="007054A3">
        <w:rPr>
          <w:rFonts w:ascii="Arial" w:hAnsi="Arial" w:cs="Arial"/>
          <w:sz w:val="17"/>
          <w:szCs w:val="17"/>
          <w:lang w:val="en-GB"/>
        </w:rPr>
        <w:t>.</w:t>
      </w:r>
    </w:p>
    <w:p w14:paraId="1ADAD081" w14:textId="238EAC69" w:rsidR="002723AF" w:rsidRPr="000E2036" w:rsidRDefault="00855B2A" w:rsidP="00E8070D">
      <w:pPr>
        <w:pStyle w:val="BodyTextMain"/>
        <w:rPr>
          <w:rFonts w:ascii="Arial" w:hAnsi="Arial" w:cs="Arial"/>
          <w:sz w:val="17"/>
          <w:szCs w:val="17"/>
          <w:lang w:val="en-GB"/>
        </w:rPr>
      </w:pPr>
      <w:r w:rsidRPr="000E2036">
        <w:rPr>
          <w:rFonts w:ascii="Arial" w:hAnsi="Arial" w:cs="Arial"/>
          <w:sz w:val="17"/>
          <w:szCs w:val="17"/>
          <w:lang w:val="en-GB"/>
        </w:rPr>
        <w:t>Source: Created by the case authors based on Toyota Tsusho Corporation</w:t>
      </w:r>
      <w:r w:rsidR="00150192" w:rsidRPr="000E2036">
        <w:rPr>
          <w:rFonts w:ascii="Arial" w:hAnsi="Arial" w:cs="Arial"/>
          <w:sz w:val="17"/>
          <w:szCs w:val="17"/>
          <w:lang w:val="en-GB"/>
        </w:rPr>
        <w:t>,</w:t>
      </w:r>
      <w:r w:rsidRPr="000E2036">
        <w:rPr>
          <w:rFonts w:ascii="Arial" w:hAnsi="Arial" w:cs="Arial"/>
          <w:sz w:val="17"/>
          <w:szCs w:val="17"/>
          <w:lang w:val="en-GB"/>
        </w:rPr>
        <w:t xml:space="preserve"> </w:t>
      </w:r>
      <w:r w:rsidRPr="002C1C44">
        <w:rPr>
          <w:rFonts w:ascii="Arial" w:hAnsi="Arial" w:cs="Arial"/>
          <w:i/>
          <w:sz w:val="17"/>
          <w:szCs w:val="17"/>
          <w:lang w:val="en-GB"/>
        </w:rPr>
        <w:t>Integrated Report 2016</w:t>
      </w:r>
      <w:r w:rsidR="007054A3" w:rsidRPr="000E2036">
        <w:rPr>
          <w:rFonts w:ascii="Arial" w:hAnsi="Arial" w:cs="Arial"/>
          <w:sz w:val="17"/>
          <w:szCs w:val="17"/>
          <w:lang w:val="en-GB"/>
        </w:rPr>
        <w:t>, 18</w:t>
      </w:r>
      <w:r w:rsidRPr="000E2036">
        <w:rPr>
          <w:rFonts w:ascii="Arial" w:hAnsi="Arial" w:cs="Arial"/>
          <w:sz w:val="17"/>
          <w:szCs w:val="17"/>
          <w:lang w:val="en-GB"/>
        </w:rPr>
        <w:t>, May 6, 2016, accessed September 19, 2017, www.toyota-tsusho.com/english/ir/pdf/library/integrated-report/ar2016e_all.pdf.</w:t>
      </w:r>
    </w:p>
    <w:p w14:paraId="4B33FEA1" w14:textId="2E8B073B" w:rsidR="00D926E7" w:rsidRPr="000E2036" w:rsidRDefault="002723AF" w:rsidP="002723AF">
      <w:pPr>
        <w:spacing w:after="200" w:line="276" w:lineRule="auto"/>
        <w:rPr>
          <w:rFonts w:ascii="Arial" w:hAnsi="Arial" w:cs="Arial"/>
          <w:sz w:val="17"/>
          <w:szCs w:val="17"/>
          <w:lang w:val="en-GB"/>
        </w:rPr>
      </w:pPr>
      <w:r w:rsidRPr="000E2036">
        <w:rPr>
          <w:rFonts w:ascii="Arial" w:hAnsi="Arial" w:cs="Arial"/>
          <w:sz w:val="17"/>
          <w:szCs w:val="17"/>
          <w:lang w:val="en-GB"/>
        </w:rPr>
        <w:br w:type="page"/>
      </w:r>
    </w:p>
    <w:p w14:paraId="2CA5F655" w14:textId="7B49A171" w:rsidR="001D3CE4" w:rsidRPr="000E2036" w:rsidRDefault="001D3CE4" w:rsidP="00290B67">
      <w:pPr>
        <w:pStyle w:val="BodyTextMain"/>
        <w:jc w:val="center"/>
        <w:rPr>
          <w:rFonts w:ascii="Arial" w:hAnsi="Arial"/>
          <w:b/>
          <w:caps/>
          <w:sz w:val="20"/>
          <w:szCs w:val="20"/>
          <w:lang w:val="en-GB" w:eastAsia="zh-CN"/>
        </w:rPr>
      </w:pPr>
      <w:r w:rsidRPr="000E2036">
        <w:rPr>
          <w:rFonts w:ascii="Arial" w:hAnsi="Arial"/>
          <w:b/>
          <w:caps/>
          <w:sz w:val="20"/>
          <w:szCs w:val="20"/>
          <w:lang w:val="en-GB" w:eastAsia="zh-CN"/>
        </w:rPr>
        <w:lastRenderedPageBreak/>
        <w:t xml:space="preserve">Exhibit 9: </w:t>
      </w:r>
      <w:r w:rsidR="00290B67" w:rsidRPr="000E2036">
        <w:rPr>
          <w:rFonts w:ascii="Arial" w:hAnsi="Arial"/>
          <w:b/>
          <w:caps/>
          <w:sz w:val="20"/>
          <w:szCs w:val="20"/>
          <w:lang w:val="en-GB" w:eastAsia="zh-CN"/>
        </w:rPr>
        <w:t xml:space="preserve">FACTORS CONTRIBUTING TOYOTA TSUSHO </w:t>
      </w:r>
      <w:r w:rsidR="00AF7B9D" w:rsidRPr="000E2036">
        <w:rPr>
          <w:rFonts w:ascii="Arial" w:hAnsi="Arial"/>
          <w:b/>
          <w:caps/>
          <w:sz w:val="20"/>
          <w:szCs w:val="20"/>
          <w:lang w:val="en-GB" w:eastAsia="zh-CN"/>
        </w:rPr>
        <w:t xml:space="preserve">Corporation </w:t>
      </w:r>
      <w:r w:rsidR="00653503">
        <w:rPr>
          <w:rFonts w:ascii="Arial" w:hAnsi="Arial"/>
          <w:b/>
          <w:caps/>
          <w:sz w:val="20"/>
          <w:szCs w:val="20"/>
          <w:lang w:val="en-GB" w:eastAsia="zh-CN"/>
        </w:rPr>
        <w:t xml:space="preserve">Losses </w:t>
      </w:r>
      <w:r w:rsidR="00290B67" w:rsidRPr="000E2036">
        <w:rPr>
          <w:rFonts w:ascii="Arial" w:hAnsi="Arial"/>
          <w:b/>
          <w:caps/>
          <w:sz w:val="20"/>
          <w:szCs w:val="20"/>
          <w:lang w:val="en-GB" w:eastAsia="zh-CN"/>
        </w:rPr>
        <w:t>IN 2016</w:t>
      </w:r>
    </w:p>
    <w:p w14:paraId="36CDA3BD" w14:textId="77777777" w:rsidR="001D3CE4" w:rsidRPr="000E2036" w:rsidRDefault="001D3CE4" w:rsidP="00E8070D">
      <w:pPr>
        <w:pStyle w:val="BodyTextMain"/>
        <w:rPr>
          <w:lang w:val="en-GB"/>
        </w:rPr>
      </w:pPr>
    </w:p>
    <w:tbl>
      <w:tblPr>
        <w:tblW w:w="9340" w:type="dxa"/>
        <w:tblInd w:w="93" w:type="dxa"/>
        <w:tblLook w:val="04A0" w:firstRow="1" w:lastRow="0" w:firstColumn="1" w:lastColumn="0" w:noHBand="0" w:noVBand="1"/>
      </w:tblPr>
      <w:tblGrid>
        <w:gridCol w:w="2640"/>
        <w:gridCol w:w="3020"/>
        <w:gridCol w:w="3680"/>
      </w:tblGrid>
      <w:tr w:rsidR="00D926E7" w:rsidRPr="000E2036" w14:paraId="17F90B1A" w14:textId="77777777" w:rsidTr="00D926E7">
        <w:trPr>
          <w:trHeight w:val="480"/>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BF15F9" w14:textId="77777777" w:rsidR="00D926E7" w:rsidRPr="000E2036" w:rsidRDefault="00D926E7" w:rsidP="00D926E7">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Category</w:t>
            </w:r>
          </w:p>
        </w:tc>
        <w:tc>
          <w:tcPr>
            <w:tcW w:w="3020" w:type="dxa"/>
            <w:tcBorders>
              <w:top w:val="single" w:sz="4" w:space="0" w:color="auto"/>
              <w:left w:val="nil"/>
              <w:bottom w:val="single" w:sz="4" w:space="0" w:color="auto"/>
              <w:right w:val="single" w:sz="4" w:space="0" w:color="auto"/>
            </w:tcBorders>
            <w:shd w:val="clear" w:color="auto" w:fill="auto"/>
            <w:vAlign w:val="center"/>
            <w:hideMark/>
          </w:tcPr>
          <w:p w14:paraId="53BAB86A" w14:textId="77777777" w:rsidR="00D926E7" w:rsidRPr="000E2036" w:rsidRDefault="00D926E7" w:rsidP="00D926E7">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Description</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14:paraId="3D4194DF" w14:textId="2FDD3730" w:rsidR="00D926E7" w:rsidRPr="000E2036" w:rsidRDefault="00D926E7" w:rsidP="00D926E7">
            <w:pPr>
              <w:jc w:val="cente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Impact on net income attributable to owners of the parent (</w:t>
            </w:r>
            <w:r w:rsidR="00150192" w:rsidRPr="000E2036">
              <w:rPr>
                <w:rFonts w:ascii="Arial" w:eastAsia="SimSun" w:hAnsi="Arial" w:cs="Arial"/>
                <w:b/>
                <w:bCs/>
                <w:color w:val="000000"/>
                <w:kern w:val="0"/>
                <w:lang w:val="en-GB" w:eastAsia="zh-CN"/>
              </w:rPr>
              <w:t>in ¥ b</w:t>
            </w:r>
            <w:r w:rsidRPr="000E2036">
              <w:rPr>
                <w:rFonts w:ascii="Arial" w:eastAsia="SimSun" w:hAnsi="Arial" w:cs="Arial"/>
                <w:b/>
                <w:bCs/>
                <w:color w:val="000000"/>
                <w:kern w:val="0"/>
                <w:lang w:val="en-GB" w:eastAsia="zh-CN"/>
              </w:rPr>
              <w:t>illion)</w:t>
            </w:r>
          </w:p>
        </w:tc>
      </w:tr>
      <w:tr w:rsidR="00D926E7" w:rsidRPr="000E2036" w14:paraId="244D7BBF" w14:textId="77777777" w:rsidTr="00D926E7">
        <w:trPr>
          <w:trHeight w:val="48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482BA0FD" w14:textId="77777777" w:rsidR="00D926E7" w:rsidRPr="000E2036" w:rsidRDefault="00D926E7" w:rsidP="00D926E7">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Resource businesses</w:t>
            </w:r>
          </w:p>
        </w:tc>
        <w:tc>
          <w:tcPr>
            <w:tcW w:w="3020" w:type="dxa"/>
            <w:tcBorders>
              <w:top w:val="nil"/>
              <w:left w:val="nil"/>
              <w:bottom w:val="single" w:sz="4" w:space="0" w:color="auto"/>
              <w:right w:val="single" w:sz="4" w:space="0" w:color="auto"/>
            </w:tcBorders>
            <w:shd w:val="clear" w:color="auto" w:fill="auto"/>
            <w:vAlign w:val="center"/>
            <w:hideMark/>
          </w:tcPr>
          <w:p w14:paraId="4CCBDAC2" w14:textId="549AEFB9" w:rsidR="00D926E7" w:rsidRPr="000E2036" w:rsidRDefault="00D926E7" w:rsidP="00D926E7">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Revaluation of Australian and Canadian gas businesses</w:t>
            </w:r>
            <w:r w:rsidR="00653503">
              <w:rPr>
                <w:rFonts w:ascii="Arial" w:eastAsia="SimSun" w:hAnsi="Arial" w:cs="Arial"/>
                <w:color w:val="000000"/>
                <w:kern w:val="0"/>
                <w:lang w:val="en-GB" w:eastAsia="zh-CN"/>
              </w:rPr>
              <w:t xml:space="preserve"> and other changes</w:t>
            </w:r>
          </w:p>
        </w:tc>
        <w:tc>
          <w:tcPr>
            <w:tcW w:w="3680" w:type="dxa"/>
            <w:tcBorders>
              <w:top w:val="nil"/>
              <w:left w:val="nil"/>
              <w:bottom w:val="single" w:sz="4" w:space="0" w:color="auto"/>
              <w:right w:val="single" w:sz="4" w:space="0" w:color="auto"/>
            </w:tcBorders>
            <w:shd w:val="clear" w:color="auto" w:fill="auto"/>
            <w:vAlign w:val="center"/>
            <w:hideMark/>
          </w:tcPr>
          <w:p w14:paraId="43941DF1" w14:textId="41EE192F" w:rsidR="00D926E7" w:rsidRPr="000E2036" w:rsidRDefault="007054A3" w:rsidP="00643336">
            <w:pPr>
              <w:jc w:val="center"/>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D926E7" w:rsidRPr="000E2036">
              <w:rPr>
                <w:rFonts w:ascii="Arial" w:eastAsia="SimSun" w:hAnsi="Arial" w:cs="Arial"/>
                <w:color w:val="000000"/>
                <w:kern w:val="0"/>
                <w:lang w:val="en-GB" w:eastAsia="zh-CN"/>
              </w:rPr>
              <w:t xml:space="preserve">45 </w:t>
            </w:r>
          </w:p>
        </w:tc>
      </w:tr>
      <w:tr w:rsidR="00D926E7" w:rsidRPr="000E2036" w14:paraId="75CE3375" w14:textId="77777777" w:rsidTr="00D926E7">
        <w:trPr>
          <w:trHeight w:val="72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4B911605" w14:textId="77777777" w:rsidR="00D926E7" w:rsidRPr="000E2036" w:rsidRDefault="00D926E7" w:rsidP="00D926E7">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Non-resource businesses</w:t>
            </w:r>
          </w:p>
        </w:tc>
        <w:tc>
          <w:tcPr>
            <w:tcW w:w="3020" w:type="dxa"/>
            <w:tcBorders>
              <w:top w:val="nil"/>
              <w:left w:val="nil"/>
              <w:bottom w:val="single" w:sz="4" w:space="0" w:color="auto"/>
              <w:right w:val="single" w:sz="4" w:space="0" w:color="auto"/>
            </w:tcBorders>
            <w:shd w:val="clear" w:color="auto" w:fill="auto"/>
            <w:vAlign w:val="center"/>
            <w:hideMark/>
          </w:tcPr>
          <w:p w14:paraId="18068A2C" w14:textId="56EB6A64" w:rsidR="00D926E7" w:rsidRPr="000E2036" w:rsidRDefault="00D926E7" w:rsidP="00D926E7">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Losses on liquidation of subsidiaries and affiliates, asset impairment losses, </w:t>
            </w:r>
            <w:r w:rsidR="00653503">
              <w:rPr>
                <w:rFonts w:ascii="Arial" w:eastAsia="SimSun" w:hAnsi="Arial" w:cs="Arial"/>
                <w:color w:val="000000"/>
                <w:kern w:val="0"/>
                <w:lang w:val="en-GB" w:eastAsia="zh-CN"/>
              </w:rPr>
              <w:t>and other losses</w:t>
            </w:r>
          </w:p>
        </w:tc>
        <w:tc>
          <w:tcPr>
            <w:tcW w:w="3680" w:type="dxa"/>
            <w:tcBorders>
              <w:top w:val="nil"/>
              <w:left w:val="nil"/>
              <w:bottom w:val="single" w:sz="4" w:space="0" w:color="auto"/>
              <w:right w:val="single" w:sz="4" w:space="0" w:color="auto"/>
            </w:tcBorders>
            <w:shd w:val="clear" w:color="auto" w:fill="auto"/>
            <w:vAlign w:val="center"/>
            <w:hideMark/>
          </w:tcPr>
          <w:p w14:paraId="4DEF70FB" w14:textId="169A4F59" w:rsidR="00D926E7" w:rsidRPr="000E2036" w:rsidRDefault="007054A3" w:rsidP="00643336">
            <w:pPr>
              <w:jc w:val="center"/>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D926E7" w:rsidRPr="000E2036">
              <w:rPr>
                <w:rFonts w:ascii="Arial" w:eastAsia="SimSun" w:hAnsi="Arial" w:cs="Arial"/>
                <w:color w:val="000000"/>
                <w:kern w:val="0"/>
                <w:lang w:val="en-GB" w:eastAsia="zh-CN"/>
              </w:rPr>
              <w:t xml:space="preserve">11 </w:t>
            </w:r>
          </w:p>
        </w:tc>
      </w:tr>
      <w:tr w:rsidR="00D926E7" w:rsidRPr="000E2036" w14:paraId="471EB061" w14:textId="77777777" w:rsidTr="00D926E7">
        <w:trPr>
          <w:trHeight w:val="240"/>
        </w:trPr>
        <w:tc>
          <w:tcPr>
            <w:tcW w:w="56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990D63" w14:textId="77777777" w:rsidR="00D926E7" w:rsidRPr="000E2036" w:rsidRDefault="00D926E7" w:rsidP="00D926E7">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Write-down of deferred tax assets</w:t>
            </w:r>
          </w:p>
        </w:tc>
        <w:tc>
          <w:tcPr>
            <w:tcW w:w="3680" w:type="dxa"/>
            <w:tcBorders>
              <w:top w:val="nil"/>
              <w:left w:val="nil"/>
              <w:bottom w:val="single" w:sz="4" w:space="0" w:color="auto"/>
              <w:right w:val="single" w:sz="4" w:space="0" w:color="auto"/>
            </w:tcBorders>
            <w:shd w:val="clear" w:color="auto" w:fill="auto"/>
            <w:vAlign w:val="center"/>
            <w:hideMark/>
          </w:tcPr>
          <w:p w14:paraId="44A3486F" w14:textId="71299810" w:rsidR="00D926E7" w:rsidRPr="000E2036" w:rsidRDefault="007054A3" w:rsidP="00643336">
            <w:pPr>
              <w:jc w:val="center"/>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D926E7" w:rsidRPr="000E2036">
              <w:rPr>
                <w:rFonts w:ascii="Arial" w:eastAsia="SimSun" w:hAnsi="Arial" w:cs="Arial"/>
                <w:color w:val="000000"/>
                <w:kern w:val="0"/>
                <w:lang w:val="en-GB" w:eastAsia="zh-CN"/>
              </w:rPr>
              <w:t xml:space="preserve">23 </w:t>
            </w:r>
          </w:p>
        </w:tc>
      </w:tr>
      <w:tr w:rsidR="00D926E7" w:rsidRPr="000E2036" w14:paraId="48AD4DFB" w14:textId="77777777" w:rsidTr="00D926E7">
        <w:trPr>
          <w:trHeight w:val="240"/>
        </w:trPr>
        <w:tc>
          <w:tcPr>
            <w:tcW w:w="56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6152D9" w14:textId="77777777" w:rsidR="00D926E7" w:rsidRPr="000E2036" w:rsidRDefault="00D926E7" w:rsidP="00D926E7">
            <w:pP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Total</w:t>
            </w:r>
          </w:p>
        </w:tc>
        <w:tc>
          <w:tcPr>
            <w:tcW w:w="3680" w:type="dxa"/>
            <w:tcBorders>
              <w:top w:val="nil"/>
              <w:left w:val="nil"/>
              <w:bottom w:val="single" w:sz="4" w:space="0" w:color="auto"/>
              <w:right w:val="single" w:sz="4" w:space="0" w:color="auto"/>
            </w:tcBorders>
            <w:shd w:val="clear" w:color="auto" w:fill="auto"/>
            <w:vAlign w:val="center"/>
            <w:hideMark/>
          </w:tcPr>
          <w:p w14:paraId="53B45853" w14:textId="2C6556C3" w:rsidR="00D926E7" w:rsidRPr="000E2036" w:rsidRDefault="007054A3" w:rsidP="00643336">
            <w:pPr>
              <w:jc w:val="center"/>
              <w:rPr>
                <w:rFonts w:ascii="Arial" w:eastAsia="SimSun" w:hAnsi="Arial" w:cs="Arial"/>
                <w:b/>
                <w:bCs/>
                <w:color w:val="000000"/>
                <w:kern w:val="0"/>
                <w:lang w:val="en-GB" w:eastAsia="zh-CN"/>
              </w:rPr>
            </w:pPr>
            <w:r>
              <w:rPr>
                <w:rFonts w:ascii="Arial" w:eastAsia="SimSun" w:hAnsi="Arial" w:cs="Arial"/>
                <w:b/>
                <w:bCs/>
                <w:color w:val="000000"/>
                <w:kern w:val="0"/>
                <w:lang w:val="en-GB" w:eastAsia="zh-CN"/>
              </w:rPr>
              <w:t>−</w:t>
            </w:r>
            <w:r w:rsidR="00D926E7" w:rsidRPr="000E2036">
              <w:rPr>
                <w:rFonts w:ascii="Arial" w:eastAsia="SimSun" w:hAnsi="Arial" w:cs="Arial"/>
                <w:b/>
                <w:bCs/>
                <w:color w:val="000000"/>
                <w:kern w:val="0"/>
                <w:lang w:val="en-GB" w:eastAsia="zh-CN"/>
              </w:rPr>
              <w:t xml:space="preserve">79 </w:t>
            </w:r>
          </w:p>
        </w:tc>
      </w:tr>
    </w:tbl>
    <w:p w14:paraId="077766D7" w14:textId="77777777" w:rsidR="00290B67" w:rsidRPr="000E2036" w:rsidRDefault="00290B67" w:rsidP="00E8070D">
      <w:pPr>
        <w:pStyle w:val="BodyTextMain"/>
        <w:rPr>
          <w:lang w:val="en-GB"/>
        </w:rPr>
      </w:pPr>
    </w:p>
    <w:p w14:paraId="2B1B1ED6" w14:textId="3AE75688" w:rsidR="00AF7B9D" w:rsidRPr="000E2036" w:rsidRDefault="00AF7B9D" w:rsidP="00E8070D">
      <w:pPr>
        <w:pStyle w:val="BodyTextMain"/>
        <w:rPr>
          <w:rFonts w:ascii="Arial" w:hAnsi="Arial" w:cs="Arial"/>
          <w:sz w:val="17"/>
          <w:szCs w:val="17"/>
          <w:lang w:val="en-GB"/>
        </w:rPr>
      </w:pPr>
      <w:r w:rsidRPr="000E2036">
        <w:rPr>
          <w:rFonts w:ascii="Arial" w:hAnsi="Arial" w:cs="Arial"/>
          <w:sz w:val="17"/>
          <w:szCs w:val="17"/>
          <w:lang w:val="en-GB"/>
        </w:rPr>
        <w:t>Note: ¥ = Japanese yen; US$1</w:t>
      </w:r>
      <w:r w:rsidR="007054A3">
        <w:rPr>
          <w:rFonts w:ascii="Arial" w:hAnsi="Arial" w:cs="Arial"/>
          <w:sz w:val="17"/>
          <w:szCs w:val="17"/>
          <w:lang w:val="en-GB"/>
        </w:rPr>
        <w:t>.00</w:t>
      </w:r>
      <w:r w:rsidRPr="000E2036">
        <w:rPr>
          <w:rFonts w:ascii="Arial" w:hAnsi="Arial" w:cs="Arial"/>
          <w:sz w:val="17"/>
          <w:szCs w:val="17"/>
          <w:lang w:val="en-GB"/>
        </w:rPr>
        <w:t xml:space="preserve"> = ¥114.37 on December 1, 2016</w:t>
      </w:r>
      <w:r w:rsidR="007054A3">
        <w:rPr>
          <w:rFonts w:ascii="Arial" w:hAnsi="Arial" w:cs="Arial"/>
          <w:sz w:val="17"/>
          <w:szCs w:val="17"/>
          <w:lang w:val="en-GB"/>
        </w:rPr>
        <w:t>.</w:t>
      </w:r>
    </w:p>
    <w:p w14:paraId="0AB0E85A" w14:textId="46BE33D5" w:rsidR="00290B67" w:rsidRPr="000E2036" w:rsidRDefault="00290B67" w:rsidP="00E8070D">
      <w:pPr>
        <w:pStyle w:val="BodyTextMain"/>
        <w:rPr>
          <w:rFonts w:ascii="Arial" w:hAnsi="Arial" w:cs="Arial"/>
          <w:sz w:val="17"/>
          <w:szCs w:val="17"/>
          <w:lang w:val="en-GB"/>
        </w:rPr>
      </w:pPr>
      <w:r w:rsidRPr="000E2036">
        <w:rPr>
          <w:rFonts w:ascii="Arial" w:hAnsi="Arial" w:cs="Arial"/>
          <w:sz w:val="17"/>
          <w:szCs w:val="17"/>
          <w:lang w:val="en-GB"/>
        </w:rPr>
        <w:t xml:space="preserve">Source: Created by the case authors based on </w:t>
      </w:r>
      <w:r w:rsidR="007054A3" w:rsidRPr="000E2036">
        <w:rPr>
          <w:rFonts w:ascii="Arial" w:hAnsi="Arial" w:cs="Arial"/>
          <w:sz w:val="17"/>
          <w:szCs w:val="17"/>
          <w:lang w:val="en-GB"/>
        </w:rPr>
        <w:t xml:space="preserve">Toyota Tsusho Corporation, </w:t>
      </w:r>
      <w:r w:rsidRPr="000E2036">
        <w:rPr>
          <w:rFonts w:ascii="Arial" w:hAnsi="Arial" w:cs="Arial"/>
          <w:sz w:val="17"/>
          <w:szCs w:val="17"/>
          <w:lang w:val="en-GB"/>
        </w:rPr>
        <w:t>“</w:t>
      </w:r>
      <w:r w:rsidR="00B55F12" w:rsidRPr="000E2036">
        <w:rPr>
          <w:rFonts w:ascii="Arial" w:hAnsi="Arial" w:cs="Arial"/>
          <w:sz w:val="17"/>
          <w:szCs w:val="17"/>
          <w:lang w:val="en-GB"/>
        </w:rPr>
        <w:t>Notice of Impairment Losses and Revision of Consolidated Full-year Earnings Forecast</w:t>
      </w:r>
      <w:r w:rsidRPr="000E2036">
        <w:rPr>
          <w:rFonts w:ascii="Arial" w:hAnsi="Arial" w:cs="Arial"/>
          <w:sz w:val="17"/>
          <w:szCs w:val="17"/>
          <w:lang w:val="en-GB"/>
        </w:rPr>
        <w:t xml:space="preserve">,” </w:t>
      </w:r>
      <w:r w:rsidR="00B55F12" w:rsidRPr="000E2036">
        <w:rPr>
          <w:rFonts w:ascii="Arial" w:hAnsi="Arial" w:cs="Arial"/>
          <w:sz w:val="17"/>
          <w:szCs w:val="17"/>
          <w:lang w:val="en-GB"/>
        </w:rPr>
        <w:t>April 21</w:t>
      </w:r>
      <w:r w:rsidRPr="000E2036">
        <w:rPr>
          <w:rFonts w:ascii="Arial" w:hAnsi="Arial" w:cs="Arial"/>
          <w:sz w:val="17"/>
          <w:szCs w:val="17"/>
          <w:lang w:val="en-GB"/>
        </w:rPr>
        <w:t xml:space="preserve">, 2016, accessed September 19, 2017, </w:t>
      </w:r>
      <w:r w:rsidR="00B55F12" w:rsidRPr="000E2036">
        <w:rPr>
          <w:rFonts w:ascii="Arial" w:hAnsi="Arial" w:cs="Arial"/>
          <w:sz w:val="17"/>
          <w:szCs w:val="17"/>
          <w:lang w:val="en-GB"/>
        </w:rPr>
        <w:t>www.toyota-tsusho.com/english/press/detail/160421_003756.html</w:t>
      </w:r>
      <w:r w:rsidRPr="000E2036">
        <w:rPr>
          <w:rFonts w:ascii="Arial" w:hAnsi="Arial" w:cs="Arial"/>
          <w:sz w:val="17"/>
          <w:szCs w:val="17"/>
          <w:lang w:val="en-GB"/>
        </w:rPr>
        <w:t>.</w:t>
      </w:r>
    </w:p>
    <w:p w14:paraId="0A0F4BAD" w14:textId="77777777" w:rsidR="001D3CE4" w:rsidRPr="000E2036" w:rsidRDefault="001D3CE4" w:rsidP="00E8070D">
      <w:pPr>
        <w:pStyle w:val="BodyTextMain"/>
        <w:rPr>
          <w:lang w:val="en-GB"/>
        </w:rPr>
      </w:pPr>
    </w:p>
    <w:p w14:paraId="702E251A" w14:textId="77777777" w:rsidR="00F46160" w:rsidRPr="000E2036" w:rsidRDefault="00F46160" w:rsidP="00E8070D">
      <w:pPr>
        <w:pStyle w:val="BodyTextMain"/>
        <w:rPr>
          <w:lang w:val="en-GB"/>
        </w:rPr>
      </w:pPr>
    </w:p>
    <w:p w14:paraId="7786D4FB" w14:textId="5BADC598" w:rsidR="00845CE8" w:rsidRPr="00653503" w:rsidRDefault="001D3CE4" w:rsidP="002723AF">
      <w:pPr>
        <w:pStyle w:val="ExhibitHeading"/>
        <w:rPr>
          <w:lang w:val="en-GB" w:eastAsia="zh-CN"/>
        </w:rPr>
      </w:pPr>
      <w:r w:rsidRPr="00653503">
        <w:rPr>
          <w:lang w:val="en-GB" w:eastAsia="zh-CN"/>
        </w:rPr>
        <w:t>Exhibit 10:</w:t>
      </w:r>
      <w:r w:rsidR="00845CE8" w:rsidRPr="00653503">
        <w:rPr>
          <w:lang w:val="en-GB" w:eastAsia="zh-CN"/>
        </w:rPr>
        <w:t xml:space="preserve"> TOYOTA TSUSHO</w:t>
      </w:r>
      <w:r w:rsidR="00B51722" w:rsidRPr="00653503">
        <w:rPr>
          <w:lang w:val="en-GB" w:eastAsia="zh-CN"/>
        </w:rPr>
        <w:t xml:space="preserve"> Corporation</w:t>
      </w:r>
      <w:r w:rsidR="00845CE8" w:rsidRPr="00653503">
        <w:rPr>
          <w:lang w:val="en-GB" w:eastAsia="zh-CN"/>
        </w:rPr>
        <w:t>’S GLOBAL VISION AND LONG-TERM PLAN FOR 2017</w:t>
      </w:r>
      <w:r w:rsidR="00B51722" w:rsidRPr="00653503">
        <w:rPr>
          <w:lang w:val="en-GB" w:eastAsia="zh-CN"/>
        </w:rPr>
        <w:t>–</w:t>
      </w:r>
      <w:r w:rsidR="00845CE8" w:rsidRPr="00653503">
        <w:rPr>
          <w:lang w:val="en-GB" w:eastAsia="zh-CN"/>
        </w:rPr>
        <w:t>2021</w:t>
      </w:r>
      <w:r w:rsidR="00653503" w:rsidRPr="00653503">
        <w:rPr>
          <w:lang w:val="en-GB" w:eastAsia="zh-CN"/>
        </w:rPr>
        <w:t xml:space="preserve"> </w:t>
      </w:r>
      <w:r w:rsidR="00653503" w:rsidRPr="00653503">
        <w:rPr>
          <w:caps w:val="0"/>
          <w:lang w:val="en-GB" w:eastAsia="zh-CN"/>
        </w:rPr>
        <w:t xml:space="preserve">(IN ¥ </w:t>
      </w:r>
      <w:r w:rsidR="00463A45">
        <w:rPr>
          <w:caps w:val="0"/>
          <w:lang w:val="en-GB" w:eastAsia="zh-CN"/>
        </w:rPr>
        <w:t>BILLION</w:t>
      </w:r>
      <w:r w:rsidR="00653503" w:rsidRPr="00653503">
        <w:rPr>
          <w:caps w:val="0"/>
          <w:lang w:val="en-GB" w:eastAsia="zh-CN"/>
        </w:rPr>
        <w:t>)</w:t>
      </w:r>
      <w:r w:rsidR="00845CE8" w:rsidRPr="00653503">
        <w:rPr>
          <w:lang w:val="en-GB" w:eastAsia="zh-CN"/>
        </w:rPr>
        <w:t xml:space="preserve"> </w:t>
      </w:r>
    </w:p>
    <w:p w14:paraId="03599E50" w14:textId="55D11F16" w:rsidR="001D3CE4" w:rsidRPr="000E2036" w:rsidRDefault="001D3CE4" w:rsidP="00845CE8">
      <w:pPr>
        <w:pStyle w:val="BodyTextMain"/>
        <w:jc w:val="center"/>
        <w:rPr>
          <w:rFonts w:ascii="Arial" w:hAnsi="Arial"/>
          <w:b/>
          <w:caps/>
          <w:sz w:val="20"/>
          <w:szCs w:val="20"/>
          <w:lang w:val="en-GB" w:eastAsia="zh-CN"/>
        </w:rPr>
      </w:pPr>
    </w:p>
    <w:p w14:paraId="07D6E04D" w14:textId="77777777" w:rsidR="001D3CE4" w:rsidRPr="000E2036" w:rsidRDefault="001D3CE4" w:rsidP="00E8070D">
      <w:pPr>
        <w:pStyle w:val="BodyTextMain"/>
        <w:rPr>
          <w:lang w:val="en-GB"/>
        </w:rPr>
      </w:pPr>
    </w:p>
    <w:tbl>
      <w:tblPr>
        <w:tblW w:w="9032" w:type="dxa"/>
        <w:jc w:val="center"/>
        <w:tblLook w:val="04A0" w:firstRow="1" w:lastRow="0" w:firstColumn="1" w:lastColumn="0" w:noHBand="0" w:noVBand="1"/>
      </w:tblPr>
      <w:tblGrid>
        <w:gridCol w:w="3052"/>
        <w:gridCol w:w="1300"/>
        <w:gridCol w:w="1300"/>
        <w:gridCol w:w="1300"/>
        <w:gridCol w:w="2080"/>
      </w:tblGrid>
      <w:tr w:rsidR="00AC1306" w:rsidRPr="000E2036" w14:paraId="12B96FF7" w14:textId="77777777" w:rsidTr="005060FA">
        <w:trPr>
          <w:trHeight w:val="480"/>
          <w:jc w:val="center"/>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5819D" w14:textId="77777777" w:rsidR="00AC1306" w:rsidRPr="000E2036" w:rsidRDefault="00AC1306" w:rsidP="00AC1306">
            <w:pPr>
              <w:rPr>
                <w:rFonts w:ascii="Arial" w:eastAsia="SimSun" w:hAnsi="Arial" w:cs="Arial"/>
                <w:b/>
                <w:bCs/>
                <w:color w:val="000000"/>
                <w:kern w:val="0"/>
                <w:lang w:val="en-GB" w:eastAsia="zh-CN"/>
              </w:rPr>
            </w:pPr>
            <w:r w:rsidRPr="000E2036">
              <w:rPr>
                <w:rFonts w:ascii="Arial" w:eastAsia="SimSun" w:hAnsi="Arial" w:cs="Arial"/>
                <w:b/>
                <w:bCs/>
                <w:color w:val="000000"/>
                <w:kern w:val="0"/>
                <w:lang w:val="en-GB" w:eastAsia="zh-CN"/>
              </w:rPr>
              <w:t>Key Indicators</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5A2A32C9" w14:textId="77777777" w:rsidR="00AC1306" w:rsidRPr="002C1C44" w:rsidRDefault="00AC1306" w:rsidP="00AC1306">
            <w:pPr>
              <w:jc w:val="center"/>
              <w:rPr>
                <w:rFonts w:ascii="Arial" w:eastAsia="SimSun" w:hAnsi="Arial" w:cs="Arial"/>
                <w:b/>
                <w:color w:val="000000"/>
                <w:kern w:val="0"/>
                <w:lang w:val="en-GB" w:eastAsia="zh-CN"/>
              </w:rPr>
            </w:pPr>
            <w:r w:rsidRPr="002C1C44">
              <w:rPr>
                <w:rFonts w:ascii="Arial" w:eastAsia="SimSun" w:hAnsi="Arial" w:cs="Arial"/>
                <w:b/>
                <w:color w:val="000000"/>
                <w:kern w:val="0"/>
                <w:lang w:val="en-GB" w:eastAsia="zh-CN"/>
              </w:rPr>
              <w:t>2015 (Results)</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1FEB1F30" w14:textId="77777777" w:rsidR="00AC1306" w:rsidRPr="002C1C44" w:rsidRDefault="00AC1306" w:rsidP="00AC1306">
            <w:pPr>
              <w:jc w:val="center"/>
              <w:rPr>
                <w:rFonts w:ascii="Arial" w:eastAsia="SimSun" w:hAnsi="Arial" w:cs="Arial"/>
                <w:b/>
                <w:color w:val="000000"/>
                <w:kern w:val="0"/>
                <w:lang w:val="en-GB" w:eastAsia="zh-CN"/>
              </w:rPr>
            </w:pPr>
            <w:r w:rsidRPr="002C1C44">
              <w:rPr>
                <w:rFonts w:ascii="Arial" w:eastAsia="SimSun" w:hAnsi="Arial" w:cs="Arial"/>
                <w:b/>
                <w:color w:val="000000"/>
                <w:kern w:val="0"/>
                <w:lang w:val="en-GB" w:eastAsia="zh-CN"/>
              </w:rPr>
              <w:t>2016 (Results)</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1A1849EF" w14:textId="77777777" w:rsidR="00AC1306" w:rsidRPr="002C1C44" w:rsidRDefault="00AC1306" w:rsidP="00AC1306">
            <w:pPr>
              <w:jc w:val="center"/>
              <w:rPr>
                <w:rFonts w:ascii="Arial" w:eastAsia="SimSun" w:hAnsi="Arial" w:cs="Arial"/>
                <w:b/>
                <w:color w:val="000000"/>
                <w:kern w:val="0"/>
                <w:lang w:val="en-GB" w:eastAsia="zh-CN"/>
              </w:rPr>
            </w:pPr>
            <w:r w:rsidRPr="002C1C44">
              <w:rPr>
                <w:rFonts w:ascii="Arial" w:eastAsia="SimSun" w:hAnsi="Arial" w:cs="Arial"/>
                <w:b/>
                <w:color w:val="000000"/>
                <w:kern w:val="0"/>
                <w:lang w:val="en-GB" w:eastAsia="zh-CN"/>
              </w:rPr>
              <w:t>2017 (Plan)</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14:paraId="30D912F8" w14:textId="77777777" w:rsidR="00AC1306" w:rsidRPr="002C1C44" w:rsidRDefault="00AC1306" w:rsidP="00AC1306">
            <w:pPr>
              <w:jc w:val="center"/>
              <w:rPr>
                <w:rFonts w:ascii="Arial" w:eastAsia="SimSun" w:hAnsi="Arial" w:cs="Arial"/>
                <w:b/>
                <w:color w:val="000000"/>
                <w:kern w:val="0"/>
                <w:lang w:val="en-GB" w:eastAsia="zh-CN"/>
              </w:rPr>
            </w:pPr>
            <w:r w:rsidRPr="002C1C44">
              <w:rPr>
                <w:rFonts w:ascii="Arial" w:eastAsia="SimSun" w:hAnsi="Arial" w:cs="Arial"/>
                <w:b/>
                <w:color w:val="000000"/>
                <w:kern w:val="0"/>
                <w:lang w:val="en-GB" w:eastAsia="zh-CN"/>
              </w:rPr>
              <w:t>2021 (Targets)</w:t>
            </w:r>
          </w:p>
        </w:tc>
      </w:tr>
      <w:tr w:rsidR="00AC1306" w:rsidRPr="000E2036" w14:paraId="274F2702" w14:textId="77777777" w:rsidTr="005060FA">
        <w:trPr>
          <w:trHeight w:val="240"/>
          <w:jc w:val="center"/>
        </w:trPr>
        <w:tc>
          <w:tcPr>
            <w:tcW w:w="3052" w:type="dxa"/>
            <w:tcBorders>
              <w:top w:val="nil"/>
              <w:left w:val="single" w:sz="4" w:space="0" w:color="auto"/>
              <w:bottom w:val="nil"/>
              <w:right w:val="single" w:sz="4" w:space="0" w:color="auto"/>
            </w:tcBorders>
            <w:shd w:val="clear" w:color="auto" w:fill="auto"/>
            <w:vAlign w:val="center"/>
            <w:hideMark/>
          </w:tcPr>
          <w:p w14:paraId="6F090F39" w14:textId="77777777" w:rsidR="00AC1306" w:rsidRPr="000E2036" w:rsidRDefault="00AC1306" w:rsidP="00AC1306">
            <w:pPr>
              <w:rPr>
                <w:rFonts w:ascii="Arial" w:eastAsia="SimSun" w:hAnsi="Arial" w:cs="Arial"/>
                <w:b/>
                <w:bCs/>
                <w:color w:val="000000"/>
                <w:kern w:val="0"/>
                <w:u w:val="single"/>
                <w:lang w:val="en-GB" w:eastAsia="zh-CN"/>
              </w:rPr>
            </w:pPr>
            <w:r w:rsidRPr="000E2036">
              <w:rPr>
                <w:rFonts w:ascii="Arial" w:eastAsia="SimSun" w:hAnsi="Arial" w:cs="Arial"/>
                <w:b/>
                <w:bCs/>
                <w:color w:val="000000"/>
                <w:kern w:val="0"/>
                <w:u w:val="single"/>
                <w:lang w:val="en-GB" w:eastAsia="zh-CN"/>
              </w:rPr>
              <w:t>Revenue and Earnings:</w:t>
            </w:r>
          </w:p>
        </w:tc>
        <w:tc>
          <w:tcPr>
            <w:tcW w:w="1300" w:type="dxa"/>
            <w:tcBorders>
              <w:top w:val="nil"/>
              <w:left w:val="nil"/>
              <w:bottom w:val="nil"/>
              <w:right w:val="single" w:sz="4" w:space="0" w:color="auto"/>
            </w:tcBorders>
            <w:shd w:val="clear" w:color="auto" w:fill="auto"/>
            <w:vAlign w:val="center"/>
            <w:hideMark/>
          </w:tcPr>
          <w:p w14:paraId="4999FC43" w14:textId="0E286DEE" w:rsidR="00AC1306" w:rsidRPr="000E2036" w:rsidRDefault="00AC1306" w:rsidP="00AC1306">
            <w:pPr>
              <w:jc w:val="center"/>
              <w:rPr>
                <w:rFonts w:ascii="Arial" w:eastAsia="SimSun" w:hAnsi="Arial" w:cs="Arial"/>
                <w:color w:val="000000"/>
                <w:kern w:val="0"/>
                <w:lang w:val="en-GB" w:eastAsia="zh-CN"/>
              </w:rPr>
            </w:pPr>
          </w:p>
        </w:tc>
        <w:tc>
          <w:tcPr>
            <w:tcW w:w="1300" w:type="dxa"/>
            <w:tcBorders>
              <w:top w:val="nil"/>
              <w:left w:val="nil"/>
              <w:bottom w:val="nil"/>
              <w:right w:val="single" w:sz="4" w:space="0" w:color="auto"/>
            </w:tcBorders>
            <w:shd w:val="clear" w:color="auto" w:fill="auto"/>
            <w:vAlign w:val="center"/>
            <w:hideMark/>
          </w:tcPr>
          <w:p w14:paraId="336F683D" w14:textId="400DFECE" w:rsidR="00AC1306" w:rsidRPr="000E2036" w:rsidRDefault="00AC1306" w:rsidP="00AC1306">
            <w:pPr>
              <w:jc w:val="center"/>
              <w:rPr>
                <w:rFonts w:ascii="Arial" w:eastAsia="SimSun" w:hAnsi="Arial" w:cs="Arial"/>
                <w:color w:val="000000"/>
                <w:kern w:val="0"/>
                <w:lang w:val="en-GB" w:eastAsia="zh-CN"/>
              </w:rPr>
            </w:pPr>
          </w:p>
        </w:tc>
        <w:tc>
          <w:tcPr>
            <w:tcW w:w="1300" w:type="dxa"/>
            <w:tcBorders>
              <w:top w:val="nil"/>
              <w:left w:val="nil"/>
              <w:bottom w:val="nil"/>
              <w:right w:val="single" w:sz="4" w:space="0" w:color="auto"/>
            </w:tcBorders>
            <w:shd w:val="clear" w:color="auto" w:fill="auto"/>
            <w:vAlign w:val="center"/>
            <w:hideMark/>
          </w:tcPr>
          <w:p w14:paraId="53FEB417" w14:textId="73F4F947" w:rsidR="00AC1306" w:rsidRPr="000E2036" w:rsidRDefault="00AC1306" w:rsidP="00AC1306">
            <w:pPr>
              <w:jc w:val="center"/>
              <w:rPr>
                <w:rFonts w:ascii="Arial" w:eastAsia="SimSun" w:hAnsi="Arial" w:cs="Arial"/>
                <w:color w:val="000000"/>
                <w:kern w:val="0"/>
                <w:lang w:val="en-GB" w:eastAsia="zh-CN"/>
              </w:rPr>
            </w:pPr>
          </w:p>
        </w:tc>
        <w:tc>
          <w:tcPr>
            <w:tcW w:w="2080" w:type="dxa"/>
            <w:tcBorders>
              <w:top w:val="nil"/>
              <w:left w:val="nil"/>
              <w:bottom w:val="nil"/>
              <w:right w:val="single" w:sz="4" w:space="0" w:color="auto"/>
            </w:tcBorders>
            <w:shd w:val="clear" w:color="auto" w:fill="auto"/>
            <w:vAlign w:val="center"/>
            <w:hideMark/>
          </w:tcPr>
          <w:p w14:paraId="6D4FBE94" w14:textId="180C0DD5" w:rsidR="00AC1306" w:rsidRPr="000E2036" w:rsidRDefault="00AC1306" w:rsidP="00AC1306">
            <w:pPr>
              <w:jc w:val="center"/>
              <w:rPr>
                <w:rFonts w:ascii="Arial" w:eastAsia="SimSun" w:hAnsi="Arial" w:cs="Arial"/>
                <w:color w:val="000000"/>
                <w:kern w:val="0"/>
                <w:lang w:val="en-GB" w:eastAsia="zh-CN"/>
              </w:rPr>
            </w:pPr>
          </w:p>
        </w:tc>
      </w:tr>
      <w:tr w:rsidR="00AC1306" w:rsidRPr="000E2036" w14:paraId="6067468E" w14:textId="77777777" w:rsidTr="005060FA">
        <w:trPr>
          <w:trHeight w:val="240"/>
          <w:jc w:val="center"/>
        </w:trPr>
        <w:tc>
          <w:tcPr>
            <w:tcW w:w="3052" w:type="dxa"/>
            <w:tcBorders>
              <w:top w:val="nil"/>
              <w:left w:val="single" w:sz="4" w:space="0" w:color="auto"/>
              <w:bottom w:val="nil"/>
              <w:right w:val="single" w:sz="4" w:space="0" w:color="auto"/>
            </w:tcBorders>
            <w:shd w:val="clear" w:color="auto" w:fill="auto"/>
            <w:vAlign w:val="center"/>
            <w:hideMark/>
          </w:tcPr>
          <w:p w14:paraId="2298394A" w14:textId="77777777" w:rsidR="00AC1306" w:rsidRPr="000E2036" w:rsidRDefault="00AC1306" w:rsidP="00AC1306">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Net sales</w:t>
            </w:r>
          </w:p>
        </w:tc>
        <w:tc>
          <w:tcPr>
            <w:tcW w:w="1300" w:type="dxa"/>
            <w:tcBorders>
              <w:top w:val="nil"/>
              <w:left w:val="nil"/>
              <w:bottom w:val="nil"/>
              <w:right w:val="single" w:sz="4" w:space="0" w:color="auto"/>
            </w:tcBorders>
            <w:shd w:val="clear" w:color="auto" w:fill="auto"/>
            <w:vAlign w:val="center"/>
            <w:hideMark/>
          </w:tcPr>
          <w:p w14:paraId="44DAA340"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8,663.4 </w:t>
            </w:r>
          </w:p>
        </w:tc>
        <w:tc>
          <w:tcPr>
            <w:tcW w:w="1300" w:type="dxa"/>
            <w:tcBorders>
              <w:top w:val="nil"/>
              <w:left w:val="nil"/>
              <w:bottom w:val="nil"/>
              <w:right w:val="single" w:sz="4" w:space="0" w:color="auto"/>
            </w:tcBorders>
            <w:shd w:val="clear" w:color="auto" w:fill="auto"/>
            <w:vAlign w:val="center"/>
            <w:hideMark/>
          </w:tcPr>
          <w:p w14:paraId="12B5A026"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8,170.2 </w:t>
            </w:r>
          </w:p>
        </w:tc>
        <w:tc>
          <w:tcPr>
            <w:tcW w:w="1300" w:type="dxa"/>
            <w:tcBorders>
              <w:top w:val="nil"/>
              <w:left w:val="nil"/>
              <w:bottom w:val="nil"/>
              <w:right w:val="single" w:sz="4" w:space="0" w:color="auto"/>
            </w:tcBorders>
            <w:shd w:val="clear" w:color="auto" w:fill="auto"/>
            <w:vAlign w:val="center"/>
            <w:hideMark/>
          </w:tcPr>
          <w:p w14:paraId="5CCD99BC"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7,300.0 </w:t>
            </w:r>
          </w:p>
        </w:tc>
        <w:tc>
          <w:tcPr>
            <w:tcW w:w="2080" w:type="dxa"/>
            <w:tcBorders>
              <w:top w:val="nil"/>
              <w:left w:val="nil"/>
              <w:bottom w:val="nil"/>
              <w:right w:val="single" w:sz="4" w:space="0" w:color="auto"/>
            </w:tcBorders>
            <w:shd w:val="clear" w:color="auto" w:fill="auto"/>
            <w:vAlign w:val="center"/>
            <w:hideMark/>
          </w:tcPr>
          <w:p w14:paraId="568FA985"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9,400.0 </w:t>
            </w:r>
          </w:p>
        </w:tc>
      </w:tr>
      <w:tr w:rsidR="00AC1306" w:rsidRPr="000E2036" w14:paraId="3CD96583" w14:textId="77777777" w:rsidTr="005060FA">
        <w:trPr>
          <w:trHeight w:val="240"/>
          <w:jc w:val="center"/>
        </w:trPr>
        <w:tc>
          <w:tcPr>
            <w:tcW w:w="3052" w:type="dxa"/>
            <w:tcBorders>
              <w:top w:val="nil"/>
              <w:left w:val="single" w:sz="4" w:space="0" w:color="auto"/>
              <w:bottom w:val="nil"/>
              <w:right w:val="single" w:sz="4" w:space="0" w:color="auto"/>
            </w:tcBorders>
            <w:shd w:val="clear" w:color="auto" w:fill="auto"/>
            <w:vAlign w:val="center"/>
            <w:hideMark/>
          </w:tcPr>
          <w:p w14:paraId="750A9D5C" w14:textId="77777777" w:rsidR="00AC1306" w:rsidRPr="000E2036" w:rsidRDefault="00AC1306" w:rsidP="00AC1306">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Operating income</w:t>
            </w:r>
          </w:p>
        </w:tc>
        <w:tc>
          <w:tcPr>
            <w:tcW w:w="1300" w:type="dxa"/>
            <w:tcBorders>
              <w:top w:val="nil"/>
              <w:left w:val="nil"/>
              <w:bottom w:val="nil"/>
              <w:right w:val="single" w:sz="4" w:space="0" w:color="auto"/>
            </w:tcBorders>
            <w:shd w:val="clear" w:color="auto" w:fill="auto"/>
            <w:vAlign w:val="center"/>
            <w:hideMark/>
          </w:tcPr>
          <w:p w14:paraId="3343C237"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169.4</w:t>
            </w:r>
          </w:p>
        </w:tc>
        <w:tc>
          <w:tcPr>
            <w:tcW w:w="1300" w:type="dxa"/>
            <w:tcBorders>
              <w:top w:val="nil"/>
              <w:left w:val="nil"/>
              <w:bottom w:val="nil"/>
              <w:right w:val="single" w:sz="4" w:space="0" w:color="auto"/>
            </w:tcBorders>
            <w:shd w:val="clear" w:color="auto" w:fill="auto"/>
            <w:vAlign w:val="center"/>
            <w:hideMark/>
          </w:tcPr>
          <w:p w14:paraId="497E921E"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140.2</w:t>
            </w:r>
          </w:p>
        </w:tc>
        <w:tc>
          <w:tcPr>
            <w:tcW w:w="1300" w:type="dxa"/>
            <w:tcBorders>
              <w:top w:val="nil"/>
              <w:left w:val="nil"/>
              <w:bottom w:val="nil"/>
              <w:right w:val="single" w:sz="4" w:space="0" w:color="auto"/>
            </w:tcBorders>
            <w:shd w:val="clear" w:color="auto" w:fill="auto"/>
            <w:vAlign w:val="center"/>
            <w:hideMark/>
          </w:tcPr>
          <w:p w14:paraId="17B87672" w14:textId="0E1A9B8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144.0</w:t>
            </w:r>
          </w:p>
        </w:tc>
        <w:tc>
          <w:tcPr>
            <w:tcW w:w="2080" w:type="dxa"/>
            <w:tcBorders>
              <w:top w:val="nil"/>
              <w:left w:val="nil"/>
              <w:bottom w:val="nil"/>
              <w:right w:val="single" w:sz="4" w:space="0" w:color="auto"/>
            </w:tcBorders>
            <w:shd w:val="clear" w:color="auto" w:fill="auto"/>
            <w:vAlign w:val="center"/>
            <w:hideMark/>
          </w:tcPr>
          <w:p w14:paraId="1AA4BC52" w14:textId="2DCD4C6E"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220.0</w:t>
            </w:r>
          </w:p>
        </w:tc>
      </w:tr>
      <w:tr w:rsidR="00AC1306" w:rsidRPr="000E2036" w14:paraId="1F54746A" w14:textId="77777777" w:rsidTr="005060FA">
        <w:trPr>
          <w:trHeight w:val="480"/>
          <w:jc w:val="center"/>
        </w:trPr>
        <w:tc>
          <w:tcPr>
            <w:tcW w:w="3052" w:type="dxa"/>
            <w:tcBorders>
              <w:top w:val="nil"/>
              <w:left w:val="single" w:sz="4" w:space="0" w:color="auto"/>
              <w:bottom w:val="single" w:sz="4" w:space="0" w:color="auto"/>
              <w:right w:val="single" w:sz="4" w:space="0" w:color="auto"/>
            </w:tcBorders>
            <w:shd w:val="clear" w:color="auto" w:fill="auto"/>
            <w:vAlign w:val="center"/>
            <w:hideMark/>
          </w:tcPr>
          <w:p w14:paraId="7B18369E" w14:textId="77777777" w:rsidR="00AC1306" w:rsidRPr="000E2036" w:rsidRDefault="00AC1306" w:rsidP="00AC1306">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Profit (loss) attributable to owners of the parent</w:t>
            </w:r>
          </w:p>
        </w:tc>
        <w:tc>
          <w:tcPr>
            <w:tcW w:w="1300" w:type="dxa"/>
            <w:tcBorders>
              <w:top w:val="nil"/>
              <w:left w:val="nil"/>
              <w:bottom w:val="single" w:sz="4" w:space="0" w:color="auto"/>
              <w:right w:val="single" w:sz="4" w:space="0" w:color="auto"/>
            </w:tcBorders>
            <w:shd w:val="clear" w:color="auto" w:fill="auto"/>
            <w:vAlign w:val="center"/>
            <w:hideMark/>
          </w:tcPr>
          <w:p w14:paraId="6AF4380B"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67.5</w:t>
            </w:r>
          </w:p>
        </w:tc>
        <w:tc>
          <w:tcPr>
            <w:tcW w:w="1300" w:type="dxa"/>
            <w:tcBorders>
              <w:top w:val="nil"/>
              <w:left w:val="nil"/>
              <w:bottom w:val="single" w:sz="4" w:space="0" w:color="auto"/>
              <w:right w:val="single" w:sz="4" w:space="0" w:color="auto"/>
            </w:tcBorders>
            <w:shd w:val="clear" w:color="auto" w:fill="auto"/>
            <w:vAlign w:val="center"/>
            <w:hideMark/>
          </w:tcPr>
          <w:p w14:paraId="3616E686" w14:textId="22BF1B96" w:rsidR="00AC1306" w:rsidRPr="000E2036" w:rsidRDefault="007054A3"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AC1306" w:rsidRPr="000E2036">
              <w:rPr>
                <w:rFonts w:ascii="Arial" w:eastAsia="SimSun" w:hAnsi="Arial" w:cs="Arial"/>
                <w:color w:val="000000"/>
                <w:kern w:val="0"/>
                <w:lang w:val="en-GB" w:eastAsia="zh-CN"/>
              </w:rPr>
              <w:t>43.7</w:t>
            </w:r>
          </w:p>
        </w:tc>
        <w:tc>
          <w:tcPr>
            <w:tcW w:w="1300" w:type="dxa"/>
            <w:tcBorders>
              <w:top w:val="nil"/>
              <w:left w:val="nil"/>
              <w:bottom w:val="single" w:sz="4" w:space="0" w:color="auto"/>
              <w:right w:val="single" w:sz="4" w:space="0" w:color="auto"/>
            </w:tcBorders>
            <w:shd w:val="clear" w:color="auto" w:fill="auto"/>
            <w:vAlign w:val="center"/>
            <w:hideMark/>
          </w:tcPr>
          <w:p w14:paraId="27966525" w14:textId="0A5C5B8C"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70.0</w:t>
            </w:r>
          </w:p>
        </w:tc>
        <w:tc>
          <w:tcPr>
            <w:tcW w:w="2080" w:type="dxa"/>
            <w:tcBorders>
              <w:top w:val="nil"/>
              <w:left w:val="nil"/>
              <w:bottom w:val="single" w:sz="4" w:space="0" w:color="auto"/>
              <w:right w:val="single" w:sz="4" w:space="0" w:color="auto"/>
            </w:tcBorders>
            <w:shd w:val="clear" w:color="auto" w:fill="auto"/>
            <w:vAlign w:val="center"/>
            <w:hideMark/>
          </w:tcPr>
          <w:p w14:paraId="4FB2F456" w14:textId="37F9EF41"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120.0</w:t>
            </w:r>
          </w:p>
        </w:tc>
      </w:tr>
      <w:tr w:rsidR="00AC1306" w:rsidRPr="000E2036" w14:paraId="00C43B27" w14:textId="77777777" w:rsidTr="005060FA">
        <w:trPr>
          <w:trHeight w:val="240"/>
          <w:jc w:val="center"/>
        </w:trPr>
        <w:tc>
          <w:tcPr>
            <w:tcW w:w="3052" w:type="dxa"/>
            <w:tcBorders>
              <w:top w:val="nil"/>
              <w:left w:val="single" w:sz="4" w:space="0" w:color="auto"/>
              <w:bottom w:val="nil"/>
              <w:right w:val="single" w:sz="4" w:space="0" w:color="auto"/>
            </w:tcBorders>
            <w:shd w:val="clear" w:color="auto" w:fill="auto"/>
            <w:vAlign w:val="center"/>
            <w:hideMark/>
          </w:tcPr>
          <w:p w14:paraId="0602D2F0" w14:textId="77777777" w:rsidR="00AC1306" w:rsidRPr="000E2036" w:rsidRDefault="00AC1306" w:rsidP="00AC1306">
            <w:pPr>
              <w:rPr>
                <w:rFonts w:ascii="Arial" w:eastAsia="SimSun" w:hAnsi="Arial" w:cs="Arial"/>
                <w:b/>
                <w:bCs/>
                <w:color w:val="000000"/>
                <w:kern w:val="0"/>
                <w:u w:val="single"/>
                <w:lang w:val="en-GB" w:eastAsia="zh-CN"/>
              </w:rPr>
            </w:pPr>
            <w:r w:rsidRPr="000E2036">
              <w:rPr>
                <w:rFonts w:ascii="Arial" w:eastAsia="SimSun" w:hAnsi="Arial" w:cs="Arial"/>
                <w:b/>
                <w:bCs/>
                <w:color w:val="000000"/>
                <w:kern w:val="0"/>
                <w:u w:val="single"/>
                <w:lang w:val="en-GB" w:eastAsia="zh-CN"/>
              </w:rPr>
              <w:t>Financial Position:</w:t>
            </w:r>
          </w:p>
        </w:tc>
        <w:tc>
          <w:tcPr>
            <w:tcW w:w="1300" w:type="dxa"/>
            <w:tcBorders>
              <w:top w:val="nil"/>
              <w:left w:val="nil"/>
              <w:bottom w:val="nil"/>
              <w:right w:val="single" w:sz="4" w:space="0" w:color="auto"/>
            </w:tcBorders>
            <w:shd w:val="clear" w:color="auto" w:fill="auto"/>
            <w:vAlign w:val="center"/>
            <w:hideMark/>
          </w:tcPr>
          <w:p w14:paraId="3562FF27" w14:textId="217B73BB" w:rsidR="00AC1306" w:rsidRPr="000E2036" w:rsidRDefault="00AC1306" w:rsidP="00AC1306">
            <w:pPr>
              <w:jc w:val="right"/>
              <w:rPr>
                <w:rFonts w:ascii="Arial" w:eastAsia="SimSun" w:hAnsi="Arial" w:cs="Arial"/>
                <w:color w:val="000000"/>
                <w:kern w:val="0"/>
                <w:lang w:val="en-GB" w:eastAsia="zh-CN"/>
              </w:rPr>
            </w:pPr>
          </w:p>
        </w:tc>
        <w:tc>
          <w:tcPr>
            <w:tcW w:w="1300" w:type="dxa"/>
            <w:tcBorders>
              <w:top w:val="nil"/>
              <w:left w:val="nil"/>
              <w:bottom w:val="nil"/>
              <w:right w:val="single" w:sz="4" w:space="0" w:color="auto"/>
            </w:tcBorders>
            <w:shd w:val="clear" w:color="auto" w:fill="auto"/>
            <w:vAlign w:val="center"/>
            <w:hideMark/>
          </w:tcPr>
          <w:p w14:paraId="31E35D53" w14:textId="18138E20" w:rsidR="00AC1306" w:rsidRPr="000E2036" w:rsidRDefault="00AC1306" w:rsidP="00AC1306">
            <w:pPr>
              <w:jc w:val="right"/>
              <w:rPr>
                <w:rFonts w:ascii="Arial" w:eastAsia="SimSun" w:hAnsi="Arial" w:cs="Arial"/>
                <w:color w:val="000000"/>
                <w:kern w:val="0"/>
                <w:lang w:val="en-GB" w:eastAsia="zh-CN"/>
              </w:rPr>
            </w:pPr>
          </w:p>
        </w:tc>
        <w:tc>
          <w:tcPr>
            <w:tcW w:w="1300" w:type="dxa"/>
            <w:tcBorders>
              <w:top w:val="nil"/>
              <w:left w:val="nil"/>
              <w:bottom w:val="nil"/>
              <w:right w:val="single" w:sz="4" w:space="0" w:color="auto"/>
            </w:tcBorders>
            <w:shd w:val="clear" w:color="auto" w:fill="auto"/>
            <w:vAlign w:val="center"/>
            <w:hideMark/>
          </w:tcPr>
          <w:p w14:paraId="7A80110A" w14:textId="41401626" w:rsidR="00AC1306" w:rsidRPr="000E2036" w:rsidRDefault="00AC1306" w:rsidP="00AC1306">
            <w:pPr>
              <w:jc w:val="right"/>
              <w:rPr>
                <w:rFonts w:ascii="Arial" w:eastAsia="SimSun" w:hAnsi="Arial" w:cs="Arial"/>
                <w:color w:val="000000"/>
                <w:kern w:val="0"/>
                <w:lang w:val="en-GB" w:eastAsia="zh-CN"/>
              </w:rPr>
            </w:pPr>
          </w:p>
        </w:tc>
        <w:tc>
          <w:tcPr>
            <w:tcW w:w="2080" w:type="dxa"/>
            <w:tcBorders>
              <w:top w:val="nil"/>
              <w:left w:val="nil"/>
              <w:bottom w:val="nil"/>
              <w:right w:val="single" w:sz="4" w:space="0" w:color="auto"/>
            </w:tcBorders>
            <w:shd w:val="clear" w:color="auto" w:fill="auto"/>
            <w:vAlign w:val="center"/>
            <w:hideMark/>
          </w:tcPr>
          <w:p w14:paraId="1E1AAF4F" w14:textId="529E964E" w:rsidR="00AC1306" w:rsidRPr="000E2036" w:rsidRDefault="00AC1306" w:rsidP="00AC1306">
            <w:pPr>
              <w:jc w:val="right"/>
              <w:rPr>
                <w:rFonts w:ascii="Arial" w:eastAsia="SimSun" w:hAnsi="Arial" w:cs="Arial"/>
                <w:color w:val="000000"/>
                <w:kern w:val="0"/>
                <w:lang w:val="en-GB" w:eastAsia="zh-CN"/>
              </w:rPr>
            </w:pPr>
          </w:p>
        </w:tc>
      </w:tr>
      <w:tr w:rsidR="00AC1306" w:rsidRPr="000E2036" w14:paraId="674B5A2D" w14:textId="77777777" w:rsidTr="005060FA">
        <w:trPr>
          <w:trHeight w:val="240"/>
          <w:jc w:val="center"/>
        </w:trPr>
        <w:tc>
          <w:tcPr>
            <w:tcW w:w="3052" w:type="dxa"/>
            <w:tcBorders>
              <w:top w:val="nil"/>
              <w:left w:val="single" w:sz="4" w:space="0" w:color="auto"/>
              <w:bottom w:val="nil"/>
              <w:right w:val="single" w:sz="4" w:space="0" w:color="auto"/>
            </w:tcBorders>
            <w:shd w:val="clear" w:color="auto" w:fill="auto"/>
            <w:vAlign w:val="center"/>
            <w:hideMark/>
          </w:tcPr>
          <w:p w14:paraId="031DE54B" w14:textId="77777777" w:rsidR="00AC1306" w:rsidRPr="000E2036" w:rsidRDefault="00AC1306" w:rsidP="00AC1306">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Total assets</w:t>
            </w:r>
          </w:p>
        </w:tc>
        <w:tc>
          <w:tcPr>
            <w:tcW w:w="1300" w:type="dxa"/>
            <w:tcBorders>
              <w:top w:val="nil"/>
              <w:left w:val="nil"/>
              <w:bottom w:val="nil"/>
              <w:right w:val="single" w:sz="4" w:space="0" w:color="auto"/>
            </w:tcBorders>
            <w:shd w:val="clear" w:color="auto" w:fill="auto"/>
            <w:vAlign w:val="center"/>
            <w:hideMark/>
          </w:tcPr>
          <w:p w14:paraId="2CF22279"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4,533.6 </w:t>
            </w:r>
          </w:p>
        </w:tc>
        <w:tc>
          <w:tcPr>
            <w:tcW w:w="1300" w:type="dxa"/>
            <w:tcBorders>
              <w:top w:val="nil"/>
              <w:left w:val="nil"/>
              <w:bottom w:val="nil"/>
              <w:right w:val="single" w:sz="4" w:space="0" w:color="auto"/>
            </w:tcBorders>
            <w:shd w:val="clear" w:color="auto" w:fill="auto"/>
            <w:vAlign w:val="center"/>
            <w:hideMark/>
          </w:tcPr>
          <w:p w14:paraId="60215215"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3,952.1 </w:t>
            </w:r>
          </w:p>
        </w:tc>
        <w:tc>
          <w:tcPr>
            <w:tcW w:w="1300" w:type="dxa"/>
            <w:tcBorders>
              <w:top w:val="nil"/>
              <w:left w:val="nil"/>
              <w:bottom w:val="nil"/>
              <w:right w:val="single" w:sz="4" w:space="0" w:color="auto"/>
            </w:tcBorders>
            <w:shd w:val="clear" w:color="auto" w:fill="auto"/>
            <w:vAlign w:val="center"/>
            <w:hideMark/>
          </w:tcPr>
          <w:p w14:paraId="7956E42D"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4,375.0 </w:t>
            </w:r>
          </w:p>
        </w:tc>
        <w:tc>
          <w:tcPr>
            <w:tcW w:w="2080" w:type="dxa"/>
            <w:tcBorders>
              <w:top w:val="nil"/>
              <w:left w:val="nil"/>
              <w:bottom w:val="nil"/>
              <w:right w:val="single" w:sz="4" w:space="0" w:color="auto"/>
            </w:tcBorders>
            <w:shd w:val="clear" w:color="auto" w:fill="auto"/>
            <w:vAlign w:val="center"/>
            <w:hideMark/>
          </w:tcPr>
          <w:p w14:paraId="157C9420"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5,400.0 </w:t>
            </w:r>
          </w:p>
        </w:tc>
      </w:tr>
      <w:tr w:rsidR="00AC1306" w:rsidRPr="000E2036" w14:paraId="122AE55C" w14:textId="77777777" w:rsidTr="005060FA">
        <w:trPr>
          <w:trHeight w:val="240"/>
          <w:jc w:val="center"/>
        </w:trPr>
        <w:tc>
          <w:tcPr>
            <w:tcW w:w="3052" w:type="dxa"/>
            <w:tcBorders>
              <w:top w:val="nil"/>
              <w:left w:val="single" w:sz="4" w:space="0" w:color="auto"/>
              <w:bottom w:val="nil"/>
              <w:right w:val="single" w:sz="4" w:space="0" w:color="auto"/>
            </w:tcBorders>
            <w:shd w:val="clear" w:color="auto" w:fill="auto"/>
            <w:vAlign w:val="center"/>
            <w:hideMark/>
          </w:tcPr>
          <w:p w14:paraId="50CF6649" w14:textId="189220F0" w:rsidR="00AC1306" w:rsidRPr="000E2036" w:rsidRDefault="007054A3" w:rsidP="00643336">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Shareholders</w:t>
            </w:r>
            <w:r>
              <w:rPr>
                <w:rFonts w:ascii="Arial" w:eastAsia="SimSun" w:hAnsi="Arial" w:cs="Arial"/>
                <w:color w:val="000000"/>
                <w:kern w:val="0"/>
                <w:lang w:val="en-GB" w:eastAsia="zh-CN"/>
              </w:rPr>
              <w:t>’</w:t>
            </w:r>
            <w:r w:rsidRPr="000E2036">
              <w:rPr>
                <w:rFonts w:ascii="Arial" w:eastAsia="SimSun" w:hAnsi="Arial" w:cs="Arial"/>
                <w:color w:val="000000"/>
                <w:kern w:val="0"/>
                <w:lang w:val="en-GB" w:eastAsia="zh-CN"/>
              </w:rPr>
              <w:t xml:space="preserve"> </w:t>
            </w:r>
            <w:r w:rsidR="00AC1306" w:rsidRPr="000E2036">
              <w:rPr>
                <w:rFonts w:ascii="Arial" w:eastAsia="SimSun" w:hAnsi="Arial" w:cs="Arial"/>
                <w:color w:val="000000"/>
                <w:kern w:val="0"/>
                <w:lang w:val="en-GB" w:eastAsia="zh-CN"/>
              </w:rPr>
              <w:t>equity</w:t>
            </w:r>
          </w:p>
        </w:tc>
        <w:tc>
          <w:tcPr>
            <w:tcW w:w="1300" w:type="dxa"/>
            <w:tcBorders>
              <w:top w:val="nil"/>
              <w:left w:val="nil"/>
              <w:bottom w:val="nil"/>
              <w:right w:val="single" w:sz="4" w:space="0" w:color="auto"/>
            </w:tcBorders>
            <w:shd w:val="clear" w:color="auto" w:fill="auto"/>
            <w:vAlign w:val="center"/>
            <w:hideMark/>
          </w:tcPr>
          <w:p w14:paraId="3F93D49D"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844.4</w:t>
            </w:r>
          </w:p>
        </w:tc>
        <w:tc>
          <w:tcPr>
            <w:tcW w:w="1300" w:type="dxa"/>
            <w:tcBorders>
              <w:top w:val="nil"/>
              <w:left w:val="nil"/>
              <w:bottom w:val="nil"/>
              <w:right w:val="single" w:sz="4" w:space="0" w:color="auto"/>
            </w:tcBorders>
            <w:shd w:val="clear" w:color="auto" w:fill="auto"/>
            <w:vAlign w:val="center"/>
            <w:hideMark/>
          </w:tcPr>
          <w:p w14:paraId="25505990"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777.4</w:t>
            </w:r>
          </w:p>
        </w:tc>
        <w:tc>
          <w:tcPr>
            <w:tcW w:w="1300" w:type="dxa"/>
            <w:tcBorders>
              <w:top w:val="nil"/>
              <w:left w:val="nil"/>
              <w:bottom w:val="nil"/>
              <w:right w:val="single" w:sz="4" w:space="0" w:color="auto"/>
            </w:tcBorders>
            <w:shd w:val="clear" w:color="auto" w:fill="auto"/>
            <w:vAlign w:val="center"/>
            <w:hideMark/>
          </w:tcPr>
          <w:p w14:paraId="1688AA94"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825.6</w:t>
            </w:r>
          </w:p>
        </w:tc>
        <w:tc>
          <w:tcPr>
            <w:tcW w:w="2080" w:type="dxa"/>
            <w:tcBorders>
              <w:top w:val="nil"/>
              <w:left w:val="nil"/>
              <w:bottom w:val="nil"/>
              <w:right w:val="single" w:sz="4" w:space="0" w:color="auto"/>
            </w:tcBorders>
            <w:shd w:val="clear" w:color="auto" w:fill="auto"/>
            <w:vAlign w:val="center"/>
            <w:hideMark/>
          </w:tcPr>
          <w:p w14:paraId="1404AB43"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1,150.0</w:t>
            </w:r>
          </w:p>
        </w:tc>
      </w:tr>
      <w:tr w:rsidR="00AC1306" w:rsidRPr="000E2036" w14:paraId="5941DA22" w14:textId="77777777" w:rsidTr="005060FA">
        <w:trPr>
          <w:trHeight w:val="240"/>
          <w:jc w:val="center"/>
        </w:trPr>
        <w:tc>
          <w:tcPr>
            <w:tcW w:w="3052" w:type="dxa"/>
            <w:tcBorders>
              <w:top w:val="nil"/>
              <w:left w:val="single" w:sz="4" w:space="0" w:color="auto"/>
              <w:bottom w:val="single" w:sz="4" w:space="0" w:color="auto"/>
              <w:right w:val="single" w:sz="4" w:space="0" w:color="auto"/>
            </w:tcBorders>
            <w:shd w:val="clear" w:color="auto" w:fill="auto"/>
            <w:vAlign w:val="center"/>
            <w:hideMark/>
          </w:tcPr>
          <w:p w14:paraId="12ADC0DC" w14:textId="77777777" w:rsidR="00AC1306" w:rsidRPr="000E2036" w:rsidRDefault="00AC1306" w:rsidP="00AC1306">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Net assets</w:t>
            </w:r>
          </w:p>
        </w:tc>
        <w:tc>
          <w:tcPr>
            <w:tcW w:w="1300" w:type="dxa"/>
            <w:tcBorders>
              <w:top w:val="nil"/>
              <w:left w:val="nil"/>
              <w:bottom w:val="single" w:sz="4" w:space="0" w:color="auto"/>
              <w:right w:val="single" w:sz="4" w:space="0" w:color="auto"/>
            </w:tcBorders>
            <w:shd w:val="clear" w:color="auto" w:fill="auto"/>
            <w:vAlign w:val="center"/>
            <w:hideMark/>
          </w:tcPr>
          <w:p w14:paraId="2ECC6182"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1,304.4 </w:t>
            </w:r>
          </w:p>
        </w:tc>
        <w:tc>
          <w:tcPr>
            <w:tcW w:w="1300" w:type="dxa"/>
            <w:tcBorders>
              <w:top w:val="nil"/>
              <w:left w:val="nil"/>
              <w:bottom w:val="single" w:sz="4" w:space="0" w:color="auto"/>
              <w:right w:val="single" w:sz="4" w:space="0" w:color="auto"/>
            </w:tcBorders>
            <w:shd w:val="clear" w:color="auto" w:fill="auto"/>
            <w:vAlign w:val="center"/>
            <w:hideMark/>
          </w:tcPr>
          <w:p w14:paraId="71C58ACB"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1,055.7 </w:t>
            </w:r>
          </w:p>
        </w:tc>
        <w:tc>
          <w:tcPr>
            <w:tcW w:w="1300" w:type="dxa"/>
            <w:tcBorders>
              <w:top w:val="nil"/>
              <w:left w:val="nil"/>
              <w:bottom w:val="single" w:sz="4" w:space="0" w:color="auto"/>
              <w:right w:val="single" w:sz="4" w:space="0" w:color="auto"/>
            </w:tcBorders>
            <w:shd w:val="clear" w:color="auto" w:fill="auto"/>
            <w:vAlign w:val="center"/>
            <w:hideMark/>
          </w:tcPr>
          <w:p w14:paraId="426A9464"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1,199.0 </w:t>
            </w:r>
          </w:p>
        </w:tc>
        <w:tc>
          <w:tcPr>
            <w:tcW w:w="2080" w:type="dxa"/>
            <w:tcBorders>
              <w:top w:val="nil"/>
              <w:left w:val="nil"/>
              <w:bottom w:val="single" w:sz="4" w:space="0" w:color="auto"/>
              <w:right w:val="single" w:sz="4" w:space="0" w:color="auto"/>
            </w:tcBorders>
            <w:shd w:val="clear" w:color="auto" w:fill="auto"/>
            <w:vAlign w:val="center"/>
            <w:hideMark/>
          </w:tcPr>
          <w:p w14:paraId="0DCBA9E8"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1,450.0 </w:t>
            </w:r>
          </w:p>
        </w:tc>
      </w:tr>
      <w:tr w:rsidR="00AC1306" w:rsidRPr="000E2036" w14:paraId="49D95BAD" w14:textId="77777777" w:rsidTr="005060FA">
        <w:trPr>
          <w:trHeight w:val="240"/>
          <w:jc w:val="center"/>
        </w:trPr>
        <w:tc>
          <w:tcPr>
            <w:tcW w:w="3052" w:type="dxa"/>
            <w:tcBorders>
              <w:top w:val="nil"/>
              <w:left w:val="single" w:sz="4" w:space="0" w:color="auto"/>
              <w:bottom w:val="nil"/>
              <w:right w:val="single" w:sz="4" w:space="0" w:color="auto"/>
            </w:tcBorders>
            <w:shd w:val="clear" w:color="auto" w:fill="auto"/>
            <w:vAlign w:val="center"/>
            <w:hideMark/>
          </w:tcPr>
          <w:p w14:paraId="4E5A34AD" w14:textId="77777777" w:rsidR="00AC1306" w:rsidRPr="000E2036" w:rsidRDefault="00AC1306" w:rsidP="00AC1306">
            <w:pPr>
              <w:rPr>
                <w:rFonts w:ascii="Arial" w:eastAsia="SimSun" w:hAnsi="Arial" w:cs="Arial"/>
                <w:b/>
                <w:bCs/>
                <w:color w:val="000000"/>
                <w:kern w:val="0"/>
                <w:u w:val="single"/>
                <w:lang w:val="en-GB" w:eastAsia="zh-CN"/>
              </w:rPr>
            </w:pPr>
            <w:r w:rsidRPr="000E2036">
              <w:rPr>
                <w:rFonts w:ascii="Arial" w:eastAsia="SimSun" w:hAnsi="Arial" w:cs="Arial"/>
                <w:b/>
                <w:bCs/>
                <w:color w:val="000000"/>
                <w:kern w:val="0"/>
                <w:u w:val="single"/>
                <w:lang w:val="en-GB" w:eastAsia="zh-CN"/>
              </w:rPr>
              <w:t>Management Indicators:</w:t>
            </w:r>
          </w:p>
        </w:tc>
        <w:tc>
          <w:tcPr>
            <w:tcW w:w="1300" w:type="dxa"/>
            <w:tcBorders>
              <w:top w:val="nil"/>
              <w:left w:val="nil"/>
              <w:bottom w:val="nil"/>
              <w:right w:val="single" w:sz="4" w:space="0" w:color="auto"/>
            </w:tcBorders>
            <w:shd w:val="clear" w:color="auto" w:fill="auto"/>
            <w:vAlign w:val="center"/>
            <w:hideMark/>
          </w:tcPr>
          <w:p w14:paraId="75A3A105" w14:textId="28F91AC2" w:rsidR="00AC1306" w:rsidRPr="000E2036" w:rsidRDefault="00AC1306" w:rsidP="00AC1306">
            <w:pPr>
              <w:jc w:val="right"/>
              <w:rPr>
                <w:rFonts w:ascii="Arial" w:eastAsia="SimSun" w:hAnsi="Arial" w:cs="Arial"/>
                <w:color w:val="000000"/>
                <w:kern w:val="0"/>
                <w:lang w:val="en-GB" w:eastAsia="zh-CN"/>
              </w:rPr>
            </w:pPr>
          </w:p>
        </w:tc>
        <w:tc>
          <w:tcPr>
            <w:tcW w:w="1300" w:type="dxa"/>
            <w:tcBorders>
              <w:top w:val="nil"/>
              <w:left w:val="nil"/>
              <w:bottom w:val="nil"/>
              <w:right w:val="single" w:sz="4" w:space="0" w:color="auto"/>
            </w:tcBorders>
            <w:shd w:val="clear" w:color="auto" w:fill="auto"/>
            <w:vAlign w:val="center"/>
            <w:hideMark/>
          </w:tcPr>
          <w:p w14:paraId="2165244B" w14:textId="778457F2" w:rsidR="00AC1306" w:rsidRPr="000E2036" w:rsidRDefault="00AC1306" w:rsidP="00AC1306">
            <w:pPr>
              <w:jc w:val="right"/>
              <w:rPr>
                <w:rFonts w:ascii="Arial" w:eastAsia="SimSun" w:hAnsi="Arial" w:cs="Arial"/>
                <w:color w:val="000000"/>
                <w:kern w:val="0"/>
                <w:lang w:val="en-GB" w:eastAsia="zh-CN"/>
              </w:rPr>
            </w:pPr>
          </w:p>
        </w:tc>
        <w:tc>
          <w:tcPr>
            <w:tcW w:w="1300" w:type="dxa"/>
            <w:tcBorders>
              <w:top w:val="nil"/>
              <w:left w:val="nil"/>
              <w:bottom w:val="nil"/>
              <w:right w:val="single" w:sz="4" w:space="0" w:color="auto"/>
            </w:tcBorders>
            <w:shd w:val="clear" w:color="auto" w:fill="auto"/>
            <w:vAlign w:val="center"/>
            <w:hideMark/>
          </w:tcPr>
          <w:p w14:paraId="402E253E" w14:textId="2B2EC618" w:rsidR="00AC1306" w:rsidRPr="000E2036" w:rsidRDefault="00AC1306" w:rsidP="00AC1306">
            <w:pPr>
              <w:jc w:val="right"/>
              <w:rPr>
                <w:rFonts w:ascii="Arial" w:eastAsia="SimSun" w:hAnsi="Arial" w:cs="Arial"/>
                <w:color w:val="000000"/>
                <w:kern w:val="0"/>
                <w:lang w:val="en-GB" w:eastAsia="zh-CN"/>
              </w:rPr>
            </w:pPr>
          </w:p>
        </w:tc>
        <w:tc>
          <w:tcPr>
            <w:tcW w:w="2080" w:type="dxa"/>
            <w:tcBorders>
              <w:top w:val="nil"/>
              <w:left w:val="nil"/>
              <w:bottom w:val="nil"/>
              <w:right w:val="single" w:sz="4" w:space="0" w:color="auto"/>
            </w:tcBorders>
            <w:shd w:val="clear" w:color="auto" w:fill="auto"/>
            <w:vAlign w:val="center"/>
            <w:hideMark/>
          </w:tcPr>
          <w:p w14:paraId="455786C0" w14:textId="3C723ED7" w:rsidR="00AC1306" w:rsidRPr="000E2036" w:rsidRDefault="00AC1306" w:rsidP="00AC1306">
            <w:pPr>
              <w:jc w:val="right"/>
              <w:rPr>
                <w:rFonts w:ascii="Arial" w:eastAsia="SimSun" w:hAnsi="Arial" w:cs="Arial"/>
                <w:color w:val="000000"/>
                <w:kern w:val="0"/>
                <w:lang w:val="en-GB" w:eastAsia="zh-CN"/>
              </w:rPr>
            </w:pPr>
          </w:p>
        </w:tc>
      </w:tr>
      <w:tr w:rsidR="00AC1306" w:rsidRPr="000E2036" w14:paraId="77C948E6" w14:textId="77777777" w:rsidTr="005060FA">
        <w:trPr>
          <w:trHeight w:val="240"/>
          <w:jc w:val="center"/>
        </w:trPr>
        <w:tc>
          <w:tcPr>
            <w:tcW w:w="3052" w:type="dxa"/>
            <w:tcBorders>
              <w:top w:val="nil"/>
              <w:left w:val="single" w:sz="4" w:space="0" w:color="auto"/>
              <w:bottom w:val="nil"/>
              <w:right w:val="single" w:sz="4" w:space="0" w:color="auto"/>
            </w:tcBorders>
            <w:shd w:val="clear" w:color="auto" w:fill="auto"/>
            <w:vAlign w:val="center"/>
            <w:hideMark/>
          </w:tcPr>
          <w:p w14:paraId="329ED337" w14:textId="77777777" w:rsidR="00AC1306" w:rsidRPr="000E2036" w:rsidRDefault="00AC1306" w:rsidP="00AC1306">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Net interest-bearing debt</w:t>
            </w:r>
          </w:p>
        </w:tc>
        <w:tc>
          <w:tcPr>
            <w:tcW w:w="1300" w:type="dxa"/>
            <w:tcBorders>
              <w:top w:val="nil"/>
              <w:left w:val="nil"/>
              <w:bottom w:val="nil"/>
              <w:right w:val="single" w:sz="4" w:space="0" w:color="auto"/>
            </w:tcBorders>
            <w:shd w:val="clear" w:color="auto" w:fill="auto"/>
            <w:vAlign w:val="center"/>
            <w:hideMark/>
          </w:tcPr>
          <w:p w14:paraId="1219B6E1"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1,233.5 </w:t>
            </w:r>
          </w:p>
        </w:tc>
        <w:tc>
          <w:tcPr>
            <w:tcW w:w="1300" w:type="dxa"/>
            <w:tcBorders>
              <w:top w:val="nil"/>
              <w:left w:val="nil"/>
              <w:bottom w:val="nil"/>
              <w:right w:val="single" w:sz="4" w:space="0" w:color="auto"/>
            </w:tcBorders>
            <w:shd w:val="clear" w:color="auto" w:fill="auto"/>
            <w:vAlign w:val="center"/>
            <w:hideMark/>
          </w:tcPr>
          <w:p w14:paraId="7F899DAA"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1,102.7 </w:t>
            </w:r>
          </w:p>
        </w:tc>
        <w:tc>
          <w:tcPr>
            <w:tcW w:w="1300" w:type="dxa"/>
            <w:tcBorders>
              <w:top w:val="nil"/>
              <w:left w:val="nil"/>
              <w:bottom w:val="nil"/>
              <w:right w:val="single" w:sz="4" w:space="0" w:color="auto"/>
            </w:tcBorders>
            <w:shd w:val="clear" w:color="auto" w:fill="auto"/>
            <w:vAlign w:val="center"/>
            <w:hideMark/>
          </w:tcPr>
          <w:p w14:paraId="5D729158"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1,050.0 </w:t>
            </w:r>
          </w:p>
        </w:tc>
        <w:tc>
          <w:tcPr>
            <w:tcW w:w="2080" w:type="dxa"/>
            <w:tcBorders>
              <w:top w:val="nil"/>
              <w:left w:val="nil"/>
              <w:bottom w:val="nil"/>
              <w:right w:val="single" w:sz="4" w:space="0" w:color="auto"/>
            </w:tcBorders>
            <w:shd w:val="clear" w:color="auto" w:fill="auto"/>
            <w:vAlign w:val="center"/>
            <w:hideMark/>
          </w:tcPr>
          <w:p w14:paraId="0F3ED049"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 xml:space="preserve">1,200.0 </w:t>
            </w:r>
          </w:p>
        </w:tc>
      </w:tr>
      <w:tr w:rsidR="00AC1306" w:rsidRPr="000E2036" w14:paraId="3DBDDEE3" w14:textId="77777777" w:rsidTr="005060FA">
        <w:trPr>
          <w:trHeight w:val="240"/>
          <w:jc w:val="center"/>
        </w:trPr>
        <w:tc>
          <w:tcPr>
            <w:tcW w:w="3052" w:type="dxa"/>
            <w:tcBorders>
              <w:top w:val="nil"/>
              <w:left w:val="single" w:sz="4" w:space="0" w:color="auto"/>
              <w:bottom w:val="nil"/>
              <w:right w:val="single" w:sz="4" w:space="0" w:color="auto"/>
            </w:tcBorders>
            <w:shd w:val="clear" w:color="auto" w:fill="auto"/>
            <w:vAlign w:val="center"/>
            <w:hideMark/>
          </w:tcPr>
          <w:p w14:paraId="7FFE8B39" w14:textId="77777777" w:rsidR="00AC1306" w:rsidRPr="000E2036" w:rsidRDefault="00AC1306" w:rsidP="00AC1306">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Risk assets/risk buffer</w:t>
            </w:r>
          </w:p>
        </w:tc>
        <w:tc>
          <w:tcPr>
            <w:tcW w:w="1300" w:type="dxa"/>
            <w:tcBorders>
              <w:top w:val="nil"/>
              <w:left w:val="nil"/>
              <w:bottom w:val="nil"/>
              <w:right w:val="single" w:sz="4" w:space="0" w:color="auto"/>
            </w:tcBorders>
            <w:shd w:val="clear" w:color="auto" w:fill="auto"/>
            <w:vAlign w:val="center"/>
            <w:hideMark/>
          </w:tcPr>
          <w:p w14:paraId="63300AA8"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1/1</w:t>
            </w:r>
          </w:p>
        </w:tc>
        <w:tc>
          <w:tcPr>
            <w:tcW w:w="1300" w:type="dxa"/>
            <w:tcBorders>
              <w:top w:val="nil"/>
              <w:left w:val="nil"/>
              <w:bottom w:val="nil"/>
              <w:right w:val="single" w:sz="4" w:space="0" w:color="auto"/>
            </w:tcBorders>
            <w:shd w:val="clear" w:color="auto" w:fill="auto"/>
            <w:vAlign w:val="center"/>
            <w:hideMark/>
          </w:tcPr>
          <w:p w14:paraId="4515C019"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1.1/1</w:t>
            </w:r>
          </w:p>
        </w:tc>
        <w:tc>
          <w:tcPr>
            <w:tcW w:w="1300" w:type="dxa"/>
            <w:tcBorders>
              <w:top w:val="nil"/>
              <w:left w:val="nil"/>
              <w:bottom w:val="nil"/>
              <w:right w:val="single" w:sz="4" w:space="0" w:color="auto"/>
            </w:tcBorders>
            <w:shd w:val="clear" w:color="auto" w:fill="auto"/>
            <w:vAlign w:val="center"/>
            <w:hideMark/>
          </w:tcPr>
          <w:p w14:paraId="6E775C97" w14:textId="34823DE6" w:rsidR="00AC1306" w:rsidRPr="000E2036" w:rsidRDefault="005060FA" w:rsidP="00AC130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p>
        </w:tc>
        <w:tc>
          <w:tcPr>
            <w:tcW w:w="2080" w:type="dxa"/>
            <w:tcBorders>
              <w:top w:val="nil"/>
              <w:left w:val="nil"/>
              <w:bottom w:val="nil"/>
              <w:right w:val="single" w:sz="4" w:space="0" w:color="auto"/>
            </w:tcBorders>
            <w:shd w:val="clear" w:color="auto" w:fill="auto"/>
            <w:vAlign w:val="center"/>
            <w:hideMark/>
          </w:tcPr>
          <w:p w14:paraId="74280111"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No more than 1.0</w:t>
            </w:r>
          </w:p>
        </w:tc>
      </w:tr>
      <w:tr w:rsidR="00AC1306" w:rsidRPr="000E2036" w14:paraId="056FD001" w14:textId="77777777" w:rsidTr="005060FA">
        <w:trPr>
          <w:trHeight w:val="240"/>
          <w:jc w:val="center"/>
        </w:trPr>
        <w:tc>
          <w:tcPr>
            <w:tcW w:w="3052" w:type="dxa"/>
            <w:tcBorders>
              <w:top w:val="nil"/>
              <w:left w:val="single" w:sz="4" w:space="0" w:color="auto"/>
              <w:bottom w:val="nil"/>
              <w:right w:val="single" w:sz="4" w:space="0" w:color="auto"/>
            </w:tcBorders>
            <w:shd w:val="clear" w:color="auto" w:fill="auto"/>
            <w:vAlign w:val="center"/>
            <w:hideMark/>
          </w:tcPr>
          <w:p w14:paraId="381C9217" w14:textId="5B3482F0" w:rsidR="00AC1306" w:rsidRPr="000E2036" w:rsidRDefault="00AC1306" w:rsidP="00AC1306">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Net return on equity</w:t>
            </w:r>
            <w:r w:rsidR="005060FA">
              <w:rPr>
                <w:rFonts w:ascii="Arial" w:eastAsia="SimSun" w:hAnsi="Arial" w:cs="Arial"/>
                <w:color w:val="000000"/>
                <w:kern w:val="0"/>
                <w:lang w:val="en-GB" w:eastAsia="zh-CN"/>
              </w:rPr>
              <w:t xml:space="preserve"> (%)</w:t>
            </w:r>
          </w:p>
        </w:tc>
        <w:tc>
          <w:tcPr>
            <w:tcW w:w="1300" w:type="dxa"/>
            <w:tcBorders>
              <w:top w:val="nil"/>
              <w:left w:val="nil"/>
              <w:bottom w:val="nil"/>
              <w:right w:val="single" w:sz="4" w:space="0" w:color="auto"/>
            </w:tcBorders>
            <w:shd w:val="clear" w:color="auto" w:fill="auto"/>
            <w:vAlign w:val="center"/>
            <w:hideMark/>
          </w:tcPr>
          <w:p w14:paraId="3B1D5E36" w14:textId="038D66B1"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6.4</w:t>
            </w:r>
          </w:p>
        </w:tc>
        <w:tc>
          <w:tcPr>
            <w:tcW w:w="1300" w:type="dxa"/>
            <w:tcBorders>
              <w:top w:val="nil"/>
              <w:left w:val="nil"/>
              <w:bottom w:val="nil"/>
              <w:right w:val="single" w:sz="4" w:space="0" w:color="auto"/>
            </w:tcBorders>
            <w:shd w:val="clear" w:color="auto" w:fill="auto"/>
            <w:vAlign w:val="center"/>
            <w:hideMark/>
          </w:tcPr>
          <w:p w14:paraId="70B41FFF" w14:textId="4145CF1C" w:rsidR="00AC1306" w:rsidRPr="000E2036" w:rsidRDefault="007054A3" w:rsidP="00643336">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AC1306" w:rsidRPr="000E2036">
              <w:rPr>
                <w:rFonts w:ascii="Arial" w:eastAsia="SimSun" w:hAnsi="Arial" w:cs="Arial"/>
                <w:color w:val="000000"/>
                <w:kern w:val="0"/>
                <w:lang w:val="en-GB" w:eastAsia="zh-CN"/>
              </w:rPr>
              <w:t>4.3</w:t>
            </w:r>
          </w:p>
        </w:tc>
        <w:tc>
          <w:tcPr>
            <w:tcW w:w="1300" w:type="dxa"/>
            <w:tcBorders>
              <w:top w:val="nil"/>
              <w:left w:val="nil"/>
              <w:bottom w:val="nil"/>
              <w:right w:val="single" w:sz="4" w:space="0" w:color="auto"/>
            </w:tcBorders>
            <w:shd w:val="clear" w:color="auto" w:fill="auto"/>
            <w:vAlign w:val="center"/>
            <w:hideMark/>
          </w:tcPr>
          <w:p w14:paraId="493C666F" w14:textId="134A6DEF"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6.9</w:t>
            </w:r>
          </w:p>
        </w:tc>
        <w:tc>
          <w:tcPr>
            <w:tcW w:w="2080" w:type="dxa"/>
            <w:tcBorders>
              <w:top w:val="nil"/>
              <w:left w:val="nil"/>
              <w:bottom w:val="nil"/>
              <w:right w:val="single" w:sz="4" w:space="0" w:color="auto"/>
            </w:tcBorders>
            <w:shd w:val="clear" w:color="auto" w:fill="auto"/>
            <w:vAlign w:val="center"/>
            <w:hideMark/>
          </w:tcPr>
          <w:p w14:paraId="2D328046" w14:textId="01CFB41E"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w:t>
            </w:r>
            <w:r w:rsidR="00302ACB" w:rsidRPr="000E2036">
              <w:rPr>
                <w:rFonts w:ascii="Arial" w:eastAsia="SimSun" w:hAnsi="Arial" w:cs="Arial"/>
                <w:color w:val="000000"/>
                <w:kern w:val="0"/>
                <w:lang w:val="en-GB" w:eastAsia="zh-CN"/>
              </w:rPr>
              <w:t>.0</w:t>
            </w:r>
            <w:r w:rsidR="005060FA">
              <w:rPr>
                <w:rFonts w:ascii="Arial" w:eastAsia="SimSun" w:hAnsi="Arial" w:cs="Arial"/>
                <w:color w:val="000000"/>
                <w:kern w:val="0"/>
                <w:lang w:val="en-GB" w:eastAsia="zh-CN"/>
              </w:rPr>
              <w:t>–</w:t>
            </w:r>
            <w:r w:rsidRPr="000E2036">
              <w:rPr>
                <w:rFonts w:ascii="Arial" w:eastAsia="SimSun" w:hAnsi="Arial" w:cs="Arial"/>
                <w:color w:val="000000"/>
                <w:kern w:val="0"/>
                <w:lang w:val="en-GB" w:eastAsia="zh-CN"/>
              </w:rPr>
              <w:t>13</w:t>
            </w:r>
            <w:r w:rsidR="00302ACB" w:rsidRPr="000E2036">
              <w:rPr>
                <w:rFonts w:ascii="Arial" w:eastAsia="SimSun" w:hAnsi="Arial" w:cs="Arial"/>
                <w:color w:val="000000"/>
                <w:kern w:val="0"/>
                <w:lang w:val="en-GB" w:eastAsia="zh-CN"/>
              </w:rPr>
              <w:t>.0</w:t>
            </w:r>
          </w:p>
        </w:tc>
      </w:tr>
      <w:tr w:rsidR="00AC1306" w:rsidRPr="000E2036" w14:paraId="42A34F00" w14:textId="77777777" w:rsidTr="005060FA">
        <w:trPr>
          <w:trHeight w:val="240"/>
          <w:jc w:val="center"/>
        </w:trPr>
        <w:tc>
          <w:tcPr>
            <w:tcW w:w="3052" w:type="dxa"/>
            <w:tcBorders>
              <w:top w:val="nil"/>
              <w:left w:val="single" w:sz="4" w:space="0" w:color="auto"/>
              <w:bottom w:val="single" w:sz="4" w:space="0" w:color="auto"/>
              <w:right w:val="single" w:sz="4" w:space="0" w:color="auto"/>
            </w:tcBorders>
            <w:shd w:val="clear" w:color="auto" w:fill="auto"/>
            <w:vAlign w:val="center"/>
            <w:hideMark/>
          </w:tcPr>
          <w:p w14:paraId="2D8B7049" w14:textId="77777777" w:rsidR="00AC1306" w:rsidRPr="000E2036" w:rsidRDefault="00AC1306" w:rsidP="00AC1306">
            <w:pPr>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Net debt-equity ratio</w:t>
            </w:r>
          </w:p>
        </w:tc>
        <w:tc>
          <w:tcPr>
            <w:tcW w:w="1300" w:type="dxa"/>
            <w:tcBorders>
              <w:top w:val="nil"/>
              <w:left w:val="nil"/>
              <w:bottom w:val="single" w:sz="4" w:space="0" w:color="auto"/>
              <w:right w:val="single" w:sz="4" w:space="0" w:color="auto"/>
            </w:tcBorders>
            <w:shd w:val="clear" w:color="auto" w:fill="auto"/>
            <w:vAlign w:val="center"/>
            <w:hideMark/>
          </w:tcPr>
          <w:p w14:paraId="595F63A7"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1.1</w:t>
            </w:r>
          </w:p>
        </w:tc>
        <w:tc>
          <w:tcPr>
            <w:tcW w:w="1300" w:type="dxa"/>
            <w:tcBorders>
              <w:top w:val="nil"/>
              <w:left w:val="nil"/>
              <w:bottom w:val="single" w:sz="4" w:space="0" w:color="auto"/>
              <w:right w:val="single" w:sz="4" w:space="0" w:color="auto"/>
            </w:tcBorders>
            <w:shd w:val="clear" w:color="auto" w:fill="auto"/>
            <w:vAlign w:val="center"/>
            <w:hideMark/>
          </w:tcPr>
          <w:p w14:paraId="3B7EF448"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1.2</w:t>
            </w:r>
          </w:p>
        </w:tc>
        <w:tc>
          <w:tcPr>
            <w:tcW w:w="1300" w:type="dxa"/>
            <w:tcBorders>
              <w:top w:val="nil"/>
              <w:left w:val="nil"/>
              <w:bottom w:val="single" w:sz="4" w:space="0" w:color="auto"/>
              <w:right w:val="single" w:sz="4" w:space="0" w:color="auto"/>
            </w:tcBorders>
            <w:shd w:val="clear" w:color="auto" w:fill="auto"/>
            <w:vAlign w:val="center"/>
            <w:hideMark/>
          </w:tcPr>
          <w:p w14:paraId="106E363E"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1.1</w:t>
            </w:r>
          </w:p>
        </w:tc>
        <w:tc>
          <w:tcPr>
            <w:tcW w:w="2080" w:type="dxa"/>
            <w:tcBorders>
              <w:top w:val="nil"/>
              <w:left w:val="nil"/>
              <w:bottom w:val="single" w:sz="4" w:space="0" w:color="auto"/>
              <w:right w:val="single" w:sz="4" w:space="0" w:color="auto"/>
            </w:tcBorders>
            <w:shd w:val="clear" w:color="auto" w:fill="auto"/>
            <w:vAlign w:val="center"/>
            <w:hideMark/>
          </w:tcPr>
          <w:p w14:paraId="6F2391F5" w14:textId="77777777" w:rsidR="00AC1306" w:rsidRPr="000E2036" w:rsidRDefault="00AC1306" w:rsidP="00AC1306">
            <w:pPr>
              <w:jc w:val="right"/>
              <w:rPr>
                <w:rFonts w:ascii="Arial" w:eastAsia="SimSun" w:hAnsi="Arial" w:cs="Arial"/>
                <w:color w:val="000000"/>
                <w:kern w:val="0"/>
                <w:lang w:val="en-GB" w:eastAsia="zh-CN"/>
              </w:rPr>
            </w:pPr>
            <w:r w:rsidRPr="000E2036">
              <w:rPr>
                <w:rFonts w:ascii="Arial" w:eastAsia="SimSun" w:hAnsi="Arial" w:cs="Arial"/>
                <w:color w:val="000000"/>
                <w:kern w:val="0"/>
                <w:lang w:val="en-GB" w:eastAsia="zh-CN"/>
              </w:rPr>
              <w:t>No more than 1.5</w:t>
            </w:r>
          </w:p>
        </w:tc>
      </w:tr>
    </w:tbl>
    <w:p w14:paraId="15A56F52" w14:textId="77777777" w:rsidR="003128FD" w:rsidRPr="000E2036" w:rsidRDefault="003128FD" w:rsidP="00E8070D">
      <w:pPr>
        <w:pStyle w:val="BodyTextMain"/>
        <w:rPr>
          <w:lang w:val="en-GB"/>
        </w:rPr>
      </w:pPr>
    </w:p>
    <w:p w14:paraId="5BC2889F" w14:textId="6AD7217B" w:rsidR="00AF7B9D" w:rsidRPr="000E2036" w:rsidRDefault="00AF7B9D" w:rsidP="0078524A">
      <w:pPr>
        <w:pStyle w:val="BodyTextMain"/>
        <w:rPr>
          <w:rFonts w:ascii="Arial" w:hAnsi="Arial" w:cs="Arial"/>
          <w:sz w:val="17"/>
          <w:szCs w:val="17"/>
          <w:lang w:val="en-GB"/>
        </w:rPr>
      </w:pPr>
      <w:r w:rsidRPr="000E2036">
        <w:rPr>
          <w:rFonts w:ascii="Arial" w:hAnsi="Arial" w:cs="Arial"/>
          <w:sz w:val="17"/>
          <w:szCs w:val="17"/>
          <w:lang w:val="en-GB"/>
        </w:rPr>
        <w:t>Note: ¥ = Japanese yen; US$1</w:t>
      </w:r>
      <w:r w:rsidR="007054A3">
        <w:rPr>
          <w:rFonts w:ascii="Arial" w:hAnsi="Arial" w:cs="Arial"/>
          <w:sz w:val="17"/>
          <w:szCs w:val="17"/>
          <w:lang w:val="en-GB"/>
        </w:rPr>
        <w:t>.00</w:t>
      </w:r>
      <w:r w:rsidRPr="000E2036">
        <w:rPr>
          <w:rFonts w:ascii="Arial" w:hAnsi="Arial" w:cs="Arial"/>
          <w:sz w:val="17"/>
          <w:szCs w:val="17"/>
          <w:lang w:val="en-GB"/>
        </w:rPr>
        <w:t xml:space="preserve"> = ¥114.37 on December 1, 2016</w:t>
      </w:r>
      <w:r w:rsidR="007054A3">
        <w:rPr>
          <w:rFonts w:ascii="Arial" w:hAnsi="Arial" w:cs="Arial"/>
          <w:sz w:val="17"/>
          <w:szCs w:val="17"/>
          <w:lang w:val="en-GB"/>
        </w:rPr>
        <w:t>.</w:t>
      </w:r>
    </w:p>
    <w:p w14:paraId="6E6702DF" w14:textId="2E274DC6" w:rsidR="0078524A" w:rsidRPr="000E2036" w:rsidRDefault="003128FD" w:rsidP="0078524A">
      <w:pPr>
        <w:pStyle w:val="BodyTextMain"/>
        <w:rPr>
          <w:rFonts w:ascii="Arial" w:hAnsi="Arial" w:cs="Arial"/>
          <w:sz w:val="17"/>
          <w:szCs w:val="17"/>
          <w:lang w:val="en-GB"/>
        </w:rPr>
      </w:pPr>
      <w:r w:rsidRPr="000E2036">
        <w:rPr>
          <w:rFonts w:ascii="Arial" w:hAnsi="Arial" w:cs="Arial"/>
          <w:sz w:val="17"/>
          <w:szCs w:val="17"/>
          <w:lang w:val="en-GB"/>
        </w:rPr>
        <w:t>Source: Created by the case authors based on Toyota Tsusho Corporation</w:t>
      </w:r>
      <w:r w:rsidR="00B51722" w:rsidRPr="000E2036">
        <w:rPr>
          <w:rFonts w:ascii="Arial" w:hAnsi="Arial" w:cs="Arial"/>
          <w:sz w:val="17"/>
          <w:szCs w:val="17"/>
          <w:lang w:val="en-GB"/>
        </w:rPr>
        <w:t>,</w:t>
      </w:r>
      <w:r w:rsidRPr="000E2036">
        <w:rPr>
          <w:rFonts w:ascii="Arial" w:hAnsi="Arial" w:cs="Arial"/>
          <w:sz w:val="17"/>
          <w:szCs w:val="17"/>
          <w:lang w:val="en-GB"/>
        </w:rPr>
        <w:t xml:space="preserve"> </w:t>
      </w:r>
      <w:r w:rsidRPr="002C1C44">
        <w:rPr>
          <w:rFonts w:ascii="Arial" w:hAnsi="Arial" w:cs="Arial"/>
          <w:i/>
          <w:sz w:val="17"/>
          <w:szCs w:val="17"/>
          <w:lang w:val="en-GB"/>
        </w:rPr>
        <w:t>Integrated Report 2016</w:t>
      </w:r>
      <w:r w:rsidR="007054A3" w:rsidRPr="000E2036">
        <w:rPr>
          <w:rFonts w:ascii="Arial" w:hAnsi="Arial" w:cs="Arial"/>
          <w:sz w:val="17"/>
          <w:szCs w:val="17"/>
          <w:lang w:val="en-GB"/>
        </w:rPr>
        <w:t>, 12</w:t>
      </w:r>
      <w:r w:rsidRPr="000E2036">
        <w:rPr>
          <w:rFonts w:ascii="Arial" w:hAnsi="Arial" w:cs="Arial"/>
          <w:sz w:val="17"/>
          <w:szCs w:val="17"/>
          <w:lang w:val="en-GB"/>
        </w:rPr>
        <w:t>, May 6, 2016, acce</w:t>
      </w:r>
      <w:r w:rsidR="002723AF" w:rsidRPr="000E2036">
        <w:rPr>
          <w:rFonts w:ascii="Arial" w:hAnsi="Arial" w:cs="Arial"/>
          <w:sz w:val="17"/>
          <w:szCs w:val="17"/>
          <w:lang w:val="en-GB"/>
        </w:rPr>
        <w:t xml:space="preserve">ssed September 19, 2017, </w:t>
      </w:r>
      <w:r w:rsidRPr="000E2036">
        <w:rPr>
          <w:rFonts w:ascii="Arial" w:hAnsi="Arial" w:cs="Arial"/>
          <w:sz w:val="17"/>
          <w:szCs w:val="17"/>
          <w:lang w:val="en-GB"/>
        </w:rPr>
        <w:t>www.toyota-tsusho.com/english/ir/pdf/library/integrated-report/ar2016e_all.pdf.</w:t>
      </w:r>
    </w:p>
    <w:p w14:paraId="136317E1" w14:textId="77777777" w:rsidR="0078524A" w:rsidRPr="000E2036" w:rsidRDefault="0078524A">
      <w:pPr>
        <w:spacing w:after="200" w:line="276" w:lineRule="auto"/>
        <w:rPr>
          <w:rFonts w:ascii="Arial" w:hAnsi="Arial" w:cs="Arial"/>
          <w:sz w:val="17"/>
          <w:szCs w:val="17"/>
          <w:lang w:val="en-GB"/>
        </w:rPr>
      </w:pPr>
      <w:r w:rsidRPr="000E2036">
        <w:rPr>
          <w:rFonts w:ascii="Arial" w:hAnsi="Arial" w:cs="Arial"/>
          <w:sz w:val="17"/>
          <w:szCs w:val="17"/>
          <w:lang w:val="en-GB"/>
        </w:rPr>
        <w:br w:type="page"/>
      </w:r>
    </w:p>
    <w:p w14:paraId="474895BC" w14:textId="00E60539" w:rsidR="00FB1561" w:rsidRPr="000E2036" w:rsidRDefault="00FB1561" w:rsidP="0078524A">
      <w:pPr>
        <w:pStyle w:val="Casehead1"/>
        <w:rPr>
          <w:sz w:val="17"/>
          <w:szCs w:val="17"/>
          <w:lang w:val="en-GB"/>
        </w:rPr>
      </w:pPr>
      <w:r w:rsidRPr="000E2036">
        <w:rPr>
          <w:lang w:val="en-GB" w:eastAsia="zh-CN"/>
        </w:rPr>
        <w:lastRenderedPageBreak/>
        <w:t>endnotes</w:t>
      </w:r>
    </w:p>
    <w:sectPr w:rsidR="00FB1561" w:rsidRPr="000E2036"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BD2EE" w16cid:durableId="1DB69780"/>
  <w16cid:commentId w16cid:paraId="61D0B526" w16cid:durableId="1DB6FA5B"/>
  <w16cid:commentId w16cid:paraId="6AAFCFE3" w16cid:durableId="1DB6A2B1"/>
  <w16cid:commentId w16cid:paraId="6357E851" w16cid:durableId="1DB6A3F7"/>
  <w16cid:commentId w16cid:paraId="380E8C51" w16cid:durableId="1DB26213"/>
  <w16cid:commentId w16cid:paraId="16C50C09" w16cid:durableId="1DB6B1DA"/>
  <w16cid:commentId w16cid:paraId="47C3139F" w16cid:durableId="1DB401DD"/>
  <w16cid:commentId w16cid:paraId="50913E01" w16cid:durableId="1DB5D5C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5EA83" w14:textId="77777777" w:rsidR="00EC754F" w:rsidRDefault="00EC754F" w:rsidP="00D75295">
      <w:r>
        <w:separator/>
      </w:r>
    </w:p>
  </w:endnote>
  <w:endnote w:type="continuationSeparator" w:id="0">
    <w:p w14:paraId="13673B7B" w14:textId="77777777" w:rsidR="00EC754F" w:rsidRDefault="00EC754F" w:rsidP="00D75295">
      <w:r>
        <w:continuationSeparator/>
      </w:r>
    </w:p>
  </w:endnote>
  <w:endnote w:id="1">
    <w:p w14:paraId="7C9DA370" w14:textId="4DC0D8AA"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This case has been written on the basis of published sources only. Consequently, the interpretation and perspectives presented in this case are not necessarily those of Toyota Tsusho Corporation or any of its employees.</w:t>
      </w:r>
    </w:p>
  </w:endnote>
  <w:endnote w:id="2">
    <w:p w14:paraId="2E0450D0" w14:textId="079D7DB6" w:rsidR="00EC754F" w:rsidRPr="003A0343" w:rsidRDefault="00EC754F" w:rsidP="00EF6784">
      <w:pPr>
        <w:pStyle w:val="EndnoteText"/>
        <w:jc w:val="both"/>
        <w:rPr>
          <w:rFonts w:ascii="Arial" w:hAnsi="Arial" w:cs="Arial"/>
          <w:sz w:val="17"/>
          <w:szCs w:val="17"/>
          <w:lang w:eastAsia="zh-CN"/>
        </w:rPr>
      </w:pPr>
      <w:r w:rsidRPr="003A0343">
        <w:rPr>
          <w:rStyle w:val="EndnoteReference"/>
          <w:rFonts w:ascii="Arial" w:hAnsi="Arial" w:cs="Arial"/>
          <w:sz w:val="17"/>
          <w:szCs w:val="17"/>
        </w:rPr>
        <w:endnoteRef/>
      </w:r>
      <w:r w:rsidRPr="003A0343">
        <w:rPr>
          <w:rFonts w:ascii="Arial" w:hAnsi="Arial" w:cs="Arial"/>
          <w:sz w:val="17"/>
          <w:szCs w:val="17"/>
        </w:rPr>
        <w:t xml:space="preserve"> “Notice on Public Buy-</w:t>
      </w:r>
      <w:r>
        <w:rPr>
          <w:rFonts w:ascii="Arial" w:hAnsi="Arial" w:cs="Arial"/>
          <w:sz w:val="17"/>
          <w:szCs w:val="17"/>
        </w:rPr>
        <w:t>O</w:t>
      </w:r>
      <w:r w:rsidRPr="003A0343">
        <w:rPr>
          <w:rFonts w:ascii="Arial" w:hAnsi="Arial" w:cs="Arial"/>
          <w:sz w:val="17"/>
          <w:szCs w:val="17"/>
        </w:rPr>
        <w:t>ut Offer for the Remaining Shares of CFAO,” Toyota Tsusho Corporation</w:t>
      </w:r>
      <w:r>
        <w:rPr>
          <w:rFonts w:ascii="Arial" w:hAnsi="Arial" w:cs="Arial"/>
          <w:sz w:val="17"/>
          <w:szCs w:val="17"/>
        </w:rPr>
        <w:t xml:space="preserve">, </w:t>
      </w:r>
      <w:r w:rsidRPr="003A0343">
        <w:rPr>
          <w:rFonts w:ascii="Arial" w:hAnsi="Arial" w:cs="Arial"/>
          <w:sz w:val="17"/>
          <w:szCs w:val="17"/>
        </w:rPr>
        <w:t xml:space="preserve">November 22, 2016, accessed September 11, 2017, www.toyota-tsusho.com/english/press/detail/161122_003877.html; </w:t>
      </w:r>
      <w:r w:rsidRPr="002D0577">
        <w:rPr>
          <w:rFonts w:ascii="Arial" w:hAnsi="Arial" w:cs="Arial"/>
          <w:sz w:val="17"/>
          <w:szCs w:val="17"/>
        </w:rPr>
        <w:t xml:space="preserve">European </w:t>
      </w:r>
      <w:r>
        <w:rPr>
          <w:rFonts w:ascii="Arial" w:hAnsi="Arial" w:cs="Arial"/>
          <w:sz w:val="17"/>
          <w:szCs w:val="17"/>
        </w:rPr>
        <w:t>Commission,</w:t>
      </w:r>
      <w:r w:rsidRPr="002D0577">
        <w:rPr>
          <w:rFonts w:ascii="Arial" w:hAnsi="Arial" w:cs="Arial"/>
          <w:sz w:val="17"/>
          <w:szCs w:val="17"/>
        </w:rPr>
        <w:t xml:space="preserve"> </w:t>
      </w:r>
      <w:r w:rsidRPr="002C1C44">
        <w:rPr>
          <w:rFonts w:ascii="Arial" w:hAnsi="Arial" w:cs="Arial"/>
          <w:i/>
          <w:sz w:val="17"/>
          <w:szCs w:val="17"/>
        </w:rPr>
        <w:t>Case No COMP/M.6718—</w:t>
      </w:r>
      <w:r w:rsidRPr="002D0577">
        <w:rPr>
          <w:rFonts w:ascii="Arial" w:hAnsi="Arial" w:cs="Arial"/>
          <w:i/>
          <w:sz w:val="17"/>
          <w:szCs w:val="17"/>
        </w:rPr>
        <w:t>Toyota Tsusho Corporation</w:t>
      </w:r>
      <w:r w:rsidRPr="002C1C44">
        <w:rPr>
          <w:rFonts w:ascii="Arial" w:hAnsi="Arial" w:cs="Arial"/>
          <w:i/>
          <w:sz w:val="17"/>
          <w:szCs w:val="17"/>
        </w:rPr>
        <w:t>/CFAO</w:t>
      </w:r>
      <w:r w:rsidRPr="003A0343">
        <w:rPr>
          <w:rFonts w:ascii="Arial" w:hAnsi="Arial" w:cs="Arial"/>
          <w:sz w:val="17"/>
          <w:szCs w:val="17"/>
        </w:rPr>
        <w:t>, November 13, 2012, accessed September 11, 2017, http://ec.europa.eu/competition/mergers/cases/decisions/m6718_135_2.pdf; “PPR a annoncé jeudi 26 juillet 2012 l</w:t>
      </w:r>
      <w:r>
        <w:rPr>
          <w:rFonts w:ascii="Arial" w:hAnsi="Arial" w:cs="Arial"/>
          <w:sz w:val="17"/>
          <w:szCs w:val="17"/>
        </w:rPr>
        <w:t>’</w:t>
      </w:r>
      <w:r w:rsidRPr="003A0343">
        <w:rPr>
          <w:rFonts w:ascii="Arial" w:hAnsi="Arial" w:cs="Arial"/>
          <w:sz w:val="17"/>
          <w:szCs w:val="17"/>
        </w:rPr>
        <w:t>acquisition par Toyota Tsusho Corporation de 29,8% du capital de CFAO avec la possibilité de lancer une offre publique sur la totalité du capital</w:t>
      </w:r>
      <w:r>
        <w:rPr>
          <w:rFonts w:ascii="Arial" w:hAnsi="Arial" w:cs="Arial"/>
          <w:sz w:val="17"/>
          <w:szCs w:val="17"/>
        </w:rPr>
        <w:t>,” CFAO, press release</w:t>
      </w:r>
      <w:r w:rsidRPr="003A0343">
        <w:rPr>
          <w:rFonts w:ascii="Arial" w:hAnsi="Arial" w:cs="Arial"/>
          <w:sz w:val="17"/>
          <w:szCs w:val="17"/>
        </w:rPr>
        <w:t>, July 26, 2012, accessed September 11, 2017, www.cfaogroup.com/fr/actualites/ppr-a-annonce-jeudi-26-juillet-2012-l-acquisition-par-toyota-tsusho-corporation-de-29-8-du-capital-de-cfao-avec-la-possibilite-de-lancer-une-offre-publique-sur-la-totalite-du-capital/year/2012/page/3; “Notice on Results of Public Buy-out Offer for the Remaining Shares of CFAO</w:t>
      </w:r>
      <w:r w:rsidRPr="0011498F">
        <w:rPr>
          <w:rFonts w:ascii="Arial" w:hAnsi="Arial" w:cs="Arial"/>
          <w:sz w:val="17"/>
          <w:szCs w:val="17"/>
        </w:rPr>
        <w:t xml:space="preserve">,” </w:t>
      </w:r>
      <w:hyperlink r:id="rId1" w:history="1">
        <w:r w:rsidRPr="00C11717">
          <w:rPr>
            <w:rStyle w:val="Hyperlink"/>
            <w:rFonts w:ascii="Arial" w:hAnsi="Arial" w:cs="Arial"/>
            <w:color w:val="auto"/>
            <w:sz w:val="17"/>
            <w:szCs w:val="17"/>
            <w:u w:val="none"/>
          </w:rPr>
          <w:t>op</w:t>
        </w:r>
      </w:hyperlink>
      <w:r w:rsidRPr="0011498F">
        <w:rPr>
          <w:rFonts w:ascii="Arial" w:hAnsi="Arial" w:cs="Arial"/>
          <w:sz w:val="17"/>
          <w:szCs w:val="17"/>
        </w:rPr>
        <w:t>. cit</w:t>
      </w:r>
      <w:r w:rsidRPr="003A0343">
        <w:rPr>
          <w:rFonts w:ascii="Arial" w:hAnsi="Arial" w:cs="Arial"/>
          <w:sz w:val="17"/>
          <w:szCs w:val="17"/>
        </w:rPr>
        <w:t>.</w:t>
      </w:r>
    </w:p>
  </w:endnote>
  <w:endnote w:id="3">
    <w:p w14:paraId="2DB7D65C" w14:textId="6DA37541"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w:t>
      </w:r>
      <w:r>
        <w:rPr>
          <w:rFonts w:ascii="Arial" w:hAnsi="Arial" w:cs="Arial"/>
          <w:sz w:val="17"/>
          <w:szCs w:val="17"/>
        </w:rPr>
        <w:t>Corporation,</w:t>
      </w:r>
      <w:r w:rsidRPr="003A0343">
        <w:rPr>
          <w:rFonts w:ascii="Arial" w:hAnsi="Arial" w:cs="Arial"/>
          <w:sz w:val="17"/>
          <w:szCs w:val="17"/>
        </w:rPr>
        <w:t xml:space="preserve"> </w:t>
      </w:r>
      <w:r w:rsidRPr="002C1C44">
        <w:rPr>
          <w:rFonts w:ascii="Arial" w:hAnsi="Arial" w:cs="Arial"/>
          <w:i/>
          <w:sz w:val="17"/>
          <w:szCs w:val="17"/>
        </w:rPr>
        <w:t>Integrated Report 2016</w:t>
      </w:r>
      <w:r w:rsidRPr="003A0343">
        <w:rPr>
          <w:rFonts w:ascii="Arial" w:hAnsi="Arial" w:cs="Arial"/>
          <w:sz w:val="17"/>
          <w:szCs w:val="17"/>
        </w:rPr>
        <w:t>, 14, accessed September 11, 2017, www.toyota-tsusho.com/english/ir/pdf/library/integrated-report/ar2016e_all.pdf.</w:t>
      </w:r>
    </w:p>
  </w:endnote>
  <w:endnote w:id="4">
    <w:p w14:paraId="0A9DDE40" w14:textId="6B3E1C0F"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Corporation Completes Public Tender Offer for Shares of CFAO S.A.,” Toyota Tsusho Corporation</w:t>
      </w:r>
      <w:r>
        <w:rPr>
          <w:rFonts w:ascii="Arial" w:hAnsi="Arial" w:cs="Arial"/>
          <w:sz w:val="17"/>
          <w:szCs w:val="17"/>
        </w:rPr>
        <w:t xml:space="preserve">, </w:t>
      </w:r>
      <w:r w:rsidRPr="003A0343">
        <w:rPr>
          <w:rFonts w:ascii="Arial" w:hAnsi="Arial" w:cs="Arial"/>
          <w:sz w:val="17"/>
          <w:szCs w:val="17"/>
        </w:rPr>
        <w:t xml:space="preserve">December 24, 2012, accessed September 11, 2017, </w:t>
      </w:r>
      <w:r w:rsidR="00333DA7" w:rsidRPr="00333DA7">
        <w:rPr>
          <w:rFonts w:ascii="Arial" w:hAnsi="Arial" w:cs="Arial"/>
          <w:sz w:val="17"/>
          <w:szCs w:val="17"/>
        </w:rPr>
        <w:t>www.toyota-tsusho.com/english/press/detail/121224_001825</w:t>
      </w:r>
      <w:r w:rsidRPr="003A0343">
        <w:rPr>
          <w:rFonts w:ascii="Arial" w:hAnsi="Arial" w:cs="Arial"/>
          <w:sz w:val="17"/>
          <w:szCs w:val="17"/>
        </w:rPr>
        <w:t>.html.</w:t>
      </w:r>
    </w:p>
  </w:endnote>
  <w:endnote w:id="5">
    <w:p w14:paraId="654AB070" w14:textId="68AB7CD2"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Jiji, “All </w:t>
      </w:r>
      <w:r>
        <w:rPr>
          <w:rFonts w:ascii="Arial" w:hAnsi="Arial" w:cs="Arial"/>
          <w:sz w:val="17"/>
          <w:szCs w:val="17"/>
        </w:rPr>
        <w:t>S</w:t>
      </w:r>
      <w:r w:rsidRPr="003A0343">
        <w:rPr>
          <w:rFonts w:ascii="Arial" w:hAnsi="Arial" w:cs="Arial"/>
          <w:sz w:val="17"/>
          <w:szCs w:val="17"/>
        </w:rPr>
        <w:t xml:space="preserve">even </w:t>
      </w:r>
      <w:r>
        <w:rPr>
          <w:rFonts w:ascii="Arial" w:hAnsi="Arial" w:cs="Arial"/>
          <w:sz w:val="17"/>
          <w:szCs w:val="17"/>
        </w:rPr>
        <w:t>T</w:t>
      </w:r>
      <w:r w:rsidRPr="003A0343">
        <w:rPr>
          <w:rFonts w:ascii="Arial" w:hAnsi="Arial" w:cs="Arial"/>
          <w:sz w:val="17"/>
          <w:szCs w:val="17"/>
        </w:rPr>
        <w:t xml:space="preserve">op Japanese </w:t>
      </w:r>
      <w:r>
        <w:rPr>
          <w:rFonts w:ascii="Arial" w:hAnsi="Arial" w:cs="Arial"/>
          <w:sz w:val="17"/>
          <w:szCs w:val="17"/>
        </w:rPr>
        <w:t>T</w:t>
      </w:r>
      <w:r w:rsidRPr="003A0343">
        <w:rPr>
          <w:rFonts w:ascii="Arial" w:hAnsi="Arial" w:cs="Arial"/>
          <w:sz w:val="17"/>
          <w:szCs w:val="17"/>
        </w:rPr>
        <w:t xml:space="preserve">rading </w:t>
      </w:r>
      <w:r>
        <w:rPr>
          <w:rFonts w:ascii="Arial" w:hAnsi="Arial" w:cs="Arial"/>
          <w:sz w:val="17"/>
          <w:szCs w:val="17"/>
        </w:rPr>
        <w:t>F</w:t>
      </w:r>
      <w:r w:rsidRPr="003A0343">
        <w:rPr>
          <w:rFonts w:ascii="Arial" w:hAnsi="Arial" w:cs="Arial"/>
          <w:sz w:val="17"/>
          <w:szCs w:val="17"/>
        </w:rPr>
        <w:t xml:space="preserve">irms </w:t>
      </w:r>
      <w:r>
        <w:rPr>
          <w:rFonts w:ascii="Arial" w:hAnsi="Arial" w:cs="Arial"/>
          <w:sz w:val="17"/>
          <w:szCs w:val="17"/>
        </w:rPr>
        <w:t>E</w:t>
      </w:r>
      <w:r w:rsidRPr="003A0343">
        <w:rPr>
          <w:rFonts w:ascii="Arial" w:hAnsi="Arial" w:cs="Arial"/>
          <w:sz w:val="17"/>
          <w:szCs w:val="17"/>
        </w:rPr>
        <w:t xml:space="preserve">njoy </w:t>
      </w:r>
      <w:r>
        <w:rPr>
          <w:rFonts w:ascii="Arial" w:hAnsi="Arial" w:cs="Arial"/>
          <w:sz w:val="17"/>
          <w:szCs w:val="17"/>
        </w:rPr>
        <w:t>S</w:t>
      </w:r>
      <w:r w:rsidRPr="003A0343">
        <w:rPr>
          <w:rFonts w:ascii="Arial" w:hAnsi="Arial" w:cs="Arial"/>
          <w:sz w:val="17"/>
          <w:szCs w:val="17"/>
        </w:rPr>
        <w:t xml:space="preserve">trong </w:t>
      </w:r>
      <w:r>
        <w:rPr>
          <w:rFonts w:ascii="Arial" w:hAnsi="Arial" w:cs="Arial"/>
          <w:sz w:val="17"/>
          <w:szCs w:val="17"/>
        </w:rPr>
        <w:t>E</w:t>
      </w:r>
      <w:r w:rsidRPr="003A0343">
        <w:rPr>
          <w:rFonts w:ascii="Arial" w:hAnsi="Arial" w:cs="Arial"/>
          <w:sz w:val="17"/>
          <w:szCs w:val="17"/>
        </w:rPr>
        <w:t xml:space="preserve">arnings,” </w:t>
      </w:r>
      <w:r w:rsidRPr="002C1C44">
        <w:rPr>
          <w:rFonts w:ascii="Arial" w:hAnsi="Arial" w:cs="Arial"/>
          <w:i/>
          <w:sz w:val="17"/>
          <w:szCs w:val="17"/>
        </w:rPr>
        <w:t>Japan Times</w:t>
      </w:r>
      <w:r w:rsidRPr="003A0343">
        <w:rPr>
          <w:rFonts w:ascii="Arial" w:hAnsi="Arial" w:cs="Arial"/>
          <w:sz w:val="17"/>
          <w:szCs w:val="17"/>
        </w:rPr>
        <w:t>, May 10, 2017, accessed August 23, 2017, https://www.japantimes.co.jp/news/2017/05/10/business/corporate-business/seven-top-japanese-trading-firms-enjoy-strong-earnings/#.WZ0oFek5vdk; A</w:t>
      </w:r>
      <w:r>
        <w:rPr>
          <w:rFonts w:ascii="Arial" w:hAnsi="Arial" w:cs="Arial"/>
          <w:sz w:val="17"/>
          <w:szCs w:val="17"/>
        </w:rPr>
        <w:t xml:space="preserve"> Japanese trading house was a</w:t>
      </w:r>
      <w:r w:rsidRPr="003A0343">
        <w:rPr>
          <w:rFonts w:ascii="Arial" w:hAnsi="Arial" w:cs="Arial"/>
          <w:sz w:val="17"/>
          <w:szCs w:val="17"/>
        </w:rPr>
        <w:t xml:space="preserve">n extremely diversified company (called </w:t>
      </w:r>
      <w:r w:rsidRPr="00C11717">
        <w:rPr>
          <w:rFonts w:ascii="Arial" w:hAnsi="Arial" w:cs="Arial"/>
          <w:i/>
          <w:sz w:val="17"/>
          <w:szCs w:val="17"/>
        </w:rPr>
        <w:t>sōgō shōsha</w:t>
      </w:r>
      <w:r w:rsidRPr="003A0343">
        <w:rPr>
          <w:rFonts w:ascii="Arial" w:hAnsi="Arial" w:cs="Arial"/>
          <w:sz w:val="17"/>
          <w:szCs w:val="17"/>
        </w:rPr>
        <w:t xml:space="preserve"> in Japanese) that act</w:t>
      </w:r>
      <w:r>
        <w:rPr>
          <w:rFonts w:ascii="Arial" w:hAnsi="Arial" w:cs="Arial"/>
          <w:sz w:val="17"/>
          <w:szCs w:val="17"/>
        </w:rPr>
        <w:t>ed</w:t>
      </w:r>
      <w:r w:rsidRPr="003A0343">
        <w:rPr>
          <w:rFonts w:ascii="Arial" w:hAnsi="Arial" w:cs="Arial"/>
          <w:sz w:val="17"/>
          <w:szCs w:val="17"/>
        </w:rPr>
        <w:t xml:space="preserve"> not only as an intermediary</w:t>
      </w:r>
      <w:r>
        <w:rPr>
          <w:rFonts w:ascii="Arial" w:hAnsi="Arial" w:cs="Arial"/>
          <w:sz w:val="17"/>
          <w:szCs w:val="17"/>
        </w:rPr>
        <w:t xml:space="preserve"> that</w:t>
      </w:r>
      <w:r w:rsidRPr="003A0343">
        <w:rPr>
          <w:rFonts w:ascii="Arial" w:hAnsi="Arial" w:cs="Arial"/>
          <w:sz w:val="17"/>
          <w:szCs w:val="17"/>
        </w:rPr>
        <w:t xml:space="preserve"> trad</w:t>
      </w:r>
      <w:r>
        <w:rPr>
          <w:rFonts w:ascii="Arial" w:hAnsi="Arial" w:cs="Arial"/>
          <w:sz w:val="17"/>
          <w:szCs w:val="17"/>
        </w:rPr>
        <w:t>ed</w:t>
      </w:r>
      <w:r w:rsidRPr="003A0343">
        <w:rPr>
          <w:rFonts w:ascii="Arial" w:hAnsi="Arial" w:cs="Arial"/>
          <w:sz w:val="17"/>
          <w:szCs w:val="17"/>
        </w:rPr>
        <w:t xml:space="preserve"> a wide range of products and materials, but also engage</w:t>
      </w:r>
      <w:r>
        <w:rPr>
          <w:rFonts w:ascii="Arial" w:hAnsi="Arial" w:cs="Arial"/>
          <w:sz w:val="17"/>
          <w:szCs w:val="17"/>
        </w:rPr>
        <w:t>d</w:t>
      </w:r>
      <w:r w:rsidRPr="003A0343">
        <w:rPr>
          <w:rFonts w:ascii="Arial" w:hAnsi="Arial" w:cs="Arial"/>
          <w:sz w:val="17"/>
          <w:szCs w:val="17"/>
        </w:rPr>
        <w:t xml:space="preserve"> in logistics, plant development, other services, investments, </w:t>
      </w:r>
      <w:r>
        <w:rPr>
          <w:rFonts w:ascii="Arial" w:hAnsi="Arial" w:cs="Arial"/>
          <w:sz w:val="17"/>
          <w:szCs w:val="17"/>
        </w:rPr>
        <w:t>and</w:t>
      </w:r>
      <w:r w:rsidRPr="003A0343">
        <w:rPr>
          <w:rFonts w:ascii="Arial" w:hAnsi="Arial" w:cs="Arial"/>
          <w:sz w:val="17"/>
          <w:szCs w:val="17"/>
        </w:rPr>
        <w:t xml:space="preserve"> international resource exploration.</w:t>
      </w:r>
    </w:p>
  </w:endnote>
  <w:endnote w:id="6">
    <w:p w14:paraId="74700DF3" w14:textId="34D3381C"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w:t>
      </w:r>
      <w:r>
        <w:rPr>
          <w:rFonts w:ascii="Arial" w:hAnsi="Arial" w:cs="Arial"/>
          <w:sz w:val="17"/>
          <w:szCs w:val="17"/>
        </w:rPr>
        <w:t>Corporation,</w:t>
      </w:r>
      <w:r w:rsidRPr="003A0343">
        <w:rPr>
          <w:rFonts w:ascii="Arial" w:hAnsi="Arial" w:cs="Arial"/>
          <w:sz w:val="17"/>
          <w:szCs w:val="17"/>
        </w:rPr>
        <w:t xml:space="preserve"> </w:t>
      </w:r>
      <w:r w:rsidRPr="002C1C44">
        <w:rPr>
          <w:rFonts w:ascii="Arial" w:hAnsi="Arial" w:cs="Arial"/>
          <w:i/>
          <w:sz w:val="17"/>
          <w:szCs w:val="17"/>
        </w:rPr>
        <w:t>Annual Report 2008</w:t>
      </w:r>
      <w:r w:rsidRPr="003A0343">
        <w:rPr>
          <w:rFonts w:ascii="Arial" w:hAnsi="Arial" w:cs="Arial"/>
          <w:sz w:val="17"/>
          <w:szCs w:val="17"/>
        </w:rPr>
        <w:t>, 4</w:t>
      </w:r>
      <w:r>
        <w:rPr>
          <w:rFonts w:ascii="Arial" w:hAnsi="Arial" w:cs="Arial"/>
          <w:sz w:val="17"/>
          <w:szCs w:val="17"/>
        </w:rPr>
        <w:t>–</w:t>
      </w:r>
      <w:r w:rsidRPr="003A0343">
        <w:rPr>
          <w:rFonts w:ascii="Arial" w:hAnsi="Arial" w:cs="Arial"/>
          <w:sz w:val="17"/>
          <w:szCs w:val="17"/>
        </w:rPr>
        <w:t>18, accessed August 21, 2017, www.toyota-tsusho.com/english/ir/pdf/library/integrated-report/detailobj-762-datafile.pdf.</w:t>
      </w:r>
      <w:r>
        <w:rPr>
          <w:rFonts w:ascii="Arial" w:hAnsi="Arial" w:cs="Arial"/>
          <w:sz w:val="17"/>
          <w:szCs w:val="17"/>
        </w:rPr>
        <w:t xml:space="preserve"> </w:t>
      </w:r>
    </w:p>
  </w:endnote>
  <w:endnote w:id="7">
    <w:p w14:paraId="251BB207" w14:textId="59A9D4BD"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Corporation</w:t>
      </w:r>
      <w:r>
        <w:rPr>
          <w:rFonts w:ascii="Arial" w:hAnsi="Arial" w:cs="Arial"/>
          <w:sz w:val="17"/>
          <w:szCs w:val="17"/>
        </w:rPr>
        <w:t>,</w:t>
      </w:r>
      <w:r w:rsidRPr="003A0343">
        <w:rPr>
          <w:rFonts w:ascii="Arial" w:hAnsi="Arial" w:cs="Arial"/>
          <w:sz w:val="17"/>
          <w:szCs w:val="17"/>
        </w:rPr>
        <w:t xml:space="preserve"> </w:t>
      </w:r>
      <w:r w:rsidRPr="002C1C44">
        <w:rPr>
          <w:rFonts w:ascii="Arial" w:hAnsi="Arial" w:cs="Arial"/>
          <w:i/>
          <w:sz w:val="17"/>
          <w:szCs w:val="17"/>
        </w:rPr>
        <w:t>Annual Report 2007</w:t>
      </w:r>
      <w:r w:rsidRPr="003A0343">
        <w:rPr>
          <w:rFonts w:ascii="Arial" w:hAnsi="Arial" w:cs="Arial"/>
          <w:sz w:val="17"/>
          <w:szCs w:val="17"/>
        </w:rPr>
        <w:t>, 00</w:t>
      </w:r>
      <w:r>
        <w:rPr>
          <w:rFonts w:ascii="Arial" w:hAnsi="Arial" w:cs="Arial"/>
          <w:sz w:val="17"/>
          <w:szCs w:val="17"/>
        </w:rPr>
        <w:t>–</w:t>
      </w:r>
      <w:r w:rsidRPr="003A0343">
        <w:rPr>
          <w:rFonts w:ascii="Arial" w:hAnsi="Arial" w:cs="Arial"/>
          <w:sz w:val="17"/>
          <w:szCs w:val="17"/>
        </w:rPr>
        <w:t>01, accessed September 11, 2017, www.toyota-tsusho.com/english/ir/pdf/library/integrated-report/detailobj-619-datafile.pdf.</w:t>
      </w:r>
    </w:p>
  </w:endnote>
  <w:endnote w:id="8">
    <w:p w14:paraId="32896A9F" w14:textId="6353390A"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Corporation</w:t>
      </w:r>
      <w:r>
        <w:rPr>
          <w:rFonts w:ascii="Arial" w:hAnsi="Arial" w:cs="Arial"/>
          <w:sz w:val="17"/>
          <w:szCs w:val="17"/>
        </w:rPr>
        <w:t>,</w:t>
      </w:r>
      <w:r w:rsidRPr="003A0343">
        <w:rPr>
          <w:rFonts w:ascii="Arial" w:hAnsi="Arial" w:cs="Arial"/>
          <w:sz w:val="17"/>
          <w:szCs w:val="17"/>
        </w:rPr>
        <w:t xml:space="preserve"> </w:t>
      </w:r>
      <w:r w:rsidRPr="002C1C44">
        <w:rPr>
          <w:rFonts w:ascii="Arial" w:hAnsi="Arial" w:cs="Arial"/>
          <w:i/>
          <w:sz w:val="17"/>
          <w:szCs w:val="17"/>
        </w:rPr>
        <w:t>Annual Report 2013</w:t>
      </w:r>
      <w:r w:rsidRPr="003A0343">
        <w:rPr>
          <w:rFonts w:ascii="Arial" w:hAnsi="Arial" w:cs="Arial"/>
          <w:sz w:val="17"/>
          <w:szCs w:val="17"/>
        </w:rPr>
        <w:t>, 17, accessed September 11, 2017, www.toyota-tsusho.com/english/ir/pdf/library/integrated-report/ANNUAL2013EgALL.pdf.</w:t>
      </w:r>
      <w:r>
        <w:rPr>
          <w:rFonts w:ascii="Arial" w:hAnsi="Arial" w:cs="Arial"/>
          <w:sz w:val="17"/>
          <w:szCs w:val="17"/>
        </w:rPr>
        <w:t xml:space="preserve"> </w:t>
      </w:r>
    </w:p>
  </w:endnote>
  <w:endnote w:id="9">
    <w:p w14:paraId="51F76E04" w14:textId="362CE537"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Pr>
          <w:rFonts w:ascii="Arial" w:hAnsi="Arial" w:cs="Arial"/>
          <w:sz w:val="17"/>
          <w:szCs w:val="17"/>
        </w:rPr>
        <w:t>“</w:t>
      </w:r>
      <w:r w:rsidRPr="00C11717">
        <w:rPr>
          <w:rFonts w:ascii="Arial" w:hAnsi="Arial" w:cs="Arial"/>
          <w:sz w:val="17"/>
          <w:szCs w:val="17"/>
        </w:rPr>
        <w:t>2012 Fourth Quarter Results: 2012 Annual Results</w:t>
      </w:r>
      <w:r>
        <w:rPr>
          <w:rFonts w:ascii="Arial" w:hAnsi="Arial" w:cs="Arial"/>
          <w:i/>
          <w:sz w:val="17"/>
          <w:szCs w:val="17"/>
        </w:rPr>
        <w:t>,</w:t>
      </w:r>
      <w:r w:rsidRPr="003A0343">
        <w:rPr>
          <w:rFonts w:ascii="Arial" w:hAnsi="Arial" w:cs="Arial"/>
          <w:sz w:val="17"/>
          <w:szCs w:val="17"/>
        </w:rPr>
        <w:t>”</w:t>
      </w:r>
      <w:r>
        <w:rPr>
          <w:rFonts w:ascii="Arial" w:hAnsi="Arial" w:cs="Arial"/>
          <w:sz w:val="17"/>
          <w:szCs w:val="17"/>
        </w:rPr>
        <w:t xml:space="preserve"> CFAO,</w:t>
      </w:r>
      <w:r w:rsidRPr="003A0343">
        <w:rPr>
          <w:rFonts w:ascii="Arial" w:hAnsi="Arial" w:cs="Arial"/>
          <w:sz w:val="17"/>
          <w:szCs w:val="17"/>
        </w:rPr>
        <w:t xml:space="preserve"> </w:t>
      </w:r>
      <w:r>
        <w:rPr>
          <w:rFonts w:ascii="Arial" w:hAnsi="Arial" w:cs="Arial"/>
          <w:sz w:val="17"/>
          <w:szCs w:val="17"/>
        </w:rPr>
        <w:t>press release</w:t>
      </w:r>
      <w:r w:rsidRPr="003A0343">
        <w:rPr>
          <w:rFonts w:ascii="Arial" w:hAnsi="Arial" w:cs="Arial"/>
          <w:sz w:val="17"/>
          <w:szCs w:val="17"/>
        </w:rPr>
        <w:t>, 1</w:t>
      </w:r>
      <w:r>
        <w:rPr>
          <w:rFonts w:ascii="Arial" w:hAnsi="Arial" w:cs="Arial"/>
          <w:sz w:val="17"/>
          <w:szCs w:val="17"/>
        </w:rPr>
        <w:t>–</w:t>
      </w:r>
      <w:r w:rsidRPr="003A0343">
        <w:rPr>
          <w:rFonts w:ascii="Arial" w:hAnsi="Arial" w:cs="Arial"/>
          <w:sz w:val="17"/>
          <w:szCs w:val="17"/>
        </w:rPr>
        <w:t>8</w:t>
      </w:r>
      <w:r>
        <w:rPr>
          <w:rFonts w:ascii="Arial" w:hAnsi="Arial" w:cs="Arial"/>
          <w:sz w:val="17"/>
          <w:szCs w:val="17"/>
        </w:rPr>
        <w:t xml:space="preserve">, </w:t>
      </w:r>
      <w:r w:rsidRPr="003A0343">
        <w:rPr>
          <w:rFonts w:ascii="Arial" w:hAnsi="Arial" w:cs="Arial"/>
          <w:sz w:val="17"/>
          <w:szCs w:val="17"/>
        </w:rPr>
        <w:t>February 21, 2013, accessed September 11, 2017, http://phx.corporate-ir.net/External.File?item=UGFyZW50SUQ9MTcyNzA1fENoaWxkSUQ9LTF8VHlwZT0z&amp;t=1.</w:t>
      </w:r>
    </w:p>
  </w:endnote>
  <w:endnote w:id="10">
    <w:p w14:paraId="5AE20E76" w14:textId="1D87A6D7"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Corporation</w:t>
      </w:r>
      <w:r>
        <w:rPr>
          <w:rFonts w:ascii="Arial" w:hAnsi="Arial" w:cs="Arial"/>
          <w:sz w:val="17"/>
          <w:szCs w:val="17"/>
        </w:rPr>
        <w:t>,</w:t>
      </w:r>
      <w:r w:rsidRPr="003A0343">
        <w:rPr>
          <w:rFonts w:ascii="Arial" w:hAnsi="Arial" w:cs="Arial"/>
          <w:sz w:val="17"/>
          <w:szCs w:val="17"/>
        </w:rPr>
        <w:t xml:space="preserve"> </w:t>
      </w:r>
      <w:r w:rsidRPr="002C1C44">
        <w:rPr>
          <w:rFonts w:ascii="Arial" w:hAnsi="Arial" w:cs="Arial"/>
          <w:i/>
          <w:sz w:val="17"/>
          <w:szCs w:val="17"/>
        </w:rPr>
        <w:t>Annual Report 2013</w:t>
      </w:r>
      <w:r w:rsidRPr="003A0343">
        <w:rPr>
          <w:rFonts w:ascii="Arial" w:hAnsi="Arial" w:cs="Arial"/>
          <w:sz w:val="17"/>
          <w:szCs w:val="17"/>
        </w:rPr>
        <w:t xml:space="preserve">, </w:t>
      </w:r>
      <w:r>
        <w:rPr>
          <w:rFonts w:ascii="Arial" w:hAnsi="Arial" w:cs="Arial"/>
          <w:sz w:val="17"/>
          <w:szCs w:val="17"/>
        </w:rPr>
        <w:t xml:space="preserve">op. cit., </w:t>
      </w:r>
      <w:r w:rsidRPr="003A0343">
        <w:rPr>
          <w:rFonts w:ascii="Arial" w:hAnsi="Arial" w:cs="Arial"/>
          <w:sz w:val="17"/>
          <w:szCs w:val="17"/>
        </w:rPr>
        <w:t>8.</w:t>
      </w:r>
    </w:p>
  </w:endnote>
  <w:endnote w:id="11">
    <w:p w14:paraId="513464BB" w14:textId="7FEFD11C"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Corporation Completes Public Tender Offer for Shares of CFAO S.A</w:t>
      </w:r>
      <w:r w:rsidRPr="0011498F">
        <w:rPr>
          <w:rFonts w:ascii="Arial" w:hAnsi="Arial" w:cs="Arial"/>
          <w:sz w:val="17"/>
          <w:szCs w:val="17"/>
        </w:rPr>
        <w:t xml:space="preserve">.,” </w:t>
      </w:r>
      <w:hyperlink r:id="rId2" w:history="1">
        <w:r w:rsidRPr="00C11717">
          <w:rPr>
            <w:rStyle w:val="Hyperlink"/>
            <w:rFonts w:ascii="Arial" w:hAnsi="Arial" w:cs="Arial"/>
            <w:color w:val="auto"/>
            <w:sz w:val="17"/>
            <w:szCs w:val="17"/>
            <w:u w:val="none"/>
          </w:rPr>
          <w:t>op</w:t>
        </w:r>
      </w:hyperlink>
      <w:r w:rsidRPr="0011498F">
        <w:rPr>
          <w:rFonts w:ascii="Arial" w:hAnsi="Arial" w:cs="Arial"/>
          <w:sz w:val="17"/>
          <w:szCs w:val="17"/>
        </w:rPr>
        <w:t>. cit</w:t>
      </w:r>
      <w:r w:rsidRPr="003A0343">
        <w:rPr>
          <w:rFonts w:ascii="Arial" w:hAnsi="Arial" w:cs="Arial"/>
          <w:sz w:val="17"/>
          <w:szCs w:val="17"/>
        </w:rPr>
        <w:t>.</w:t>
      </w:r>
    </w:p>
  </w:endnote>
  <w:endnote w:id="12">
    <w:p w14:paraId="34AB1053" w14:textId="4F062F19"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Alexandra Frutos, “Renault-Nissan met fin à la plupart de ses contrats avec CFAO,” CCFA, July 30, 2013, accessed August 25, 2017, www.ccfa.fr/Renault-Nissan-met-fin-a-la,125037.</w:t>
      </w:r>
    </w:p>
  </w:endnote>
  <w:endnote w:id="13">
    <w:p w14:paraId="444BFEEA" w14:textId="72D9F846"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Lawrence Ngorand, “The Car Industry in Developing Countries: West Africa,” Linked</w:t>
      </w:r>
      <w:r>
        <w:rPr>
          <w:rFonts w:ascii="Arial" w:hAnsi="Arial" w:cs="Arial"/>
          <w:sz w:val="17"/>
          <w:szCs w:val="17"/>
        </w:rPr>
        <w:t>I</w:t>
      </w:r>
      <w:r w:rsidRPr="003A0343">
        <w:rPr>
          <w:rFonts w:ascii="Arial" w:hAnsi="Arial" w:cs="Arial"/>
          <w:sz w:val="17"/>
          <w:szCs w:val="17"/>
        </w:rPr>
        <w:t>n, March 4, 2015, ac</w:t>
      </w:r>
      <w:r w:rsidR="00333DA7">
        <w:rPr>
          <w:rFonts w:ascii="Arial" w:hAnsi="Arial" w:cs="Arial"/>
          <w:sz w:val="17"/>
          <w:szCs w:val="17"/>
        </w:rPr>
        <w:t xml:space="preserve">cessed August 18, 2017, </w:t>
      </w:r>
      <w:r w:rsidRPr="003A0343">
        <w:rPr>
          <w:rFonts w:ascii="Arial" w:hAnsi="Arial" w:cs="Arial"/>
          <w:sz w:val="17"/>
          <w:szCs w:val="17"/>
        </w:rPr>
        <w:t>www.linkedin.com/pulse/car-industry-developing-countries-west-africa-lawrence-ngorand-msc-.</w:t>
      </w:r>
    </w:p>
  </w:endnote>
  <w:endnote w:id="14">
    <w:p w14:paraId="006D1E29" w14:textId="16DEA8A1"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Corporation</w:t>
      </w:r>
      <w:r>
        <w:rPr>
          <w:rFonts w:ascii="Arial" w:hAnsi="Arial" w:cs="Arial"/>
          <w:sz w:val="17"/>
          <w:szCs w:val="17"/>
        </w:rPr>
        <w:t xml:space="preserve">, </w:t>
      </w:r>
      <w:r w:rsidRPr="00C11717">
        <w:rPr>
          <w:rFonts w:ascii="Arial" w:hAnsi="Arial" w:cs="Arial"/>
          <w:i/>
          <w:sz w:val="17"/>
          <w:szCs w:val="17"/>
        </w:rPr>
        <w:t>New Global Vision and Long-Term Business Plan,</w:t>
      </w:r>
      <w:r w:rsidRPr="003A0343">
        <w:rPr>
          <w:rFonts w:ascii="Arial" w:hAnsi="Arial" w:cs="Arial"/>
          <w:sz w:val="17"/>
          <w:szCs w:val="17"/>
        </w:rPr>
        <w:t xml:space="preserve"> 3</w:t>
      </w:r>
      <w:r>
        <w:rPr>
          <w:rFonts w:ascii="Arial" w:hAnsi="Arial" w:cs="Arial"/>
          <w:sz w:val="17"/>
          <w:szCs w:val="17"/>
        </w:rPr>
        <w:t>,</w:t>
      </w:r>
      <w:r w:rsidRPr="003A0343">
        <w:rPr>
          <w:rFonts w:ascii="Arial" w:hAnsi="Arial" w:cs="Arial"/>
          <w:sz w:val="17"/>
          <w:szCs w:val="17"/>
        </w:rPr>
        <w:t xml:space="preserve"> May 6, 2016, accessed September 11, 2017, https://www.toyota-tsusho.com/english/ir/pdf/management/plan_20160513_01.pdf.</w:t>
      </w:r>
    </w:p>
  </w:endnote>
  <w:endnote w:id="15">
    <w:p w14:paraId="0120DBB2" w14:textId="2DDEE5CB"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History,”</w:t>
      </w:r>
      <w:r>
        <w:rPr>
          <w:rFonts w:ascii="Arial" w:hAnsi="Arial" w:cs="Arial"/>
          <w:sz w:val="17"/>
          <w:szCs w:val="17"/>
        </w:rPr>
        <w:t xml:space="preserve"> </w:t>
      </w:r>
      <w:r w:rsidRPr="003A0343">
        <w:rPr>
          <w:rFonts w:ascii="Arial" w:hAnsi="Arial" w:cs="Arial"/>
          <w:sz w:val="17"/>
          <w:szCs w:val="17"/>
        </w:rPr>
        <w:t>Toyota Tsusho Corporation</w:t>
      </w:r>
      <w:r>
        <w:rPr>
          <w:rFonts w:ascii="Arial" w:hAnsi="Arial" w:cs="Arial"/>
          <w:sz w:val="17"/>
          <w:szCs w:val="17"/>
        </w:rPr>
        <w:t>,</w:t>
      </w:r>
      <w:r w:rsidRPr="003A0343">
        <w:rPr>
          <w:rFonts w:ascii="Arial" w:hAnsi="Arial" w:cs="Arial"/>
          <w:sz w:val="17"/>
          <w:szCs w:val="17"/>
        </w:rPr>
        <w:t xml:space="preserve"> accessed August 20, 2017, www.toyota-tsusho.com/english/company/history.html.</w:t>
      </w:r>
    </w:p>
  </w:endnote>
  <w:endnote w:id="16">
    <w:p w14:paraId="555220AB" w14:textId="4FA5BE48"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to </w:t>
      </w:r>
      <w:r>
        <w:rPr>
          <w:rFonts w:ascii="Arial" w:hAnsi="Arial" w:cs="Arial"/>
          <w:sz w:val="17"/>
          <w:szCs w:val="17"/>
        </w:rPr>
        <w:t>T</w:t>
      </w:r>
      <w:r w:rsidRPr="003A0343">
        <w:rPr>
          <w:rFonts w:ascii="Arial" w:hAnsi="Arial" w:cs="Arial"/>
          <w:sz w:val="17"/>
          <w:szCs w:val="17"/>
        </w:rPr>
        <w:t xml:space="preserve">ake on 10% of Tomen,” </w:t>
      </w:r>
      <w:r w:rsidRPr="002C1C44">
        <w:rPr>
          <w:rFonts w:ascii="Arial" w:hAnsi="Arial" w:cs="Arial"/>
          <w:i/>
          <w:sz w:val="17"/>
          <w:szCs w:val="17"/>
        </w:rPr>
        <w:t>Japan Times</w:t>
      </w:r>
      <w:r w:rsidRPr="003A0343">
        <w:rPr>
          <w:rFonts w:ascii="Arial" w:hAnsi="Arial" w:cs="Arial"/>
          <w:sz w:val="17"/>
          <w:szCs w:val="17"/>
        </w:rPr>
        <w:t>, March 25, 2000, accessed August 21, 2017, https://www.japantimes.co.jp/news/2000/03/25/business/toyota-tsusho-to-take-on-10-of-tomen/#.WZqw3Ok5vdk.</w:t>
      </w:r>
    </w:p>
  </w:endnote>
  <w:endnote w:id="17">
    <w:p w14:paraId="38C6FFC6" w14:textId="21ACDFA2" w:rsidR="00EC754F" w:rsidRPr="00E10672" w:rsidRDefault="00EC754F">
      <w:pPr>
        <w:pStyle w:val="EndnoteText"/>
        <w:rPr>
          <w:rFonts w:ascii="Arial" w:hAnsi="Arial" w:cs="Arial"/>
          <w:sz w:val="17"/>
          <w:szCs w:val="17"/>
          <w:lang w:val="en-CA"/>
        </w:rPr>
      </w:pPr>
      <w:r w:rsidRPr="00E10672">
        <w:rPr>
          <w:rStyle w:val="EndnoteReference"/>
          <w:rFonts w:ascii="Arial" w:hAnsi="Arial" w:cs="Arial"/>
          <w:sz w:val="17"/>
          <w:szCs w:val="17"/>
        </w:rPr>
        <w:endnoteRef/>
      </w:r>
      <w:r w:rsidRPr="00E10672">
        <w:rPr>
          <w:rFonts w:ascii="Arial" w:hAnsi="Arial" w:cs="Arial"/>
          <w:sz w:val="17"/>
          <w:szCs w:val="17"/>
        </w:rPr>
        <w:t xml:space="preserve"> </w:t>
      </w:r>
      <w:r w:rsidRPr="00E10672">
        <w:rPr>
          <w:rFonts w:ascii="Arial" w:hAnsi="Arial" w:cs="Arial"/>
          <w:sz w:val="17"/>
          <w:szCs w:val="17"/>
          <w:lang w:val="en-CA"/>
        </w:rPr>
        <w:t>¥ = Japanese yen; all currency amounts are in ¥ unless otherwise specified; US$1</w:t>
      </w:r>
      <w:r>
        <w:rPr>
          <w:rFonts w:ascii="Arial" w:hAnsi="Arial" w:cs="Arial"/>
          <w:sz w:val="17"/>
          <w:szCs w:val="17"/>
          <w:lang w:val="en-CA"/>
        </w:rPr>
        <w:t>.00</w:t>
      </w:r>
      <w:r w:rsidRPr="00E10672">
        <w:rPr>
          <w:rFonts w:ascii="Arial" w:hAnsi="Arial" w:cs="Arial"/>
          <w:sz w:val="17"/>
          <w:szCs w:val="17"/>
          <w:lang w:val="en-CA"/>
        </w:rPr>
        <w:t xml:space="preserve"> = ¥</w:t>
      </w:r>
      <w:r>
        <w:rPr>
          <w:rFonts w:ascii="Arial" w:hAnsi="Arial" w:cs="Arial"/>
          <w:sz w:val="17"/>
          <w:szCs w:val="17"/>
          <w:lang w:val="en-CA"/>
        </w:rPr>
        <w:t>114</w:t>
      </w:r>
      <w:r w:rsidRPr="00E10672">
        <w:rPr>
          <w:rFonts w:ascii="Arial" w:hAnsi="Arial" w:cs="Arial"/>
          <w:sz w:val="17"/>
          <w:szCs w:val="17"/>
          <w:lang w:val="en-CA"/>
        </w:rPr>
        <w:t>.</w:t>
      </w:r>
      <w:r>
        <w:rPr>
          <w:rFonts w:ascii="Arial" w:hAnsi="Arial" w:cs="Arial"/>
          <w:sz w:val="17"/>
          <w:szCs w:val="17"/>
          <w:lang w:val="en-CA"/>
        </w:rPr>
        <w:t>37</w:t>
      </w:r>
      <w:r w:rsidRPr="00E10672">
        <w:rPr>
          <w:rFonts w:ascii="Arial" w:hAnsi="Arial" w:cs="Arial"/>
          <w:sz w:val="17"/>
          <w:szCs w:val="17"/>
          <w:lang w:val="en-CA"/>
        </w:rPr>
        <w:t xml:space="preserve"> on De</w:t>
      </w:r>
      <w:r>
        <w:rPr>
          <w:rFonts w:ascii="Arial" w:hAnsi="Arial" w:cs="Arial"/>
          <w:sz w:val="17"/>
          <w:szCs w:val="17"/>
          <w:lang w:val="en-CA"/>
        </w:rPr>
        <w:t>ce</w:t>
      </w:r>
      <w:r w:rsidRPr="00E10672">
        <w:rPr>
          <w:rFonts w:ascii="Arial" w:hAnsi="Arial" w:cs="Arial"/>
          <w:sz w:val="17"/>
          <w:szCs w:val="17"/>
          <w:lang w:val="en-CA"/>
        </w:rPr>
        <w:t>mber 1, 2016.</w:t>
      </w:r>
    </w:p>
  </w:endnote>
  <w:endnote w:id="18">
    <w:p w14:paraId="3BC6D897" w14:textId="74CDFEA5"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w:t>
      </w:r>
      <w:r>
        <w:rPr>
          <w:rFonts w:ascii="Arial" w:hAnsi="Arial" w:cs="Arial"/>
          <w:sz w:val="17"/>
          <w:szCs w:val="17"/>
        </w:rPr>
        <w:t>T</w:t>
      </w:r>
      <w:r w:rsidRPr="003A0343">
        <w:rPr>
          <w:rFonts w:ascii="Arial" w:hAnsi="Arial" w:cs="Arial"/>
          <w:sz w:val="17"/>
          <w:szCs w:val="17"/>
        </w:rPr>
        <w:t xml:space="preserve">argets </w:t>
      </w:r>
      <w:r>
        <w:rPr>
          <w:rFonts w:ascii="Arial" w:hAnsi="Arial" w:cs="Arial"/>
          <w:sz w:val="17"/>
          <w:szCs w:val="17"/>
        </w:rPr>
        <w:t>C</w:t>
      </w:r>
      <w:r w:rsidRPr="003A0343">
        <w:rPr>
          <w:rFonts w:ascii="Arial" w:hAnsi="Arial" w:cs="Arial"/>
          <w:sz w:val="17"/>
          <w:szCs w:val="17"/>
        </w:rPr>
        <w:t xml:space="preserve">ultural </w:t>
      </w:r>
      <w:r>
        <w:rPr>
          <w:rFonts w:ascii="Arial" w:hAnsi="Arial" w:cs="Arial"/>
          <w:sz w:val="17"/>
          <w:szCs w:val="17"/>
        </w:rPr>
        <w:t>U</w:t>
      </w:r>
      <w:r w:rsidRPr="003A0343">
        <w:rPr>
          <w:rFonts w:ascii="Arial" w:hAnsi="Arial" w:cs="Arial"/>
          <w:sz w:val="17"/>
          <w:szCs w:val="17"/>
        </w:rPr>
        <w:t xml:space="preserve">nderstanding for </w:t>
      </w:r>
      <w:r>
        <w:rPr>
          <w:rFonts w:ascii="Arial" w:hAnsi="Arial" w:cs="Arial"/>
          <w:sz w:val="17"/>
          <w:szCs w:val="17"/>
        </w:rPr>
        <w:t>G</w:t>
      </w:r>
      <w:r w:rsidRPr="003A0343">
        <w:rPr>
          <w:rFonts w:ascii="Arial" w:hAnsi="Arial" w:cs="Arial"/>
          <w:sz w:val="17"/>
          <w:szCs w:val="17"/>
        </w:rPr>
        <w:t xml:space="preserve">rowth in China,” </w:t>
      </w:r>
      <w:r w:rsidRPr="002C1C44">
        <w:rPr>
          <w:rFonts w:ascii="Arial" w:hAnsi="Arial" w:cs="Arial"/>
          <w:i/>
          <w:sz w:val="17"/>
          <w:szCs w:val="17"/>
        </w:rPr>
        <w:t>China Daily</w:t>
      </w:r>
      <w:r w:rsidRPr="003A0343">
        <w:rPr>
          <w:rFonts w:ascii="Arial" w:hAnsi="Arial" w:cs="Arial"/>
          <w:sz w:val="17"/>
          <w:szCs w:val="17"/>
        </w:rPr>
        <w:t>, March 23, 2009, accessed August 21, 2017, www.chinadaily.com.cn/cndy/2009-03/23/content_7604127.htm.</w:t>
      </w:r>
    </w:p>
  </w:endnote>
  <w:endnote w:id="19">
    <w:p w14:paraId="21BD6753" w14:textId="18ECF99F"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Corporation</w:t>
      </w:r>
      <w:r>
        <w:rPr>
          <w:rFonts w:ascii="Arial" w:hAnsi="Arial" w:cs="Arial"/>
          <w:sz w:val="17"/>
          <w:szCs w:val="17"/>
        </w:rPr>
        <w:t>,</w:t>
      </w:r>
      <w:r w:rsidRPr="003A0343">
        <w:rPr>
          <w:rFonts w:ascii="Arial" w:hAnsi="Arial" w:cs="Arial"/>
          <w:sz w:val="17"/>
          <w:szCs w:val="17"/>
        </w:rPr>
        <w:t xml:space="preserve"> </w:t>
      </w:r>
      <w:r w:rsidRPr="002C1C44">
        <w:rPr>
          <w:rFonts w:ascii="Arial" w:hAnsi="Arial" w:cs="Arial"/>
          <w:i/>
          <w:sz w:val="17"/>
          <w:szCs w:val="17"/>
        </w:rPr>
        <w:t>Annual Report 2008</w:t>
      </w:r>
      <w:r w:rsidRPr="003A0343">
        <w:rPr>
          <w:rFonts w:ascii="Arial" w:hAnsi="Arial" w:cs="Arial"/>
          <w:sz w:val="17"/>
          <w:szCs w:val="17"/>
        </w:rPr>
        <w:t xml:space="preserve">, </w:t>
      </w:r>
      <w:r>
        <w:rPr>
          <w:rFonts w:ascii="Arial" w:hAnsi="Arial" w:cs="Arial"/>
          <w:sz w:val="17"/>
          <w:szCs w:val="17"/>
        </w:rPr>
        <w:t>op. cit</w:t>
      </w:r>
      <w:r w:rsidRPr="003A0343">
        <w:rPr>
          <w:rFonts w:ascii="Arial" w:hAnsi="Arial" w:cs="Arial"/>
          <w:sz w:val="17"/>
          <w:szCs w:val="17"/>
        </w:rPr>
        <w:t>.</w:t>
      </w:r>
      <w:r>
        <w:rPr>
          <w:rFonts w:ascii="Arial" w:hAnsi="Arial" w:cs="Arial"/>
          <w:sz w:val="17"/>
          <w:szCs w:val="17"/>
        </w:rPr>
        <w:t xml:space="preserve"> </w:t>
      </w:r>
    </w:p>
  </w:endnote>
  <w:endnote w:id="20">
    <w:p w14:paraId="59FDCC27" w14:textId="0EE6A0AD"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“Stories of Our Projects</w:t>
      </w:r>
      <w:r>
        <w:rPr>
          <w:rFonts w:ascii="Arial" w:hAnsi="Arial" w:cs="Arial"/>
          <w:sz w:val="17"/>
          <w:szCs w:val="17"/>
        </w:rPr>
        <w:t>,</w:t>
      </w:r>
      <w:r w:rsidRPr="003A0343">
        <w:rPr>
          <w:rFonts w:ascii="Arial" w:hAnsi="Arial" w:cs="Arial"/>
          <w:sz w:val="17"/>
          <w:szCs w:val="17"/>
        </w:rPr>
        <w:t>”</w:t>
      </w:r>
      <w:r>
        <w:rPr>
          <w:rFonts w:ascii="Arial" w:hAnsi="Arial" w:cs="Arial"/>
          <w:sz w:val="17"/>
          <w:szCs w:val="17"/>
        </w:rPr>
        <w:t xml:space="preserve"> </w:t>
      </w:r>
      <w:r w:rsidRPr="003A0343">
        <w:rPr>
          <w:rFonts w:ascii="Arial" w:hAnsi="Arial" w:cs="Arial"/>
          <w:sz w:val="17"/>
          <w:szCs w:val="17"/>
        </w:rPr>
        <w:t>Toyota Tsusho Corporation, accessed August 22, 2017, www.toyota-tsusho.com/english/about/project/11/.</w:t>
      </w:r>
    </w:p>
  </w:endnote>
  <w:endnote w:id="21">
    <w:p w14:paraId="5A958D90" w14:textId="40AED17B"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“CFAO Group History,”</w:t>
      </w:r>
      <w:r>
        <w:rPr>
          <w:rFonts w:ascii="Arial" w:hAnsi="Arial" w:cs="Arial"/>
          <w:sz w:val="17"/>
          <w:szCs w:val="17"/>
        </w:rPr>
        <w:t xml:space="preserve"> </w:t>
      </w:r>
      <w:r w:rsidRPr="003A0343">
        <w:rPr>
          <w:rFonts w:ascii="Arial" w:hAnsi="Arial" w:cs="Arial"/>
          <w:sz w:val="17"/>
          <w:szCs w:val="17"/>
        </w:rPr>
        <w:t>Toyota Tsusho Corporation</w:t>
      </w:r>
      <w:r>
        <w:rPr>
          <w:rFonts w:ascii="Arial" w:hAnsi="Arial" w:cs="Arial"/>
          <w:sz w:val="17"/>
          <w:szCs w:val="17"/>
        </w:rPr>
        <w:t>,</w:t>
      </w:r>
      <w:r w:rsidRPr="003A0343">
        <w:rPr>
          <w:rFonts w:ascii="Arial" w:hAnsi="Arial" w:cs="Arial"/>
          <w:sz w:val="17"/>
          <w:szCs w:val="17"/>
        </w:rPr>
        <w:t xml:space="preserve"> accessed August 21, 2017, www.cfaogroup.com/en/history.</w:t>
      </w:r>
    </w:p>
  </w:endnote>
  <w:endnote w:id="22">
    <w:p w14:paraId="5155B4B0" w14:textId="59A75FA7"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The term “Maghreb” referred to Algeria</w:t>
      </w:r>
      <w:r w:rsidR="00333DA7">
        <w:rPr>
          <w:rFonts w:ascii="Arial" w:hAnsi="Arial" w:cs="Arial"/>
          <w:sz w:val="17"/>
          <w:szCs w:val="17"/>
        </w:rPr>
        <w:t>, Morocco, and Tunisia, but</w:t>
      </w:r>
      <w:r w:rsidRPr="003A0343">
        <w:rPr>
          <w:rFonts w:ascii="Arial" w:hAnsi="Arial" w:cs="Arial"/>
          <w:sz w:val="17"/>
          <w:szCs w:val="17"/>
        </w:rPr>
        <w:t xml:space="preserve"> the CFAO Group only operated in Algeria and Morocco.</w:t>
      </w:r>
    </w:p>
  </w:endnote>
  <w:endnote w:id="23">
    <w:p w14:paraId="02036708" w14:textId="312F777D"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en passe de mettre la main sur CFAO</w:t>
      </w:r>
      <w:r>
        <w:rPr>
          <w:rFonts w:ascii="Arial" w:hAnsi="Arial" w:cs="Arial"/>
          <w:sz w:val="17"/>
          <w:szCs w:val="17"/>
        </w:rPr>
        <w:t xml:space="preserve"> </w:t>
      </w:r>
      <w:r w:rsidRPr="003A0343">
        <w:rPr>
          <w:rFonts w:ascii="Arial" w:hAnsi="Arial" w:cs="Arial"/>
          <w:sz w:val="17"/>
          <w:szCs w:val="17"/>
        </w:rPr>
        <w:t>Pinault se débarrasse de la vieille dame de l’Afrique francophone!,” lefaso.net, August 20, 2012, accessed August 22, 2017, http://lefaso.net/spip.php?article49688.</w:t>
      </w:r>
    </w:p>
  </w:endnote>
  <w:endnote w:id="24">
    <w:p w14:paraId="401EC91C" w14:textId="64F08E00"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sidRPr="002C1C44">
        <w:rPr>
          <w:rFonts w:ascii="Arial" w:hAnsi="Arial" w:cs="Arial"/>
          <w:sz w:val="17"/>
          <w:szCs w:val="17"/>
        </w:rPr>
        <w:t>“PPR Chairman During an Interview in 2010,” accessed August 22, 2017, Bourse Reflex, www.boursereflex.com/actu/2010/12/21</w:t>
      </w:r>
      <w:r w:rsidRPr="003A0343">
        <w:rPr>
          <w:rFonts w:ascii="Arial" w:hAnsi="Arial" w:cs="Arial"/>
          <w:sz w:val="17"/>
          <w:szCs w:val="17"/>
        </w:rPr>
        <w:t>.</w:t>
      </w:r>
    </w:p>
  </w:endnote>
  <w:endnote w:id="25">
    <w:p w14:paraId="00BA92A4" w14:textId="3001678A"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Pr>
          <w:rFonts w:ascii="Arial" w:hAnsi="Arial" w:cs="Arial"/>
          <w:sz w:val="17"/>
          <w:szCs w:val="17"/>
        </w:rPr>
        <w:t xml:space="preserve">€ = euro; US$1.00 = </w:t>
      </w:r>
      <w:r w:rsidRPr="00B96B29">
        <w:rPr>
          <w:rFonts w:ascii="Arial" w:hAnsi="Arial" w:cs="Arial"/>
          <w:sz w:val="17"/>
          <w:szCs w:val="17"/>
        </w:rPr>
        <w:t>€0.81</w:t>
      </w:r>
      <w:r>
        <w:rPr>
          <w:rFonts w:ascii="Arial" w:hAnsi="Arial" w:cs="Arial"/>
          <w:sz w:val="17"/>
          <w:szCs w:val="17"/>
        </w:rPr>
        <w:t xml:space="preserve"> as of July 31, 2012;</w:t>
      </w:r>
      <w:r w:rsidRPr="00B96B29">
        <w:rPr>
          <w:rFonts w:ascii="Arial" w:hAnsi="Arial" w:cs="Arial"/>
          <w:sz w:val="17"/>
          <w:szCs w:val="17"/>
        </w:rPr>
        <w:t xml:space="preserve"> </w:t>
      </w:r>
      <w:r w:rsidRPr="003A0343">
        <w:rPr>
          <w:rFonts w:ascii="Arial" w:hAnsi="Arial" w:cs="Arial"/>
          <w:sz w:val="17"/>
          <w:szCs w:val="17"/>
        </w:rPr>
        <w:t>“PPR lâche CFAO à Toyota</w:t>
      </w:r>
      <w:r>
        <w:rPr>
          <w:rFonts w:ascii="Arial" w:hAnsi="Arial" w:cs="Arial"/>
          <w:sz w:val="17"/>
          <w:szCs w:val="17"/>
        </w:rPr>
        <w:t>,</w:t>
      </w:r>
      <w:r w:rsidRPr="003A0343">
        <w:rPr>
          <w:rFonts w:ascii="Arial" w:hAnsi="Arial" w:cs="Arial"/>
          <w:sz w:val="17"/>
          <w:szCs w:val="17"/>
        </w:rPr>
        <w:t xml:space="preserve">” </w:t>
      </w:r>
      <w:r w:rsidRPr="002C1C44">
        <w:rPr>
          <w:rFonts w:ascii="Arial" w:hAnsi="Arial" w:cs="Arial"/>
          <w:i/>
          <w:sz w:val="17"/>
          <w:szCs w:val="17"/>
        </w:rPr>
        <w:t>La Tribune</w:t>
      </w:r>
      <w:r w:rsidRPr="003A0343">
        <w:rPr>
          <w:rFonts w:ascii="Arial" w:hAnsi="Arial" w:cs="Arial"/>
          <w:sz w:val="17"/>
          <w:szCs w:val="17"/>
        </w:rPr>
        <w:t>, July 26, 2012, accessed August 22, 2017, www.latribune.fr/entreprises-finance/services/distribution/20120726trib000711046/ppr-lache-cfao-a-toyota.html.</w:t>
      </w:r>
    </w:p>
  </w:endnote>
  <w:endnote w:id="26">
    <w:p w14:paraId="67E584F6" w14:textId="6231BB42"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Pr>
          <w:rFonts w:ascii="Arial" w:hAnsi="Arial" w:cs="Arial"/>
          <w:sz w:val="17"/>
          <w:szCs w:val="17"/>
        </w:rPr>
        <w:t>Ibid</w:t>
      </w:r>
      <w:r w:rsidRPr="003A0343">
        <w:rPr>
          <w:rFonts w:ascii="Arial" w:hAnsi="Arial" w:cs="Arial"/>
          <w:sz w:val="17"/>
          <w:szCs w:val="17"/>
        </w:rPr>
        <w:t>.</w:t>
      </w:r>
    </w:p>
  </w:endnote>
  <w:endnote w:id="27">
    <w:p w14:paraId="47EB8E0E" w14:textId="3DC6E25C"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“Stories of Our Projects</w:t>
      </w:r>
      <w:r>
        <w:rPr>
          <w:rFonts w:ascii="Arial" w:hAnsi="Arial" w:cs="Arial"/>
          <w:sz w:val="17"/>
          <w:szCs w:val="17"/>
        </w:rPr>
        <w:t>,</w:t>
      </w:r>
      <w:r w:rsidRPr="003A0343">
        <w:rPr>
          <w:rFonts w:ascii="Arial" w:hAnsi="Arial" w:cs="Arial"/>
          <w:sz w:val="17"/>
          <w:szCs w:val="17"/>
        </w:rPr>
        <w:t>” Toyota Tsusho Corporation</w:t>
      </w:r>
      <w:r>
        <w:rPr>
          <w:rFonts w:ascii="Arial" w:hAnsi="Arial" w:cs="Arial"/>
          <w:sz w:val="17"/>
          <w:szCs w:val="17"/>
        </w:rPr>
        <w:t>,</w:t>
      </w:r>
      <w:r w:rsidRPr="003A0343">
        <w:rPr>
          <w:rFonts w:ascii="Arial" w:hAnsi="Arial" w:cs="Arial"/>
          <w:sz w:val="17"/>
          <w:szCs w:val="17"/>
        </w:rPr>
        <w:t xml:space="preserve"> accessed August 22, 2017, </w:t>
      </w:r>
      <w:r w:rsidR="00333DA7" w:rsidRPr="00333DA7">
        <w:rPr>
          <w:rFonts w:ascii="Arial" w:hAnsi="Arial" w:cs="Arial"/>
          <w:sz w:val="17"/>
          <w:szCs w:val="17"/>
        </w:rPr>
        <w:t>www.toyota-tsusho.com/english</w:t>
      </w:r>
      <w:r w:rsidRPr="003A0343">
        <w:rPr>
          <w:rFonts w:ascii="Arial" w:hAnsi="Arial" w:cs="Arial"/>
          <w:sz w:val="17"/>
          <w:szCs w:val="17"/>
        </w:rPr>
        <w:t>/about</w:t>
      </w:r>
      <w:r w:rsidR="00333DA7">
        <w:rPr>
          <w:rFonts w:ascii="Arial" w:hAnsi="Arial" w:cs="Arial"/>
          <w:sz w:val="17"/>
          <w:szCs w:val="17"/>
        </w:rPr>
        <w:t xml:space="preserve"> </w:t>
      </w:r>
      <w:r w:rsidRPr="003A0343">
        <w:rPr>
          <w:rFonts w:ascii="Arial" w:hAnsi="Arial" w:cs="Arial"/>
          <w:sz w:val="17"/>
          <w:szCs w:val="17"/>
        </w:rPr>
        <w:t>/project/11/.</w:t>
      </w:r>
    </w:p>
  </w:endnote>
  <w:endnote w:id="28">
    <w:p w14:paraId="6DB746C8" w14:textId="03FB03DC"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Pr>
          <w:rFonts w:ascii="Arial" w:hAnsi="Arial" w:cs="Arial"/>
          <w:sz w:val="17"/>
          <w:szCs w:val="17"/>
        </w:rPr>
        <w:t>“</w:t>
      </w:r>
      <w:r w:rsidRPr="00431E01">
        <w:rPr>
          <w:rFonts w:ascii="Arial" w:hAnsi="Arial" w:cs="Arial"/>
          <w:sz w:val="17"/>
          <w:szCs w:val="17"/>
        </w:rPr>
        <w:t>T</w:t>
      </w:r>
      <w:r>
        <w:rPr>
          <w:rFonts w:ascii="Arial" w:hAnsi="Arial" w:cs="Arial"/>
          <w:sz w:val="17"/>
          <w:szCs w:val="17"/>
        </w:rPr>
        <w:t>oyota</w:t>
      </w:r>
      <w:r w:rsidR="00333DA7">
        <w:rPr>
          <w:rFonts w:ascii="Arial" w:hAnsi="Arial" w:cs="Arial"/>
          <w:sz w:val="17"/>
          <w:szCs w:val="17"/>
        </w:rPr>
        <w:t xml:space="preserve"> by CFAO: </w:t>
      </w:r>
      <w:r w:rsidRPr="00431E01">
        <w:rPr>
          <w:rFonts w:ascii="Arial" w:hAnsi="Arial" w:cs="Arial"/>
          <w:sz w:val="17"/>
          <w:szCs w:val="17"/>
        </w:rPr>
        <w:t>Le partenaire historique en Afrique</w:t>
      </w:r>
      <w:r>
        <w:rPr>
          <w:rFonts w:ascii="Arial" w:hAnsi="Arial" w:cs="Arial"/>
          <w:sz w:val="17"/>
          <w:szCs w:val="17"/>
        </w:rPr>
        <w:t xml:space="preserve">,” </w:t>
      </w:r>
      <w:r w:rsidRPr="003A0343">
        <w:rPr>
          <w:rFonts w:ascii="Arial" w:hAnsi="Arial" w:cs="Arial"/>
          <w:sz w:val="17"/>
          <w:szCs w:val="17"/>
        </w:rPr>
        <w:t xml:space="preserve">CPS Africa, accessed August 22, 2017, </w:t>
      </w:r>
      <w:r w:rsidR="00333DA7" w:rsidRPr="00333DA7">
        <w:rPr>
          <w:rFonts w:ascii="Arial" w:hAnsi="Arial" w:cs="Arial"/>
          <w:sz w:val="17"/>
          <w:szCs w:val="17"/>
        </w:rPr>
        <w:t>www.cpsafrica.com/fr</w:t>
      </w:r>
      <w:r w:rsidR="00333DA7">
        <w:rPr>
          <w:rFonts w:ascii="Arial" w:hAnsi="Arial" w:cs="Arial"/>
          <w:sz w:val="17"/>
          <w:szCs w:val="17"/>
        </w:rPr>
        <w:t xml:space="preserve"> </w:t>
      </w:r>
      <w:r w:rsidRPr="003A0343">
        <w:rPr>
          <w:rFonts w:ascii="Arial" w:hAnsi="Arial" w:cs="Arial"/>
          <w:sz w:val="17"/>
          <w:szCs w:val="17"/>
        </w:rPr>
        <w:t>/vehicules/toyota/.</w:t>
      </w:r>
    </w:p>
  </w:endnote>
  <w:endnote w:id="29">
    <w:p w14:paraId="30079D37" w14:textId="383DB862"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European Commission</w:t>
      </w:r>
      <w:r>
        <w:rPr>
          <w:rFonts w:ascii="Arial" w:hAnsi="Arial" w:cs="Arial"/>
          <w:sz w:val="17"/>
          <w:szCs w:val="17"/>
        </w:rPr>
        <w:t>, op. cit.</w:t>
      </w:r>
      <w:r w:rsidRPr="003A0343">
        <w:rPr>
          <w:rFonts w:ascii="Arial" w:hAnsi="Arial" w:cs="Arial"/>
          <w:sz w:val="17"/>
          <w:szCs w:val="17"/>
        </w:rPr>
        <w:t>, 2.</w:t>
      </w:r>
    </w:p>
  </w:endnote>
  <w:endnote w:id="30">
    <w:p w14:paraId="3F14FF86" w14:textId="289F72C5"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Pr>
          <w:rFonts w:ascii="Arial" w:hAnsi="Arial" w:cs="Arial"/>
          <w:sz w:val="17"/>
          <w:szCs w:val="17"/>
        </w:rPr>
        <w:t>Ibid</w:t>
      </w:r>
      <w:r w:rsidRPr="003A0343">
        <w:rPr>
          <w:rFonts w:ascii="Arial" w:hAnsi="Arial" w:cs="Arial"/>
          <w:sz w:val="17"/>
          <w:szCs w:val="17"/>
        </w:rPr>
        <w:t>.</w:t>
      </w:r>
    </w:p>
  </w:endnote>
  <w:endnote w:id="31">
    <w:p w14:paraId="22715CD2" w14:textId="33B08606"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Pr>
          <w:rFonts w:ascii="Arial" w:hAnsi="Arial" w:cs="Arial"/>
          <w:sz w:val="17"/>
          <w:szCs w:val="17"/>
        </w:rPr>
        <w:t xml:space="preserve">CFAO, </w:t>
      </w:r>
      <w:r w:rsidRPr="00C11717">
        <w:rPr>
          <w:rFonts w:ascii="Arial" w:hAnsi="Arial" w:cs="Arial"/>
          <w:i/>
          <w:sz w:val="17"/>
          <w:szCs w:val="17"/>
        </w:rPr>
        <w:t>Response Document to the Tender</w:t>
      </w:r>
      <w:r w:rsidRPr="003A0343">
        <w:rPr>
          <w:rFonts w:ascii="Arial" w:hAnsi="Arial" w:cs="Arial"/>
          <w:sz w:val="17"/>
          <w:szCs w:val="17"/>
        </w:rPr>
        <w:t>, 7</w:t>
      </w:r>
      <w:r>
        <w:rPr>
          <w:rFonts w:ascii="Arial" w:hAnsi="Arial" w:cs="Arial"/>
          <w:sz w:val="17"/>
          <w:szCs w:val="17"/>
        </w:rPr>
        <w:t>–</w:t>
      </w:r>
      <w:r w:rsidRPr="003A0343">
        <w:rPr>
          <w:rFonts w:ascii="Arial" w:hAnsi="Arial" w:cs="Arial"/>
          <w:sz w:val="17"/>
          <w:szCs w:val="17"/>
        </w:rPr>
        <w:t>8</w:t>
      </w:r>
      <w:r>
        <w:rPr>
          <w:rFonts w:ascii="Arial" w:hAnsi="Arial" w:cs="Arial"/>
          <w:sz w:val="17"/>
          <w:szCs w:val="17"/>
        </w:rPr>
        <w:t>,</w:t>
      </w:r>
      <w:r w:rsidRPr="003A0343">
        <w:rPr>
          <w:rFonts w:ascii="Arial" w:hAnsi="Arial" w:cs="Arial"/>
          <w:sz w:val="17"/>
          <w:szCs w:val="17"/>
        </w:rPr>
        <w:t xml:space="preserve"> accessed August 23, 2017, www.cfaogroup.com/static/2012/10/17/CFAO-Note-reponse-EN.pdf?S1At8h3LFLrYoKdZgBFybA:S1At8h3LFLrYoKdZgBFybA:fcbLWYIg4ii5ktRhYuv3gw.</w:t>
      </w:r>
    </w:p>
  </w:endnote>
  <w:endnote w:id="32">
    <w:p w14:paraId="339B1A5C" w14:textId="219497A9" w:rsidR="00EC754F" w:rsidRPr="003A0343" w:rsidRDefault="00EC754F" w:rsidP="003E5859">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Richard Bielle, </w:t>
      </w:r>
      <w:r>
        <w:rPr>
          <w:rFonts w:ascii="Arial" w:hAnsi="Arial" w:cs="Arial"/>
          <w:sz w:val="17"/>
          <w:szCs w:val="17"/>
        </w:rPr>
        <w:t>“</w:t>
      </w:r>
      <w:r w:rsidRPr="003E5859">
        <w:rPr>
          <w:rFonts w:ascii="Arial" w:hAnsi="Arial" w:cs="Arial"/>
          <w:sz w:val="17"/>
          <w:szCs w:val="17"/>
        </w:rPr>
        <w:t>Une année 2013</w:t>
      </w:r>
      <w:r>
        <w:rPr>
          <w:rFonts w:ascii="Arial" w:hAnsi="Arial" w:cs="Arial"/>
          <w:sz w:val="17"/>
          <w:szCs w:val="17"/>
        </w:rPr>
        <w:t>: En</w:t>
      </w:r>
      <w:r w:rsidRPr="003E5859">
        <w:rPr>
          <w:rFonts w:ascii="Arial" w:hAnsi="Arial" w:cs="Arial"/>
          <w:sz w:val="17"/>
          <w:szCs w:val="17"/>
        </w:rPr>
        <w:t xml:space="preserve"> demi-tei</w:t>
      </w:r>
      <w:r>
        <w:rPr>
          <w:rFonts w:ascii="Arial" w:hAnsi="Arial" w:cs="Arial"/>
          <w:sz w:val="17"/>
          <w:szCs w:val="17"/>
        </w:rPr>
        <w:t>n</w:t>
      </w:r>
      <w:r w:rsidRPr="003E5859">
        <w:rPr>
          <w:rFonts w:ascii="Arial" w:hAnsi="Arial" w:cs="Arial"/>
          <w:sz w:val="17"/>
          <w:szCs w:val="17"/>
        </w:rPr>
        <w:t>te</w:t>
      </w:r>
      <w:r>
        <w:rPr>
          <w:rFonts w:ascii="Arial" w:hAnsi="Arial" w:cs="Arial"/>
          <w:sz w:val="17"/>
          <w:szCs w:val="17"/>
        </w:rPr>
        <w:t>,”</w:t>
      </w:r>
      <w:r w:rsidRPr="003A0343">
        <w:rPr>
          <w:rFonts w:ascii="Arial" w:hAnsi="Arial" w:cs="Arial"/>
          <w:sz w:val="17"/>
          <w:szCs w:val="17"/>
        </w:rPr>
        <w:t xml:space="preserve"> </w:t>
      </w:r>
      <w:r w:rsidRPr="002C1C44">
        <w:rPr>
          <w:rFonts w:ascii="Arial" w:hAnsi="Arial" w:cs="Arial"/>
          <w:i/>
          <w:sz w:val="17"/>
          <w:szCs w:val="17"/>
        </w:rPr>
        <w:t>Contact</w:t>
      </w:r>
      <w:r w:rsidRPr="003A0343">
        <w:rPr>
          <w:rFonts w:ascii="Arial" w:hAnsi="Arial" w:cs="Arial"/>
          <w:sz w:val="17"/>
          <w:szCs w:val="17"/>
        </w:rPr>
        <w:t xml:space="preserve"> </w:t>
      </w:r>
      <w:r>
        <w:rPr>
          <w:rFonts w:ascii="Arial" w:hAnsi="Arial" w:cs="Arial"/>
          <w:sz w:val="17"/>
          <w:szCs w:val="17"/>
        </w:rPr>
        <w:t>(</w:t>
      </w:r>
      <w:r w:rsidRPr="003A0343">
        <w:rPr>
          <w:rFonts w:ascii="Arial" w:hAnsi="Arial" w:cs="Arial"/>
          <w:sz w:val="17"/>
          <w:szCs w:val="17"/>
        </w:rPr>
        <w:t>March 2014</w:t>
      </w:r>
      <w:r>
        <w:rPr>
          <w:rFonts w:ascii="Arial" w:hAnsi="Arial" w:cs="Arial"/>
          <w:sz w:val="17"/>
          <w:szCs w:val="17"/>
        </w:rPr>
        <w:t>)</w:t>
      </w:r>
      <w:r w:rsidRPr="003A0343">
        <w:rPr>
          <w:rFonts w:ascii="Arial" w:hAnsi="Arial" w:cs="Arial"/>
          <w:sz w:val="17"/>
          <w:szCs w:val="17"/>
        </w:rPr>
        <w:t>, 6, accessed August 23, 2017, www.cfao-technologies.com/static/2014/04/02/Contact_73-fr_PP2.pdf?fWXuV9UXyr5DpS-c5IMqZQ:fWXuV9UXyr5DpS-c5IMqZQ:jBDGNt1Rio4OSd3mfoi7EQ.</w:t>
      </w:r>
    </w:p>
  </w:endnote>
  <w:endnote w:id="33">
    <w:p w14:paraId="05863408" w14:textId="453C141C" w:rsidR="00EC754F" w:rsidRPr="003070D8" w:rsidRDefault="00EC754F">
      <w:pPr>
        <w:pStyle w:val="EndnoteText"/>
        <w:rPr>
          <w:rFonts w:ascii="Arial" w:hAnsi="Arial" w:cs="Arial"/>
          <w:sz w:val="17"/>
          <w:szCs w:val="17"/>
          <w:lang w:val="en-CA"/>
        </w:rPr>
      </w:pPr>
      <w:r w:rsidRPr="003070D8">
        <w:rPr>
          <w:rStyle w:val="EndnoteReference"/>
          <w:rFonts w:ascii="Arial" w:hAnsi="Arial" w:cs="Arial"/>
          <w:sz w:val="17"/>
          <w:szCs w:val="17"/>
        </w:rPr>
        <w:endnoteRef/>
      </w:r>
      <w:r w:rsidRPr="003070D8">
        <w:rPr>
          <w:rFonts w:ascii="Arial" w:hAnsi="Arial" w:cs="Arial"/>
          <w:sz w:val="17"/>
          <w:szCs w:val="17"/>
        </w:rPr>
        <w:t xml:space="preserve"> Olivier Caslin</w:t>
      </w:r>
      <w:r>
        <w:rPr>
          <w:rFonts w:ascii="Arial" w:hAnsi="Arial" w:cs="Arial"/>
          <w:sz w:val="17"/>
          <w:szCs w:val="17"/>
        </w:rPr>
        <w:t xml:space="preserve">, </w:t>
      </w:r>
      <w:r w:rsidRPr="003070D8">
        <w:rPr>
          <w:rFonts w:ascii="Arial" w:hAnsi="Arial" w:cs="Arial"/>
          <w:sz w:val="17"/>
          <w:szCs w:val="17"/>
        </w:rPr>
        <w:t xml:space="preserve">“Richard Bielle: « CFAO et Toyota Tsusho Corporation sont très complémentaires »,” </w:t>
      </w:r>
      <w:r w:rsidRPr="003070D8">
        <w:rPr>
          <w:rFonts w:ascii="Arial" w:hAnsi="Arial" w:cs="Arial"/>
          <w:i/>
          <w:sz w:val="17"/>
          <w:szCs w:val="17"/>
        </w:rPr>
        <w:t>Jeune Afrique</w:t>
      </w:r>
      <w:r w:rsidRPr="003070D8">
        <w:rPr>
          <w:rFonts w:ascii="Arial" w:hAnsi="Arial" w:cs="Arial"/>
          <w:sz w:val="17"/>
          <w:szCs w:val="17"/>
        </w:rPr>
        <w:t>, July 29, 2016, accessed August 23, 2017, www.jeuneafrique.com/345005/economie/richard-bielle-cfao-toyota-tsusho-corporation-tres-complementairesc.</w:t>
      </w:r>
    </w:p>
  </w:endnote>
  <w:endnote w:id="34">
    <w:p w14:paraId="43CB4543" w14:textId="3191F01B"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“All </w:t>
      </w:r>
      <w:r>
        <w:rPr>
          <w:rFonts w:ascii="Arial" w:hAnsi="Arial" w:cs="Arial"/>
          <w:sz w:val="17"/>
          <w:szCs w:val="17"/>
        </w:rPr>
        <w:t>S</w:t>
      </w:r>
      <w:r w:rsidRPr="003A0343">
        <w:rPr>
          <w:rFonts w:ascii="Arial" w:hAnsi="Arial" w:cs="Arial"/>
          <w:sz w:val="17"/>
          <w:szCs w:val="17"/>
        </w:rPr>
        <w:t xml:space="preserve">even </w:t>
      </w:r>
      <w:r>
        <w:rPr>
          <w:rFonts w:ascii="Arial" w:hAnsi="Arial" w:cs="Arial"/>
          <w:sz w:val="17"/>
          <w:szCs w:val="17"/>
        </w:rPr>
        <w:t>T</w:t>
      </w:r>
      <w:r w:rsidRPr="003A0343">
        <w:rPr>
          <w:rFonts w:ascii="Arial" w:hAnsi="Arial" w:cs="Arial"/>
          <w:sz w:val="17"/>
          <w:szCs w:val="17"/>
        </w:rPr>
        <w:t xml:space="preserve">op Japanese </w:t>
      </w:r>
      <w:r>
        <w:rPr>
          <w:rFonts w:ascii="Arial" w:hAnsi="Arial" w:cs="Arial"/>
          <w:sz w:val="17"/>
          <w:szCs w:val="17"/>
        </w:rPr>
        <w:t>T</w:t>
      </w:r>
      <w:r w:rsidRPr="003A0343">
        <w:rPr>
          <w:rFonts w:ascii="Arial" w:hAnsi="Arial" w:cs="Arial"/>
          <w:sz w:val="17"/>
          <w:szCs w:val="17"/>
        </w:rPr>
        <w:t xml:space="preserve">rading </w:t>
      </w:r>
      <w:r>
        <w:rPr>
          <w:rFonts w:ascii="Arial" w:hAnsi="Arial" w:cs="Arial"/>
          <w:sz w:val="17"/>
          <w:szCs w:val="17"/>
        </w:rPr>
        <w:t>F</w:t>
      </w:r>
      <w:r w:rsidRPr="003A0343">
        <w:rPr>
          <w:rFonts w:ascii="Arial" w:hAnsi="Arial" w:cs="Arial"/>
          <w:sz w:val="17"/>
          <w:szCs w:val="17"/>
        </w:rPr>
        <w:t xml:space="preserve">irms </w:t>
      </w:r>
      <w:r>
        <w:rPr>
          <w:rFonts w:ascii="Arial" w:hAnsi="Arial" w:cs="Arial"/>
          <w:sz w:val="17"/>
          <w:szCs w:val="17"/>
        </w:rPr>
        <w:t>E</w:t>
      </w:r>
      <w:r w:rsidRPr="003A0343">
        <w:rPr>
          <w:rFonts w:ascii="Arial" w:hAnsi="Arial" w:cs="Arial"/>
          <w:sz w:val="17"/>
          <w:szCs w:val="17"/>
        </w:rPr>
        <w:t xml:space="preserve">njoy </w:t>
      </w:r>
      <w:r>
        <w:rPr>
          <w:rFonts w:ascii="Arial" w:hAnsi="Arial" w:cs="Arial"/>
          <w:sz w:val="17"/>
          <w:szCs w:val="17"/>
        </w:rPr>
        <w:t>S</w:t>
      </w:r>
      <w:r w:rsidRPr="003A0343">
        <w:rPr>
          <w:rFonts w:ascii="Arial" w:hAnsi="Arial" w:cs="Arial"/>
          <w:sz w:val="17"/>
          <w:szCs w:val="17"/>
        </w:rPr>
        <w:t xml:space="preserve">trong </w:t>
      </w:r>
      <w:r>
        <w:rPr>
          <w:rFonts w:ascii="Arial" w:hAnsi="Arial" w:cs="Arial"/>
          <w:sz w:val="17"/>
          <w:szCs w:val="17"/>
        </w:rPr>
        <w:t>E</w:t>
      </w:r>
      <w:r w:rsidRPr="003A0343">
        <w:rPr>
          <w:rFonts w:ascii="Arial" w:hAnsi="Arial" w:cs="Arial"/>
          <w:sz w:val="17"/>
          <w:szCs w:val="17"/>
        </w:rPr>
        <w:t xml:space="preserve">arnings,” </w:t>
      </w:r>
      <w:r w:rsidRPr="002C1C44">
        <w:rPr>
          <w:rFonts w:ascii="Arial" w:hAnsi="Arial" w:cs="Arial"/>
          <w:i/>
          <w:sz w:val="17"/>
          <w:szCs w:val="17"/>
        </w:rPr>
        <w:t>Japan Times</w:t>
      </w:r>
      <w:r w:rsidRPr="003A0343">
        <w:rPr>
          <w:rFonts w:ascii="Arial" w:hAnsi="Arial" w:cs="Arial"/>
          <w:sz w:val="17"/>
          <w:szCs w:val="17"/>
        </w:rPr>
        <w:t>, May 10, 2017, ac</w:t>
      </w:r>
      <w:r w:rsidR="00333DA7">
        <w:rPr>
          <w:rFonts w:ascii="Arial" w:hAnsi="Arial" w:cs="Arial"/>
          <w:sz w:val="17"/>
          <w:szCs w:val="17"/>
        </w:rPr>
        <w:t xml:space="preserve">cessed August 23, 2017, </w:t>
      </w:r>
      <w:r w:rsidRPr="003A0343">
        <w:rPr>
          <w:rFonts w:ascii="Arial" w:hAnsi="Arial" w:cs="Arial"/>
          <w:sz w:val="17"/>
          <w:szCs w:val="17"/>
        </w:rPr>
        <w:t>www.japantimes.co.jp/news/2017/05/10/business/corporate-business/seven-top-japanese-trading-firms-enjoy-strong-earnings/#.WZ0oFek5vdk.</w:t>
      </w:r>
    </w:p>
  </w:endnote>
  <w:endnote w:id="35">
    <w:p w14:paraId="06C6017C" w14:textId="212DEFF6"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Business Over</w:t>
      </w:r>
      <w:r>
        <w:rPr>
          <w:rFonts w:ascii="Arial" w:hAnsi="Arial" w:cs="Arial"/>
          <w:sz w:val="17"/>
          <w:szCs w:val="17"/>
        </w:rPr>
        <w:t>v</w:t>
      </w:r>
      <w:r w:rsidRPr="003A0343">
        <w:rPr>
          <w:rFonts w:ascii="Arial" w:hAnsi="Arial" w:cs="Arial"/>
          <w:sz w:val="17"/>
          <w:szCs w:val="17"/>
        </w:rPr>
        <w:t>iew,”</w:t>
      </w:r>
      <w:r>
        <w:rPr>
          <w:rFonts w:ascii="Arial" w:hAnsi="Arial" w:cs="Arial"/>
          <w:sz w:val="17"/>
          <w:szCs w:val="17"/>
        </w:rPr>
        <w:t xml:space="preserve"> </w:t>
      </w:r>
      <w:r w:rsidRPr="003070D8">
        <w:rPr>
          <w:rFonts w:ascii="Arial" w:hAnsi="Arial" w:cs="Arial"/>
          <w:sz w:val="17"/>
          <w:szCs w:val="17"/>
        </w:rPr>
        <w:t>Toyota Tsusho Corporation</w:t>
      </w:r>
      <w:r>
        <w:rPr>
          <w:rFonts w:ascii="Arial" w:hAnsi="Arial" w:cs="Arial"/>
          <w:sz w:val="17"/>
          <w:szCs w:val="17"/>
        </w:rPr>
        <w:t>,</w:t>
      </w:r>
      <w:r w:rsidRPr="003A0343">
        <w:rPr>
          <w:rFonts w:ascii="Arial" w:hAnsi="Arial" w:cs="Arial"/>
          <w:sz w:val="17"/>
          <w:szCs w:val="17"/>
        </w:rPr>
        <w:t xml:space="preserve"> accessed August 23, 2017, www.toyota-tsusho.com/english/business/.</w:t>
      </w:r>
    </w:p>
  </w:endnote>
  <w:endnote w:id="36">
    <w:p w14:paraId="540622F3" w14:textId="23F76EC2"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Pr>
          <w:rFonts w:ascii="Arial" w:hAnsi="Arial" w:cs="Arial"/>
          <w:sz w:val="17"/>
          <w:szCs w:val="17"/>
        </w:rPr>
        <w:t>Our Market Positioning</w:t>
      </w:r>
      <w:r w:rsidRPr="003A0343">
        <w:rPr>
          <w:rFonts w:ascii="Arial" w:hAnsi="Arial" w:cs="Arial"/>
          <w:sz w:val="17"/>
          <w:szCs w:val="17"/>
        </w:rPr>
        <w:t>,” CFAO</w:t>
      </w:r>
      <w:r>
        <w:rPr>
          <w:rFonts w:ascii="Arial" w:hAnsi="Arial" w:cs="Arial"/>
          <w:sz w:val="17"/>
          <w:szCs w:val="17"/>
        </w:rPr>
        <w:t xml:space="preserve">, </w:t>
      </w:r>
      <w:r w:rsidRPr="003A0343">
        <w:rPr>
          <w:rFonts w:ascii="Arial" w:hAnsi="Arial" w:cs="Arial"/>
          <w:sz w:val="17"/>
          <w:szCs w:val="17"/>
        </w:rPr>
        <w:t>accessed August 23, 2017, www.cfaogroup.com/en/market-positioning.</w:t>
      </w:r>
    </w:p>
  </w:endnote>
  <w:endnote w:id="37">
    <w:p w14:paraId="3E566F2F" w14:textId="3A3222AE"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Pr>
          <w:rFonts w:ascii="Arial" w:hAnsi="Arial" w:cs="Arial"/>
          <w:sz w:val="17"/>
          <w:szCs w:val="17"/>
        </w:rPr>
        <w:t>Ibid</w:t>
      </w:r>
      <w:r w:rsidRPr="003A0343">
        <w:rPr>
          <w:rFonts w:ascii="Arial" w:hAnsi="Arial" w:cs="Arial"/>
          <w:sz w:val="17"/>
          <w:szCs w:val="17"/>
        </w:rPr>
        <w:t>.</w:t>
      </w:r>
    </w:p>
  </w:endnote>
  <w:endnote w:id="38">
    <w:p w14:paraId="1D7C5095" w14:textId="76D0DB28"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“Equipment,” CFAO</w:t>
      </w:r>
      <w:r>
        <w:rPr>
          <w:rFonts w:ascii="Arial" w:hAnsi="Arial" w:cs="Arial"/>
          <w:sz w:val="17"/>
          <w:szCs w:val="17"/>
        </w:rPr>
        <w:t xml:space="preserve">, </w:t>
      </w:r>
      <w:r w:rsidRPr="003A0343">
        <w:rPr>
          <w:rFonts w:ascii="Arial" w:hAnsi="Arial" w:cs="Arial"/>
          <w:sz w:val="17"/>
          <w:szCs w:val="17"/>
        </w:rPr>
        <w:t>accessed August 23, 2017, www.cfaogroup.com/en/our-activities/equipment.</w:t>
      </w:r>
    </w:p>
  </w:endnote>
  <w:endnote w:id="39">
    <w:p w14:paraId="66F05705" w14:textId="56117561"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“Healthcare,” CFAO</w:t>
      </w:r>
      <w:r>
        <w:rPr>
          <w:rFonts w:ascii="Arial" w:hAnsi="Arial" w:cs="Arial"/>
          <w:sz w:val="17"/>
          <w:szCs w:val="17"/>
        </w:rPr>
        <w:t xml:space="preserve">, </w:t>
      </w:r>
      <w:r w:rsidRPr="003A0343">
        <w:rPr>
          <w:rFonts w:ascii="Arial" w:hAnsi="Arial" w:cs="Arial"/>
          <w:sz w:val="17"/>
          <w:szCs w:val="17"/>
        </w:rPr>
        <w:t>accessed August 23, 2017, www.cfaogroup.com/en/our-activities/healthcare.</w:t>
      </w:r>
    </w:p>
  </w:endnote>
  <w:endnote w:id="40">
    <w:p w14:paraId="59D60ED2" w14:textId="72A4DC01"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“Consumer Goods,” CFAO</w:t>
      </w:r>
      <w:r>
        <w:rPr>
          <w:rFonts w:ascii="Arial" w:hAnsi="Arial" w:cs="Arial"/>
          <w:sz w:val="17"/>
          <w:szCs w:val="17"/>
        </w:rPr>
        <w:t xml:space="preserve">, </w:t>
      </w:r>
      <w:r w:rsidRPr="003A0343">
        <w:rPr>
          <w:rFonts w:ascii="Arial" w:hAnsi="Arial" w:cs="Arial"/>
          <w:sz w:val="17"/>
          <w:szCs w:val="17"/>
        </w:rPr>
        <w:t>accessed August 23, 2017, www.cfaogroup.com/en/our-activities/consumer-goods.</w:t>
      </w:r>
    </w:p>
  </w:endnote>
  <w:endnote w:id="41">
    <w:p w14:paraId="2183F56C" w14:textId="7F7ACA49"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Pr>
          <w:rFonts w:ascii="Arial" w:hAnsi="Arial" w:cs="Arial"/>
          <w:sz w:val="17"/>
          <w:szCs w:val="17"/>
        </w:rPr>
        <w:t>Ibid</w:t>
      </w:r>
      <w:r w:rsidRPr="003A0343">
        <w:rPr>
          <w:rFonts w:ascii="Arial" w:hAnsi="Arial" w:cs="Arial"/>
          <w:sz w:val="17"/>
          <w:szCs w:val="17"/>
        </w:rPr>
        <w:t>.</w:t>
      </w:r>
    </w:p>
  </w:endnote>
  <w:endnote w:id="42">
    <w:p w14:paraId="32D30382" w14:textId="68B35B90"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Pr>
          <w:rFonts w:ascii="Arial" w:hAnsi="Arial" w:cs="Arial"/>
          <w:sz w:val="17"/>
          <w:szCs w:val="17"/>
        </w:rPr>
        <w:t>Our</w:t>
      </w:r>
      <w:r w:rsidRPr="003A0343">
        <w:rPr>
          <w:rFonts w:ascii="Arial" w:hAnsi="Arial" w:cs="Arial"/>
          <w:sz w:val="17"/>
          <w:szCs w:val="17"/>
        </w:rPr>
        <w:t xml:space="preserve"> Activities</w:t>
      </w:r>
      <w:r>
        <w:rPr>
          <w:rFonts w:ascii="Arial" w:hAnsi="Arial" w:cs="Arial"/>
          <w:sz w:val="17"/>
          <w:szCs w:val="17"/>
        </w:rPr>
        <w:t>:</w:t>
      </w:r>
      <w:r w:rsidRPr="003A0343">
        <w:rPr>
          <w:rFonts w:ascii="Arial" w:hAnsi="Arial" w:cs="Arial"/>
          <w:sz w:val="17"/>
          <w:szCs w:val="17"/>
        </w:rPr>
        <w:t xml:space="preserve"> Other Sectors,” CFAO</w:t>
      </w:r>
      <w:r>
        <w:rPr>
          <w:rFonts w:ascii="Arial" w:hAnsi="Arial" w:cs="Arial"/>
          <w:sz w:val="17"/>
          <w:szCs w:val="17"/>
        </w:rPr>
        <w:t xml:space="preserve">, </w:t>
      </w:r>
      <w:r w:rsidRPr="003A0343">
        <w:rPr>
          <w:rFonts w:ascii="Arial" w:hAnsi="Arial" w:cs="Arial"/>
          <w:sz w:val="17"/>
          <w:szCs w:val="17"/>
        </w:rPr>
        <w:t>accessed August 23, 2017, www.cfaogroup.com/en/our-activities/autres-secteurs.</w:t>
      </w:r>
    </w:p>
  </w:endnote>
  <w:endnote w:id="43">
    <w:p w14:paraId="614FBEBC" w14:textId="2F9FCC41"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Pr>
          <w:rFonts w:ascii="Arial" w:hAnsi="Arial" w:cs="Arial"/>
          <w:sz w:val="17"/>
          <w:szCs w:val="17"/>
        </w:rPr>
        <w:t>Ibid</w:t>
      </w:r>
      <w:r w:rsidRPr="003A0343">
        <w:rPr>
          <w:rFonts w:ascii="Arial" w:hAnsi="Arial" w:cs="Arial"/>
          <w:sz w:val="17"/>
          <w:szCs w:val="17"/>
        </w:rPr>
        <w:t>.</w:t>
      </w:r>
    </w:p>
  </w:endnote>
  <w:endnote w:id="44">
    <w:p w14:paraId="3701BD75" w14:textId="42DD9BC5"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Pr>
          <w:rFonts w:ascii="Arial" w:hAnsi="Arial" w:cs="Arial"/>
          <w:sz w:val="17"/>
          <w:szCs w:val="17"/>
        </w:rPr>
        <w:t>Ibid</w:t>
      </w:r>
      <w:r w:rsidRPr="003A0343">
        <w:rPr>
          <w:rFonts w:ascii="Arial" w:hAnsi="Arial" w:cs="Arial"/>
          <w:sz w:val="17"/>
          <w:szCs w:val="17"/>
        </w:rPr>
        <w:t>.</w:t>
      </w:r>
    </w:p>
  </w:endnote>
  <w:endnote w:id="45">
    <w:p w14:paraId="0BF66711" w14:textId="024831A2"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sidRPr="003070D8">
        <w:rPr>
          <w:rFonts w:ascii="Arial" w:hAnsi="Arial" w:cs="Arial"/>
          <w:sz w:val="17"/>
          <w:szCs w:val="17"/>
        </w:rPr>
        <w:t>Toyota Tsusho Corporation</w:t>
      </w:r>
      <w:r>
        <w:rPr>
          <w:rFonts w:ascii="Arial" w:hAnsi="Arial" w:cs="Arial"/>
          <w:sz w:val="17"/>
          <w:szCs w:val="17"/>
        </w:rPr>
        <w:t>,</w:t>
      </w:r>
      <w:r w:rsidRPr="003A0343">
        <w:rPr>
          <w:rFonts w:ascii="Arial" w:hAnsi="Arial" w:cs="Arial"/>
          <w:sz w:val="17"/>
          <w:szCs w:val="17"/>
        </w:rPr>
        <w:t xml:space="preserve"> </w:t>
      </w:r>
      <w:r w:rsidRPr="002C1C44">
        <w:rPr>
          <w:rFonts w:ascii="Arial" w:hAnsi="Arial" w:cs="Arial"/>
          <w:i/>
          <w:sz w:val="17"/>
          <w:szCs w:val="17"/>
        </w:rPr>
        <w:t>Annual Report 2013</w:t>
      </w:r>
      <w:hyperlink w:history="1"/>
      <w:r>
        <w:rPr>
          <w:rFonts w:ascii="Arial" w:hAnsi="Arial" w:cs="Arial"/>
          <w:sz w:val="17"/>
          <w:szCs w:val="17"/>
        </w:rPr>
        <w:t>, op. cit</w:t>
      </w:r>
      <w:r w:rsidRPr="003A0343">
        <w:rPr>
          <w:rFonts w:ascii="Arial" w:hAnsi="Arial" w:cs="Arial"/>
          <w:sz w:val="17"/>
          <w:szCs w:val="17"/>
        </w:rPr>
        <w:t>.</w:t>
      </w:r>
    </w:p>
  </w:endnote>
  <w:endnote w:id="46">
    <w:p w14:paraId="436D4CC1" w14:textId="3048630C" w:rsidR="00EC754F" w:rsidRPr="001741D1" w:rsidRDefault="00EC754F">
      <w:pPr>
        <w:pStyle w:val="EndnoteText"/>
        <w:rPr>
          <w:rFonts w:ascii="Arial" w:hAnsi="Arial" w:cs="Arial"/>
          <w:sz w:val="17"/>
          <w:szCs w:val="17"/>
          <w:lang w:val="en-CA"/>
        </w:rPr>
      </w:pPr>
      <w:r w:rsidRPr="001741D1">
        <w:rPr>
          <w:rStyle w:val="EndnoteReference"/>
          <w:rFonts w:ascii="Arial" w:hAnsi="Arial" w:cs="Arial"/>
          <w:sz w:val="17"/>
          <w:szCs w:val="17"/>
        </w:rPr>
        <w:endnoteRef/>
      </w:r>
      <w:r w:rsidRPr="001741D1">
        <w:rPr>
          <w:rFonts w:ascii="Arial" w:hAnsi="Arial" w:cs="Arial"/>
          <w:sz w:val="17"/>
          <w:szCs w:val="17"/>
        </w:rPr>
        <w:t xml:space="preserve"> Ngorand, </w:t>
      </w:r>
      <w:hyperlink r:id="rId3" w:history="1">
        <w:r w:rsidRPr="00C11717">
          <w:rPr>
            <w:rStyle w:val="Hyperlink"/>
            <w:rFonts w:ascii="Arial" w:hAnsi="Arial" w:cs="Arial"/>
            <w:color w:val="auto"/>
            <w:sz w:val="17"/>
            <w:szCs w:val="17"/>
            <w:u w:val="none"/>
          </w:rPr>
          <w:t>op</w:t>
        </w:r>
      </w:hyperlink>
      <w:r w:rsidRPr="00E2740A">
        <w:rPr>
          <w:rFonts w:ascii="Arial" w:hAnsi="Arial" w:cs="Arial"/>
          <w:sz w:val="17"/>
          <w:szCs w:val="17"/>
        </w:rPr>
        <w:t xml:space="preserve">. </w:t>
      </w:r>
      <w:r>
        <w:rPr>
          <w:rFonts w:ascii="Arial" w:hAnsi="Arial" w:cs="Arial"/>
          <w:sz w:val="17"/>
          <w:szCs w:val="17"/>
        </w:rPr>
        <w:t>cit.</w:t>
      </w:r>
    </w:p>
  </w:endnote>
  <w:endnote w:id="47">
    <w:p w14:paraId="26C394C1" w14:textId="2498DA00"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“Continued Listing of CFAO Shares on Euronext Paris,” </w:t>
      </w:r>
      <w:r>
        <w:rPr>
          <w:rFonts w:ascii="Arial" w:hAnsi="Arial" w:cs="Arial"/>
          <w:sz w:val="17"/>
          <w:szCs w:val="17"/>
        </w:rPr>
        <w:t xml:space="preserve">CFAO, press release, </w:t>
      </w:r>
      <w:r w:rsidRPr="003A0343">
        <w:rPr>
          <w:rFonts w:ascii="Arial" w:hAnsi="Arial" w:cs="Arial"/>
          <w:sz w:val="17"/>
          <w:szCs w:val="17"/>
        </w:rPr>
        <w:t>February 26, 2013, accessed August 25, 2017, www.cfaogroup.com/en/news/continued-listing-of-cfao-shares-on-euronext-paris.</w:t>
      </w:r>
    </w:p>
  </w:endnote>
  <w:endnote w:id="48">
    <w:p w14:paraId="382E7858" w14:textId="44DB71A7"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Pr>
          <w:rFonts w:ascii="Arial" w:hAnsi="Arial" w:cs="Arial"/>
          <w:sz w:val="17"/>
          <w:szCs w:val="17"/>
        </w:rPr>
        <w:t>Ibid</w:t>
      </w:r>
      <w:r w:rsidRPr="003A0343">
        <w:rPr>
          <w:rFonts w:ascii="Arial" w:hAnsi="Arial" w:cs="Arial"/>
          <w:sz w:val="17"/>
          <w:szCs w:val="17"/>
        </w:rPr>
        <w:t>.</w:t>
      </w:r>
    </w:p>
  </w:endnote>
  <w:endnote w:id="49">
    <w:p w14:paraId="7A8BF8E0" w14:textId="74B81247"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Carrefour S.A</w:t>
      </w:r>
      <w:r>
        <w:rPr>
          <w:rFonts w:ascii="Arial" w:hAnsi="Arial" w:cs="Arial"/>
          <w:sz w:val="17"/>
          <w:szCs w:val="17"/>
        </w:rPr>
        <w:t>.</w:t>
      </w:r>
      <w:r w:rsidRPr="003A0343">
        <w:rPr>
          <w:rFonts w:ascii="Arial" w:hAnsi="Arial" w:cs="Arial"/>
          <w:sz w:val="17"/>
          <w:szCs w:val="17"/>
        </w:rPr>
        <w:t xml:space="preserve"> </w:t>
      </w:r>
      <w:r w:rsidRPr="003A0343">
        <w:rPr>
          <w:rFonts w:ascii="Arial" w:hAnsi="Arial" w:cs="Arial"/>
          <w:sz w:val="17"/>
          <w:szCs w:val="17"/>
          <w:lang w:eastAsia="zh-CN"/>
        </w:rPr>
        <w:t>wa</w:t>
      </w:r>
      <w:r w:rsidRPr="003A0343">
        <w:rPr>
          <w:rFonts w:ascii="Arial" w:hAnsi="Arial" w:cs="Arial"/>
          <w:sz w:val="17"/>
          <w:szCs w:val="17"/>
        </w:rPr>
        <w:t xml:space="preserve">s a French </w:t>
      </w:r>
      <w:r>
        <w:rPr>
          <w:rFonts w:ascii="Arial" w:hAnsi="Arial" w:cs="Arial"/>
          <w:sz w:val="17"/>
          <w:szCs w:val="17"/>
        </w:rPr>
        <w:t xml:space="preserve">corporate </w:t>
      </w:r>
      <w:r w:rsidRPr="003A0343">
        <w:rPr>
          <w:rFonts w:ascii="Arial" w:hAnsi="Arial" w:cs="Arial"/>
          <w:sz w:val="17"/>
          <w:szCs w:val="17"/>
        </w:rPr>
        <w:t xml:space="preserve">group </w:t>
      </w:r>
      <w:r>
        <w:rPr>
          <w:rFonts w:ascii="Arial" w:hAnsi="Arial" w:cs="Arial"/>
          <w:sz w:val="17"/>
          <w:szCs w:val="17"/>
        </w:rPr>
        <w:t>in the</w:t>
      </w:r>
      <w:r w:rsidRPr="003A0343">
        <w:rPr>
          <w:rFonts w:ascii="Arial" w:hAnsi="Arial" w:cs="Arial"/>
          <w:sz w:val="17"/>
          <w:szCs w:val="17"/>
        </w:rPr>
        <w:t xml:space="preserve"> mass retail industry created in 1959 </w:t>
      </w:r>
      <w:r>
        <w:rPr>
          <w:rFonts w:ascii="Arial" w:hAnsi="Arial" w:cs="Arial"/>
          <w:sz w:val="17"/>
          <w:szCs w:val="17"/>
        </w:rPr>
        <w:t>that</w:t>
      </w:r>
      <w:r w:rsidRPr="003A0343">
        <w:rPr>
          <w:rFonts w:ascii="Arial" w:hAnsi="Arial" w:cs="Arial"/>
          <w:sz w:val="17"/>
          <w:szCs w:val="17"/>
        </w:rPr>
        <w:t xml:space="preserve"> pioneer</w:t>
      </w:r>
      <w:r>
        <w:rPr>
          <w:rFonts w:ascii="Arial" w:hAnsi="Arial" w:cs="Arial"/>
          <w:sz w:val="17"/>
          <w:szCs w:val="17"/>
        </w:rPr>
        <w:t>ed the</w:t>
      </w:r>
      <w:r w:rsidRPr="003A0343">
        <w:rPr>
          <w:rFonts w:ascii="Arial" w:hAnsi="Arial" w:cs="Arial"/>
          <w:sz w:val="17"/>
          <w:szCs w:val="17"/>
        </w:rPr>
        <w:t xml:space="preserve"> hypermarket concept in 1963</w:t>
      </w:r>
      <w:r>
        <w:rPr>
          <w:rFonts w:ascii="Arial" w:hAnsi="Arial" w:cs="Arial"/>
          <w:sz w:val="17"/>
          <w:szCs w:val="17"/>
        </w:rPr>
        <w:t>;</w:t>
      </w:r>
      <w:r w:rsidRPr="003A0343">
        <w:rPr>
          <w:rFonts w:ascii="Arial" w:hAnsi="Arial" w:cs="Arial"/>
          <w:sz w:val="17"/>
          <w:szCs w:val="17"/>
        </w:rPr>
        <w:t xml:space="preserve"> </w:t>
      </w:r>
      <w:r>
        <w:rPr>
          <w:rFonts w:ascii="Arial" w:hAnsi="Arial" w:cs="Arial"/>
          <w:sz w:val="17"/>
          <w:szCs w:val="17"/>
        </w:rPr>
        <w:t>“</w:t>
      </w:r>
      <w:r w:rsidRPr="003A0075">
        <w:rPr>
          <w:rFonts w:ascii="Arial" w:hAnsi="Arial" w:cs="Arial"/>
          <w:sz w:val="17"/>
          <w:szCs w:val="17"/>
        </w:rPr>
        <w:t>2015 T</w:t>
      </w:r>
      <w:r>
        <w:rPr>
          <w:rFonts w:ascii="Arial" w:hAnsi="Arial" w:cs="Arial"/>
          <w:sz w:val="17"/>
          <w:szCs w:val="17"/>
        </w:rPr>
        <w:t>op</w:t>
      </w:r>
      <w:r w:rsidRPr="003A0075">
        <w:rPr>
          <w:rFonts w:ascii="Arial" w:hAnsi="Arial" w:cs="Arial"/>
          <w:sz w:val="17"/>
          <w:szCs w:val="17"/>
        </w:rPr>
        <w:t xml:space="preserve"> 250 Global Powers </w:t>
      </w:r>
      <w:r>
        <w:rPr>
          <w:rFonts w:ascii="Arial" w:hAnsi="Arial" w:cs="Arial"/>
          <w:sz w:val="17"/>
          <w:szCs w:val="17"/>
        </w:rPr>
        <w:t>o</w:t>
      </w:r>
      <w:r w:rsidRPr="003A0075">
        <w:rPr>
          <w:rFonts w:ascii="Arial" w:hAnsi="Arial" w:cs="Arial"/>
          <w:sz w:val="17"/>
          <w:szCs w:val="17"/>
        </w:rPr>
        <w:t>f Retailing</w:t>
      </w:r>
      <w:r>
        <w:rPr>
          <w:rFonts w:ascii="Arial" w:hAnsi="Arial" w:cs="Arial"/>
          <w:sz w:val="17"/>
          <w:szCs w:val="17"/>
        </w:rPr>
        <w:t xml:space="preserve">,” National Retail Federation, January 11, 2015, </w:t>
      </w:r>
      <w:r w:rsidRPr="003A0343">
        <w:rPr>
          <w:rFonts w:ascii="Arial" w:hAnsi="Arial" w:cs="Arial"/>
          <w:sz w:val="17"/>
          <w:szCs w:val="17"/>
        </w:rPr>
        <w:t>https://nrf.com/news/2015-top-250-global-powers-of-retailing;</w:t>
      </w:r>
      <w:r>
        <w:rPr>
          <w:rFonts w:ascii="Arial" w:hAnsi="Arial" w:cs="Arial"/>
          <w:sz w:val="17"/>
          <w:szCs w:val="17"/>
        </w:rPr>
        <w:t xml:space="preserve"> “</w:t>
      </w:r>
      <w:r w:rsidRPr="003A0075">
        <w:rPr>
          <w:rFonts w:ascii="Arial" w:hAnsi="Arial" w:cs="Arial"/>
          <w:sz w:val="17"/>
          <w:szCs w:val="17"/>
        </w:rPr>
        <w:t>Carrefour et cfao s</w:t>
      </w:r>
      <w:r>
        <w:rPr>
          <w:rFonts w:ascii="Arial" w:hAnsi="Arial" w:cs="Arial"/>
          <w:sz w:val="17"/>
          <w:szCs w:val="17"/>
        </w:rPr>
        <w:t>’</w:t>
      </w:r>
      <w:r w:rsidRPr="003A0075">
        <w:rPr>
          <w:rFonts w:ascii="Arial" w:hAnsi="Arial" w:cs="Arial"/>
          <w:sz w:val="17"/>
          <w:szCs w:val="17"/>
        </w:rPr>
        <w:t xml:space="preserve">associent dans la grande distribution en </w:t>
      </w:r>
      <w:r>
        <w:rPr>
          <w:rFonts w:ascii="Arial" w:hAnsi="Arial" w:cs="Arial"/>
          <w:sz w:val="17"/>
          <w:szCs w:val="17"/>
        </w:rPr>
        <w:t>A</w:t>
      </w:r>
      <w:r w:rsidRPr="003A0075">
        <w:rPr>
          <w:rFonts w:ascii="Arial" w:hAnsi="Arial" w:cs="Arial"/>
          <w:sz w:val="17"/>
          <w:szCs w:val="17"/>
        </w:rPr>
        <w:t>frique</w:t>
      </w:r>
      <w:r>
        <w:rPr>
          <w:rFonts w:ascii="Arial" w:hAnsi="Arial" w:cs="Arial"/>
          <w:sz w:val="17"/>
          <w:szCs w:val="17"/>
        </w:rPr>
        <w:t>,” Capital, May 30, 2013,</w:t>
      </w:r>
      <w:r w:rsidRPr="003A0343">
        <w:rPr>
          <w:rFonts w:ascii="Arial" w:hAnsi="Arial" w:cs="Arial"/>
          <w:sz w:val="17"/>
          <w:szCs w:val="17"/>
        </w:rPr>
        <w:t xml:space="preserve"> </w:t>
      </w:r>
      <w:r>
        <w:rPr>
          <w:rFonts w:ascii="Arial" w:hAnsi="Arial" w:cs="Arial"/>
          <w:sz w:val="17"/>
          <w:szCs w:val="17"/>
        </w:rPr>
        <w:t xml:space="preserve">accessed December 11, 2017, </w:t>
      </w:r>
      <w:r w:rsidRPr="003A0343">
        <w:rPr>
          <w:rFonts w:ascii="Arial" w:hAnsi="Arial" w:cs="Arial"/>
          <w:sz w:val="17"/>
          <w:szCs w:val="17"/>
        </w:rPr>
        <w:t>www.capital.fr/entreprises-marches/carrefour-et-cfao-s-associent-dans-la-grande-distribution-en-afrique-846955.</w:t>
      </w:r>
    </w:p>
  </w:endnote>
  <w:endnote w:id="50">
    <w:p w14:paraId="4901FE41" w14:textId="610D4330"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Pr>
          <w:rFonts w:ascii="Arial" w:hAnsi="Arial" w:cs="Arial"/>
          <w:sz w:val="17"/>
          <w:szCs w:val="17"/>
        </w:rPr>
        <w:t>“</w:t>
      </w:r>
      <w:r w:rsidRPr="003A0343">
        <w:rPr>
          <w:rFonts w:ascii="Arial" w:hAnsi="Arial" w:cs="Arial"/>
          <w:sz w:val="17"/>
          <w:szCs w:val="17"/>
        </w:rPr>
        <w:t xml:space="preserve">Toyota Tsusho Group to Develop Retail Outlets in Africa with Carrefour,” JPubb, May 30, 2013, accessed September 11, </w:t>
      </w:r>
      <w:r>
        <w:rPr>
          <w:rFonts w:ascii="Arial" w:hAnsi="Arial" w:cs="Arial"/>
          <w:sz w:val="17"/>
          <w:szCs w:val="17"/>
        </w:rPr>
        <w:t>20</w:t>
      </w:r>
      <w:r w:rsidRPr="003A0343">
        <w:rPr>
          <w:rFonts w:ascii="Arial" w:hAnsi="Arial" w:cs="Arial"/>
          <w:sz w:val="17"/>
          <w:szCs w:val="17"/>
        </w:rPr>
        <w:t>17, www.jpubb.com/en/press/66775/.</w:t>
      </w:r>
    </w:p>
  </w:endnote>
  <w:endnote w:id="51">
    <w:p w14:paraId="7639F2FD" w14:textId="66B88771"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“A </w:t>
      </w:r>
      <w:r>
        <w:rPr>
          <w:rFonts w:ascii="Arial" w:hAnsi="Arial" w:cs="Arial"/>
          <w:sz w:val="17"/>
          <w:szCs w:val="17"/>
        </w:rPr>
        <w:t>F</w:t>
      </w:r>
      <w:r w:rsidRPr="003A0343">
        <w:rPr>
          <w:rFonts w:ascii="Arial" w:hAnsi="Arial" w:cs="Arial"/>
          <w:sz w:val="17"/>
          <w:szCs w:val="17"/>
        </w:rPr>
        <w:t xml:space="preserve">irst Carrefour Market </w:t>
      </w:r>
      <w:r>
        <w:rPr>
          <w:rFonts w:ascii="Arial" w:hAnsi="Arial" w:cs="Arial"/>
          <w:sz w:val="17"/>
          <w:szCs w:val="17"/>
        </w:rPr>
        <w:t>S</w:t>
      </w:r>
      <w:r w:rsidRPr="003A0343">
        <w:rPr>
          <w:rFonts w:ascii="Arial" w:hAnsi="Arial" w:cs="Arial"/>
          <w:sz w:val="17"/>
          <w:szCs w:val="17"/>
        </w:rPr>
        <w:t>tore in the Ivory Coast,” June 6, 2017, Carrefour</w:t>
      </w:r>
      <w:r>
        <w:rPr>
          <w:rFonts w:ascii="Arial" w:hAnsi="Arial" w:cs="Arial"/>
          <w:sz w:val="17"/>
          <w:szCs w:val="17"/>
        </w:rPr>
        <w:t xml:space="preserve">, </w:t>
      </w:r>
      <w:r w:rsidRPr="003A0343">
        <w:rPr>
          <w:rFonts w:ascii="Arial" w:hAnsi="Arial" w:cs="Arial"/>
          <w:sz w:val="17"/>
          <w:szCs w:val="17"/>
        </w:rPr>
        <w:t>accessed September 11, 2017, www.carrefour.com/current-news/a-first-carrefour-market-store-in-the-ivory-coast.</w:t>
      </w:r>
    </w:p>
  </w:endnote>
  <w:endnote w:id="52">
    <w:p w14:paraId="6C83D129" w14:textId="6C1EE924"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sidRPr="003070D8">
        <w:rPr>
          <w:rFonts w:ascii="Arial" w:hAnsi="Arial" w:cs="Arial"/>
          <w:sz w:val="17"/>
          <w:szCs w:val="17"/>
        </w:rPr>
        <w:t>Toyota Tsusho Corporation</w:t>
      </w:r>
      <w:r>
        <w:rPr>
          <w:rFonts w:ascii="Arial" w:hAnsi="Arial" w:cs="Arial"/>
          <w:sz w:val="17"/>
          <w:szCs w:val="17"/>
        </w:rPr>
        <w:t>,</w:t>
      </w:r>
      <w:r w:rsidRPr="003A0343">
        <w:rPr>
          <w:rFonts w:ascii="Arial" w:hAnsi="Arial" w:cs="Arial"/>
          <w:sz w:val="17"/>
          <w:szCs w:val="17"/>
        </w:rPr>
        <w:t xml:space="preserve"> </w:t>
      </w:r>
      <w:r w:rsidRPr="002C1C44">
        <w:rPr>
          <w:rFonts w:ascii="Arial" w:hAnsi="Arial" w:cs="Arial"/>
          <w:i/>
          <w:sz w:val="17"/>
          <w:szCs w:val="17"/>
        </w:rPr>
        <w:t>Annual Report 2013</w:t>
      </w:r>
      <w:r>
        <w:rPr>
          <w:rFonts w:ascii="Arial" w:hAnsi="Arial" w:cs="Arial"/>
          <w:i/>
          <w:sz w:val="17"/>
          <w:szCs w:val="17"/>
        </w:rPr>
        <w:t xml:space="preserve">, </w:t>
      </w:r>
      <w:r>
        <w:rPr>
          <w:rFonts w:ascii="Arial" w:hAnsi="Arial" w:cs="Arial"/>
          <w:sz w:val="17"/>
          <w:szCs w:val="17"/>
        </w:rPr>
        <w:t>op. cit.</w:t>
      </w:r>
      <w:r w:rsidRPr="003A0343">
        <w:rPr>
          <w:rFonts w:ascii="Arial" w:hAnsi="Arial" w:cs="Arial"/>
          <w:sz w:val="17"/>
          <w:szCs w:val="17"/>
        </w:rPr>
        <w:t xml:space="preserve">, </w:t>
      </w:r>
      <w:r>
        <w:rPr>
          <w:rFonts w:ascii="Arial" w:hAnsi="Arial" w:cs="Arial"/>
          <w:sz w:val="17"/>
          <w:szCs w:val="17"/>
        </w:rPr>
        <w:t>11.</w:t>
      </w:r>
    </w:p>
  </w:endnote>
  <w:endnote w:id="53">
    <w:p w14:paraId="3F1C2860" w14:textId="163D0AC3"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Frutos</w:t>
      </w:r>
      <w:r w:rsidRPr="0011498F">
        <w:rPr>
          <w:rFonts w:ascii="Arial" w:hAnsi="Arial" w:cs="Arial"/>
          <w:sz w:val="17"/>
          <w:szCs w:val="17"/>
        </w:rPr>
        <w:t xml:space="preserve">, </w:t>
      </w:r>
      <w:hyperlink r:id="rId4" w:history="1">
        <w:r w:rsidRPr="00C11717">
          <w:rPr>
            <w:rStyle w:val="Hyperlink"/>
            <w:rFonts w:ascii="Arial" w:hAnsi="Arial" w:cs="Arial"/>
            <w:color w:val="auto"/>
            <w:sz w:val="17"/>
            <w:szCs w:val="17"/>
            <w:u w:val="none"/>
          </w:rPr>
          <w:t>op</w:t>
        </w:r>
      </w:hyperlink>
      <w:r w:rsidRPr="00E2740A">
        <w:rPr>
          <w:rFonts w:ascii="Arial" w:hAnsi="Arial" w:cs="Arial"/>
          <w:sz w:val="17"/>
          <w:szCs w:val="17"/>
        </w:rPr>
        <w:t xml:space="preserve">. </w:t>
      </w:r>
      <w:r>
        <w:rPr>
          <w:rFonts w:ascii="Arial" w:hAnsi="Arial" w:cs="Arial"/>
          <w:sz w:val="17"/>
          <w:szCs w:val="17"/>
        </w:rPr>
        <w:t>cit</w:t>
      </w:r>
      <w:r w:rsidRPr="003A0343">
        <w:rPr>
          <w:rFonts w:ascii="Arial" w:hAnsi="Arial" w:cs="Arial"/>
          <w:sz w:val="17"/>
          <w:szCs w:val="17"/>
        </w:rPr>
        <w:t>.</w:t>
      </w:r>
    </w:p>
  </w:endnote>
  <w:endnote w:id="54">
    <w:p w14:paraId="3645D247" w14:textId="7EDEEC2D"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Pr>
          <w:rFonts w:ascii="Arial" w:hAnsi="Arial" w:cs="Arial"/>
          <w:sz w:val="17"/>
          <w:szCs w:val="17"/>
        </w:rPr>
        <w:t xml:space="preserve">Elisabeth Struder, </w:t>
      </w:r>
      <w:r w:rsidRPr="003A0343">
        <w:rPr>
          <w:rFonts w:ascii="Arial" w:hAnsi="Arial" w:cs="Arial"/>
          <w:sz w:val="17"/>
          <w:szCs w:val="17"/>
        </w:rPr>
        <w:t>“Le chiffre d’affaires de CFAO affecté par le marché automobile algérien,” Leblogauto, November 10, 2013, accessed August 25, 2017, www.leblogauto.com/2013/11/le-chiffre-daffaires-de-cfao-affecte-par-le-marche-automobile-algerien.html.</w:t>
      </w:r>
    </w:p>
  </w:endnote>
  <w:endnote w:id="55">
    <w:p w14:paraId="733A791B" w14:textId="36D7CF6C"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“Un nouveau partenariat de distribution en Afrique de l’Est pour CFAO,” </w:t>
      </w:r>
      <w:r>
        <w:rPr>
          <w:rFonts w:ascii="Arial" w:hAnsi="Arial" w:cs="Arial"/>
          <w:sz w:val="17"/>
          <w:szCs w:val="17"/>
        </w:rPr>
        <w:t xml:space="preserve">CFAO, </w:t>
      </w:r>
      <w:r w:rsidRPr="003A0343">
        <w:rPr>
          <w:rFonts w:ascii="Arial" w:hAnsi="Arial" w:cs="Arial"/>
          <w:sz w:val="17"/>
          <w:szCs w:val="17"/>
        </w:rPr>
        <w:t>February 19, 2015, accessed September 11, 2017, www.cfaogroup.com/fr/actualites/un-nouveau-partenariat-de-distribution-en-afrique-de-l-est-pour-cfao/page/6.</w:t>
      </w:r>
    </w:p>
  </w:endnote>
  <w:endnote w:id="56">
    <w:p w14:paraId="00CFB3D1" w14:textId="103D2CB7"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“CFAO et Yamaha s’allient pour produire et distribuer des deux-roues au Nigeria,” </w:t>
      </w:r>
      <w:r w:rsidRPr="002C1C44">
        <w:rPr>
          <w:rFonts w:ascii="Arial" w:hAnsi="Arial" w:cs="Arial"/>
          <w:i/>
          <w:sz w:val="17"/>
          <w:szCs w:val="17"/>
        </w:rPr>
        <w:t>Jeune Afrique</w:t>
      </w:r>
      <w:r w:rsidRPr="003A0343">
        <w:rPr>
          <w:rFonts w:ascii="Arial" w:hAnsi="Arial" w:cs="Arial"/>
          <w:sz w:val="17"/>
          <w:szCs w:val="17"/>
        </w:rPr>
        <w:t>, December 12, 2014, accessed September 11, 2017, www.jeuneafrique.com/4551/economie/cfao-et-yamaha-s-allient-pour-produire-et-distribuer-des-deux-roues-au-nigeria/.</w:t>
      </w:r>
    </w:p>
  </w:endnote>
  <w:endnote w:id="57">
    <w:p w14:paraId="53818D5A" w14:textId="3ED2AAB7"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“Automobile : CFAO fait son show à Abidjan et Kinshasa</w:t>
      </w:r>
      <w:r>
        <w:rPr>
          <w:rFonts w:ascii="Arial" w:hAnsi="Arial" w:cs="Arial"/>
          <w:sz w:val="17"/>
          <w:szCs w:val="17"/>
        </w:rPr>
        <w:t>,</w:t>
      </w:r>
      <w:r w:rsidRPr="003A0343">
        <w:rPr>
          <w:rFonts w:ascii="Arial" w:hAnsi="Arial" w:cs="Arial"/>
          <w:sz w:val="17"/>
          <w:szCs w:val="17"/>
        </w:rPr>
        <w:t xml:space="preserve">” </w:t>
      </w:r>
      <w:r w:rsidRPr="0042073A">
        <w:rPr>
          <w:rFonts w:ascii="Arial" w:hAnsi="Arial" w:cs="Arial"/>
          <w:i/>
          <w:sz w:val="17"/>
          <w:szCs w:val="17"/>
        </w:rPr>
        <w:t>Jeune Afrique</w:t>
      </w:r>
      <w:r w:rsidRPr="003A0343">
        <w:rPr>
          <w:rFonts w:ascii="Arial" w:hAnsi="Arial" w:cs="Arial"/>
          <w:sz w:val="17"/>
          <w:szCs w:val="17"/>
        </w:rPr>
        <w:t>, June 1, 2015, accessed September 11, 2017, www.jeuneafrique.com/233059/economie/automobile-cfao-fait-son-show-a-abidjan-et-kinshasa/.</w:t>
      </w:r>
    </w:p>
  </w:endnote>
  <w:endnote w:id="58">
    <w:p w14:paraId="2C18A1AB" w14:textId="5E24A751"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Corporation</w:t>
      </w:r>
      <w:r>
        <w:rPr>
          <w:rFonts w:ascii="Arial" w:hAnsi="Arial" w:cs="Arial"/>
          <w:sz w:val="17"/>
          <w:szCs w:val="17"/>
        </w:rPr>
        <w:t>,</w:t>
      </w:r>
      <w:r w:rsidRPr="003A0343">
        <w:rPr>
          <w:rFonts w:ascii="Arial" w:hAnsi="Arial" w:cs="Arial"/>
          <w:sz w:val="17"/>
          <w:szCs w:val="17"/>
        </w:rPr>
        <w:t xml:space="preserve"> </w:t>
      </w:r>
      <w:r w:rsidRPr="002C1C44">
        <w:rPr>
          <w:rFonts w:ascii="Arial" w:hAnsi="Arial" w:cs="Arial"/>
          <w:i/>
          <w:sz w:val="17"/>
          <w:szCs w:val="17"/>
        </w:rPr>
        <w:t>Integrated Report 2015</w:t>
      </w:r>
      <w:r w:rsidRPr="003A0343">
        <w:rPr>
          <w:rFonts w:ascii="Arial" w:hAnsi="Arial" w:cs="Arial"/>
          <w:sz w:val="17"/>
          <w:szCs w:val="17"/>
        </w:rPr>
        <w:t>, 17, accessed September 11, 2017, www.toyota-tsusho.com/english/ir/pdf/library/integrated-report/ar2015e_all.pdf.</w:t>
      </w:r>
    </w:p>
  </w:endnote>
  <w:endnote w:id="59">
    <w:p w14:paraId="47FEED25" w14:textId="0A52BE36" w:rsidR="00EC754F" w:rsidRPr="003A0343" w:rsidRDefault="00EC754F" w:rsidP="00EF6784">
      <w:pPr>
        <w:pStyle w:val="EndnoteText"/>
        <w:jc w:val="both"/>
        <w:rPr>
          <w:rFonts w:ascii="Arial" w:hAnsi="Arial" w:cs="Arial"/>
          <w:sz w:val="17"/>
          <w:szCs w:val="17"/>
          <w:lang w:eastAsia="zh-CN"/>
        </w:rPr>
      </w:pPr>
      <w:r w:rsidRPr="003A0343">
        <w:rPr>
          <w:rStyle w:val="EndnoteReference"/>
          <w:rFonts w:ascii="Arial" w:hAnsi="Arial" w:cs="Arial"/>
          <w:sz w:val="17"/>
          <w:szCs w:val="17"/>
        </w:rPr>
        <w:endnoteRef/>
      </w:r>
      <w:r w:rsidRPr="003A0343">
        <w:rPr>
          <w:rFonts w:ascii="Arial" w:hAnsi="Arial" w:cs="Arial"/>
          <w:sz w:val="17"/>
          <w:szCs w:val="17"/>
        </w:rPr>
        <w:t xml:space="preserve"> Toyota Tsusho Corporation</w:t>
      </w:r>
      <w:r>
        <w:rPr>
          <w:rFonts w:ascii="Arial" w:hAnsi="Arial" w:cs="Arial"/>
          <w:sz w:val="17"/>
          <w:szCs w:val="17"/>
        </w:rPr>
        <w:t xml:space="preserve">, </w:t>
      </w:r>
      <w:r w:rsidRPr="003A0343">
        <w:rPr>
          <w:rFonts w:ascii="Arial" w:hAnsi="Arial" w:cs="Arial"/>
          <w:sz w:val="17"/>
          <w:szCs w:val="17"/>
        </w:rPr>
        <w:t>“Notice on Public Buy-</w:t>
      </w:r>
      <w:r>
        <w:rPr>
          <w:rFonts w:ascii="Arial" w:hAnsi="Arial" w:cs="Arial"/>
          <w:sz w:val="17"/>
          <w:szCs w:val="17"/>
        </w:rPr>
        <w:t>O</w:t>
      </w:r>
      <w:r w:rsidRPr="003A0343">
        <w:rPr>
          <w:rFonts w:ascii="Arial" w:hAnsi="Arial" w:cs="Arial"/>
          <w:sz w:val="17"/>
          <w:szCs w:val="17"/>
        </w:rPr>
        <w:t xml:space="preserve">ut Offer for the Remaining Shares of CFAO,” </w:t>
      </w:r>
      <w:hyperlink r:id="rId5" w:history="1">
        <w:r w:rsidRPr="00C11717">
          <w:rPr>
            <w:rStyle w:val="Hyperlink"/>
            <w:rFonts w:ascii="Arial" w:hAnsi="Arial" w:cs="Arial"/>
            <w:color w:val="auto"/>
            <w:sz w:val="17"/>
            <w:szCs w:val="17"/>
            <w:u w:val="none"/>
          </w:rPr>
          <w:t>op</w:t>
        </w:r>
      </w:hyperlink>
      <w:r w:rsidRPr="00E2740A">
        <w:rPr>
          <w:rFonts w:ascii="Arial" w:hAnsi="Arial" w:cs="Arial"/>
          <w:sz w:val="17"/>
          <w:szCs w:val="17"/>
        </w:rPr>
        <w:t xml:space="preserve">. </w:t>
      </w:r>
      <w:r>
        <w:rPr>
          <w:rFonts w:ascii="Arial" w:hAnsi="Arial" w:cs="Arial"/>
          <w:sz w:val="17"/>
          <w:szCs w:val="17"/>
        </w:rPr>
        <w:t>cit.</w:t>
      </w:r>
      <w:r w:rsidRPr="003A0343">
        <w:rPr>
          <w:rFonts w:ascii="Arial" w:hAnsi="Arial" w:cs="Arial"/>
          <w:sz w:val="17"/>
          <w:szCs w:val="17"/>
        </w:rPr>
        <w:t xml:space="preserve">; </w:t>
      </w:r>
      <w:r w:rsidRPr="00BD047E">
        <w:rPr>
          <w:rFonts w:ascii="Arial" w:hAnsi="Arial" w:cs="Arial"/>
          <w:sz w:val="17"/>
          <w:szCs w:val="17"/>
        </w:rPr>
        <w:t xml:space="preserve">European </w:t>
      </w:r>
      <w:r>
        <w:rPr>
          <w:rFonts w:ascii="Arial" w:hAnsi="Arial" w:cs="Arial"/>
          <w:sz w:val="17"/>
          <w:szCs w:val="17"/>
        </w:rPr>
        <w:t>Commission,</w:t>
      </w:r>
      <w:r w:rsidRPr="00BD047E">
        <w:rPr>
          <w:rFonts w:ascii="Arial" w:hAnsi="Arial" w:cs="Arial"/>
          <w:sz w:val="17"/>
          <w:szCs w:val="17"/>
        </w:rPr>
        <w:t xml:space="preserve"> </w:t>
      </w:r>
      <w:hyperlink r:id="rId6" w:history="1">
        <w:r w:rsidRPr="00C11717">
          <w:rPr>
            <w:rStyle w:val="Hyperlink"/>
            <w:rFonts w:ascii="Arial" w:hAnsi="Arial" w:cs="Arial"/>
            <w:color w:val="auto"/>
            <w:sz w:val="17"/>
            <w:szCs w:val="17"/>
            <w:u w:val="none"/>
          </w:rPr>
          <w:t>op</w:t>
        </w:r>
      </w:hyperlink>
      <w:r w:rsidRPr="00E2740A">
        <w:rPr>
          <w:rFonts w:ascii="Arial" w:hAnsi="Arial" w:cs="Arial"/>
          <w:sz w:val="17"/>
          <w:szCs w:val="17"/>
        </w:rPr>
        <w:t xml:space="preserve">. </w:t>
      </w:r>
      <w:r>
        <w:rPr>
          <w:rFonts w:ascii="Arial" w:hAnsi="Arial" w:cs="Arial"/>
          <w:sz w:val="17"/>
          <w:szCs w:val="17"/>
        </w:rPr>
        <w:t>cit</w:t>
      </w:r>
      <w:r w:rsidRPr="003A0343">
        <w:rPr>
          <w:rFonts w:ascii="Arial" w:hAnsi="Arial" w:cs="Arial"/>
          <w:sz w:val="17"/>
          <w:szCs w:val="17"/>
        </w:rPr>
        <w:t>.</w:t>
      </w:r>
    </w:p>
  </w:endnote>
  <w:endnote w:id="60">
    <w:p w14:paraId="6BEB7F29" w14:textId="199C6651"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w:t>
      </w:r>
      <w:r w:rsidRPr="00BD047E">
        <w:rPr>
          <w:rFonts w:ascii="Arial" w:hAnsi="Arial" w:cs="Arial"/>
          <w:sz w:val="17"/>
          <w:szCs w:val="17"/>
        </w:rPr>
        <w:t>Denis Cosnard</w:t>
      </w:r>
      <w:r>
        <w:rPr>
          <w:rFonts w:ascii="Arial" w:hAnsi="Arial" w:cs="Arial"/>
          <w:sz w:val="17"/>
          <w:szCs w:val="17"/>
        </w:rPr>
        <w:t xml:space="preserve">, </w:t>
      </w:r>
      <w:r w:rsidRPr="003A0343">
        <w:rPr>
          <w:rFonts w:ascii="Arial" w:hAnsi="Arial" w:cs="Arial"/>
          <w:sz w:val="17"/>
          <w:szCs w:val="17"/>
        </w:rPr>
        <w:t>“CFAO quitte une deuxième fois la Bourse</w:t>
      </w:r>
      <w:r>
        <w:rPr>
          <w:rFonts w:ascii="Arial" w:hAnsi="Arial" w:cs="Arial"/>
          <w:sz w:val="17"/>
          <w:szCs w:val="17"/>
        </w:rPr>
        <w:t xml:space="preserve">,” </w:t>
      </w:r>
      <w:r w:rsidRPr="002C1C44">
        <w:rPr>
          <w:rFonts w:ascii="Arial" w:hAnsi="Arial" w:cs="Arial"/>
          <w:i/>
          <w:sz w:val="17"/>
          <w:szCs w:val="17"/>
        </w:rPr>
        <w:t>Le Monde Economie</w:t>
      </w:r>
      <w:r>
        <w:rPr>
          <w:rFonts w:ascii="Arial" w:hAnsi="Arial" w:cs="Arial"/>
          <w:sz w:val="17"/>
          <w:szCs w:val="17"/>
        </w:rPr>
        <w:t>, January 2, 2017</w:t>
      </w:r>
      <w:r w:rsidRPr="003A0343">
        <w:rPr>
          <w:rFonts w:ascii="Arial" w:hAnsi="Arial" w:cs="Arial"/>
          <w:sz w:val="17"/>
          <w:szCs w:val="17"/>
        </w:rPr>
        <w:t>, accessed September 11, 2017, www.lemonde.fr/economie/article/2017/01/02/cfao-quitte-une-deuxieme-fois-la-bourse_5056519_3234.html.</w:t>
      </w:r>
    </w:p>
  </w:endnote>
  <w:endnote w:id="61">
    <w:p w14:paraId="25521C8E" w14:textId="4611B67A"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Frutos, </w:t>
      </w:r>
      <w:hyperlink r:id="rId7" w:history="1">
        <w:r w:rsidRPr="00C11717">
          <w:rPr>
            <w:rStyle w:val="Hyperlink"/>
            <w:rFonts w:ascii="Arial" w:hAnsi="Arial" w:cs="Arial"/>
            <w:color w:val="auto"/>
            <w:sz w:val="17"/>
            <w:szCs w:val="17"/>
            <w:u w:val="none"/>
          </w:rPr>
          <w:t>op</w:t>
        </w:r>
      </w:hyperlink>
      <w:r w:rsidRPr="00E2740A">
        <w:rPr>
          <w:rFonts w:ascii="Arial" w:hAnsi="Arial" w:cs="Arial"/>
          <w:sz w:val="17"/>
          <w:szCs w:val="17"/>
        </w:rPr>
        <w:t>.</w:t>
      </w:r>
      <w:r>
        <w:rPr>
          <w:rFonts w:ascii="Arial" w:hAnsi="Arial" w:cs="Arial"/>
          <w:sz w:val="17"/>
          <w:szCs w:val="17"/>
        </w:rPr>
        <w:t xml:space="preserve"> cit</w:t>
      </w:r>
      <w:r w:rsidRPr="003A0343">
        <w:rPr>
          <w:rFonts w:ascii="Arial" w:hAnsi="Arial" w:cs="Arial"/>
          <w:sz w:val="17"/>
          <w:szCs w:val="17"/>
        </w:rPr>
        <w:t>.</w:t>
      </w:r>
    </w:p>
  </w:endnote>
  <w:endnote w:id="62">
    <w:p w14:paraId="03E96D74" w14:textId="309241CF"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w:t>
      </w:r>
      <w:r>
        <w:rPr>
          <w:rFonts w:ascii="Arial" w:hAnsi="Arial" w:cs="Arial"/>
          <w:sz w:val="17"/>
          <w:szCs w:val="17"/>
        </w:rPr>
        <w:t xml:space="preserve"> Corporation,</w:t>
      </w:r>
      <w:r w:rsidRPr="003A0343">
        <w:rPr>
          <w:rFonts w:ascii="Arial" w:hAnsi="Arial" w:cs="Arial"/>
          <w:sz w:val="17"/>
          <w:szCs w:val="17"/>
        </w:rPr>
        <w:t xml:space="preserve"> </w:t>
      </w:r>
      <w:r w:rsidRPr="002C1C44">
        <w:rPr>
          <w:rFonts w:ascii="Arial" w:hAnsi="Arial" w:cs="Arial"/>
          <w:i/>
          <w:sz w:val="17"/>
          <w:szCs w:val="17"/>
        </w:rPr>
        <w:t>Annual Report 2013</w:t>
      </w:r>
      <w:r w:rsidRPr="003A0343">
        <w:rPr>
          <w:rFonts w:ascii="Arial" w:hAnsi="Arial" w:cs="Arial"/>
          <w:sz w:val="17"/>
          <w:szCs w:val="17"/>
        </w:rPr>
        <w:t>,</w:t>
      </w:r>
      <w:r>
        <w:rPr>
          <w:rFonts w:ascii="Arial" w:hAnsi="Arial" w:cs="Arial"/>
          <w:sz w:val="17"/>
          <w:szCs w:val="17"/>
        </w:rPr>
        <w:t xml:space="preserve"> op. cit</w:t>
      </w:r>
      <w:r w:rsidRPr="003A0343">
        <w:rPr>
          <w:rFonts w:ascii="Arial" w:hAnsi="Arial" w:cs="Arial"/>
          <w:sz w:val="17"/>
          <w:szCs w:val="17"/>
        </w:rPr>
        <w:t>.</w:t>
      </w:r>
    </w:p>
  </w:endnote>
  <w:endnote w:id="63">
    <w:p w14:paraId="0B99013B" w14:textId="1735CB73" w:rsidR="00EC754F" w:rsidRPr="003A0343" w:rsidRDefault="00EC754F" w:rsidP="00EF6784">
      <w:pPr>
        <w:pStyle w:val="EndnoteText"/>
        <w:jc w:val="both"/>
        <w:rPr>
          <w:rFonts w:ascii="Arial" w:hAnsi="Arial" w:cs="Arial"/>
          <w:sz w:val="17"/>
          <w:szCs w:val="17"/>
          <w:lang w:eastAsia="zh-CN"/>
        </w:rPr>
      </w:pPr>
      <w:r w:rsidRPr="003A0343">
        <w:rPr>
          <w:rStyle w:val="EndnoteReference"/>
          <w:rFonts w:ascii="Arial" w:hAnsi="Arial" w:cs="Arial"/>
          <w:sz w:val="17"/>
          <w:szCs w:val="17"/>
        </w:rPr>
        <w:endnoteRef/>
      </w:r>
      <w:r w:rsidRPr="003A0343">
        <w:rPr>
          <w:rFonts w:ascii="Arial" w:hAnsi="Arial" w:cs="Arial"/>
          <w:sz w:val="17"/>
          <w:szCs w:val="17"/>
        </w:rPr>
        <w:t xml:space="preserve"> Toyota Tsusho</w:t>
      </w:r>
      <w:r>
        <w:rPr>
          <w:rFonts w:ascii="Arial" w:hAnsi="Arial" w:cs="Arial"/>
          <w:sz w:val="17"/>
          <w:szCs w:val="17"/>
        </w:rPr>
        <w:t xml:space="preserve"> Corporation, </w:t>
      </w:r>
      <w:r w:rsidRPr="00C11717">
        <w:rPr>
          <w:rFonts w:ascii="Arial" w:hAnsi="Arial" w:cs="Arial"/>
          <w:i/>
          <w:sz w:val="17"/>
          <w:szCs w:val="17"/>
        </w:rPr>
        <w:t>New Global Vision and Long-Term Business Plan</w:t>
      </w:r>
      <w:r w:rsidRPr="003A0343">
        <w:rPr>
          <w:rFonts w:ascii="Arial" w:hAnsi="Arial" w:cs="Arial"/>
          <w:sz w:val="17"/>
          <w:szCs w:val="17"/>
        </w:rPr>
        <w:t>,</w:t>
      </w:r>
      <w:r>
        <w:rPr>
          <w:rFonts w:ascii="Arial" w:hAnsi="Arial" w:cs="Arial"/>
          <w:sz w:val="17"/>
          <w:szCs w:val="17"/>
        </w:rPr>
        <w:t xml:space="preserve"> op. cit</w:t>
      </w:r>
      <w:r w:rsidRPr="003A0343">
        <w:rPr>
          <w:rFonts w:ascii="Arial" w:hAnsi="Arial" w:cs="Arial"/>
          <w:sz w:val="17"/>
          <w:szCs w:val="17"/>
        </w:rPr>
        <w:t>.</w:t>
      </w:r>
    </w:p>
  </w:endnote>
  <w:endnote w:id="64">
    <w:p w14:paraId="3FAF63B6" w14:textId="4D1B534F"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w:t>
      </w:r>
      <w:r>
        <w:rPr>
          <w:rFonts w:ascii="Arial" w:hAnsi="Arial" w:cs="Arial"/>
          <w:sz w:val="17"/>
          <w:szCs w:val="17"/>
        </w:rPr>
        <w:t xml:space="preserve">Corporation, </w:t>
      </w:r>
      <w:r w:rsidRPr="002C1C44">
        <w:rPr>
          <w:rFonts w:ascii="Arial" w:hAnsi="Arial" w:cs="Arial"/>
          <w:i/>
          <w:sz w:val="17"/>
          <w:szCs w:val="17"/>
        </w:rPr>
        <w:t>Integrated Report 2016</w:t>
      </w:r>
      <w:r w:rsidRPr="003A0343">
        <w:rPr>
          <w:rFonts w:ascii="Arial" w:hAnsi="Arial" w:cs="Arial"/>
          <w:sz w:val="17"/>
          <w:szCs w:val="17"/>
        </w:rPr>
        <w:t>,</w:t>
      </w:r>
      <w:r>
        <w:rPr>
          <w:rFonts w:ascii="Arial" w:hAnsi="Arial" w:cs="Arial"/>
          <w:sz w:val="17"/>
          <w:szCs w:val="17"/>
        </w:rPr>
        <w:t xml:space="preserve"> op. cit.,</w:t>
      </w:r>
      <w:r w:rsidRPr="003A0343">
        <w:rPr>
          <w:rFonts w:ascii="Arial" w:hAnsi="Arial" w:cs="Arial"/>
          <w:sz w:val="17"/>
          <w:szCs w:val="17"/>
        </w:rPr>
        <w:t xml:space="preserve"> 9.</w:t>
      </w:r>
    </w:p>
  </w:endnote>
  <w:endnote w:id="65">
    <w:p w14:paraId="6C6340AE" w14:textId="4B4C3C0B" w:rsidR="00EC754F" w:rsidRPr="003A0343" w:rsidRDefault="00EC754F" w:rsidP="00EF6784">
      <w:pPr>
        <w:pStyle w:val="EndnoteText"/>
        <w:jc w:val="both"/>
        <w:rPr>
          <w:rFonts w:ascii="Arial" w:hAnsi="Arial" w:cs="Arial"/>
          <w:sz w:val="17"/>
          <w:szCs w:val="17"/>
          <w:lang w:eastAsia="zh-CN"/>
        </w:rPr>
      </w:pPr>
      <w:r w:rsidRPr="003A0343">
        <w:rPr>
          <w:rStyle w:val="EndnoteReference"/>
          <w:rFonts w:ascii="Arial" w:hAnsi="Arial" w:cs="Arial"/>
          <w:sz w:val="17"/>
          <w:szCs w:val="17"/>
        </w:rPr>
        <w:endnoteRef/>
      </w:r>
      <w:r w:rsidRPr="003A0343">
        <w:rPr>
          <w:rFonts w:ascii="Arial" w:hAnsi="Arial" w:cs="Arial"/>
          <w:sz w:val="17"/>
          <w:szCs w:val="17"/>
        </w:rPr>
        <w:t xml:space="preserve"> “Notice of Impairment Losses and Revision of Consolidated Full-year Earnings Forecast</w:t>
      </w:r>
      <w:r>
        <w:rPr>
          <w:rFonts w:ascii="Arial" w:hAnsi="Arial" w:cs="Arial"/>
          <w:sz w:val="17"/>
          <w:szCs w:val="17"/>
        </w:rPr>
        <w:t>,</w:t>
      </w:r>
      <w:r w:rsidRPr="003A0343">
        <w:rPr>
          <w:rFonts w:ascii="Arial" w:hAnsi="Arial" w:cs="Arial"/>
          <w:sz w:val="17"/>
          <w:szCs w:val="17"/>
        </w:rPr>
        <w:t xml:space="preserve">” Toyota Tsusho </w:t>
      </w:r>
      <w:r>
        <w:rPr>
          <w:rFonts w:ascii="Arial" w:hAnsi="Arial" w:cs="Arial"/>
          <w:sz w:val="17"/>
          <w:szCs w:val="17"/>
        </w:rPr>
        <w:t xml:space="preserve">Corporation, </w:t>
      </w:r>
      <w:r w:rsidRPr="003A0343">
        <w:rPr>
          <w:rFonts w:ascii="Arial" w:hAnsi="Arial" w:cs="Arial"/>
          <w:sz w:val="17"/>
          <w:szCs w:val="17"/>
        </w:rPr>
        <w:t>April 21, 2016, accessed September 11, 2017, www.toyota-tsusho.com/english/press/detail/160421_003756.html.</w:t>
      </w:r>
    </w:p>
  </w:endnote>
  <w:endnote w:id="66">
    <w:p w14:paraId="55212923" w14:textId="77777777" w:rsidR="00333DA7" w:rsidRPr="003A0343" w:rsidRDefault="00333DA7" w:rsidP="00333DA7">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w:t>
      </w:r>
      <w:r>
        <w:rPr>
          <w:rFonts w:ascii="Arial" w:hAnsi="Arial" w:cs="Arial"/>
          <w:sz w:val="17"/>
          <w:szCs w:val="17"/>
        </w:rPr>
        <w:t xml:space="preserve">Corporation, </w:t>
      </w:r>
      <w:r w:rsidRPr="002C1C44">
        <w:rPr>
          <w:rFonts w:ascii="Arial" w:hAnsi="Arial" w:cs="Arial"/>
          <w:i/>
          <w:sz w:val="17"/>
          <w:szCs w:val="17"/>
        </w:rPr>
        <w:t>Integrated Report 2016</w:t>
      </w:r>
      <w:r w:rsidRPr="003A0343">
        <w:rPr>
          <w:rFonts w:ascii="Arial" w:hAnsi="Arial" w:cs="Arial"/>
          <w:sz w:val="17"/>
          <w:szCs w:val="17"/>
        </w:rPr>
        <w:t>,</w:t>
      </w:r>
      <w:r>
        <w:rPr>
          <w:rFonts w:ascii="Arial" w:hAnsi="Arial" w:cs="Arial"/>
          <w:sz w:val="17"/>
          <w:szCs w:val="17"/>
        </w:rPr>
        <w:t xml:space="preserve"> op. cit., 10</w:t>
      </w:r>
    </w:p>
  </w:endnote>
  <w:endnote w:id="67">
    <w:p w14:paraId="051DDB2E" w14:textId="608451C4"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w:t>
      </w:r>
      <w:r>
        <w:rPr>
          <w:rFonts w:ascii="Arial" w:hAnsi="Arial" w:cs="Arial"/>
          <w:sz w:val="17"/>
          <w:szCs w:val="17"/>
        </w:rPr>
        <w:t xml:space="preserve">Corporation, </w:t>
      </w:r>
      <w:r w:rsidRPr="002C1C44">
        <w:rPr>
          <w:rFonts w:ascii="Arial" w:hAnsi="Arial" w:cs="Arial"/>
          <w:i/>
          <w:sz w:val="17"/>
          <w:szCs w:val="17"/>
        </w:rPr>
        <w:t>Integrated Report 2016</w:t>
      </w:r>
      <w:r w:rsidRPr="003A0343">
        <w:rPr>
          <w:rFonts w:ascii="Arial" w:hAnsi="Arial" w:cs="Arial"/>
          <w:sz w:val="17"/>
          <w:szCs w:val="17"/>
        </w:rPr>
        <w:t>,</w:t>
      </w:r>
      <w:r>
        <w:rPr>
          <w:rFonts w:ascii="Arial" w:hAnsi="Arial" w:cs="Arial"/>
          <w:sz w:val="17"/>
          <w:szCs w:val="17"/>
        </w:rPr>
        <w:t xml:space="preserve"> op. cit., 12.</w:t>
      </w:r>
      <w:r w:rsidRPr="003A0343">
        <w:rPr>
          <w:rFonts w:ascii="Arial" w:hAnsi="Arial" w:cs="Arial"/>
          <w:sz w:val="17"/>
          <w:szCs w:val="17"/>
        </w:rPr>
        <w:t xml:space="preserve"> </w:t>
      </w:r>
    </w:p>
  </w:endnote>
  <w:endnote w:id="68">
    <w:p w14:paraId="2A9E4F33" w14:textId="3BB457E1" w:rsidR="00EC754F" w:rsidRPr="003A0343"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w:t>
      </w:r>
      <w:r>
        <w:rPr>
          <w:rFonts w:ascii="Arial" w:hAnsi="Arial" w:cs="Arial"/>
          <w:sz w:val="17"/>
          <w:szCs w:val="17"/>
        </w:rPr>
        <w:t xml:space="preserve">Corporation, </w:t>
      </w:r>
      <w:r w:rsidRPr="00C11717">
        <w:rPr>
          <w:rFonts w:ascii="Arial" w:hAnsi="Arial" w:cs="Arial"/>
          <w:i/>
          <w:sz w:val="17"/>
          <w:szCs w:val="17"/>
        </w:rPr>
        <w:t>New Global Vision and Long-Term Business Plan</w:t>
      </w:r>
      <w:r w:rsidRPr="003A0343">
        <w:rPr>
          <w:rFonts w:ascii="Arial" w:hAnsi="Arial" w:cs="Arial"/>
          <w:sz w:val="17"/>
          <w:szCs w:val="17"/>
        </w:rPr>
        <w:t>,</w:t>
      </w:r>
      <w:r>
        <w:rPr>
          <w:rFonts w:ascii="Arial" w:hAnsi="Arial" w:cs="Arial"/>
          <w:sz w:val="17"/>
          <w:szCs w:val="17"/>
        </w:rPr>
        <w:t xml:space="preserve"> op. cit., </w:t>
      </w:r>
      <w:r w:rsidRPr="003A0343">
        <w:rPr>
          <w:rFonts w:ascii="Arial" w:hAnsi="Arial" w:cs="Arial"/>
          <w:sz w:val="17"/>
          <w:szCs w:val="17"/>
        </w:rPr>
        <w:t>21.</w:t>
      </w:r>
    </w:p>
  </w:endnote>
  <w:endnote w:id="69">
    <w:p w14:paraId="074CAAF0" w14:textId="46E0112F" w:rsidR="00EC754F" w:rsidRPr="00EF6784" w:rsidRDefault="00EC754F" w:rsidP="00EF6784">
      <w:pPr>
        <w:pStyle w:val="EndnoteText"/>
        <w:jc w:val="both"/>
        <w:rPr>
          <w:rFonts w:ascii="Arial" w:hAnsi="Arial" w:cs="Arial"/>
          <w:sz w:val="17"/>
          <w:szCs w:val="17"/>
        </w:rPr>
      </w:pPr>
      <w:r w:rsidRPr="003A0343">
        <w:rPr>
          <w:rStyle w:val="EndnoteReference"/>
          <w:rFonts w:ascii="Arial" w:hAnsi="Arial" w:cs="Arial"/>
          <w:sz w:val="17"/>
          <w:szCs w:val="17"/>
        </w:rPr>
        <w:endnoteRef/>
      </w:r>
      <w:r w:rsidRPr="003A0343">
        <w:rPr>
          <w:rFonts w:ascii="Arial" w:hAnsi="Arial" w:cs="Arial"/>
          <w:sz w:val="17"/>
          <w:szCs w:val="17"/>
        </w:rPr>
        <w:t xml:space="preserve"> Toyota Tsusho </w:t>
      </w:r>
      <w:r>
        <w:rPr>
          <w:rFonts w:ascii="Arial" w:hAnsi="Arial" w:cs="Arial"/>
          <w:sz w:val="17"/>
          <w:szCs w:val="17"/>
        </w:rPr>
        <w:t xml:space="preserve">Corporation, </w:t>
      </w:r>
      <w:r w:rsidRPr="002C1C44">
        <w:rPr>
          <w:rFonts w:ascii="Arial" w:hAnsi="Arial" w:cs="Arial"/>
          <w:i/>
          <w:sz w:val="17"/>
          <w:szCs w:val="17"/>
        </w:rPr>
        <w:t>Integrated Report 2016</w:t>
      </w:r>
      <w:r w:rsidRPr="003A0343">
        <w:rPr>
          <w:rFonts w:ascii="Arial" w:hAnsi="Arial" w:cs="Arial"/>
          <w:sz w:val="17"/>
          <w:szCs w:val="17"/>
        </w:rPr>
        <w:t>,</w:t>
      </w:r>
      <w:r>
        <w:rPr>
          <w:rFonts w:ascii="Arial" w:hAnsi="Arial" w:cs="Arial"/>
          <w:sz w:val="17"/>
          <w:szCs w:val="17"/>
        </w:rPr>
        <w:t xml:space="preserve"> op. cit., 12–13.</w:t>
      </w:r>
      <w:r w:rsidRPr="003A0343">
        <w:rPr>
          <w:rFonts w:ascii="Arial" w:hAnsi="Arial" w:cs="Arial"/>
          <w:sz w:val="17"/>
          <w:szCs w:val="17"/>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ヒラギノ明朝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14D46" w14:textId="77777777" w:rsidR="00EC754F" w:rsidRDefault="00EC754F" w:rsidP="00D75295">
      <w:r>
        <w:separator/>
      </w:r>
    </w:p>
  </w:footnote>
  <w:footnote w:type="continuationSeparator" w:id="0">
    <w:p w14:paraId="2047422A" w14:textId="77777777" w:rsidR="00EC754F" w:rsidRDefault="00EC754F"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3B4D0" w14:textId="437DBE91" w:rsidR="00EC754F" w:rsidRDefault="00EC754F"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96B78">
      <w:rPr>
        <w:rFonts w:ascii="Arial" w:hAnsi="Arial"/>
        <w:b/>
        <w:noProof/>
      </w:rPr>
      <w:t>15</w:t>
    </w:r>
    <w:r>
      <w:rPr>
        <w:rFonts w:ascii="Arial" w:hAnsi="Arial"/>
        <w:b/>
      </w:rPr>
      <w:fldChar w:fldCharType="end"/>
    </w:r>
    <w:r>
      <w:rPr>
        <w:rFonts w:ascii="Arial" w:hAnsi="Arial"/>
        <w:b/>
      </w:rPr>
      <w:tab/>
    </w:r>
    <w:r w:rsidR="00333DA7">
      <w:rPr>
        <w:rFonts w:ascii="Arial" w:hAnsi="Arial"/>
        <w:b/>
      </w:rPr>
      <w:t>9B18M002</w:t>
    </w:r>
  </w:p>
  <w:p w14:paraId="4FCC577E" w14:textId="77777777" w:rsidR="00EC754F" w:rsidRPr="00C92CC4" w:rsidRDefault="00EC754F">
    <w:pPr>
      <w:pStyle w:val="Header"/>
      <w:rPr>
        <w:sz w:val="18"/>
        <w:szCs w:val="18"/>
      </w:rPr>
    </w:pPr>
  </w:p>
  <w:p w14:paraId="6D4564FF" w14:textId="77777777" w:rsidR="00EC754F" w:rsidRPr="00C92CC4" w:rsidRDefault="00EC754F">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5291"/>
    <w:multiLevelType w:val="hybridMultilevel"/>
    <w:tmpl w:val="7AC45140"/>
    <w:lvl w:ilvl="0" w:tplc="A1282888">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02176226"/>
    <w:multiLevelType w:val="hybridMultilevel"/>
    <w:tmpl w:val="51FEEAD8"/>
    <w:lvl w:ilvl="0" w:tplc="A1282888">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022864C0"/>
    <w:multiLevelType w:val="hybridMultilevel"/>
    <w:tmpl w:val="F26015A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084A29FD"/>
    <w:multiLevelType w:val="hybridMultilevel"/>
    <w:tmpl w:val="1DDA8F6C"/>
    <w:lvl w:ilvl="0" w:tplc="A1282888">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B70DBF"/>
    <w:multiLevelType w:val="hybridMultilevel"/>
    <w:tmpl w:val="F23A47CA"/>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F642AD"/>
    <w:multiLevelType w:val="hybridMultilevel"/>
    <w:tmpl w:val="55D655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1F5531BB"/>
    <w:multiLevelType w:val="hybridMultilevel"/>
    <w:tmpl w:val="833C3A24"/>
    <w:lvl w:ilvl="0" w:tplc="A1282888">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52076"/>
    <w:multiLevelType w:val="hybridMultilevel"/>
    <w:tmpl w:val="FCCCDA28"/>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389C65F8"/>
    <w:multiLevelType w:val="hybridMultilevel"/>
    <w:tmpl w:val="45C2B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CF955F3"/>
    <w:multiLevelType w:val="hybridMultilevel"/>
    <w:tmpl w:val="207CB1C4"/>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43944126"/>
    <w:multiLevelType w:val="hybridMultilevel"/>
    <w:tmpl w:val="2D3EF112"/>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539565D"/>
    <w:multiLevelType w:val="hybridMultilevel"/>
    <w:tmpl w:val="E752BA22"/>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455A606A"/>
    <w:multiLevelType w:val="hybridMultilevel"/>
    <w:tmpl w:val="342E36D4"/>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2" w15:restartNumberingAfterBreak="0">
    <w:nsid w:val="4E1676F7"/>
    <w:multiLevelType w:val="hybridMultilevel"/>
    <w:tmpl w:val="537E67A0"/>
    <w:lvl w:ilvl="0" w:tplc="A1282888">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5" w15:restartNumberingAfterBreak="0">
    <w:nsid w:val="5CA6151F"/>
    <w:multiLevelType w:val="hybridMultilevel"/>
    <w:tmpl w:val="128CD24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5D026B57"/>
    <w:multiLevelType w:val="hybridMultilevel"/>
    <w:tmpl w:val="6448AC72"/>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15:restartNumberingAfterBreak="0">
    <w:nsid w:val="5E1E78BC"/>
    <w:multiLevelType w:val="hybridMultilevel"/>
    <w:tmpl w:val="44D0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9" w15:restartNumberingAfterBreak="0">
    <w:nsid w:val="62935AB2"/>
    <w:multiLevelType w:val="hybridMultilevel"/>
    <w:tmpl w:val="3F4EDCA2"/>
    <w:lvl w:ilvl="0" w:tplc="A1282888">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1"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E765760"/>
    <w:multiLevelType w:val="hybridMultilevel"/>
    <w:tmpl w:val="AB486258"/>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31"/>
  </w:num>
  <w:num w:numId="13">
    <w:abstractNumId w:val="16"/>
  </w:num>
  <w:num w:numId="14">
    <w:abstractNumId w:val="33"/>
  </w:num>
  <w:num w:numId="15">
    <w:abstractNumId w:val="34"/>
  </w:num>
  <w:num w:numId="16">
    <w:abstractNumId w:val="38"/>
  </w:num>
  <w:num w:numId="17">
    <w:abstractNumId w:val="22"/>
  </w:num>
  <w:num w:numId="18">
    <w:abstractNumId w:val="40"/>
  </w:num>
  <w:num w:numId="19">
    <w:abstractNumId w:val="15"/>
  </w:num>
  <w:num w:numId="20">
    <w:abstractNumId w:val="14"/>
  </w:num>
  <w:num w:numId="21">
    <w:abstractNumId w:val="41"/>
  </w:num>
  <w:num w:numId="22">
    <w:abstractNumId w:val="28"/>
  </w:num>
  <w:num w:numId="23">
    <w:abstractNumId w:val="4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4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4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20"/>
  </w:num>
  <w:num w:numId="27">
    <w:abstractNumId w:val="26"/>
  </w:num>
  <w:num w:numId="28">
    <w:abstractNumId w:val="19"/>
  </w:num>
  <w:num w:numId="29">
    <w:abstractNumId w:val="24"/>
  </w:num>
  <w:num w:numId="30">
    <w:abstractNumId w:val="35"/>
  </w:num>
  <w:num w:numId="31">
    <w:abstractNumId w:val="37"/>
  </w:num>
  <w:num w:numId="32">
    <w:abstractNumId w:val="39"/>
  </w:num>
  <w:num w:numId="33">
    <w:abstractNumId w:val="21"/>
  </w:num>
  <w:num w:numId="34">
    <w:abstractNumId w:val="32"/>
  </w:num>
  <w:num w:numId="35">
    <w:abstractNumId w:val="10"/>
  </w:num>
  <w:num w:numId="36">
    <w:abstractNumId w:val="13"/>
  </w:num>
  <w:num w:numId="37">
    <w:abstractNumId w:val="11"/>
  </w:num>
  <w:num w:numId="38">
    <w:abstractNumId w:val="30"/>
  </w:num>
  <w:num w:numId="39">
    <w:abstractNumId w:val="17"/>
  </w:num>
  <w:num w:numId="40">
    <w:abstractNumId w:val="23"/>
  </w:num>
  <w:num w:numId="41">
    <w:abstractNumId w:val="25"/>
  </w:num>
  <w:num w:numId="42">
    <w:abstractNumId w:val="27"/>
  </w:num>
  <w:num w:numId="43">
    <w:abstractNumId w:val="29"/>
  </w:num>
  <w:num w:numId="44">
    <w:abstractNumId w:val="36"/>
  </w:num>
  <w:num w:numId="45">
    <w:abstractNumId w:val="43"/>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GB" w:vendorID="64" w:dllVersion="6" w:nlCheck="1" w:checkStyle="0"/>
  <w:activeWritingStyle w:appName="MSWord" w:lang="en-US" w:vendorID="64" w:dllVersion="6" w:nlCheck="1" w:checkStyle="0"/>
  <w:activeWritingStyle w:appName="MSWord" w:lang="en-CA" w:vendorID="64" w:dllVersion="6" w:nlCheck="1" w:checkStyle="0"/>
  <w:activeWritingStyle w:appName="MSWord" w:lang="ja-JP" w:vendorID="64" w:dllVersion="6" w:nlCheck="1" w:checkStyle="1"/>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en-CA" w:vendorID="64" w:dllVersion="131078" w:nlCheck="1" w:checkStyle="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03"/>
    <w:rsid w:val="00000840"/>
    <w:rsid w:val="0000085A"/>
    <w:rsid w:val="00000993"/>
    <w:rsid w:val="00000ED8"/>
    <w:rsid w:val="000031CC"/>
    <w:rsid w:val="000031D2"/>
    <w:rsid w:val="0000334F"/>
    <w:rsid w:val="00003823"/>
    <w:rsid w:val="00004027"/>
    <w:rsid w:val="00005154"/>
    <w:rsid w:val="00006438"/>
    <w:rsid w:val="00006861"/>
    <w:rsid w:val="000074A2"/>
    <w:rsid w:val="00012B38"/>
    <w:rsid w:val="000131F4"/>
    <w:rsid w:val="00013360"/>
    <w:rsid w:val="00013EE5"/>
    <w:rsid w:val="00016246"/>
    <w:rsid w:val="00016B68"/>
    <w:rsid w:val="00016D6E"/>
    <w:rsid w:val="00017F2E"/>
    <w:rsid w:val="00021431"/>
    <w:rsid w:val="000214F1"/>
    <w:rsid w:val="000216CE"/>
    <w:rsid w:val="00021824"/>
    <w:rsid w:val="00021A7D"/>
    <w:rsid w:val="00022414"/>
    <w:rsid w:val="00022A74"/>
    <w:rsid w:val="0002336F"/>
    <w:rsid w:val="00023CD8"/>
    <w:rsid w:val="000243A5"/>
    <w:rsid w:val="000253F8"/>
    <w:rsid w:val="00025DC7"/>
    <w:rsid w:val="00026486"/>
    <w:rsid w:val="000279AC"/>
    <w:rsid w:val="000342D0"/>
    <w:rsid w:val="00035148"/>
    <w:rsid w:val="000409BC"/>
    <w:rsid w:val="00040A5C"/>
    <w:rsid w:val="00040F3B"/>
    <w:rsid w:val="00041C95"/>
    <w:rsid w:val="00043D98"/>
    <w:rsid w:val="0004497B"/>
    <w:rsid w:val="00044E26"/>
    <w:rsid w:val="00044ECC"/>
    <w:rsid w:val="00045954"/>
    <w:rsid w:val="00046D0E"/>
    <w:rsid w:val="00047095"/>
    <w:rsid w:val="000531D3"/>
    <w:rsid w:val="00053A0D"/>
    <w:rsid w:val="00053AA3"/>
    <w:rsid w:val="00054E97"/>
    <w:rsid w:val="0005646B"/>
    <w:rsid w:val="0006002F"/>
    <w:rsid w:val="00060872"/>
    <w:rsid w:val="00063C34"/>
    <w:rsid w:val="000646D7"/>
    <w:rsid w:val="000655B3"/>
    <w:rsid w:val="00065DF6"/>
    <w:rsid w:val="00067659"/>
    <w:rsid w:val="00067E57"/>
    <w:rsid w:val="0007111A"/>
    <w:rsid w:val="00071A10"/>
    <w:rsid w:val="000737FA"/>
    <w:rsid w:val="000739BF"/>
    <w:rsid w:val="00074002"/>
    <w:rsid w:val="00074033"/>
    <w:rsid w:val="00075B63"/>
    <w:rsid w:val="000779C2"/>
    <w:rsid w:val="0008102D"/>
    <w:rsid w:val="00081138"/>
    <w:rsid w:val="0008158B"/>
    <w:rsid w:val="00081D2A"/>
    <w:rsid w:val="00082493"/>
    <w:rsid w:val="00083E5D"/>
    <w:rsid w:val="00083FDA"/>
    <w:rsid w:val="00086038"/>
    <w:rsid w:val="0008648D"/>
    <w:rsid w:val="00086DAC"/>
    <w:rsid w:val="0008745A"/>
    <w:rsid w:val="00087FBB"/>
    <w:rsid w:val="00090D3B"/>
    <w:rsid w:val="00091C97"/>
    <w:rsid w:val="0009421D"/>
    <w:rsid w:val="00094875"/>
    <w:rsid w:val="00094C0E"/>
    <w:rsid w:val="0009650E"/>
    <w:rsid w:val="00097871"/>
    <w:rsid w:val="000A15E8"/>
    <w:rsid w:val="000A182C"/>
    <w:rsid w:val="000A21E4"/>
    <w:rsid w:val="000A693F"/>
    <w:rsid w:val="000A7145"/>
    <w:rsid w:val="000B1439"/>
    <w:rsid w:val="000B1EA1"/>
    <w:rsid w:val="000B3FCB"/>
    <w:rsid w:val="000B4074"/>
    <w:rsid w:val="000B4324"/>
    <w:rsid w:val="000B56E9"/>
    <w:rsid w:val="000B5EDA"/>
    <w:rsid w:val="000B69D5"/>
    <w:rsid w:val="000B7847"/>
    <w:rsid w:val="000C02EF"/>
    <w:rsid w:val="000C0A48"/>
    <w:rsid w:val="000C0FAF"/>
    <w:rsid w:val="000C1DB7"/>
    <w:rsid w:val="000C2D65"/>
    <w:rsid w:val="000C4F39"/>
    <w:rsid w:val="000C585C"/>
    <w:rsid w:val="000C6372"/>
    <w:rsid w:val="000C6EA4"/>
    <w:rsid w:val="000C70A3"/>
    <w:rsid w:val="000C732B"/>
    <w:rsid w:val="000C75D8"/>
    <w:rsid w:val="000C76C2"/>
    <w:rsid w:val="000D0257"/>
    <w:rsid w:val="000D0815"/>
    <w:rsid w:val="000D0E04"/>
    <w:rsid w:val="000D1938"/>
    <w:rsid w:val="000D1F05"/>
    <w:rsid w:val="000D2718"/>
    <w:rsid w:val="000D4BCE"/>
    <w:rsid w:val="000D4D61"/>
    <w:rsid w:val="000D5EE7"/>
    <w:rsid w:val="000D74C4"/>
    <w:rsid w:val="000E0A0B"/>
    <w:rsid w:val="000E0AB4"/>
    <w:rsid w:val="000E2036"/>
    <w:rsid w:val="000E2E31"/>
    <w:rsid w:val="000E41F8"/>
    <w:rsid w:val="000E4F83"/>
    <w:rsid w:val="000E726C"/>
    <w:rsid w:val="000E7BEF"/>
    <w:rsid w:val="000F0216"/>
    <w:rsid w:val="000F028F"/>
    <w:rsid w:val="000F049C"/>
    <w:rsid w:val="000F0A7F"/>
    <w:rsid w:val="000F0C22"/>
    <w:rsid w:val="000F13DB"/>
    <w:rsid w:val="000F1B12"/>
    <w:rsid w:val="000F2F91"/>
    <w:rsid w:val="000F3632"/>
    <w:rsid w:val="000F42D3"/>
    <w:rsid w:val="000F56C3"/>
    <w:rsid w:val="000F57E1"/>
    <w:rsid w:val="000F585C"/>
    <w:rsid w:val="000F5C6B"/>
    <w:rsid w:val="000F6B09"/>
    <w:rsid w:val="000F6FDC"/>
    <w:rsid w:val="000F730B"/>
    <w:rsid w:val="00100239"/>
    <w:rsid w:val="0010063B"/>
    <w:rsid w:val="00100691"/>
    <w:rsid w:val="001016A5"/>
    <w:rsid w:val="00101D03"/>
    <w:rsid w:val="00102E00"/>
    <w:rsid w:val="00103642"/>
    <w:rsid w:val="001039CB"/>
    <w:rsid w:val="00104567"/>
    <w:rsid w:val="0010457F"/>
    <w:rsid w:val="001058B2"/>
    <w:rsid w:val="001104B1"/>
    <w:rsid w:val="0011166A"/>
    <w:rsid w:val="00111E5E"/>
    <w:rsid w:val="0011269F"/>
    <w:rsid w:val="00113489"/>
    <w:rsid w:val="00113980"/>
    <w:rsid w:val="0011498F"/>
    <w:rsid w:val="001149B8"/>
    <w:rsid w:val="00115718"/>
    <w:rsid w:val="00115B8D"/>
    <w:rsid w:val="00116406"/>
    <w:rsid w:val="00116A21"/>
    <w:rsid w:val="001172AB"/>
    <w:rsid w:val="001209A7"/>
    <w:rsid w:val="00120D06"/>
    <w:rsid w:val="001215A5"/>
    <w:rsid w:val="0012560E"/>
    <w:rsid w:val="0012732D"/>
    <w:rsid w:val="00130E7A"/>
    <w:rsid w:val="001313BC"/>
    <w:rsid w:val="0013263D"/>
    <w:rsid w:val="0013380D"/>
    <w:rsid w:val="0013420B"/>
    <w:rsid w:val="00135A7A"/>
    <w:rsid w:val="00135F46"/>
    <w:rsid w:val="00142EC3"/>
    <w:rsid w:val="001435CC"/>
    <w:rsid w:val="00144006"/>
    <w:rsid w:val="00144DA8"/>
    <w:rsid w:val="00145E09"/>
    <w:rsid w:val="00150192"/>
    <w:rsid w:val="00150587"/>
    <w:rsid w:val="00151263"/>
    <w:rsid w:val="00152C4D"/>
    <w:rsid w:val="00153CC1"/>
    <w:rsid w:val="00153D2C"/>
    <w:rsid w:val="00154FC9"/>
    <w:rsid w:val="00156490"/>
    <w:rsid w:val="00160993"/>
    <w:rsid w:val="00160E65"/>
    <w:rsid w:val="00161FF6"/>
    <w:rsid w:val="00162192"/>
    <w:rsid w:val="0016304C"/>
    <w:rsid w:val="001670E1"/>
    <w:rsid w:val="00170665"/>
    <w:rsid w:val="00170E2A"/>
    <w:rsid w:val="0017125E"/>
    <w:rsid w:val="00172282"/>
    <w:rsid w:val="00172C37"/>
    <w:rsid w:val="0017324F"/>
    <w:rsid w:val="00173EDC"/>
    <w:rsid w:val="001741D1"/>
    <w:rsid w:val="00174DF7"/>
    <w:rsid w:val="0017525D"/>
    <w:rsid w:val="001754B0"/>
    <w:rsid w:val="00176AB7"/>
    <w:rsid w:val="00176B9F"/>
    <w:rsid w:val="00176D41"/>
    <w:rsid w:val="00176D7C"/>
    <w:rsid w:val="00176FB1"/>
    <w:rsid w:val="00177959"/>
    <w:rsid w:val="00177FD5"/>
    <w:rsid w:val="00181D58"/>
    <w:rsid w:val="0018222A"/>
    <w:rsid w:val="00183CB6"/>
    <w:rsid w:val="0019241A"/>
    <w:rsid w:val="00194522"/>
    <w:rsid w:val="00195D3B"/>
    <w:rsid w:val="00197829"/>
    <w:rsid w:val="00197D2E"/>
    <w:rsid w:val="001A3C21"/>
    <w:rsid w:val="001A3D13"/>
    <w:rsid w:val="001A5335"/>
    <w:rsid w:val="001A63C8"/>
    <w:rsid w:val="001A752D"/>
    <w:rsid w:val="001B08FE"/>
    <w:rsid w:val="001B0E47"/>
    <w:rsid w:val="001B23A8"/>
    <w:rsid w:val="001B3E05"/>
    <w:rsid w:val="001B445F"/>
    <w:rsid w:val="001B5AA4"/>
    <w:rsid w:val="001B5D3E"/>
    <w:rsid w:val="001C03BD"/>
    <w:rsid w:val="001C0C59"/>
    <w:rsid w:val="001C2429"/>
    <w:rsid w:val="001C3907"/>
    <w:rsid w:val="001C3C4F"/>
    <w:rsid w:val="001C434A"/>
    <w:rsid w:val="001C4466"/>
    <w:rsid w:val="001C4EB1"/>
    <w:rsid w:val="001C6432"/>
    <w:rsid w:val="001D0224"/>
    <w:rsid w:val="001D0B04"/>
    <w:rsid w:val="001D1DE1"/>
    <w:rsid w:val="001D3CE4"/>
    <w:rsid w:val="001D6B04"/>
    <w:rsid w:val="001D7EFE"/>
    <w:rsid w:val="001E0AEB"/>
    <w:rsid w:val="001E175F"/>
    <w:rsid w:val="001E1B5E"/>
    <w:rsid w:val="001E270B"/>
    <w:rsid w:val="001E4E04"/>
    <w:rsid w:val="001E4EFA"/>
    <w:rsid w:val="001E4FD7"/>
    <w:rsid w:val="001E5FC6"/>
    <w:rsid w:val="001E617B"/>
    <w:rsid w:val="001E6531"/>
    <w:rsid w:val="001E6BAD"/>
    <w:rsid w:val="001E6C33"/>
    <w:rsid w:val="001E7E11"/>
    <w:rsid w:val="001F012B"/>
    <w:rsid w:val="001F1693"/>
    <w:rsid w:val="001F1E97"/>
    <w:rsid w:val="001F224F"/>
    <w:rsid w:val="001F262E"/>
    <w:rsid w:val="001F4973"/>
    <w:rsid w:val="001F57B0"/>
    <w:rsid w:val="001F5DED"/>
    <w:rsid w:val="001F787D"/>
    <w:rsid w:val="00200A10"/>
    <w:rsid w:val="00200ACD"/>
    <w:rsid w:val="002035BB"/>
    <w:rsid w:val="0020378C"/>
    <w:rsid w:val="00203AA1"/>
    <w:rsid w:val="00203B5F"/>
    <w:rsid w:val="00204A14"/>
    <w:rsid w:val="002052D0"/>
    <w:rsid w:val="00205504"/>
    <w:rsid w:val="002055C1"/>
    <w:rsid w:val="002074DB"/>
    <w:rsid w:val="00210AE3"/>
    <w:rsid w:val="00210E50"/>
    <w:rsid w:val="00211081"/>
    <w:rsid w:val="002129F1"/>
    <w:rsid w:val="00213E98"/>
    <w:rsid w:val="00214AD6"/>
    <w:rsid w:val="00216F75"/>
    <w:rsid w:val="00220DD3"/>
    <w:rsid w:val="002239E8"/>
    <w:rsid w:val="002253A8"/>
    <w:rsid w:val="0022597C"/>
    <w:rsid w:val="002266F9"/>
    <w:rsid w:val="002277D0"/>
    <w:rsid w:val="00227D1C"/>
    <w:rsid w:val="00231266"/>
    <w:rsid w:val="002313B6"/>
    <w:rsid w:val="002324D3"/>
    <w:rsid w:val="0023384A"/>
    <w:rsid w:val="002341BE"/>
    <w:rsid w:val="0023510A"/>
    <w:rsid w:val="00235E4F"/>
    <w:rsid w:val="002360E8"/>
    <w:rsid w:val="002379F1"/>
    <w:rsid w:val="00240A11"/>
    <w:rsid w:val="00243BA3"/>
    <w:rsid w:val="00244BB7"/>
    <w:rsid w:val="00252711"/>
    <w:rsid w:val="00252955"/>
    <w:rsid w:val="00254300"/>
    <w:rsid w:val="00255212"/>
    <w:rsid w:val="00255933"/>
    <w:rsid w:val="00256C40"/>
    <w:rsid w:val="00261F8A"/>
    <w:rsid w:val="00262E30"/>
    <w:rsid w:val="00263D3F"/>
    <w:rsid w:val="00264553"/>
    <w:rsid w:val="002649A1"/>
    <w:rsid w:val="00266098"/>
    <w:rsid w:val="002663AE"/>
    <w:rsid w:val="0026660E"/>
    <w:rsid w:val="002675EC"/>
    <w:rsid w:val="00270048"/>
    <w:rsid w:val="002716CE"/>
    <w:rsid w:val="002723AF"/>
    <w:rsid w:val="00272991"/>
    <w:rsid w:val="00272E98"/>
    <w:rsid w:val="00274694"/>
    <w:rsid w:val="002752E3"/>
    <w:rsid w:val="0027696A"/>
    <w:rsid w:val="002771BA"/>
    <w:rsid w:val="00281D36"/>
    <w:rsid w:val="00281DF5"/>
    <w:rsid w:val="00282606"/>
    <w:rsid w:val="002834C1"/>
    <w:rsid w:val="0028408C"/>
    <w:rsid w:val="00284805"/>
    <w:rsid w:val="00286036"/>
    <w:rsid w:val="002860B3"/>
    <w:rsid w:val="00290B67"/>
    <w:rsid w:val="002928F6"/>
    <w:rsid w:val="00294024"/>
    <w:rsid w:val="00294C13"/>
    <w:rsid w:val="00295BC6"/>
    <w:rsid w:val="00296B53"/>
    <w:rsid w:val="002A027C"/>
    <w:rsid w:val="002A0362"/>
    <w:rsid w:val="002A1159"/>
    <w:rsid w:val="002A4172"/>
    <w:rsid w:val="002A54DF"/>
    <w:rsid w:val="002A7348"/>
    <w:rsid w:val="002B09EB"/>
    <w:rsid w:val="002B1386"/>
    <w:rsid w:val="002B19FA"/>
    <w:rsid w:val="002B20AD"/>
    <w:rsid w:val="002B29E4"/>
    <w:rsid w:val="002B3901"/>
    <w:rsid w:val="002B4269"/>
    <w:rsid w:val="002B5466"/>
    <w:rsid w:val="002B623B"/>
    <w:rsid w:val="002B706D"/>
    <w:rsid w:val="002C0668"/>
    <w:rsid w:val="002C0DD1"/>
    <w:rsid w:val="002C1C44"/>
    <w:rsid w:val="002C4874"/>
    <w:rsid w:val="002C4AFF"/>
    <w:rsid w:val="002C5727"/>
    <w:rsid w:val="002C6640"/>
    <w:rsid w:val="002C694D"/>
    <w:rsid w:val="002D0577"/>
    <w:rsid w:val="002D0FC4"/>
    <w:rsid w:val="002D175B"/>
    <w:rsid w:val="002D1ADC"/>
    <w:rsid w:val="002D2A11"/>
    <w:rsid w:val="002D2B84"/>
    <w:rsid w:val="002D320A"/>
    <w:rsid w:val="002D4382"/>
    <w:rsid w:val="002D6764"/>
    <w:rsid w:val="002E0A18"/>
    <w:rsid w:val="002E1731"/>
    <w:rsid w:val="002E1C53"/>
    <w:rsid w:val="002E25AD"/>
    <w:rsid w:val="002E50D9"/>
    <w:rsid w:val="002E646B"/>
    <w:rsid w:val="002E7823"/>
    <w:rsid w:val="002F0159"/>
    <w:rsid w:val="002F0FFD"/>
    <w:rsid w:val="002F1225"/>
    <w:rsid w:val="002F33F5"/>
    <w:rsid w:val="002F41B4"/>
    <w:rsid w:val="002F460C"/>
    <w:rsid w:val="002F48D6"/>
    <w:rsid w:val="002F6600"/>
    <w:rsid w:val="002F6EE0"/>
    <w:rsid w:val="002F7261"/>
    <w:rsid w:val="00300348"/>
    <w:rsid w:val="00300D3F"/>
    <w:rsid w:val="00301577"/>
    <w:rsid w:val="00302ACB"/>
    <w:rsid w:val="00303061"/>
    <w:rsid w:val="00303C72"/>
    <w:rsid w:val="00304393"/>
    <w:rsid w:val="003044B0"/>
    <w:rsid w:val="003055E9"/>
    <w:rsid w:val="0030569D"/>
    <w:rsid w:val="003070D8"/>
    <w:rsid w:val="003079DB"/>
    <w:rsid w:val="00307FC0"/>
    <w:rsid w:val="003104C1"/>
    <w:rsid w:val="0031078D"/>
    <w:rsid w:val="00310E3B"/>
    <w:rsid w:val="00311665"/>
    <w:rsid w:val="003128FD"/>
    <w:rsid w:val="00312B06"/>
    <w:rsid w:val="003156D3"/>
    <w:rsid w:val="003227FB"/>
    <w:rsid w:val="00322843"/>
    <w:rsid w:val="00323E98"/>
    <w:rsid w:val="00325446"/>
    <w:rsid w:val="00325DF6"/>
    <w:rsid w:val="00326953"/>
    <w:rsid w:val="003269FB"/>
    <w:rsid w:val="00327314"/>
    <w:rsid w:val="003279E2"/>
    <w:rsid w:val="00330DD8"/>
    <w:rsid w:val="003316F8"/>
    <w:rsid w:val="00332F06"/>
    <w:rsid w:val="00333DA7"/>
    <w:rsid w:val="00334693"/>
    <w:rsid w:val="00334C3D"/>
    <w:rsid w:val="0033512E"/>
    <w:rsid w:val="003363B9"/>
    <w:rsid w:val="0034034E"/>
    <w:rsid w:val="0034058A"/>
    <w:rsid w:val="0034103B"/>
    <w:rsid w:val="00341097"/>
    <w:rsid w:val="00341A1F"/>
    <w:rsid w:val="0034270D"/>
    <w:rsid w:val="00342D8B"/>
    <w:rsid w:val="00343032"/>
    <w:rsid w:val="00343F3C"/>
    <w:rsid w:val="00345126"/>
    <w:rsid w:val="003453BA"/>
    <w:rsid w:val="0034681B"/>
    <w:rsid w:val="003476FB"/>
    <w:rsid w:val="00347AF7"/>
    <w:rsid w:val="00347DB7"/>
    <w:rsid w:val="00351368"/>
    <w:rsid w:val="003513EA"/>
    <w:rsid w:val="003519B1"/>
    <w:rsid w:val="00351A1D"/>
    <w:rsid w:val="003520E0"/>
    <w:rsid w:val="003521EF"/>
    <w:rsid w:val="00352646"/>
    <w:rsid w:val="00354899"/>
    <w:rsid w:val="0035540D"/>
    <w:rsid w:val="00355B9D"/>
    <w:rsid w:val="00355FD6"/>
    <w:rsid w:val="00356344"/>
    <w:rsid w:val="00356ED8"/>
    <w:rsid w:val="00357FDF"/>
    <w:rsid w:val="003602F1"/>
    <w:rsid w:val="003612CF"/>
    <w:rsid w:val="00361C8E"/>
    <w:rsid w:val="00364A5C"/>
    <w:rsid w:val="00365D91"/>
    <w:rsid w:val="00366321"/>
    <w:rsid w:val="0036688C"/>
    <w:rsid w:val="00367351"/>
    <w:rsid w:val="00367CEB"/>
    <w:rsid w:val="00370C58"/>
    <w:rsid w:val="00370C7F"/>
    <w:rsid w:val="00371362"/>
    <w:rsid w:val="00372FF0"/>
    <w:rsid w:val="0037383E"/>
    <w:rsid w:val="00373CA3"/>
    <w:rsid w:val="00373CD7"/>
    <w:rsid w:val="00373FB1"/>
    <w:rsid w:val="0037583F"/>
    <w:rsid w:val="00375B2A"/>
    <w:rsid w:val="0037619C"/>
    <w:rsid w:val="00376A3F"/>
    <w:rsid w:val="00376B41"/>
    <w:rsid w:val="0037758B"/>
    <w:rsid w:val="00377EC8"/>
    <w:rsid w:val="00380103"/>
    <w:rsid w:val="00381C43"/>
    <w:rsid w:val="00382320"/>
    <w:rsid w:val="003824FD"/>
    <w:rsid w:val="00383728"/>
    <w:rsid w:val="003838F5"/>
    <w:rsid w:val="00384791"/>
    <w:rsid w:val="00384F49"/>
    <w:rsid w:val="00386C1B"/>
    <w:rsid w:val="003871A9"/>
    <w:rsid w:val="00387A91"/>
    <w:rsid w:val="0039078C"/>
    <w:rsid w:val="003916BD"/>
    <w:rsid w:val="0039204D"/>
    <w:rsid w:val="00397D71"/>
    <w:rsid w:val="003A0075"/>
    <w:rsid w:val="003A0343"/>
    <w:rsid w:val="003A15D8"/>
    <w:rsid w:val="003A20A1"/>
    <w:rsid w:val="003A397F"/>
    <w:rsid w:val="003A4031"/>
    <w:rsid w:val="003A4255"/>
    <w:rsid w:val="003A49C8"/>
    <w:rsid w:val="003A5FD2"/>
    <w:rsid w:val="003B0E1E"/>
    <w:rsid w:val="003B18C3"/>
    <w:rsid w:val="003B1A5B"/>
    <w:rsid w:val="003B1FC3"/>
    <w:rsid w:val="003B2EB5"/>
    <w:rsid w:val="003B30D8"/>
    <w:rsid w:val="003B58EA"/>
    <w:rsid w:val="003B5ACB"/>
    <w:rsid w:val="003B61E9"/>
    <w:rsid w:val="003B6897"/>
    <w:rsid w:val="003B7119"/>
    <w:rsid w:val="003B7EF2"/>
    <w:rsid w:val="003C2012"/>
    <w:rsid w:val="003C21EF"/>
    <w:rsid w:val="003C2582"/>
    <w:rsid w:val="003C27BD"/>
    <w:rsid w:val="003C29A1"/>
    <w:rsid w:val="003C32BA"/>
    <w:rsid w:val="003C3325"/>
    <w:rsid w:val="003C3480"/>
    <w:rsid w:val="003C3E3A"/>
    <w:rsid w:val="003C3FA4"/>
    <w:rsid w:val="003C4995"/>
    <w:rsid w:val="003C4E73"/>
    <w:rsid w:val="003C58DD"/>
    <w:rsid w:val="003C5AA6"/>
    <w:rsid w:val="003C6152"/>
    <w:rsid w:val="003C71C6"/>
    <w:rsid w:val="003C73CB"/>
    <w:rsid w:val="003D2580"/>
    <w:rsid w:val="003D2EA6"/>
    <w:rsid w:val="003D31EB"/>
    <w:rsid w:val="003D3DF8"/>
    <w:rsid w:val="003D42F0"/>
    <w:rsid w:val="003D49F5"/>
    <w:rsid w:val="003D7B97"/>
    <w:rsid w:val="003E0667"/>
    <w:rsid w:val="003E1FC2"/>
    <w:rsid w:val="003E25B3"/>
    <w:rsid w:val="003E45FC"/>
    <w:rsid w:val="003E5859"/>
    <w:rsid w:val="003E5A96"/>
    <w:rsid w:val="003E6168"/>
    <w:rsid w:val="003E618E"/>
    <w:rsid w:val="003E635A"/>
    <w:rsid w:val="003E6ADC"/>
    <w:rsid w:val="003F0618"/>
    <w:rsid w:val="003F06AB"/>
    <w:rsid w:val="003F095C"/>
    <w:rsid w:val="003F26F1"/>
    <w:rsid w:val="003F2B0C"/>
    <w:rsid w:val="003F2BBA"/>
    <w:rsid w:val="003F3387"/>
    <w:rsid w:val="003F4314"/>
    <w:rsid w:val="003F5CE9"/>
    <w:rsid w:val="003F6C13"/>
    <w:rsid w:val="0040060E"/>
    <w:rsid w:val="00400779"/>
    <w:rsid w:val="004013C4"/>
    <w:rsid w:val="0040160B"/>
    <w:rsid w:val="00401888"/>
    <w:rsid w:val="00402201"/>
    <w:rsid w:val="004067DF"/>
    <w:rsid w:val="004069FB"/>
    <w:rsid w:val="00406E08"/>
    <w:rsid w:val="004073F7"/>
    <w:rsid w:val="00407E92"/>
    <w:rsid w:val="0041142D"/>
    <w:rsid w:val="00412D68"/>
    <w:rsid w:val="0041369D"/>
    <w:rsid w:val="004141AD"/>
    <w:rsid w:val="0041536C"/>
    <w:rsid w:val="00415D9F"/>
    <w:rsid w:val="00421061"/>
    <w:rsid w:val="004221E4"/>
    <w:rsid w:val="00422611"/>
    <w:rsid w:val="00423281"/>
    <w:rsid w:val="00423F27"/>
    <w:rsid w:val="00424080"/>
    <w:rsid w:val="00424F46"/>
    <w:rsid w:val="004267BF"/>
    <w:rsid w:val="0042697E"/>
    <w:rsid w:val="00427323"/>
    <w:rsid w:val="004307A1"/>
    <w:rsid w:val="004313A9"/>
    <w:rsid w:val="00431E01"/>
    <w:rsid w:val="00434521"/>
    <w:rsid w:val="00434ABE"/>
    <w:rsid w:val="00435DAF"/>
    <w:rsid w:val="00436A4C"/>
    <w:rsid w:val="00441C64"/>
    <w:rsid w:val="00441E9A"/>
    <w:rsid w:val="004431A1"/>
    <w:rsid w:val="004440F6"/>
    <w:rsid w:val="00444D97"/>
    <w:rsid w:val="00444E45"/>
    <w:rsid w:val="0044571E"/>
    <w:rsid w:val="00445F0D"/>
    <w:rsid w:val="00446A16"/>
    <w:rsid w:val="00447ADB"/>
    <w:rsid w:val="004502A4"/>
    <w:rsid w:val="00450EC7"/>
    <w:rsid w:val="00451D76"/>
    <w:rsid w:val="004527BF"/>
    <w:rsid w:val="00453DAA"/>
    <w:rsid w:val="00455505"/>
    <w:rsid w:val="00455CEC"/>
    <w:rsid w:val="00460104"/>
    <w:rsid w:val="0046067F"/>
    <w:rsid w:val="00461225"/>
    <w:rsid w:val="00463A45"/>
    <w:rsid w:val="00467186"/>
    <w:rsid w:val="00471088"/>
    <w:rsid w:val="00472109"/>
    <w:rsid w:val="00472CD1"/>
    <w:rsid w:val="004737AD"/>
    <w:rsid w:val="0047597A"/>
    <w:rsid w:val="004801F4"/>
    <w:rsid w:val="00482201"/>
    <w:rsid w:val="004837F0"/>
    <w:rsid w:val="00483AF9"/>
    <w:rsid w:val="0048434B"/>
    <w:rsid w:val="00484397"/>
    <w:rsid w:val="004854F4"/>
    <w:rsid w:val="00487C7E"/>
    <w:rsid w:val="004908ED"/>
    <w:rsid w:val="00490F6A"/>
    <w:rsid w:val="004969C4"/>
    <w:rsid w:val="0049718F"/>
    <w:rsid w:val="0049757F"/>
    <w:rsid w:val="004A1970"/>
    <w:rsid w:val="004A2FD2"/>
    <w:rsid w:val="004A4845"/>
    <w:rsid w:val="004A5E1E"/>
    <w:rsid w:val="004A6EBB"/>
    <w:rsid w:val="004A6EBE"/>
    <w:rsid w:val="004A753B"/>
    <w:rsid w:val="004A7E74"/>
    <w:rsid w:val="004B00BF"/>
    <w:rsid w:val="004B0D03"/>
    <w:rsid w:val="004B1CCB"/>
    <w:rsid w:val="004B547F"/>
    <w:rsid w:val="004B60CA"/>
    <w:rsid w:val="004B61C1"/>
    <w:rsid w:val="004B62C5"/>
    <w:rsid w:val="004B6319"/>
    <w:rsid w:val="004B638D"/>
    <w:rsid w:val="004B6589"/>
    <w:rsid w:val="004C16A8"/>
    <w:rsid w:val="004C1822"/>
    <w:rsid w:val="004C1D84"/>
    <w:rsid w:val="004C2203"/>
    <w:rsid w:val="004C2A5E"/>
    <w:rsid w:val="004C6266"/>
    <w:rsid w:val="004C65C2"/>
    <w:rsid w:val="004C666F"/>
    <w:rsid w:val="004C6A1E"/>
    <w:rsid w:val="004C7263"/>
    <w:rsid w:val="004D1DA5"/>
    <w:rsid w:val="004D2317"/>
    <w:rsid w:val="004D361D"/>
    <w:rsid w:val="004D5468"/>
    <w:rsid w:val="004D73A5"/>
    <w:rsid w:val="004E0875"/>
    <w:rsid w:val="004E09AF"/>
    <w:rsid w:val="004E0CF1"/>
    <w:rsid w:val="004E46E1"/>
    <w:rsid w:val="004E5B49"/>
    <w:rsid w:val="004E6ACF"/>
    <w:rsid w:val="004E77A3"/>
    <w:rsid w:val="004E7FA1"/>
    <w:rsid w:val="004F0901"/>
    <w:rsid w:val="004F0F70"/>
    <w:rsid w:val="004F10E7"/>
    <w:rsid w:val="004F5362"/>
    <w:rsid w:val="004F53E6"/>
    <w:rsid w:val="004F5A58"/>
    <w:rsid w:val="004F5B3E"/>
    <w:rsid w:val="004F5D7A"/>
    <w:rsid w:val="004F5EB1"/>
    <w:rsid w:val="004F618A"/>
    <w:rsid w:val="004F6AB1"/>
    <w:rsid w:val="004F7209"/>
    <w:rsid w:val="004F7806"/>
    <w:rsid w:val="004F7CAF"/>
    <w:rsid w:val="00500DF2"/>
    <w:rsid w:val="0050114C"/>
    <w:rsid w:val="005013F6"/>
    <w:rsid w:val="005038F8"/>
    <w:rsid w:val="00504B44"/>
    <w:rsid w:val="00505F3E"/>
    <w:rsid w:val="005060FA"/>
    <w:rsid w:val="00511C55"/>
    <w:rsid w:val="005125BB"/>
    <w:rsid w:val="0051311F"/>
    <w:rsid w:val="0051402A"/>
    <w:rsid w:val="005171F7"/>
    <w:rsid w:val="00521649"/>
    <w:rsid w:val="00521CC4"/>
    <w:rsid w:val="0052484B"/>
    <w:rsid w:val="00524E44"/>
    <w:rsid w:val="00525E14"/>
    <w:rsid w:val="00526B06"/>
    <w:rsid w:val="0052743D"/>
    <w:rsid w:val="005274CA"/>
    <w:rsid w:val="00527CF8"/>
    <w:rsid w:val="00530348"/>
    <w:rsid w:val="0053110F"/>
    <w:rsid w:val="0053180A"/>
    <w:rsid w:val="00532CF5"/>
    <w:rsid w:val="005335D0"/>
    <w:rsid w:val="00534BCD"/>
    <w:rsid w:val="00536337"/>
    <w:rsid w:val="005373D9"/>
    <w:rsid w:val="005407CF"/>
    <w:rsid w:val="005414D8"/>
    <w:rsid w:val="0054170F"/>
    <w:rsid w:val="00546503"/>
    <w:rsid w:val="00546ADD"/>
    <w:rsid w:val="00547776"/>
    <w:rsid w:val="00551397"/>
    <w:rsid w:val="00551AF9"/>
    <w:rsid w:val="00551B3F"/>
    <w:rsid w:val="005528CB"/>
    <w:rsid w:val="00554813"/>
    <w:rsid w:val="00554CB0"/>
    <w:rsid w:val="00554ECF"/>
    <w:rsid w:val="00555896"/>
    <w:rsid w:val="00556FF2"/>
    <w:rsid w:val="00560A72"/>
    <w:rsid w:val="0056309E"/>
    <w:rsid w:val="005661C2"/>
    <w:rsid w:val="00566771"/>
    <w:rsid w:val="00566936"/>
    <w:rsid w:val="00566DF2"/>
    <w:rsid w:val="00567039"/>
    <w:rsid w:val="00567D60"/>
    <w:rsid w:val="00570B28"/>
    <w:rsid w:val="00570EC7"/>
    <w:rsid w:val="00571F5B"/>
    <w:rsid w:val="0057230E"/>
    <w:rsid w:val="005736FC"/>
    <w:rsid w:val="00575053"/>
    <w:rsid w:val="00575170"/>
    <w:rsid w:val="00575464"/>
    <w:rsid w:val="00580221"/>
    <w:rsid w:val="00581E2E"/>
    <w:rsid w:val="00582FB7"/>
    <w:rsid w:val="00584B50"/>
    <w:rsid w:val="00584F15"/>
    <w:rsid w:val="00585A2D"/>
    <w:rsid w:val="00585B26"/>
    <w:rsid w:val="00585CF0"/>
    <w:rsid w:val="00586F3A"/>
    <w:rsid w:val="005872AF"/>
    <w:rsid w:val="0059022F"/>
    <w:rsid w:val="005910BB"/>
    <w:rsid w:val="00592508"/>
    <w:rsid w:val="005929E3"/>
    <w:rsid w:val="00592E2C"/>
    <w:rsid w:val="00593439"/>
    <w:rsid w:val="005939E4"/>
    <w:rsid w:val="00594166"/>
    <w:rsid w:val="005941FB"/>
    <w:rsid w:val="00594806"/>
    <w:rsid w:val="00595BE2"/>
    <w:rsid w:val="005A0C3A"/>
    <w:rsid w:val="005A0E08"/>
    <w:rsid w:val="005A37D7"/>
    <w:rsid w:val="005A5720"/>
    <w:rsid w:val="005A642D"/>
    <w:rsid w:val="005A64F3"/>
    <w:rsid w:val="005A6B83"/>
    <w:rsid w:val="005A6F02"/>
    <w:rsid w:val="005A7FFB"/>
    <w:rsid w:val="005B123C"/>
    <w:rsid w:val="005B158A"/>
    <w:rsid w:val="005B1CFB"/>
    <w:rsid w:val="005B2C1A"/>
    <w:rsid w:val="005B5462"/>
    <w:rsid w:val="005B5FC0"/>
    <w:rsid w:val="005B693E"/>
    <w:rsid w:val="005C0683"/>
    <w:rsid w:val="005C1FF6"/>
    <w:rsid w:val="005C2FFD"/>
    <w:rsid w:val="005C3C04"/>
    <w:rsid w:val="005C53DE"/>
    <w:rsid w:val="005C5772"/>
    <w:rsid w:val="005C59B5"/>
    <w:rsid w:val="005C61AB"/>
    <w:rsid w:val="005D014D"/>
    <w:rsid w:val="005D06C0"/>
    <w:rsid w:val="005D0E4E"/>
    <w:rsid w:val="005D23E5"/>
    <w:rsid w:val="005D2952"/>
    <w:rsid w:val="005D29A5"/>
    <w:rsid w:val="005D4477"/>
    <w:rsid w:val="005D44FD"/>
    <w:rsid w:val="005D73C7"/>
    <w:rsid w:val="005D7DA8"/>
    <w:rsid w:val="005E560E"/>
    <w:rsid w:val="005F26BD"/>
    <w:rsid w:val="005F2764"/>
    <w:rsid w:val="005F2854"/>
    <w:rsid w:val="005F29A9"/>
    <w:rsid w:val="005F5C80"/>
    <w:rsid w:val="005F699D"/>
    <w:rsid w:val="005F7603"/>
    <w:rsid w:val="005F7BDF"/>
    <w:rsid w:val="00600114"/>
    <w:rsid w:val="0060108C"/>
    <w:rsid w:val="00601B97"/>
    <w:rsid w:val="00601EB5"/>
    <w:rsid w:val="00601F0A"/>
    <w:rsid w:val="00602D7B"/>
    <w:rsid w:val="00604B64"/>
    <w:rsid w:val="00605908"/>
    <w:rsid w:val="00605EAB"/>
    <w:rsid w:val="00606C61"/>
    <w:rsid w:val="00607B74"/>
    <w:rsid w:val="00610CFA"/>
    <w:rsid w:val="00611424"/>
    <w:rsid w:val="00611633"/>
    <w:rsid w:val="006118B6"/>
    <w:rsid w:val="00611E33"/>
    <w:rsid w:val="00612668"/>
    <w:rsid w:val="00613D97"/>
    <w:rsid w:val="006149E5"/>
    <w:rsid w:val="00614BA0"/>
    <w:rsid w:val="00615030"/>
    <w:rsid w:val="00615582"/>
    <w:rsid w:val="006163F7"/>
    <w:rsid w:val="00617065"/>
    <w:rsid w:val="0061776A"/>
    <w:rsid w:val="00621C0F"/>
    <w:rsid w:val="00621F4D"/>
    <w:rsid w:val="00623324"/>
    <w:rsid w:val="00623B3F"/>
    <w:rsid w:val="006246CD"/>
    <w:rsid w:val="006315B0"/>
    <w:rsid w:val="006320FD"/>
    <w:rsid w:val="006324C2"/>
    <w:rsid w:val="0063325A"/>
    <w:rsid w:val="0063736C"/>
    <w:rsid w:val="006400FF"/>
    <w:rsid w:val="0064123C"/>
    <w:rsid w:val="006427FE"/>
    <w:rsid w:val="00643336"/>
    <w:rsid w:val="006436D3"/>
    <w:rsid w:val="00643C74"/>
    <w:rsid w:val="006448CB"/>
    <w:rsid w:val="006452CA"/>
    <w:rsid w:val="00647991"/>
    <w:rsid w:val="00647ACE"/>
    <w:rsid w:val="00650072"/>
    <w:rsid w:val="00650667"/>
    <w:rsid w:val="00650FC6"/>
    <w:rsid w:val="00651D28"/>
    <w:rsid w:val="00652606"/>
    <w:rsid w:val="00652A5E"/>
    <w:rsid w:val="00653503"/>
    <w:rsid w:val="00654ED4"/>
    <w:rsid w:val="0065626F"/>
    <w:rsid w:val="006572CC"/>
    <w:rsid w:val="006577F3"/>
    <w:rsid w:val="006578F2"/>
    <w:rsid w:val="006637AA"/>
    <w:rsid w:val="00663868"/>
    <w:rsid w:val="0066408D"/>
    <w:rsid w:val="0066435B"/>
    <w:rsid w:val="00665EB3"/>
    <w:rsid w:val="00670CFE"/>
    <w:rsid w:val="00670D40"/>
    <w:rsid w:val="00670D5F"/>
    <w:rsid w:val="00671491"/>
    <w:rsid w:val="00671A40"/>
    <w:rsid w:val="00671BFC"/>
    <w:rsid w:val="00672982"/>
    <w:rsid w:val="006736BC"/>
    <w:rsid w:val="00674DC8"/>
    <w:rsid w:val="006757C8"/>
    <w:rsid w:val="006761FD"/>
    <w:rsid w:val="00680A1E"/>
    <w:rsid w:val="00680E16"/>
    <w:rsid w:val="00682754"/>
    <w:rsid w:val="00691F09"/>
    <w:rsid w:val="006950B8"/>
    <w:rsid w:val="006A0E06"/>
    <w:rsid w:val="006A10B8"/>
    <w:rsid w:val="006A118D"/>
    <w:rsid w:val="006A2922"/>
    <w:rsid w:val="006A29AB"/>
    <w:rsid w:val="006A3F2E"/>
    <w:rsid w:val="006A58A9"/>
    <w:rsid w:val="006A5DEF"/>
    <w:rsid w:val="006A606D"/>
    <w:rsid w:val="006A6B84"/>
    <w:rsid w:val="006A7F25"/>
    <w:rsid w:val="006B34EE"/>
    <w:rsid w:val="006B442F"/>
    <w:rsid w:val="006B59AF"/>
    <w:rsid w:val="006B5ABB"/>
    <w:rsid w:val="006B5F8D"/>
    <w:rsid w:val="006B650A"/>
    <w:rsid w:val="006B693D"/>
    <w:rsid w:val="006B7715"/>
    <w:rsid w:val="006B775F"/>
    <w:rsid w:val="006C0371"/>
    <w:rsid w:val="006C08B6"/>
    <w:rsid w:val="006C0B1A"/>
    <w:rsid w:val="006C1F0B"/>
    <w:rsid w:val="006C257B"/>
    <w:rsid w:val="006C4331"/>
    <w:rsid w:val="006C4384"/>
    <w:rsid w:val="006C5CF1"/>
    <w:rsid w:val="006C6065"/>
    <w:rsid w:val="006C6CBA"/>
    <w:rsid w:val="006C7547"/>
    <w:rsid w:val="006C7F9F"/>
    <w:rsid w:val="006D4390"/>
    <w:rsid w:val="006D4425"/>
    <w:rsid w:val="006D45F5"/>
    <w:rsid w:val="006D4627"/>
    <w:rsid w:val="006D6160"/>
    <w:rsid w:val="006D6FCA"/>
    <w:rsid w:val="006E0489"/>
    <w:rsid w:val="006E2405"/>
    <w:rsid w:val="006E25ED"/>
    <w:rsid w:val="006E2F6D"/>
    <w:rsid w:val="006E4DD4"/>
    <w:rsid w:val="006E579E"/>
    <w:rsid w:val="006E58F6"/>
    <w:rsid w:val="006E6979"/>
    <w:rsid w:val="006E6E86"/>
    <w:rsid w:val="006E7357"/>
    <w:rsid w:val="006E757A"/>
    <w:rsid w:val="006E77E1"/>
    <w:rsid w:val="006E78E8"/>
    <w:rsid w:val="006E7D4F"/>
    <w:rsid w:val="006E7E4D"/>
    <w:rsid w:val="006F022E"/>
    <w:rsid w:val="006F131D"/>
    <w:rsid w:val="006F1BCB"/>
    <w:rsid w:val="006F1D1D"/>
    <w:rsid w:val="006F1E8B"/>
    <w:rsid w:val="006F2235"/>
    <w:rsid w:val="006F38B8"/>
    <w:rsid w:val="006F4291"/>
    <w:rsid w:val="006F5B8E"/>
    <w:rsid w:val="006F5BC2"/>
    <w:rsid w:val="006F5C3A"/>
    <w:rsid w:val="006F6708"/>
    <w:rsid w:val="006F6BBD"/>
    <w:rsid w:val="006F751F"/>
    <w:rsid w:val="006F7FAF"/>
    <w:rsid w:val="007003D9"/>
    <w:rsid w:val="007054A3"/>
    <w:rsid w:val="00707C4D"/>
    <w:rsid w:val="00717544"/>
    <w:rsid w:val="007204A2"/>
    <w:rsid w:val="00720F46"/>
    <w:rsid w:val="007214CB"/>
    <w:rsid w:val="00721953"/>
    <w:rsid w:val="0072372A"/>
    <w:rsid w:val="00724E24"/>
    <w:rsid w:val="00725675"/>
    <w:rsid w:val="00726C0C"/>
    <w:rsid w:val="00727148"/>
    <w:rsid w:val="00732345"/>
    <w:rsid w:val="0073395C"/>
    <w:rsid w:val="00733AF6"/>
    <w:rsid w:val="0073546B"/>
    <w:rsid w:val="00735C8F"/>
    <w:rsid w:val="00736AF2"/>
    <w:rsid w:val="007374B0"/>
    <w:rsid w:val="00740FEC"/>
    <w:rsid w:val="00741D92"/>
    <w:rsid w:val="00742264"/>
    <w:rsid w:val="007428A7"/>
    <w:rsid w:val="00744DE0"/>
    <w:rsid w:val="00746389"/>
    <w:rsid w:val="007473D2"/>
    <w:rsid w:val="00747E56"/>
    <w:rsid w:val="00750470"/>
    <w:rsid w:val="00750653"/>
    <w:rsid w:val="00750E92"/>
    <w:rsid w:val="007512D5"/>
    <w:rsid w:val="00752412"/>
    <w:rsid w:val="00752BCD"/>
    <w:rsid w:val="00753624"/>
    <w:rsid w:val="00753B6B"/>
    <w:rsid w:val="007553DC"/>
    <w:rsid w:val="007602E7"/>
    <w:rsid w:val="00761323"/>
    <w:rsid w:val="00762D83"/>
    <w:rsid w:val="00763007"/>
    <w:rsid w:val="00765440"/>
    <w:rsid w:val="007664ED"/>
    <w:rsid w:val="00766DA1"/>
    <w:rsid w:val="00771854"/>
    <w:rsid w:val="00771F9F"/>
    <w:rsid w:val="00772255"/>
    <w:rsid w:val="00773495"/>
    <w:rsid w:val="00774782"/>
    <w:rsid w:val="00775C5A"/>
    <w:rsid w:val="00780E0B"/>
    <w:rsid w:val="00781467"/>
    <w:rsid w:val="007814AA"/>
    <w:rsid w:val="0078230D"/>
    <w:rsid w:val="00783234"/>
    <w:rsid w:val="007837CF"/>
    <w:rsid w:val="007840C4"/>
    <w:rsid w:val="007851EE"/>
    <w:rsid w:val="0078524A"/>
    <w:rsid w:val="007866A6"/>
    <w:rsid w:val="00787173"/>
    <w:rsid w:val="007923CE"/>
    <w:rsid w:val="00796B78"/>
    <w:rsid w:val="007A130D"/>
    <w:rsid w:val="007A5DCC"/>
    <w:rsid w:val="007A6383"/>
    <w:rsid w:val="007A6409"/>
    <w:rsid w:val="007B2517"/>
    <w:rsid w:val="007B346D"/>
    <w:rsid w:val="007B416E"/>
    <w:rsid w:val="007B5180"/>
    <w:rsid w:val="007B62EC"/>
    <w:rsid w:val="007C1B1C"/>
    <w:rsid w:val="007C24B4"/>
    <w:rsid w:val="007C4948"/>
    <w:rsid w:val="007C4BE5"/>
    <w:rsid w:val="007C6862"/>
    <w:rsid w:val="007C7820"/>
    <w:rsid w:val="007D3990"/>
    <w:rsid w:val="007D4102"/>
    <w:rsid w:val="007D5FB9"/>
    <w:rsid w:val="007D6073"/>
    <w:rsid w:val="007D686D"/>
    <w:rsid w:val="007D6C09"/>
    <w:rsid w:val="007E218C"/>
    <w:rsid w:val="007E24FD"/>
    <w:rsid w:val="007E3C4F"/>
    <w:rsid w:val="007E3E1E"/>
    <w:rsid w:val="007E4C8D"/>
    <w:rsid w:val="007E5921"/>
    <w:rsid w:val="007F00D3"/>
    <w:rsid w:val="007F2296"/>
    <w:rsid w:val="007F291E"/>
    <w:rsid w:val="007F3BDD"/>
    <w:rsid w:val="007F40B3"/>
    <w:rsid w:val="007F6D28"/>
    <w:rsid w:val="00801E84"/>
    <w:rsid w:val="008031AA"/>
    <w:rsid w:val="0080485F"/>
    <w:rsid w:val="00804A13"/>
    <w:rsid w:val="00805889"/>
    <w:rsid w:val="00806421"/>
    <w:rsid w:val="00806CBD"/>
    <w:rsid w:val="00810611"/>
    <w:rsid w:val="00810C9F"/>
    <w:rsid w:val="008115DA"/>
    <w:rsid w:val="00811C93"/>
    <w:rsid w:val="0081240F"/>
    <w:rsid w:val="00812579"/>
    <w:rsid w:val="00812DB8"/>
    <w:rsid w:val="008146F7"/>
    <w:rsid w:val="00814D7C"/>
    <w:rsid w:val="00815E49"/>
    <w:rsid w:val="00816452"/>
    <w:rsid w:val="00816B01"/>
    <w:rsid w:val="00820823"/>
    <w:rsid w:val="00821ED3"/>
    <w:rsid w:val="00821FFC"/>
    <w:rsid w:val="00822D77"/>
    <w:rsid w:val="00823660"/>
    <w:rsid w:val="00825F8E"/>
    <w:rsid w:val="008271CA"/>
    <w:rsid w:val="00832DD9"/>
    <w:rsid w:val="00835143"/>
    <w:rsid w:val="00836D58"/>
    <w:rsid w:val="00841118"/>
    <w:rsid w:val="00842D74"/>
    <w:rsid w:val="0084395A"/>
    <w:rsid w:val="00844867"/>
    <w:rsid w:val="00844ADD"/>
    <w:rsid w:val="00844AF3"/>
    <w:rsid w:val="008455E3"/>
    <w:rsid w:val="00845B00"/>
    <w:rsid w:val="00845CE8"/>
    <w:rsid w:val="0084657F"/>
    <w:rsid w:val="008467D5"/>
    <w:rsid w:val="0085200D"/>
    <w:rsid w:val="008522E1"/>
    <w:rsid w:val="0085245B"/>
    <w:rsid w:val="008529EB"/>
    <w:rsid w:val="00855195"/>
    <w:rsid w:val="00855B2A"/>
    <w:rsid w:val="00856D9F"/>
    <w:rsid w:val="0085752D"/>
    <w:rsid w:val="00857862"/>
    <w:rsid w:val="0086124F"/>
    <w:rsid w:val="0086157C"/>
    <w:rsid w:val="00861EF5"/>
    <w:rsid w:val="00862322"/>
    <w:rsid w:val="008640FB"/>
    <w:rsid w:val="00864186"/>
    <w:rsid w:val="00864DA8"/>
    <w:rsid w:val="00865553"/>
    <w:rsid w:val="008656C3"/>
    <w:rsid w:val="00866B21"/>
    <w:rsid w:val="00866F6D"/>
    <w:rsid w:val="00870129"/>
    <w:rsid w:val="008702BA"/>
    <w:rsid w:val="00870FCF"/>
    <w:rsid w:val="00872C83"/>
    <w:rsid w:val="00872D58"/>
    <w:rsid w:val="0087323A"/>
    <w:rsid w:val="0087392A"/>
    <w:rsid w:val="00874539"/>
    <w:rsid w:val="00875AE2"/>
    <w:rsid w:val="0087797E"/>
    <w:rsid w:val="00881EFD"/>
    <w:rsid w:val="00882EEB"/>
    <w:rsid w:val="00884CD6"/>
    <w:rsid w:val="00886053"/>
    <w:rsid w:val="00886191"/>
    <w:rsid w:val="00887434"/>
    <w:rsid w:val="00887C4E"/>
    <w:rsid w:val="00890372"/>
    <w:rsid w:val="008904A4"/>
    <w:rsid w:val="00890501"/>
    <w:rsid w:val="00890A12"/>
    <w:rsid w:val="0089348E"/>
    <w:rsid w:val="00895412"/>
    <w:rsid w:val="00895764"/>
    <w:rsid w:val="00895954"/>
    <w:rsid w:val="00895BB8"/>
    <w:rsid w:val="00896121"/>
    <w:rsid w:val="0089661F"/>
    <w:rsid w:val="00896673"/>
    <w:rsid w:val="008A05DF"/>
    <w:rsid w:val="008A1477"/>
    <w:rsid w:val="008A2281"/>
    <w:rsid w:val="008A2C27"/>
    <w:rsid w:val="008A4DC4"/>
    <w:rsid w:val="008A5120"/>
    <w:rsid w:val="008A5C9B"/>
    <w:rsid w:val="008A6F7B"/>
    <w:rsid w:val="008B32FA"/>
    <w:rsid w:val="008B58AF"/>
    <w:rsid w:val="008B69E1"/>
    <w:rsid w:val="008B6BC7"/>
    <w:rsid w:val="008B74DD"/>
    <w:rsid w:val="008C0018"/>
    <w:rsid w:val="008C0F4E"/>
    <w:rsid w:val="008C1096"/>
    <w:rsid w:val="008C1743"/>
    <w:rsid w:val="008C1C4F"/>
    <w:rsid w:val="008C1DD3"/>
    <w:rsid w:val="008C3C5E"/>
    <w:rsid w:val="008C41C7"/>
    <w:rsid w:val="008C4D88"/>
    <w:rsid w:val="008C60A5"/>
    <w:rsid w:val="008C63C8"/>
    <w:rsid w:val="008C703F"/>
    <w:rsid w:val="008D2008"/>
    <w:rsid w:val="008D24CE"/>
    <w:rsid w:val="008D4D25"/>
    <w:rsid w:val="008D6856"/>
    <w:rsid w:val="008D7AFD"/>
    <w:rsid w:val="008E1034"/>
    <w:rsid w:val="008E1526"/>
    <w:rsid w:val="008E2244"/>
    <w:rsid w:val="008E29C9"/>
    <w:rsid w:val="008E4C9A"/>
    <w:rsid w:val="008E5294"/>
    <w:rsid w:val="008E669A"/>
    <w:rsid w:val="008E6F3D"/>
    <w:rsid w:val="008E6F41"/>
    <w:rsid w:val="008E72D1"/>
    <w:rsid w:val="008E759D"/>
    <w:rsid w:val="008F0E64"/>
    <w:rsid w:val="008F108B"/>
    <w:rsid w:val="008F1392"/>
    <w:rsid w:val="008F3E9C"/>
    <w:rsid w:val="008F68AB"/>
    <w:rsid w:val="008F7A74"/>
    <w:rsid w:val="008F7DFF"/>
    <w:rsid w:val="00900B8D"/>
    <w:rsid w:val="00900F9D"/>
    <w:rsid w:val="00902142"/>
    <w:rsid w:val="009027CA"/>
    <w:rsid w:val="00903301"/>
    <w:rsid w:val="0090399F"/>
    <w:rsid w:val="0090565B"/>
    <w:rsid w:val="009059BD"/>
    <w:rsid w:val="00905EED"/>
    <w:rsid w:val="00906571"/>
    <w:rsid w:val="00906632"/>
    <w:rsid w:val="009067A4"/>
    <w:rsid w:val="0090722E"/>
    <w:rsid w:val="0091093B"/>
    <w:rsid w:val="0091122A"/>
    <w:rsid w:val="00911939"/>
    <w:rsid w:val="00913302"/>
    <w:rsid w:val="00913449"/>
    <w:rsid w:val="00913613"/>
    <w:rsid w:val="009142F8"/>
    <w:rsid w:val="00914A7D"/>
    <w:rsid w:val="0091547F"/>
    <w:rsid w:val="009159D3"/>
    <w:rsid w:val="009161A6"/>
    <w:rsid w:val="00916871"/>
    <w:rsid w:val="0092030D"/>
    <w:rsid w:val="009205BB"/>
    <w:rsid w:val="0092103B"/>
    <w:rsid w:val="00921134"/>
    <w:rsid w:val="009215A5"/>
    <w:rsid w:val="0092271C"/>
    <w:rsid w:val="0092279F"/>
    <w:rsid w:val="00923032"/>
    <w:rsid w:val="00924F5D"/>
    <w:rsid w:val="00926F75"/>
    <w:rsid w:val="00930881"/>
    <w:rsid w:val="00931D43"/>
    <w:rsid w:val="009328F5"/>
    <w:rsid w:val="009340DB"/>
    <w:rsid w:val="0093553A"/>
    <w:rsid w:val="00936372"/>
    <w:rsid w:val="009428DD"/>
    <w:rsid w:val="00943CA2"/>
    <w:rsid w:val="00943DCC"/>
    <w:rsid w:val="009440F4"/>
    <w:rsid w:val="009446C3"/>
    <w:rsid w:val="009456F4"/>
    <w:rsid w:val="00945BCB"/>
    <w:rsid w:val="00945F78"/>
    <w:rsid w:val="00946907"/>
    <w:rsid w:val="009476CC"/>
    <w:rsid w:val="009478EE"/>
    <w:rsid w:val="00950389"/>
    <w:rsid w:val="00957E1B"/>
    <w:rsid w:val="0096004F"/>
    <w:rsid w:val="00960AEF"/>
    <w:rsid w:val="00960CBE"/>
    <w:rsid w:val="009617B5"/>
    <w:rsid w:val="00961AC1"/>
    <w:rsid w:val="00962BC3"/>
    <w:rsid w:val="00962CE4"/>
    <w:rsid w:val="00963D1D"/>
    <w:rsid w:val="00963FE4"/>
    <w:rsid w:val="009648C9"/>
    <w:rsid w:val="00965835"/>
    <w:rsid w:val="00965FFF"/>
    <w:rsid w:val="00966F75"/>
    <w:rsid w:val="00967D50"/>
    <w:rsid w:val="009705D4"/>
    <w:rsid w:val="0097075E"/>
    <w:rsid w:val="00970B46"/>
    <w:rsid w:val="00971911"/>
    <w:rsid w:val="00972498"/>
    <w:rsid w:val="00972ACF"/>
    <w:rsid w:val="00972BED"/>
    <w:rsid w:val="00972F32"/>
    <w:rsid w:val="00973741"/>
    <w:rsid w:val="00974CC6"/>
    <w:rsid w:val="00975FE1"/>
    <w:rsid w:val="00976AD4"/>
    <w:rsid w:val="00976C4F"/>
    <w:rsid w:val="00976E06"/>
    <w:rsid w:val="0097761C"/>
    <w:rsid w:val="009814FC"/>
    <w:rsid w:val="00982E07"/>
    <w:rsid w:val="009843DB"/>
    <w:rsid w:val="00984EB8"/>
    <w:rsid w:val="00990612"/>
    <w:rsid w:val="00991C72"/>
    <w:rsid w:val="00992DCE"/>
    <w:rsid w:val="00995011"/>
    <w:rsid w:val="00995FE7"/>
    <w:rsid w:val="009A01D5"/>
    <w:rsid w:val="009A1D8B"/>
    <w:rsid w:val="009A2625"/>
    <w:rsid w:val="009A26EF"/>
    <w:rsid w:val="009A2FE0"/>
    <w:rsid w:val="009A2FE3"/>
    <w:rsid w:val="009A312F"/>
    <w:rsid w:val="009A5348"/>
    <w:rsid w:val="009A6FC6"/>
    <w:rsid w:val="009A74DD"/>
    <w:rsid w:val="009A76A8"/>
    <w:rsid w:val="009A770A"/>
    <w:rsid w:val="009B00DA"/>
    <w:rsid w:val="009B22F2"/>
    <w:rsid w:val="009B5618"/>
    <w:rsid w:val="009B58FC"/>
    <w:rsid w:val="009B7675"/>
    <w:rsid w:val="009B76CA"/>
    <w:rsid w:val="009C0F47"/>
    <w:rsid w:val="009C1267"/>
    <w:rsid w:val="009C4026"/>
    <w:rsid w:val="009C639D"/>
    <w:rsid w:val="009C76D5"/>
    <w:rsid w:val="009C7B60"/>
    <w:rsid w:val="009D05F9"/>
    <w:rsid w:val="009D0A9E"/>
    <w:rsid w:val="009D1916"/>
    <w:rsid w:val="009D2A35"/>
    <w:rsid w:val="009D48E1"/>
    <w:rsid w:val="009D55C9"/>
    <w:rsid w:val="009D560A"/>
    <w:rsid w:val="009D6DED"/>
    <w:rsid w:val="009D6F38"/>
    <w:rsid w:val="009D73B2"/>
    <w:rsid w:val="009E0701"/>
    <w:rsid w:val="009E16A8"/>
    <w:rsid w:val="009E2229"/>
    <w:rsid w:val="009E33DD"/>
    <w:rsid w:val="009E3D7A"/>
    <w:rsid w:val="009E4668"/>
    <w:rsid w:val="009E63A8"/>
    <w:rsid w:val="009F00F7"/>
    <w:rsid w:val="009F0EC2"/>
    <w:rsid w:val="009F2765"/>
    <w:rsid w:val="009F3914"/>
    <w:rsid w:val="009F4E9B"/>
    <w:rsid w:val="009F572D"/>
    <w:rsid w:val="009F756E"/>
    <w:rsid w:val="009F7AA4"/>
    <w:rsid w:val="009F7B5C"/>
    <w:rsid w:val="00A018C5"/>
    <w:rsid w:val="00A01948"/>
    <w:rsid w:val="00A01D64"/>
    <w:rsid w:val="00A031EF"/>
    <w:rsid w:val="00A05435"/>
    <w:rsid w:val="00A10838"/>
    <w:rsid w:val="00A10A83"/>
    <w:rsid w:val="00A11027"/>
    <w:rsid w:val="00A13C8B"/>
    <w:rsid w:val="00A13EDF"/>
    <w:rsid w:val="00A15E39"/>
    <w:rsid w:val="00A15EAF"/>
    <w:rsid w:val="00A20C93"/>
    <w:rsid w:val="00A20DAC"/>
    <w:rsid w:val="00A20FAF"/>
    <w:rsid w:val="00A22721"/>
    <w:rsid w:val="00A2353F"/>
    <w:rsid w:val="00A240E7"/>
    <w:rsid w:val="00A24431"/>
    <w:rsid w:val="00A260D3"/>
    <w:rsid w:val="00A3233D"/>
    <w:rsid w:val="00A33211"/>
    <w:rsid w:val="00A35A7F"/>
    <w:rsid w:val="00A37590"/>
    <w:rsid w:val="00A40C0C"/>
    <w:rsid w:val="00A41D2E"/>
    <w:rsid w:val="00A4204E"/>
    <w:rsid w:val="00A42BAA"/>
    <w:rsid w:val="00A431DB"/>
    <w:rsid w:val="00A47D11"/>
    <w:rsid w:val="00A47D2D"/>
    <w:rsid w:val="00A50DD5"/>
    <w:rsid w:val="00A517DF"/>
    <w:rsid w:val="00A518EB"/>
    <w:rsid w:val="00A51A18"/>
    <w:rsid w:val="00A5391C"/>
    <w:rsid w:val="00A549E5"/>
    <w:rsid w:val="00A55837"/>
    <w:rsid w:val="00A559DB"/>
    <w:rsid w:val="00A55D56"/>
    <w:rsid w:val="00A567CB"/>
    <w:rsid w:val="00A57CF8"/>
    <w:rsid w:val="00A57EB7"/>
    <w:rsid w:val="00A6059E"/>
    <w:rsid w:val="00A6071E"/>
    <w:rsid w:val="00A60E80"/>
    <w:rsid w:val="00A610BA"/>
    <w:rsid w:val="00A62D46"/>
    <w:rsid w:val="00A63A47"/>
    <w:rsid w:val="00A63D3E"/>
    <w:rsid w:val="00A63EDC"/>
    <w:rsid w:val="00A65E67"/>
    <w:rsid w:val="00A7156F"/>
    <w:rsid w:val="00A71704"/>
    <w:rsid w:val="00A7204C"/>
    <w:rsid w:val="00A721BF"/>
    <w:rsid w:val="00A744EA"/>
    <w:rsid w:val="00A748AB"/>
    <w:rsid w:val="00A7523C"/>
    <w:rsid w:val="00A76044"/>
    <w:rsid w:val="00A771D3"/>
    <w:rsid w:val="00A776FE"/>
    <w:rsid w:val="00A80630"/>
    <w:rsid w:val="00A813F3"/>
    <w:rsid w:val="00A81990"/>
    <w:rsid w:val="00A84322"/>
    <w:rsid w:val="00A84724"/>
    <w:rsid w:val="00A84AB4"/>
    <w:rsid w:val="00A85905"/>
    <w:rsid w:val="00A87AE4"/>
    <w:rsid w:val="00A91CB6"/>
    <w:rsid w:val="00A91CBC"/>
    <w:rsid w:val="00A92F55"/>
    <w:rsid w:val="00A94398"/>
    <w:rsid w:val="00A95143"/>
    <w:rsid w:val="00A955F1"/>
    <w:rsid w:val="00A95B31"/>
    <w:rsid w:val="00A95D8E"/>
    <w:rsid w:val="00A95DC4"/>
    <w:rsid w:val="00A97849"/>
    <w:rsid w:val="00AA06BF"/>
    <w:rsid w:val="00AA1986"/>
    <w:rsid w:val="00AA4282"/>
    <w:rsid w:val="00AA5AB9"/>
    <w:rsid w:val="00AA6C6B"/>
    <w:rsid w:val="00AA716B"/>
    <w:rsid w:val="00AB326B"/>
    <w:rsid w:val="00AB3974"/>
    <w:rsid w:val="00AB44D6"/>
    <w:rsid w:val="00AB5016"/>
    <w:rsid w:val="00AB5D22"/>
    <w:rsid w:val="00AB6921"/>
    <w:rsid w:val="00AB7C32"/>
    <w:rsid w:val="00AC012D"/>
    <w:rsid w:val="00AC1306"/>
    <w:rsid w:val="00AC18E2"/>
    <w:rsid w:val="00AC391A"/>
    <w:rsid w:val="00AC5D02"/>
    <w:rsid w:val="00AC756C"/>
    <w:rsid w:val="00AD0629"/>
    <w:rsid w:val="00AD1163"/>
    <w:rsid w:val="00AD15ED"/>
    <w:rsid w:val="00AD1A70"/>
    <w:rsid w:val="00AD1C79"/>
    <w:rsid w:val="00AD3327"/>
    <w:rsid w:val="00AD415B"/>
    <w:rsid w:val="00AD43D6"/>
    <w:rsid w:val="00AD4710"/>
    <w:rsid w:val="00AD7D0A"/>
    <w:rsid w:val="00AE0C67"/>
    <w:rsid w:val="00AE0FD1"/>
    <w:rsid w:val="00AE635E"/>
    <w:rsid w:val="00AE683E"/>
    <w:rsid w:val="00AE6B27"/>
    <w:rsid w:val="00AF329A"/>
    <w:rsid w:val="00AF35FC"/>
    <w:rsid w:val="00AF6215"/>
    <w:rsid w:val="00AF7B9D"/>
    <w:rsid w:val="00B006CB"/>
    <w:rsid w:val="00B01C3A"/>
    <w:rsid w:val="00B031D7"/>
    <w:rsid w:val="00B0358A"/>
    <w:rsid w:val="00B03639"/>
    <w:rsid w:val="00B03706"/>
    <w:rsid w:val="00B03E3A"/>
    <w:rsid w:val="00B04C00"/>
    <w:rsid w:val="00B05A1C"/>
    <w:rsid w:val="00B0652A"/>
    <w:rsid w:val="00B11581"/>
    <w:rsid w:val="00B11884"/>
    <w:rsid w:val="00B11C7F"/>
    <w:rsid w:val="00B15003"/>
    <w:rsid w:val="00B179E2"/>
    <w:rsid w:val="00B23F94"/>
    <w:rsid w:val="00B2430E"/>
    <w:rsid w:val="00B24ADC"/>
    <w:rsid w:val="00B251E4"/>
    <w:rsid w:val="00B2567D"/>
    <w:rsid w:val="00B25A74"/>
    <w:rsid w:val="00B2657C"/>
    <w:rsid w:val="00B26A9C"/>
    <w:rsid w:val="00B26A9D"/>
    <w:rsid w:val="00B27E01"/>
    <w:rsid w:val="00B30879"/>
    <w:rsid w:val="00B33934"/>
    <w:rsid w:val="00B33F6D"/>
    <w:rsid w:val="00B34482"/>
    <w:rsid w:val="00B3547C"/>
    <w:rsid w:val="00B35AD0"/>
    <w:rsid w:val="00B37516"/>
    <w:rsid w:val="00B3757D"/>
    <w:rsid w:val="00B40937"/>
    <w:rsid w:val="00B423EF"/>
    <w:rsid w:val="00B437AF"/>
    <w:rsid w:val="00B43C4D"/>
    <w:rsid w:val="00B44DE4"/>
    <w:rsid w:val="00B453DE"/>
    <w:rsid w:val="00B45691"/>
    <w:rsid w:val="00B4742F"/>
    <w:rsid w:val="00B50CF3"/>
    <w:rsid w:val="00B5165C"/>
    <w:rsid w:val="00B51722"/>
    <w:rsid w:val="00B52A0A"/>
    <w:rsid w:val="00B5377F"/>
    <w:rsid w:val="00B53D84"/>
    <w:rsid w:val="00B5473E"/>
    <w:rsid w:val="00B55F12"/>
    <w:rsid w:val="00B566C6"/>
    <w:rsid w:val="00B570B1"/>
    <w:rsid w:val="00B609B6"/>
    <w:rsid w:val="00B61CBB"/>
    <w:rsid w:val="00B62BD3"/>
    <w:rsid w:val="00B65A0E"/>
    <w:rsid w:val="00B65B49"/>
    <w:rsid w:val="00B66844"/>
    <w:rsid w:val="00B66A07"/>
    <w:rsid w:val="00B71C53"/>
    <w:rsid w:val="00B72E2E"/>
    <w:rsid w:val="00B7332F"/>
    <w:rsid w:val="00B75A35"/>
    <w:rsid w:val="00B75ED2"/>
    <w:rsid w:val="00B76D14"/>
    <w:rsid w:val="00B8030C"/>
    <w:rsid w:val="00B80350"/>
    <w:rsid w:val="00B82293"/>
    <w:rsid w:val="00B84288"/>
    <w:rsid w:val="00B86135"/>
    <w:rsid w:val="00B862F9"/>
    <w:rsid w:val="00B86388"/>
    <w:rsid w:val="00B87FB2"/>
    <w:rsid w:val="00B901F9"/>
    <w:rsid w:val="00B9075D"/>
    <w:rsid w:val="00B908A2"/>
    <w:rsid w:val="00B924CB"/>
    <w:rsid w:val="00B92549"/>
    <w:rsid w:val="00B9353E"/>
    <w:rsid w:val="00B94932"/>
    <w:rsid w:val="00B9564E"/>
    <w:rsid w:val="00B95763"/>
    <w:rsid w:val="00B96B29"/>
    <w:rsid w:val="00B96E6B"/>
    <w:rsid w:val="00B97848"/>
    <w:rsid w:val="00B97BA2"/>
    <w:rsid w:val="00BA083E"/>
    <w:rsid w:val="00BA1D42"/>
    <w:rsid w:val="00BA234B"/>
    <w:rsid w:val="00BA2B13"/>
    <w:rsid w:val="00BA2D29"/>
    <w:rsid w:val="00BA3D1E"/>
    <w:rsid w:val="00BA46F7"/>
    <w:rsid w:val="00BA5431"/>
    <w:rsid w:val="00BB0325"/>
    <w:rsid w:val="00BB0B0D"/>
    <w:rsid w:val="00BB1B4A"/>
    <w:rsid w:val="00BB2781"/>
    <w:rsid w:val="00BB2ECF"/>
    <w:rsid w:val="00BB4553"/>
    <w:rsid w:val="00BB4A6D"/>
    <w:rsid w:val="00BB4F0D"/>
    <w:rsid w:val="00BB6710"/>
    <w:rsid w:val="00BB6912"/>
    <w:rsid w:val="00BB7786"/>
    <w:rsid w:val="00BC2B9B"/>
    <w:rsid w:val="00BC684A"/>
    <w:rsid w:val="00BC6878"/>
    <w:rsid w:val="00BC6F84"/>
    <w:rsid w:val="00BC738E"/>
    <w:rsid w:val="00BC7C71"/>
    <w:rsid w:val="00BD047E"/>
    <w:rsid w:val="00BD09CD"/>
    <w:rsid w:val="00BD1B76"/>
    <w:rsid w:val="00BD1E60"/>
    <w:rsid w:val="00BD23C3"/>
    <w:rsid w:val="00BD3682"/>
    <w:rsid w:val="00BD3934"/>
    <w:rsid w:val="00BD58CB"/>
    <w:rsid w:val="00BD5D9D"/>
    <w:rsid w:val="00BD6D2D"/>
    <w:rsid w:val="00BD6EFB"/>
    <w:rsid w:val="00BE0C9D"/>
    <w:rsid w:val="00BE1286"/>
    <w:rsid w:val="00BE1DBE"/>
    <w:rsid w:val="00BE24AD"/>
    <w:rsid w:val="00BE2C3B"/>
    <w:rsid w:val="00BE2FFE"/>
    <w:rsid w:val="00BE3171"/>
    <w:rsid w:val="00BE466F"/>
    <w:rsid w:val="00BE4A19"/>
    <w:rsid w:val="00BE5130"/>
    <w:rsid w:val="00BE5598"/>
    <w:rsid w:val="00BE5DA0"/>
    <w:rsid w:val="00BE72A4"/>
    <w:rsid w:val="00BE7A98"/>
    <w:rsid w:val="00BE7E94"/>
    <w:rsid w:val="00BF010D"/>
    <w:rsid w:val="00BF11C7"/>
    <w:rsid w:val="00BF141B"/>
    <w:rsid w:val="00BF2D47"/>
    <w:rsid w:val="00BF565C"/>
    <w:rsid w:val="00BF6546"/>
    <w:rsid w:val="00BF7A46"/>
    <w:rsid w:val="00C00499"/>
    <w:rsid w:val="00C01262"/>
    <w:rsid w:val="00C0144F"/>
    <w:rsid w:val="00C02850"/>
    <w:rsid w:val="00C02AA8"/>
    <w:rsid w:val="00C03256"/>
    <w:rsid w:val="00C03538"/>
    <w:rsid w:val="00C04A2C"/>
    <w:rsid w:val="00C0551B"/>
    <w:rsid w:val="00C057F0"/>
    <w:rsid w:val="00C05C95"/>
    <w:rsid w:val="00C0718C"/>
    <w:rsid w:val="00C0760A"/>
    <w:rsid w:val="00C1034D"/>
    <w:rsid w:val="00C112F6"/>
    <w:rsid w:val="00C11717"/>
    <w:rsid w:val="00C12E46"/>
    <w:rsid w:val="00C12F27"/>
    <w:rsid w:val="00C12F94"/>
    <w:rsid w:val="00C13DA8"/>
    <w:rsid w:val="00C13EB0"/>
    <w:rsid w:val="00C15BE2"/>
    <w:rsid w:val="00C164AA"/>
    <w:rsid w:val="00C17425"/>
    <w:rsid w:val="00C17D74"/>
    <w:rsid w:val="00C20156"/>
    <w:rsid w:val="00C20233"/>
    <w:rsid w:val="00C20B20"/>
    <w:rsid w:val="00C22219"/>
    <w:rsid w:val="00C245FE"/>
    <w:rsid w:val="00C24828"/>
    <w:rsid w:val="00C25CC6"/>
    <w:rsid w:val="00C260C5"/>
    <w:rsid w:val="00C31A96"/>
    <w:rsid w:val="00C32654"/>
    <w:rsid w:val="00C3416A"/>
    <w:rsid w:val="00C3447F"/>
    <w:rsid w:val="00C34525"/>
    <w:rsid w:val="00C373AD"/>
    <w:rsid w:val="00C379CE"/>
    <w:rsid w:val="00C37DB1"/>
    <w:rsid w:val="00C40DDD"/>
    <w:rsid w:val="00C41C8D"/>
    <w:rsid w:val="00C43A9A"/>
    <w:rsid w:val="00C45328"/>
    <w:rsid w:val="00C46192"/>
    <w:rsid w:val="00C466D5"/>
    <w:rsid w:val="00C46F99"/>
    <w:rsid w:val="00C510C4"/>
    <w:rsid w:val="00C5122E"/>
    <w:rsid w:val="00C5182A"/>
    <w:rsid w:val="00C518D8"/>
    <w:rsid w:val="00C55076"/>
    <w:rsid w:val="00C557D5"/>
    <w:rsid w:val="00C55941"/>
    <w:rsid w:val="00C55CCB"/>
    <w:rsid w:val="00C56733"/>
    <w:rsid w:val="00C56CEC"/>
    <w:rsid w:val="00C61CB4"/>
    <w:rsid w:val="00C61E62"/>
    <w:rsid w:val="00C62A52"/>
    <w:rsid w:val="00C63A04"/>
    <w:rsid w:val="00C667B1"/>
    <w:rsid w:val="00C66B89"/>
    <w:rsid w:val="00C67269"/>
    <w:rsid w:val="00C700C4"/>
    <w:rsid w:val="00C71894"/>
    <w:rsid w:val="00C71A11"/>
    <w:rsid w:val="00C7320D"/>
    <w:rsid w:val="00C76864"/>
    <w:rsid w:val="00C805B5"/>
    <w:rsid w:val="00C81491"/>
    <w:rsid w:val="00C81524"/>
    <w:rsid w:val="00C81676"/>
    <w:rsid w:val="00C81872"/>
    <w:rsid w:val="00C81BBD"/>
    <w:rsid w:val="00C82B4C"/>
    <w:rsid w:val="00C83AC5"/>
    <w:rsid w:val="00C84D67"/>
    <w:rsid w:val="00C85CD9"/>
    <w:rsid w:val="00C867CF"/>
    <w:rsid w:val="00C877D5"/>
    <w:rsid w:val="00C9020A"/>
    <w:rsid w:val="00C91B16"/>
    <w:rsid w:val="00C92205"/>
    <w:rsid w:val="00C92CC4"/>
    <w:rsid w:val="00C9360B"/>
    <w:rsid w:val="00C94DAB"/>
    <w:rsid w:val="00C9518C"/>
    <w:rsid w:val="00C96286"/>
    <w:rsid w:val="00C965F3"/>
    <w:rsid w:val="00C975CD"/>
    <w:rsid w:val="00CA09E2"/>
    <w:rsid w:val="00CA0AFB"/>
    <w:rsid w:val="00CA1860"/>
    <w:rsid w:val="00CA18B8"/>
    <w:rsid w:val="00CA2730"/>
    <w:rsid w:val="00CA2CE1"/>
    <w:rsid w:val="00CA2D07"/>
    <w:rsid w:val="00CA3976"/>
    <w:rsid w:val="00CA535B"/>
    <w:rsid w:val="00CA546E"/>
    <w:rsid w:val="00CA64C8"/>
    <w:rsid w:val="00CA667E"/>
    <w:rsid w:val="00CA6A66"/>
    <w:rsid w:val="00CA757B"/>
    <w:rsid w:val="00CA75C3"/>
    <w:rsid w:val="00CA7BD7"/>
    <w:rsid w:val="00CB036D"/>
    <w:rsid w:val="00CB050B"/>
    <w:rsid w:val="00CB1E38"/>
    <w:rsid w:val="00CB1F45"/>
    <w:rsid w:val="00CB56DC"/>
    <w:rsid w:val="00CB5AEA"/>
    <w:rsid w:val="00CB686D"/>
    <w:rsid w:val="00CB6ADC"/>
    <w:rsid w:val="00CB6E62"/>
    <w:rsid w:val="00CB75A8"/>
    <w:rsid w:val="00CB7CC6"/>
    <w:rsid w:val="00CC07DB"/>
    <w:rsid w:val="00CC0FD5"/>
    <w:rsid w:val="00CC1787"/>
    <w:rsid w:val="00CC182C"/>
    <w:rsid w:val="00CC192A"/>
    <w:rsid w:val="00CC5353"/>
    <w:rsid w:val="00CC561C"/>
    <w:rsid w:val="00CC762B"/>
    <w:rsid w:val="00CD0736"/>
    <w:rsid w:val="00CD0824"/>
    <w:rsid w:val="00CD1581"/>
    <w:rsid w:val="00CD21FB"/>
    <w:rsid w:val="00CD2726"/>
    <w:rsid w:val="00CD2908"/>
    <w:rsid w:val="00CD6858"/>
    <w:rsid w:val="00CD6C83"/>
    <w:rsid w:val="00CD71EC"/>
    <w:rsid w:val="00CD77FC"/>
    <w:rsid w:val="00CE1494"/>
    <w:rsid w:val="00CE14DC"/>
    <w:rsid w:val="00CE2103"/>
    <w:rsid w:val="00CE2727"/>
    <w:rsid w:val="00CE3C2F"/>
    <w:rsid w:val="00CE4927"/>
    <w:rsid w:val="00CE5565"/>
    <w:rsid w:val="00CE5CFA"/>
    <w:rsid w:val="00CE6A01"/>
    <w:rsid w:val="00CF043B"/>
    <w:rsid w:val="00CF313E"/>
    <w:rsid w:val="00CF502E"/>
    <w:rsid w:val="00CF6BAE"/>
    <w:rsid w:val="00CF6D46"/>
    <w:rsid w:val="00D007DA"/>
    <w:rsid w:val="00D02AEF"/>
    <w:rsid w:val="00D02B74"/>
    <w:rsid w:val="00D0363A"/>
    <w:rsid w:val="00D03A82"/>
    <w:rsid w:val="00D04D33"/>
    <w:rsid w:val="00D0548E"/>
    <w:rsid w:val="00D10119"/>
    <w:rsid w:val="00D1119D"/>
    <w:rsid w:val="00D12069"/>
    <w:rsid w:val="00D1272A"/>
    <w:rsid w:val="00D127E6"/>
    <w:rsid w:val="00D1289F"/>
    <w:rsid w:val="00D131BD"/>
    <w:rsid w:val="00D14603"/>
    <w:rsid w:val="00D15344"/>
    <w:rsid w:val="00D16ADE"/>
    <w:rsid w:val="00D20383"/>
    <w:rsid w:val="00D203A2"/>
    <w:rsid w:val="00D20977"/>
    <w:rsid w:val="00D21E91"/>
    <w:rsid w:val="00D22A9D"/>
    <w:rsid w:val="00D2490B"/>
    <w:rsid w:val="00D24EFB"/>
    <w:rsid w:val="00D25037"/>
    <w:rsid w:val="00D25735"/>
    <w:rsid w:val="00D26064"/>
    <w:rsid w:val="00D27634"/>
    <w:rsid w:val="00D3101E"/>
    <w:rsid w:val="00D31BEC"/>
    <w:rsid w:val="00D35704"/>
    <w:rsid w:val="00D37817"/>
    <w:rsid w:val="00D37E3F"/>
    <w:rsid w:val="00D41A76"/>
    <w:rsid w:val="00D427BE"/>
    <w:rsid w:val="00D4392B"/>
    <w:rsid w:val="00D449A3"/>
    <w:rsid w:val="00D51638"/>
    <w:rsid w:val="00D5228D"/>
    <w:rsid w:val="00D5710E"/>
    <w:rsid w:val="00D600CF"/>
    <w:rsid w:val="00D60B04"/>
    <w:rsid w:val="00D60DA6"/>
    <w:rsid w:val="00D61AD9"/>
    <w:rsid w:val="00D62B8D"/>
    <w:rsid w:val="00D63150"/>
    <w:rsid w:val="00D63D04"/>
    <w:rsid w:val="00D64A32"/>
    <w:rsid w:val="00D64EFC"/>
    <w:rsid w:val="00D65328"/>
    <w:rsid w:val="00D65566"/>
    <w:rsid w:val="00D66F46"/>
    <w:rsid w:val="00D66F61"/>
    <w:rsid w:val="00D67A99"/>
    <w:rsid w:val="00D70BB7"/>
    <w:rsid w:val="00D71146"/>
    <w:rsid w:val="00D72124"/>
    <w:rsid w:val="00D7286B"/>
    <w:rsid w:val="00D73146"/>
    <w:rsid w:val="00D735F4"/>
    <w:rsid w:val="00D74318"/>
    <w:rsid w:val="00D75295"/>
    <w:rsid w:val="00D756B1"/>
    <w:rsid w:val="00D75D9A"/>
    <w:rsid w:val="00D761B7"/>
    <w:rsid w:val="00D76CE9"/>
    <w:rsid w:val="00D8039F"/>
    <w:rsid w:val="00D8040B"/>
    <w:rsid w:val="00D84E93"/>
    <w:rsid w:val="00D85422"/>
    <w:rsid w:val="00D90CB3"/>
    <w:rsid w:val="00D90F05"/>
    <w:rsid w:val="00D91625"/>
    <w:rsid w:val="00D9269A"/>
    <w:rsid w:val="00D926E7"/>
    <w:rsid w:val="00D92820"/>
    <w:rsid w:val="00D92D01"/>
    <w:rsid w:val="00D93C8F"/>
    <w:rsid w:val="00D93EBE"/>
    <w:rsid w:val="00D9404E"/>
    <w:rsid w:val="00D9454A"/>
    <w:rsid w:val="00D94644"/>
    <w:rsid w:val="00D9586F"/>
    <w:rsid w:val="00D95AC9"/>
    <w:rsid w:val="00D95E22"/>
    <w:rsid w:val="00D97D41"/>
    <w:rsid w:val="00D97F12"/>
    <w:rsid w:val="00DA0944"/>
    <w:rsid w:val="00DA2AF5"/>
    <w:rsid w:val="00DA302E"/>
    <w:rsid w:val="00DA413B"/>
    <w:rsid w:val="00DA6B95"/>
    <w:rsid w:val="00DA7510"/>
    <w:rsid w:val="00DB0019"/>
    <w:rsid w:val="00DB14C4"/>
    <w:rsid w:val="00DB3205"/>
    <w:rsid w:val="00DB4129"/>
    <w:rsid w:val="00DB42E7"/>
    <w:rsid w:val="00DB47F2"/>
    <w:rsid w:val="00DB47FD"/>
    <w:rsid w:val="00DB556E"/>
    <w:rsid w:val="00DB5957"/>
    <w:rsid w:val="00DB6204"/>
    <w:rsid w:val="00DB70A5"/>
    <w:rsid w:val="00DB7F95"/>
    <w:rsid w:val="00DC0BDE"/>
    <w:rsid w:val="00DC2D2E"/>
    <w:rsid w:val="00DC31CE"/>
    <w:rsid w:val="00DC39F4"/>
    <w:rsid w:val="00DC3A22"/>
    <w:rsid w:val="00DC46BA"/>
    <w:rsid w:val="00DC577C"/>
    <w:rsid w:val="00DD0126"/>
    <w:rsid w:val="00DD0973"/>
    <w:rsid w:val="00DD0C9A"/>
    <w:rsid w:val="00DD21FA"/>
    <w:rsid w:val="00DD42B5"/>
    <w:rsid w:val="00DD534E"/>
    <w:rsid w:val="00DD7BB6"/>
    <w:rsid w:val="00DD7DEE"/>
    <w:rsid w:val="00DE06C3"/>
    <w:rsid w:val="00DE164A"/>
    <w:rsid w:val="00DE2230"/>
    <w:rsid w:val="00DE4137"/>
    <w:rsid w:val="00DE4190"/>
    <w:rsid w:val="00DF118B"/>
    <w:rsid w:val="00DF11C7"/>
    <w:rsid w:val="00DF1711"/>
    <w:rsid w:val="00DF21A1"/>
    <w:rsid w:val="00DF30F9"/>
    <w:rsid w:val="00DF32C2"/>
    <w:rsid w:val="00DF4975"/>
    <w:rsid w:val="00DF76AB"/>
    <w:rsid w:val="00DF7897"/>
    <w:rsid w:val="00DF7C71"/>
    <w:rsid w:val="00E01391"/>
    <w:rsid w:val="00E014F7"/>
    <w:rsid w:val="00E0219C"/>
    <w:rsid w:val="00E024CB"/>
    <w:rsid w:val="00E03A05"/>
    <w:rsid w:val="00E051B1"/>
    <w:rsid w:val="00E06C20"/>
    <w:rsid w:val="00E07029"/>
    <w:rsid w:val="00E100D6"/>
    <w:rsid w:val="00E10672"/>
    <w:rsid w:val="00E10E1B"/>
    <w:rsid w:val="00E11C59"/>
    <w:rsid w:val="00E125E9"/>
    <w:rsid w:val="00E13168"/>
    <w:rsid w:val="00E13743"/>
    <w:rsid w:val="00E13F01"/>
    <w:rsid w:val="00E154E5"/>
    <w:rsid w:val="00E16710"/>
    <w:rsid w:val="00E1699F"/>
    <w:rsid w:val="00E16C37"/>
    <w:rsid w:val="00E17E17"/>
    <w:rsid w:val="00E20381"/>
    <w:rsid w:val="00E20CF9"/>
    <w:rsid w:val="00E21164"/>
    <w:rsid w:val="00E22C78"/>
    <w:rsid w:val="00E2337D"/>
    <w:rsid w:val="00E2740A"/>
    <w:rsid w:val="00E30FC4"/>
    <w:rsid w:val="00E3122E"/>
    <w:rsid w:val="00E31E24"/>
    <w:rsid w:val="00E3380E"/>
    <w:rsid w:val="00E33BB2"/>
    <w:rsid w:val="00E3665F"/>
    <w:rsid w:val="00E375F7"/>
    <w:rsid w:val="00E3791B"/>
    <w:rsid w:val="00E40902"/>
    <w:rsid w:val="00E4293E"/>
    <w:rsid w:val="00E431F3"/>
    <w:rsid w:val="00E44936"/>
    <w:rsid w:val="00E46403"/>
    <w:rsid w:val="00E467AD"/>
    <w:rsid w:val="00E46E3A"/>
    <w:rsid w:val="00E46F6E"/>
    <w:rsid w:val="00E471A7"/>
    <w:rsid w:val="00E50405"/>
    <w:rsid w:val="00E50BB5"/>
    <w:rsid w:val="00E511B5"/>
    <w:rsid w:val="00E51F95"/>
    <w:rsid w:val="00E55635"/>
    <w:rsid w:val="00E568D8"/>
    <w:rsid w:val="00E56A6E"/>
    <w:rsid w:val="00E57F07"/>
    <w:rsid w:val="00E60065"/>
    <w:rsid w:val="00E6137B"/>
    <w:rsid w:val="00E631FD"/>
    <w:rsid w:val="00E635CF"/>
    <w:rsid w:val="00E63A3A"/>
    <w:rsid w:val="00E65404"/>
    <w:rsid w:val="00E654DC"/>
    <w:rsid w:val="00E655CB"/>
    <w:rsid w:val="00E667E2"/>
    <w:rsid w:val="00E67411"/>
    <w:rsid w:val="00E71997"/>
    <w:rsid w:val="00E7252E"/>
    <w:rsid w:val="00E7530B"/>
    <w:rsid w:val="00E75A63"/>
    <w:rsid w:val="00E76CCC"/>
    <w:rsid w:val="00E8070D"/>
    <w:rsid w:val="00E80ED1"/>
    <w:rsid w:val="00E831D6"/>
    <w:rsid w:val="00E8355C"/>
    <w:rsid w:val="00E86182"/>
    <w:rsid w:val="00E87C84"/>
    <w:rsid w:val="00E913ED"/>
    <w:rsid w:val="00E91FC2"/>
    <w:rsid w:val="00E92665"/>
    <w:rsid w:val="00E92D65"/>
    <w:rsid w:val="00E947FA"/>
    <w:rsid w:val="00E96B0D"/>
    <w:rsid w:val="00E97179"/>
    <w:rsid w:val="00E97F23"/>
    <w:rsid w:val="00EA0F88"/>
    <w:rsid w:val="00EA3A33"/>
    <w:rsid w:val="00EA42F6"/>
    <w:rsid w:val="00EA4621"/>
    <w:rsid w:val="00EA5290"/>
    <w:rsid w:val="00EA5313"/>
    <w:rsid w:val="00EA61E8"/>
    <w:rsid w:val="00EA7A4D"/>
    <w:rsid w:val="00EB0773"/>
    <w:rsid w:val="00EB0983"/>
    <w:rsid w:val="00EB1AB9"/>
    <w:rsid w:val="00EB1EF2"/>
    <w:rsid w:val="00EB29E8"/>
    <w:rsid w:val="00EB357B"/>
    <w:rsid w:val="00EB4CC1"/>
    <w:rsid w:val="00EB5410"/>
    <w:rsid w:val="00EB5AB9"/>
    <w:rsid w:val="00EB5B61"/>
    <w:rsid w:val="00EB659F"/>
    <w:rsid w:val="00EB65D3"/>
    <w:rsid w:val="00EB6842"/>
    <w:rsid w:val="00EB77C6"/>
    <w:rsid w:val="00EC0901"/>
    <w:rsid w:val="00EC1361"/>
    <w:rsid w:val="00EC1414"/>
    <w:rsid w:val="00EC2203"/>
    <w:rsid w:val="00EC4586"/>
    <w:rsid w:val="00EC6E0A"/>
    <w:rsid w:val="00EC70AA"/>
    <w:rsid w:val="00EC754F"/>
    <w:rsid w:val="00EC7FF4"/>
    <w:rsid w:val="00ED10F4"/>
    <w:rsid w:val="00ED11C5"/>
    <w:rsid w:val="00ED2547"/>
    <w:rsid w:val="00ED2C33"/>
    <w:rsid w:val="00ED4464"/>
    <w:rsid w:val="00ED4772"/>
    <w:rsid w:val="00ED47FB"/>
    <w:rsid w:val="00ED4E18"/>
    <w:rsid w:val="00ED60BE"/>
    <w:rsid w:val="00ED6A06"/>
    <w:rsid w:val="00ED6FFB"/>
    <w:rsid w:val="00ED7AF4"/>
    <w:rsid w:val="00EE1F37"/>
    <w:rsid w:val="00EE22A6"/>
    <w:rsid w:val="00EE255B"/>
    <w:rsid w:val="00EE2D19"/>
    <w:rsid w:val="00EE2F0B"/>
    <w:rsid w:val="00EE2FCF"/>
    <w:rsid w:val="00EE4E31"/>
    <w:rsid w:val="00EE4E37"/>
    <w:rsid w:val="00EE5636"/>
    <w:rsid w:val="00EE70AF"/>
    <w:rsid w:val="00EE70C5"/>
    <w:rsid w:val="00EE7B51"/>
    <w:rsid w:val="00EF0CC9"/>
    <w:rsid w:val="00EF1082"/>
    <w:rsid w:val="00EF10CB"/>
    <w:rsid w:val="00EF1F9B"/>
    <w:rsid w:val="00EF203D"/>
    <w:rsid w:val="00EF2EE2"/>
    <w:rsid w:val="00EF4D0B"/>
    <w:rsid w:val="00EF6784"/>
    <w:rsid w:val="00F00354"/>
    <w:rsid w:val="00F005C8"/>
    <w:rsid w:val="00F01154"/>
    <w:rsid w:val="00F0159C"/>
    <w:rsid w:val="00F02116"/>
    <w:rsid w:val="00F02678"/>
    <w:rsid w:val="00F04D74"/>
    <w:rsid w:val="00F0618F"/>
    <w:rsid w:val="00F072EF"/>
    <w:rsid w:val="00F07535"/>
    <w:rsid w:val="00F078AA"/>
    <w:rsid w:val="00F105B7"/>
    <w:rsid w:val="00F1080E"/>
    <w:rsid w:val="00F11A21"/>
    <w:rsid w:val="00F12C80"/>
    <w:rsid w:val="00F13517"/>
    <w:rsid w:val="00F1391E"/>
    <w:rsid w:val="00F1497A"/>
    <w:rsid w:val="00F14C61"/>
    <w:rsid w:val="00F161EF"/>
    <w:rsid w:val="00F16402"/>
    <w:rsid w:val="00F16445"/>
    <w:rsid w:val="00F17A21"/>
    <w:rsid w:val="00F202D5"/>
    <w:rsid w:val="00F211E9"/>
    <w:rsid w:val="00F219E2"/>
    <w:rsid w:val="00F21DFE"/>
    <w:rsid w:val="00F22D5D"/>
    <w:rsid w:val="00F22FE1"/>
    <w:rsid w:val="00F23F1E"/>
    <w:rsid w:val="00F241C1"/>
    <w:rsid w:val="00F2584E"/>
    <w:rsid w:val="00F26049"/>
    <w:rsid w:val="00F27DF6"/>
    <w:rsid w:val="00F30CD9"/>
    <w:rsid w:val="00F33F48"/>
    <w:rsid w:val="00F34EA8"/>
    <w:rsid w:val="00F359E0"/>
    <w:rsid w:val="00F36864"/>
    <w:rsid w:val="00F3798F"/>
    <w:rsid w:val="00F40395"/>
    <w:rsid w:val="00F40B21"/>
    <w:rsid w:val="00F41E98"/>
    <w:rsid w:val="00F42141"/>
    <w:rsid w:val="00F424E1"/>
    <w:rsid w:val="00F42847"/>
    <w:rsid w:val="00F43E38"/>
    <w:rsid w:val="00F440D3"/>
    <w:rsid w:val="00F46160"/>
    <w:rsid w:val="00F4772C"/>
    <w:rsid w:val="00F47D60"/>
    <w:rsid w:val="00F5011F"/>
    <w:rsid w:val="00F502BA"/>
    <w:rsid w:val="00F50E91"/>
    <w:rsid w:val="00F514AE"/>
    <w:rsid w:val="00F5389D"/>
    <w:rsid w:val="00F540A7"/>
    <w:rsid w:val="00F549D0"/>
    <w:rsid w:val="00F55CB7"/>
    <w:rsid w:val="00F55EBE"/>
    <w:rsid w:val="00F567A3"/>
    <w:rsid w:val="00F56B46"/>
    <w:rsid w:val="00F57D29"/>
    <w:rsid w:val="00F603E4"/>
    <w:rsid w:val="00F608B3"/>
    <w:rsid w:val="00F61472"/>
    <w:rsid w:val="00F62676"/>
    <w:rsid w:val="00F62CD6"/>
    <w:rsid w:val="00F6318B"/>
    <w:rsid w:val="00F633AE"/>
    <w:rsid w:val="00F646C1"/>
    <w:rsid w:val="00F6508F"/>
    <w:rsid w:val="00F65495"/>
    <w:rsid w:val="00F656BF"/>
    <w:rsid w:val="00F659C0"/>
    <w:rsid w:val="00F67CF1"/>
    <w:rsid w:val="00F70AE0"/>
    <w:rsid w:val="00F715D2"/>
    <w:rsid w:val="00F71731"/>
    <w:rsid w:val="00F718BE"/>
    <w:rsid w:val="00F71EB8"/>
    <w:rsid w:val="00F725CE"/>
    <w:rsid w:val="00F72E6C"/>
    <w:rsid w:val="00F746E7"/>
    <w:rsid w:val="00F7625D"/>
    <w:rsid w:val="00F77DAF"/>
    <w:rsid w:val="00F80DFE"/>
    <w:rsid w:val="00F8124C"/>
    <w:rsid w:val="00F81E34"/>
    <w:rsid w:val="00F82530"/>
    <w:rsid w:val="00F83379"/>
    <w:rsid w:val="00F8363E"/>
    <w:rsid w:val="00F84779"/>
    <w:rsid w:val="00F84966"/>
    <w:rsid w:val="00F86881"/>
    <w:rsid w:val="00F86E3B"/>
    <w:rsid w:val="00F8709A"/>
    <w:rsid w:val="00F9271A"/>
    <w:rsid w:val="00F92A99"/>
    <w:rsid w:val="00F92C24"/>
    <w:rsid w:val="00F930C7"/>
    <w:rsid w:val="00F93263"/>
    <w:rsid w:val="00F954F5"/>
    <w:rsid w:val="00F95C30"/>
    <w:rsid w:val="00F96201"/>
    <w:rsid w:val="00F97F99"/>
    <w:rsid w:val="00FA1E91"/>
    <w:rsid w:val="00FA3099"/>
    <w:rsid w:val="00FA4704"/>
    <w:rsid w:val="00FA60F3"/>
    <w:rsid w:val="00FA6AB8"/>
    <w:rsid w:val="00FA7C6D"/>
    <w:rsid w:val="00FB1561"/>
    <w:rsid w:val="00FB4BF6"/>
    <w:rsid w:val="00FB4FD7"/>
    <w:rsid w:val="00FB4FDE"/>
    <w:rsid w:val="00FB64B3"/>
    <w:rsid w:val="00FB64F0"/>
    <w:rsid w:val="00FC1EC6"/>
    <w:rsid w:val="00FC30E9"/>
    <w:rsid w:val="00FC4084"/>
    <w:rsid w:val="00FC42BC"/>
    <w:rsid w:val="00FC4FA5"/>
    <w:rsid w:val="00FC513C"/>
    <w:rsid w:val="00FC58C3"/>
    <w:rsid w:val="00FC5C65"/>
    <w:rsid w:val="00FC6426"/>
    <w:rsid w:val="00FC6B7D"/>
    <w:rsid w:val="00FD0B18"/>
    <w:rsid w:val="00FD0F82"/>
    <w:rsid w:val="00FD2E31"/>
    <w:rsid w:val="00FD304F"/>
    <w:rsid w:val="00FD419E"/>
    <w:rsid w:val="00FD5433"/>
    <w:rsid w:val="00FE0E53"/>
    <w:rsid w:val="00FE0FC7"/>
    <w:rsid w:val="00FE12F7"/>
    <w:rsid w:val="00FE1B9D"/>
    <w:rsid w:val="00FE2CF3"/>
    <w:rsid w:val="00FE2E74"/>
    <w:rsid w:val="00FE326F"/>
    <w:rsid w:val="00FE714F"/>
    <w:rsid w:val="00FF0F0D"/>
    <w:rsid w:val="00FF1561"/>
    <w:rsid w:val="00FF368D"/>
    <w:rsid w:val="00FF3DAC"/>
    <w:rsid w:val="00FF4219"/>
    <w:rsid w:val="00FF5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471275A"/>
  <w15:docId w15:val="{49385D77-324E-4C38-BCEF-7E6A0A3B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citationtext">
    <w:name w:val="citation_text"/>
    <w:basedOn w:val="DefaultParagraphFont"/>
    <w:rsid w:val="005B1CFB"/>
  </w:style>
  <w:style w:type="character" w:styleId="FollowedHyperlink">
    <w:name w:val="FollowedHyperlink"/>
    <w:basedOn w:val="DefaultParagraphFont"/>
    <w:uiPriority w:val="99"/>
    <w:semiHidden/>
    <w:unhideWhenUsed/>
    <w:rsid w:val="00444D97"/>
    <w:rPr>
      <w:color w:val="800080" w:themeColor="followedHyperlink"/>
      <w:u w:val="single"/>
    </w:rPr>
  </w:style>
  <w:style w:type="paragraph" w:styleId="DocumentMap">
    <w:name w:val="Document Map"/>
    <w:basedOn w:val="Normal"/>
    <w:link w:val="DocumentMapChar"/>
    <w:uiPriority w:val="99"/>
    <w:semiHidden/>
    <w:unhideWhenUsed/>
    <w:rsid w:val="00444D97"/>
    <w:rPr>
      <w:sz w:val="24"/>
      <w:szCs w:val="24"/>
    </w:rPr>
  </w:style>
  <w:style w:type="character" w:customStyle="1" w:styleId="DocumentMapChar">
    <w:name w:val="Document Map Char"/>
    <w:basedOn w:val="DefaultParagraphFont"/>
    <w:link w:val="DocumentMap"/>
    <w:uiPriority w:val="99"/>
    <w:semiHidden/>
    <w:rsid w:val="00444D9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7220">
      <w:bodyDiv w:val="1"/>
      <w:marLeft w:val="0"/>
      <w:marRight w:val="0"/>
      <w:marTop w:val="0"/>
      <w:marBottom w:val="0"/>
      <w:divBdr>
        <w:top w:val="none" w:sz="0" w:space="0" w:color="auto"/>
        <w:left w:val="none" w:sz="0" w:space="0" w:color="auto"/>
        <w:bottom w:val="none" w:sz="0" w:space="0" w:color="auto"/>
        <w:right w:val="none" w:sz="0" w:space="0" w:color="auto"/>
      </w:divBdr>
      <w:divsChild>
        <w:div w:id="53281435">
          <w:marLeft w:val="0"/>
          <w:marRight w:val="0"/>
          <w:marTop w:val="0"/>
          <w:marBottom w:val="0"/>
          <w:divBdr>
            <w:top w:val="none" w:sz="0" w:space="0" w:color="auto"/>
            <w:left w:val="none" w:sz="0" w:space="0" w:color="auto"/>
            <w:bottom w:val="none" w:sz="0" w:space="0" w:color="auto"/>
            <w:right w:val="none" w:sz="0" w:space="0" w:color="auto"/>
          </w:divBdr>
        </w:div>
      </w:divsChild>
    </w:div>
    <w:div w:id="46805278">
      <w:bodyDiv w:val="1"/>
      <w:marLeft w:val="0"/>
      <w:marRight w:val="0"/>
      <w:marTop w:val="0"/>
      <w:marBottom w:val="0"/>
      <w:divBdr>
        <w:top w:val="none" w:sz="0" w:space="0" w:color="auto"/>
        <w:left w:val="none" w:sz="0" w:space="0" w:color="auto"/>
        <w:bottom w:val="none" w:sz="0" w:space="0" w:color="auto"/>
        <w:right w:val="none" w:sz="0" w:space="0" w:color="auto"/>
      </w:divBdr>
      <w:divsChild>
        <w:div w:id="738525234">
          <w:marLeft w:val="0"/>
          <w:marRight w:val="0"/>
          <w:marTop w:val="0"/>
          <w:marBottom w:val="0"/>
          <w:divBdr>
            <w:top w:val="none" w:sz="0" w:space="0" w:color="auto"/>
            <w:left w:val="none" w:sz="0" w:space="0" w:color="auto"/>
            <w:bottom w:val="none" w:sz="0" w:space="0" w:color="auto"/>
            <w:right w:val="none" w:sz="0" w:space="0" w:color="auto"/>
          </w:divBdr>
        </w:div>
      </w:divsChild>
    </w:div>
    <w:div w:id="66998289">
      <w:bodyDiv w:val="1"/>
      <w:marLeft w:val="0"/>
      <w:marRight w:val="0"/>
      <w:marTop w:val="0"/>
      <w:marBottom w:val="0"/>
      <w:divBdr>
        <w:top w:val="none" w:sz="0" w:space="0" w:color="auto"/>
        <w:left w:val="none" w:sz="0" w:space="0" w:color="auto"/>
        <w:bottom w:val="none" w:sz="0" w:space="0" w:color="auto"/>
        <w:right w:val="none" w:sz="0" w:space="0" w:color="auto"/>
      </w:divBdr>
    </w:div>
    <w:div w:id="67003876">
      <w:bodyDiv w:val="1"/>
      <w:marLeft w:val="0"/>
      <w:marRight w:val="0"/>
      <w:marTop w:val="0"/>
      <w:marBottom w:val="0"/>
      <w:divBdr>
        <w:top w:val="none" w:sz="0" w:space="0" w:color="auto"/>
        <w:left w:val="none" w:sz="0" w:space="0" w:color="auto"/>
        <w:bottom w:val="none" w:sz="0" w:space="0" w:color="auto"/>
        <w:right w:val="none" w:sz="0" w:space="0" w:color="auto"/>
      </w:divBdr>
    </w:div>
    <w:div w:id="89082662">
      <w:bodyDiv w:val="1"/>
      <w:marLeft w:val="0"/>
      <w:marRight w:val="0"/>
      <w:marTop w:val="0"/>
      <w:marBottom w:val="0"/>
      <w:divBdr>
        <w:top w:val="none" w:sz="0" w:space="0" w:color="auto"/>
        <w:left w:val="none" w:sz="0" w:space="0" w:color="auto"/>
        <w:bottom w:val="none" w:sz="0" w:space="0" w:color="auto"/>
        <w:right w:val="none" w:sz="0" w:space="0" w:color="auto"/>
      </w:divBdr>
      <w:divsChild>
        <w:div w:id="1230842082">
          <w:marLeft w:val="0"/>
          <w:marRight w:val="0"/>
          <w:marTop w:val="0"/>
          <w:marBottom w:val="0"/>
          <w:divBdr>
            <w:top w:val="none" w:sz="0" w:space="0" w:color="auto"/>
            <w:left w:val="none" w:sz="0" w:space="0" w:color="auto"/>
            <w:bottom w:val="none" w:sz="0" w:space="0" w:color="auto"/>
            <w:right w:val="none" w:sz="0" w:space="0" w:color="auto"/>
          </w:divBdr>
        </w:div>
      </w:divsChild>
    </w:div>
    <w:div w:id="112793046">
      <w:bodyDiv w:val="1"/>
      <w:marLeft w:val="0"/>
      <w:marRight w:val="0"/>
      <w:marTop w:val="0"/>
      <w:marBottom w:val="0"/>
      <w:divBdr>
        <w:top w:val="none" w:sz="0" w:space="0" w:color="auto"/>
        <w:left w:val="none" w:sz="0" w:space="0" w:color="auto"/>
        <w:bottom w:val="none" w:sz="0" w:space="0" w:color="auto"/>
        <w:right w:val="none" w:sz="0" w:space="0" w:color="auto"/>
      </w:divBdr>
    </w:div>
    <w:div w:id="163860196">
      <w:bodyDiv w:val="1"/>
      <w:marLeft w:val="0"/>
      <w:marRight w:val="0"/>
      <w:marTop w:val="0"/>
      <w:marBottom w:val="0"/>
      <w:divBdr>
        <w:top w:val="none" w:sz="0" w:space="0" w:color="auto"/>
        <w:left w:val="none" w:sz="0" w:space="0" w:color="auto"/>
        <w:bottom w:val="none" w:sz="0" w:space="0" w:color="auto"/>
        <w:right w:val="none" w:sz="0" w:space="0" w:color="auto"/>
      </w:divBdr>
    </w:div>
    <w:div w:id="176581669">
      <w:bodyDiv w:val="1"/>
      <w:marLeft w:val="0"/>
      <w:marRight w:val="0"/>
      <w:marTop w:val="0"/>
      <w:marBottom w:val="0"/>
      <w:divBdr>
        <w:top w:val="none" w:sz="0" w:space="0" w:color="auto"/>
        <w:left w:val="none" w:sz="0" w:space="0" w:color="auto"/>
        <w:bottom w:val="none" w:sz="0" w:space="0" w:color="auto"/>
        <w:right w:val="none" w:sz="0" w:space="0" w:color="auto"/>
      </w:divBdr>
    </w:div>
    <w:div w:id="214895725">
      <w:marLeft w:val="0"/>
      <w:marRight w:val="0"/>
      <w:marTop w:val="0"/>
      <w:marBottom w:val="0"/>
      <w:divBdr>
        <w:top w:val="none" w:sz="0" w:space="0" w:color="auto"/>
        <w:left w:val="none" w:sz="0" w:space="0" w:color="auto"/>
        <w:bottom w:val="none" w:sz="0" w:space="0" w:color="auto"/>
        <w:right w:val="none" w:sz="0" w:space="0" w:color="auto"/>
      </w:divBdr>
    </w:div>
    <w:div w:id="265621221">
      <w:bodyDiv w:val="1"/>
      <w:marLeft w:val="0"/>
      <w:marRight w:val="0"/>
      <w:marTop w:val="0"/>
      <w:marBottom w:val="0"/>
      <w:divBdr>
        <w:top w:val="none" w:sz="0" w:space="0" w:color="auto"/>
        <w:left w:val="none" w:sz="0" w:space="0" w:color="auto"/>
        <w:bottom w:val="none" w:sz="0" w:space="0" w:color="auto"/>
        <w:right w:val="none" w:sz="0" w:space="0" w:color="auto"/>
      </w:divBdr>
    </w:div>
    <w:div w:id="304316349">
      <w:bodyDiv w:val="1"/>
      <w:marLeft w:val="0"/>
      <w:marRight w:val="0"/>
      <w:marTop w:val="0"/>
      <w:marBottom w:val="0"/>
      <w:divBdr>
        <w:top w:val="none" w:sz="0" w:space="0" w:color="auto"/>
        <w:left w:val="none" w:sz="0" w:space="0" w:color="auto"/>
        <w:bottom w:val="none" w:sz="0" w:space="0" w:color="auto"/>
        <w:right w:val="none" w:sz="0" w:space="0" w:color="auto"/>
      </w:divBdr>
    </w:div>
    <w:div w:id="310983797">
      <w:bodyDiv w:val="1"/>
      <w:marLeft w:val="0"/>
      <w:marRight w:val="0"/>
      <w:marTop w:val="0"/>
      <w:marBottom w:val="0"/>
      <w:divBdr>
        <w:top w:val="none" w:sz="0" w:space="0" w:color="auto"/>
        <w:left w:val="none" w:sz="0" w:space="0" w:color="auto"/>
        <w:bottom w:val="none" w:sz="0" w:space="0" w:color="auto"/>
        <w:right w:val="none" w:sz="0" w:space="0" w:color="auto"/>
      </w:divBdr>
    </w:div>
    <w:div w:id="436174740">
      <w:bodyDiv w:val="1"/>
      <w:marLeft w:val="0"/>
      <w:marRight w:val="0"/>
      <w:marTop w:val="0"/>
      <w:marBottom w:val="0"/>
      <w:divBdr>
        <w:top w:val="none" w:sz="0" w:space="0" w:color="auto"/>
        <w:left w:val="none" w:sz="0" w:space="0" w:color="auto"/>
        <w:bottom w:val="none" w:sz="0" w:space="0" w:color="auto"/>
        <w:right w:val="none" w:sz="0" w:space="0" w:color="auto"/>
      </w:divBdr>
    </w:div>
    <w:div w:id="464079188">
      <w:bodyDiv w:val="1"/>
      <w:marLeft w:val="0"/>
      <w:marRight w:val="0"/>
      <w:marTop w:val="0"/>
      <w:marBottom w:val="0"/>
      <w:divBdr>
        <w:top w:val="none" w:sz="0" w:space="0" w:color="auto"/>
        <w:left w:val="none" w:sz="0" w:space="0" w:color="auto"/>
        <w:bottom w:val="none" w:sz="0" w:space="0" w:color="auto"/>
        <w:right w:val="none" w:sz="0" w:space="0" w:color="auto"/>
      </w:divBdr>
    </w:div>
    <w:div w:id="500656640">
      <w:bodyDiv w:val="1"/>
      <w:marLeft w:val="0"/>
      <w:marRight w:val="0"/>
      <w:marTop w:val="0"/>
      <w:marBottom w:val="0"/>
      <w:divBdr>
        <w:top w:val="none" w:sz="0" w:space="0" w:color="auto"/>
        <w:left w:val="none" w:sz="0" w:space="0" w:color="auto"/>
        <w:bottom w:val="none" w:sz="0" w:space="0" w:color="auto"/>
        <w:right w:val="none" w:sz="0" w:space="0" w:color="auto"/>
      </w:divBdr>
    </w:div>
    <w:div w:id="502742780">
      <w:marLeft w:val="0"/>
      <w:marRight w:val="0"/>
      <w:marTop w:val="0"/>
      <w:marBottom w:val="0"/>
      <w:divBdr>
        <w:top w:val="none" w:sz="0" w:space="0" w:color="auto"/>
        <w:left w:val="none" w:sz="0" w:space="0" w:color="auto"/>
        <w:bottom w:val="none" w:sz="0" w:space="0" w:color="auto"/>
        <w:right w:val="none" w:sz="0" w:space="0" w:color="auto"/>
      </w:divBdr>
    </w:div>
    <w:div w:id="502822010">
      <w:bodyDiv w:val="1"/>
      <w:marLeft w:val="0"/>
      <w:marRight w:val="0"/>
      <w:marTop w:val="0"/>
      <w:marBottom w:val="0"/>
      <w:divBdr>
        <w:top w:val="none" w:sz="0" w:space="0" w:color="auto"/>
        <w:left w:val="none" w:sz="0" w:space="0" w:color="auto"/>
        <w:bottom w:val="none" w:sz="0" w:space="0" w:color="auto"/>
        <w:right w:val="none" w:sz="0" w:space="0" w:color="auto"/>
      </w:divBdr>
      <w:divsChild>
        <w:div w:id="1164319640">
          <w:marLeft w:val="0"/>
          <w:marRight w:val="0"/>
          <w:marTop w:val="0"/>
          <w:marBottom w:val="0"/>
          <w:divBdr>
            <w:top w:val="none" w:sz="0" w:space="0" w:color="auto"/>
            <w:left w:val="none" w:sz="0" w:space="0" w:color="auto"/>
            <w:bottom w:val="none" w:sz="0" w:space="0" w:color="auto"/>
            <w:right w:val="none" w:sz="0" w:space="0" w:color="auto"/>
          </w:divBdr>
        </w:div>
      </w:divsChild>
    </w:div>
    <w:div w:id="512380562">
      <w:bodyDiv w:val="1"/>
      <w:marLeft w:val="0"/>
      <w:marRight w:val="0"/>
      <w:marTop w:val="0"/>
      <w:marBottom w:val="0"/>
      <w:divBdr>
        <w:top w:val="none" w:sz="0" w:space="0" w:color="auto"/>
        <w:left w:val="none" w:sz="0" w:space="0" w:color="auto"/>
        <w:bottom w:val="none" w:sz="0" w:space="0" w:color="auto"/>
        <w:right w:val="none" w:sz="0" w:space="0" w:color="auto"/>
      </w:divBdr>
    </w:div>
    <w:div w:id="525099355">
      <w:bodyDiv w:val="1"/>
      <w:marLeft w:val="0"/>
      <w:marRight w:val="0"/>
      <w:marTop w:val="0"/>
      <w:marBottom w:val="0"/>
      <w:divBdr>
        <w:top w:val="none" w:sz="0" w:space="0" w:color="auto"/>
        <w:left w:val="none" w:sz="0" w:space="0" w:color="auto"/>
        <w:bottom w:val="none" w:sz="0" w:space="0" w:color="auto"/>
        <w:right w:val="none" w:sz="0" w:space="0" w:color="auto"/>
      </w:divBdr>
    </w:div>
    <w:div w:id="571819436">
      <w:bodyDiv w:val="1"/>
      <w:marLeft w:val="0"/>
      <w:marRight w:val="0"/>
      <w:marTop w:val="0"/>
      <w:marBottom w:val="0"/>
      <w:divBdr>
        <w:top w:val="none" w:sz="0" w:space="0" w:color="auto"/>
        <w:left w:val="none" w:sz="0" w:space="0" w:color="auto"/>
        <w:bottom w:val="none" w:sz="0" w:space="0" w:color="auto"/>
        <w:right w:val="none" w:sz="0" w:space="0" w:color="auto"/>
      </w:divBdr>
      <w:divsChild>
        <w:div w:id="561721738">
          <w:marLeft w:val="0"/>
          <w:marRight w:val="0"/>
          <w:marTop w:val="0"/>
          <w:marBottom w:val="0"/>
          <w:divBdr>
            <w:top w:val="none" w:sz="0" w:space="0" w:color="auto"/>
            <w:left w:val="none" w:sz="0" w:space="0" w:color="auto"/>
            <w:bottom w:val="none" w:sz="0" w:space="0" w:color="auto"/>
            <w:right w:val="none" w:sz="0" w:space="0" w:color="auto"/>
          </w:divBdr>
        </w:div>
      </w:divsChild>
    </w:div>
    <w:div w:id="609288373">
      <w:bodyDiv w:val="1"/>
      <w:marLeft w:val="0"/>
      <w:marRight w:val="0"/>
      <w:marTop w:val="0"/>
      <w:marBottom w:val="0"/>
      <w:divBdr>
        <w:top w:val="none" w:sz="0" w:space="0" w:color="auto"/>
        <w:left w:val="none" w:sz="0" w:space="0" w:color="auto"/>
        <w:bottom w:val="none" w:sz="0" w:space="0" w:color="auto"/>
        <w:right w:val="none" w:sz="0" w:space="0" w:color="auto"/>
      </w:divBdr>
    </w:div>
    <w:div w:id="631133048">
      <w:bodyDiv w:val="1"/>
      <w:marLeft w:val="0"/>
      <w:marRight w:val="0"/>
      <w:marTop w:val="0"/>
      <w:marBottom w:val="0"/>
      <w:divBdr>
        <w:top w:val="none" w:sz="0" w:space="0" w:color="auto"/>
        <w:left w:val="none" w:sz="0" w:space="0" w:color="auto"/>
        <w:bottom w:val="none" w:sz="0" w:space="0" w:color="auto"/>
        <w:right w:val="none" w:sz="0" w:space="0" w:color="auto"/>
      </w:divBdr>
      <w:divsChild>
        <w:div w:id="1587956982">
          <w:marLeft w:val="0"/>
          <w:marRight w:val="0"/>
          <w:marTop w:val="0"/>
          <w:marBottom w:val="0"/>
          <w:divBdr>
            <w:top w:val="none" w:sz="0" w:space="0" w:color="auto"/>
            <w:left w:val="none" w:sz="0" w:space="0" w:color="auto"/>
            <w:bottom w:val="none" w:sz="0" w:space="0" w:color="auto"/>
            <w:right w:val="none" w:sz="0" w:space="0" w:color="auto"/>
          </w:divBdr>
        </w:div>
      </w:divsChild>
    </w:div>
    <w:div w:id="658189907">
      <w:marLeft w:val="0"/>
      <w:marRight w:val="0"/>
      <w:marTop w:val="0"/>
      <w:marBottom w:val="0"/>
      <w:divBdr>
        <w:top w:val="none" w:sz="0" w:space="0" w:color="auto"/>
        <w:left w:val="none" w:sz="0" w:space="0" w:color="auto"/>
        <w:bottom w:val="none" w:sz="0" w:space="0" w:color="auto"/>
        <w:right w:val="none" w:sz="0" w:space="0" w:color="auto"/>
      </w:divBdr>
    </w:div>
    <w:div w:id="704716707">
      <w:bodyDiv w:val="1"/>
      <w:marLeft w:val="0"/>
      <w:marRight w:val="0"/>
      <w:marTop w:val="0"/>
      <w:marBottom w:val="0"/>
      <w:divBdr>
        <w:top w:val="none" w:sz="0" w:space="0" w:color="auto"/>
        <w:left w:val="none" w:sz="0" w:space="0" w:color="auto"/>
        <w:bottom w:val="none" w:sz="0" w:space="0" w:color="auto"/>
        <w:right w:val="none" w:sz="0" w:space="0" w:color="auto"/>
      </w:divBdr>
    </w:div>
    <w:div w:id="747770060">
      <w:bodyDiv w:val="1"/>
      <w:marLeft w:val="0"/>
      <w:marRight w:val="0"/>
      <w:marTop w:val="0"/>
      <w:marBottom w:val="0"/>
      <w:divBdr>
        <w:top w:val="none" w:sz="0" w:space="0" w:color="auto"/>
        <w:left w:val="none" w:sz="0" w:space="0" w:color="auto"/>
        <w:bottom w:val="none" w:sz="0" w:space="0" w:color="auto"/>
        <w:right w:val="none" w:sz="0" w:space="0" w:color="auto"/>
      </w:divBdr>
    </w:div>
    <w:div w:id="877089370">
      <w:bodyDiv w:val="1"/>
      <w:marLeft w:val="0"/>
      <w:marRight w:val="0"/>
      <w:marTop w:val="0"/>
      <w:marBottom w:val="0"/>
      <w:divBdr>
        <w:top w:val="none" w:sz="0" w:space="0" w:color="auto"/>
        <w:left w:val="none" w:sz="0" w:space="0" w:color="auto"/>
        <w:bottom w:val="none" w:sz="0" w:space="0" w:color="auto"/>
        <w:right w:val="none" w:sz="0" w:space="0" w:color="auto"/>
      </w:divBdr>
    </w:div>
    <w:div w:id="918634731">
      <w:bodyDiv w:val="1"/>
      <w:marLeft w:val="0"/>
      <w:marRight w:val="0"/>
      <w:marTop w:val="0"/>
      <w:marBottom w:val="0"/>
      <w:divBdr>
        <w:top w:val="none" w:sz="0" w:space="0" w:color="auto"/>
        <w:left w:val="none" w:sz="0" w:space="0" w:color="auto"/>
        <w:bottom w:val="none" w:sz="0" w:space="0" w:color="auto"/>
        <w:right w:val="none" w:sz="0" w:space="0" w:color="auto"/>
      </w:divBdr>
    </w:div>
    <w:div w:id="932667265">
      <w:bodyDiv w:val="1"/>
      <w:marLeft w:val="0"/>
      <w:marRight w:val="0"/>
      <w:marTop w:val="0"/>
      <w:marBottom w:val="0"/>
      <w:divBdr>
        <w:top w:val="none" w:sz="0" w:space="0" w:color="auto"/>
        <w:left w:val="none" w:sz="0" w:space="0" w:color="auto"/>
        <w:bottom w:val="none" w:sz="0" w:space="0" w:color="auto"/>
        <w:right w:val="none" w:sz="0" w:space="0" w:color="auto"/>
      </w:divBdr>
      <w:divsChild>
        <w:div w:id="1350840041">
          <w:marLeft w:val="0"/>
          <w:marRight w:val="0"/>
          <w:marTop w:val="0"/>
          <w:marBottom w:val="0"/>
          <w:divBdr>
            <w:top w:val="none" w:sz="0" w:space="0" w:color="auto"/>
            <w:left w:val="none" w:sz="0" w:space="0" w:color="auto"/>
            <w:bottom w:val="none" w:sz="0" w:space="0" w:color="auto"/>
            <w:right w:val="none" w:sz="0" w:space="0" w:color="auto"/>
          </w:divBdr>
        </w:div>
      </w:divsChild>
    </w:div>
    <w:div w:id="994797547">
      <w:bodyDiv w:val="1"/>
      <w:marLeft w:val="0"/>
      <w:marRight w:val="0"/>
      <w:marTop w:val="0"/>
      <w:marBottom w:val="0"/>
      <w:divBdr>
        <w:top w:val="none" w:sz="0" w:space="0" w:color="auto"/>
        <w:left w:val="none" w:sz="0" w:space="0" w:color="auto"/>
        <w:bottom w:val="none" w:sz="0" w:space="0" w:color="auto"/>
        <w:right w:val="none" w:sz="0" w:space="0" w:color="auto"/>
      </w:divBdr>
    </w:div>
    <w:div w:id="1030106446">
      <w:bodyDiv w:val="1"/>
      <w:marLeft w:val="0"/>
      <w:marRight w:val="0"/>
      <w:marTop w:val="0"/>
      <w:marBottom w:val="0"/>
      <w:divBdr>
        <w:top w:val="none" w:sz="0" w:space="0" w:color="auto"/>
        <w:left w:val="none" w:sz="0" w:space="0" w:color="auto"/>
        <w:bottom w:val="none" w:sz="0" w:space="0" w:color="auto"/>
        <w:right w:val="none" w:sz="0" w:space="0" w:color="auto"/>
      </w:divBdr>
    </w:div>
    <w:div w:id="1044518954">
      <w:bodyDiv w:val="1"/>
      <w:marLeft w:val="0"/>
      <w:marRight w:val="0"/>
      <w:marTop w:val="0"/>
      <w:marBottom w:val="0"/>
      <w:divBdr>
        <w:top w:val="none" w:sz="0" w:space="0" w:color="auto"/>
        <w:left w:val="none" w:sz="0" w:space="0" w:color="auto"/>
        <w:bottom w:val="none" w:sz="0" w:space="0" w:color="auto"/>
        <w:right w:val="none" w:sz="0" w:space="0" w:color="auto"/>
      </w:divBdr>
    </w:div>
    <w:div w:id="1072191502">
      <w:bodyDiv w:val="1"/>
      <w:marLeft w:val="0"/>
      <w:marRight w:val="0"/>
      <w:marTop w:val="0"/>
      <w:marBottom w:val="0"/>
      <w:divBdr>
        <w:top w:val="none" w:sz="0" w:space="0" w:color="auto"/>
        <w:left w:val="none" w:sz="0" w:space="0" w:color="auto"/>
        <w:bottom w:val="none" w:sz="0" w:space="0" w:color="auto"/>
        <w:right w:val="none" w:sz="0" w:space="0" w:color="auto"/>
      </w:divBdr>
    </w:div>
    <w:div w:id="1131244699">
      <w:marLeft w:val="0"/>
      <w:marRight w:val="0"/>
      <w:marTop w:val="0"/>
      <w:marBottom w:val="0"/>
      <w:divBdr>
        <w:top w:val="none" w:sz="0" w:space="0" w:color="auto"/>
        <w:left w:val="none" w:sz="0" w:space="0" w:color="auto"/>
        <w:bottom w:val="none" w:sz="0" w:space="0" w:color="auto"/>
        <w:right w:val="none" w:sz="0" w:space="0" w:color="auto"/>
      </w:divBdr>
    </w:div>
    <w:div w:id="1144928061">
      <w:bodyDiv w:val="1"/>
      <w:marLeft w:val="0"/>
      <w:marRight w:val="0"/>
      <w:marTop w:val="0"/>
      <w:marBottom w:val="0"/>
      <w:divBdr>
        <w:top w:val="none" w:sz="0" w:space="0" w:color="auto"/>
        <w:left w:val="none" w:sz="0" w:space="0" w:color="auto"/>
        <w:bottom w:val="none" w:sz="0" w:space="0" w:color="auto"/>
        <w:right w:val="none" w:sz="0" w:space="0" w:color="auto"/>
      </w:divBdr>
    </w:div>
    <w:div w:id="1151941916">
      <w:bodyDiv w:val="1"/>
      <w:marLeft w:val="0"/>
      <w:marRight w:val="0"/>
      <w:marTop w:val="0"/>
      <w:marBottom w:val="0"/>
      <w:divBdr>
        <w:top w:val="none" w:sz="0" w:space="0" w:color="auto"/>
        <w:left w:val="none" w:sz="0" w:space="0" w:color="auto"/>
        <w:bottom w:val="none" w:sz="0" w:space="0" w:color="auto"/>
        <w:right w:val="none" w:sz="0" w:space="0" w:color="auto"/>
      </w:divBdr>
    </w:div>
    <w:div w:id="1191340572">
      <w:bodyDiv w:val="1"/>
      <w:marLeft w:val="0"/>
      <w:marRight w:val="0"/>
      <w:marTop w:val="0"/>
      <w:marBottom w:val="0"/>
      <w:divBdr>
        <w:top w:val="none" w:sz="0" w:space="0" w:color="auto"/>
        <w:left w:val="none" w:sz="0" w:space="0" w:color="auto"/>
        <w:bottom w:val="none" w:sz="0" w:space="0" w:color="auto"/>
        <w:right w:val="none" w:sz="0" w:space="0" w:color="auto"/>
      </w:divBdr>
    </w:div>
    <w:div w:id="1201014587">
      <w:marLeft w:val="0"/>
      <w:marRight w:val="0"/>
      <w:marTop w:val="0"/>
      <w:marBottom w:val="0"/>
      <w:divBdr>
        <w:top w:val="none" w:sz="0" w:space="0" w:color="auto"/>
        <w:left w:val="none" w:sz="0" w:space="0" w:color="auto"/>
        <w:bottom w:val="none" w:sz="0" w:space="0" w:color="auto"/>
        <w:right w:val="none" w:sz="0" w:space="0" w:color="auto"/>
      </w:divBdr>
    </w:div>
    <w:div w:id="1251694859">
      <w:marLeft w:val="0"/>
      <w:marRight w:val="0"/>
      <w:marTop w:val="0"/>
      <w:marBottom w:val="0"/>
      <w:divBdr>
        <w:top w:val="none" w:sz="0" w:space="0" w:color="auto"/>
        <w:left w:val="none" w:sz="0" w:space="0" w:color="auto"/>
        <w:bottom w:val="none" w:sz="0" w:space="0" w:color="auto"/>
        <w:right w:val="none" w:sz="0" w:space="0" w:color="auto"/>
      </w:divBdr>
    </w:div>
    <w:div w:id="1253465293">
      <w:bodyDiv w:val="1"/>
      <w:marLeft w:val="0"/>
      <w:marRight w:val="0"/>
      <w:marTop w:val="0"/>
      <w:marBottom w:val="0"/>
      <w:divBdr>
        <w:top w:val="none" w:sz="0" w:space="0" w:color="auto"/>
        <w:left w:val="none" w:sz="0" w:space="0" w:color="auto"/>
        <w:bottom w:val="none" w:sz="0" w:space="0" w:color="auto"/>
        <w:right w:val="none" w:sz="0" w:space="0" w:color="auto"/>
      </w:divBdr>
      <w:divsChild>
        <w:div w:id="1587765340">
          <w:marLeft w:val="0"/>
          <w:marRight w:val="0"/>
          <w:marTop w:val="0"/>
          <w:marBottom w:val="0"/>
          <w:divBdr>
            <w:top w:val="none" w:sz="0" w:space="0" w:color="auto"/>
            <w:left w:val="none" w:sz="0" w:space="0" w:color="auto"/>
            <w:bottom w:val="none" w:sz="0" w:space="0" w:color="auto"/>
            <w:right w:val="none" w:sz="0" w:space="0" w:color="auto"/>
          </w:divBdr>
        </w:div>
      </w:divsChild>
    </w:div>
    <w:div w:id="1273316659">
      <w:bodyDiv w:val="1"/>
      <w:marLeft w:val="0"/>
      <w:marRight w:val="0"/>
      <w:marTop w:val="0"/>
      <w:marBottom w:val="0"/>
      <w:divBdr>
        <w:top w:val="none" w:sz="0" w:space="0" w:color="auto"/>
        <w:left w:val="none" w:sz="0" w:space="0" w:color="auto"/>
        <w:bottom w:val="none" w:sz="0" w:space="0" w:color="auto"/>
        <w:right w:val="none" w:sz="0" w:space="0" w:color="auto"/>
      </w:divBdr>
    </w:div>
    <w:div w:id="1336033161">
      <w:bodyDiv w:val="1"/>
      <w:marLeft w:val="0"/>
      <w:marRight w:val="0"/>
      <w:marTop w:val="0"/>
      <w:marBottom w:val="0"/>
      <w:divBdr>
        <w:top w:val="none" w:sz="0" w:space="0" w:color="auto"/>
        <w:left w:val="none" w:sz="0" w:space="0" w:color="auto"/>
        <w:bottom w:val="none" w:sz="0" w:space="0" w:color="auto"/>
        <w:right w:val="none" w:sz="0" w:space="0" w:color="auto"/>
      </w:divBdr>
    </w:div>
    <w:div w:id="1356808464">
      <w:bodyDiv w:val="1"/>
      <w:marLeft w:val="0"/>
      <w:marRight w:val="0"/>
      <w:marTop w:val="0"/>
      <w:marBottom w:val="0"/>
      <w:divBdr>
        <w:top w:val="none" w:sz="0" w:space="0" w:color="auto"/>
        <w:left w:val="none" w:sz="0" w:space="0" w:color="auto"/>
        <w:bottom w:val="none" w:sz="0" w:space="0" w:color="auto"/>
        <w:right w:val="none" w:sz="0" w:space="0" w:color="auto"/>
      </w:divBdr>
    </w:div>
    <w:div w:id="1368263635">
      <w:bodyDiv w:val="1"/>
      <w:marLeft w:val="0"/>
      <w:marRight w:val="0"/>
      <w:marTop w:val="0"/>
      <w:marBottom w:val="0"/>
      <w:divBdr>
        <w:top w:val="none" w:sz="0" w:space="0" w:color="auto"/>
        <w:left w:val="none" w:sz="0" w:space="0" w:color="auto"/>
        <w:bottom w:val="none" w:sz="0" w:space="0" w:color="auto"/>
        <w:right w:val="none" w:sz="0" w:space="0" w:color="auto"/>
      </w:divBdr>
    </w:div>
    <w:div w:id="1371958384">
      <w:bodyDiv w:val="1"/>
      <w:marLeft w:val="0"/>
      <w:marRight w:val="0"/>
      <w:marTop w:val="0"/>
      <w:marBottom w:val="0"/>
      <w:divBdr>
        <w:top w:val="none" w:sz="0" w:space="0" w:color="auto"/>
        <w:left w:val="none" w:sz="0" w:space="0" w:color="auto"/>
        <w:bottom w:val="none" w:sz="0" w:space="0" w:color="auto"/>
        <w:right w:val="none" w:sz="0" w:space="0" w:color="auto"/>
      </w:divBdr>
    </w:div>
    <w:div w:id="1392121614">
      <w:bodyDiv w:val="1"/>
      <w:marLeft w:val="0"/>
      <w:marRight w:val="0"/>
      <w:marTop w:val="0"/>
      <w:marBottom w:val="0"/>
      <w:divBdr>
        <w:top w:val="none" w:sz="0" w:space="0" w:color="auto"/>
        <w:left w:val="none" w:sz="0" w:space="0" w:color="auto"/>
        <w:bottom w:val="none" w:sz="0" w:space="0" w:color="auto"/>
        <w:right w:val="none" w:sz="0" w:space="0" w:color="auto"/>
      </w:divBdr>
    </w:div>
    <w:div w:id="1420176960">
      <w:bodyDiv w:val="1"/>
      <w:marLeft w:val="0"/>
      <w:marRight w:val="0"/>
      <w:marTop w:val="0"/>
      <w:marBottom w:val="0"/>
      <w:divBdr>
        <w:top w:val="none" w:sz="0" w:space="0" w:color="auto"/>
        <w:left w:val="none" w:sz="0" w:space="0" w:color="auto"/>
        <w:bottom w:val="none" w:sz="0" w:space="0" w:color="auto"/>
        <w:right w:val="none" w:sz="0" w:space="0" w:color="auto"/>
      </w:divBdr>
    </w:div>
    <w:div w:id="1421373179">
      <w:bodyDiv w:val="1"/>
      <w:marLeft w:val="0"/>
      <w:marRight w:val="0"/>
      <w:marTop w:val="0"/>
      <w:marBottom w:val="0"/>
      <w:divBdr>
        <w:top w:val="none" w:sz="0" w:space="0" w:color="auto"/>
        <w:left w:val="none" w:sz="0" w:space="0" w:color="auto"/>
        <w:bottom w:val="none" w:sz="0" w:space="0" w:color="auto"/>
        <w:right w:val="none" w:sz="0" w:space="0" w:color="auto"/>
      </w:divBdr>
    </w:div>
    <w:div w:id="1469206866">
      <w:marLeft w:val="0"/>
      <w:marRight w:val="0"/>
      <w:marTop w:val="0"/>
      <w:marBottom w:val="0"/>
      <w:divBdr>
        <w:top w:val="none" w:sz="0" w:space="0" w:color="auto"/>
        <w:left w:val="none" w:sz="0" w:space="0" w:color="auto"/>
        <w:bottom w:val="none" w:sz="0" w:space="0" w:color="auto"/>
        <w:right w:val="none" w:sz="0" w:space="0" w:color="auto"/>
      </w:divBdr>
    </w:div>
    <w:div w:id="1490364470">
      <w:bodyDiv w:val="1"/>
      <w:marLeft w:val="0"/>
      <w:marRight w:val="0"/>
      <w:marTop w:val="0"/>
      <w:marBottom w:val="0"/>
      <w:divBdr>
        <w:top w:val="none" w:sz="0" w:space="0" w:color="auto"/>
        <w:left w:val="none" w:sz="0" w:space="0" w:color="auto"/>
        <w:bottom w:val="none" w:sz="0" w:space="0" w:color="auto"/>
        <w:right w:val="none" w:sz="0" w:space="0" w:color="auto"/>
      </w:divBdr>
      <w:divsChild>
        <w:div w:id="2004509518">
          <w:marLeft w:val="0"/>
          <w:marRight w:val="0"/>
          <w:marTop w:val="0"/>
          <w:marBottom w:val="0"/>
          <w:divBdr>
            <w:top w:val="none" w:sz="0" w:space="0" w:color="auto"/>
            <w:left w:val="none" w:sz="0" w:space="0" w:color="auto"/>
            <w:bottom w:val="none" w:sz="0" w:space="0" w:color="auto"/>
            <w:right w:val="none" w:sz="0" w:space="0" w:color="auto"/>
          </w:divBdr>
        </w:div>
      </w:divsChild>
    </w:div>
    <w:div w:id="1516920083">
      <w:bodyDiv w:val="1"/>
      <w:marLeft w:val="0"/>
      <w:marRight w:val="0"/>
      <w:marTop w:val="0"/>
      <w:marBottom w:val="0"/>
      <w:divBdr>
        <w:top w:val="none" w:sz="0" w:space="0" w:color="auto"/>
        <w:left w:val="none" w:sz="0" w:space="0" w:color="auto"/>
        <w:bottom w:val="none" w:sz="0" w:space="0" w:color="auto"/>
        <w:right w:val="none" w:sz="0" w:space="0" w:color="auto"/>
      </w:divBdr>
    </w:div>
    <w:div w:id="1561939406">
      <w:bodyDiv w:val="1"/>
      <w:marLeft w:val="0"/>
      <w:marRight w:val="0"/>
      <w:marTop w:val="0"/>
      <w:marBottom w:val="0"/>
      <w:divBdr>
        <w:top w:val="none" w:sz="0" w:space="0" w:color="auto"/>
        <w:left w:val="none" w:sz="0" w:space="0" w:color="auto"/>
        <w:bottom w:val="none" w:sz="0" w:space="0" w:color="auto"/>
        <w:right w:val="none" w:sz="0" w:space="0" w:color="auto"/>
      </w:divBdr>
    </w:div>
    <w:div w:id="1566525054">
      <w:bodyDiv w:val="1"/>
      <w:marLeft w:val="0"/>
      <w:marRight w:val="0"/>
      <w:marTop w:val="0"/>
      <w:marBottom w:val="0"/>
      <w:divBdr>
        <w:top w:val="none" w:sz="0" w:space="0" w:color="auto"/>
        <w:left w:val="none" w:sz="0" w:space="0" w:color="auto"/>
        <w:bottom w:val="none" w:sz="0" w:space="0" w:color="auto"/>
        <w:right w:val="none" w:sz="0" w:space="0" w:color="auto"/>
      </w:divBdr>
    </w:div>
    <w:div w:id="1622608031">
      <w:bodyDiv w:val="1"/>
      <w:marLeft w:val="0"/>
      <w:marRight w:val="0"/>
      <w:marTop w:val="0"/>
      <w:marBottom w:val="0"/>
      <w:divBdr>
        <w:top w:val="none" w:sz="0" w:space="0" w:color="auto"/>
        <w:left w:val="none" w:sz="0" w:space="0" w:color="auto"/>
        <w:bottom w:val="none" w:sz="0" w:space="0" w:color="auto"/>
        <w:right w:val="none" w:sz="0" w:space="0" w:color="auto"/>
      </w:divBdr>
    </w:div>
    <w:div w:id="1622957123">
      <w:bodyDiv w:val="1"/>
      <w:marLeft w:val="0"/>
      <w:marRight w:val="0"/>
      <w:marTop w:val="0"/>
      <w:marBottom w:val="0"/>
      <w:divBdr>
        <w:top w:val="none" w:sz="0" w:space="0" w:color="auto"/>
        <w:left w:val="none" w:sz="0" w:space="0" w:color="auto"/>
        <w:bottom w:val="none" w:sz="0" w:space="0" w:color="auto"/>
        <w:right w:val="none" w:sz="0" w:space="0" w:color="auto"/>
      </w:divBdr>
    </w:div>
    <w:div w:id="1624771608">
      <w:marLeft w:val="0"/>
      <w:marRight w:val="0"/>
      <w:marTop w:val="0"/>
      <w:marBottom w:val="0"/>
      <w:divBdr>
        <w:top w:val="none" w:sz="0" w:space="0" w:color="auto"/>
        <w:left w:val="none" w:sz="0" w:space="0" w:color="auto"/>
        <w:bottom w:val="none" w:sz="0" w:space="0" w:color="auto"/>
        <w:right w:val="none" w:sz="0" w:space="0" w:color="auto"/>
      </w:divBdr>
    </w:div>
    <w:div w:id="1642418013">
      <w:bodyDiv w:val="1"/>
      <w:marLeft w:val="0"/>
      <w:marRight w:val="0"/>
      <w:marTop w:val="0"/>
      <w:marBottom w:val="0"/>
      <w:divBdr>
        <w:top w:val="none" w:sz="0" w:space="0" w:color="auto"/>
        <w:left w:val="none" w:sz="0" w:space="0" w:color="auto"/>
        <w:bottom w:val="none" w:sz="0" w:space="0" w:color="auto"/>
        <w:right w:val="none" w:sz="0" w:space="0" w:color="auto"/>
      </w:divBdr>
    </w:div>
    <w:div w:id="1686785863">
      <w:bodyDiv w:val="1"/>
      <w:marLeft w:val="0"/>
      <w:marRight w:val="0"/>
      <w:marTop w:val="0"/>
      <w:marBottom w:val="0"/>
      <w:divBdr>
        <w:top w:val="none" w:sz="0" w:space="0" w:color="auto"/>
        <w:left w:val="none" w:sz="0" w:space="0" w:color="auto"/>
        <w:bottom w:val="none" w:sz="0" w:space="0" w:color="auto"/>
        <w:right w:val="none" w:sz="0" w:space="0" w:color="auto"/>
      </w:divBdr>
    </w:div>
    <w:div w:id="1707294754">
      <w:bodyDiv w:val="1"/>
      <w:marLeft w:val="0"/>
      <w:marRight w:val="0"/>
      <w:marTop w:val="0"/>
      <w:marBottom w:val="0"/>
      <w:divBdr>
        <w:top w:val="none" w:sz="0" w:space="0" w:color="auto"/>
        <w:left w:val="none" w:sz="0" w:space="0" w:color="auto"/>
        <w:bottom w:val="none" w:sz="0" w:space="0" w:color="auto"/>
        <w:right w:val="none" w:sz="0" w:space="0" w:color="auto"/>
      </w:divBdr>
    </w:div>
    <w:div w:id="1825120826">
      <w:bodyDiv w:val="1"/>
      <w:marLeft w:val="0"/>
      <w:marRight w:val="0"/>
      <w:marTop w:val="0"/>
      <w:marBottom w:val="0"/>
      <w:divBdr>
        <w:top w:val="none" w:sz="0" w:space="0" w:color="auto"/>
        <w:left w:val="none" w:sz="0" w:space="0" w:color="auto"/>
        <w:bottom w:val="none" w:sz="0" w:space="0" w:color="auto"/>
        <w:right w:val="none" w:sz="0" w:space="0" w:color="auto"/>
      </w:divBdr>
    </w:div>
    <w:div w:id="1842040071">
      <w:bodyDiv w:val="1"/>
      <w:marLeft w:val="0"/>
      <w:marRight w:val="0"/>
      <w:marTop w:val="0"/>
      <w:marBottom w:val="0"/>
      <w:divBdr>
        <w:top w:val="none" w:sz="0" w:space="0" w:color="auto"/>
        <w:left w:val="none" w:sz="0" w:space="0" w:color="auto"/>
        <w:bottom w:val="none" w:sz="0" w:space="0" w:color="auto"/>
        <w:right w:val="none" w:sz="0" w:space="0" w:color="auto"/>
      </w:divBdr>
    </w:div>
    <w:div w:id="1858275256">
      <w:bodyDiv w:val="1"/>
      <w:marLeft w:val="0"/>
      <w:marRight w:val="0"/>
      <w:marTop w:val="0"/>
      <w:marBottom w:val="0"/>
      <w:divBdr>
        <w:top w:val="none" w:sz="0" w:space="0" w:color="auto"/>
        <w:left w:val="none" w:sz="0" w:space="0" w:color="auto"/>
        <w:bottom w:val="none" w:sz="0" w:space="0" w:color="auto"/>
        <w:right w:val="none" w:sz="0" w:space="0" w:color="auto"/>
      </w:divBdr>
    </w:div>
    <w:div w:id="1869218603">
      <w:bodyDiv w:val="1"/>
      <w:marLeft w:val="0"/>
      <w:marRight w:val="0"/>
      <w:marTop w:val="0"/>
      <w:marBottom w:val="0"/>
      <w:divBdr>
        <w:top w:val="none" w:sz="0" w:space="0" w:color="auto"/>
        <w:left w:val="none" w:sz="0" w:space="0" w:color="auto"/>
        <w:bottom w:val="none" w:sz="0" w:space="0" w:color="auto"/>
        <w:right w:val="none" w:sz="0" w:space="0" w:color="auto"/>
      </w:divBdr>
    </w:div>
    <w:div w:id="1923947221">
      <w:bodyDiv w:val="1"/>
      <w:marLeft w:val="0"/>
      <w:marRight w:val="0"/>
      <w:marTop w:val="0"/>
      <w:marBottom w:val="0"/>
      <w:divBdr>
        <w:top w:val="none" w:sz="0" w:space="0" w:color="auto"/>
        <w:left w:val="none" w:sz="0" w:space="0" w:color="auto"/>
        <w:bottom w:val="none" w:sz="0" w:space="0" w:color="auto"/>
        <w:right w:val="none" w:sz="0" w:space="0" w:color="auto"/>
      </w:divBdr>
    </w:div>
    <w:div w:id="1953246983">
      <w:bodyDiv w:val="1"/>
      <w:marLeft w:val="0"/>
      <w:marRight w:val="0"/>
      <w:marTop w:val="0"/>
      <w:marBottom w:val="0"/>
      <w:divBdr>
        <w:top w:val="none" w:sz="0" w:space="0" w:color="auto"/>
        <w:left w:val="none" w:sz="0" w:space="0" w:color="auto"/>
        <w:bottom w:val="none" w:sz="0" w:space="0" w:color="auto"/>
        <w:right w:val="none" w:sz="0" w:space="0" w:color="auto"/>
      </w:divBdr>
      <w:divsChild>
        <w:div w:id="1758208986">
          <w:marLeft w:val="0"/>
          <w:marRight w:val="0"/>
          <w:marTop w:val="0"/>
          <w:marBottom w:val="0"/>
          <w:divBdr>
            <w:top w:val="none" w:sz="0" w:space="0" w:color="auto"/>
            <w:left w:val="none" w:sz="0" w:space="0" w:color="auto"/>
            <w:bottom w:val="none" w:sz="0" w:space="0" w:color="auto"/>
            <w:right w:val="none" w:sz="0" w:space="0" w:color="auto"/>
          </w:divBdr>
        </w:div>
      </w:divsChild>
    </w:div>
    <w:div w:id="1960066849">
      <w:bodyDiv w:val="1"/>
      <w:marLeft w:val="0"/>
      <w:marRight w:val="0"/>
      <w:marTop w:val="0"/>
      <w:marBottom w:val="0"/>
      <w:divBdr>
        <w:top w:val="none" w:sz="0" w:space="0" w:color="auto"/>
        <w:left w:val="none" w:sz="0" w:space="0" w:color="auto"/>
        <w:bottom w:val="none" w:sz="0" w:space="0" w:color="auto"/>
        <w:right w:val="none" w:sz="0" w:space="0" w:color="auto"/>
      </w:divBdr>
    </w:div>
    <w:div w:id="1971276726">
      <w:marLeft w:val="0"/>
      <w:marRight w:val="0"/>
      <w:marTop w:val="0"/>
      <w:marBottom w:val="0"/>
      <w:divBdr>
        <w:top w:val="none" w:sz="0" w:space="0" w:color="auto"/>
        <w:left w:val="none" w:sz="0" w:space="0" w:color="auto"/>
        <w:bottom w:val="none" w:sz="0" w:space="0" w:color="auto"/>
        <w:right w:val="none" w:sz="0" w:space="0" w:color="auto"/>
      </w:divBdr>
    </w:div>
    <w:div w:id="2060275557">
      <w:bodyDiv w:val="1"/>
      <w:marLeft w:val="0"/>
      <w:marRight w:val="0"/>
      <w:marTop w:val="0"/>
      <w:marBottom w:val="0"/>
      <w:divBdr>
        <w:top w:val="none" w:sz="0" w:space="0" w:color="auto"/>
        <w:left w:val="none" w:sz="0" w:space="0" w:color="auto"/>
        <w:bottom w:val="none" w:sz="0" w:space="0" w:color="auto"/>
        <w:right w:val="none" w:sz="0" w:space="0" w:color="auto"/>
      </w:divBdr>
    </w:div>
    <w:div w:id="2080201713">
      <w:marLeft w:val="0"/>
      <w:marRight w:val="0"/>
      <w:marTop w:val="0"/>
      <w:marBottom w:val="0"/>
      <w:divBdr>
        <w:top w:val="none" w:sz="0" w:space="0" w:color="auto"/>
        <w:left w:val="none" w:sz="0" w:space="0" w:color="auto"/>
        <w:bottom w:val="none" w:sz="0" w:space="0" w:color="auto"/>
        <w:right w:val="none" w:sz="0" w:space="0" w:color="auto"/>
      </w:divBdr>
    </w:div>
    <w:div w:id="2130733911">
      <w:bodyDiv w:val="1"/>
      <w:marLeft w:val="0"/>
      <w:marRight w:val="0"/>
      <w:marTop w:val="0"/>
      <w:marBottom w:val="0"/>
      <w:divBdr>
        <w:top w:val="none" w:sz="0" w:space="0" w:color="auto"/>
        <w:left w:val="none" w:sz="0" w:space="0" w:color="auto"/>
        <w:bottom w:val="none" w:sz="0" w:space="0" w:color="auto"/>
        <w:right w:val="none" w:sz="0" w:space="0" w:color="auto"/>
      </w:divBdr>
    </w:div>
    <w:div w:id="213394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file:///C:\Users\Wendy\Documents\Ivey%20Publishing\Ivey%20WIP\op" TargetMode="External"/><Relationship Id="rId7" Type="http://schemas.openxmlformats.org/officeDocument/2006/relationships/hyperlink" Target="http://op" TargetMode="External"/><Relationship Id="rId2" Type="http://schemas.openxmlformats.org/officeDocument/2006/relationships/hyperlink" Target="http://op" TargetMode="External"/><Relationship Id="rId1" Type="http://schemas.openxmlformats.org/officeDocument/2006/relationships/hyperlink" Target="http://op" TargetMode="External"/><Relationship Id="rId6" Type="http://schemas.openxmlformats.org/officeDocument/2006/relationships/hyperlink" Target="file:///C:\Users\Wendy\Documents\Ivey%20Publishing\Ivey%20WIP\op" TargetMode="External"/><Relationship Id="rId5" Type="http://schemas.openxmlformats.org/officeDocument/2006/relationships/hyperlink" Target="http://op" TargetMode="External"/><Relationship Id="rId4" Type="http://schemas.openxmlformats.org/officeDocument/2006/relationships/hyperlink" Target="http://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687C621-2A44-4870-8A9B-F23328FF8E1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E7ADFAB-09B2-444B-8C7F-3C7A44ABCC4D}">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2B962-160F-48C4-BDE2-E361A83F8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5837</Words>
  <Characters>33739</Characters>
  <Application>Microsoft Office Word</Application>
  <DocSecurity>0</DocSecurity>
  <Lines>1054</Lines>
  <Paragraphs>648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Schaeken, Charlotte</cp:lastModifiedBy>
  <cp:revision>3</cp:revision>
  <cp:lastPrinted>2016-06-08T18:38:00Z</cp:lastPrinted>
  <dcterms:created xsi:type="dcterms:W3CDTF">2018-01-08T17:12:00Z</dcterms:created>
  <dcterms:modified xsi:type="dcterms:W3CDTF">2018-01-08T17:15:00Z</dcterms:modified>
</cp:coreProperties>
</file>