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BB329A" w14:paraId="3EE8E5D4" w14:textId="77777777" w:rsidTr="001921B4">
        <w:tc>
          <w:tcPr>
            <w:tcW w:w="4680" w:type="dxa"/>
            <w:shd w:val="clear" w:color="auto" w:fill="auto"/>
          </w:tcPr>
          <w:p w14:paraId="73203134" w14:textId="77777777" w:rsidR="00BB329A" w:rsidRPr="00183661" w:rsidRDefault="00BB329A" w:rsidP="001921B4">
            <w:pPr>
              <w:pStyle w:val="Casehead2"/>
            </w:pPr>
            <w:r w:rsidRPr="00A9392E">
              <w:rPr>
                <w:noProof/>
                <w:lang w:val="en-CA" w:eastAsia="en-CA"/>
              </w:rPr>
              <w:drawing>
                <wp:inline distT="0" distB="0" distL="0" distR="0" wp14:anchorId="07C5CE6F" wp14:editId="4A8D38B0">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350C9625" w14:textId="77777777" w:rsidR="00BB329A" w:rsidRPr="00183661" w:rsidRDefault="00BB329A" w:rsidP="001921B4">
            <w:pPr>
              <w:tabs>
                <w:tab w:val="left" w:pos="-1440"/>
                <w:tab w:val="left" w:pos="-720"/>
                <w:tab w:val="left" w:pos="1"/>
              </w:tabs>
              <w:jc w:val="right"/>
              <w:rPr>
                <w:rFonts w:ascii="Arial" w:hAnsi="Arial" w:cs="Calibri"/>
                <w:b/>
                <w:sz w:val="24"/>
              </w:rPr>
            </w:pPr>
            <w:r>
              <w:rPr>
                <w:noProof/>
                <w:lang w:val="en-CA" w:eastAsia="en-CA"/>
              </w:rPr>
              <mc:AlternateContent>
                <mc:Choice Requires="wpc">
                  <w:drawing>
                    <wp:inline distT="0" distB="0" distL="0" distR="0" wp14:anchorId="26C492E7" wp14:editId="5E446F06">
                      <wp:extent cx="2063115" cy="431800"/>
                      <wp:effectExtent l="38100" t="76200" r="127635" b="25400"/>
                      <wp:docPr id="8"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7" name="Picture 7"/>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B242701" id="Canvas 8"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7"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ijl/EAAAA2gAAAA8AAABkcnMvZG93bnJldi54bWxEj0FrwkAUhO8F/8PyBC/FbCqhSswqIgjS&#10;S2jag8dn9plEs2/T7BrTf98tFHocZuYbJtuOphUD9a6xrOAlikEQl1Y3XCn4/DjMVyCcR9bYWiYF&#10;3+Rgu5k8ZZhq++B3GgpfiQBhl6KC2vsuldKVNRl0ke2Ig3exvUEfZF9J3eMjwE0rF3H8Kg02HBZq&#10;7GhfU3kr7kbBPn8urqerXn4l5/aQFC6P36pBqdl03K1BeBr9f/ivfdQKlvB7JdwAuf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ijl/EAAAA2gAAAA8AAAAAAAAAAAAAAAAA&#10;nwIAAGRycy9kb3ducmV2LnhtbFBLBQYAAAAABAAEAPcAAACQAwAAAAA=&#10;">
                        <v:imagedata r:id="rId10" o:title="" grayscale="t"/>
                      </v:shape>
                      <w10:anchorlock/>
                    </v:group>
                  </w:pict>
                </mc:Fallback>
              </mc:AlternateContent>
            </w:r>
          </w:p>
        </w:tc>
      </w:tr>
    </w:tbl>
    <w:p w14:paraId="7DFE5BAE" w14:textId="77777777" w:rsidR="00856D9F" w:rsidRPr="0014701D" w:rsidRDefault="00856D9F" w:rsidP="008467D5">
      <w:pPr>
        <w:pBdr>
          <w:bottom w:val="single" w:sz="18" w:space="1" w:color="auto"/>
        </w:pBdr>
        <w:tabs>
          <w:tab w:val="left" w:pos="-1440"/>
          <w:tab w:val="left" w:pos="-720"/>
          <w:tab w:val="left" w:pos="1"/>
        </w:tabs>
        <w:jc w:val="both"/>
        <w:rPr>
          <w:rFonts w:ascii="Arial" w:hAnsi="Arial"/>
          <w:b/>
          <w:sz w:val="2"/>
        </w:rPr>
      </w:pPr>
    </w:p>
    <w:p w14:paraId="22100F4F" w14:textId="7DFAA830" w:rsidR="00D75295" w:rsidRPr="00CB6B09" w:rsidRDefault="0014701D" w:rsidP="0029308B">
      <w:pPr>
        <w:pStyle w:val="ProductNumber"/>
        <w:outlineLvl w:val="0"/>
      </w:pPr>
      <w:r>
        <w:t>9B18</w:t>
      </w:r>
      <w:r w:rsidR="00AD071B">
        <w:t>M006</w:t>
      </w:r>
    </w:p>
    <w:p w14:paraId="5D280F28" w14:textId="77777777" w:rsidR="00D75295" w:rsidRPr="00CB6B09" w:rsidRDefault="00D75295" w:rsidP="00D75295">
      <w:pPr>
        <w:jc w:val="right"/>
        <w:rPr>
          <w:rFonts w:ascii="Arial" w:hAnsi="Arial"/>
          <w:b/>
          <w:sz w:val="28"/>
          <w:szCs w:val="28"/>
        </w:rPr>
      </w:pPr>
    </w:p>
    <w:p w14:paraId="64DA59FB" w14:textId="77777777" w:rsidR="00866F6D" w:rsidRPr="00CB6B09" w:rsidRDefault="00866F6D" w:rsidP="00D75295">
      <w:pPr>
        <w:jc w:val="right"/>
        <w:rPr>
          <w:rFonts w:ascii="Arial" w:hAnsi="Arial"/>
          <w:b/>
          <w:sz w:val="28"/>
          <w:szCs w:val="28"/>
        </w:rPr>
      </w:pPr>
    </w:p>
    <w:p w14:paraId="27BAD3F8" w14:textId="4CABF06E" w:rsidR="00013360" w:rsidRPr="00CB6B09" w:rsidRDefault="00842716" w:rsidP="0029308B">
      <w:pPr>
        <w:pStyle w:val="CaseTitle"/>
        <w:spacing w:after="0" w:line="240" w:lineRule="auto"/>
        <w:outlineLvl w:val="0"/>
      </w:pPr>
      <w:r>
        <w:t>Gemini Edible</w:t>
      </w:r>
      <w:r w:rsidR="00B21154">
        <w:t>s and Fats India</w:t>
      </w:r>
      <w:r>
        <w:t>: In Pursuit of Growth</w:t>
      </w:r>
    </w:p>
    <w:p w14:paraId="6FC103FE" w14:textId="77777777" w:rsidR="00CA3976" w:rsidRPr="00CB6B09" w:rsidRDefault="00CA3976" w:rsidP="00013360">
      <w:pPr>
        <w:pStyle w:val="CaseTitle"/>
        <w:spacing w:after="0" w:line="240" w:lineRule="auto"/>
        <w:rPr>
          <w:sz w:val="20"/>
          <w:szCs w:val="20"/>
        </w:rPr>
      </w:pPr>
    </w:p>
    <w:p w14:paraId="5AC31D36" w14:textId="77777777" w:rsidR="00013360" w:rsidRPr="00CB6B09" w:rsidRDefault="00013360" w:rsidP="00013360">
      <w:pPr>
        <w:pStyle w:val="CaseTitle"/>
        <w:spacing w:after="0" w:line="240" w:lineRule="auto"/>
        <w:rPr>
          <w:sz w:val="20"/>
          <w:szCs w:val="20"/>
        </w:rPr>
      </w:pPr>
    </w:p>
    <w:p w14:paraId="0A4476DD" w14:textId="04448844" w:rsidR="00013360" w:rsidRPr="00CB6B09" w:rsidRDefault="00842716" w:rsidP="00104567">
      <w:pPr>
        <w:pStyle w:val="StyleCopyrightStatementAfter0ptBottomSinglesolidline1"/>
      </w:pPr>
      <w:r>
        <w:t xml:space="preserve">Ira Acharya and </w:t>
      </w:r>
      <w:proofErr w:type="spellStart"/>
      <w:r>
        <w:t>Neera</w:t>
      </w:r>
      <w:proofErr w:type="spellEnd"/>
      <w:r>
        <w:t xml:space="preserve"> Jain</w:t>
      </w:r>
      <w:r w:rsidR="007E5921" w:rsidRPr="00CB6B09">
        <w:t xml:space="preserve"> wrote this case sol</w:t>
      </w:r>
      <w:r w:rsidR="00D75295" w:rsidRPr="00CB6B09">
        <w:t>ely to provide material f</w:t>
      </w:r>
      <w:r w:rsidR="001A04F0">
        <w:t>or class discussion. The author</w:t>
      </w:r>
      <w:r w:rsidR="00610093">
        <w:t>s</w:t>
      </w:r>
      <w:r w:rsidR="00D75295" w:rsidRPr="00CB6B09">
        <w:t xml:space="preserve"> do not intend to illustrate either effective or ineffective handling of a managerial situation.</w:t>
      </w:r>
      <w:r w:rsidR="00610093">
        <w:t xml:space="preserve"> </w:t>
      </w:r>
      <w:r w:rsidR="00D75295" w:rsidRPr="00CB6B09">
        <w:t>The authors may have disguised certain names and other identifying information to protect confidentiality.</w:t>
      </w:r>
    </w:p>
    <w:p w14:paraId="7F90B261" w14:textId="77777777" w:rsidR="00013360" w:rsidRPr="00CB6B09" w:rsidRDefault="00013360" w:rsidP="00104567">
      <w:pPr>
        <w:pStyle w:val="StyleCopyrightStatementAfter0ptBottomSinglesolidline1"/>
      </w:pPr>
    </w:p>
    <w:p w14:paraId="054301B4" w14:textId="77777777" w:rsidR="00BB329A" w:rsidRDefault="00BB329A"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6A510D5" w14:textId="77777777" w:rsidR="00BB329A" w:rsidRDefault="00BB329A" w:rsidP="003C25FF">
      <w:pPr>
        <w:pStyle w:val="StyleCopyrightStatementAfter0ptBottomSinglesolidline1"/>
        <w:pBdr>
          <w:top w:val="none" w:sz="0" w:space="0" w:color="auto"/>
        </w:pBdr>
      </w:pPr>
    </w:p>
    <w:p w14:paraId="41D50F57" w14:textId="55776941" w:rsidR="003B7EF2" w:rsidRPr="00CB6B09" w:rsidRDefault="00AD071B" w:rsidP="00BB329A">
      <w:pPr>
        <w:pStyle w:val="StyleStyleCopyrightStatementAfter0ptBottomSinglesolid"/>
      </w:pPr>
      <w:r>
        <w:t>Copyright © 2018</w:t>
      </w:r>
      <w:r w:rsidR="00BB329A">
        <w:t xml:space="preserve">, </w:t>
      </w:r>
      <w:r w:rsidR="001D4C3C">
        <w:t xml:space="preserve">Management Development Institute Gurgaon and </w:t>
      </w:r>
      <w:r w:rsidR="0014701D">
        <w:t>Ivey Business School Foundation</w:t>
      </w:r>
      <w:r w:rsidR="003B7EF2" w:rsidRPr="00CB6B09">
        <w:tab/>
        <w:t xml:space="preserve">Version: </w:t>
      </w:r>
      <w:r w:rsidR="00361C8E" w:rsidRPr="00CB6B09">
        <w:t>201</w:t>
      </w:r>
      <w:r>
        <w:t>8</w:t>
      </w:r>
      <w:r w:rsidR="00361C8E" w:rsidRPr="00CB6B09">
        <w:t>-</w:t>
      </w:r>
      <w:r>
        <w:t>01</w:t>
      </w:r>
      <w:r w:rsidR="00361C8E" w:rsidRPr="00CB6B09">
        <w:t>-</w:t>
      </w:r>
      <w:r w:rsidR="0014701D">
        <w:t>26</w:t>
      </w:r>
    </w:p>
    <w:p w14:paraId="25BA63DC" w14:textId="77777777" w:rsidR="003B7EF2" w:rsidRPr="00CB6B09" w:rsidRDefault="003B7EF2" w:rsidP="00104567">
      <w:pPr>
        <w:pStyle w:val="StyleCopyrightStatementAfter0ptBottomSinglesolidline1"/>
        <w:rPr>
          <w:rFonts w:ascii="Times New Roman" w:hAnsi="Times New Roman"/>
          <w:sz w:val="20"/>
        </w:rPr>
      </w:pPr>
    </w:p>
    <w:p w14:paraId="7A95ADEF" w14:textId="77777777" w:rsidR="003B7EF2" w:rsidRDefault="003B7EF2" w:rsidP="006F1D9E">
      <w:pPr>
        <w:pStyle w:val="Footnote"/>
      </w:pPr>
    </w:p>
    <w:p w14:paraId="5B3EA0CF" w14:textId="1BB38BF0" w:rsidR="00842716" w:rsidRDefault="00842716" w:rsidP="00842716">
      <w:pPr>
        <w:pStyle w:val="BodyTextMain"/>
      </w:pPr>
      <w:r>
        <w:t xml:space="preserve">It was mid-June 2017 and </w:t>
      </w:r>
      <w:proofErr w:type="spellStart"/>
      <w:r>
        <w:t>Akshay</w:t>
      </w:r>
      <w:proofErr w:type="spellEnd"/>
      <w:r>
        <w:t xml:space="preserve"> </w:t>
      </w:r>
      <w:proofErr w:type="spellStart"/>
      <w:r>
        <w:t>Chowdhry</w:t>
      </w:r>
      <w:proofErr w:type="spellEnd"/>
      <w:r>
        <w:t xml:space="preserve">, </w:t>
      </w:r>
      <w:r w:rsidR="0029308B">
        <w:t>general manager of</w:t>
      </w:r>
      <w:r>
        <w:t xml:space="preserve"> Gemini Edibles &amp; Fats India Private Limited (GEF India)</w:t>
      </w:r>
      <w:r w:rsidR="0029308B">
        <w:t>,</w:t>
      </w:r>
      <w:r>
        <w:t xml:space="preserve"> was sitting in his plush Hyderabad</w:t>
      </w:r>
      <w:r>
        <w:rPr>
          <w:rStyle w:val="FootnoteReference"/>
        </w:rPr>
        <w:footnoteReference w:id="1"/>
      </w:r>
      <w:r>
        <w:t xml:space="preserve"> office, reminiscing about the journey of his company. He looked back with pride </w:t>
      </w:r>
      <w:bookmarkStart w:id="0" w:name="_GoBack"/>
      <w:bookmarkEnd w:id="0"/>
      <w:r>
        <w:t xml:space="preserve">on how the alacrity and mindfulness of his father, Pradeep </w:t>
      </w:r>
      <w:proofErr w:type="spellStart"/>
      <w:r>
        <w:t>Chowdhry</w:t>
      </w:r>
      <w:proofErr w:type="spellEnd"/>
      <w:r>
        <w:t xml:space="preserve">, </w:t>
      </w:r>
      <w:r w:rsidR="0029308B">
        <w:t>managing director of</w:t>
      </w:r>
      <w:r>
        <w:t xml:space="preserve"> GEF India, had made way for such rapid growth by the company. The investments made by him, the alliances established, and the effective marketing had all paid off. His style of conducting the business and his empathic relationship with his staff had </w:t>
      </w:r>
      <w:r w:rsidR="0029308B">
        <w:t xml:space="preserve">earned </w:t>
      </w:r>
      <w:r>
        <w:t>him staunch loyalists who stayed with him through thick and thin, and guided the company to successive heights. From no presence to garnering a market share of 40</w:t>
      </w:r>
      <w:r w:rsidR="0029308B">
        <w:t xml:space="preserve"> per cent</w:t>
      </w:r>
      <w:r>
        <w:t xml:space="preserve"> </w:t>
      </w:r>
      <w:r w:rsidR="00BF1E5B">
        <w:t xml:space="preserve">of the sunflower oil market </w:t>
      </w:r>
      <w:r w:rsidR="00F60B67">
        <w:t xml:space="preserve">across </w:t>
      </w:r>
      <w:r w:rsidR="0029308B">
        <w:t xml:space="preserve">the states of </w:t>
      </w:r>
      <w:r>
        <w:t>Andhra Pradesh (AP), Telangana, and Odisha in a seven-year period was no easy feat to have achieved.</w:t>
      </w:r>
    </w:p>
    <w:p w14:paraId="0CAC1020" w14:textId="77777777" w:rsidR="00842716" w:rsidRDefault="00842716" w:rsidP="00842716">
      <w:pPr>
        <w:pStyle w:val="BodyTextMain"/>
      </w:pPr>
    </w:p>
    <w:p w14:paraId="3FF356D2" w14:textId="520C3FD7" w:rsidR="00842716" w:rsidRDefault="00842716" w:rsidP="00842716">
      <w:pPr>
        <w:pStyle w:val="BodyTextMain"/>
      </w:pPr>
      <w:r>
        <w:t xml:space="preserve">The quantum opportunity in the country was massive. Edible oil consumption was on the increase, reflective of the continuously improving standards of living. At the same time, domestic production continued to fall significantly short of the demand in the country. </w:t>
      </w:r>
      <w:proofErr w:type="spellStart"/>
      <w:r w:rsidR="00B11BD4">
        <w:t>Akshay</w:t>
      </w:r>
      <w:proofErr w:type="spellEnd"/>
      <w:r>
        <w:t xml:space="preserve"> knew that GEF India had to act fast, as before, and jump on the opportunity. But he could not help but wonder whether the same formula of growth would work. They were looking at doubling the</w:t>
      </w:r>
      <w:r w:rsidR="00453DAE">
        <w:t>ir</w:t>
      </w:r>
      <w:r>
        <w:t xml:space="preserve"> current revenues of </w:t>
      </w:r>
      <w:r w:rsidR="00BF1E5B" w:rsidRPr="006A6F61">
        <w:rPr>
          <w:rFonts w:eastAsia="Calibri"/>
        </w:rPr>
        <w:t>₹</w:t>
      </w:r>
      <w:r>
        <w:t>35 billion</w:t>
      </w:r>
      <w:r w:rsidR="00BF1E5B">
        <w:rPr>
          <w:rStyle w:val="FootnoteReference"/>
        </w:rPr>
        <w:footnoteReference w:id="2"/>
      </w:r>
      <w:r>
        <w:t xml:space="preserve"> to </w:t>
      </w:r>
      <w:r w:rsidR="00453DAE">
        <w:rPr>
          <w:rFonts w:ascii="Calibri" w:eastAsia="Calibri" w:hAnsi="Calibri" w:cs="Calibri"/>
        </w:rPr>
        <w:t>₹</w:t>
      </w:r>
      <w:r>
        <w:t>70 billion by 2021, which was no ordinary increase. What should their growth strategy be? Was there a need to revisit their marketing communication strategy in order to strengthen their brand amid competition from established players? From an organizational perspective, did the growth challenge require a shift in their culture or their internal communication strategy?</w:t>
      </w:r>
    </w:p>
    <w:p w14:paraId="75567CCB" w14:textId="77777777" w:rsidR="00842716" w:rsidRDefault="00842716" w:rsidP="00842716">
      <w:pPr>
        <w:pStyle w:val="BodyTextMain"/>
      </w:pPr>
    </w:p>
    <w:p w14:paraId="11FE7508" w14:textId="77777777" w:rsidR="00842716" w:rsidRDefault="00842716" w:rsidP="00842716">
      <w:pPr>
        <w:pStyle w:val="BodyTextMain"/>
      </w:pPr>
    </w:p>
    <w:p w14:paraId="69DC5BFE" w14:textId="2FABA3D7" w:rsidR="00842716" w:rsidRDefault="00842716" w:rsidP="0029308B">
      <w:pPr>
        <w:pStyle w:val="Casehead1"/>
        <w:outlineLvl w:val="0"/>
      </w:pPr>
      <w:r>
        <w:t>Gemini Edibles &amp; Fats India P</w:t>
      </w:r>
      <w:r w:rsidR="00453DAE">
        <w:t>ri</w:t>
      </w:r>
      <w:r>
        <w:t>v</w:t>
      </w:r>
      <w:r w:rsidR="00453DAE">
        <w:t>a</w:t>
      </w:r>
      <w:r>
        <w:t>t</w:t>
      </w:r>
      <w:r w:rsidR="00453DAE">
        <w:t>e</w:t>
      </w:r>
      <w:r>
        <w:t xml:space="preserve"> L</w:t>
      </w:r>
      <w:r w:rsidR="00453DAE">
        <w:t>imi</w:t>
      </w:r>
      <w:r>
        <w:t>t</w:t>
      </w:r>
      <w:r w:rsidR="00453DAE">
        <w:t>e</w:t>
      </w:r>
      <w:r>
        <w:t>d</w:t>
      </w:r>
    </w:p>
    <w:p w14:paraId="45C1FFEE" w14:textId="77777777" w:rsidR="00842716" w:rsidRDefault="00842716" w:rsidP="00725A44">
      <w:pPr>
        <w:pStyle w:val="BodyTextMainlink"/>
      </w:pPr>
    </w:p>
    <w:p w14:paraId="41D9E8DC" w14:textId="2ABC5CA4" w:rsidR="00315B6B" w:rsidRDefault="00842716" w:rsidP="00842716">
      <w:pPr>
        <w:pStyle w:val="BodyTextMain"/>
      </w:pPr>
      <w:r>
        <w:t>GEF India, a Hyderabad</w:t>
      </w:r>
      <w:r w:rsidR="00453DAE">
        <w:t>-</w:t>
      </w:r>
      <w:r>
        <w:t xml:space="preserve">based company, was in the business of trading, manufacturing, and marketing edible oils and fats. </w:t>
      </w:r>
      <w:r w:rsidR="00153D8A">
        <w:t xml:space="preserve">With an investment of </w:t>
      </w:r>
      <w:r w:rsidR="00153D8A" w:rsidRPr="006A6F61">
        <w:rPr>
          <w:rFonts w:eastAsia="Calibri"/>
        </w:rPr>
        <w:t>₹</w:t>
      </w:r>
      <w:r w:rsidR="00153D8A">
        <w:t xml:space="preserve">1.42 billion, the company built a plant at </w:t>
      </w:r>
      <w:proofErr w:type="spellStart"/>
      <w:r w:rsidR="00153D8A">
        <w:t>Krishnapatnam</w:t>
      </w:r>
      <w:proofErr w:type="spellEnd"/>
      <w:r w:rsidR="00153D8A">
        <w:t xml:space="preserve"> with a refining capacity of 900 tonnes per day, and for another </w:t>
      </w:r>
      <w:r w:rsidR="00153D8A" w:rsidRPr="006A6F61">
        <w:rPr>
          <w:rFonts w:eastAsia="Calibri"/>
        </w:rPr>
        <w:t>₹</w:t>
      </w:r>
      <w:r w:rsidR="00153D8A" w:rsidRPr="006A6F61">
        <w:t>250</w:t>
      </w:r>
      <w:r w:rsidR="00153D8A">
        <w:t xml:space="preserve"> million, the company acquired an existing refinery with a capacity of 250 tonnes per day at another strategic location, Kakinada. </w:t>
      </w:r>
      <w:r>
        <w:t>Both were port</w:t>
      </w:r>
      <w:r w:rsidR="00453DAE">
        <w:t>-</w:t>
      </w:r>
      <w:r>
        <w:t xml:space="preserve">based refineries in AP on the east coast of India. The </w:t>
      </w:r>
      <w:proofErr w:type="spellStart"/>
      <w:r>
        <w:t>Krishnapatnam</w:t>
      </w:r>
      <w:proofErr w:type="spellEnd"/>
      <w:r>
        <w:t xml:space="preserve"> plant gave access to the states of AP, Telangana, Tamil Nadu, and Karnataka</w:t>
      </w:r>
      <w:r w:rsidR="00CF47CB">
        <w:t>,</w:t>
      </w:r>
      <w:r>
        <w:t xml:space="preserve"> whereas the Kakinada plant gave access to the states of AP, Odisha, </w:t>
      </w:r>
      <w:r>
        <w:lastRenderedPageBreak/>
        <w:t xml:space="preserve">and </w:t>
      </w:r>
      <w:proofErr w:type="spellStart"/>
      <w:r>
        <w:t>Chattisgarh</w:t>
      </w:r>
      <w:proofErr w:type="spellEnd"/>
      <w:r>
        <w:t xml:space="preserve">. The company was further exploring the possibility of expanding </w:t>
      </w:r>
      <w:r w:rsidR="00610093">
        <w:t>its</w:t>
      </w:r>
      <w:r>
        <w:t xml:space="preserve"> oil refining capacity by setting up a greenfield mega-refinery in Telangana with an initial refining capacity of 300–500 </w:t>
      </w:r>
      <w:r w:rsidR="00CF47CB">
        <w:t xml:space="preserve">tonnes </w:t>
      </w:r>
      <w:r>
        <w:t>per day</w:t>
      </w:r>
      <w:r w:rsidR="00315B6B">
        <w:t>—</w:t>
      </w:r>
      <w:r>
        <w:t xml:space="preserve">an investment of </w:t>
      </w:r>
      <w:r w:rsidR="00315B6B" w:rsidRPr="006A6F61">
        <w:rPr>
          <w:rFonts w:eastAsia="Calibri"/>
        </w:rPr>
        <w:t>₹</w:t>
      </w:r>
      <w:r w:rsidR="0014701D" w:rsidRPr="006A6F61">
        <w:t>1</w:t>
      </w:r>
      <w:r w:rsidR="0014701D">
        <w:t xml:space="preserve"> to </w:t>
      </w:r>
      <w:r>
        <w:t xml:space="preserve">1.25 billion. </w:t>
      </w:r>
    </w:p>
    <w:p w14:paraId="754AF2F7" w14:textId="77777777" w:rsidR="00315B6B" w:rsidRDefault="00315B6B" w:rsidP="00842716">
      <w:pPr>
        <w:pStyle w:val="BodyTextMain"/>
      </w:pPr>
    </w:p>
    <w:p w14:paraId="3E843370" w14:textId="42B8AA13" w:rsidR="00842716" w:rsidRDefault="00842716" w:rsidP="00842716">
      <w:pPr>
        <w:pStyle w:val="BodyTextMain"/>
      </w:pPr>
      <w:r>
        <w:t>GEF India imported crude sunflower oil primarily from Ukraine</w:t>
      </w:r>
      <w:r w:rsidR="00315B6B">
        <w:t>,</w:t>
      </w:r>
      <w:r>
        <w:t xml:space="preserve"> and soybean crude oil from Argentina. </w:t>
      </w:r>
      <w:r w:rsidR="00315B6B">
        <w:t>The company processed a</w:t>
      </w:r>
      <w:r>
        <w:t>pproximately 10</w:t>
      </w:r>
      <w:r w:rsidR="00315B6B">
        <w:t>,</w:t>
      </w:r>
      <w:r>
        <w:t xml:space="preserve">000 </w:t>
      </w:r>
      <w:r w:rsidR="00315B6B">
        <w:t xml:space="preserve">tonnes </w:t>
      </w:r>
      <w:r>
        <w:t>of sunflower oil monthly. Refined palm oil was imported from Indonesia</w:t>
      </w:r>
      <w:r w:rsidR="00610093">
        <w:t>,</w:t>
      </w:r>
      <w:r>
        <w:t xml:space="preserve"> and rice bran was procured from domestic sources. As of March </w:t>
      </w:r>
      <w:r w:rsidR="00801682">
        <w:t xml:space="preserve">31, </w:t>
      </w:r>
      <w:r>
        <w:t>2016, the company had 700 distributors and traders and 146</w:t>
      </w:r>
      <w:r w:rsidR="00801682">
        <w:t>,</w:t>
      </w:r>
      <w:r>
        <w:t>000 retail outlets selling Freedom</w:t>
      </w:r>
      <w:r w:rsidR="002D4B19">
        <w:t>-branded edible o</w:t>
      </w:r>
      <w:r>
        <w:t>il. GEF India was directly serving 398 towns in the states of AP, Telangana, Odisha, and Karnataka.</w:t>
      </w:r>
    </w:p>
    <w:p w14:paraId="70B631B1" w14:textId="77777777" w:rsidR="00842716" w:rsidRDefault="00842716" w:rsidP="00842716">
      <w:pPr>
        <w:pStyle w:val="BodyTextMain"/>
      </w:pPr>
    </w:p>
    <w:p w14:paraId="30E27AA8" w14:textId="0BB02241" w:rsidR="00801682" w:rsidRDefault="00842716" w:rsidP="00842716">
      <w:pPr>
        <w:pStyle w:val="BodyTextMain"/>
      </w:pPr>
      <w:r>
        <w:t xml:space="preserve">The company was promoted and headed by </w:t>
      </w:r>
      <w:r w:rsidR="00B11BD4">
        <w:t>Pradeep</w:t>
      </w:r>
      <w:r>
        <w:t xml:space="preserve">, </w:t>
      </w:r>
      <w:r w:rsidR="00801682">
        <w:t xml:space="preserve">the managing director, </w:t>
      </w:r>
      <w:r>
        <w:t xml:space="preserve">who had over three decades of experience and had worked </w:t>
      </w:r>
      <w:r w:rsidR="00801682">
        <w:t xml:space="preserve">in leadership positions </w:t>
      </w:r>
      <w:r>
        <w:t>with ICI</w:t>
      </w:r>
      <w:r w:rsidR="00851B46">
        <w:t xml:space="preserve"> India Limited</w:t>
      </w:r>
      <w:r>
        <w:t>,</w:t>
      </w:r>
      <w:r w:rsidR="00851B46">
        <w:rPr>
          <w:rStyle w:val="FootnoteReference"/>
        </w:rPr>
        <w:footnoteReference w:id="3"/>
      </w:r>
      <w:r>
        <w:t xml:space="preserve"> Britannia</w:t>
      </w:r>
      <w:r w:rsidR="00851B46">
        <w:t xml:space="preserve"> Industries Limited</w:t>
      </w:r>
      <w:r>
        <w:t>, and Agro Tech</w:t>
      </w:r>
      <w:r w:rsidR="00CC51EF">
        <w:t xml:space="preserve"> Foods Limited</w:t>
      </w:r>
      <w:r>
        <w:t xml:space="preserve">. </w:t>
      </w:r>
      <w:r w:rsidR="00B11BD4">
        <w:t>Pradeep</w:t>
      </w:r>
      <w:r>
        <w:t xml:space="preserve"> was endowed with entrepreneurial abilities from the start. When </w:t>
      </w:r>
      <w:r w:rsidR="00B11BD4">
        <w:t xml:space="preserve">the </w:t>
      </w:r>
      <w:r w:rsidR="00801682">
        <w:t xml:space="preserve">Government of India announced </w:t>
      </w:r>
      <w:r>
        <w:t>the Open General Licen</w:t>
      </w:r>
      <w:r w:rsidR="000F3E48">
        <w:t>c</w:t>
      </w:r>
      <w:r>
        <w:t>e (the removal of import</w:t>
      </w:r>
      <w:r w:rsidR="00801682">
        <w:t xml:space="preserve"> </w:t>
      </w:r>
      <w:r>
        <w:t xml:space="preserve">restrictions for many products) as part of the amendments to the </w:t>
      </w:r>
      <w:r w:rsidR="000F3E48">
        <w:t xml:space="preserve">export–import </w:t>
      </w:r>
      <w:r>
        <w:t xml:space="preserve">policy in 1998, </w:t>
      </w:r>
      <w:r w:rsidR="00B11BD4">
        <w:t>Pradeep</w:t>
      </w:r>
      <w:r w:rsidR="00801682">
        <w:t xml:space="preserve"> </w:t>
      </w:r>
      <w:r>
        <w:t>sensed a</w:t>
      </w:r>
      <w:r w:rsidR="00E25984">
        <w:t>n</w:t>
      </w:r>
      <w:r>
        <w:t xml:space="preserve"> opportunity and decided to start his own venture. He set up his own company, </w:t>
      </w:r>
      <w:proofErr w:type="spellStart"/>
      <w:r>
        <w:t>Secunderabad</w:t>
      </w:r>
      <w:proofErr w:type="spellEnd"/>
      <w:r>
        <w:t xml:space="preserve"> Oils Ltd., in 1996 and entered successive joint ventures in the initial years. </w:t>
      </w:r>
    </w:p>
    <w:p w14:paraId="365670C0" w14:textId="77777777" w:rsidR="00801682" w:rsidRDefault="00801682" w:rsidP="00842716">
      <w:pPr>
        <w:pStyle w:val="BodyTextMain"/>
      </w:pPr>
    </w:p>
    <w:p w14:paraId="189D439F" w14:textId="085EFC72" w:rsidR="00842716" w:rsidRDefault="00842716" w:rsidP="00842716">
      <w:pPr>
        <w:pStyle w:val="BodyTextMain"/>
      </w:pPr>
      <w:r>
        <w:t xml:space="preserve">In 2000, </w:t>
      </w:r>
      <w:r w:rsidR="00B11BD4">
        <w:t>Pradeep’s</w:t>
      </w:r>
      <w:r w:rsidR="00801682">
        <w:t xml:space="preserve"> </w:t>
      </w:r>
      <w:r>
        <w:t xml:space="preserve">company entered a joint venture with Singapore-based </w:t>
      </w:r>
      <w:proofErr w:type="spellStart"/>
      <w:r>
        <w:t>Acalpo</w:t>
      </w:r>
      <w:proofErr w:type="spellEnd"/>
      <w:r>
        <w:t xml:space="preserve"> P</w:t>
      </w:r>
      <w:r w:rsidR="00E25984">
        <w:t>riva</w:t>
      </w:r>
      <w:r>
        <w:t>te L</w:t>
      </w:r>
      <w:r w:rsidR="00E25984">
        <w:t>imi</w:t>
      </w:r>
      <w:r>
        <w:t>t</w:t>
      </w:r>
      <w:r w:rsidR="00E25984">
        <w:t>e</w:t>
      </w:r>
      <w:r>
        <w:t xml:space="preserve">d, which was in the business of buying and selling farm products. </w:t>
      </w:r>
      <w:proofErr w:type="spellStart"/>
      <w:r>
        <w:t>Acalpo</w:t>
      </w:r>
      <w:proofErr w:type="spellEnd"/>
      <w:r>
        <w:t xml:space="preserve"> merged with a division of the leading agribusiness Wilmar International </w:t>
      </w:r>
      <w:r w:rsidR="00936E32">
        <w:t>Limited</w:t>
      </w:r>
      <w:r>
        <w:t xml:space="preserve"> in the same year</w:t>
      </w:r>
      <w:r w:rsidR="00801682">
        <w:t>,</w:t>
      </w:r>
      <w:r>
        <w:t xml:space="preserve"> resulting in the creation of </w:t>
      </w:r>
      <w:proofErr w:type="spellStart"/>
      <w:r>
        <w:t>Acalpo</w:t>
      </w:r>
      <w:proofErr w:type="spellEnd"/>
      <w:r>
        <w:t xml:space="preserve"> Wilmar </w:t>
      </w:r>
      <w:r w:rsidR="00936E32">
        <w:t>Private Limited</w:t>
      </w:r>
      <w:r>
        <w:t xml:space="preserve"> as a subsidiary of </w:t>
      </w:r>
      <w:r w:rsidR="00801682">
        <w:t>Wilmar International</w:t>
      </w:r>
      <w:r>
        <w:t>. Around the same time,</w:t>
      </w:r>
      <w:r w:rsidR="00610093">
        <w:t xml:space="preserve"> </w:t>
      </w:r>
      <w:r w:rsidR="00CD718A">
        <w:t xml:space="preserve">Wilmar International </w:t>
      </w:r>
      <w:r>
        <w:t xml:space="preserve">entered a joint venture with the multinational Adani Group in the edible oil sector. After a few years in </w:t>
      </w:r>
      <w:r w:rsidR="005331C5">
        <w:t xml:space="preserve">that </w:t>
      </w:r>
      <w:r>
        <w:t xml:space="preserve">setup, </w:t>
      </w:r>
      <w:r w:rsidR="00B11BD4">
        <w:t>Pradeep</w:t>
      </w:r>
      <w:r>
        <w:t xml:space="preserve"> </w:t>
      </w:r>
      <w:r w:rsidR="00A46DE8">
        <w:t xml:space="preserve">decided he no longer wanted to be one in a large pool of leaders in the company, so </w:t>
      </w:r>
      <w:r w:rsidR="00DB2D2E">
        <w:t xml:space="preserve">he </w:t>
      </w:r>
      <w:r>
        <w:t xml:space="preserve">sold his entire stake to the Adani Group in order to start fresh. </w:t>
      </w:r>
      <w:r w:rsidR="005331C5">
        <w:t xml:space="preserve">He took with him, however, </w:t>
      </w:r>
      <w:r>
        <w:t xml:space="preserve">a strong network with many of the distributors in South India and </w:t>
      </w:r>
      <w:r w:rsidR="005331C5">
        <w:t>a</w:t>
      </w:r>
      <w:r>
        <w:t xml:space="preserve"> proven creditworthiness </w:t>
      </w:r>
      <w:r w:rsidR="00610093">
        <w:t>in</w:t>
      </w:r>
      <w:r>
        <w:t xml:space="preserve"> the banking sector.</w:t>
      </w:r>
    </w:p>
    <w:p w14:paraId="6437E906" w14:textId="77777777" w:rsidR="00842716" w:rsidRDefault="00842716" w:rsidP="00842716">
      <w:pPr>
        <w:pStyle w:val="BodyTextMain"/>
      </w:pPr>
    </w:p>
    <w:p w14:paraId="4FF38935" w14:textId="170E637A" w:rsidR="00842716" w:rsidRDefault="00CD718A" w:rsidP="00842716">
      <w:pPr>
        <w:pStyle w:val="BodyTextMain"/>
      </w:pPr>
      <w:r>
        <w:t xml:space="preserve">Pradeep registered his new company, GEF India, in August 2009 with </w:t>
      </w:r>
      <w:r w:rsidR="00A51490">
        <w:t>a</w:t>
      </w:r>
      <w:r>
        <w:t xml:space="preserve"> working capital of </w:t>
      </w:r>
      <w:r>
        <w:rPr>
          <w:rFonts w:ascii="Calibri" w:eastAsia="Calibri" w:hAnsi="Calibri" w:cs="Calibri"/>
        </w:rPr>
        <w:t>₹</w:t>
      </w:r>
      <w:r>
        <w:t xml:space="preserve">2 billion. His partner was Indore-headquartered </w:t>
      </w:r>
      <w:proofErr w:type="spellStart"/>
      <w:r>
        <w:t>Ruchi</w:t>
      </w:r>
      <w:proofErr w:type="spellEnd"/>
      <w:r>
        <w:t xml:space="preserve"> Soya Industries Ltd., which held a majority share of GEF India. </w:t>
      </w:r>
      <w:r w:rsidR="00842716">
        <w:t xml:space="preserve">In 2014, </w:t>
      </w:r>
      <w:proofErr w:type="spellStart"/>
      <w:r w:rsidR="00842716">
        <w:t>Ruchi</w:t>
      </w:r>
      <w:proofErr w:type="spellEnd"/>
      <w:r w:rsidR="00842716">
        <w:t xml:space="preserve"> Soya sold its entire 50.001</w:t>
      </w:r>
      <w:r w:rsidR="00C872B8">
        <w:t xml:space="preserve"> per cent</w:t>
      </w:r>
      <w:r w:rsidR="00842716">
        <w:t xml:space="preserve"> stake for </w:t>
      </w:r>
      <w:r w:rsidR="00C872B8">
        <w:t>US</w:t>
      </w:r>
      <w:r w:rsidR="00842716">
        <w:t>$17.88 million</w:t>
      </w:r>
      <w:r w:rsidR="00C872B8">
        <w:rPr>
          <w:rStyle w:val="FootnoteReference"/>
        </w:rPr>
        <w:footnoteReference w:id="4"/>
      </w:r>
      <w:r w:rsidR="00842716">
        <w:t xml:space="preserve"> to Singapore-based Golden Agri-Resources, the world’s second-largest palm oil plantation company. An edible oil analyst commented at the time, “There is a direct business synergy between the two companies. Both are engaged in the production of palm-based oils and fats. Nothing could have been better than the current selling</w:t>
      </w:r>
      <w:r w:rsidR="00C872B8">
        <w:t>.</w:t>
      </w:r>
      <w:r w:rsidR="00842716">
        <w:t>”</w:t>
      </w:r>
      <w:r w:rsidR="00842716">
        <w:rPr>
          <w:rStyle w:val="FootnoteReference"/>
        </w:rPr>
        <w:footnoteReference w:id="5"/>
      </w:r>
      <w:r w:rsidR="00842716">
        <w:t xml:space="preserve"> Thereafter, GEF India operated as a subsidiary of Golden Agri-Resources, which had a turnover of $7.2 billion in 2016.</w:t>
      </w:r>
    </w:p>
    <w:p w14:paraId="4CE3A406" w14:textId="77777777" w:rsidR="00842716" w:rsidRDefault="00842716" w:rsidP="00842716">
      <w:pPr>
        <w:pStyle w:val="BodyTextMain"/>
      </w:pPr>
    </w:p>
    <w:p w14:paraId="541857FD" w14:textId="35A7ADD5" w:rsidR="00842716" w:rsidRDefault="00842716" w:rsidP="00842716">
      <w:pPr>
        <w:pStyle w:val="BodyTextMain"/>
      </w:pPr>
      <w:r>
        <w:t xml:space="preserve">The brands of GEF India were launched in February 2010. The product portfolio comprised a host of edible oils and fats catering to both the </w:t>
      </w:r>
      <w:r w:rsidR="0019271A">
        <w:t xml:space="preserve">business-to-consumer </w:t>
      </w:r>
      <w:r>
        <w:t xml:space="preserve">and the </w:t>
      </w:r>
      <w:r w:rsidR="0019271A">
        <w:t xml:space="preserve">business-to-business </w:t>
      </w:r>
      <w:r>
        <w:t>segments</w:t>
      </w:r>
      <w:r w:rsidR="00CA0DD5">
        <w:t xml:space="preserve"> of the food and retail industries</w:t>
      </w:r>
      <w:r>
        <w:t>. The company operated through its four business verticals</w:t>
      </w:r>
      <w:r w:rsidR="0019271A">
        <w:t>:</w:t>
      </w:r>
      <w:r>
        <w:t xml:space="preserve"> </w:t>
      </w:r>
      <w:r w:rsidR="0019271A">
        <w:t xml:space="preserve">branded oils </w:t>
      </w:r>
      <w:r>
        <w:t xml:space="preserve">(such as sunflower and rice bran), </w:t>
      </w:r>
      <w:r w:rsidR="0019271A">
        <w:t xml:space="preserve">specialty fats and </w:t>
      </w:r>
      <w:proofErr w:type="spellStart"/>
      <w:r w:rsidR="0019271A">
        <w:t>vanaspati</w:t>
      </w:r>
      <w:proofErr w:type="spellEnd"/>
      <w:r>
        <w:rPr>
          <w:rStyle w:val="FootnoteReference"/>
        </w:rPr>
        <w:footnoteReference w:id="6"/>
      </w:r>
      <w:r>
        <w:t xml:space="preserve"> (bakery fats, </w:t>
      </w:r>
      <w:proofErr w:type="spellStart"/>
      <w:r>
        <w:t>lauric</w:t>
      </w:r>
      <w:proofErr w:type="spellEnd"/>
      <w:r>
        <w:t xml:space="preserve"> fats, margarine, and </w:t>
      </w:r>
      <w:proofErr w:type="spellStart"/>
      <w:r>
        <w:t>vanaspati</w:t>
      </w:r>
      <w:proofErr w:type="spellEnd"/>
      <w:r>
        <w:t xml:space="preserve">), </w:t>
      </w:r>
      <w:r w:rsidR="0019271A">
        <w:t>i</w:t>
      </w:r>
      <w:r>
        <w:t xml:space="preserve">nstitutions (palm oil, </w:t>
      </w:r>
      <w:proofErr w:type="spellStart"/>
      <w:r>
        <w:t>palmolein</w:t>
      </w:r>
      <w:proofErr w:type="spellEnd"/>
      <w:r>
        <w:t xml:space="preserve">), and </w:t>
      </w:r>
      <w:r w:rsidR="0019271A">
        <w:t xml:space="preserve">bulk oils </w:t>
      </w:r>
      <w:r>
        <w:t>(</w:t>
      </w:r>
      <w:proofErr w:type="spellStart"/>
      <w:r>
        <w:t>palmolein</w:t>
      </w:r>
      <w:proofErr w:type="spellEnd"/>
      <w:r>
        <w:t xml:space="preserve"> and sunflower). The sunflower oil, rice bran oil, </w:t>
      </w:r>
      <w:proofErr w:type="gramStart"/>
      <w:r>
        <w:t>and</w:t>
      </w:r>
      <w:proofErr w:type="gramEnd"/>
      <w:r>
        <w:t xml:space="preserve"> mustard oil products were sold under the </w:t>
      </w:r>
      <w:r w:rsidR="0019271A">
        <w:t>brand “</w:t>
      </w:r>
      <w:r>
        <w:t>Freedom.</w:t>
      </w:r>
      <w:r w:rsidR="0019271A">
        <w:t>”</w:t>
      </w:r>
      <w:r>
        <w:t xml:space="preserve"> The palm oil and </w:t>
      </w:r>
      <w:proofErr w:type="spellStart"/>
      <w:r>
        <w:t>vanaspati</w:t>
      </w:r>
      <w:proofErr w:type="spellEnd"/>
      <w:r>
        <w:t xml:space="preserve"> products were sold under the </w:t>
      </w:r>
      <w:r w:rsidR="0019271A">
        <w:t>brand “</w:t>
      </w:r>
      <w:r>
        <w:t xml:space="preserve">First </w:t>
      </w:r>
      <w:proofErr w:type="spellStart"/>
      <w:r>
        <w:t>Klass</w:t>
      </w:r>
      <w:proofErr w:type="spellEnd"/>
      <w:r>
        <w:t>.</w:t>
      </w:r>
      <w:r w:rsidR="0019271A">
        <w:t>”</w:t>
      </w:r>
      <w:r>
        <w:t xml:space="preserve"> The portfolio also included specialty fats for bakery products, biscuits, chocolates, and ice creams. </w:t>
      </w:r>
    </w:p>
    <w:p w14:paraId="27366272" w14:textId="77777777" w:rsidR="00842716" w:rsidRDefault="00842716" w:rsidP="00725A44">
      <w:pPr>
        <w:pStyle w:val="Casehead1"/>
      </w:pPr>
      <w:r>
        <w:lastRenderedPageBreak/>
        <w:t>The Indian Edible Oil Industry</w:t>
      </w:r>
    </w:p>
    <w:p w14:paraId="6C6B8069" w14:textId="77777777" w:rsidR="00842716" w:rsidRDefault="00842716" w:rsidP="00725A44">
      <w:pPr>
        <w:pStyle w:val="BodyTextMainlink"/>
      </w:pPr>
    </w:p>
    <w:p w14:paraId="732A238B" w14:textId="50FD28BD" w:rsidR="00842716" w:rsidRPr="0014701D" w:rsidRDefault="00842716" w:rsidP="00842716">
      <w:pPr>
        <w:pStyle w:val="BodyTextMain"/>
        <w:rPr>
          <w:spacing w:val="-2"/>
          <w:kern w:val="22"/>
        </w:rPr>
      </w:pPr>
      <w:r w:rsidRPr="0014701D">
        <w:rPr>
          <w:spacing w:val="-2"/>
          <w:kern w:val="22"/>
        </w:rPr>
        <w:t xml:space="preserve">The Indian edible oil industry was the world’s fourth-largest </w:t>
      </w:r>
      <w:r w:rsidR="00B21993" w:rsidRPr="0014701D">
        <w:rPr>
          <w:spacing w:val="-2"/>
          <w:kern w:val="22"/>
        </w:rPr>
        <w:t xml:space="preserve">oil </w:t>
      </w:r>
      <w:r w:rsidRPr="0014701D">
        <w:rPr>
          <w:spacing w:val="-2"/>
          <w:kern w:val="22"/>
        </w:rPr>
        <w:t xml:space="preserve">industry after the </w:t>
      </w:r>
      <w:r w:rsidR="0019271A" w:rsidRPr="0014701D">
        <w:rPr>
          <w:spacing w:val="-2"/>
          <w:kern w:val="22"/>
        </w:rPr>
        <w:t>United States</w:t>
      </w:r>
      <w:r w:rsidRPr="0014701D">
        <w:rPr>
          <w:spacing w:val="-2"/>
          <w:kern w:val="22"/>
        </w:rPr>
        <w:t>, China, and Brazil</w:t>
      </w:r>
      <w:r w:rsidR="0019271A" w:rsidRPr="0014701D">
        <w:rPr>
          <w:spacing w:val="-2"/>
          <w:kern w:val="22"/>
        </w:rPr>
        <w:t>,</w:t>
      </w:r>
      <w:r w:rsidRPr="0014701D">
        <w:rPr>
          <w:spacing w:val="-2"/>
          <w:kern w:val="22"/>
        </w:rPr>
        <w:t xml:space="preserve"> and accounted for around 9</w:t>
      </w:r>
      <w:r w:rsidR="0019271A" w:rsidRPr="0014701D">
        <w:rPr>
          <w:spacing w:val="-2"/>
          <w:kern w:val="22"/>
        </w:rPr>
        <w:t xml:space="preserve"> per cent</w:t>
      </w:r>
      <w:r w:rsidRPr="0014701D">
        <w:rPr>
          <w:spacing w:val="-2"/>
          <w:kern w:val="22"/>
        </w:rPr>
        <w:t xml:space="preserve"> of the world’s oil seed production.</w:t>
      </w:r>
      <w:r w:rsidRPr="0014701D">
        <w:rPr>
          <w:rStyle w:val="FootnoteReference"/>
          <w:spacing w:val="-2"/>
          <w:kern w:val="22"/>
        </w:rPr>
        <w:footnoteReference w:id="7"/>
      </w:r>
      <w:r w:rsidRPr="0014701D">
        <w:rPr>
          <w:spacing w:val="-2"/>
          <w:kern w:val="22"/>
        </w:rPr>
        <w:t xml:space="preserve"> The consumption of edible oil in India had seen an increasing rate of growth. This was attributable to a variety of factors such as increasing household income levels, improved standards of living, a booming retail sector, and a growing population.</w:t>
      </w:r>
    </w:p>
    <w:p w14:paraId="32A27ED0" w14:textId="77777777" w:rsidR="00842716" w:rsidRDefault="00842716" w:rsidP="00842716">
      <w:pPr>
        <w:pStyle w:val="BodyTextMain"/>
      </w:pPr>
    </w:p>
    <w:p w14:paraId="1EE7BA05" w14:textId="241D35A1" w:rsidR="00842716" w:rsidRPr="006A6F61" w:rsidRDefault="00842716" w:rsidP="00842716">
      <w:pPr>
        <w:pStyle w:val="BodyTextMain"/>
        <w:rPr>
          <w:spacing w:val="-2"/>
          <w:kern w:val="22"/>
        </w:rPr>
      </w:pPr>
      <w:r w:rsidRPr="006A6F61">
        <w:rPr>
          <w:spacing w:val="-2"/>
          <w:kern w:val="22"/>
        </w:rPr>
        <w:t xml:space="preserve">Domestic production had been unable to meet the total demand in the country (see </w:t>
      </w:r>
      <w:r w:rsidRPr="006A6F61">
        <w:rPr>
          <w:spacing w:val="-2"/>
          <w:kern w:val="22"/>
        </w:rPr>
        <w:fldChar w:fldCharType="begin"/>
      </w:r>
      <w:r w:rsidRPr="006A6F61">
        <w:rPr>
          <w:spacing w:val="-2"/>
          <w:kern w:val="22"/>
        </w:rPr>
        <w:instrText xml:space="preserve"> REF _Ref488068416 \h  \* MERGEFORMAT </w:instrText>
      </w:r>
      <w:r w:rsidRPr="006A6F61">
        <w:rPr>
          <w:spacing w:val="-2"/>
          <w:kern w:val="22"/>
        </w:rPr>
      </w:r>
      <w:r w:rsidRPr="006A6F61">
        <w:rPr>
          <w:spacing w:val="-2"/>
          <w:kern w:val="22"/>
        </w:rPr>
        <w:fldChar w:fldCharType="separate"/>
      </w:r>
      <w:r w:rsidR="001D4C3C" w:rsidRPr="001D4C3C">
        <w:rPr>
          <w:spacing w:val="-2"/>
          <w:kern w:val="22"/>
        </w:rPr>
        <w:t xml:space="preserve">Exhibit </w:t>
      </w:r>
      <w:r w:rsidR="001D4C3C" w:rsidRPr="001D4C3C">
        <w:rPr>
          <w:noProof/>
          <w:spacing w:val="-2"/>
          <w:kern w:val="22"/>
        </w:rPr>
        <w:t>1</w:t>
      </w:r>
      <w:r w:rsidRPr="006A6F61">
        <w:rPr>
          <w:spacing w:val="-2"/>
          <w:kern w:val="22"/>
        </w:rPr>
        <w:fldChar w:fldCharType="end"/>
      </w:r>
      <w:r w:rsidRPr="006A6F61">
        <w:rPr>
          <w:spacing w:val="-2"/>
          <w:kern w:val="22"/>
        </w:rPr>
        <w:t>). The demand/supply gap had been widening due to factors such as limited availability of oil seeds, use of land for alternate crops, and rising demand. The deficit in supply with respect to demand was being managed through imports, which were monitored and organized by the Department of Food and Public Administration, Ministry of Consumer Affairs, Government of India</w:t>
      </w:r>
      <w:bookmarkStart w:id="1" w:name="_Ref471384936"/>
      <w:r w:rsidRPr="006A6F61">
        <w:rPr>
          <w:spacing w:val="-2"/>
          <w:kern w:val="22"/>
        </w:rPr>
        <w:t>.</w:t>
      </w:r>
      <w:r w:rsidRPr="006A6F61">
        <w:rPr>
          <w:rStyle w:val="FootnoteReference"/>
          <w:spacing w:val="-2"/>
          <w:kern w:val="22"/>
        </w:rPr>
        <w:footnoteReference w:id="8"/>
      </w:r>
      <w:bookmarkEnd w:id="1"/>
      <w:r w:rsidRPr="006A6F61">
        <w:rPr>
          <w:spacing w:val="-2"/>
          <w:kern w:val="22"/>
        </w:rPr>
        <w:t xml:space="preserve"> In fact, the import of vegetable oil in India had increased by 18 </w:t>
      </w:r>
      <w:r w:rsidR="00F611C9" w:rsidRPr="006A6F61">
        <w:rPr>
          <w:spacing w:val="-2"/>
          <w:kern w:val="22"/>
        </w:rPr>
        <w:t>per cent</w:t>
      </w:r>
      <w:r w:rsidRPr="006A6F61">
        <w:rPr>
          <w:spacing w:val="-2"/>
          <w:kern w:val="22"/>
        </w:rPr>
        <w:t xml:space="preserve"> between November 2015 and October 2016 to meet the rising demand from consumer sectors.</w:t>
      </w:r>
      <w:r w:rsidRPr="006A6F61">
        <w:rPr>
          <w:rStyle w:val="FootnoteReference"/>
          <w:spacing w:val="-2"/>
          <w:kern w:val="22"/>
        </w:rPr>
        <w:footnoteReference w:id="9"/>
      </w:r>
      <w:r w:rsidRPr="006A6F61">
        <w:rPr>
          <w:spacing w:val="-2"/>
          <w:kern w:val="22"/>
        </w:rPr>
        <w:t xml:space="preserve"> The total availability</w:t>
      </w:r>
      <w:r w:rsidR="00B21993" w:rsidRPr="006A6F61">
        <w:rPr>
          <w:spacing w:val="-2"/>
          <w:kern w:val="22"/>
        </w:rPr>
        <w:t xml:space="preserve"> </w:t>
      </w:r>
      <w:r w:rsidR="00133393" w:rsidRPr="006A6F61">
        <w:rPr>
          <w:spacing w:val="-2"/>
          <w:kern w:val="22"/>
        </w:rPr>
        <w:t xml:space="preserve">of edible oil </w:t>
      </w:r>
      <w:r w:rsidRPr="006A6F61">
        <w:rPr>
          <w:spacing w:val="-2"/>
          <w:kern w:val="22"/>
        </w:rPr>
        <w:t xml:space="preserve">in the country in </w:t>
      </w:r>
      <w:r w:rsidR="006A6F61" w:rsidRPr="006A6F61">
        <w:rPr>
          <w:spacing w:val="-2"/>
          <w:kern w:val="22"/>
        </w:rPr>
        <w:t xml:space="preserve">Fiscal Year (FY) </w:t>
      </w:r>
      <w:r w:rsidR="00133393" w:rsidRPr="006A6F61">
        <w:rPr>
          <w:spacing w:val="-2"/>
          <w:kern w:val="22"/>
        </w:rPr>
        <w:t>2016</w:t>
      </w:r>
      <w:r w:rsidR="00B21993" w:rsidRPr="006A6F61">
        <w:rPr>
          <w:spacing w:val="-2"/>
          <w:kern w:val="22"/>
        </w:rPr>
        <w:t>–</w:t>
      </w:r>
      <w:r w:rsidR="00133393" w:rsidRPr="006A6F61">
        <w:rPr>
          <w:spacing w:val="-2"/>
          <w:kern w:val="22"/>
        </w:rPr>
        <w:t xml:space="preserve">17 </w:t>
      </w:r>
      <w:r w:rsidRPr="006A6F61">
        <w:rPr>
          <w:spacing w:val="-2"/>
          <w:kern w:val="22"/>
        </w:rPr>
        <w:t xml:space="preserve">was </w:t>
      </w:r>
      <w:r w:rsidR="00133393" w:rsidRPr="006A6F61">
        <w:rPr>
          <w:spacing w:val="-2"/>
          <w:kern w:val="22"/>
        </w:rPr>
        <w:t>21.86</w:t>
      </w:r>
      <w:r w:rsidR="00B21993" w:rsidRPr="006A6F61">
        <w:rPr>
          <w:spacing w:val="-2"/>
          <w:kern w:val="22"/>
        </w:rPr>
        <w:t xml:space="preserve"> </w:t>
      </w:r>
      <w:r w:rsidRPr="006A6F61">
        <w:rPr>
          <w:spacing w:val="-2"/>
          <w:kern w:val="22"/>
        </w:rPr>
        <w:t>million tonnes</w:t>
      </w:r>
      <w:r w:rsidR="00F611C9" w:rsidRPr="006A6F61">
        <w:rPr>
          <w:spacing w:val="-2"/>
          <w:kern w:val="22"/>
        </w:rPr>
        <w:t>,</w:t>
      </w:r>
      <w:r w:rsidRPr="006A6F61">
        <w:rPr>
          <w:spacing w:val="-2"/>
          <w:kern w:val="22"/>
        </w:rPr>
        <w:t xml:space="preserve"> of which </w:t>
      </w:r>
      <w:r w:rsidR="00133393" w:rsidRPr="006A6F61">
        <w:rPr>
          <w:spacing w:val="-2"/>
          <w:kern w:val="22"/>
        </w:rPr>
        <w:t xml:space="preserve">35 </w:t>
      </w:r>
      <w:r w:rsidR="00F611C9" w:rsidRPr="006A6F61">
        <w:rPr>
          <w:spacing w:val="-2"/>
          <w:kern w:val="22"/>
        </w:rPr>
        <w:t>per cent</w:t>
      </w:r>
      <w:r w:rsidRPr="006A6F61">
        <w:rPr>
          <w:spacing w:val="-2"/>
          <w:kern w:val="22"/>
        </w:rPr>
        <w:t xml:space="preserve"> was through domestic production and the remainder through imports.</w:t>
      </w:r>
    </w:p>
    <w:p w14:paraId="3AD81E18" w14:textId="77777777" w:rsidR="00842716" w:rsidRDefault="00842716" w:rsidP="00842716">
      <w:pPr>
        <w:pStyle w:val="BodyTextMain"/>
      </w:pPr>
    </w:p>
    <w:p w14:paraId="6504A12E" w14:textId="7A66077D" w:rsidR="00842716" w:rsidRDefault="00842716" w:rsidP="00842716">
      <w:pPr>
        <w:pStyle w:val="BodyTextMain"/>
      </w:pPr>
      <w:r>
        <w:t>India’s largest imports of edible oils were from Indonesia, Malaysia, Argentina, and Ukraine, in that order. Import duties for refined oils were comparatively higher than crude oil to protect domestic refiners against competition from imported refined oils.</w:t>
      </w:r>
      <w:r w:rsidR="00F611C9">
        <w:t xml:space="preserve"> </w:t>
      </w:r>
      <w:r>
        <w:t>To counter fluctuations in the export duties of the countries from where India imported crude or refined oils, the Indian government made adjustments in the import duties so that the profitability margins of the domestic refining industries were not adversely impacted.</w:t>
      </w:r>
    </w:p>
    <w:p w14:paraId="7DA84510" w14:textId="77777777" w:rsidR="00842716" w:rsidRDefault="00842716" w:rsidP="00842716">
      <w:pPr>
        <w:pStyle w:val="BodyTextMain"/>
      </w:pPr>
    </w:p>
    <w:p w14:paraId="3B6E7179" w14:textId="02C2EC65" w:rsidR="00842716" w:rsidRDefault="00842716" w:rsidP="00842716">
      <w:pPr>
        <w:pStyle w:val="BodyTextMain"/>
      </w:pPr>
      <w:r>
        <w:t xml:space="preserve">Oil consumption in India was expected to grow at a </w:t>
      </w:r>
      <w:r w:rsidR="00F611C9">
        <w:t xml:space="preserve">compound annual growth rate </w:t>
      </w:r>
      <w:r>
        <w:t>(CAGR) of 7.2</w:t>
      </w:r>
      <w:r w:rsidR="00F611C9">
        <w:t> per cent</w:t>
      </w:r>
      <w:r>
        <w:t xml:space="preserve"> between 2015 and 2020. The average per capita consumption was also expected to rise from the 2016 levels of 15 k</w:t>
      </w:r>
      <w:r w:rsidR="00F611C9">
        <w:t>ilo</w:t>
      </w:r>
      <w:r>
        <w:t>g</w:t>
      </w:r>
      <w:r w:rsidR="00F611C9">
        <w:t>rams</w:t>
      </w:r>
      <w:r>
        <w:t xml:space="preserve"> per year to 20 k</w:t>
      </w:r>
      <w:r w:rsidR="00F611C9">
        <w:t>ilo</w:t>
      </w:r>
      <w:r>
        <w:t>g</w:t>
      </w:r>
      <w:r w:rsidR="00F611C9">
        <w:t>rams</w:t>
      </w:r>
      <w:r>
        <w:t xml:space="preserve"> per year by 2025. With the </w:t>
      </w:r>
      <w:r w:rsidR="00F611C9">
        <w:t>g</w:t>
      </w:r>
      <w:r>
        <w:t xml:space="preserve">overnment initiatives toward encouragement of domestic production as opposed to imports, there was the likelihood of import duties being increased, which made domestic production more lucrative for the edible oil </w:t>
      </w:r>
      <w:r w:rsidR="001077EB">
        <w:t xml:space="preserve">producers </w:t>
      </w:r>
      <w:r>
        <w:t>in the country.</w:t>
      </w:r>
    </w:p>
    <w:p w14:paraId="1703EFC6" w14:textId="77777777" w:rsidR="00842716" w:rsidRDefault="00842716" w:rsidP="00842716">
      <w:pPr>
        <w:pStyle w:val="BodyTextMain"/>
      </w:pPr>
    </w:p>
    <w:p w14:paraId="0D1236FB" w14:textId="77777777" w:rsidR="00842716" w:rsidRDefault="00842716" w:rsidP="00842716">
      <w:pPr>
        <w:pStyle w:val="BodyTextMain"/>
      </w:pPr>
    </w:p>
    <w:p w14:paraId="0ED3E991" w14:textId="77777777" w:rsidR="00842716" w:rsidRDefault="00842716" w:rsidP="0029308B">
      <w:pPr>
        <w:pStyle w:val="Casehead1"/>
        <w:outlineLvl w:val="0"/>
      </w:pPr>
      <w:r>
        <w:t>GEF India: Vision and Values</w:t>
      </w:r>
    </w:p>
    <w:p w14:paraId="72B423DC" w14:textId="77777777" w:rsidR="00842716" w:rsidRDefault="00842716" w:rsidP="00725A44">
      <w:pPr>
        <w:pStyle w:val="BodyTextMainlink"/>
      </w:pPr>
    </w:p>
    <w:p w14:paraId="2F119B17" w14:textId="09FC979A" w:rsidR="00B11BD4" w:rsidRDefault="00842716" w:rsidP="00842716">
      <w:pPr>
        <w:pStyle w:val="BodyTextMain"/>
      </w:pPr>
      <w:r>
        <w:t xml:space="preserve">Under </w:t>
      </w:r>
      <w:r w:rsidR="00B11BD4">
        <w:t xml:space="preserve">Pradeep’s </w:t>
      </w:r>
      <w:r>
        <w:t xml:space="preserve">leadership, </w:t>
      </w:r>
      <w:r w:rsidR="00B11BD4">
        <w:t>GEF India</w:t>
      </w:r>
      <w:r>
        <w:t xml:space="preserve"> upheld values of fairness and honesty. The</w:t>
      </w:r>
      <w:r w:rsidR="00B11BD4">
        <w:t xml:space="preserve"> compan</w:t>
      </w:r>
      <w:r>
        <w:t xml:space="preserve">y </w:t>
      </w:r>
      <w:r w:rsidR="00B11BD4">
        <w:t>strived to</w:t>
      </w:r>
      <w:r>
        <w:t xml:space="preserve"> exceed the expectations of </w:t>
      </w:r>
      <w:r w:rsidR="00B21993">
        <w:t>its</w:t>
      </w:r>
      <w:r>
        <w:t xml:space="preserve"> customers and stakeholders, both internal and external.</w:t>
      </w:r>
      <w:r>
        <w:rPr>
          <w:rStyle w:val="FootnoteReference"/>
        </w:rPr>
        <w:footnoteReference w:id="10"/>
      </w:r>
      <w:r>
        <w:t xml:space="preserve"> </w:t>
      </w:r>
      <w:r w:rsidR="00B11BD4">
        <w:t>It</w:t>
      </w:r>
      <w:r>
        <w:t xml:space="preserve"> was committed to spreading the message of healthy living</w:t>
      </w:r>
      <w:r w:rsidR="001077EB">
        <w:t>,</w:t>
      </w:r>
      <w:r>
        <w:t xml:space="preserve"> and organized health events such as Freedom </w:t>
      </w:r>
      <w:r w:rsidR="000F3E48">
        <w:t>Health C</w:t>
      </w:r>
      <w:r>
        <w:t xml:space="preserve">amps and runs to reinforce this commitment. </w:t>
      </w:r>
      <w:r w:rsidR="00B11BD4">
        <w:t>“</w:t>
      </w:r>
      <w:r>
        <w:t>Eat healthy, live healthy</w:t>
      </w:r>
      <w:r w:rsidR="00B11BD4">
        <w:t>,”</w:t>
      </w:r>
      <w:r>
        <w:t xml:space="preserve"> was </w:t>
      </w:r>
      <w:r w:rsidR="00B21993">
        <w:t>its</w:t>
      </w:r>
      <w:r>
        <w:t xml:space="preserve"> motto. In the same vein, </w:t>
      </w:r>
      <w:r w:rsidR="00B11BD4">
        <w:t xml:space="preserve">the company </w:t>
      </w:r>
      <w:r>
        <w:t>focus</w:t>
      </w:r>
      <w:r w:rsidR="00B11BD4">
        <w:t>ed</w:t>
      </w:r>
      <w:r>
        <w:t xml:space="preserve"> on quality and processes. </w:t>
      </w:r>
      <w:r w:rsidR="00B11BD4">
        <w:t xml:space="preserve">Its </w:t>
      </w:r>
      <w:r>
        <w:t xml:space="preserve">quality objective of making every drop of oil as pure as it could be reinforced </w:t>
      </w:r>
      <w:r w:rsidR="00B11BD4">
        <w:t xml:space="preserve">its </w:t>
      </w:r>
      <w:r>
        <w:t xml:space="preserve">commitment to quality. This was strengthened by </w:t>
      </w:r>
      <w:r w:rsidR="00B11BD4">
        <w:t xml:space="preserve">the company’s </w:t>
      </w:r>
      <w:r>
        <w:t xml:space="preserve">focus on </w:t>
      </w:r>
      <w:r w:rsidR="00B11BD4">
        <w:t>research and development</w:t>
      </w:r>
      <w:r>
        <w:t xml:space="preserve"> and product innovation to meet the ever-changing needs of the market.</w:t>
      </w:r>
    </w:p>
    <w:p w14:paraId="73CA9F2F" w14:textId="77777777" w:rsidR="00842716" w:rsidRDefault="00842716" w:rsidP="00725A44">
      <w:pPr>
        <w:pStyle w:val="Casehead1"/>
      </w:pPr>
      <w:r>
        <w:lastRenderedPageBreak/>
        <w:t>Strategy and Positioning</w:t>
      </w:r>
    </w:p>
    <w:p w14:paraId="3F49D073" w14:textId="77777777" w:rsidR="00842716" w:rsidRDefault="00842716" w:rsidP="00725A44">
      <w:pPr>
        <w:pStyle w:val="BodyTextMainlink"/>
      </w:pPr>
    </w:p>
    <w:p w14:paraId="0DCEA7B8" w14:textId="1923B58B" w:rsidR="00842716" w:rsidRDefault="00842716" w:rsidP="00842716">
      <w:pPr>
        <w:pStyle w:val="BodyTextMain"/>
      </w:pPr>
      <w:r>
        <w:t xml:space="preserve">GEF India had become the top selling edible oil company in the states of Telangana, AP, and Odisha </w:t>
      </w:r>
      <w:r w:rsidR="00B11BD4">
        <w:t>with</w:t>
      </w:r>
      <w:r>
        <w:t xml:space="preserve"> a </w:t>
      </w:r>
      <w:r w:rsidR="00D82AEF">
        <w:t xml:space="preserve">40 per cent share of the combined </w:t>
      </w:r>
      <w:r>
        <w:t>market in th</w:t>
      </w:r>
      <w:r w:rsidR="00B11BD4">
        <w:t>o</w:t>
      </w:r>
      <w:r>
        <w:t>se states.</w:t>
      </w:r>
      <w:r>
        <w:rPr>
          <w:rStyle w:val="FootnoteReference"/>
        </w:rPr>
        <w:footnoteReference w:id="11"/>
      </w:r>
      <w:r>
        <w:t xml:space="preserve"> </w:t>
      </w:r>
      <w:r w:rsidR="00B11BD4">
        <w:t>The company</w:t>
      </w:r>
      <w:r>
        <w:t xml:space="preserve"> had launched its Freedom brand in Karnataka in early 2016 and had a 2</w:t>
      </w:r>
      <w:r w:rsidR="00B11BD4">
        <w:t xml:space="preserve"> per cent</w:t>
      </w:r>
      <w:r>
        <w:t xml:space="preserve"> market share by the end of </w:t>
      </w:r>
      <w:r w:rsidR="00B11BD4">
        <w:t>the year</w:t>
      </w:r>
      <w:r>
        <w:t>. The company aspired for a 10</w:t>
      </w:r>
      <w:r w:rsidR="00B11BD4">
        <w:t xml:space="preserve"> per cent</w:t>
      </w:r>
      <w:r>
        <w:t xml:space="preserve"> market share in </w:t>
      </w:r>
      <w:r w:rsidR="00B11BD4">
        <w:t xml:space="preserve">the state </w:t>
      </w:r>
      <w:r>
        <w:t>by the end of 2017</w:t>
      </w:r>
      <w:r w:rsidR="00B11BD4">
        <w:t xml:space="preserve"> (see Exhibit 2), and </w:t>
      </w:r>
      <w:r>
        <w:t xml:space="preserve">was targeting sales of </w:t>
      </w:r>
      <w:r w:rsidR="00B11BD4">
        <w:rPr>
          <w:rFonts w:ascii="Calibri" w:eastAsia="Calibri" w:hAnsi="Calibri" w:cs="Calibri"/>
        </w:rPr>
        <w:t>₹</w:t>
      </w:r>
      <w:r>
        <w:t>70 billion by 2021 with a competitive ranking among the key players (see</w:t>
      </w:r>
      <w:r w:rsidR="00B11BD4">
        <w:t xml:space="preserve"> Exhibits 3 and 4</w:t>
      </w:r>
      <w:r>
        <w:t>).</w:t>
      </w:r>
    </w:p>
    <w:p w14:paraId="4C04EC73" w14:textId="77777777" w:rsidR="00842716" w:rsidRDefault="00842716" w:rsidP="00842716">
      <w:pPr>
        <w:pStyle w:val="BodyTextMain"/>
      </w:pPr>
    </w:p>
    <w:p w14:paraId="73EFD0DD" w14:textId="00CAD985" w:rsidR="00842716" w:rsidRPr="00AD071B" w:rsidRDefault="00842716" w:rsidP="00842716">
      <w:pPr>
        <w:pStyle w:val="BodyTextMain"/>
        <w:rPr>
          <w:spacing w:val="-2"/>
          <w:kern w:val="22"/>
        </w:rPr>
      </w:pPr>
      <w:r w:rsidRPr="00AD071B">
        <w:rPr>
          <w:spacing w:val="-2"/>
          <w:kern w:val="22"/>
        </w:rPr>
        <w:t>GEF India conscious</w:t>
      </w:r>
      <w:r w:rsidR="009E2C80" w:rsidRPr="00AD071B">
        <w:rPr>
          <w:spacing w:val="-2"/>
          <w:kern w:val="22"/>
        </w:rPr>
        <w:t>ly</w:t>
      </w:r>
      <w:r w:rsidRPr="00AD071B">
        <w:rPr>
          <w:spacing w:val="-2"/>
          <w:kern w:val="22"/>
        </w:rPr>
        <w:t xml:space="preserve"> </w:t>
      </w:r>
      <w:r w:rsidR="009E2C80" w:rsidRPr="00AD071B">
        <w:rPr>
          <w:spacing w:val="-2"/>
          <w:kern w:val="22"/>
        </w:rPr>
        <w:t>chose</w:t>
      </w:r>
      <w:r w:rsidRPr="00AD071B">
        <w:rPr>
          <w:spacing w:val="-2"/>
          <w:kern w:val="22"/>
        </w:rPr>
        <w:t xml:space="preserve"> </w:t>
      </w:r>
      <w:r w:rsidR="00725A44" w:rsidRPr="00AD071B">
        <w:rPr>
          <w:spacing w:val="-2"/>
          <w:kern w:val="22"/>
        </w:rPr>
        <w:t>homemakers</w:t>
      </w:r>
      <w:r w:rsidRPr="00AD071B">
        <w:rPr>
          <w:spacing w:val="-2"/>
          <w:kern w:val="22"/>
        </w:rPr>
        <w:t xml:space="preserve"> as </w:t>
      </w:r>
      <w:r w:rsidR="009E2C80" w:rsidRPr="00AD071B">
        <w:rPr>
          <w:spacing w:val="-2"/>
          <w:kern w:val="22"/>
        </w:rPr>
        <w:t xml:space="preserve">its target </w:t>
      </w:r>
      <w:r w:rsidRPr="00AD071B">
        <w:rPr>
          <w:spacing w:val="-2"/>
          <w:kern w:val="22"/>
        </w:rPr>
        <w:t xml:space="preserve">consumers </w:t>
      </w:r>
      <w:r w:rsidR="009E2C80" w:rsidRPr="00AD071B">
        <w:rPr>
          <w:spacing w:val="-2"/>
          <w:kern w:val="22"/>
        </w:rPr>
        <w:t>because it</w:t>
      </w:r>
      <w:r w:rsidRPr="00AD071B">
        <w:rPr>
          <w:spacing w:val="-2"/>
          <w:kern w:val="22"/>
        </w:rPr>
        <w:t xml:space="preserve"> believed that trust built at that level tended to stay. </w:t>
      </w:r>
      <w:r w:rsidR="005A7B2D" w:rsidRPr="00AD071B">
        <w:rPr>
          <w:spacing w:val="-2"/>
          <w:kern w:val="22"/>
        </w:rPr>
        <w:t xml:space="preserve">The company </w:t>
      </w:r>
      <w:r w:rsidRPr="00AD071B">
        <w:rPr>
          <w:spacing w:val="-2"/>
          <w:kern w:val="22"/>
        </w:rPr>
        <w:t xml:space="preserve">had strategically positioned </w:t>
      </w:r>
      <w:r w:rsidR="00B21993" w:rsidRPr="00AD071B">
        <w:rPr>
          <w:spacing w:val="-2"/>
          <w:kern w:val="22"/>
        </w:rPr>
        <w:t xml:space="preserve">its </w:t>
      </w:r>
      <w:r w:rsidRPr="00AD071B">
        <w:rPr>
          <w:spacing w:val="-2"/>
          <w:kern w:val="22"/>
        </w:rPr>
        <w:t>Freedom sunflower and vegetable oil products as healthy option</w:t>
      </w:r>
      <w:r w:rsidR="005A7B2D" w:rsidRPr="00AD071B">
        <w:rPr>
          <w:spacing w:val="-2"/>
          <w:kern w:val="22"/>
        </w:rPr>
        <w:t>s</w:t>
      </w:r>
      <w:r w:rsidRPr="00AD071B">
        <w:rPr>
          <w:spacing w:val="-2"/>
          <w:kern w:val="22"/>
        </w:rPr>
        <w:t xml:space="preserve"> with the brand promise </w:t>
      </w:r>
      <w:r w:rsidR="005A7B2D" w:rsidRPr="00AD071B">
        <w:rPr>
          <w:spacing w:val="-2"/>
          <w:kern w:val="22"/>
        </w:rPr>
        <w:t>“</w:t>
      </w:r>
      <w:r w:rsidRPr="00AD071B">
        <w:rPr>
          <w:spacing w:val="-2"/>
          <w:kern w:val="22"/>
        </w:rPr>
        <w:t>Freedom to eat, freedom to enjoy</w:t>
      </w:r>
      <w:r w:rsidR="005A7B2D" w:rsidRPr="00AD071B">
        <w:rPr>
          <w:spacing w:val="-2"/>
          <w:kern w:val="22"/>
        </w:rPr>
        <w:t>,”</w:t>
      </w:r>
      <w:r w:rsidRPr="00AD071B">
        <w:rPr>
          <w:spacing w:val="-2"/>
          <w:kern w:val="22"/>
        </w:rPr>
        <w:t xml:space="preserve"> </w:t>
      </w:r>
      <w:r w:rsidR="005A7B2D" w:rsidRPr="00AD071B">
        <w:rPr>
          <w:spacing w:val="-2"/>
          <w:kern w:val="22"/>
        </w:rPr>
        <w:t>and</w:t>
      </w:r>
      <w:r w:rsidRPr="00AD071B">
        <w:rPr>
          <w:spacing w:val="-2"/>
          <w:kern w:val="22"/>
        </w:rPr>
        <w:t xml:space="preserve"> the tagline </w:t>
      </w:r>
      <w:r w:rsidR="005A7B2D" w:rsidRPr="00AD071B">
        <w:rPr>
          <w:spacing w:val="-2"/>
          <w:kern w:val="22"/>
        </w:rPr>
        <w:t>“</w:t>
      </w:r>
      <w:r w:rsidRPr="00AD071B">
        <w:rPr>
          <w:spacing w:val="-2"/>
          <w:kern w:val="22"/>
        </w:rPr>
        <w:t>guilt free eating</w:t>
      </w:r>
      <w:r w:rsidR="005A7B2D" w:rsidRPr="00AD071B">
        <w:rPr>
          <w:spacing w:val="-2"/>
          <w:kern w:val="22"/>
        </w:rPr>
        <w:t>.”</w:t>
      </w:r>
      <w:r w:rsidRPr="00AD071B">
        <w:rPr>
          <w:spacing w:val="-2"/>
          <w:kern w:val="22"/>
        </w:rPr>
        <w:t xml:space="preserve"> This positioning</w:t>
      </w:r>
      <w:r w:rsidR="005A7B2D" w:rsidRPr="00AD071B">
        <w:rPr>
          <w:spacing w:val="-2"/>
          <w:kern w:val="22"/>
        </w:rPr>
        <w:t>, with the oils’</w:t>
      </w:r>
      <w:r w:rsidRPr="00AD071B">
        <w:rPr>
          <w:spacing w:val="-2"/>
          <w:kern w:val="22"/>
        </w:rPr>
        <w:t xml:space="preserve"> </w:t>
      </w:r>
      <w:r w:rsidR="008C062D" w:rsidRPr="00AD071B">
        <w:rPr>
          <w:spacing w:val="-2"/>
          <w:kern w:val="22"/>
        </w:rPr>
        <w:t>cholesterol-</w:t>
      </w:r>
      <w:r w:rsidR="005A7B2D" w:rsidRPr="00AD071B">
        <w:rPr>
          <w:spacing w:val="-2"/>
          <w:kern w:val="22"/>
        </w:rPr>
        <w:t xml:space="preserve">free and vitamin rich content, </w:t>
      </w:r>
      <w:r w:rsidR="00AC3451" w:rsidRPr="00AD071B">
        <w:rPr>
          <w:spacing w:val="-2"/>
          <w:kern w:val="22"/>
        </w:rPr>
        <w:t xml:space="preserve">created an emotional appeal that </w:t>
      </w:r>
      <w:r w:rsidRPr="00AD071B">
        <w:rPr>
          <w:spacing w:val="-2"/>
          <w:kern w:val="22"/>
        </w:rPr>
        <w:t>buil</w:t>
      </w:r>
      <w:r w:rsidR="00AC3451" w:rsidRPr="00AD071B">
        <w:rPr>
          <w:spacing w:val="-2"/>
          <w:kern w:val="22"/>
        </w:rPr>
        <w:t>t</w:t>
      </w:r>
      <w:r w:rsidRPr="00AD071B">
        <w:rPr>
          <w:spacing w:val="-2"/>
          <w:kern w:val="22"/>
        </w:rPr>
        <w:t xml:space="preserve"> a strong connection with consumers. Freedom Refined Sunflower Oil was clear, light, and low absorbing</w:t>
      </w:r>
      <w:r w:rsidR="00AC3451" w:rsidRPr="00AD071B">
        <w:rPr>
          <w:spacing w:val="-2"/>
          <w:kern w:val="22"/>
        </w:rPr>
        <w:t>,</w:t>
      </w:r>
      <w:r w:rsidRPr="00AD071B">
        <w:rPr>
          <w:spacing w:val="-2"/>
          <w:kern w:val="22"/>
        </w:rPr>
        <w:t xml:space="preserve"> an</w:t>
      </w:r>
      <w:r w:rsidR="00B21993" w:rsidRPr="00AD071B">
        <w:rPr>
          <w:spacing w:val="-2"/>
          <w:kern w:val="22"/>
        </w:rPr>
        <w:t xml:space="preserve">d </w:t>
      </w:r>
      <w:r w:rsidRPr="00AD071B">
        <w:rPr>
          <w:spacing w:val="-2"/>
          <w:kern w:val="22"/>
        </w:rPr>
        <w:t>fortified with vitamins A and D. It was also rich in naturally occurring vitamin</w:t>
      </w:r>
      <w:r w:rsidR="00B21993" w:rsidRPr="00AD071B">
        <w:rPr>
          <w:spacing w:val="-2"/>
          <w:kern w:val="22"/>
        </w:rPr>
        <w:t> </w:t>
      </w:r>
      <w:r w:rsidRPr="00AD071B">
        <w:rPr>
          <w:spacing w:val="-2"/>
          <w:kern w:val="22"/>
        </w:rPr>
        <w:t>E.</w:t>
      </w:r>
    </w:p>
    <w:p w14:paraId="522CAD5D" w14:textId="77777777" w:rsidR="00842716" w:rsidRDefault="00842716" w:rsidP="00842716">
      <w:pPr>
        <w:pStyle w:val="BodyTextMain"/>
      </w:pPr>
    </w:p>
    <w:p w14:paraId="1FDF5CE9" w14:textId="58C2C8F9" w:rsidR="008B2E28" w:rsidRDefault="008B2E28" w:rsidP="008B2E28">
      <w:pPr>
        <w:pStyle w:val="BodyTextMain"/>
      </w:pPr>
      <w:r>
        <w:t>With</w:t>
      </w:r>
      <w:r w:rsidR="00842716">
        <w:t xml:space="preserve"> </w:t>
      </w:r>
      <w:r>
        <w:t xml:space="preserve">its </w:t>
      </w:r>
      <w:r w:rsidR="00842716">
        <w:t>strategic planning and focus on innovation, GEF India also intended to invest significantly in manufacturing and refin</w:t>
      </w:r>
      <w:r>
        <w:t>ing</w:t>
      </w:r>
      <w:r w:rsidR="00842716">
        <w:t xml:space="preserve"> rice bran oil. According to </w:t>
      </w:r>
      <w:r>
        <w:t>Pradeep</w:t>
      </w:r>
      <w:r w:rsidR="00842716">
        <w:t>, rice bran oil had multiple value propositions. Not only would it be among the cheapest</w:t>
      </w:r>
      <w:r>
        <w:t xml:space="preserve"> of the edible oils</w:t>
      </w:r>
      <w:r w:rsidR="00842716">
        <w:t xml:space="preserve">, </w:t>
      </w:r>
      <w:r w:rsidR="00B21993">
        <w:t xml:space="preserve">but </w:t>
      </w:r>
      <w:r w:rsidR="00842716">
        <w:t xml:space="preserve">it also </w:t>
      </w:r>
      <w:r>
        <w:t xml:space="preserve">had </w:t>
      </w:r>
      <w:r w:rsidR="00842716">
        <w:t xml:space="preserve">been recommended </w:t>
      </w:r>
      <w:r>
        <w:t xml:space="preserve">by none other than the World Health Organization (WHO) as </w:t>
      </w:r>
      <w:r w:rsidR="00842716">
        <w:t>the healthiest edible oil.</w:t>
      </w:r>
      <w:r w:rsidR="00842716">
        <w:rPr>
          <w:rStyle w:val="FootnoteReference"/>
        </w:rPr>
        <w:footnoteReference w:id="12"/>
      </w:r>
      <w:r w:rsidR="00842716">
        <w:t xml:space="preserve"> </w:t>
      </w:r>
      <w:r>
        <w:t xml:space="preserve">Rice bran oil’s high </w:t>
      </w:r>
      <w:proofErr w:type="spellStart"/>
      <w:r w:rsidR="00526F4D">
        <w:t>o</w:t>
      </w:r>
      <w:r>
        <w:t>ryzanol</w:t>
      </w:r>
      <w:proofErr w:type="spellEnd"/>
      <w:r>
        <w:t xml:space="preserve"> content made the oil heart-friendly. This was particularly relevant to Indians, as Pradeep explained: “</w:t>
      </w:r>
      <w:r w:rsidR="00842716">
        <w:t>According to studies, Indians are more prone to heart ailments. Oils such as Freedom rice bran oil are aimed at the health-conscious customer base—not only consumers with medical conditions, but also the health-conscious segment who believe in eating right to prevent ailments.</w:t>
      </w:r>
      <w:r>
        <w:t>”</w:t>
      </w:r>
      <w:r w:rsidR="00842716">
        <w:rPr>
          <w:rStyle w:val="FootnoteReference"/>
        </w:rPr>
        <w:footnoteReference w:id="13"/>
      </w:r>
      <w:r w:rsidR="00842716">
        <w:t xml:space="preserve"> </w:t>
      </w:r>
    </w:p>
    <w:p w14:paraId="214D7435" w14:textId="77777777" w:rsidR="008B2E28" w:rsidRDefault="008B2E28" w:rsidP="008B2E28">
      <w:pPr>
        <w:pStyle w:val="BodyTextMain"/>
      </w:pPr>
    </w:p>
    <w:p w14:paraId="1703A506" w14:textId="2C1A257B" w:rsidR="00842716" w:rsidRDefault="00842716" w:rsidP="008B2E28">
      <w:pPr>
        <w:pStyle w:val="BodyTextMain"/>
      </w:pPr>
      <w:r>
        <w:t xml:space="preserve">Product innovation extended to packaging as well. The </w:t>
      </w:r>
      <w:r w:rsidR="008B2E28">
        <w:t xml:space="preserve">packaging </w:t>
      </w:r>
      <w:r>
        <w:t>of Freedom Refined Sunflower Oil</w:t>
      </w:r>
      <w:r w:rsidR="00B21993">
        <w:t xml:space="preserve"> was </w:t>
      </w:r>
      <w:r w:rsidR="008B2E28">
        <w:t xml:space="preserve">redesigned to </w:t>
      </w:r>
      <w:r>
        <w:t>align with the socio-demographic profile of Indian consumers. The two-</w:t>
      </w:r>
      <w:r w:rsidR="00526F4D">
        <w:t>litre</w:t>
      </w:r>
      <w:r>
        <w:t xml:space="preserve"> pack</w:t>
      </w:r>
      <w:r w:rsidR="00526F4D">
        <w:t>age</w:t>
      </w:r>
      <w:r>
        <w:t xml:space="preserve"> </w:t>
      </w:r>
      <w:r w:rsidR="008B2E28">
        <w:t xml:space="preserve">was convenient for </w:t>
      </w:r>
      <w:r>
        <w:t xml:space="preserve">nuclear families </w:t>
      </w:r>
      <w:r w:rsidR="008B2E28">
        <w:t>while still meeting</w:t>
      </w:r>
      <w:r>
        <w:t xml:space="preserve"> their consumption requirements. The sleek and convenient design made the bottle easy to handle and gave it a contemporary look. It was an ideal choice for </w:t>
      </w:r>
      <w:r w:rsidR="008B2E28">
        <w:t>modern consumers</w:t>
      </w:r>
      <w:r>
        <w:t xml:space="preserve"> who </w:t>
      </w:r>
      <w:r w:rsidR="008B2E28">
        <w:t xml:space="preserve">were </w:t>
      </w:r>
      <w:r>
        <w:t xml:space="preserve">looking </w:t>
      </w:r>
      <w:r w:rsidR="008B2E28">
        <w:t xml:space="preserve">for </w:t>
      </w:r>
      <w:r>
        <w:t xml:space="preserve">intelligent options </w:t>
      </w:r>
      <w:r w:rsidR="008B2E28">
        <w:t xml:space="preserve">that </w:t>
      </w:r>
      <w:r>
        <w:t>save</w:t>
      </w:r>
      <w:r w:rsidR="008B2E28">
        <w:t>d</w:t>
      </w:r>
      <w:r>
        <w:t xml:space="preserve"> time and avoid</w:t>
      </w:r>
      <w:r w:rsidR="008B2E28">
        <w:t>ed</w:t>
      </w:r>
      <w:r>
        <w:t xml:space="preserve"> spill</w:t>
      </w:r>
      <w:r w:rsidR="008B2E28">
        <w:t>s</w:t>
      </w:r>
      <w:r>
        <w:t xml:space="preserve"> and storage complexities. </w:t>
      </w:r>
      <w:r w:rsidR="008B2E28">
        <w:t>Pradeep</w:t>
      </w:r>
      <w:r>
        <w:t xml:space="preserve"> </w:t>
      </w:r>
      <w:r w:rsidR="008B2E28">
        <w:t xml:space="preserve">was </w:t>
      </w:r>
      <w:r w:rsidR="00004716">
        <w:t>proud of</w:t>
      </w:r>
      <w:r w:rsidR="008B2E28">
        <w:t xml:space="preserve"> these changes:</w:t>
      </w:r>
      <w:r>
        <w:t xml:space="preserve"> “We are passionate about bringing innovation to the market that benefits our consumers. This zeal has helped us establish GEF India as a leading edible oils company within a short span of time</w:t>
      </w:r>
      <w:r w:rsidR="008B2E28">
        <w:t>.</w:t>
      </w:r>
      <w:r>
        <w:t>”</w:t>
      </w:r>
      <w:r>
        <w:rPr>
          <w:rStyle w:val="FootnoteReference"/>
        </w:rPr>
        <w:footnoteReference w:id="14"/>
      </w:r>
    </w:p>
    <w:p w14:paraId="01DEA1AA" w14:textId="77777777" w:rsidR="00842716" w:rsidRDefault="00842716" w:rsidP="00842716">
      <w:pPr>
        <w:pStyle w:val="BodyTextMain"/>
      </w:pPr>
    </w:p>
    <w:p w14:paraId="54EC9900" w14:textId="77777777" w:rsidR="00842716" w:rsidRPr="00842716" w:rsidRDefault="00842716" w:rsidP="00725A44">
      <w:pPr>
        <w:pStyle w:val="BodyTextMain"/>
      </w:pPr>
    </w:p>
    <w:p w14:paraId="13B66F38" w14:textId="77777777" w:rsidR="00842716" w:rsidRDefault="00842716" w:rsidP="0029308B">
      <w:pPr>
        <w:pStyle w:val="Casehead1"/>
        <w:outlineLvl w:val="0"/>
      </w:pPr>
      <w:r w:rsidRPr="00842716">
        <w:t>Marketing Strategy</w:t>
      </w:r>
    </w:p>
    <w:p w14:paraId="58D57622" w14:textId="77777777" w:rsidR="00842716" w:rsidRPr="00842716" w:rsidRDefault="00842716" w:rsidP="00725A44">
      <w:pPr>
        <w:pStyle w:val="BodyTextMainlink"/>
      </w:pPr>
    </w:p>
    <w:p w14:paraId="482360FE" w14:textId="021CB0CC" w:rsidR="00197925" w:rsidRDefault="00842716" w:rsidP="00842716">
      <w:pPr>
        <w:pStyle w:val="BodyTextMain"/>
      </w:pPr>
      <w:r>
        <w:t>In the initial years, the brand promise of the Freedom products and their perceived quality led to word</w:t>
      </w:r>
      <w:r w:rsidR="00123137">
        <w:t>-</w:t>
      </w:r>
      <w:r>
        <w:t>of</w:t>
      </w:r>
      <w:r w:rsidR="00123137">
        <w:t>-</w:t>
      </w:r>
      <w:r>
        <w:t xml:space="preserve">mouth publicity for the brand. This played a significant role in creating awareness and a liking for the brand. </w:t>
      </w:r>
      <w:r w:rsidR="00004716">
        <w:t>Nonetheless</w:t>
      </w:r>
      <w:r>
        <w:t xml:space="preserve">, GEF India </w:t>
      </w:r>
      <w:r w:rsidR="00004716">
        <w:t>considered the dual angles of competition and opportunity</w:t>
      </w:r>
      <w:r w:rsidR="00FC4590">
        <w:t>,</w:t>
      </w:r>
      <w:r w:rsidR="00004716">
        <w:t xml:space="preserve"> </w:t>
      </w:r>
      <w:r w:rsidR="009A2CDD">
        <w:t>and</w:t>
      </w:r>
      <w:r>
        <w:t xml:space="preserve"> invest</w:t>
      </w:r>
      <w:r w:rsidR="009A2CDD">
        <w:t>ed</w:t>
      </w:r>
      <w:r>
        <w:t xml:space="preserve"> </w:t>
      </w:r>
      <w:r>
        <w:lastRenderedPageBreak/>
        <w:t xml:space="preserve">significantly in marketing </w:t>
      </w:r>
      <w:r w:rsidR="00B21993">
        <w:t>its</w:t>
      </w:r>
      <w:r>
        <w:t xml:space="preserve"> products. </w:t>
      </w:r>
      <w:r w:rsidR="00197925">
        <w:t xml:space="preserve">The company decided to spend </w:t>
      </w:r>
      <w:r w:rsidR="00197925">
        <w:rPr>
          <w:rFonts w:ascii="Calibri" w:eastAsia="Calibri" w:hAnsi="Calibri" w:cs="Calibri"/>
        </w:rPr>
        <w:t>₹</w:t>
      </w:r>
      <w:r w:rsidR="00197925">
        <w:t xml:space="preserve">180 million on mass media communications and brand building, of which </w:t>
      </w:r>
      <w:r w:rsidR="00197925">
        <w:rPr>
          <w:rFonts w:ascii="Calibri" w:eastAsia="Calibri" w:hAnsi="Calibri" w:cs="Calibri"/>
        </w:rPr>
        <w:t>₹</w:t>
      </w:r>
      <w:r w:rsidR="00197925">
        <w:t xml:space="preserve">60 million was earmarked for Karnataka alone. </w:t>
      </w:r>
    </w:p>
    <w:p w14:paraId="6DA4C430" w14:textId="77777777" w:rsidR="00197925" w:rsidRDefault="00197925" w:rsidP="00842716">
      <w:pPr>
        <w:pStyle w:val="BodyTextMain"/>
      </w:pPr>
    </w:p>
    <w:p w14:paraId="259F0BEA" w14:textId="191ACF5F" w:rsidR="00197925" w:rsidRDefault="00197925" w:rsidP="00197925">
      <w:pPr>
        <w:pStyle w:val="BodyTextMain"/>
      </w:pPr>
      <w:r>
        <w:t>T</w:t>
      </w:r>
      <w:r w:rsidR="00842716">
        <w:t xml:space="preserve">o accelerate </w:t>
      </w:r>
      <w:r>
        <w:t>its growth</w:t>
      </w:r>
      <w:r w:rsidR="00842716">
        <w:t xml:space="preserve"> of market share in Karnataka, GEF India endorsed a southern celebrity, Pranitha </w:t>
      </w:r>
      <w:proofErr w:type="spellStart"/>
      <w:r w:rsidR="00842716">
        <w:t>Subhash</w:t>
      </w:r>
      <w:proofErr w:type="spellEnd"/>
      <w:r w:rsidR="00842716">
        <w:t xml:space="preserve"> from Karnataka, to launch the two-</w:t>
      </w:r>
      <w:r w:rsidR="00123137">
        <w:t>litre</w:t>
      </w:r>
      <w:r w:rsidR="00842716">
        <w:t xml:space="preserve"> pack</w:t>
      </w:r>
      <w:r w:rsidR="00123137">
        <w:t>age</w:t>
      </w:r>
      <w:r w:rsidR="00842716">
        <w:t xml:space="preserve"> of Freedom Refined Sunflower Oil.</w:t>
      </w:r>
      <w:r w:rsidR="00842716">
        <w:rPr>
          <w:rStyle w:val="FootnoteReference"/>
        </w:rPr>
        <w:footnoteReference w:id="15"/>
      </w:r>
      <w:r w:rsidR="00842716">
        <w:t xml:space="preserve"> </w:t>
      </w:r>
      <w:r>
        <w:t>The company</w:t>
      </w:r>
      <w:r w:rsidR="00842716">
        <w:t xml:space="preserve"> also organized health events such as the Freedom 10K Run to encourage running as a primary form of fitness. The </w:t>
      </w:r>
      <w:r>
        <w:t xml:space="preserve">events were used to promote the </w:t>
      </w:r>
      <w:r w:rsidR="00842716">
        <w:t xml:space="preserve">message </w:t>
      </w:r>
      <w:r>
        <w:t>“</w:t>
      </w:r>
      <w:r w:rsidR="00842716">
        <w:t>Eat healthy. Live healthy</w:t>
      </w:r>
      <w:r>
        <w:t>.”</w:t>
      </w:r>
      <w:r w:rsidR="00842716">
        <w:t xml:space="preserve"> </w:t>
      </w:r>
      <w:r>
        <w:t xml:space="preserve">Pradeep celebrated these initiatives: </w:t>
      </w:r>
      <w:r w:rsidR="00842716">
        <w:t>“We are proud and happy to organize [the] Freedom 10K Run 2016. This is a wonderful initiative to promote sports, wellness, and health for the citizens of Hyderabad. We want our consumers to live a healthy and happy life with the freedom to eat and be happy</w:t>
      </w:r>
      <w:r>
        <w:t>.</w:t>
      </w:r>
      <w:r w:rsidR="00842716">
        <w:t>”</w:t>
      </w:r>
      <w:r w:rsidR="00842716">
        <w:rPr>
          <w:rStyle w:val="FootnoteReference"/>
        </w:rPr>
        <w:footnoteReference w:id="16"/>
      </w:r>
      <w:r w:rsidR="00842716">
        <w:t xml:space="preserve"> </w:t>
      </w:r>
    </w:p>
    <w:p w14:paraId="3E70481F" w14:textId="77777777" w:rsidR="00197925" w:rsidRDefault="00197925" w:rsidP="00197925">
      <w:pPr>
        <w:pStyle w:val="BodyTextMain"/>
      </w:pPr>
    </w:p>
    <w:p w14:paraId="22E5B052" w14:textId="21B73A6C" w:rsidR="00842716" w:rsidRDefault="00842716" w:rsidP="00197925">
      <w:pPr>
        <w:pStyle w:val="BodyTextMain"/>
      </w:pPr>
      <w:r>
        <w:t xml:space="preserve">GEF India had also organized other promotional events </w:t>
      </w:r>
      <w:r w:rsidR="00197925">
        <w:t xml:space="preserve">in the past, </w:t>
      </w:r>
      <w:r>
        <w:t xml:space="preserve">such as cookery contests and story writing contests </w:t>
      </w:r>
      <w:r w:rsidR="00197925">
        <w:t>(“</w:t>
      </w:r>
      <w:r>
        <w:t>My Freedom Story</w:t>
      </w:r>
      <w:r w:rsidR="00197925">
        <w:t>”)</w:t>
      </w:r>
      <w:r>
        <w:t xml:space="preserve">. </w:t>
      </w:r>
      <w:r w:rsidR="00197925">
        <w:t>T</w:t>
      </w:r>
      <w:r>
        <w:t xml:space="preserve">he company </w:t>
      </w:r>
      <w:r w:rsidR="00197925">
        <w:t xml:space="preserve">used these various events to </w:t>
      </w:r>
      <w:r>
        <w:t xml:space="preserve">reinforce </w:t>
      </w:r>
      <w:r w:rsidR="00B21993">
        <w:t>its</w:t>
      </w:r>
      <w:r>
        <w:t xml:space="preserve"> commitment to healthy living.</w:t>
      </w:r>
    </w:p>
    <w:p w14:paraId="60AA0AEF" w14:textId="77777777" w:rsidR="00842716" w:rsidRDefault="00842716" w:rsidP="00842716">
      <w:pPr>
        <w:pStyle w:val="BodyTextMain"/>
      </w:pPr>
    </w:p>
    <w:p w14:paraId="76726829" w14:textId="77777777" w:rsidR="00842716" w:rsidRDefault="00842716" w:rsidP="00842716">
      <w:pPr>
        <w:pStyle w:val="BodyTextMain"/>
      </w:pPr>
    </w:p>
    <w:p w14:paraId="1E12D7F8" w14:textId="77777777" w:rsidR="00842716" w:rsidRDefault="00842716" w:rsidP="0029308B">
      <w:pPr>
        <w:pStyle w:val="Casehead1"/>
        <w:outlineLvl w:val="0"/>
      </w:pPr>
      <w:r>
        <w:t>Organizational Culture</w:t>
      </w:r>
    </w:p>
    <w:p w14:paraId="53F40E4C" w14:textId="77777777" w:rsidR="00842716" w:rsidRDefault="00842716" w:rsidP="00725A44">
      <w:pPr>
        <w:pStyle w:val="BodyTextMainlink"/>
      </w:pPr>
    </w:p>
    <w:p w14:paraId="10706D77" w14:textId="42E52299" w:rsidR="008F5B4E" w:rsidRDefault="00842716" w:rsidP="00842716">
      <w:pPr>
        <w:pStyle w:val="BodyTextMain"/>
      </w:pPr>
      <w:r>
        <w:t xml:space="preserve">The senior members of GEF India believed in </w:t>
      </w:r>
      <w:r w:rsidR="00197925">
        <w:t xml:space="preserve">Pradeep’s </w:t>
      </w:r>
      <w:r>
        <w:t>ability and empathic leadership</w:t>
      </w:r>
      <w:r w:rsidR="00B21993">
        <w:t>,</w:t>
      </w:r>
      <w:r>
        <w:t xml:space="preserve"> and were instrumental in engineering the growth of the company to its current levels. </w:t>
      </w:r>
      <w:r w:rsidR="008F5B4E">
        <w:t>T</w:t>
      </w:r>
      <w:r>
        <w:t xml:space="preserve">he entire staff (including the security guards) </w:t>
      </w:r>
      <w:r w:rsidR="008F5B4E">
        <w:t xml:space="preserve">had bonded deeply </w:t>
      </w:r>
      <w:r>
        <w:t xml:space="preserve">with </w:t>
      </w:r>
      <w:r w:rsidR="008F5B4E">
        <w:t xml:space="preserve">the company’s </w:t>
      </w:r>
      <w:r>
        <w:t xml:space="preserve">owner and </w:t>
      </w:r>
      <w:r w:rsidR="008F5B4E">
        <w:t>managing director</w:t>
      </w:r>
      <w:r w:rsidR="00191FA2">
        <w:t>.</w:t>
      </w:r>
      <w:r>
        <w:t xml:space="preserve"> </w:t>
      </w:r>
      <w:r w:rsidR="00191FA2">
        <w:t xml:space="preserve">They had started with him </w:t>
      </w:r>
      <w:r>
        <w:t>from the early days of his entrepreneurship</w:t>
      </w:r>
      <w:r w:rsidR="00191FA2">
        <w:t xml:space="preserve"> and were with him</w:t>
      </w:r>
      <w:r w:rsidR="00F2188E">
        <w:t xml:space="preserve"> at </w:t>
      </w:r>
      <w:r>
        <w:t>GEF India</w:t>
      </w:r>
      <w:r w:rsidR="00F2188E">
        <w:t xml:space="preserve"> even now</w:t>
      </w:r>
      <w:r>
        <w:t xml:space="preserve">. They relished the familiarity of working with this </w:t>
      </w:r>
      <w:r w:rsidR="008F5B4E">
        <w:t xml:space="preserve">company </w:t>
      </w:r>
      <w:r>
        <w:t xml:space="preserve">and </w:t>
      </w:r>
      <w:r w:rsidR="008F5B4E">
        <w:t xml:space="preserve">its </w:t>
      </w:r>
      <w:r>
        <w:t>leadership team</w:t>
      </w:r>
      <w:r w:rsidR="00BA4648">
        <w:t xml:space="preserve">, creating a level of ease </w:t>
      </w:r>
      <w:r>
        <w:t>that helped the</w:t>
      </w:r>
      <w:r w:rsidR="00BA4648">
        <w:t xml:space="preserve"> staff</w:t>
      </w:r>
      <w:r>
        <w:t xml:space="preserve"> </w:t>
      </w:r>
      <w:r w:rsidR="00BA4648">
        <w:t>meet</w:t>
      </w:r>
      <w:r>
        <w:t xml:space="preserve"> expectations </w:t>
      </w:r>
      <w:r w:rsidR="00BA4648">
        <w:t xml:space="preserve">in the </w:t>
      </w:r>
      <w:r>
        <w:t xml:space="preserve">manner they had come to understand over the years. </w:t>
      </w:r>
    </w:p>
    <w:p w14:paraId="382E19F0" w14:textId="77777777" w:rsidR="008F5B4E" w:rsidRDefault="008F5B4E" w:rsidP="00842716">
      <w:pPr>
        <w:pStyle w:val="BodyTextMain"/>
      </w:pPr>
    </w:p>
    <w:p w14:paraId="54D56535" w14:textId="6FAE5EEE" w:rsidR="00842716" w:rsidRDefault="008F5B4E" w:rsidP="00842716">
      <w:pPr>
        <w:pStyle w:val="BodyTextMain"/>
      </w:pPr>
      <w:r>
        <w:t>Pradeep</w:t>
      </w:r>
      <w:r w:rsidR="00842716">
        <w:t xml:space="preserve"> was like a father figure for the employees, </w:t>
      </w:r>
      <w:r>
        <w:t xml:space="preserve">who </w:t>
      </w:r>
      <w:r w:rsidR="00842716">
        <w:t>unquestion</w:t>
      </w:r>
      <w:r>
        <w:t>ably</w:t>
      </w:r>
      <w:r w:rsidR="00842716">
        <w:t xml:space="preserve"> trust</w:t>
      </w:r>
      <w:r>
        <w:t>ed</w:t>
      </w:r>
      <w:r w:rsidR="00842716">
        <w:t xml:space="preserve"> his leadership. The </w:t>
      </w:r>
      <w:r w:rsidR="00BA4648">
        <w:t xml:space="preserve">environment </w:t>
      </w:r>
      <w:r w:rsidR="00842716">
        <w:t>was high</w:t>
      </w:r>
      <w:r w:rsidR="00BA4648">
        <w:t>ly</w:t>
      </w:r>
      <w:r w:rsidR="00842716">
        <w:t xml:space="preserve"> personaliz</w:t>
      </w:r>
      <w:r w:rsidR="00BA4648">
        <w:t>ed,</w:t>
      </w:r>
      <w:r w:rsidR="00842716">
        <w:t xml:space="preserve"> </w:t>
      </w:r>
      <w:r w:rsidR="00BA4648">
        <w:t xml:space="preserve">with those who bore the greatest </w:t>
      </w:r>
      <w:r w:rsidR="00842716">
        <w:t xml:space="preserve">responsibility </w:t>
      </w:r>
      <w:r w:rsidR="00BA4648">
        <w:t xml:space="preserve">sharing a </w:t>
      </w:r>
      <w:r w:rsidR="00842716">
        <w:t xml:space="preserve">closeness with </w:t>
      </w:r>
      <w:r w:rsidR="00BA4648">
        <w:t>Pradeep</w:t>
      </w:r>
      <w:r w:rsidR="00842716">
        <w:t xml:space="preserve">. The loyalty of the workforce was reflected in the </w:t>
      </w:r>
      <w:r w:rsidR="00BA4648">
        <w:t>retention of the</w:t>
      </w:r>
      <w:r w:rsidR="00842716">
        <w:t xml:space="preserve"> core team</w:t>
      </w:r>
      <w:r w:rsidR="00BA4648">
        <w:t xml:space="preserve">, </w:t>
      </w:r>
      <w:r w:rsidR="00B21993">
        <w:t>which</w:t>
      </w:r>
      <w:r w:rsidR="00BA4648">
        <w:t xml:space="preserve"> had stayed with the company</w:t>
      </w:r>
      <w:r w:rsidR="00842716">
        <w:t xml:space="preserve"> since its inception</w:t>
      </w:r>
      <w:r w:rsidR="00BA4648">
        <w:t>.</w:t>
      </w:r>
      <w:r w:rsidR="00842716">
        <w:t xml:space="preserve"> </w:t>
      </w:r>
      <w:r w:rsidR="00B21993">
        <w:t>As a</w:t>
      </w:r>
      <w:r w:rsidR="00BA4648">
        <w:t xml:space="preserve"> result</w:t>
      </w:r>
      <w:r w:rsidR="00B21993">
        <w:t xml:space="preserve">, </w:t>
      </w:r>
      <w:r w:rsidR="00842716">
        <w:t xml:space="preserve">the core management team </w:t>
      </w:r>
      <w:r w:rsidR="00BA4648">
        <w:t xml:space="preserve">had </w:t>
      </w:r>
      <w:r w:rsidR="00842716">
        <w:t xml:space="preserve">an average work experience of over 20 years in the edible oil business. </w:t>
      </w:r>
      <w:r w:rsidR="004C57BD">
        <w:t>Employee reviews on a</w:t>
      </w:r>
      <w:r w:rsidR="00842716">
        <w:t xml:space="preserve">n independent </w:t>
      </w:r>
      <w:r w:rsidR="00BA4648">
        <w:t>employment review web</w:t>
      </w:r>
      <w:r w:rsidR="00842716">
        <w:t>site</w:t>
      </w:r>
      <w:r w:rsidR="00BA4648">
        <w:t>,</w:t>
      </w:r>
      <w:r w:rsidR="00842716">
        <w:t xml:space="preserve"> Glassdoor</w:t>
      </w:r>
      <w:r w:rsidR="00BA4648">
        <w:t>,</w:t>
      </w:r>
      <w:r w:rsidR="00842716">
        <w:t xml:space="preserve"> </w:t>
      </w:r>
      <w:r w:rsidR="004C57BD">
        <w:t>identified GEF India as</w:t>
      </w:r>
      <w:r w:rsidR="00842716">
        <w:t xml:space="preserve"> </w:t>
      </w:r>
      <w:r w:rsidR="004C57BD">
        <w:t>“</w:t>
      </w:r>
      <w:r w:rsidR="00842716">
        <w:t>a recommended company to join,</w:t>
      </w:r>
      <w:r w:rsidR="004C57BD">
        <w:t>”</w:t>
      </w:r>
      <w:r w:rsidR="00842716">
        <w:t xml:space="preserve"> </w:t>
      </w:r>
      <w:r w:rsidR="004C57BD">
        <w:t xml:space="preserve">with </w:t>
      </w:r>
      <w:r w:rsidR="00842716">
        <w:t xml:space="preserve">a positive outlook and a high approval rating </w:t>
      </w:r>
      <w:r w:rsidR="004C57BD">
        <w:t xml:space="preserve">for </w:t>
      </w:r>
      <w:r w:rsidR="00842716">
        <w:t xml:space="preserve">the </w:t>
      </w:r>
      <w:r w:rsidR="004C57BD">
        <w:t>managing director</w:t>
      </w:r>
      <w:r w:rsidR="00842716">
        <w:t>.</w:t>
      </w:r>
      <w:r w:rsidR="00842716">
        <w:rPr>
          <w:rStyle w:val="FootnoteReference"/>
        </w:rPr>
        <w:footnoteReference w:id="17"/>
      </w:r>
      <w:r w:rsidR="00842716">
        <w:t xml:space="preserve"> In view of the emerging competition and </w:t>
      </w:r>
      <w:r w:rsidR="00D029ED">
        <w:t xml:space="preserve">its </w:t>
      </w:r>
      <w:r w:rsidR="00842716">
        <w:t>own ambitious targets, the company increasingly focus</w:t>
      </w:r>
      <w:r w:rsidR="00D029ED">
        <w:t>ed</w:t>
      </w:r>
      <w:r w:rsidR="00842716">
        <w:t xml:space="preserve"> on competence building and striving for even higher standards of professionalism.</w:t>
      </w:r>
    </w:p>
    <w:p w14:paraId="199875CD" w14:textId="77777777" w:rsidR="00842716" w:rsidRDefault="00842716" w:rsidP="00842716">
      <w:pPr>
        <w:pStyle w:val="BodyTextMain"/>
      </w:pPr>
    </w:p>
    <w:p w14:paraId="08EC0142" w14:textId="77777777" w:rsidR="00842716" w:rsidRDefault="00842716" w:rsidP="00842716">
      <w:pPr>
        <w:pStyle w:val="BodyTextMain"/>
      </w:pPr>
    </w:p>
    <w:p w14:paraId="60F8F4E6" w14:textId="77777777" w:rsidR="00842716" w:rsidRDefault="00842716" w:rsidP="0029308B">
      <w:pPr>
        <w:pStyle w:val="Casehead1"/>
        <w:outlineLvl w:val="0"/>
      </w:pPr>
      <w:r>
        <w:t>Competitive Landscape</w:t>
      </w:r>
    </w:p>
    <w:p w14:paraId="49D81709" w14:textId="77777777" w:rsidR="00842716" w:rsidRDefault="00842716" w:rsidP="00725A44">
      <w:pPr>
        <w:pStyle w:val="BodyTextMainlink"/>
      </w:pPr>
    </w:p>
    <w:p w14:paraId="449BDE0C" w14:textId="0F7CD636" w:rsidR="00D029ED" w:rsidRDefault="00191FA2" w:rsidP="00842716">
      <w:pPr>
        <w:pStyle w:val="BodyTextMain"/>
      </w:pPr>
      <w:r>
        <w:t xml:space="preserve">Almost two-thirds of the edible oils market in South India used sunflower oil. </w:t>
      </w:r>
      <w:r w:rsidR="00842716">
        <w:t xml:space="preserve">In the initial years, </w:t>
      </w:r>
      <w:r w:rsidR="00D029ED">
        <w:t xml:space="preserve">GEF India’s </w:t>
      </w:r>
      <w:r w:rsidR="00842716">
        <w:t xml:space="preserve">Freedom brand faced strong competition from other regional brands such as </w:t>
      </w:r>
      <w:r w:rsidR="00842716" w:rsidRPr="00725A44">
        <w:rPr>
          <w:i/>
        </w:rPr>
        <w:t>Gold Drop</w:t>
      </w:r>
      <w:r w:rsidR="00842716">
        <w:t xml:space="preserve"> </w:t>
      </w:r>
      <w:r w:rsidR="00D029ED">
        <w:t xml:space="preserve">from </w:t>
      </w:r>
      <w:r w:rsidR="00842716">
        <w:t xml:space="preserve">the </w:t>
      </w:r>
      <w:proofErr w:type="spellStart"/>
      <w:r w:rsidR="00842716">
        <w:t>Lohia</w:t>
      </w:r>
      <w:proofErr w:type="spellEnd"/>
      <w:r w:rsidR="00842716">
        <w:t xml:space="preserve"> Group, </w:t>
      </w:r>
      <w:proofErr w:type="spellStart"/>
      <w:r w:rsidR="00842716" w:rsidRPr="00725A44">
        <w:rPr>
          <w:i/>
        </w:rPr>
        <w:t>Naturalle</w:t>
      </w:r>
      <w:proofErr w:type="spellEnd"/>
      <w:r w:rsidR="00D029ED">
        <w:t xml:space="preserve"> from</w:t>
      </w:r>
      <w:r w:rsidR="00842716">
        <w:t xml:space="preserve"> </w:t>
      </w:r>
      <w:proofErr w:type="spellStart"/>
      <w:r w:rsidR="00842716">
        <w:t>Saraiwala</w:t>
      </w:r>
      <w:proofErr w:type="spellEnd"/>
      <w:r w:rsidR="00842716">
        <w:t xml:space="preserve"> Agro</w:t>
      </w:r>
      <w:r w:rsidR="005260EF">
        <w:t xml:space="preserve"> Refineries Limited</w:t>
      </w:r>
      <w:r w:rsidR="00842716">
        <w:t xml:space="preserve">, and </w:t>
      </w:r>
      <w:proofErr w:type="spellStart"/>
      <w:r w:rsidR="00842716" w:rsidRPr="00725A44">
        <w:rPr>
          <w:i/>
        </w:rPr>
        <w:t>Sunsolite</w:t>
      </w:r>
      <w:proofErr w:type="spellEnd"/>
      <w:r w:rsidR="00842716">
        <w:t xml:space="preserve"> </w:t>
      </w:r>
      <w:r w:rsidR="00D029ED">
        <w:t xml:space="preserve">from </w:t>
      </w:r>
      <w:r w:rsidR="00842716">
        <w:t>3F Industries</w:t>
      </w:r>
      <w:r w:rsidR="005260EF">
        <w:t xml:space="preserve"> Limited</w:t>
      </w:r>
      <w:r w:rsidR="00842716">
        <w:t>.</w:t>
      </w:r>
      <w:r w:rsidR="00842716">
        <w:rPr>
          <w:rStyle w:val="FootnoteReference"/>
        </w:rPr>
        <w:footnoteReference w:id="18"/>
      </w:r>
      <w:r w:rsidR="00842716">
        <w:t xml:space="preserve"> These competing firms </w:t>
      </w:r>
      <w:r w:rsidR="00D029ED">
        <w:t>were established</w:t>
      </w:r>
      <w:r w:rsidR="00842716">
        <w:t xml:space="preserve"> long before GEF India. Gold Drop sunflower oil was </w:t>
      </w:r>
      <w:r w:rsidR="00842716">
        <w:lastRenderedPageBreak/>
        <w:t xml:space="preserve">the undisputed market leader before GEF India was established. </w:t>
      </w:r>
      <w:r w:rsidR="00D029ED">
        <w:t>But w</w:t>
      </w:r>
      <w:r w:rsidR="00842716">
        <w:t xml:space="preserve">ith time, </w:t>
      </w:r>
      <w:r w:rsidR="00C7712B">
        <w:t>Gold Drop</w:t>
      </w:r>
      <w:r w:rsidR="00D029ED">
        <w:t xml:space="preserve"> was a victim of </w:t>
      </w:r>
      <w:r w:rsidR="00842716">
        <w:t xml:space="preserve">complacency, which is when </w:t>
      </w:r>
      <w:r w:rsidR="00D029ED">
        <w:t>Pradeep</w:t>
      </w:r>
      <w:r w:rsidR="00842716">
        <w:t xml:space="preserve"> </w:t>
      </w:r>
      <w:r w:rsidR="00D029ED">
        <w:t>saw the opportunity for</w:t>
      </w:r>
      <w:r w:rsidR="00842716">
        <w:t xml:space="preserve"> a new player</w:t>
      </w:r>
      <w:r w:rsidR="00D029ED">
        <w:t xml:space="preserve"> and </w:t>
      </w:r>
      <w:r w:rsidR="00842716">
        <w:t xml:space="preserve">established GEF India. To entice consumers, </w:t>
      </w:r>
      <w:r w:rsidR="00D029ED">
        <w:t xml:space="preserve">the company set its </w:t>
      </w:r>
      <w:r w:rsidR="00842716">
        <w:t>initial pric</w:t>
      </w:r>
      <w:r w:rsidR="00D029ED">
        <w:t>es</w:t>
      </w:r>
      <w:r w:rsidR="00842716">
        <w:t xml:space="preserve"> slightly lower than Gold Drop</w:t>
      </w:r>
      <w:r w:rsidR="00D029ED">
        <w:t>’s</w:t>
      </w:r>
      <w:r w:rsidR="00842716">
        <w:t xml:space="preserve">. </w:t>
      </w:r>
    </w:p>
    <w:p w14:paraId="2E609D10" w14:textId="77777777" w:rsidR="00D029ED" w:rsidRDefault="00D029ED" w:rsidP="00842716">
      <w:pPr>
        <w:pStyle w:val="BodyTextMain"/>
      </w:pPr>
    </w:p>
    <w:p w14:paraId="397ADBF7" w14:textId="554B16EC" w:rsidR="00970AF1" w:rsidRDefault="00842716" w:rsidP="00D029ED">
      <w:pPr>
        <w:pStyle w:val="BodyTextMain"/>
      </w:pPr>
      <w:r>
        <w:t>GEF India</w:t>
      </w:r>
      <w:r w:rsidR="00D029ED">
        <w:t xml:space="preserve"> kept pushing forward; however, </w:t>
      </w:r>
      <w:r>
        <w:t xml:space="preserve">the regional competitors </w:t>
      </w:r>
      <w:r w:rsidR="00D029ED">
        <w:t xml:space="preserve">worked </w:t>
      </w:r>
      <w:r w:rsidR="00E2182E">
        <w:t xml:space="preserve">equally as </w:t>
      </w:r>
      <w:r w:rsidR="00D029ED">
        <w:t xml:space="preserve">hard to </w:t>
      </w:r>
      <w:r>
        <w:t>increas</w:t>
      </w:r>
      <w:r w:rsidR="00D029ED">
        <w:t>e</w:t>
      </w:r>
      <w:r>
        <w:t xml:space="preserve"> their footprint. </w:t>
      </w:r>
      <w:proofErr w:type="spellStart"/>
      <w:r>
        <w:t>Saraiwala</w:t>
      </w:r>
      <w:proofErr w:type="spellEnd"/>
      <w:r>
        <w:t xml:space="preserve"> Agro earmarked </w:t>
      </w:r>
      <w:r w:rsidR="00E2182E">
        <w:rPr>
          <w:rFonts w:ascii="Calibri" w:eastAsia="Calibri" w:hAnsi="Calibri" w:cs="Calibri"/>
        </w:rPr>
        <w:t>₹</w:t>
      </w:r>
      <w:r>
        <w:t xml:space="preserve">250 million </w:t>
      </w:r>
      <w:r w:rsidR="00E2182E">
        <w:t xml:space="preserve">for </w:t>
      </w:r>
      <w:r>
        <w:t>a marketing and brand</w:t>
      </w:r>
      <w:r w:rsidR="00B21993">
        <w:t>-</w:t>
      </w:r>
      <w:r>
        <w:t>building exercise in 2014 alone</w:t>
      </w:r>
      <w:r w:rsidR="00E2182E">
        <w:t>, and</w:t>
      </w:r>
      <w:r>
        <w:t xml:space="preserve"> 3F Industries </w:t>
      </w:r>
      <w:r w:rsidR="004547DE">
        <w:t>was</w:t>
      </w:r>
      <w:r>
        <w:t xml:space="preserve"> aggressively expanding their dealer network in Tamil Nadu, Kerala, and Karnataka. But </w:t>
      </w:r>
      <w:r w:rsidR="00E2182E">
        <w:t>over</w:t>
      </w:r>
      <w:r>
        <w:t xml:space="preserve"> time, GEF India steadily overt</w:t>
      </w:r>
      <w:r w:rsidR="00E2182E">
        <w:t>ook</w:t>
      </w:r>
      <w:r>
        <w:t xml:space="preserve"> </w:t>
      </w:r>
      <w:r w:rsidR="00E2182E">
        <w:t xml:space="preserve">its </w:t>
      </w:r>
      <w:r>
        <w:t>regional competitors</w:t>
      </w:r>
      <w:r w:rsidR="00E2182E">
        <w:t xml:space="preserve"> (see </w:t>
      </w:r>
      <w:r>
        <w:t>Exhibit</w:t>
      </w:r>
      <w:r w:rsidR="00E2182E">
        <w:t>s</w:t>
      </w:r>
      <w:r>
        <w:t xml:space="preserve"> 2</w:t>
      </w:r>
      <w:r w:rsidR="00E2182E">
        <w:t>–4)</w:t>
      </w:r>
      <w:r>
        <w:t xml:space="preserve">. </w:t>
      </w:r>
      <w:r w:rsidR="00970AF1">
        <w:t xml:space="preserve">In 2011, </w:t>
      </w:r>
      <w:proofErr w:type="spellStart"/>
      <w:r>
        <w:t>Kaleesuwari</w:t>
      </w:r>
      <w:proofErr w:type="spellEnd"/>
      <w:r>
        <w:t xml:space="preserve"> Refinery P</w:t>
      </w:r>
      <w:r w:rsidR="005260EF">
        <w:t>ri</w:t>
      </w:r>
      <w:r>
        <w:t>v</w:t>
      </w:r>
      <w:r w:rsidR="005260EF">
        <w:t>a</w:t>
      </w:r>
      <w:r>
        <w:t>t</w:t>
      </w:r>
      <w:r w:rsidR="005260EF">
        <w:t>e</w:t>
      </w:r>
      <w:r>
        <w:t xml:space="preserve"> L</w:t>
      </w:r>
      <w:r w:rsidR="005260EF">
        <w:t>imi</w:t>
      </w:r>
      <w:r>
        <w:t>t</w:t>
      </w:r>
      <w:r w:rsidR="005260EF">
        <w:t>e</w:t>
      </w:r>
      <w:r>
        <w:t>d</w:t>
      </w:r>
      <w:r w:rsidR="00970AF1">
        <w:t>, one of GEF India’s close competitors,</w:t>
      </w:r>
      <w:r>
        <w:t xml:space="preserve"> </w:t>
      </w:r>
      <w:r w:rsidR="00970AF1">
        <w:t xml:space="preserve">held a countrywide market share of </w:t>
      </w:r>
      <w:r>
        <w:t>0.87</w:t>
      </w:r>
      <w:r w:rsidR="00970AF1">
        <w:t xml:space="preserve"> per cent</w:t>
      </w:r>
      <w:r>
        <w:t xml:space="preserve"> </w:t>
      </w:r>
      <w:r w:rsidR="00970AF1">
        <w:t xml:space="preserve">compared </w:t>
      </w:r>
      <w:r>
        <w:t xml:space="preserve">to GEF India’s </w:t>
      </w:r>
      <w:r w:rsidR="00970AF1">
        <w:t xml:space="preserve">share of </w:t>
      </w:r>
      <w:r>
        <w:t>0.68</w:t>
      </w:r>
      <w:r w:rsidR="00970AF1">
        <w:t xml:space="preserve"> per cent</w:t>
      </w:r>
      <w:r w:rsidR="004547DE">
        <w:t xml:space="preserve">. However, </w:t>
      </w:r>
      <w:r w:rsidR="00970AF1">
        <w:t xml:space="preserve">by 2016, GEF India had taken the lead with a market share of 1.53 per cent compared to </w:t>
      </w:r>
      <w:proofErr w:type="spellStart"/>
      <w:r w:rsidR="00970AF1">
        <w:t>Kaleesuwari’s</w:t>
      </w:r>
      <w:proofErr w:type="spellEnd"/>
      <w:r w:rsidR="00970AF1">
        <w:t xml:space="preserve"> share of </w:t>
      </w:r>
      <w:r>
        <w:t>1.48</w:t>
      </w:r>
      <w:r w:rsidR="00970AF1">
        <w:t xml:space="preserve"> per cent</w:t>
      </w:r>
      <w:r>
        <w:t xml:space="preserve">. </w:t>
      </w:r>
    </w:p>
    <w:p w14:paraId="19619AAF" w14:textId="77777777" w:rsidR="00970AF1" w:rsidRDefault="00970AF1" w:rsidP="00D029ED">
      <w:pPr>
        <w:pStyle w:val="BodyTextMain"/>
      </w:pPr>
    </w:p>
    <w:p w14:paraId="40F420CC" w14:textId="793629B4" w:rsidR="00842716" w:rsidRDefault="00842716" w:rsidP="00842716">
      <w:pPr>
        <w:pStyle w:val="BodyTextMain"/>
      </w:pPr>
      <w:r>
        <w:t>With its rapid growth, GEF India entered a different league of competition</w:t>
      </w:r>
      <w:r w:rsidR="00970AF1">
        <w:t>: t</w:t>
      </w:r>
      <w:r>
        <w:t xml:space="preserve">hey now had to compete with pan-Indian players </w:t>
      </w:r>
      <w:r w:rsidR="00970AF1">
        <w:t>in the edible oils segment</w:t>
      </w:r>
      <w:r w:rsidR="00D14330">
        <w:t>,</w:t>
      </w:r>
      <w:r w:rsidR="00970AF1">
        <w:t xml:space="preserve"> </w:t>
      </w:r>
      <w:r>
        <w:t>such as Marico</w:t>
      </w:r>
      <w:r w:rsidR="005260EF">
        <w:t xml:space="preserve"> Limited</w:t>
      </w:r>
      <w:r>
        <w:t>, Cargill</w:t>
      </w:r>
      <w:r w:rsidR="005260EF">
        <w:t xml:space="preserve"> India Private Limited</w:t>
      </w:r>
      <w:r>
        <w:t xml:space="preserve">, </w:t>
      </w:r>
      <w:proofErr w:type="spellStart"/>
      <w:r>
        <w:t>Ruchi</w:t>
      </w:r>
      <w:proofErr w:type="spellEnd"/>
      <w:r>
        <w:t xml:space="preserve"> Soya</w:t>
      </w:r>
      <w:r w:rsidR="005260EF">
        <w:t xml:space="preserve"> Industries Limited</w:t>
      </w:r>
      <w:r>
        <w:t>, and Adani Wilmar</w:t>
      </w:r>
      <w:r w:rsidR="00D56E92">
        <w:t xml:space="preserve"> Limited</w:t>
      </w:r>
      <w:r>
        <w:t>.</w:t>
      </w:r>
      <w:r w:rsidR="00970AF1">
        <w:t xml:space="preserve"> </w:t>
      </w:r>
      <w:r>
        <w:t>The leading edible oil brands in the country</w:t>
      </w:r>
      <w:r w:rsidR="00970AF1">
        <w:t>—</w:t>
      </w:r>
      <w:r w:rsidRPr="00725A44">
        <w:rPr>
          <w:i/>
        </w:rPr>
        <w:t>Fortune</w:t>
      </w:r>
      <w:r>
        <w:t xml:space="preserve"> </w:t>
      </w:r>
      <w:r w:rsidR="00970AF1">
        <w:t xml:space="preserve">from </w:t>
      </w:r>
      <w:r>
        <w:t xml:space="preserve">Adani Wilmar, </w:t>
      </w:r>
      <w:proofErr w:type="spellStart"/>
      <w:r w:rsidRPr="00725A44">
        <w:rPr>
          <w:i/>
        </w:rPr>
        <w:t>Nutrela</w:t>
      </w:r>
      <w:proofErr w:type="spellEnd"/>
      <w:r>
        <w:t xml:space="preserve"> </w:t>
      </w:r>
      <w:r w:rsidR="00970AF1">
        <w:t xml:space="preserve">from </w:t>
      </w:r>
      <w:proofErr w:type="spellStart"/>
      <w:r>
        <w:t>Ruchi</w:t>
      </w:r>
      <w:proofErr w:type="spellEnd"/>
      <w:r>
        <w:t xml:space="preserve"> Soya, and </w:t>
      </w:r>
      <w:r w:rsidRPr="00725A44">
        <w:rPr>
          <w:i/>
        </w:rPr>
        <w:t>Nature Fresh</w:t>
      </w:r>
      <w:r>
        <w:t xml:space="preserve"> </w:t>
      </w:r>
      <w:r w:rsidR="00970AF1">
        <w:t xml:space="preserve">from </w:t>
      </w:r>
      <w:r>
        <w:t>Cargill</w:t>
      </w:r>
      <w:r w:rsidR="00970AF1">
        <w:t>—also</w:t>
      </w:r>
      <w:r>
        <w:t xml:space="preserve"> had an international presence. The market share of industry heavyweight Cargill was 2.45</w:t>
      </w:r>
      <w:r w:rsidR="00970AF1">
        <w:t xml:space="preserve"> per cent</w:t>
      </w:r>
      <w:r>
        <w:t xml:space="preserve"> in FY 20</w:t>
      </w:r>
      <w:r w:rsidR="0037229E">
        <w:t>15</w:t>
      </w:r>
      <w:r w:rsidR="004547DE">
        <w:t>–</w:t>
      </w:r>
      <w:r>
        <w:t xml:space="preserve">16 with sales of </w:t>
      </w:r>
      <w:r w:rsidR="00970AF1">
        <w:rPr>
          <w:rFonts w:ascii="Calibri" w:eastAsia="Calibri" w:hAnsi="Calibri" w:cs="Calibri"/>
        </w:rPr>
        <w:t>₹</w:t>
      </w:r>
      <w:r>
        <w:t>39.7 billion. The market share of the other giant, Adani Wilmar</w:t>
      </w:r>
      <w:r w:rsidR="00D56E92">
        <w:t xml:space="preserve"> Limited</w:t>
      </w:r>
      <w:r>
        <w:t>, was 7.78</w:t>
      </w:r>
      <w:r w:rsidR="00970AF1">
        <w:t xml:space="preserve"> per cent</w:t>
      </w:r>
      <w:r>
        <w:t xml:space="preserve"> with sales of </w:t>
      </w:r>
      <w:r w:rsidR="00970AF1">
        <w:rPr>
          <w:rFonts w:ascii="Calibri" w:eastAsia="Calibri" w:hAnsi="Calibri" w:cs="Calibri"/>
        </w:rPr>
        <w:t>₹</w:t>
      </w:r>
      <w:r>
        <w:t>126.37 billion</w:t>
      </w:r>
      <w:r w:rsidR="004547DE">
        <w:t>. T</w:t>
      </w:r>
      <w:r>
        <w:t xml:space="preserve">he industry leader, </w:t>
      </w:r>
      <w:proofErr w:type="spellStart"/>
      <w:r>
        <w:t>Ruchi</w:t>
      </w:r>
      <w:proofErr w:type="spellEnd"/>
      <w:r>
        <w:t xml:space="preserve"> Soya, had the highest market share of 12.4</w:t>
      </w:r>
      <w:r w:rsidR="00970AF1">
        <w:t xml:space="preserve"> per cent</w:t>
      </w:r>
      <w:r>
        <w:t xml:space="preserve"> with sales of </w:t>
      </w:r>
      <w:r w:rsidR="00970AF1">
        <w:rPr>
          <w:rFonts w:ascii="Calibri" w:eastAsia="Calibri" w:hAnsi="Calibri" w:cs="Calibri"/>
        </w:rPr>
        <w:t>₹</w:t>
      </w:r>
      <w:r>
        <w:t>201.35 billion</w:t>
      </w:r>
      <w:r w:rsidR="005C26C9">
        <w:t xml:space="preserve"> (see Exhibits 3 and 4)</w:t>
      </w:r>
      <w:r>
        <w:t>.</w:t>
      </w:r>
    </w:p>
    <w:p w14:paraId="709B10E4" w14:textId="77777777" w:rsidR="00842716" w:rsidRDefault="00842716" w:rsidP="00842716">
      <w:pPr>
        <w:pStyle w:val="BodyTextMain"/>
      </w:pPr>
    </w:p>
    <w:p w14:paraId="07E3F26B" w14:textId="77777777" w:rsidR="00842716" w:rsidRDefault="00842716" w:rsidP="00842716">
      <w:pPr>
        <w:pStyle w:val="BodyTextMain"/>
      </w:pPr>
    </w:p>
    <w:p w14:paraId="4ED7A273" w14:textId="77777777" w:rsidR="00842716" w:rsidRDefault="00842716" w:rsidP="0029308B">
      <w:pPr>
        <w:pStyle w:val="Casehead1"/>
        <w:outlineLvl w:val="0"/>
      </w:pPr>
      <w:r>
        <w:t>The Road Ahead</w:t>
      </w:r>
    </w:p>
    <w:p w14:paraId="417FFCBB" w14:textId="77777777" w:rsidR="00842716" w:rsidRDefault="00842716" w:rsidP="00725A44">
      <w:pPr>
        <w:pStyle w:val="BodyTextMainlink"/>
      </w:pPr>
    </w:p>
    <w:p w14:paraId="660F5B70" w14:textId="029EBDA6" w:rsidR="00842716" w:rsidRDefault="00842716" w:rsidP="00842716">
      <w:pPr>
        <w:pStyle w:val="BodyTextMain"/>
      </w:pPr>
      <w:r>
        <w:t xml:space="preserve">GEF India </w:t>
      </w:r>
      <w:r w:rsidR="00970AF1">
        <w:t xml:space="preserve">had exhibited rapid growth from the start and </w:t>
      </w:r>
      <w:r>
        <w:t>currently enjoyed a dominant presence in South India</w:t>
      </w:r>
      <w:r w:rsidR="004F06A9">
        <w:t xml:space="preserve">. </w:t>
      </w:r>
      <w:r>
        <w:t xml:space="preserve">The domestic markets were </w:t>
      </w:r>
      <w:r w:rsidR="00970AF1">
        <w:t xml:space="preserve">still </w:t>
      </w:r>
      <w:r>
        <w:t xml:space="preserve">offering huge potential. </w:t>
      </w:r>
      <w:r w:rsidR="00970AF1">
        <w:t xml:space="preserve">The vice-president of sales and marketing, </w:t>
      </w:r>
      <w:r>
        <w:t>P</w:t>
      </w:r>
      <w:r w:rsidR="00D56E92">
        <w:t>.</w:t>
      </w:r>
      <w:r>
        <w:t xml:space="preserve"> Chandra </w:t>
      </w:r>
      <w:proofErr w:type="spellStart"/>
      <w:r>
        <w:t>Shekhara</w:t>
      </w:r>
      <w:proofErr w:type="spellEnd"/>
      <w:r>
        <w:t xml:space="preserve"> Reddy, </w:t>
      </w:r>
      <w:r w:rsidR="00970AF1">
        <w:t>maintained</w:t>
      </w:r>
      <w:r>
        <w:t>, “[If] there is supply deficit in meeting demand within the country</w:t>
      </w:r>
      <w:r w:rsidR="00970AF1">
        <w:t>,</w:t>
      </w:r>
      <w:r>
        <w:t xml:space="preserve"> </w:t>
      </w:r>
      <w:proofErr w:type="gramStart"/>
      <w:r>
        <w:t>then</w:t>
      </w:r>
      <w:proofErr w:type="gramEnd"/>
      <w:r>
        <w:t xml:space="preserve"> why export?”</w:t>
      </w:r>
      <w:r>
        <w:rPr>
          <w:rStyle w:val="FootnoteReference"/>
        </w:rPr>
        <w:footnoteReference w:id="19"/>
      </w:r>
    </w:p>
    <w:p w14:paraId="7633B8CB" w14:textId="77777777" w:rsidR="00842716" w:rsidRDefault="00842716" w:rsidP="00842716">
      <w:pPr>
        <w:pStyle w:val="BodyTextMain"/>
      </w:pPr>
    </w:p>
    <w:p w14:paraId="39452D2C" w14:textId="6B0BF500" w:rsidR="00842716" w:rsidRDefault="0075402B" w:rsidP="00842716">
      <w:pPr>
        <w:pStyle w:val="BodyTextMain"/>
      </w:pPr>
      <w:r>
        <w:t xml:space="preserve">However, while </w:t>
      </w:r>
      <w:r w:rsidR="00842716">
        <w:t xml:space="preserve">GEF India and the </w:t>
      </w:r>
      <w:r>
        <w:t xml:space="preserve">Freedom </w:t>
      </w:r>
      <w:r w:rsidR="00842716">
        <w:t xml:space="preserve">product line </w:t>
      </w:r>
      <w:r>
        <w:t xml:space="preserve">were </w:t>
      </w:r>
      <w:r w:rsidR="00842716">
        <w:t>household name</w:t>
      </w:r>
      <w:r>
        <w:t>s</w:t>
      </w:r>
      <w:r w:rsidR="00842716">
        <w:t xml:space="preserve"> in the south, </w:t>
      </w:r>
      <w:r>
        <w:t xml:space="preserve">they were </w:t>
      </w:r>
      <w:r w:rsidR="00842716">
        <w:t xml:space="preserve">not yet </w:t>
      </w:r>
      <w:r>
        <w:t>names that</w:t>
      </w:r>
      <w:r w:rsidR="00842716">
        <w:t xml:space="preserve"> consumers </w:t>
      </w:r>
      <w:r>
        <w:t xml:space="preserve">in other parts of India </w:t>
      </w:r>
      <w:r w:rsidR="00842716">
        <w:t xml:space="preserve">could identify with. </w:t>
      </w:r>
      <w:proofErr w:type="spellStart"/>
      <w:r>
        <w:t>Akshay</w:t>
      </w:r>
      <w:proofErr w:type="spellEnd"/>
      <w:r w:rsidR="00842716">
        <w:t xml:space="preserve"> </w:t>
      </w:r>
      <w:r>
        <w:t>considered</w:t>
      </w:r>
      <w:r w:rsidR="00842716">
        <w:t xml:space="preserve"> the</w:t>
      </w:r>
      <w:r>
        <w:t xml:space="preserve"> company’s</w:t>
      </w:r>
      <w:r w:rsidR="00842716">
        <w:t xml:space="preserve"> next steps. </w:t>
      </w:r>
      <w:r>
        <w:t>If they were going to d</w:t>
      </w:r>
      <w:r w:rsidR="00842716">
        <w:t>oubl</w:t>
      </w:r>
      <w:r>
        <w:t>e the company’s</w:t>
      </w:r>
      <w:r w:rsidR="00842716">
        <w:t xml:space="preserve"> revenues by 2021</w:t>
      </w:r>
      <w:r>
        <w:t>,</w:t>
      </w:r>
      <w:r w:rsidR="00842716">
        <w:t xml:space="preserve"> </w:t>
      </w:r>
      <w:r>
        <w:t>they needed</w:t>
      </w:r>
      <w:r w:rsidR="00842716">
        <w:t xml:space="preserve"> creative thinking and radical </w:t>
      </w:r>
      <w:r>
        <w:t>moves</w:t>
      </w:r>
      <w:r w:rsidR="00842716">
        <w:t xml:space="preserve"> </w:t>
      </w:r>
      <w:r w:rsidR="004547DE">
        <w:t>in</w:t>
      </w:r>
      <w:r w:rsidR="00842716">
        <w:t xml:space="preserve"> growth strategy</w:t>
      </w:r>
      <w:r>
        <w:t xml:space="preserve"> or </w:t>
      </w:r>
      <w:r w:rsidR="00842716">
        <w:t>marketing and intra-organizational communication strategy, or the</w:t>
      </w:r>
      <w:r>
        <w:t>y</w:t>
      </w:r>
      <w:r w:rsidR="00842716">
        <w:t xml:space="preserve"> need</w:t>
      </w:r>
      <w:r>
        <w:t>ed</w:t>
      </w:r>
      <w:r w:rsidR="00842716">
        <w:t xml:space="preserve"> a cultural shift in the organization.</w:t>
      </w:r>
    </w:p>
    <w:p w14:paraId="2DE2BA57" w14:textId="77777777" w:rsidR="00842716" w:rsidRDefault="00842716" w:rsidP="00725A44">
      <w:pPr>
        <w:pStyle w:val="BodyTextMain"/>
      </w:pPr>
      <w:r>
        <w:br w:type="page"/>
      </w:r>
    </w:p>
    <w:p w14:paraId="6E136EC6" w14:textId="7CE13DDA" w:rsidR="00842716" w:rsidRDefault="00842716" w:rsidP="0029308B">
      <w:pPr>
        <w:pStyle w:val="ExhibitHeading"/>
        <w:outlineLvl w:val="0"/>
      </w:pPr>
      <w:bookmarkStart w:id="2" w:name="_Ref488068416"/>
      <w:r>
        <w:lastRenderedPageBreak/>
        <w:t xml:space="preserve">Exhibit </w:t>
      </w:r>
      <w:r w:rsidR="00315B6B">
        <w:fldChar w:fldCharType="begin"/>
      </w:r>
      <w:r w:rsidR="00315B6B">
        <w:instrText xml:space="preserve"> SEQ Exhibit \* ARABIC </w:instrText>
      </w:r>
      <w:r w:rsidR="00315B6B">
        <w:fldChar w:fldCharType="separate"/>
      </w:r>
      <w:r w:rsidR="001D4C3C">
        <w:rPr>
          <w:noProof/>
        </w:rPr>
        <w:t>1</w:t>
      </w:r>
      <w:r w:rsidR="00315B6B">
        <w:rPr>
          <w:noProof/>
        </w:rPr>
        <w:fldChar w:fldCharType="end"/>
      </w:r>
      <w:bookmarkEnd w:id="2"/>
      <w:r>
        <w:t>:</w:t>
      </w:r>
      <w:r w:rsidR="00BA4ED5">
        <w:t xml:space="preserve"> </w:t>
      </w:r>
      <w:r>
        <w:t>Demand Supply Gap of Edible Oil in India</w:t>
      </w:r>
    </w:p>
    <w:p w14:paraId="24641D31" w14:textId="1E713982" w:rsidR="007464CD" w:rsidRDefault="007464CD" w:rsidP="00725A44">
      <w:pPr>
        <w:pStyle w:val="ExhibitText"/>
      </w:pPr>
    </w:p>
    <w:p w14:paraId="78B7F0F6" w14:textId="226E0710" w:rsidR="00DD2770" w:rsidRDefault="00DD2770" w:rsidP="00BB329A">
      <w:pPr>
        <w:pStyle w:val="ExhibitText"/>
        <w:jc w:val="center"/>
      </w:pPr>
      <w:r>
        <w:rPr>
          <w:noProof/>
          <w:lang w:val="en-CA" w:eastAsia="en-CA"/>
        </w:rPr>
        <w:drawing>
          <wp:inline distT="0" distB="0" distL="0" distR="0" wp14:anchorId="7211ABDA" wp14:editId="09B02789">
            <wp:extent cx="5820834" cy="3111500"/>
            <wp:effectExtent l="0" t="0" r="8890" b="12700"/>
            <wp:docPr id="6" name="Chart 6">
              <a:extLst xmlns:a="http://schemas.openxmlformats.org/drawingml/2006/main">
                <a:ext uri="{FF2B5EF4-FFF2-40B4-BE49-F238E27FC236}">
                  <a16:creationId xmlns:a16="http://schemas.microsoft.com/office/drawing/2014/main" id="{DD01D451-C762-4077-89A9-D4237B665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573EBA" w14:textId="77777777" w:rsidR="00DD2770" w:rsidRDefault="00DD2770" w:rsidP="00BB329A">
      <w:pPr>
        <w:pStyle w:val="Footnote"/>
      </w:pPr>
    </w:p>
    <w:p w14:paraId="1B20DEF7" w14:textId="46F42536" w:rsidR="007464CD" w:rsidRDefault="00DD2770" w:rsidP="00BB329A">
      <w:pPr>
        <w:pStyle w:val="Footnote"/>
        <w:rPr>
          <w:sz w:val="22"/>
          <w:szCs w:val="22"/>
        </w:rPr>
      </w:pPr>
      <w:r>
        <w:t>Source: Created by the authors using data from Centre for Mon</w:t>
      </w:r>
      <w:r w:rsidR="00BB329A">
        <w:t>itoring Indian Economy (CMIE), “</w:t>
      </w:r>
      <w:r>
        <w:t>Vegetable Oi</w:t>
      </w:r>
      <w:r w:rsidR="00BB329A">
        <w:t>ls &amp; Products: Demand &amp; Supply,”</w:t>
      </w:r>
      <w:r>
        <w:t xml:space="preserve"> Industry Outlook, accessed Nov</w:t>
      </w:r>
      <w:r w:rsidR="00F2188E">
        <w:t>ember</w:t>
      </w:r>
      <w:r>
        <w:t xml:space="preserve"> 22, 2017.</w:t>
      </w:r>
      <w:r w:rsidR="007464CD">
        <w:rPr>
          <w:sz w:val="22"/>
          <w:szCs w:val="22"/>
        </w:rPr>
        <w:br w:type="page"/>
      </w:r>
    </w:p>
    <w:p w14:paraId="57167A34" w14:textId="462C685D" w:rsidR="007464CD" w:rsidRDefault="007464CD" w:rsidP="0029308B">
      <w:pPr>
        <w:pStyle w:val="ExhibitHeading"/>
        <w:outlineLvl w:val="0"/>
      </w:pPr>
      <w:bookmarkStart w:id="3" w:name="_Ref486933199"/>
      <w:r>
        <w:lastRenderedPageBreak/>
        <w:t xml:space="preserve">Exhibit </w:t>
      </w:r>
      <w:r w:rsidR="00315B6B">
        <w:fldChar w:fldCharType="begin"/>
      </w:r>
      <w:r w:rsidR="00315B6B">
        <w:instrText xml:space="preserve"> SEQ Exhibit \* ARABIC </w:instrText>
      </w:r>
      <w:r w:rsidR="00315B6B">
        <w:fldChar w:fldCharType="separate"/>
      </w:r>
      <w:r w:rsidR="001D4C3C">
        <w:rPr>
          <w:noProof/>
        </w:rPr>
        <w:t>2</w:t>
      </w:r>
      <w:r w:rsidR="00315B6B">
        <w:rPr>
          <w:noProof/>
        </w:rPr>
        <w:fldChar w:fldCharType="end"/>
      </w:r>
      <w:bookmarkEnd w:id="3"/>
      <w:r>
        <w:t>: Market Share of competing Sunflower Oil brands</w:t>
      </w:r>
      <w:r w:rsidR="00AB79EF">
        <w:t>, By State</w:t>
      </w:r>
    </w:p>
    <w:p w14:paraId="145AF9E1" w14:textId="77777777" w:rsidR="007464CD" w:rsidRDefault="007464CD" w:rsidP="00725A44">
      <w:pPr>
        <w:pStyle w:val="ExhibitText"/>
      </w:pPr>
    </w:p>
    <w:tbl>
      <w:tblPr>
        <w:tblStyle w:val="GridTable1Light"/>
        <w:tblW w:w="5000" w:type="pct"/>
        <w:jc w:val="center"/>
        <w:tblLook w:val="04A0" w:firstRow="1" w:lastRow="0" w:firstColumn="1" w:lastColumn="0" w:noHBand="0" w:noVBand="1"/>
      </w:tblPr>
      <w:tblGrid>
        <w:gridCol w:w="418"/>
        <w:gridCol w:w="2411"/>
        <w:gridCol w:w="1086"/>
        <w:gridCol w:w="1087"/>
        <w:gridCol w:w="1087"/>
        <w:gridCol w:w="1087"/>
        <w:gridCol w:w="1087"/>
        <w:gridCol w:w="1087"/>
      </w:tblGrid>
      <w:tr w:rsidR="007464CD" w14:paraId="775C4DC4" w14:textId="77777777" w:rsidTr="00725A44">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829"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130F02E" w14:textId="559FFFB1" w:rsidR="007464CD" w:rsidRDefault="00F2292C">
            <w:pPr>
              <w:jc w:val="center"/>
              <w:rPr>
                <w:rFonts w:ascii="Arial" w:hAnsi="Arial" w:cs="Arial"/>
                <w:color w:val="222222"/>
                <w:sz w:val="19"/>
                <w:szCs w:val="19"/>
                <w:lang w:eastAsia="en-IN"/>
              </w:rPr>
            </w:pPr>
            <w:r>
              <w:rPr>
                <w:rFonts w:ascii="Arial" w:hAnsi="Arial" w:cs="Arial"/>
                <w:color w:val="000000"/>
                <w:sz w:val="18"/>
                <w:szCs w:val="18"/>
                <w:lang w:eastAsia="en-IN"/>
              </w:rPr>
              <w:t>Sunflower Oil</w:t>
            </w:r>
          </w:p>
        </w:tc>
        <w:tc>
          <w:tcPr>
            <w:tcW w:w="6521" w:type="dxa"/>
            <w:gridSpan w:val="6"/>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7AB41B" w14:textId="60290600" w:rsidR="007464CD" w:rsidRDefault="007464C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sz w:val="19"/>
                <w:szCs w:val="19"/>
                <w:lang w:eastAsia="en-IN"/>
              </w:rPr>
              <w:t>Market Share (</w:t>
            </w:r>
            <w:r w:rsidR="00F2292C">
              <w:rPr>
                <w:rFonts w:ascii="Arial" w:hAnsi="Arial" w:cs="Arial"/>
                <w:color w:val="000000"/>
                <w:sz w:val="19"/>
                <w:szCs w:val="19"/>
                <w:lang w:eastAsia="en-IN"/>
              </w:rPr>
              <w:t xml:space="preserve">by </w:t>
            </w:r>
            <w:r w:rsidR="00AB79EF">
              <w:rPr>
                <w:rFonts w:ascii="Arial" w:hAnsi="Arial" w:cs="Arial"/>
                <w:color w:val="000000"/>
                <w:sz w:val="19"/>
                <w:szCs w:val="19"/>
                <w:lang w:eastAsia="en-IN"/>
              </w:rPr>
              <w:t>v</w:t>
            </w:r>
            <w:r>
              <w:rPr>
                <w:rFonts w:ascii="Arial" w:hAnsi="Arial" w:cs="Arial"/>
                <w:color w:val="000000"/>
                <w:sz w:val="19"/>
                <w:szCs w:val="19"/>
                <w:lang w:eastAsia="en-IN"/>
              </w:rPr>
              <w:t>olume</w:t>
            </w:r>
            <w:r w:rsidR="00AB79EF">
              <w:rPr>
                <w:rFonts w:ascii="Arial" w:hAnsi="Arial" w:cs="Arial"/>
                <w:color w:val="000000"/>
                <w:sz w:val="19"/>
                <w:szCs w:val="19"/>
                <w:lang w:eastAsia="en-IN"/>
              </w:rPr>
              <w:t>, in percentages*</w:t>
            </w:r>
            <w:r>
              <w:rPr>
                <w:rFonts w:ascii="Arial" w:hAnsi="Arial" w:cs="Arial"/>
                <w:color w:val="000000"/>
                <w:sz w:val="19"/>
                <w:szCs w:val="19"/>
                <w:lang w:eastAsia="en-IN"/>
              </w:rPr>
              <w:t>)</w:t>
            </w:r>
          </w:p>
        </w:tc>
      </w:tr>
      <w:tr w:rsidR="007464CD" w14:paraId="206C5E40"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2829" w:type="dxa"/>
            <w:gridSpan w:val="2"/>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noWrap/>
            <w:vAlign w:val="center"/>
            <w:hideMark/>
          </w:tcPr>
          <w:p w14:paraId="2B205B54" w14:textId="3DB55C84" w:rsidR="007464CD" w:rsidRDefault="00F2292C">
            <w:pPr>
              <w:jc w:val="center"/>
              <w:rPr>
                <w:rFonts w:ascii="Arial" w:hAnsi="Arial" w:cs="Arial"/>
                <w:color w:val="222222"/>
                <w:sz w:val="19"/>
                <w:szCs w:val="19"/>
                <w:lang w:eastAsia="en-IN"/>
              </w:rPr>
            </w:pPr>
            <w:r>
              <w:rPr>
                <w:rFonts w:ascii="Arial" w:hAnsi="Arial" w:cs="Arial"/>
                <w:color w:val="000000"/>
                <w:sz w:val="18"/>
                <w:szCs w:val="18"/>
                <w:lang w:eastAsia="en-IN"/>
              </w:rPr>
              <w:t>Brands</w:t>
            </w:r>
          </w:p>
        </w:tc>
        <w:tc>
          <w:tcPr>
            <w:tcW w:w="1086"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135C7A90" w14:textId="6B209225" w:rsidR="007464CD" w:rsidRDefault="007464C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
                <w:bCs/>
                <w:color w:val="000000"/>
                <w:lang w:eastAsia="en-IN"/>
              </w:rPr>
              <w:t>Q4-</w:t>
            </w:r>
            <w:r w:rsidR="00F2292C">
              <w:rPr>
                <w:rFonts w:ascii="Arial" w:hAnsi="Arial" w:cs="Arial"/>
                <w:b/>
                <w:bCs/>
                <w:color w:val="000000"/>
                <w:lang w:eastAsia="en-IN"/>
              </w:rPr>
              <w:t>20</w:t>
            </w:r>
            <w:r>
              <w:rPr>
                <w:rFonts w:ascii="Arial" w:hAnsi="Arial" w:cs="Arial"/>
                <w:b/>
                <w:bCs/>
                <w:color w:val="000000"/>
                <w:lang w:eastAsia="en-IN"/>
              </w:rPr>
              <w:t>15</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5DD6A001" w14:textId="1F296B58" w:rsidR="007464CD" w:rsidRDefault="007464C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
                <w:bCs/>
                <w:color w:val="000000"/>
                <w:lang w:eastAsia="en-IN"/>
              </w:rPr>
              <w:t>Q1-</w:t>
            </w:r>
            <w:r w:rsidR="00F2292C">
              <w:rPr>
                <w:rFonts w:ascii="Arial" w:hAnsi="Arial" w:cs="Arial"/>
                <w:b/>
                <w:bCs/>
                <w:color w:val="000000"/>
                <w:lang w:eastAsia="en-IN"/>
              </w:rPr>
              <w:t>20</w:t>
            </w:r>
            <w:r>
              <w:rPr>
                <w:rFonts w:ascii="Arial" w:hAnsi="Arial" w:cs="Arial"/>
                <w:b/>
                <w:bCs/>
                <w:color w:val="000000"/>
                <w:lang w:eastAsia="en-IN"/>
              </w:rPr>
              <w:t>16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0DC54153" w14:textId="293D49D4" w:rsidR="007464CD" w:rsidRDefault="007464C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
                <w:bCs/>
                <w:color w:val="000000"/>
                <w:lang w:eastAsia="en-IN"/>
              </w:rPr>
              <w:t>Q2-</w:t>
            </w:r>
            <w:r w:rsidR="00F2292C">
              <w:rPr>
                <w:rFonts w:ascii="Arial" w:hAnsi="Arial" w:cs="Arial"/>
                <w:b/>
                <w:bCs/>
                <w:color w:val="000000"/>
                <w:lang w:eastAsia="en-IN"/>
              </w:rPr>
              <w:t>20</w:t>
            </w:r>
            <w:r>
              <w:rPr>
                <w:rFonts w:ascii="Arial" w:hAnsi="Arial" w:cs="Arial"/>
                <w:b/>
                <w:bCs/>
                <w:color w:val="000000"/>
                <w:lang w:eastAsia="en-IN"/>
              </w:rPr>
              <w:t>16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6367C366" w14:textId="6F8CB261" w:rsidR="007464CD" w:rsidRDefault="007464C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
                <w:bCs/>
                <w:color w:val="000000"/>
                <w:lang w:eastAsia="en-IN"/>
              </w:rPr>
              <w:t>Q3-</w:t>
            </w:r>
            <w:r w:rsidR="00F2292C">
              <w:rPr>
                <w:rFonts w:ascii="Arial" w:hAnsi="Arial" w:cs="Arial"/>
                <w:b/>
                <w:bCs/>
                <w:color w:val="000000"/>
                <w:lang w:eastAsia="en-IN"/>
              </w:rPr>
              <w:t>20</w:t>
            </w:r>
            <w:r>
              <w:rPr>
                <w:rFonts w:ascii="Arial" w:hAnsi="Arial" w:cs="Arial"/>
                <w:b/>
                <w:bCs/>
                <w:color w:val="000000"/>
                <w:lang w:eastAsia="en-IN"/>
              </w:rPr>
              <w:t>16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1EC00D61" w14:textId="6BBC7FC7" w:rsidR="007464CD" w:rsidRDefault="007464C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
                <w:bCs/>
                <w:color w:val="000000"/>
                <w:lang w:eastAsia="en-IN"/>
              </w:rPr>
              <w:t>Q4-</w:t>
            </w:r>
            <w:r w:rsidR="00F2292C">
              <w:rPr>
                <w:rFonts w:ascii="Arial" w:hAnsi="Arial" w:cs="Arial"/>
                <w:b/>
                <w:bCs/>
                <w:color w:val="000000"/>
                <w:lang w:eastAsia="en-IN"/>
              </w:rPr>
              <w:t>20</w:t>
            </w:r>
            <w:r>
              <w:rPr>
                <w:rFonts w:ascii="Arial" w:hAnsi="Arial" w:cs="Arial"/>
                <w:b/>
                <w:bCs/>
                <w:color w:val="000000"/>
                <w:lang w:eastAsia="en-IN"/>
              </w:rPr>
              <w:t>16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48CDF63D" w14:textId="0C9628AE" w:rsidR="007464CD" w:rsidRDefault="007464C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
                <w:bCs/>
                <w:color w:val="000000"/>
                <w:lang w:eastAsia="en-IN"/>
              </w:rPr>
              <w:t>Q1-</w:t>
            </w:r>
            <w:r w:rsidR="00F2292C">
              <w:rPr>
                <w:rFonts w:ascii="Arial" w:hAnsi="Arial" w:cs="Arial"/>
                <w:b/>
                <w:bCs/>
                <w:color w:val="000000"/>
                <w:lang w:eastAsia="en-IN"/>
              </w:rPr>
              <w:t>20</w:t>
            </w:r>
            <w:r>
              <w:rPr>
                <w:rFonts w:ascii="Arial" w:hAnsi="Arial" w:cs="Arial"/>
                <w:b/>
                <w:bCs/>
                <w:color w:val="000000"/>
                <w:lang w:eastAsia="en-IN"/>
              </w:rPr>
              <w:t>17</w:t>
            </w:r>
          </w:p>
        </w:tc>
      </w:tr>
      <w:tr w:rsidR="007464CD" w14:paraId="4D603B28"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2829" w:type="dxa"/>
            <w:gridSpan w:val="2"/>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6879CA" w14:textId="20D80BD0" w:rsidR="007464CD" w:rsidRDefault="00F2292C">
            <w:pPr>
              <w:rPr>
                <w:rFonts w:ascii="Arial" w:hAnsi="Arial" w:cs="Arial"/>
                <w:color w:val="222222"/>
                <w:sz w:val="19"/>
                <w:szCs w:val="19"/>
                <w:lang w:eastAsia="en-IN"/>
              </w:rPr>
            </w:pPr>
            <w:r w:rsidRPr="00F2292C">
              <w:rPr>
                <w:rFonts w:ascii="Arial" w:hAnsi="Arial" w:cs="Arial"/>
                <w:bCs w:val="0"/>
                <w:color w:val="000000"/>
                <w:lang w:eastAsia="en-IN"/>
              </w:rPr>
              <w:t>Andhra Pradesh</w:t>
            </w:r>
          </w:p>
        </w:tc>
        <w:tc>
          <w:tcPr>
            <w:tcW w:w="1086"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153198" w14:textId="1EC3C9D2"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1C6DC2" w14:textId="1B49EDED"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AB87A3" w14:textId="7E395BE2"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7F6216" w14:textId="7986F58B"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E2D929" w14:textId="4986CCDB"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B1B457" w14:textId="536DD509"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r>
      <w:tr w:rsidR="007464CD" w14:paraId="2C38A987"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CA474B"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1</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1DF951" w14:textId="538F0969"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Freedom</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EF24FA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45.0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E6682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45.2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355EC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47.3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81D94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50.1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7847B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50.3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564EF2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49.5</w:t>
            </w:r>
          </w:p>
        </w:tc>
      </w:tr>
      <w:tr w:rsidR="007464CD" w14:paraId="74E64D23"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CC7683"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2</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EB4A99" w14:textId="20469FEF"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Crystal</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7C3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9.5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4013E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8.0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47F99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8.6</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B3F78D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7.5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0AA4A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8.8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C5C1D8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7.6</w:t>
            </w:r>
          </w:p>
        </w:tc>
      </w:tr>
      <w:tr w:rsidR="007464CD" w14:paraId="27809A5F"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2A2A6E"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3</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A9B65" w14:textId="228AB39C"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Gold Drop</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185EF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7.3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FEF09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7.1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60645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6.5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F619C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6.0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47955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3A52A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4.5</w:t>
            </w:r>
          </w:p>
        </w:tc>
      </w:tr>
      <w:tr w:rsidR="007464CD" w14:paraId="5E5CC776"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AEE49D"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4</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85140E" w14:textId="67945D31"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Fortune</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5F3FB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1B44A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250B2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2A1DF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CBEF5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AA6E7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4.1</w:t>
            </w:r>
          </w:p>
        </w:tc>
      </w:tr>
      <w:tr w:rsidR="007464CD" w14:paraId="75BE1C8C"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285CD9DA"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5</w:t>
            </w:r>
          </w:p>
        </w:tc>
        <w:tc>
          <w:tcPr>
            <w:tcW w:w="2411"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0D1E4DD3" w14:textId="3065B190"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Naturalle</w:t>
            </w:r>
            <w:proofErr w:type="spellEnd"/>
          </w:p>
        </w:tc>
        <w:tc>
          <w:tcPr>
            <w:tcW w:w="1086"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5E9C520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6.3</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2E0376C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5.7</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55EFF4B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3.9</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718C4DE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3.4</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2E95519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3167CA0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3.7</w:t>
            </w:r>
          </w:p>
        </w:tc>
      </w:tr>
      <w:tr w:rsidR="007464CD" w14:paraId="0F4DB5BB"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2829" w:type="dxa"/>
            <w:gridSpan w:val="2"/>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95A14EF" w14:textId="77777777" w:rsidR="007464CD" w:rsidRDefault="007464CD">
            <w:pPr>
              <w:rPr>
                <w:rFonts w:ascii="Arial" w:hAnsi="Arial" w:cs="Arial"/>
                <w:color w:val="222222"/>
                <w:sz w:val="19"/>
                <w:szCs w:val="19"/>
                <w:lang w:eastAsia="en-IN"/>
              </w:rPr>
            </w:pPr>
            <w:r>
              <w:rPr>
                <w:rFonts w:ascii="Arial" w:hAnsi="Arial" w:cs="Arial"/>
                <w:bCs w:val="0"/>
                <w:color w:val="000000"/>
                <w:lang w:eastAsia="en-IN"/>
              </w:rPr>
              <w:t>Telangana</w:t>
            </w:r>
          </w:p>
        </w:tc>
        <w:tc>
          <w:tcPr>
            <w:tcW w:w="1086"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E1C1DC" w14:textId="37928E31"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D6CEC5" w14:textId="0C65B210"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5C717BD" w14:textId="346CD57F"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E65BAB" w14:textId="4E474021"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D578DD2" w14:textId="1E740769"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E8929E" w14:textId="644CFD51"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r>
      <w:tr w:rsidR="007464CD" w14:paraId="6A00C030"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4183DA"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1</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36C0F85" w14:textId="312F09BA"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Freedom</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9C4C8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26.8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1214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26.1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D65DC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25.0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D8BC7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26.1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C2EFF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D7D465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27.5</w:t>
            </w:r>
          </w:p>
        </w:tc>
      </w:tr>
      <w:tr w:rsidR="007464CD" w14:paraId="2FD2D5D0"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D9D4F1"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2</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B03C7" w14:textId="582234A9"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 xml:space="preserve">Gold Drop </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5CEE8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26.0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37164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25.5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5F1B0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26.1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BD47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32068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30950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28.2</w:t>
            </w:r>
          </w:p>
        </w:tc>
      </w:tr>
      <w:tr w:rsidR="007464CD" w14:paraId="06953538"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615EFC"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3</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5BBE5" w14:textId="7267D137"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Naturalle</w:t>
            </w:r>
            <w:proofErr w:type="spellEnd"/>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860B9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13.7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6AF8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12.2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39104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9.7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31869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9.7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06690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10.9</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F77D7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9.8</w:t>
            </w:r>
          </w:p>
        </w:tc>
      </w:tr>
      <w:tr w:rsidR="007464CD" w14:paraId="48DFBD4E"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52769E8"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4</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16A479" w14:textId="6A32A340"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Healthy Heart</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B0A2D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3760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B3002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1967F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B6C82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2A1E7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4.0</w:t>
            </w:r>
          </w:p>
        </w:tc>
      </w:tr>
      <w:tr w:rsidR="007464CD" w14:paraId="6605001D"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4A6E3FC3"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5</w:t>
            </w:r>
          </w:p>
        </w:tc>
        <w:tc>
          <w:tcPr>
            <w:tcW w:w="2411"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0291014C" w14:textId="6C81E2B7"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Fortune</w:t>
            </w:r>
          </w:p>
        </w:tc>
        <w:tc>
          <w:tcPr>
            <w:tcW w:w="1086"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0FEB71D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2.8</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567B058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48909E6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3.1</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6F1AC23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3.1</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709AAE0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3.7</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7912EC6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3.7</w:t>
            </w:r>
          </w:p>
        </w:tc>
      </w:tr>
      <w:tr w:rsidR="007464CD" w14:paraId="36F682BA"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2829" w:type="dxa"/>
            <w:gridSpan w:val="2"/>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255BD" w14:textId="67F0C302" w:rsidR="007464CD" w:rsidRDefault="00F2292C">
            <w:pPr>
              <w:rPr>
                <w:rFonts w:ascii="Arial" w:hAnsi="Arial" w:cs="Arial"/>
                <w:color w:val="222222"/>
                <w:sz w:val="19"/>
                <w:szCs w:val="19"/>
                <w:lang w:eastAsia="en-IN"/>
              </w:rPr>
            </w:pPr>
            <w:r>
              <w:rPr>
                <w:rFonts w:ascii="Arial" w:hAnsi="Arial" w:cs="Arial"/>
                <w:bCs w:val="0"/>
                <w:color w:val="000000"/>
                <w:lang w:eastAsia="en-IN"/>
              </w:rPr>
              <w:t>Odisha</w:t>
            </w:r>
          </w:p>
        </w:tc>
        <w:tc>
          <w:tcPr>
            <w:tcW w:w="1086"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002181" w14:textId="789EF2C6"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236A4" w14:textId="04D49AC8"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C7172F" w14:textId="6B42A014"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7D1253C" w14:textId="76040CA8"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8E73B9" w14:textId="146690BB"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FA3CAC" w14:textId="3DCB079D"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r>
      <w:tr w:rsidR="007464CD" w14:paraId="011CB5BF"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01F728"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1</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8738E5A" w14:textId="2A5A0B5B"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Freedom</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28DDD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38.5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D3AEC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40.1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E5570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41.1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483A4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42.4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F0792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44.6</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4B26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43.4</w:t>
            </w:r>
          </w:p>
        </w:tc>
      </w:tr>
      <w:tr w:rsidR="007464CD" w14:paraId="73B40C5F"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7506D3"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2</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93AD76" w14:textId="4E7E80F7"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Fortune</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7260E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22.1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FB8FD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22.5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CA584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21.8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5A8F9C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18.1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830F7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17.8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F4858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17.0</w:t>
            </w:r>
          </w:p>
        </w:tc>
      </w:tr>
      <w:tr w:rsidR="007464CD" w14:paraId="11D4E3C3"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4B8169"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3</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B07E60" w14:textId="67E0A738"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Aadhaar</w:t>
            </w:r>
            <w:proofErr w:type="spellEnd"/>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ECEB8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15C01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2.5</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7F96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A8526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6D9BF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5.9</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056A8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9.3</w:t>
            </w:r>
          </w:p>
        </w:tc>
      </w:tr>
      <w:tr w:rsidR="007464CD" w14:paraId="5142882B"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326916"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4</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64224" w14:textId="294F9DEF"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Gold Winner</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542E0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7793C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6DC25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C462A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09C0F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3BA55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5.8</w:t>
            </w:r>
          </w:p>
        </w:tc>
      </w:tr>
      <w:tr w:rsidR="007464CD" w14:paraId="489C3CA0"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006EAED2"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5</w:t>
            </w:r>
          </w:p>
        </w:tc>
        <w:tc>
          <w:tcPr>
            <w:tcW w:w="2411"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31354F8F" w14:textId="1B468A7F"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Dalda</w:t>
            </w:r>
            <w:proofErr w:type="spellEnd"/>
          </w:p>
        </w:tc>
        <w:tc>
          <w:tcPr>
            <w:tcW w:w="1086"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6539ED4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9.1</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7A518BD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11.6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256E5F4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7.5</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16499B5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9.4</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20D8C76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7.6</w:t>
            </w:r>
          </w:p>
        </w:tc>
        <w:tc>
          <w:tcPr>
            <w:tcW w:w="1087" w:type="dxa"/>
            <w:tcBorders>
              <w:top w:val="single" w:sz="4" w:space="0" w:color="999999" w:themeColor="text1" w:themeTint="66"/>
              <w:left w:val="single" w:sz="4" w:space="0" w:color="999999" w:themeColor="text1" w:themeTint="66"/>
              <w:bottom w:val="single" w:sz="12" w:space="0" w:color="auto"/>
              <w:right w:val="single" w:sz="4" w:space="0" w:color="999999" w:themeColor="text1" w:themeTint="66"/>
            </w:tcBorders>
            <w:vAlign w:val="center"/>
            <w:hideMark/>
          </w:tcPr>
          <w:p w14:paraId="376569E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4.6</w:t>
            </w:r>
          </w:p>
        </w:tc>
      </w:tr>
      <w:tr w:rsidR="007464CD" w14:paraId="20AB5BD2" w14:textId="77777777" w:rsidTr="00725A44">
        <w:trPr>
          <w:trHeight w:val="360"/>
          <w:jc w:val="center"/>
        </w:trPr>
        <w:tc>
          <w:tcPr>
            <w:cnfStyle w:val="001000000000" w:firstRow="0" w:lastRow="0" w:firstColumn="1" w:lastColumn="0" w:oddVBand="0" w:evenVBand="0" w:oddHBand="0" w:evenHBand="0" w:firstRowFirstColumn="0" w:firstRowLastColumn="0" w:lastRowFirstColumn="0" w:lastRowLastColumn="0"/>
            <w:tcW w:w="2829" w:type="dxa"/>
            <w:gridSpan w:val="2"/>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E9613" w14:textId="753E1FDF" w:rsidR="007464CD" w:rsidRDefault="00F2292C">
            <w:pPr>
              <w:rPr>
                <w:rFonts w:ascii="Arial" w:hAnsi="Arial" w:cs="Arial"/>
                <w:color w:val="222222"/>
                <w:sz w:val="19"/>
                <w:szCs w:val="19"/>
                <w:lang w:eastAsia="en-IN"/>
              </w:rPr>
            </w:pPr>
            <w:r>
              <w:rPr>
                <w:rFonts w:ascii="Arial" w:hAnsi="Arial" w:cs="Arial"/>
                <w:bCs w:val="0"/>
                <w:color w:val="000000"/>
                <w:lang w:eastAsia="en-IN"/>
              </w:rPr>
              <w:t>Karnataka</w:t>
            </w:r>
          </w:p>
        </w:tc>
        <w:tc>
          <w:tcPr>
            <w:tcW w:w="1086"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C60297A" w14:textId="30EFD5EC"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23E73D" w14:textId="7BEE87F0"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6AF8A8" w14:textId="08E1EDCA"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D23BA5" w14:textId="5E6C0B90"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46F106" w14:textId="72048174"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c>
          <w:tcPr>
            <w:tcW w:w="1087" w:type="dxa"/>
            <w:tcBorders>
              <w:top w:val="single" w:sz="12" w:space="0" w:color="auto"/>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942FA" w14:textId="31E73FCB"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
        </w:tc>
      </w:tr>
      <w:tr w:rsidR="007464CD" w14:paraId="3EB70A11"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E4973"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1</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84A988" w14:textId="2482CA3A"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Sunpure</w:t>
            </w:r>
            <w:proofErr w:type="spellEnd"/>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68775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40.8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6E92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38.7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21C090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42.0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3861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43.6</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8D23A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41.3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9DE06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42.1</w:t>
            </w:r>
          </w:p>
        </w:tc>
      </w:tr>
      <w:tr w:rsidR="007464CD" w14:paraId="18F44E62"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09F390"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2</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D1966F" w14:textId="0A56A228"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Gold Winner</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84DFD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18.8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8CFC5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19.4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B8CA3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19.4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330E4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18.2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B69EC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20.8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6F5A62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20.7</w:t>
            </w:r>
          </w:p>
        </w:tc>
      </w:tr>
      <w:tr w:rsidR="007464CD" w14:paraId="33500F4A"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6FD71F"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3</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CB214" w14:textId="2BE7DA6B"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Sunrich</w:t>
            </w:r>
            <w:proofErr w:type="spellEnd"/>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6687FD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FBFA2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B938E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81A4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DA5106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72130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5.0</w:t>
            </w:r>
          </w:p>
        </w:tc>
      </w:tr>
      <w:tr w:rsidR="007464CD" w14:paraId="0106D035"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676260"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4</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35CFB6" w14:textId="0967D935"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Fortune</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6E383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4.9</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47090C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6F1A3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4.6</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D9219"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EAB0B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89F19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4.6</w:t>
            </w:r>
          </w:p>
        </w:tc>
      </w:tr>
      <w:tr w:rsidR="007464CD" w14:paraId="6C9F6BA5"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6E2F42"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5</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17FC0C" w14:textId="16AB63DA"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Gemini</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2D0F95"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BB9BF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5.1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A846D"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9750E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4.9</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08230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4.4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3E33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3.8</w:t>
            </w:r>
          </w:p>
        </w:tc>
      </w:tr>
      <w:tr w:rsidR="007464CD" w14:paraId="3D62A196"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F19686"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6</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2856A3" w14:textId="67EA1CE8"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Emami</w:t>
            </w:r>
            <w:proofErr w:type="spellEnd"/>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0A1C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1.9</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9A2A3A"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52C6F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A8C28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3.1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3BC77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5F844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2.4</w:t>
            </w:r>
          </w:p>
        </w:tc>
      </w:tr>
      <w:tr w:rsidR="007464CD" w14:paraId="05FA16D7"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DDD2D5"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7</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EDF8F7" w14:textId="5EE63214"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Freedom</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F74EF6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11FE51"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1.4</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563B78"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1.3</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3466D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598CA3"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7516D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2.3</w:t>
            </w:r>
          </w:p>
        </w:tc>
      </w:tr>
      <w:tr w:rsidR="007464CD" w14:paraId="14F02F61"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4AFCC3"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8</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FA9B1" w14:textId="26C0D2F9"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bCs/>
                <w:color w:val="000000"/>
                <w:lang w:eastAsia="en-IN"/>
              </w:rPr>
              <w:t>Sun Taste</w:t>
            </w:r>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ADD7D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3F676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F52CE"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C887FF"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160F57"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1.7</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573DF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1.7</w:t>
            </w:r>
          </w:p>
        </w:tc>
      </w:tr>
      <w:tr w:rsidR="007464CD" w14:paraId="719D4495" w14:textId="77777777" w:rsidTr="00AB79EF">
        <w:trPr>
          <w:trHeight w:val="360"/>
          <w:jc w:val="center"/>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565422" w14:textId="77777777" w:rsidR="007464CD" w:rsidRDefault="007464CD">
            <w:pPr>
              <w:rPr>
                <w:rFonts w:ascii="Arial" w:hAnsi="Arial" w:cs="Arial"/>
                <w:b w:val="0"/>
                <w:color w:val="222222"/>
                <w:sz w:val="19"/>
                <w:szCs w:val="19"/>
                <w:lang w:eastAsia="en-IN"/>
              </w:rPr>
            </w:pPr>
            <w:r>
              <w:rPr>
                <w:rFonts w:ascii="Arial" w:hAnsi="Arial" w:cs="Arial"/>
                <w:b w:val="0"/>
                <w:color w:val="000000"/>
                <w:lang w:eastAsia="en-IN"/>
              </w:rPr>
              <w:t>9</w:t>
            </w:r>
          </w:p>
        </w:tc>
        <w:tc>
          <w:tcPr>
            <w:tcW w:w="24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E68985" w14:textId="3E6AB1BF" w:rsidR="007464CD" w:rsidRDefault="00F2292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proofErr w:type="spellStart"/>
            <w:r>
              <w:rPr>
                <w:rFonts w:ascii="Arial" w:hAnsi="Arial" w:cs="Arial"/>
                <w:bCs/>
                <w:color w:val="000000"/>
                <w:lang w:eastAsia="en-IN"/>
              </w:rPr>
              <w:t>Dhara</w:t>
            </w:r>
            <w:proofErr w:type="spellEnd"/>
          </w:p>
        </w:tc>
        <w:tc>
          <w:tcPr>
            <w:tcW w:w="10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36A61B"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1.8</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8F3E24"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2.0</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4FA6E0"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2.2</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C190E6"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2.1</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5E0CA3C"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1.9</w:t>
            </w:r>
          </w:p>
        </w:tc>
        <w:tc>
          <w:tcPr>
            <w:tcW w:w="10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BB0AE2" w14:textId="77777777" w:rsidR="007464CD" w:rsidRDefault="007464CD" w:rsidP="00F229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lang w:eastAsia="en-IN"/>
              </w:rPr>
            </w:pPr>
            <w:r>
              <w:rPr>
                <w:rFonts w:ascii="Arial" w:hAnsi="Arial" w:cs="Arial"/>
                <w:color w:val="000000"/>
                <w:lang w:eastAsia="en-IN"/>
              </w:rPr>
              <w:t>1.7</w:t>
            </w:r>
          </w:p>
        </w:tc>
      </w:tr>
    </w:tbl>
    <w:p w14:paraId="395D0915" w14:textId="77777777" w:rsidR="007464CD" w:rsidRPr="007464CD" w:rsidRDefault="007464CD" w:rsidP="00725A44">
      <w:pPr>
        <w:pStyle w:val="ExhibitText"/>
      </w:pPr>
    </w:p>
    <w:p w14:paraId="77A3647D" w14:textId="36C0DD20" w:rsidR="00F2292C" w:rsidRDefault="00F2292C" w:rsidP="007464CD">
      <w:pPr>
        <w:pStyle w:val="Footnote"/>
      </w:pPr>
      <w:r>
        <w:t xml:space="preserve">Note: </w:t>
      </w:r>
      <w:r w:rsidR="00AB79EF">
        <w:t xml:space="preserve">* Total market shares do not add up to 100 because not all brands are represented in the table; </w:t>
      </w:r>
      <w:r>
        <w:t>Q = quarter.</w:t>
      </w:r>
    </w:p>
    <w:p w14:paraId="3E34DB64" w14:textId="0F8723F1" w:rsidR="007464CD" w:rsidRDefault="007464CD" w:rsidP="00725A44">
      <w:pPr>
        <w:pStyle w:val="Footnote"/>
      </w:pPr>
      <w:r w:rsidRPr="007464CD">
        <w:t xml:space="preserve">Source: Company documents. </w:t>
      </w:r>
      <w:r>
        <w:br w:type="page"/>
      </w:r>
    </w:p>
    <w:p w14:paraId="0CD1592F" w14:textId="4934B18C" w:rsidR="007464CD" w:rsidRDefault="007464CD" w:rsidP="0029308B">
      <w:pPr>
        <w:pStyle w:val="ExhibitHeading"/>
        <w:outlineLvl w:val="0"/>
      </w:pPr>
      <w:bookmarkStart w:id="4" w:name="_Ref473102876"/>
      <w:r>
        <w:lastRenderedPageBreak/>
        <w:t xml:space="preserve">Exhibit </w:t>
      </w:r>
      <w:r w:rsidR="00315B6B">
        <w:fldChar w:fldCharType="begin"/>
      </w:r>
      <w:r w:rsidR="00315B6B">
        <w:instrText xml:space="preserve"> SEQ Exhibit \* ARABIC </w:instrText>
      </w:r>
      <w:r w:rsidR="00315B6B">
        <w:fldChar w:fldCharType="separate"/>
      </w:r>
      <w:r w:rsidR="001D4C3C">
        <w:rPr>
          <w:noProof/>
        </w:rPr>
        <w:t>3</w:t>
      </w:r>
      <w:r w:rsidR="00315B6B">
        <w:rPr>
          <w:noProof/>
        </w:rPr>
        <w:fldChar w:fldCharType="end"/>
      </w:r>
      <w:bookmarkEnd w:id="4"/>
      <w:r>
        <w:t xml:space="preserve">: </w:t>
      </w:r>
      <w:r w:rsidR="005103B3">
        <w:t xml:space="preserve">SHARE OF INDIAN </w:t>
      </w:r>
      <w:r>
        <w:t xml:space="preserve">Market of Major </w:t>
      </w:r>
      <w:r w:rsidR="006839F6">
        <w:t>Companies</w:t>
      </w:r>
    </w:p>
    <w:p w14:paraId="565708FC" w14:textId="77777777" w:rsidR="007464CD" w:rsidRDefault="007464CD" w:rsidP="00725A44">
      <w:pPr>
        <w:pStyle w:val="ExhibitText"/>
      </w:pPr>
    </w:p>
    <w:p w14:paraId="64008C21" w14:textId="77777777" w:rsidR="007464CD" w:rsidRDefault="007464CD" w:rsidP="00725A44">
      <w:pPr>
        <w:pStyle w:val="ExhibitText"/>
        <w:jc w:val="center"/>
      </w:pPr>
      <w:r>
        <w:rPr>
          <w:rFonts w:eastAsiaTheme="minorHAnsi"/>
          <w:noProof/>
          <w:lang w:val="en-CA" w:eastAsia="en-CA"/>
        </w:rPr>
        <w:drawing>
          <wp:inline distT="0" distB="0" distL="0" distR="0" wp14:anchorId="4416535B" wp14:editId="6559F27D">
            <wp:extent cx="5486400" cy="3200332"/>
            <wp:effectExtent l="0" t="0" r="0" b="635"/>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0CAD00" w14:textId="77777777" w:rsidR="007464CD" w:rsidRDefault="007464CD" w:rsidP="00725A44">
      <w:pPr>
        <w:pStyle w:val="ExhibitText"/>
      </w:pPr>
    </w:p>
    <w:p w14:paraId="755598C3" w14:textId="77777777" w:rsidR="007464CD" w:rsidRDefault="007464CD" w:rsidP="00725A44">
      <w:pPr>
        <w:pStyle w:val="ExhibitText"/>
        <w:jc w:val="center"/>
      </w:pPr>
      <w:r>
        <w:rPr>
          <w:rFonts w:eastAsiaTheme="minorHAnsi"/>
          <w:noProof/>
          <w:lang w:val="en-CA" w:eastAsia="en-CA"/>
        </w:rPr>
        <w:drawing>
          <wp:inline distT="0" distB="0" distL="0" distR="0" wp14:anchorId="3F5DC7BA" wp14:editId="177A2DE7">
            <wp:extent cx="5486400" cy="3182291"/>
            <wp:effectExtent l="0" t="0" r="0" b="18415"/>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D260C8" w14:textId="77777777" w:rsidR="007464CD" w:rsidRDefault="007464CD" w:rsidP="00725A44">
      <w:pPr>
        <w:pStyle w:val="ExhibitText"/>
      </w:pPr>
    </w:p>
    <w:p w14:paraId="33428978" w14:textId="07AA7E4C" w:rsidR="0069005F" w:rsidRDefault="007464CD" w:rsidP="007464CD">
      <w:pPr>
        <w:pStyle w:val="Footnote"/>
      </w:pPr>
      <w:r>
        <w:t xml:space="preserve">Source: Created by the authors using data from </w:t>
      </w:r>
      <w:r w:rsidR="00155C85">
        <w:t xml:space="preserve">Centre for Monitoring Indian Economy (CMIE), </w:t>
      </w:r>
      <w:r w:rsidR="00BA4ED5">
        <w:t>“</w:t>
      </w:r>
      <w:r>
        <w:t>Vegetable Oils &amp; Products: Market Share</w:t>
      </w:r>
      <w:r w:rsidR="00155C85">
        <w:t>,</w:t>
      </w:r>
      <w:r w:rsidR="00BA4ED5">
        <w:t>”</w:t>
      </w:r>
      <w:r>
        <w:t xml:space="preserve"> </w:t>
      </w:r>
      <w:r w:rsidR="00155C85">
        <w:t xml:space="preserve">Industry Outlook, </w:t>
      </w:r>
      <w:r>
        <w:t>accessed May 25, 2017</w:t>
      </w:r>
      <w:r w:rsidR="00155C85">
        <w:t>.</w:t>
      </w:r>
    </w:p>
    <w:p w14:paraId="140F6B0E" w14:textId="77777777" w:rsidR="007464CD" w:rsidRDefault="007464CD" w:rsidP="00725A44">
      <w:pPr>
        <w:pStyle w:val="Footnote"/>
      </w:pPr>
      <w:r>
        <w:br w:type="page"/>
      </w:r>
    </w:p>
    <w:p w14:paraId="2E8AC08B" w14:textId="088C1282" w:rsidR="007464CD" w:rsidRDefault="007464CD" w:rsidP="0029308B">
      <w:pPr>
        <w:pStyle w:val="ExhibitHeading"/>
        <w:outlineLvl w:val="0"/>
      </w:pPr>
      <w:bookmarkStart w:id="5" w:name="_Ref486933371"/>
      <w:r>
        <w:lastRenderedPageBreak/>
        <w:t xml:space="preserve">Exhibit </w:t>
      </w:r>
      <w:r w:rsidR="00315B6B">
        <w:fldChar w:fldCharType="begin"/>
      </w:r>
      <w:r w:rsidR="00315B6B">
        <w:instrText xml:space="preserve"> SEQ Exhibit \* ARABIC </w:instrText>
      </w:r>
      <w:r w:rsidR="00315B6B">
        <w:fldChar w:fldCharType="separate"/>
      </w:r>
      <w:r w:rsidR="001D4C3C">
        <w:rPr>
          <w:noProof/>
        </w:rPr>
        <w:t>4</w:t>
      </w:r>
      <w:r w:rsidR="00315B6B">
        <w:rPr>
          <w:noProof/>
        </w:rPr>
        <w:fldChar w:fldCharType="end"/>
      </w:r>
      <w:bookmarkEnd w:id="5"/>
      <w:r>
        <w:t xml:space="preserve">: Sales </w:t>
      </w:r>
      <w:r w:rsidR="006839F6">
        <w:t>And</w:t>
      </w:r>
      <w:r>
        <w:t xml:space="preserve"> Rank of Major </w:t>
      </w:r>
      <w:r w:rsidR="006839F6">
        <w:t>Companies</w:t>
      </w:r>
    </w:p>
    <w:p w14:paraId="1C0960C7" w14:textId="77777777" w:rsidR="007464CD" w:rsidRDefault="007464CD" w:rsidP="00725A44">
      <w:pPr>
        <w:pStyle w:val="ExhibitText"/>
      </w:pPr>
    </w:p>
    <w:p w14:paraId="2ED26253" w14:textId="77777777" w:rsidR="007464CD" w:rsidRDefault="007464CD" w:rsidP="00725A44">
      <w:pPr>
        <w:pStyle w:val="ExhibitText"/>
        <w:jc w:val="center"/>
      </w:pPr>
      <w:r>
        <w:rPr>
          <w:rFonts w:eastAsiaTheme="minorHAnsi"/>
          <w:noProof/>
          <w:lang w:val="en-CA" w:eastAsia="en-CA"/>
        </w:rPr>
        <w:drawing>
          <wp:inline distT="0" distB="0" distL="0" distR="0" wp14:anchorId="7B2BF354" wp14:editId="386942F4">
            <wp:extent cx="5943600" cy="3470535"/>
            <wp:effectExtent l="0" t="0" r="0" b="952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12CE30" w14:textId="77777777" w:rsidR="007464CD" w:rsidRDefault="007464CD" w:rsidP="00725A44">
      <w:pPr>
        <w:pStyle w:val="ExhibitText"/>
      </w:pPr>
    </w:p>
    <w:p w14:paraId="647CDE94" w14:textId="32BBDE83" w:rsidR="007464CD" w:rsidRDefault="00155C85" w:rsidP="007464CD">
      <w:pPr>
        <w:pStyle w:val="Footnote"/>
      </w:pPr>
      <w:r>
        <w:t xml:space="preserve">Note: </w:t>
      </w:r>
      <w:r w:rsidR="007464CD">
        <w:t xml:space="preserve">Only </w:t>
      </w:r>
      <w:r>
        <w:t xml:space="preserve">companies </w:t>
      </w:r>
      <w:r w:rsidR="007464CD">
        <w:t>with over 0.5</w:t>
      </w:r>
      <w:r>
        <w:t xml:space="preserve"> per cent</w:t>
      </w:r>
      <w:r w:rsidR="007464CD">
        <w:t xml:space="preserve"> market share and with sales figures available for FY 20</w:t>
      </w:r>
      <w:r w:rsidR="00324BC8">
        <w:t>15</w:t>
      </w:r>
      <w:r w:rsidR="00BA4ED5">
        <w:t>–</w:t>
      </w:r>
      <w:r w:rsidR="007464CD">
        <w:t>16 are included</w:t>
      </w:r>
      <w:r>
        <w:t>.</w:t>
      </w:r>
    </w:p>
    <w:p w14:paraId="2573B71F" w14:textId="6E323D11" w:rsidR="007464CD" w:rsidRDefault="007464CD" w:rsidP="007464CD">
      <w:pPr>
        <w:pStyle w:val="Footnote"/>
      </w:pPr>
      <w:r>
        <w:t>Source: Created by the authors using data from</w:t>
      </w:r>
      <w:r w:rsidR="00155C85">
        <w:t xml:space="preserve"> Centre for Monitoring Indian Economy (CMIE), </w:t>
      </w:r>
      <w:r w:rsidR="00BA4ED5">
        <w:t>“</w:t>
      </w:r>
      <w:r w:rsidR="00155C85">
        <w:t>Vegetable Oils &amp; Products: Market Share,</w:t>
      </w:r>
      <w:r w:rsidR="00BA4ED5">
        <w:t>”</w:t>
      </w:r>
      <w:r w:rsidR="00155C85">
        <w:t xml:space="preserve"> Industry Outlook, </w:t>
      </w:r>
      <w:r>
        <w:t>accessed May 25, 2017</w:t>
      </w:r>
      <w:r w:rsidR="00155C85">
        <w:t>.</w:t>
      </w:r>
    </w:p>
    <w:p w14:paraId="6344F48E" w14:textId="77777777" w:rsidR="007464CD" w:rsidRDefault="007464CD" w:rsidP="00725A44">
      <w:pPr>
        <w:pStyle w:val="ExhibitText"/>
      </w:pPr>
    </w:p>
    <w:p w14:paraId="1604FFBE" w14:textId="77777777" w:rsidR="007464CD" w:rsidRDefault="007464CD" w:rsidP="00725A44">
      <w:pPr>
        <w:pStyle w:val="ExhibitText"/>
      </w:pPr>
    </w:p>
    <w:p w14:paraId="52D75BA2" w14:textId="09E90C0A" w:rsidR="007464CD" w:rsidRPr="007464CD" w:rsidRDefault="007464CD" w:rsidP="007464CD">
      <w:pPr>
        <w:pStyle w:val="Footnote"/>
      </w:pPr>
    </w:p>
    <w:sectPr w:rsidR="007464CD" w:rsidRPr="007464CD"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33517" w16cid:durableId="1DB89858"/>
  <w16cid:commentId w16cid:paraId="148FC8C5" w16cid:durableId="1DB89859"/>
  <w16cid:commentId w16cid:paraId="19899379" w16cid:durableId="1DB8985A"/>
  <w16cid:commentId w16cid:paraId="32FB7738" w16cid:durableId="1DB8985B"/>
  <w16cid:commentId w16cid:paraId="4BB6AB94" w16cid:durableId="1DB8985C"/>
  <w16cid:commentId w16cid:paraId="67497780" w16cid:durableId="1DB8985D"/>
  <w16cid:commentId w16cid:paraId="37623304" w16cid:durableId="1DB8985E"/>
  <w16cid:commentId w16cid:paraId="7B14F405" w16cid:durableId="1DB8985F"/>
  <w16cid:commentId w16cid:paraId="113C3D97" w16cid:durableId="1DB89860"/>
  <w16cid:commentId w16cid:paraId="2D526E9A" w16cid:durableId="1DB89861"/>
  <w16cid:commentId w16cid:paraId="6D2B9180" w16cid:durableId="1DB89862"/>
  <w16cid:commentId w16cid:paraId="6D4801BD" w16cid:durableId="1DB89863"/>
  <w16cid:commentId w16cid:paraId="24409F88" w16cid:durableId="1DB89864"/>
  <w16cid:commentId w16cid:paraId="02152DDA" w16cid:durableId="1DB89865"/>
  <w16cid:commentId w16cid:paraId="0E9FF071" w16cid:durableId="1DB89866"/>
  <w16cid:commentId w16cid:paraId="416651F2" w16cid:durableId="1DB89867"/>
  <w16cid:commentId w16cid:paraId="5310EC1F" w16cid:durableId="1DB89868"/>
  <w16cid:commentId w16cid:paraId="2EE6E787" w16cid:durableId="1DB89869"/>
  <w16cid:commentId w16cid:paraId="4BE7BECF" w16cid:durableId="1DB8986A"/>
  <w16cid:commentId w16cid:paraId="71206C11" w16cid:durableId="1DB8986B"/>
  <w16cid:commentId w16cid:paraId="2CFC2754" w16cid:durableId="1DB8986C"/>
  <w16cid:commentId w16cid:paraId="258C7641" w16cid:durableId="1DB8986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178ED" w14:textId="77777777" w:rsidR="00094732" w:rsidRDefault="00094732" w:rsidP="00D75295">
      <w:r>
        <w:separator/>
      </w:r>
    </w:p>
  </w:endnote>
  <w:endnote w:type="continuationSeparator" w:id="0">
    <w:p w14:paraId="757553AF" w14:textId="77777777" w:rsidR="00094732" w:rsidRDefault="0009473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744D5" w14:textId="77777777" w:rsidR="00094732" w:rsidRDefault="00094732" w:rsidP="00D75295">
      <w:r>
        <w:separator/>
      </w:r>
    </w:p>
  </w:footnote>
  <w:footnote w:type="continuationSeparator" w:id="0">
    <w:p w14:paraId="027F90D8" w14:textId="77777777" w:rsidR="00094732" w:rsidRDefault="00094732" w:rsidP="00D75295">
      <w:r>
        <w:continuationSeparator/>
      </w:r>
    </w:p>
  </w:footnote>
  <w:footnote w:id="1">
    <w:p w14:paraId="6F80DE18" w14:textId="7D5881E0" w:rsidR="00666486" w:rsidRDefault="00666486" w:rsidP="00842716">
      <w:pPr>
        <w:pStyle w:val="Footnote"/>
        <w:rPr>
          <w:lang w:val="en-IN"/>
        </w:rPr>
      </w:pPr>
      <w:r>
        <w:rPr>
          <w:rStyle w:val="FootnoteReference"/>
        </w:rPr>
        <w:footnoteRef/>
      </w:r>
      <w:r>
        <w:t xml:space="preserve"> Hyderabad was the capital of the south Indian state Telangana.</w:t>
      </w:r>
    </w:p>
  </w:footnote>
  <w:footnote w:id="2">
    <w:p w14:paraId="7A19D933" w14:textId="440C187F" w:rsidR="00666486" w:rsidRDefault="00666486" w:rsidP="00725A44">
      <w:pPr>
        <w:pStyle w:val="Footnote"/>
      </w:pPr>
      <w:r>
        <w:rPr>
          <w:rStyle w:val="FootnoteReference"/>
        </w:rPr>
        <w:footnoteRef/>
      </w:r>
      <w:r>
        <w:t xml:space="preserve"> </w:t>
      </w:r>
      <w:r>
        <w:rPr>
          <w:rFonts w:ascii="Calibri" w:eastAsia="Calibri" w:hAnsi="Calibri" w:cs="Calibri"/>
        </w:rPr>
        <w:t>₹</w:t>
      </w:r>
      <w:r>
        <w:t xml:space="preserve"> = INR = Indian rupee; US$1 = </w:t>
      </w:r>
      <w:r>
        <w:rPr>
          <w:rFonts w:ascii="Calibri" w:eastAsia="Calibri" w:hAnsi="Calibri" w:cs="Calibri"/>
        </w:rPr>
        <w:t>₹</w:t>
      </w:r>
      <w:r>
        <w:t xml:space="preserve">64.58 and </w:t>
      </w:r>
      <w:r>
        <w:rPr>
          <w:rFonts w:ascii="Calibri" w:eastAsia="Calibri" w:hAnsi="Calibri" w:cs="Calibri"/>
        </w:rPr>
        <w:t>₹</w:t>
      </w:r>
      <w:r>
        <w:t>1 = US$0.0155 on June 15, 2017.</w:t>
      </w:r>
    </w:p>
  </w:footnote>
  <w:footnote w:id="3">
    <w:p w14:paraId="6A6801AF" w14:textId="1E68B243" w:rsidR="00666486" w:rsidRDefault="00666486" w:rsidP="004F06A9">
      <w:pPr>
        <w:pStyle w:val="Footnote"/>
        <w:jc w:val="both"/>
      </w:pPr>
      <w:r>
        <w:rPr>
          <w:rStyle w:val="FootnoteReference"/>
        </w:rPr>
        <w:footnoteRef/>
      </w:r>
      <w:r>
        <w:t xml:space="preserve"> ICI India Limited became </w:t>
      </w:r>
      <w:proofErr w:type="spellStart"/>
      <w:r>
        <w:t>Akzo</w:t>
      </w:r>
      <w:proofErr w:type="spellEnd"/>
      <w:r>
        <w:t xml:space="preserve"> Nobel India Limited in 2010.</w:t>
      </w:r>
    </w:p>
  </w:footnote>
  <w:footnote w:id="4">
    <w:p w14:paraId="4A51F2C3" w14:textId="448D4B80" w:rsidR="00666486" w:rsidRDefault="00666486" w:rsidP="004F06A9">
      <w:pPr>
        <w:pStyle w:val="Footnote"/>
        <w:jc w:val="both"/>
      </w:pPr>
      <w:r>
        <w:rPr>
          <w:rStyle w:val="FootnoteReference"/>
        </w:rPr>
        <w:footnoteRef/>
      </w:r>
      <w:r>
        <w:t xml:space="preserve"> All dollar amounts are in US$ unless otherwise specified.</w:t>
      </w:r>
    </w:p>
  </w:footnote>
  <w:footnote w:id="5">
    <w:p w14:paraId="3DD538ED" w14:textId="185DB0E3" w:rsidR="00666486" w:rsidRDefault="00666486" w:rsidP="004F06A9">
      <w:pPr>
        <w:pStyle w:val="Footnote"/>
        <w:jc w:val="both"/>
      </w:pPr>
      <w:r>
        <w:rPr>
          <w:rStyle w:val="FootnoteReference"/>
        </w:rPr>
        <w:footnoteRef/>
      </w:r>
      <w:r>
        <w:t xml:space="preserve"> </w:t>
      </w:r>
      <w:r w:rsidR="00BB329A">
        <w:t>“</w:t>
      </w:r>
      <w:proofErr w:type="spellStart"/>
      <w:r>
        <w:t>Ruchi</w:t>
      </w:r>
      <w:proofErr w:type="spellEnd"/>
      <w:r>
        <w:t xml:space="preserve"> Soya Sells Subsidiary to Singapore</w:t>
      </w:r>
      <w:r w:rsidR="00610093">
        <w:t>’</w:t>
      </w:r>
      <w:r>
        <w:t xml:space="preserve">s Golden </w:t>
      </w:r>
      <w:proofErr w:type="spellStart"/>
      <w:r>
        <w:t>Agri</w:t>
      </w:r>
      <w:proofErr w:type="spellEnd"/>
      <w:r>
        <w:t xml:space="preserve"> for </w:t>
      </w:r>
      <w:proofErr w:type="spellStart"/>
      <w:r>
        <w:t>Rs</w:t>
      </w:r>
      <w:proofErr w:type="spellEnd"/>
      <w:r>
        <w:t xml:space="preserve"> 110 Cr,</w:t>
      </w:r>
      <w:r w:rsidR="00BB329A">
        <w:t>”</w:t>
      </w:r>
      <w:r>
        <w:t xml:space="preserve"> </w:t>
      </w:r>
      <w:r w:rsidRPr="00725A44">
        <w:rPr>
          <w:i/>
        </w:rPr>
        <w:t>Business Standard</w:t>
      </w:r>
      <w:r>
        <w:t>, November 12, 2014, accessed May 19, 2017, www.business-standard.com/article/companies/ruchi-soya-sells-subsidiary-to-singapore-s-golden-agri-for-rs-110-cr-114111200872_1.html.</w:t>
      </w:r>
    </w:p>
  </w:footnote>
  <w:footnote w:id="6">
    <w:p w14:paraId="37F5BFD4" w14:textId="2BC807DA" w:rsidR="00666486" w:rsidRDefault="00666486" w:rsidP="004F06A9">
      <w:pPr>
        <w:pStyle w:val="Footnote"/>
        <w:jc w:val="both"/>
      </w:pPr>
      <w:r w:rsidRPr="004F06A9">
        <w:rPr>
          <w:rStyle w:val="FootnoteReference"/>
        </w:rPr>
        <w:footnoteRef/>
      </w:r>
      <w:r w:rsidRPr="00B21993">
        <w:t xml:space="preserve"> </w:t>
      </w:r>
      <w:r>
        <w:t xml:space="preserve">Vanaspati was </w:t>
      </w:r>
      <w:r>
        <w:rPr>
          <w:color w:val="222222"/>
          <w:shd w:val="clear" w:color="auto" w:fill="FFFFFF"/>
        </w:rPr>
        <w:t>a fully or partially hydrogenated vegetable cooking oil, usually made from palm oil.</w:t>
      </w:r>
    </w:p>
  </w:footnote>
  <w:footnote w:id="7">
    <w:p w14:paraId="69CCF8C9" w14:textId="04D25DE3" w:rsidR="00666486" w:rsidRDefault="00666486" w:rsidP="004F06A9">
      <w:pPr>
        <w:pStyle w:val="Footnote"/>
        <w:jc w:val="both"/>
      </w:pPr>
      <w:r w:rsidRPr="004F06A9">
        <w:rPr>
          <w:rStyle w:val="FootnoteReference"/>
        </w:rPr>
        <w:footnoteRef/>
      </w:r>
      <w:r w:rsidRPr="00B21993">
        <w:t xml:space="preserve"> </w:t>
      </w:r>
      <w:r w:rsidR="00BB329A">
        <w:t>“</w:t>
      </w:r>
      <w:r>
        <w:t>Edible Oil Industry Report,</w:t>
      </w:r>
      <w:r w:rsidR="00BB329A">
        <w:t>”</w:t>
      </w:r>
      <w:r>
        <w:t xml:space="preserve"> </w:t>
      </w:r>
      <w:proofErr w:type="spellStart"/>
      <w:r>
        <w:t>Livemint</w:t>
      </w:r>
      <w:proofErr w:type="spellEnd"/>
      <w:r>
        <w:t xml:space="preserve"> Markets, accessed January 5, 2017, https://money.livemint.com/news/sector/outlook/domestic-demand-to-drive-growth-in-edible-oil-industry-429903.aspx.</w:t>
      </w:r>
    </w:p>
  </w:footnote>
  <w:footnote w:id="8">
    <w:p w14:paraId="77712FE0" w14:textId="451274E1" w:rsidR="00666486" w:rsidRDefault="00666486" w:rsidP="004F06A9">
      <w:pPr>
        <w:pStyle w:val="Footnote"/>
        <w:jc w:val="both"/>
      </w:pPr>
      <w:r>
        <w:rPr>
          <w:rStyle w:val="FootnoteReference"/>
        </w:rPr>
        <w:footnoteRef/>
      </w:r>
      <w:r>
        <w:t xml:space="preserve"> </w:t>
      </w:r>
      <w:r w:rsidR="00BB329A">
        <w:t>“</w:t>
      </w:r>
      <w:r>
        <w:t>Sugar and Vegetable Oils,</w:t>
      </w:r>
      <w:r w:rsidR="00BB329A">
        <w:t>”</w:t>
      </w:r>
      <w:r>
        <w:t xml:space="preserve"> Department of Food and Public Distribution, Government of India, accessed January 5, 2017, www.dfpd.nic.in/oil-division.htm.</w:t>
      </w:r>
    </w:p>
  </w:footnote>
  <w:footnote w:id="9">
    <w:p w14:paraId="4C46A40D" w14:textId="5D57A3BE" w:rsidR="00666486" w:rsidRDefault="00666486" w:rsidP="004F06A9">
      <w:pPr>
        <w:pStyle w:val="Footnote"/>
        <w:jc w:val="both"/>
      </w:pPr>
      <w:r w:rsidRPr="004F06A9">
        <w:rPr>
          <w:rStyle w:val="FootnoteReference"/>
        </w:rPr>
        <w:footnoteRef/>
      </w:r>
      <w:r w:rsidRPr="00B21993">
        <w:t xml:space="preserve"> </w:t>
      </w:r>
      <w:r w:rsidR="00BB329A">
        <w:t>“</w:t>
      </w:r>
      <w:r>
        <w:t>India</w:t>
      </w:r>
      <w:r w:rsidR="00B21993">
        <w:t>’</w:t>
      </w:r>
      <w:r>
        <w:t>s Veg Oil Import Jumps 18% in Five Months,</w:t>
      </w:r>
      <w:r w:rsidR="00BB329A">
        <w:t>”</w:t>
      </w:r>
      <w:r>
        <w:t xml:space="preserve"> </w:t>
      </w:r>
      <w:r w:rsidRPr="00725A44">
        <w:rPr>
          <w:i/>
        </w:rPr>
        <w:t>Business Standard</w:t>
      </w:r>
      <w:r>
        <w:t>, April 15, 2016, accessed January 5, 2017, www.business-standard.com/article/markets/india-s-veg-oil-import-jumps-18-in-five-months-116041500589_1.html.</w:t>
      </w:r>
    </w:p>
  </w:footnote>
  <w:footnote w:id="10">
    <w:p w14:paraId="4D107458" w14:textId="7C537ADA" w:rsidR="00666486" w:rsidRDefault="00666486" w:rsidP="004F06A9">
      <w:pPr>
        <w:pStyle w:val="Footnote"/>
        <w:jc w:val="both"/>
      </w:pPr>
      <w:r w:rsidRPr="004F06A9">
        <w:rPr>
          <w:rStyle w:val="FootnoteReference"/>
        </w:rPr>
        <w:footnoteRef/>
      </w:r>
      <w:r w:rsidRPr="00B21993">
        <w:t xml:space="preserve"> </w:t>
      </w:r>
      <w:r w:rsidR="00BB329A">
        <w:t>“</w:t>
      </w:r>
      <w:r>
        <w:t xml:space="preserve">About </w:t>
      </w:r>
      <w:proofErr w:type="gramStart"/>
      <w:r>
        <w:t>Us</w:t>
      </w:r>
      <w:proofErr w:type="gramEnd"/>
      <w:r>
        <w:t>,</w:t>
      </w:r>
      <w:r w:rsidR="00BB329A">
        <w:t>”</w:t>
      </w:r>
      <w:r>
        <w:t xml:space="preserve"> GEF India, accessed June 5, 2017, www.gefindia.com/about.html.</w:t>
      </w:r>
    </w:p>
  </w:footnote>
  <w:footnote w:id="11">
    <w:p w14:paraId="0B4C23D9" w14:textId="48AF301D" w:rsidR="00666486" w:rsidRDefault="00666486" w:rsidP="004F06A9">
      <w:pPr>
        <w:pStyle w:val="Footnote"/>
        <w:jc w:val="both"/>
      </w:pPr>
      <w:r w:rsidRPr="004F06A9">
        <w:rPr>
          <w:rStyle w:val="FootnoteReference"/>
        </w:rPr>
        <w:footnoteRef/>
      </w:r>
      <w:r>
        <w:t xml:space="preserve"> Pradeep </w:t>
      </w:r>
      <w:proofErr w:type="spellStart"/>
      <w:r>
        <w:t>Chowdhry</w:t>
      </w:r>
      <w:proofErr w:type="spellEnd"/>
      <w:r>
        <w:t xml:space="preserve"> (Managing Director, GEF India), interview by TV5 News Trendsetters, </w:t>
      </w:r>
      <w:r w:rsidR="00BB329A">
        <w:t>“</w:t>
      </w:r>
      <w:r>
        <w:t xml:space="preserve">Freedom Oil MD Mr. Pradeep </w:t>
      </w:r>
      <w:proofErr w:type="spellStart"/>
      <w:r>
        <w:t>Chowdhry</w:t>
      </w:r>
      <w:proofErr w:type="spellEnd"/>
      <w:r>
        <w:t>,</w:t>
      </w:r>
      <w:r w:rsidR="00BB329A">
        <w:t>”</w:t>
      </w:r>
      <w:r>
        <w:t xml:space="preserve"> January 21, 2017, YouTube video, 20:44, posted by TV5 Money, January 22, 2017, accessed January 24, 2017, </w:t>
      </w:r>
      <w:r w:rsidRPr="00A10023">
        <w:t>https://youtu.be/XhzZxR3rLY4</w:t>
      </w:r>
      <w:r w:rsidRPr="00BC1104">
        <w:rPr>
          <w:lang w:val="en-US"/>
        </w:rPr>
        <w:t>.</w:t>
      </w:r>
    </w:p>
  </w:footnote>
  <w:footnote w:id="12">
    <w:p w14:paraId="0307E113" w14:textId="390C2C38" w:rsidR="00666486" w:rsidRDefault="00666486" w:rsidP="004F06A9">
      <w:pPr>
        <w:pStyle w:val="Footnote"/>
        <w:jc w:val="both"/>
      </w:pPr>
      <w:r>
        <w:rPr>
          <w:rStyle w:val="FootnoteReference"/>
        </w:rPr>
        <w:footnoteRef/>
      </w:r>
      <w:r>
        <w:t xml:space="preserve"> Pradeep </w:t>
      </w:r>
      <w:proofErr w:type="spellStart"/>
      <w:r>
        <w:t>Chowdhry</w:t>
      </w:r>
      <w:proofErr w:type="spellEnd"/>
      <w:r>
        <w:t xml:space="preserve"> (Managing Director, GEF India), interview by TV5 News Trendsetters, </w:t>
      </w:r>
      <w:proofErr w:type="spellStart"/>
      <w:r>
        <w:t>n.d.</w:t>
      </w:r>
      <w:proofErr w:type="spellEnd"/>
      <w:r>
        <w:t xml:space="preserve">, </w:t>
      </w:r>
      <w:r w:rsidR="00BB329A">
        <w:t>“</w:t>
      </w:r>
      <w:r>
        <w:t>Freedom Oil MD Mr.</w:t>
      </w:r>
      <w:r w:rsidR="00DB2D2E">
        <w:t> </w:t>
      </w:r>
      <w:r>
        <w:t xml:space="preserve">Pradeep </w:t>
      </w:r>
      <w:proofErr w:type="spellStart"/>
      <w:r>
        <w:t>Chowdhry</w:t>
      </w:r>
      <w:proofErr w:type="spellEnd"/>
      <w:r>
        <w:t xml:space="preserve"> on TV5 News Trendsetters Part 2,</w:t>
      </w:r>
      <w:r w:rsidR="00BB329A">
        <w:t>”</w:t>
      </w:r>
      <w:r>
        <w:t xml:space="preserve"> YouTube video, 19:38, posted by Freedom Healthy Oil, February</w:t>
      </w:r>
      <w:r w:rsidR="00DB2D2E">
        <w:t> </w:t>
      </w:r>
      <w:r>
        <w:t xml:space="preserve">3, 2017, accessed February 23, 2017, https://youtu.be/iiLYXefXYiY. </w:t>
      </w:r>
    </w:p>
  </w:footnote>
  <w:footnote w:id="13">
    <w:p w14:paraId="605253F1" w14:textId="23093FF4" w:rsidR="00666486" w:rsidRDefault="00666486" w:rsidP="004F06A9">
      <w:pPr>
        <w:pStyle w:val="Footnote"/>
        <w:jc w:val="both"/>
      </w:pPr>
      <w:r w:rsidRPr="004F06A9">
        <w:rPr>
          <w:rStyle w:val="FootnoteReference"/>
        </w:rPr>
        <w:footnoteRef/>
      </w:r>
      <w:r w:rsidRPr="00B21993">
        <w:t xml:space="preserve"> </w:t>
      </w:r>
      <w:r w:rsidR="00BB329A">
        <w:t>“</w:t>
      </w:r>
      <w:r>
        <w:t>Can Rice Bran Oil Bust Cholesterol in Heart Patients?</w:t>
      </w:r>
      <w:r w:rsidR="00BB329A">
        <w:t>”</w:t>
      </w:r>
      <w:r>
        <w:t xml:space="preserve"> </w:t>
      </w:r>
      <w:r w:rsidRPr="00725A44">
        <w:rPr>
          <w:i/>
        </w:rPr>
        <w:t>Indian Express</w:t>
      </w:r>
      <w:r>
        <w:t>, April 27, 2017, accessed May 19, 2017, www.newindianexpress.com/cities/hyderabad/2017/apr/27/can-rice-bran-oil-bust-cholesterol-in-heart-patients-1598117.html.</w:t>
      </w:r>
    </w:p>
  </w:footnote>
  <w:footnote w:id="14">
    <w:p w14:paraId="516B2DAD" w14:textId="61813621" w:rsidR="00666486" w:rsidRDefault="00666486" w:rsidP="004F06A9">
      <w:pPr>
        <w:pStyle w:val="Footnote"/>
        <w:jc w:val="both"/>
      </w:pPr>
      <w:r w:rsidRPr="004F06A9">
        <w:rPr>
          <w:rStyle w:val="FootnoteReference"/>
        </w:rPr>
        <w:footnoteRef/>
      </w:r>
      <w:r w:rsidRPr="00B21993">
        <w:t xml:space="preserve"> </w:t>
      </w:r>
      <w:r>
        <w:t>GEF India,</w:t>
      </w:r>
      <w:r w:rsidR="00B21993">
        <w:t xml:space="preserve"> </w:t>
      </w:r>
      <w:r w:rsidRPr="004F06A9">
        <w:rPr>
          <w:i/>
        </w:rPr>
        <w:t>Gemini Edibles &amp; Fats India Private Limited Launches 2-Liter SKU of Freedom Refined Sunflower Oil,</w:t>
      </w:r>
      <w:r>
        <w:t xml:space="preserve"> press release, December 15, 2016, accessed January 5, 2017, www.gefindia.com/pdf/Press-Release-Gemini-Edibles-&amp;-Fats-India-Pvt-Ltd-launches-2liter-SKU-of-Freedom-refined-sunflower-Oil-dec-16.pdf.</w:t>
      </w:r>
    </w:p>
  </w:footnote>
  <w:footnote w:id="15">
    <w:p w14:paraId="17C430A0" w14:textId="7D640495" w:rsidR="00666486" w:rsidRDefault="00666486" w:rsidP="004F06A9">
      <w:pPr>
        <w:pStyle w:val="Footnote"/>
        <w:jc w:val="both"/>
      </w:pPr>
      <w:r w:rsidRPr="004F06A9">
        <w:rPr>
          <w:rStyle w:val="FootnoteReference"/>
        </w:rPr>
        <w:footnoteRef/>
      </w:r>
      <w:r w:rsidRPr="00B21993">
        <w:t xml:space="preserve"> </w:t>
      </w:r>
      <w:r w:rsidR="00BB329A">
        <w:t>“</w:t>
      </w:r>
      <w:r>
        <w:t>Gemini Edibles &amp; Fats India Private Limited Launches 2-Liter SKU of Freedom Refined Sunflower Oil,</w:t>
      </w:r>
      <w:r w:rsidR="00BB329A">
        <w:t>”</w:t>
      </w:r>
      <w:r>
        <w:t xml:space="preserve"> YouTube </w:t>
      </w:r>
      <w:r w:rsidRPr="00BC1104">
        <w:rPr>
          <w:lang w:val="en-US"/>
        </w:rPr>
        <w:t xml:space="preserve">video, </w:t>
      </w:r>
      <w:r>
        <w:rPr>
          <w:lang w:val="en-US"/>
        </w:rPr>
        <w:t>2:46</w:t>
      </w:r>
      <w:r w:rsidRPr="00BC1104">
        <w:rPr>
          <w:lang w:val="en-US"/>
        </w:rPr>
        <w:t xml:space="preserve">, posted by </w:t>
      </w:r>
      <w:r>
        <w:rPr>
          <w:lang w:val="en-US"/>
        </w:rPr>
        <w:t>Thrilling News India,</w:t>
      </w:r>
      <w:r w:rsidRPr="00BC1104">
        <w:rPr>
          <w:lang w:val="en-US"/>
        </w:rPr>
        <w:t xml:space="preserve"> </w:t>
      </w:r>
      <w:r>
        <w:t xml:space="preserve">December 15, 2016, accessed January 25, 2017, </w:t>
      </w:r>
      <w:r w:rsidRPr="00165C51">
        <w:t>https://youtu.be/HVGt-taTFE0</w:t>
      </w:r>
      <w:r>
        <w:t>.</w:t>
      </w:r>
    </w:p>
  </w:footnote>
  <w:footnote w:id="16">
    <w:p w14:paraId="5C8A1761" w14:textId="35067F7C" w:rsidR="00666486" w:rsidRDefault="00666486" w:rsidP="004F06A9">
      <w:pPr>
        <w:pStyle w:val="Footnote"/>
        <w:jc w:val="both"/>
      </w:pPr>
      <w:r>
        <w:rPr>
          <w:rStyle w:val="FootnoteReference"/>
        </w:rPr>
        <w:footnoteRef/>
      </w:r>
      <w:r>
        <w:t xml:space="preserve"> </w:t>
      </w:r>
      <w:r w:rsidR="00BB329A">
        <w:t>“</w:t>
      </w:r>
      <w:r>
        <w:t>Freedom 10K Run on 27 Nov,</w:t>
      </w:r>
      <w:r w:rsidR="00BB329A">
        <w:t>”</w:t>
      </w:r>
      <w:r>
        <w:t xml:space="preserve"> </w:t>
      </w:r>
      <w:r w:rsidRPr="00725A44">
        <w:rPr>
          <w:i/>
        </w:rPr>
        <w:t>Hans India</w:t>
      </w:r>
      <w:r>
        <w:t>, November 4, 2016, article scanned and posted by GEF India, accessed January</w:t>
      </w:r>
      <w:r w:rsidR="00B21993">
        <w:t> </w:t>
      </w:r>
      <w:r>
        <w:t>5, 2017, www.gefindia.com/pdf/fredom10k-run.pdf.</w:t>
      </w:r>
    </w:p>
  </w:footnote>
  <w:footnote w:id="17">
    <w:p w14:paraId="38AFD95A" w14:textId="3125E05C" w:rsidR="00666486" w:rsidRDefault="00666486" w:rsidP="004F06A9">
      <w:pPr>
        <w:pStyle w:val="Footnote"/>
        <w:jc w:val="both"/>
      </w:pPr>
      <w:r w:rsidRPr="004F06A9">
        <w:rPr>
          <w:rStyle w:val="FootnoteReference"/>
        </w:rPr>
        <w:footnoteRef/>
      </w:r>
      <w:r w:rsidRPr="00B21993">
        <w:t xml:space="preserve"> </w:t>
      </w:r>
      <w:r w:rsidR="00BB329A">
        <w:t>“</w:t>
      </w:r>
      <w:r>
        <w:t>Gemini Edibles &amp; Fats India,</w:t>
      </w:r>
      <w:r w:rsidR="00BB329A">
        <w:t>”</w:t>
      </w:r>
      <w:r>
        <w:t xml:space="preserve"> Glassdoor, June 2, 2016, accessed January 25, 2017, www.glassdoor.co.in/Overview/Working-at-Gemini-Edibles-and-Fats-India-EI_IE551052.11,40.htm.</w:t>
      </w:r>
    </w:p>
  </w:footnote>
  <w:footnote w:id="18">
    <w:p w14:paraId="4D3227DD" w14:textId="13BA0289" w:rsidR="00666486" w:rsidRDefault="00666486" w:rsidP="004F06A9">
      <w:pPr>
        <w:pStyle w:val="Footnote"/>
        <w:jc w:val="both"/>
      </w:pPr>
      <w:r w:rsidRPr="00BB329A">
        <w:rPr>
          <w:vertAlign w:val="superscript"/>
        </w:rPr>
        <w:footnoteRef/>
      </w:r>
      <w:r>
        <w:t xml:space="preserve"> </w:t>
      </w:r>
      <w:r w:rsidR="00BB329A">
        <w:t>“</w:t>
      </w:r>
      <w:r>
        <w:t xml:space="preserve">Hyderabad-Based Edible Oil Companies Eye Sunflower Oil Market to Benefit from </w:t>
      </w:r>
      <w:proofErr w:type="gramStart"/>
      <w:r>
        <w:t>Fall</w:t>
      </w:r>
      <w:proofErr w:type="gramEnd"/>
      <w:r>
        <w:t xml:space="preserve"> in Prices,</w:t>
      </w:r>
      <w:r w:rsidR="00BB329A">
        <w:t>”</w:t>
      </w:r>
      <w:r>
        <w:t xml:space="preserve"> </w:t>
      </w:r>
      <w:r w:rsidRPr="00725A44">
        <w:rPr>
          <w:i/>
        </w:rPr>
        <w:t>Economic Times</w:t>
      </w:r>
      <w:r>
        <w:t>, December 2, 2014, accessed February 15, 2017, economictimes.indiatimes.com/markets/commodities/hyderabad-based-edible-oil-companies-eye-sunflower-oil-market-to-benefit-from-fall-in-prices/articleshow/45342440.cms.</w:t>
      </w:r>
    </w:p>
  </w:footnote>
  <w:footnote w:id="19">
    <w:p w14:paraId="18301EC8" w14:textId="7C0A278F" w:rsidR="00666486" w:rsidRDefault="00666486" w:rsidP="004F06A9">
      <w:pPr>
        <w:pStyle w:val="Footnote"/>
        <w:jc w:val="both"/>
      </w:pPr>
      <w:r>
        <w:rPr>
          <w:rStyle w:val="FootnoteReference"/>
        </w:rPr>
        <w:footnoteRef/>
      </w:r>
      <w:r>
        <w:t xml:space="preserve"> </w:t>
      </w:r>
      <w:r w:rsidR="00BB329A">
        <w:t>“</w:t>
      </w:r>
      <w:r>
        <w:t>Gemini Edibles and Fats India,</w:t>
      </w:r>
      <w:r w:rsidR="00BB329A">
        <w:t>”</w:t>
      </w:r>
      <w:r>
        <w:t xml:space="preserve"> Agriculture Information, February 24, 2016, accessed January 5, 2017, www.agricultureinformation.com/postings/gemini-edibles-fats-india.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974AA" w14:textId="2E81B7C9" w:rsidR="00666486" w:rsidRDefault="0066648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D4C3C">
      <w:rPr>
        <w:rFonts w:ascii="Arial" w:hAnsi="Arial"/>
        <w:b/>
        <w:noProof/>
      </w:rPr>
      <w:t>10</w:t>
    </w:r>
    <w:r>
      <w:rPr>
        <w:rFonts w:ascii="Arial" w:hAnsi="Arial"/>
        <w:b/>
      </w:rPr>
      <w:fldChar w:fldCharType="end"/>
    </w:r>
    <w:r>
      <w:rPr>
        <w:rFonts w:ascii="Arial" w:hAnsi="Arial"/>
        <w:b/>
      </w:rPr>
      <w:tab/>
    </w:r>
    <w:r w:rsidR="0014701D">
      <w:rPr>
        <w:rFonts w:ascii="Arial" w:hAnsi="Arial"/>
        <w:b/>
      </w:rPr>
      <w:t>9B18</w:t>
    </w:r>
    <w:r w:rsidR="00BB329A">
      <w:rPr>
        <w:rFonts w:ascii="Arial" w:hAnsi="Arial"/>
        <w:b/>
      </w:rPr>
      <w:t>M</w:t>
    </w:r>
    <w:r w:rsidR="00AD071B">
      <w:rPr>
        <w:rFonts w:ascii="Arial" w:hAnsi="Arial"/>
        <w:b/>
      </w:rPr>
      <w:t>006</w:t>
    </w:r>
  </w:p>
  <w:p w14:paraId="694D6503" w14:textId="77777777" w:rsidR="00666486" w:rsidRPr="00C92CC4" w:rsidRDefault="00666486">
    <w:pPr>
      <w:pStyle w:val="Header"/>
      <w:rPr>
        <w:sz w:val="18"/>
        <w:szCs w:val="18"/>
      </w:rPr>
    </w:pPr>
  </w:p>
  <w:p w14:paraId="59291A53" w14:textId="77777777" w:rsidR="00666486" w:rsidRPr="00C92CC4" w:rsidRDefault="00666486">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4A2CD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7D0594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7307D8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2C661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98B9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EE5F2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2C402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EE32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07AD2E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66F2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7848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716"/>
    <w:rsid w:val="00013360"/>
    <w:rsid w:val="000216CE"/>
    <w:rsid w:val="00025DC7"/>
    <w:rsid w:val="00026486"/>
    <w:rsid w:val="00032D2E"/>
    <w:rsid w:val="00044ECC"/>
    <w:rsid w:val="000531D3"/>
    <w:rsid w:val="0005646B"/>
    <w:rsid w:val="0008102D"/>
    <w:rsid w:val="00094732"/>
    <w:rsid w:val="00094C0E"/>
    <w:rsid w:val="000E2275"/>
    <w:rsid w:val="000F0C22"/>
    <w:rsid w:val="000F3E48"/>
    <w:rsid w:val="000F5AAC"/>
    <w:rsid w:val="000F6B09"/>
    <w:rsid w:val="000F6FDC"/>
    <w:rsid w:val="000F75EA"/>
    <w:rsid w:val="00104567"/>
    <w:rsid w:val="001077EB"/>
    <w:rsid w:val="00123137"/>
    <w:rsid w:val="0012732D"/>
    <w:rsid w:val="00133393"/>
    <w:rsid w:val="0014701D"/>
    <w:rsid w:val="00153D8A"/>
    <w:rsid w:val="00154FC9"/>
    <w:rsid w:val="00155C85"/>
    <w:rsid w:val="00165C51"/>
    <w:rsid w:val="00191FA2"/>
    <w:rsid w:val="0019241A"/>
    <w:rsid w:val="0019271A"/>
    <w:rsid w:val="00197925"/>
    <w:rsid w:val="001A04F0"/>
    <w:rsid w:val="001A5335"/>
    <w:rsid w:val="001A72F9"/>
    <w:rsid w:val="001A752D"/>
    <w:rsid w:val="001D4C3C"/>
    <w:rsid w:val="001F0525"/>
    <w:rsid w:val="00203AA1"/>
    <w:rsid w:val="00213E98"/>
    <w:rsid w:val="0029308B"/>
    <w:rsid w:val="002D4B19"/>
    <w:rsid w:val="002D7223"/>
    <w:rsid w:val="002E14F7"/>
    <w:rsid w:val="002E32F0"/>
    <w:rsid w:val="002F460C"/>
    <w:rsid w:val="002F48D6"/>
    <w:rsid w:val="00315B6B"/>
    <w:rsid w:val="00324BC8"/>
    <w:rsid w:val="00351D32"/>
    <w:rsid w:val="00354899"/>
    <w:rsid w:val="00355FD6"/>
    <w:rsid w:val="00361C8E"/>
    <w:rsid w:val="00364A5C"/>
    <w:rsid w:val="0037229E"/>
    <w:rsid w:val="00373FB1"/>
    <w:rsid w:val="00383318"/>
    <w:rsid w:val="003B30D8"/>
    <w:rsid w:val="003B3D71"/>
    <w:rsid w:val="003B7EF2"/>
    <w:rsid w:val="003C3FA4"/>
    <w:rsid w:val="003D5DAB"/>
    <w:rsid w:val="003E3827"/>
    <w:rsid w:val="003F2B0C"/>
    <w:rsid w:val="004067B6"/>
    <w:rsid w:val="004221E4"/>
    <w:rsid w:val="00453DAE"/>
    <w:rsid w:val="004547DE"/>
    <w:rsid w:val="00471088"/>
    <w:rsid w:val="00483AF9"/>
    <w:rsid w:val="004A3B4A"/>
    <w:rsid w:val="004A4B80"/>
    <w:rsid w:val="004B1CCB"/>
    <w:rsid w:val="004C57BD"/>
    <w:rsid w:val="004D47F1"/>
    <w:rsid w:val="004D73A5"/>
    <w:rsid w:val="004F06A9"/>
    <w:rsid w:val="005103B3"/>
    <w:rsid w:val="005260EF"/>
    <w:rsid w:val="00526F4D"/>
    <w:rsid w:val="00532CF5"/>
    <w:rsid w:val="005331C5"/>
    <w:rsid w:val="005528CB"/>
    <w:rsid w:val="00566771"/>
    <w:rsid w:val="00571A63"/>
    <w:rsid w:val="00581E2E"/>
    <w:rsid w:val="00584F15"/>
    <w:rsid w:val="005865A0"/>
    <w:rsid w:val="005A7B2D"/>
    <w:rsid w:val="005B69C2"/>
    <w:rsid w:val="005C26C9"/>
    <w:rsid w:val="00610093"/>
    <w:rsid w:val="006163F7"/>
    <w:rsid w:val="00652606"/>
    <w:rsid w:val="00666486"/>
    <w:rsid w:val="00682754"/>
    <w:rsid w:val="006839F6"/>
    <w:rsid w:val="0069005F"/>
    <w:rsid w:val="00690ACD"/>
    <w:rsid w:val="006A58A9"/>
    <w:rsid w:val="006A606D"/>
    <w:rsid w:val="006A6F61"/>
    <w:rsid w:val="006B7F7A"/>
    <w:rsid w:val="006C0371"/>
    <w:rsid w:val="006C08B6"/>
    <w:rsid w:val="006C0B1A"/>
    <w:rsid w:val="006C4384"/>
    <w:rsid w:val="006C6065"/>
    <w:rsid w:val="006C7F9F"/>
    <w:rsid w:val="006E2F6D"/>
    <w:rsid w:val="006E58F6"/>
    <w:rsid w:val="006E77E1"/>
    <w:rsid w:val="006F131D"/>
    <w:rsid w:val="006F1D9E"/>
    <w:rsid w:val="00703949"/>
    <w:rsid w:val="00725A44"/>
    <w:rsid w:val="007464CD"/>
    <w:rsid w:val="00750F87"/>
    <w:rsid w:val="00752BCD"/>
    <w:rsid w:val="0075402B"/>
    <w:rsid w:val="00766DA1"/>
    <w:rsid w:val="007866A6"/>
    <w:rsid w:val="007A130D"/>
    <w:rsid w:val="007D4102"/>
    <w:rsid w:val="007D6D1E"/>
    <w:rsid w:val="007D7FBE"/>
    <w:rsid w:val="007E5921"/>
    <w:rsid w:val="007F58CB"/>
    <w:rsid w:val="00801682"/>
    <w:rsid w:val="00821FFC"/>
    <w:rsid w:val="008271CA"/>
    <w:rsid w:val="00841255"/>
    <w:rsid w:val="00842716"/>
    <w:rsid w:val="00843EBF"/>
    <w:rsid w:val="008467D5"/>
    <w:rsid w:val="00851B46"/>
    <w:rsid w:val="00856D9F"/>
    <w:rsid w:val="00866F6D"/>
    <w:rsid w:val="008A4DC4"/>
    <w:rsid w:val="008B02CC"/>
    <w:rsid w:val="008B2E28"/>
    <w:rsid w:val="008C062D"/>
    <w:rsid w:val="008F5B4E"/>
    <w:rsid w:val="009067A4"/>
    <w:rsid w:val="0090722E"/>
    <w:rsid w:val="00933165"/>
    <w:rsid w:val="009340DB"/>
    <w:rsid w:val="00936E32"/>
    <w:rsid w:val="00945F9E"/>
    <w:rsid w:val="00953560"/>
    <w:rsid w:val="009615DA"/>
    <w:rsid w:val="009673AA"/>
    <w:rsid w:val="00970AF1"/>
    <w:rsid w:val="00972498"/>
    <w:rsid w:val="00974CC6"/>
    <w:rsid w:val="00976AD4"/>
    <w:rsid w:val="009A2CDD"/>
    <w:rsid w:val="009A312F"/>
    <w:rsid w:val="009A5348"/>
    <w:rsid w:val="009A67BB"/>
    <w:rsid w:val="009C76D5"/>
    <w:rsid w:val="009D2D7D"/>
    <w:rsid w:val="009E2C80"/>
    <w:rsid w:val="009F7AA4"/>
    <w:rsid w:val="00A00106"/>
    <w:rsid w:val="00A02A6B"/>
    <w:rsid w:val="00A10023"/>
    <w:rsid w:val="00A40F15"/>
    <w:rsid w:val="00A46DE8"/>
    <w:rsid w:val="00A51490"/>
    <w:rsid w:val="00A559DB"/>
    <w:rsid w:val="00AB79EF"/>
    <w:rsid w:val="00AC2C82"/>
    <w:rsid w:val="00AC3451"/>
    <w:rsid w:val="00AD071B"/>
    <w:rsid w:val="00AF35FC"/>
    <w:rsid w:val="00B03639"/>
    <w:rsid w:val="00B0652A"/>
    <w:rsid w:val="00B11BD4"/>
    <w:rsid w:val="00B21154"/>
    <w:rsid w:val="00B21993"/>
    <w:rsid w:val="00B22F7D"/>
    <w:rsid w:val="00B3757D"/>
    <w:rsid w:val="00B40937"/>
    <w:rsid w:val="00B423EF"/>
    <w:rsid w:val="00B453DE"/>
    <w:rsid w:val="00B4742F"/>
    <w:rsid w:val="00B54DA5"/>
    <w:rsid w:val="00B901F9"/>
    <w:rsid w:val="00BA2179"/>
    <w:rsid w:val="00BA4648"/>
    <w:rsid w:val="00BA4ED5"/>
    <w:rsid w:val="00BB329A"/>
    <w:rsid w:val="00BC0D75"/>
    <w:rsid w:val="00BD6EFB"/>
    <w:rsid w:val="00BF1E5B"/>
    <w:rsid w:val="00C11DDE"/>
    <w:rsid w:val="00C141DD"/>
    <w:rsid w:val="00C15BE2"/>
    <w:rsid w:val="00C22219"/>
    <w:rsid w:val="00C3447F"/>
    <w:rsid w:val="00C568AE"/>
    <w:rsid w:val="00C7712B"/>
    <w:rsid w:val="00C81491"/>
    <w:rsid w:val="00C81676"/>
    <w:rsid w:val="00C872B8"/>
    <w:rsid w:val="00C91828"/>
    <w:rsid w:val="00C92CC4"/>
    <w:rsid w:val="00CA0AFB"/>
    <w:rsid w:val="00CA0DD5"/>
    <w:rsid w:val="00CA2CE1"/>
    <w:rsid w:val="00CA3976"/>
    <w:rsid w:val="00CA757B"/>
    <w:rsid w:val="00CB6B09"/>
    <w:rsid w:val="00CC1787"/>
    <w:rsid w:val="00CC182C"/>
    <w:rsid w:val="00CC51EF"/>
    <w:rsid w:val="00CD0824"/>
    <w:rsid w:val="00CD2908"/>
    <w:rsid w:val="00CD718A"/>
    <w:rsid w:val="00CF47CB"/>
    <w:rsid w:val="00CF67CC"/>
    <w:rsid w:val="00D029ED"/>
    <w:rsid w:val="00D03A82"/>
    <w:rsid w:val="00D06815"/>
    <w:rsid w:val="00D07D73"/>
    <w:rsid w:val="00D14330"/>
    <w:rsid w:val="00D15344"/>
    <w:rsid w:val="00D31BEC"/>
    <w:rsid w:val="00D56E92"/>
    <w:rsid w:val="00D63150"/>
    <w:rsid w:val="00D63D50"/>
    <w:rsid w:val="00D64A32"/>
    <w:rsid w:val="00D64EFC"/>
    <w:rsid w:val="00D66DD6"/>
    <w:rsid w:val="00D75295"/>
    <w:rsid w:val="00D76CE9"/>
    <w:rsid w:val="00D82AEF"/>
    <w:rsid w:val="00D97F12"/>
    <w:rsid w:val="00DB2D2E"/>
    <w:rsid w:val="00DB42E7"/>
    <w:rsid w:val="00DD2770"/>
    <w:rsid w:val="00DF32C2"/>
    <w:rsid w:val="00E0355B"/>
    <w:rsid w:val="00E13F48"/>
    <w:rsid w:val="00E16B0E"/>
    <w:rsid w:val="00E2182E"/>
    <w:rsid w:val="00E25984"/>
    <w:rsid w:val="00E471A7"/>
    <w:rsid w:val="00E635CF"/>
    <w:rsid w:val="00EA5E67"/>
    <w:rsid w:val="00EB5410"/>
    <w:rsid w:val="00EB77D4"/>
    <w:rsid w:val="00EC6E0A"/>
    <w:rsid w:val="00ED4E18"/>
    <w:rsid w:val="00ED6050"/>
    <w:rsid w:val="00EE1F37"/>
    <w:rsid w:val="00EE2034"/>
    <w:rsid w:val="00F0159C"/>
    <w:rsid w:val="00F050F1"/>
    <w:rsid w:val="00F105B7"/>
    <w:rsid w:val="00F17A21"/>
    <w:rsid w:val="00F2188E"/>
    <w:rsid w:val="00F2292C"/>
    <w:rsid w:val="00F50E91"/>
    <w:rsid w:val="00F51683"/>
    <w:rsid w:val="00F5248D"/>
    <w:rsid w:val="00F57D29"/>
    <w:rsid w:val="00F60B67"/>
    <w:rsid w:val="00F611C9"/>
    <w:rsid w:val="00F92A99"/>
    <w:rsid w:val="00F96201"/>
    <w:rsid w:val="00FB0B69"/>
    <w:rsid w:val="00FC30E9"/>
    <w:rsid w:val="00FC4590"/>
    <w:rsid w:val="00FC6B2D"/>
    <w:rsid w:val="00FD0B18"/>
    <w:rsid w:val="00FD0F82"/>
    <w:rsid w:val="00FD7BB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ED41D6"/>
  <w15:docId w15:val="{4E3DEE2E-0445-473D-9D91-E5462DD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308B"/>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link"/>
    <w:link w:val="Casehead1Char"/>
    <w:qFormat/>
    <w:rsid w:val="00004716"/>
    <w:pPr>
      <w:keepNext/>
    </w:pPr>
    <w:rPr>
      <w:rFonts w:ascii="Arial" w:hAnsi="Arial" w:cs="Arial"/>
      <w:b/>
      <w:caps/>
      <w:sz w:val="20"/>
      <w:szCs w:val="20"/>
    </w:rPr>
  </w:style>
  <w:style w:type="character" w:customStyle="1" w:styleId="Casehead1Char">
    <w:name w:val="Casehead 1 Char"/>
    <w:basedOn w:val="BodyTextMainChar"/>
    <w:link w:val="Casehead1"/>
    <w:rsid w:val="00004716"/>
    <w:rPr>
      <w:rFonts w:ascii="Arial" w:eastAsia="Times New Roman" w:hAnsi="Arial" w:cs="Arial"/>
      <w:b/>
      <w:caps/>
      <w:sz w:val="20"/>
      <w:szCs w:val="20"/>
      <w:lang w:val="en-GB"/>
    </w:rPr>
  </w:style>
  <w:style w:type="paragraph" w:customStyle="1" w:styleId="Casehead2">
    <w:name w:val="Casehead 2"/>
    <w:basedOn w:val="Casehead1"/>
    <w:next w:val="BodyTextMainlink"/>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next w:val="BodyTextMainlink"/>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next w:val="BodyTextMainlink"/>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4067B6"/>
    <w:rPr>
      <w:color w:val="auto"/>
      <w:vertAlign w:val="superscript"/>
    </w:rPr>
  </w:style>
  <w:style w:type="paragraph" w:customStyle="1" w:styleId="Footnote">
    <w:name w:val="Footnote"/>
    <w:basedOn w:val="FootnoteText"/>
    <w:link w:val="FootnoteChar"/>
    <w:qFormat/>
    <w:rsid w:val="006839F6"/>
    <w:rPr>
      <w:rFonts w:ascii="Arial" w:hAnsi="Arial" w:cs="Arial"/>
      <w:sz w:val="17"/>
      <w:szCs w:val="17"/>
    </w:rPr>
  </w:style>
  <w:style w:type="character" w:customStyle="1" w:styleId="FootnoteChar">
    <w:name w:val="Footnote Char"/>
    <w:basedOn w:val="FootnoteTextChar"/>
    <w:link w:val="Footnote"/>
    <w:rsid w:val="006839F6"/>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styleId="IntenseQuote">
    <w:name w:val="Intense Quote"/>
    <w:basedOn w:val="Normal"/>
    <w:next w:val="Normal"/>
    <w:link w:val="IntenseQuoteChar"/>
    <w:uiPriority w:val="30"/>
    <w:rsid w:val="00842716"/>
    <w:pPr>
      <w:pBdr>
        <w:top w:val="single" w:sz="4" w:space="10" w:color="4F81BD" w:themeColor="accent1"/>
        <w:bottom w:val="single" w:sz="4" w:space="10" w:color="4F81BD" w:themeColor="accent1"/>
      </w:pBdr>
      <w:spacing w:before="360" w:after="360" w:line="256" w:lineRule="auto"/>
      <w:ind w:left="864" w:right="864"/>
      <w:jc w:val="center"/>
    </w:pPr>
    <w:rPr>
      <w:rFonts w:asciiTheme="minorHAnsi" w:eastAsiaTheme="minorHAnsi" w:hAnsiTheme="minorHAnsi" w:cstheme="minorBidi"/>
      <w:i/>
      <w:iCs/>
      <w:color w:val="4F81BD" w:themeColor="accent1"/>
      <w:sz w:val="22"/>
      <w:szCs w:val="22"/>
      <w:lang w:val="en-IN"/>
    </w:rPr>
  </w:style>
  <w:style w:type="character" w:customStyle="1" w:styleId="IntenseQuoteChar">
    <w:name w:val="Intense Quote Char"/>
    <w:basedOn w:val="DefaultParagraphFont"/>
    <w:link w:val="IntenseQuote"/>
    <w:uiPriority w:val="30"/>
    <w:rsid w:val="00842716"/>
    <w:rPr>
      <w:i/>
      <w:iCs/>
      <w:color w:val="4F81BD" w:themeColor="accent1"/>
      <w:lang w:val="en-IN"/>
    </w:rPr>
  </w:style>
  <w:style w:type="table" w:styleId="GridTable1Light">
    <w:name w:val="Grid Table 1 Light"/>
    <w:basedOn w:val="TableNormal"/>
    <w:uiPriority w:val="46"/>
    <w:rsid w:val="007464CD"/>
    <w:pPr>
      <w:spacing w:after="0" w:line="240" w:lineRule="auto"/>
    </w:pPr>
    <w:rPr>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Mainlink">
    <w:name w:val="Body Text Main link"/>
    <w:basedOn w:val="BodyTextMain"/>
    <w:next w:val="BodyTextMain"/>
    <w:qFormat/>
    <w:rsid w:val="00004716"/>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617">
      <w:bodyDiv w:val="1"/>
      <w:marLeft w:val="0"/>
      <w:marRight w:val="0"/>
      <w:marTop w:val="0"/>
      <w:marBottom w:val="0"/>
      <w:divBdr>
        <w:top w:val="none" w:sz="0" w:space="0" w:color="auto"/>
        <w:left w:val="none" w:sz="0" w:space="0" w:color="auto"/>
        <w:bottom w:val="none" w:sz="0" w:space="0" w:color="auto"/>
        <w:right w:val="none" w:sz="0" w:space="0" w:color="auto"/>
      </w:divBdr>
    </w:div>
    <w:div w:id="483545842">
      <w:bodyDiv w:val="1"/>
      <w:marLeft w:val="0"/>
      <w:marRight w:val="0"/>
      <w:marTop w:val="0"/>
      <w:marBottom w:val="0"/>
      <w:divBdr>
        <w:top w:val="none" w:sz="0" w:space="0" w:color="auto"/>
        <w:left w:val="none" w:sz="0" w:space="0" w:color="auto"/>
        <w:bottom w:val="none" w:sz="0" w:space="0" w:color="auto"/>
        <w:right w:val="none" w:sz="0" w:space="0" w:color="auto"/>
      </w:divBdr>
    </w:div>
    <w:div w:id="868027902">
      <w:bodyDiv w:val="1"/>
      <w:marLeft w:val="0"/>
      <w:marRight w:val="0"/>
      <w:marTop w:val="0"/>
      <w:marBottom w:val="0"/>
      <w:divBdr>
        <w:top w:val="none" w:sz="0" w:space="0" w:color="auto"/>
        <w:left w:val="none" w:sz="0" w:space="0" w:color="auto"/>
        <w:bottom w:val="none" w:sz="0" w:space="0" w:color="auto"/>
        <w:right w:val="none" w:sz="0" w:space="0" w:color="auto"/>
      </w:divBdr>
    </w:div>
    <w:div w:id="969439906">
      <w:bodyDiv w:val="1"/>
      <w:marLeft w:val="0"/>
      <w:marRight w:val="0"/>
      <w:marTop w:val="0"/>
      <w:marBottom w:val="0"/>
      <w:divBdr>
        <w:top w:val="none" w:sz="0" w:space="0" w:color="auto"/>
        <w:left w:val="none" w:sz="0" w:space="0" w:color="auto"/>
        <w:bottom w:val="none" w:sz="0" w:space="0" w:color="auto"/>
        <w:right w:val="none" w:sz="0" w:space="0" w:color="auto"/>
      </w:divBdr>
    </w:div>
    <w:div w:id="1049301045">
      <w:bodyDiv w:val="1"/>
      <w:marLeft w:val="0"/>
      <w:marRight w:val="0"/>
      <w:marTop w:val="0"/>
      <w:marBottom w:val="0"/>
      <w:divBdr>
        <w:top w:val="none" w:sz="0" w:space="0" w:color="auto"/>
        <w:left w:val="none" w:sz="0" w:space="0" w:color="auto"/>
        <w:bottom w:val="none" w:sz="0" w:space="0" w:color="auto"/>
        <w:right w:val="none" w:sz="0" w:space="0" w:color="auto"/>
      </w:divBdr>
    </w:div>
    <w:div w:id="10558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Used_Data!$B$17</c:f>
              <c:strCache>
                <c:ptCount val="1"/>
                <c:pt idx="0">
                  <c:v>Production ('000 tonnes)</c:v>
                </c:pt>
              </c:strCache>
            </c:strRef>
          </c:tx>
          <c:spPr>
            <a:solidFill>
              <a:schemeClr val="dk1">
                <a:tint val="88500"/>
              </a:schemeClr>
            </a:solidFill>
            <a:ln>
              <a:noFill/>
            </a:ln>
            <a:effectLst/>
          </c:spPr>
          <c:invertIfNegative val="0"/>
          <c:cat>
            <c:strRef>
              <c:f>Used_Data!$A$18:$A$29</c:f>
              <c:strCache>
                <c:ptCount val="12"/>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strCache>
            </c:strRef>
          </c:cat>
          <c:val>
            <c:numRef>
              <c:f>Used_Data!$B$18:$B$29</c:f>
              <c:numCache>
                <c:formatCode>#,##0.00</c:formatCode>
                <c:ptCount val="12"/>
                <c:pt idx="0">
                  <c:v>6924.2</c:v>
                </c:pt>
                <c:pt idx="1">
                  <c:v>6165.9</c:v>
                </c:pt>
                <c:pt idx="2">
                  <c:v>7156.5</c:v>
                </c:pt>
                <c:pt idx="3">
                  <c:v>6697.3</c:v>
                </c:pt>
                <c:pt idx="4">
                  <c:v>6098.8</c:v>
                </c:pt>
                <c:pt idx="5">
                  <c:v>7910.8</c:v>
                </c:pt>
                <c:pt idx="6">
                  <c:v>7273.5</c:v>
                </c:pt>
                <c:pt idx="7">
                  <c:v>7265.8</c:v>
                </c:pt>
                <c:pt idx="8">
                  <c:v>8211</c:v>
                </c:pt>
                <c:pt idx="9">
                  <c:v>6996</c:v>
                </c:pt>
                <c:pt idx="10">
                  <c:v>6609.6</c:v>
                </c:pt>
                <c:pt idx="11">
                  <c:v>7650.7</c:v>
                </c:pt>
              </c:numCache>
            </c:numRef>
          </c:val>
          <c:extLst>
            <c:ext xmlns:c16="http://schemas.microsoft.com/office/drawing/2014/chart" uri="{C3380CC4-5D6E-409C-BE32-E72D297353CC}">
              <c16:uniqueId val="{00000000-B892-4231-A12C-A524B2B372ED}"/>
            </c:ext>
          </c:extLst>
        </c:ser>
        <c:ser>
          <c:idx val="2"/>
          <c:order val="2"/>
          <c:tx>
            <c:strRef>
              <c:f>Used_Data!$D$17</c:f>
              <c:strCache>
                <c:ptCount val="1"/>
                <c:pt idx="0">
                  <c:v>Availability  ('000 tonnes)</c:v>
                </c:pt>
              </c:strCache>
            </c:strRef>
          </c:tx>
          <c:spPr>
            <a:solidFill>
              <a:schemeClr val="dk1">
                <a:tint val="75000"/>
              </a:schemeClr>
            </a:solidFill>
            <a:ln>
              <a:noFill/>
            </a:ln>
            <a:effectLst/>
          </c:spPr>
          <c:invertIfNegative val="0"/>
          <c:cat>
            <c:strRef>
              <c:f>Used_Data!$A$18:$A$29</c:f>
              <c:strCache>
                <c:ptCount val="12"/>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strCache>
            </c:strRef>
          </c:cat>
          <c:val>
            <c:numRef>
              <c:f>Used_Data!$D$18:$D$29</c:f>
              <c:numCache>
                <c:formatCode>General</c:formatCode>
                <c:ptCount val="12"/>
                <c:pt idx="0">
                  <c:v>11023.4</c:v>
                </c:pt>
                <c:pt idx="1">
                  <c:v>10769.099999999999</c:v>
                </c:pt>
                <c:pt idx="2">
                  <c:v>12587.9</c:v>
                </c:pt>
                <c:pt idx="3">
                  <c:v>14314.5</c:v>
                </c:pt>
                <c:pt idx="4">
                  <c:v>13881.7</c:v>
                </c:pt>
                <c:pt idx="5">
                  <c:v>15277.900000000001</c:v>
                </c:pt>
                <c:pt idx="6">
                  <c:v>17241.2</c:v>
                </c:pt>
                <c:pt idx="7">
                  <c:v>16294.2</c:v>
                </c:pt>
                <c:pt idx="8">
                  <c:v>19091.400000000001</c:v>
                </c:pt>
                <c:pt idx="9">
                  <c:v>21399.5</c:v>
                </c:pt>
                <c:pt idx="10">
                  <c:v>21437.4</c:v>
                </c:pt>
                <c:pt idx="11">
                  <c:v>21856.6</c:v>
                </c:pt>
              </c:numCache>
            </c:numRef>
          </c:val>
          <c:extLst>
            <c:ext xmlns:c16="http://schemas.microsoft.com/office/drawing/2014/chart" uri="{C3380CC4-5D6E-409C-BE32-E72D297353CC}">
              <c16:uniqueId val="{00000001-B892-4231-A12C-A524B2B372ED}"/>
            </c:ext>
          </c:extLst>
        </c:ser>
        <c:dLbls>
          <c:showLegendKey val="0"/>
          <c:showVal val="0"/>
          <c:showCatName val="0"/>
          <c:showSerName val="0"/>
          <c:showPercent val="0"/>
          <c:showBubbleSize val="0"/>
        </c:dLbls>
        <c:gapWidth val="219"/>
        <c:overlap val="-27"/>
        <c:axId val="454369864"/>
        <c:axId val="454371824"/>
      </c:barChart>
      <c:lineChart>
        <c:grouping val="stacked"/>
        <c:varyColors val="0"/>
        <c:ser>
          <c:idx val="1"/>
          <c:order val="1"/>
          <c:tx>
            <c:strRef>
              <c:f>Used_Data!$C$17</c:f>
              <c:strCache>
                <c:ptCount val="1"/>
                <c:pt idx="0">
                  <c:v>Imports as %</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Used_Data!$A$18:$A$29</c:f>
              <c:strCache>
                <c:ptCount val="12"/>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strCache>
            </c:strRef>
          </c:cat>
          <c:val>
            <c:numRef>
              <c:f>Used_Data!$C$18:$C$29</c:f>
              <c:numCache>
                <c:formatCode>0.00%</c:formatCode>
                <c:ptCount val="12"/>
                <c:pt idx="0">
                  <c:v>0.37186349039316363</c:v>
                </c:pt>
                <c:pt idx="1">
                  <c:v>0.42744519040588352</c:v>
                </c:pt>
                <c:pt idx="2">
                  <c:v>0.43147784777445003</c:v>
                </c:pt>
                <c:pt idx="3">
                  <c:v>0.532131754514653</c:v>
                </c:pt>
                <c:pt idx="4">
                  <c:v>0.56065899709689726</c:v>
                </c:pt>
                <c:pt idx="5">
                  <c:v>0.48220632416758846</c:v>
                </c:pt>
                <c:pt idx="6">
                  <c:v>0.57813261257917081</c:v>
                </c:pt>
                <c:pt idx="7">
                  <c:v>0.55408673024757271</c:v>
                </c:pt>
                <c:pt idx="8">
                  <c:v>0.56991105942990028</c:v>
                </c:pt>
                <c:pt idx="9">
                  <c:v>0.67307647374938662</c:v>
                </c:pt>
                <c:pt idx="10">
                  <c:v>0.69167902824036487</c:v>
                </c:pt>
                <c:pt idx="11">
                  <c:v>0.64995928003440606</c:v>
                </c:pt>
              </c:numCache>
            </c:numRef>
          </c:val>
          <c:smooth val="0"/>
          <c:extLst>
            <c:ext xmlns:c16="http://schemas.microsoft.com/office/drawing/2014/chart" uri="{C3380CC4-5D6E-409C-BE32-E72D297353CC}">
              <c16:uniqueId val="{00000002-B892-4231-A12C-A524B2B372ED}"/>
            </c:ext>
          </c:extLst>
        </c:ser>
        <c:dLbls>
          <c:showLegendKey val="0"/>
          <c:showVal val="0"/>
          <c:showCatName val="0"/>
          <c:showSerName val="0"/>
          <c:showPercent val="0"/>
          <c:showBubbleSize val="0"/>
        </c:dLbls>
        <c:marker val="1"/>
        <c:smooth val="0"/>
        <c:axId val="446976560"/>
        <c:axId val="446974992"/>
      </c:lineChart>
      <c:catAx>
        <c:axId val="454369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71824"/>
        <c:crosses val="autoZero"/>
        <c:auto val="1"/>
        <c:lblAlgn val="ctr"/>
        <c:lblOffset val="100"/>
        <c:noMultiLvlLbl val="0"/>
      </c:catAx>
      <c:valAx>
        <c:axId val="4543718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9864"/>
        <c:crosses val="autoZero"/>
        <c:crossBetween val="between"/>
      </c:valAx>
      <c:valAx>
        <c:axId val="44697499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76560"/>
        <c:crosses val="max"/>
        <c:crossBetween val="between"/>
      </c:valAx>
      <c:catAx>
        <c:axId val="446976560"/>
        <c:scaling>
          <c:orientation val="minMax"/>
        </c:scaling>
        <c:delete val="1"/>
        <c:axPos val="b"/>
        <c:numFmt formatCode="General" sourceLinked="1"/>
        <c:majorTickMark val="out"/>
        <c:minorTickMark val="none"/>
        <c:tickLblPos val="nextTo"/>
        <c:crossAx val="44697499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Share in % (2013-14)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Market Share in % (2013-14)</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Ruchi Soya</c:v>
                </c:pt>
                <c:pt idx="1">
                  <c:v>Adani Wilmar</c:v>
                </c:pt>
                <c:pt idx="2">
                  <c:v>Cargill India</c:v>
                </c:pt>
                <c:pt idx="3">
                  <c:v>Emami Agrotech</c:v>
                </c:pt>
                <c:pt idx="4">
                  <c:v>GEF India</c:v>
                </c:pt>
                <c:pt idx="5">
                  <c:v>Saraiwala Agro Refineries Ltd.</c:v>
                </c:pt>
                <c:pt idx="6">
                  <c:v>Lohiya Edible Oils Pvt. Ltd.</c:v>
                </c:pt>
                <c:pt idx="7">
                  <c:v>3 F Industries</c:v>
                </c:pt>
              </c:strCache>
            </c:strRef>
          </c:cat>
          <c:val>
            <c:numRef>
              <c:f>Sheet1!$B$2:$B$9</c:f>
              <c:numCache>
                <c:formatCode>General</c:formatCode>
                <c:ptCount val="8"/>
                <c:pt idx="0">
                  <c:v>11.69</c:v>
                </c:pt>
                <c:pt idx="1">
                  <c:v>7.67</c:v>
                </c:pt>
                <c:pt idx="2">
                  <c:v>3.69</c:v>
                </c:pt>
                <c:pt idx="3">
                  <c:v>2.57</c:v>
                </c:pt>
                <c:pt idx="4">
                  <c:v>1.05</c:v>
                </c:pt>
                <c:pt idx="5">
                  <c:v>0.85</c:v>
                </c:pt>
                <c:pt idx="6">
                  <c:v>0.69</c:v>
                </c:pt>
                <c:pt idx="7">
                  <c:v>0.5</c:v>
                </c:pt>
              </c:numCache>
            </c:numRef>
          </c:val>
          <c:extLst>
            <c:ext xmlns:c16="http://schemas.microsoft.com/office/drawing/2014/chart" uri="{C3380CC4-5D6E-409C-BE32-E72D297353CC}">
              <c16:uniqueId val="{00000000-4683-434D-AFE2-960B1C08B461}"/>
            </c:ext>
          </c:extLst>
        </c:ser>
        <c:dLbls>
          <c:showLegendKey val="0"/>
          <c:showVal val="0"/>
          <c:showCatName val="0"/>
          <c:showSerName val="0"/>
          <c:showPercent val="0"/>
          <c:showBubbleSize val="0"/>
        </c:dLbls>
        <c:gapWidth val="219"/>
        <c:overlap val="-27"/>
        <c:axId val="446977344"/>
        <c:axId val="446976952"/>
      </c:barChart>
      <c:catAx>
        <c:axId val="44697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76952"/>
        <c:crosses val="autoZero"/>
        <c:auto val="1"/>
        <c:lblAlgn val="ctr"/>
        <c:lblOffset val="100"/>
        <c:noMultiLvlLbl val="0"/>
      </c:catAx>
      <c:valAx>
        <c:axId val="446976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77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Share in % (2015-16)</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Market Share in % (2015-16)</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Ruchi Soya</c:v>
                </c:pt>
                <c:pt idx="1">
                  <c:v>Adani Wilmar</c:v>
                </c:pt>
                <c:pt idx="2">
                  <c:v>Emami Agrotech</c:v>
                </c:pt>
                <c:pt idx="3">
                  <c:v>Cargill India</c:v>
                </c:pt>
                <c:pt idx="4">
                  <c:v>Marico</c:v>
                </c:pt>
                <c:pt idx="5">
                  <c:v>GEF India</c:v>
                </c:pt>
                <c:pt idx="6">
                  <c:v>Kaleesuwari Refinery Pvt. Ltd.</c:v>
                </c:pt>
                <c:pt idx="7">
                  <c:v>Lohiya Edible Oils Pvt. Ltd.</c:v>
                </c:pt>
                <c:pt idx="8">
                  <c:v>3 F Industries</c:v>
                </c:pt>
              </c:strCache>
            </c:strRef>
          </c:cat>
          <c:val>
            <c:numRef>
              <c:f>Sheet1!$B$2:$B$10</c:f>
              <c:numCache>
                <c:formatCode>General</c:formatCode>
                <c:ptCount val="9"/>
                <c:pt idx="0">
                  <c:v>12.4</c:v>
                </c:pt>
                <c:pt idx="1">
                  <c:v>7.78</c:v>
                </c:pt>
                <c:pt idx="2">
                  <c:v>2.56</c:v>
                </c:pt>
                <c:pt idx="3">
                  <c:v>2.4500000000000002</c:v>
                </c:pt>
                <c:pt idx="4">
                  <c:v>1.84</c:v>
                </c:pt>
                <c:pt idx="5">
                  <c:v>1.53</c:v>
                </c:pt>
                <c:pt idx="6">
                  <c:v>1.48</c:v>
                </c:pt>
                <c:pt idx="7">
                  <c:v>0.84</c:v>
                </c:pt>
                <c:pt idx="8">
                  <c:v>0.57999999999999996</c:v>
                </c:pt>
              </c:numCache>
            </c:numRef>
          </c:val>
          <c:extLst>
            <c:ext xmlns:c16="http://schemas.microsoft.com/office/drawing/2014/chart" uri="{C3380CC4-5D6E-409C-BE32-E72D297353CC}">
              <c16:uniqueId val="{00000000-A33D-45D4-A1CB-D331E171C2FE}"/>
            </c:ext>
          </c:extLst>
        </c:ser>
        <c:dLbls>
          <c:dLblPos val="outEnd"/>
          <c:showLegendKey val="0"/>
          <c:showVal val="1"/>
          <c:showCatName val="0"/>
          <c:showSerName val="0"/>
          <c:showPercent val="0"/>
          <c:showBubbleSize val="0"/>
        </c:dLbls>
        <c:gapWidth val="219"/>
        <c:overlap val="-27"/>
        <c:axId val="558765864"/>
        <c:axId val="558765080"/>
      </c:barChart>
      <c:catAx>
        <c:axId val="55876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65080"/>
        <c:crosses val="autoZero"/>
        <c:auto val="1"/>
        <c:lblAlgn val="ctr"/>
        <c:lblOffset val="100"/>
        <c:noMultiLvlLbl val="0"/>
      </c:catAx>
      <c:valAx>
        <c:axId val="558765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658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
          <c:order val="1"/>
          <c:tx>
            <c:strRef>
              <c:f>Sheet1!$C$1</c:f>
              <c:strCache>
                <c:ptCount val="1"/>
                <c:pt idx="0">
                  <c:v>Sales (₹ Million)</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Ruchi Soya Inds. Ltd. </c:v>
                </c:pt>
                <c:pt idx="1">
                  <c:v>Adani Wilmar Ltd.  </c:v>
                </c:pt>
                <c:pt idx="2">
                  <c:v>Emami Agrotech Ltd. </c:v>
                </c:pt>
                <c:pt idx="3">
                  <c:v>Cargill India Pvt. Ltd. </c:v>
                </c:pt>
                <c:pt idx="4">
                  <c:v>Marico Ltd.</c:v>
                </c:pt>
                <c:pt idx="5">
                  <c:v>Gemini Edibles &amp; Fats India Pvt. Ltd. </c:v>
                </c:pt>
                <c:pt idx="6">
                  <c:v>Kaleesuwari Refinery Pvt. Ltd. </c:v>
                </c:pt>
                <c:pt idx="7">
                  <c:v>Lohiya Edible Oils Pvt. Ltd.</c:v>
                </c:pt>
                <c:pt idx="8">
                  <c:v>3 F Industries Ltd. </c:v>
                </c:pt>
              </c:strCache>
            </c:strRef>
          </c:cat>
          <c:val>
            <c:numRef>
              <c:f>Sheet1!$C$2:$C$10</c:f>
              <c:numCache>
                <c:formatCode>#,##0</c:formatCode>
                <c:ptCount val="9"/>
                <c:pt idx="0">
                  <c:v>201351</c:v>
                </c:pt>
                <c:pt idx="1">
                  <c:v>126376</c:v>
                </c:pt>
                <c:pt idx="2">
                  <c:v>41545</c:v>
                </c:pt>
                <c:pt idx="3">
                  <c:v>39744</c:v>
                </c:pt>
                <c:pt idx="4">
                  <c:v>29929</c:v>
                </c:pt>
                <c:pt idx="5">
                  <c:v>24834</c:v>
                </c:pt>
                <c:pt idx="6">
                  <c:v>24032</c:v>
                </c:pt>
                <c:pt idx="7">
                  <c:v>13697</c:v>
                </c:pt>
                <c:pt idx="8">
                  <c:v>9436</c:v>
                </c:pt>
              </c:numCache>
            </c:numRef>
          </c:val>
          <c:extLst>
            <c:ext xmlns:c16="http://schemas.microsoft.com/office/drawing/2014/chart" uri="{C3380CC4-5D6E-409C-BE32-E72D297353CC}">
              <c16:uniqueId val="{00000001-890B-4C4D-8E23-DF6BFDC00D5B}"/>
            </c:ext>
          </c:extLst>
        </c:ser>
        <c:dLbls>
          <c:showLegendKey val="0"/>
          <c:showVal val="0"/>
          <c:showCatName val="0"/>
          <c:showSerName val="0"/>
          <c:showPercent val="0"/>
          <c:showBubbleSize val="0"/>
        </c:dLbls>
        <c:gapWidth val="219"/>
        <c:axId val="352628120"/>
        <c:axId val="352628512"/>
      </c:barChart>
      <c:lineChart>
        <c:grouping val="stacked"/>
        <c:varyColors val="0"/>
        <c:ser>
          <c:idx val="0"/>
          <c:order val="0"/>
          <c:tx>
            <c:strRef>
              <c:f>Sheet1!$B$1</c:f>
              <c:strCache>
                <c:ptCount val="1"/>
                <c:pt idx="0">
                  <c:v>Rank by Size</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strRef>
              <c:f>Sheet1!$A$2:$A$10</c:f>
              <c:strCache>
                <c:ptCount val="9"/>
                <c:pt idx="0">
                  <c:v>Ruchi Soya Inds. Ltd. </c:v>
                </c:pt>
                <c:pt idx="1">
                  <c:v>Adani Wilmar Ltd.  </c:v>
                </c:pt>
                <c:pt idx="2">
                  <c:v>Emami Agrotech Ltd. </c:v>
                </c:pt>
                <c:pt idx="3">
                  <c:v>Cargill India Pvt. Ltd. </c:v>
                </c:pt>
                <c:pt idx="4">
                  <c:v>Marico Ltd.</c:v>
                </c:pt>
                <c:pt idx="5">
                  <c:v>Gemini Edibles &amp; Fats India Pvt. Ltd. </c:v>
                </c:pt>
                <c:pt idx="6">
                  <c:v>Kaleesuwari Refinery Pvt. Ltd. </c:v>
                </c:pt>
                <c:pt idx="7">
                  <c:v>Lohiya Edible Oils Pvt. Ltd.</c:v>
                </c:pt>
                <c:pt idx="8">
                  <c:v>3 F Industries Ltd. </c:v>
                </c:pt>
              </c:strCache>
            </c:strRef>
          </c:cat>
          <c:val>
            <c:numRef>
              <c:f>Sheet1!$B$2:$B$10</c:f>
              <c:numCache>
                <c:formatCode>General</c:formatCode>
                <c:ptCount val="9"/>
                <c:pt idx="0">
                  <c:v>1</c:v>
                </c:pt>
                <c:pt idx="1">
                  <c:v>2</c:v>
                </c:pt>
                <c:pt idx="2">
                  <c:v>3</c:v>
                </c:pt>
                <c:pt idx="3">
                  <c:v>4</c:v>
                </c:pt>
                <c:pt idx="4">
                  <c:v>7</c:v>
                </c:pt>
                <c:pt idx="5">
                  <c:v>10</c:v>
                </c:pt>
                <c:pt idx="6">
                  <c:v>11</c:v>
                </c:pt>
                <c:pt idx="7">
                  <c:v>20</c:v>
                </c:pt>
                <c:pt idx="8">
                  <c:v>23</c:v>
                </c:pt>
              </c:numCache>
            </c:numRef>
          </c:val>
          <c:smooth val="0"/>
          <c:extLst>
            <c:ext xmlns:c16="http://schemas.microsoft.com/office/drawing/2014/chart" uri="{C3380CC4-5D6E-409C-BE32-E72D297353CC}">
              <c16:uniqueId val="{00000000-890B-4C4D-8E23-DF6BFDC00D5B}"/>
            </c:ext>
          </c:extLst>
        </c:ser>
        <c:dLbls>
          <c:showLegendKey val="0"/>
          <c:showVal val="0"/>
          <c:showCatName val="0"/>
          <c:showSerName val="0"/>
          <c:showPercent val="0"/>
          <c:showBubbleSize val="0"/>
        </c:dLbls>
        <c:marker val="1"/>
        <c:smooth val="0"/>
        <c:axId val="447626928"/>
        <c:axId val="558909848"/>
      </c:lineChart>
      <c:catAx>
        <c:axId val="35262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52628512"/>
        <c:crosses val="autoZero"/>
        <c:auto val="1"/>
        <c:lblAlgn val="ctr"/>
        <c:lblOffset val="100"/>
        <c:noMultiLvlLbl val="0"/>
      </c:catAx>
      <c:valAx>
        <c:axId val="352628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52628120"/>
        <c:crosses val="autoZero"/>
        <c:crossBetween val="between"/>
      </c:valAx>
      <c:valAx>
        <c:axId val="55890984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47626928"/>
        <c:crosses val="max"/>
        <c:crossBetween val="between"/>
      </c:valAx>
      <c:catAx>
        <c:axId val="447626928"/>
        <c:scaling>
          <c:orientation val="minMax"/>
        </c:scaling>
        <c:delete val="1"/>
        <c:axPos val="b"/>
        <c:numFmt formatCode="General" sourceLinked="1"/>
        <c:majorTickMark val="out"/>
        <c:minorTickMark val="none"/>
        <c:tickLblPos val="nextTo"/>
        <c:crossAx val="55890984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20034-C5A9-4849-B4F6-08C40B68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4</cp:revision>
  <cp:lastPrinted>2018-01-26T13:15:00Z</cp:lastPrinted>
  <dcterms:created xsi:type="dcterms:W3CDTF">2018-01-12T15:12:00Z</dcterms:created>
  <dcterms:modified xsi:type="dcterms:W3CDTF">2018-01-26T13:36:00Z</dcterms:modified>
</cp:coreProperties>
</file>